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ADAB" w14:textId="77777777" w:rsidR="009260DE" w:rsidRPr="00B2164A" w:rsidRDefault="0021526C" w:rsidP="009260DE">
      <w:pPr>
        <w:rPr>
          <w:sz w:val="24"/>
          <w:szCs w:val="24"/>
        </w:rPr>
      </w:pPr>
      <w:r w:rsidRPr="00B2164A">
        <w:rPr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0" locked="0" layoutInCell="1" allowOverlap="1" wp14:anchorId="76FAD07C" wp14:editId="0F1D1A3D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2428875" cy="685800"/>
            <wp:effectExtent l="0" t="0" r="9525" b="0"/>
            <wp:wrapSquare wrapText="bothSides"/>
            <wp:docPr id="1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CCD" w:rsidRPr="00B2164A">
        <w:rPr>
          <w:sz w:val="24"/>
          <w:szCs w:val="24"/>
        </w:rPr>
        <w:br w:type="textWrapping" w:clear="all"/>
      </w:r>
    </w:p>
    <w:p w14:paraId="24493D93" w14:textId="51EAA80B" w:rsidR="00491536" w:rsidRPr="00491536" w:rsidRDefault="009260DE" w:rsidP="009260DE">
      <w:pPr>
        <w:pStyle w:val="Titel"/>
        <w:tabs>
          <w:tab w:val="right" w:pos="9356"/>
        </w:tabs>
        <w:jc w:val="left"/>
        <w:rPr>
          <w:szCs w:val="24"/>
        </w:rPr>
      </w:pPr>
      <w:r w:rsidRPr="00B2164A">
        <w:rPr>
          <w:b w:val="0"/>
          <w:szCs w:val="24"/>
          <w:lang w:eastAsia="en-US"/>
        </w:rPr>
        <w:tab/>
      </w:r>
      <w:r w:rsidR="00491536">
        <w:rPr>
          <w:szCs w:val="24"/>
        </w:rPr>
        <w:t>10. september 2026</w:t>
      </w:r>
    </w:p>
    <w:p w14:paraId="67086693" w14:textId="77777777" w:rsidR="009260DE" w:rsidRPr="00B2164A" w:rsidRDefault="009260DE" w:rsidP="009260DE">
      <w:pPr>
        <w:pStyle w:val="Titel"/>
        <w:tabs>
          <w:tab w:val="left" w:pos="8222"/>
        </w:tabs>
        <w:jc w:val="left"/>
        <w:rPr>
          <w:b w:val="0"/>
          <w:szCs w:val="24"/>
        </w:rPr>
      </w:pPr>
    </w:p>
    <w:p w14:paraId="4853F802" w14:textId="77777777" w:rsidR="009260DE" w:rsidRPr="00B2164A" w:rsidRDefault="009260DE" w:rsidP="009260DE">
      <w:pPr>
        <w:pStyle w:val="Titel"/>
        <w:jc w:val="left"/>
        <w:rPr>
          <w:b w:val="0"/>
          <w:szCs w:val="24"/>
        </w:rPr>
      </w:pPr>
    </w:p>
    <w:p w14:paraId="585E4010" w14:textId="77777777" w:rsidR="009260DE" w:rsidRPr="00B2164A" w:rsidRDefault="009260DE" w:rsidP="009260DE">
      <w:pPr>
        <w:pStyle w:val="Titel"/>
        <w:jc w:val="left"/>
        <w:rPr>
          <w:b w:val="0"/>
          <w:szCs w:val="24"/>
        </w:rPr>
      </w:pPr>
    </w:p>
    <w:p w14:paraId="32CC8FC3" w14:textId="77777777" w:rsidR="009260DE" w:rsidRPr="00B2164A" w:rsidRDefault="009260DE" w:rsidP="009260DE">
      <w:pPr>
        <w:jc w:val="center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PRODUKTRESUMÉ</w:t>
      </w:r>
    </w:p>
    <w:p w14:paraId="6CB3FF88" w14:textId="77777777" w:rsidR="009260DE" w:rsidRPr="00B2164A" w:rsidRDefault="009260DE" w:rsidP="009260DE">
      <w:pPr>
        <w:jc w:val="center"/>
        <w:rPr>
          <w:b/>
          <w:sz w:val="24"/>
          <w:szCs w:val="24"/>
        </w:rPr>
      </w:pPr>
    </w:p>
    <w:p w14:paraId="505F007D" w14:textId="77777777" w:rsidR="009260DE" w:rsidRPr="00B2164A" w:rsidRDefault="009260DE" w:rsidP="009260DE">
      <w:pPr>
        <w:jc w:val="center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for</w:t>
      </w:r>
    </w:p>
    <w:p w14:paraId="67A28D74" w14:textId="77777777" w:rsidR="000B058C" w:rsidRPr="00B2164A" w:rsidRDefault="000B058C" w:rsidP="009260DE">
      <w:pPr>
        <w:jc w:val="center"/>
        <w:rPr>
          <w:b/>
          <w:sz w:val="24"/>
          <w:szCs w:val="24"/>
        </w:rPr>
      </w:pPr>
    </w:p>
    <w:p w14:paraId="6219975F" w14:textId="41399531" w:rsidR="009260DE" w:rsidRPr="00B2164A" w:rsidRDefault="00066334" w:rsidP="009260DE">
      <w:pPr>
        <w:jc w:val="center"/>
        <w:rPr>
          <w:b/>
          <w:sz w:val="24"/>
          <w:szCs w:val="24"/>
        </w:rPr>
      </w:pPr>
      <w:proofErr w:type="spellStart"/>
      <w:r w:rsidRPr="00B2164A">
        <w:rPr>
          <w:b/>
          <w:sz w:val="24"/>
          <w:szCs w:val="24"/>
        </w:rPr>
        <w:t>Octreotide</w:t>
      </w:r>
      <w:proofErr w:type="spellEnd"/>
      <w:r w:rsidRPr="00B2164A">
        <w:rPr>
          <w:b/>
          <w:sz w:val="24"/>
          <w:szCs w:val="24"/>
        </w:rPr>
        <w:t xml:space="preserve"> </w:t>
      </w:r>
      <w:r w:rsidR="00B2164A">
        <w:rPr>
          <w:b/>
          <w:sz w:val="24"/>
          <w:szCs w:val="24"/>
        </w:rPr>
        <w:t>"</w:t>
      </w:r>
      <w:r w:rsidRPr="00B2164A">
        <w:rPr>
          <w:b/>
          <w:sz w:val="24"/>
          <w:szCs w:val="24"/>
        </w:rPr>
        <w:t>Orion</w:t>
      </w:r>
      <w:r w:rsidR="00B2164A">
        <w:rPr>
          <w:b/>
          <w:sz w:val="24"/>
          <w:szCs w:val="24"/>
        </w:rPr>
        <w:t>"</w:t>
      </w:r>
      <w:r w:rsidRPr="00B2164A">
        <w:rPr>
          <w:b/>
          <w:sz w:val="24"/>
          <w:szCs w:val="24"/>
        </w:rPr>
        <w:t>, pulver og solvens til depotinjektionsvæske, suspension</w:t>
      </w:r>
    </w:p>
    <w:p w14:paraId="0AD0F780" w14:textId="77777777" w:rsidR="009260DE" w:rsidRPr="00B2164A" w:rsidRDefault="009260DE" w:rsidP="009260DE">
      <w:pPr>
        <w:jc w:val="both"/>
        <w:rPr>
          <w:sz w:val="24"/>
          <w:szCs w:val="24"/>
        </w:rPr>
      </w:pPr>
    </w:p>
    <w:p w14:paraId="0DB390C4" w14:textId="77777777" w:rsidR="009260DE" w:rsidRPr="00B2164A" w:rsidRDefault="009260DE" w:rsidP="009260DE">
      <w:pPr>
        <w:jc w:val="both"/>
        <w:rPr>
          <w:sz w:val="24"/>
          <w:szCs w:val="24"/>
        </w:rPr>
      </w:pPr>
    </w:p>
    <w:p w14:paraId="3CC56993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0.</w:t>
      </w:r>
      <w:r w:rsidRPr="00B2164A">
        <w:rPr>
          <w:b/>
          <w:sz w:val="24"/>
          <w:szCs w:val="24"/>
        </w:rPr>
        <w:tab/>
        <w:t>D.SP.NR.</w:t>
      </w:r>
    </w:p>
    <w:p w14:paraId="7C6FF2FB" w14:textId="49EF6B06" w:rsidR="009260DE" w:rsidRPr="00B2164A" w:rsidRDefault="00066334" w:rsidP="009260DE">
      <w:pPr>
        <w:tabs>
          <w:tab w:val="left" w:pos="85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>34647</w:t>
      </w:r>
    </w:p>
    <w:p w14:paraId="6DC98B6E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7F6EBB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1.</w:t>
      </w:r>
      <w:r w:rsidRPr="00B2164A">
        <w:rPr>
          <w:b/>
          <w:sz w:val="24"/>
          <w:szCs w:val="24"/>
        </w:rPr>
        <w:tab/>
        <w:t>LÆGEMIDLETS NAVN</w:t>
      </w:r>
    </w:p>
    <w:p w14:paraId="06BE26A6" w14:textId="56D87247" w:rsidR="009260DE" w:rsidRPr="00B2164A" w:rsidRDefault="00066334" w:rsidP="009260DE">
      <w:pPr>
        <w:tabs>
          <w:tab w:val="left" w:pos="851"/>
        </w:tabs>
        <w:ind w:left="851"/>
        <w:rPr>
          <w:sz w:val="24"/>
          <w:szCs w:val="24"/>
        </w:rPr>
      </w:pPr>
      <w:proofErr w:type="spellStart"/>
      <w:r w:rsidRPr="00B2164A">
        <w:rPr>
          <w:sz w:val="24"/>
          <w:szCs w:val="24"/>
        </w:rPr>
        <w:t>Octreotide</w:t>
      </w:r>
      <w:proofErr w:type="spellEnd"/>
      <w:r w:rsidRPr="00B2164A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B2164A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</w:p>
    <w:p w14:paraId="47DD6D3F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4B4D38B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2.</w:t>
      </w:r>
      <w:r w:rsidRPr="00B2164A">
        <w:rPr>
          <w:b/>
          <w:sz w:val="24"/>
          <w:szCs w:val="24"/>
        </w:rPr>
        <w:tab/>
        <w:t>KVALITATIV OG KVANTITATIV SAMMENSÆTNING</w:t>
      </w:r>
    </w:p>
    <w:p w14:paraId="03B3BB00" w14:textId="77777777" w:rsidR="00B2164A" w:rsidRDefault="00B2164A" w:rsidP="004B7604">
      <w:pPr>
        <w:ind w:left="851"/>
        <w:rPr>
          <w:sz w:val="24"/>
          <w:szCs w:val="24"/>
          <w:u w:val="single"/>
        </w:rPr>
      </w:pPr>
    </w:p>
    <w:p w14:paraId="40A938D6" w14:textId="30450D51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10 mg pulver og solvens til depotinjektionsvæske, suspension</w:t>
      </w:r>
    </w:p>
    <w:p w14:paraId="36F632A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Hvert hætteglas indeholder 10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(som </w:t>
      </w:r>
      <w:proofErr w:type="spellStart"/>
      <w:r w:rsidRPr="004B7604">
        <w:rPr>
          <w:sz w:val="24"/>
          <w:szCs w:val="24"/>
        </w:rPr>
        <w:t>octreotidacetat</w:t>
      </w:r>
      <w:proofErr w:type="spellEnd"/>
      <w:r w:rsidRPr="004B7604">
        <w:rPr>
          <w:sz w:val="24"/>
          <w:szCs w:val="24"/>
        </w:rPr>
        <w:t>).</w:t>
      </w:r>
    </w:p>
    <w:p w14:paraId="1E01DA08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8162292" w14:textId="0BA2BA45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20 mg pulver og solvens til depotinjektionsvæske, suspension</w:t>
      </w:r>
    </w:p>
    <w:p w14:paraId="143927B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Hvert hætteglas indeholder 20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(som </w:t>
      </w:r>
      <w:proofErr w:type="spellStart"/>
      <w:r w:rsidRPr="004B7604">
        <w:rPr>
          <w:sz w:val="24"/>
          <w:szCs w:val="24"/>
        </w:rPr>
        <w:t>octreotidacetat</w:t>
      </w:r>
      <w:proofErr w:type="spellEnd"/>
      <w:r w:rsidRPr="004B7604">
        <w:rPr>
          <w:sz w:val="24"/>
          <w:szCs w:val="24"/>
        </w:rPr>
        <w:t>).</w:t>
      </w:r>
    </w:p>
    <w:p w14:paraId="6FB44CF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2F8E116" w14:textId="13DDBF2F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30 mg pulver og solvens til depotinjektionsvæske, suspension</w:t>
      </w:r>
    </w:p>
    <w:p w14:paraId="50E00EE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Hvert hætteglas indeholder 30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(som </w:t>
      </w:r>
      <w:proofErr w:type="spellStart"/>
      <w:r w:rsidRPr="004B7604">
        <w:rPr>
          <w:sz w:val="24"/>
          <w:szCs w:val="24"/>
        </w:rPr>
        <w:t>octreotidacetat</w:t>
      </w:r>
      <w:proofErr w:type="spellEnd"/>
      <w:r w:rsidRPr="004B7604">
        <w:rPr>
          <w:sz w:val="24"/>
          <w:szCs w:val="24"/>
        </w:rPr>
        <w:t>).</w:t>
      </w:r>
    </w:p>
    <w:p w14:paraId="3EA80B15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FBDFEB1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Alle hjælpestoffer er anført under pkt. 6.1.</w:t>
      </w:r>
    </w:p>
    <w:p w14:paraId="22585388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1895283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3.</w:t>
      </w:r>
      <w:r w:rsidRPr="00B2164A">
        <w:rPr>
          <w:b/>
          <w:sz w:val="24"/>
          <w:szCs w:val="24"/>
        </w:rPr>
        <w:tab/>
        <w:t>LÆGEMIDDELFORM</w:t>
      </w:r>
    </w:p>
    <w:p w14:paraId="5CA1667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Pulver og solvens til depotinjektionsvæske, suspension</w:t>
      </w:r>
    </w:p>
    <w:p w14:paraId="36E48A9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8A4C46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Pulver: Hvidt til næsten hvidt pulver.</w:t>
      </w:r>
    </w:p>
    <w:p w14:paraId="640E7FB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Solvens: Klar, farveløs til svag gul eller brun opløsning.</w:t>
      </w:r>
    </w:p>
    <w:p w14:paraId="3A79564D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BF09453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7771184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</w:t>
      </w:r>
      <w:r w:rsidRPr="00B2164A">
        <w:rPr>
          <w:b/>
          <w:sz w:val="24"/>
          <w:szCs w:val="24"/>
        </w:rPr>
        <w:tab/>
        <w:t>KLINISKE OPLYSNINGER</w:t>
      </w:r>
    </w:p>
    <w:p w14:paraId="6DE7B4DD" w14:textId="77777777" w:rsidR="009260DE" w:rsidRPr="00B2164A" w:rsidRDefault="009260DE" w:rsidP="009260DE">
      <w:pPr>
        <w:tabs>
          <w:tab w:val="left" w:pos="851"/>
        </w:tabs>
        <w:ind w:left="851"/>
        <w:rPr>
          <w:b/>
          <w:sz w:val="24"/>
          <w:szCs w:val="24"/>
        </w:rPr>
      </w:pPr>
    </w:p>
    <w:p w14:paraId="6D12802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  <w:u w:val="single"/>
        </w:rPr>
      </w:pPr>
      <w:r w:rsidRPr="00B2164A">
        <w:rPr>
          <w:b/>
          <w:sz w:val="24"/>
          <w:szCs w:val="24"/>
        </w:rPr>
        <w:t>4.1</w:t>
      </w:r>
      <w:r w:rsidRPr="00B2164A">
        <w:rPr>
          <w:b/>
          <w:sz w:val="24"/>
          <w:szCs w:val="24"/>
        </w:rPr>
        <w:tab/>
        <w:t>Terapeutiske indikationer</w:t>
      </w:r>
    </w:p>
    <w:p w14:paraId="0FBC122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Behandling af patienter med akromegali, hvor operation ikke kan gennemføres eller ikke har vist tilstrækkelig effekt, eller midlertidigt, indtil strålebehandling er fuldt effektiv (se pkt. 4.2).</w:t>
      </w:r>
    </w:p>
    <w:p w14:paraId="3D0FFF3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9BE8D31" w14:textId="150A45B4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lastRenderedPageBreak/>
        <w:t xml:space="preserve">Behandling af patienter med symptomer forbundet med funktionelle </w:t>
      </w:r>
      <w:proofErr w:type="spellStart"/>
      <w:r w:rsidRPr="004B7604">
        <w:rPr>
          <w:sz w:val="24"/>
          <w:szCs w:val="24"/>
        </w:rPr>
        <w:t>gastroentero</w:t>
      </w:r>
      <w:r w:rsidR="00EC7E21">
        <w:rPr>
          <w:sz w:val="24"/>
          <w:szCs w:val="24"/>
        </w:rPr>
        <w:softHyphen/>
      </w:r>
      <w:r w:rsidRPr="004B7604">
        <w:rPr>
          <w:sz w:val="24"/>
          <w:szCs w:val="24"/>
        </w:rPr>
        <w:t>pankreatiske</w:t>
      </w:r>
      <w:proofErr w:type="spellEnd"/>
      <w:r w:rsidRPr="004B7604">
        <w:rPr>
          <w:sz w:val="24"/>
          <w:szCs w:val="24"/>
        </w:rPr>
        <w:t xml:space="preserve"> (GEP) endokrine tumorer såsom </w:t>
      </w:r>
      <w:proofErr w:type="spellStart"/>
      <w:r w:rsidRPr="004B7604">
        <w:rPr>
          <w:sz w:val="24"/>
          <w:szCs w:val="24"/>
        </w:rPr>
        <w:t>karcinoide</w:t>
      </w:r>
      <w:proofErr w:type="spellEnd"/>
      <w:r w:rsidRPr="004B7604">
        <w:rPr>
          <w:sz w:val="24"/>
          <w:szCs w:val="24"/>
        </w:rPr>
        <w:t xml:space="preserve"> tumorer med træk af </w:t>
      </w:r>
      <w:proofErr w:type="spellStart"/>
      <w:r w:rsidRPr="004B7604">
        <w:rPr>
          <w:sz w:val="24"/>
          <w:szCs w:val="24"/>
        </w:rPr>
        <w:t>karcinoidt</w:t>
      </w:r>
      <w:proofErr w:type="spellEnd"/>
      <w:r w:rsidRPr="004B7604">
        <w:rPr>
          <w:sz w:val="24"/>
          <w:szCs w:val="24"/>
        </w:rPr>
        <w:t xml:space="preserve"> syndrom (se pkt. 5.1)</w:t>
      </w:r>
    </w:p>
    <w:p w14:paraId="0E3B4AB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3AE5E59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Behandling af patienter med fremskredne </w:t>
      </w:r>
      <w:proofErr w:type="spellStart"/>
      <w:r w:rsidRPr="004B7604">
        <w:rPr>
          <w:sz w:val="24"/>
          <w:szCs w:val="24"/>
        </w:rPr>
        <w:t>neuroendokrine</w:t>
      </w:r>
      <w:proofErr w:type="spellEnd"/>
      <w:r w:rsidRPr="004B7604">
        <w:rPr>
          <w:sz w:val="24"/>
          <w:szCs w:val="24"/>
        </w:rPr>
        <w:t xml:space="preserve"> tumorer (NET) i mave-tarm-kanalen eller af ukendt primær oprindelse, hvor oprindelse uden for mave-tarm-kanalen kan udelukkes.</w:t>
      </w:r>
    </w:p>
    <w:p w14:paraId="23662638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0D4FA6D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Behandling af TSH-secernerende </w:t>
      </w:r>
      <w:proofErr w:type="spellStart"/>
      <w:r w:rsidRPr="004B7604">
        <w:rPr>
          <w:sz w:val="24"/>
          <w:szCs w:val="24"/>
        </w:rPr>
        <w:t>hypofyseadenomer</w:t>
      </w:r>
      <w:proofErr w:type="spellEnd"/>
      <w:r w:rsidRPr="004B7604">
        <w:rPr>
          <w:sz w:val="24"/>
          <w:szCs w:val="24"/>
        </w:rPr>
        <w:t>:</w:t>
      </w:r>
    </w:p>
    <w:p w14:paraId="2597F766" w14:textId="77777777" w:rsidR="004B7604" w:rsidRPr="004B7604" w:rsidRDefault="004B7604" w:rsidP="004B7604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>når sekretion ikke er normaliseret efter operation og/eller strålebehandling;</w:t>
      </w:r>
    </w:p>
    <w:p w14:paraId="51FAC8B0" w14:textId="77777777" w:rsidR="004B7604" w:rsidRPr="004B7604" w:rsidRDefault="004B7604" w:rsidP="004B7604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>hos patienter, hvor operation ikke er relevant;</w:t>
      </w:r>
    </w:p>
    <w:p w14:paraId="1CF1F077" w14:textId="77777777" w:rsidR="004B7604" w:rsidRPr="004B7604" w:rsidRDefault="004B7604" w:rsidP="004B7604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>hos strålebehandlede patienter, indtil strålebehandling er effektiv.</w:t>
      </w:r>
    </w:p>
    <w:p w14:paraId="156F777C" w14:textId="77777777" w:rsidR="009260DE" w:rsidRPr="00B2164A" w:rsidRDefault="009260DE" w:rsidP="004B7604">
      <w:pPr>
        <w:ind w:left="851"/>
        <w:rPr>
          <w:sz w:val="24"/>
          <w:szCs w:val="24"/>
        </w:rPr>
      </w:pPr>
    </w:p>
    <w:p w14:paraId="704799B3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4.2</w:t>
      </w:r>
      <w:r w:rsidRPr="00B2164A">
        <w:rPr>
          <w:b/>
          <w:sz w:val="24"/>
          <w:szCs w:val="24"/>
        </w:rPr>
        <w:tab/>
        <w:t xml:space="preserve">Dosering og </w:t>
      </w:r>
      <w:r w:rsidR="002C1EC0" w:rsidRPr="00B2164A">
        <w:rPr>
          <w:b/>
          <w:sz w:val="24"/>
          <w:szCs w:val="24"/>
        </w:rPr>
        <w:t>administration</w:t>
      </w:r>
    </w:p>
    <w:p w14:paraId="79C9FE59" w14:textId="77777777" w:rsidR="00B2164A" w:rsidRDefault="00B2164A" w:rsidP="004B7604">
      <w:pPr>
        <w:ind w:left="851"/>
        <w:rPr>
          <w:sz w:val="24"/>
          <w:szCs w:val="24"/>
          <w:u w:val="single"/>
        </w:rPr>
      </w:pPr>
    </w:p>
    <w:p w14:paraId="0930FCFA" w14:textId="48A4EAA1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Dosering</w:t>
      </w:r>
    </w:p>
    <w:p w14:paraId="3765BD9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52626BC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r w:rsidRPr="004B7604">
        <w:rPr>
          <w:i/>
          <w:sz w:val="24"/>
          <w:szCs w:val="24"/>
          <w:u w:val="single"/>
        </w:rPr>
        <w:t>Akromegali</w:t>
      </w:r>
    </w:p>
    <w:p w14:paraId="33A8E9F1" w14:textId="18F70AD3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anbefales at starte behandlingen med 20 mg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hver 4. uge i 3 måneder. Patienter i behandling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påbegynde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dagen efter sidste injektion af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. Efterfølgende dosisjusteringer bør baseres på serumkoncentrationen af væksthormon og insulinlignende vækstfaktor 1/</w:t>
      </w:r>
      <w:proofErr w:type="spellStart"/>
      <w:r w:rsidRPr="004B7604">
        <w:rPr>
          <w:sz w:val="24"/>
          <w:szCs w:val="24"/>
        </w:rPr>
        <w:t>somatomedin</w:t>
      </w:r>
      <w:proofErr w:type="spellEnd"/>
      <w:r w:rsidRPr="004B7604">
        <w:rPr>
          <w:sz w:val="24"/>
          <w:szCs w:val="24"/>
        </w:rPr>
        <w:t> C (IGF</w:t>
      </w:r>
      <w:r w:rsidRPr="004B7604">
        <w:rPr>
          <w:sz w:val="24"/>
          <w:szCs w:val="24"/>
        </w:rPr>
        <w:noBreakHyphen/>
        <w:t>1) og på kliniske symptomer.</w:t>
      </w:r>
    </w:p>
    <w:p w14:paraId="72238EC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9285189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Hos patienter, hvor kliniske symptomer og biokemiske parametre (væksthormon, IGF</w:t>
      </w:r>
      <w:r w:rsidRPr="004B7604">
        <w:rPr>
          <w:sz w:val="24"/>
          <w:szCs w:val="24"/>
        </w:rPr>
        <w:noBreakHyphen/>
        <w:t>1) ikke er tilstrækkeligt kontrolleret (væksthormonkoncentration stadig over 2,5 mikrogram/liter) inden for denne 3 måneders periode, kan dosis øges til 30 mg hver 4. uge. Hvis væksthormon, IGF</w:t>
      </w:r>
      <w:r w:rsidRPr="004B7604">
        <w:rPr>
          <w:sz w:val="24"/>
          <w:szCs w:val="24"/>
        </w:rPr>
        <w:noBreakHyphen/>
        <w:t>1 og/eller symptomer ikke er tilstrækkeligt kontrolleret efter 3 måneder ved en dosis på 30 mg, kan dosis øges til 40 mg hver 4. uge.</w:t>
      </w:r>
    </w:p>
    <w:p w14:paraId="7ACCE34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13864A7" w14:textId="1AB79299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Hos patienter med en væksthormonkoncentration, der konsekvent er mindre end 1 mikrogram/liter, hvor IGF</w:t>
      </w:r>
      <w:r w:rsidRPr="004B7604">
        <w:rPr>
          <w:sz w:val="24"/>
          <w:szCs w:val="24"/>
        </w:rPr>
        <w:noBreakHyphen/>
        <w:t xml:space="preserve">1-serumkoncentrationen er normaliseret, og hvor de fleste reversible symptomer på akromegali er forsvundet efter 3 måneders behandling med 20 mg, kan 10 mg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gives hver 4. uge. Dog anbefales tæt monitorering af koncentrationen af væksthormon og IGF</w:t>
      </w:r>
      <w:r w:rsidRPr="004B7604">
        <w:rPr>
          <w:sz w:val="24"/>
          <w:szCs w:val="24"/>
        </w:rPr>
        <w:noBreakHyphen/>
        <w:t xml:space="preserve">1 samt af kliniske symptomer ved denne lave dosis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.</w:t>
      </w:r>
    </w:p>
    <w:p w14:paraId="0B7A1B5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6775C5A" w14:textId="3EA194AF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i stabil dosering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bør væksthormon og IGF</w:t>
      </w:r>
      <w:r w:rsidRPr="004B7604">
        <w:rPr>
          <w:sz w:val="24"/>
          <w:szCs w:val="24"/>
        </w:rPr>
        <w:noBreakHyphen/>
        <w:t>1 vurderes hver 6. måned.</w:t>
      </w:r>
    </w:p>
    <w:p w14:paraId="0C1EC5AF" w14:textId="77777777" w:rsidR="004B7604" w:rsidRPr="004B7604" w:rsidRDefault="004B7604" w:rsidP="004B7604">
      <w:pPr>
        <w:ind w:left="851"/>
        <w:rPr>
          <w:bCs/>
          <w:sz w:val="24"/>
          <w:szCs w:val="24"/>
        </w:rPr>
      </w:pPr>
    </w:p>
    <w:p w14:paraId="13928E03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proofErr w:type="spellStart"/>
      <w:r w:rsidRPr="004B7604">
        <w:rPr>
          <w:i/>
          <w:sz w:val="24"/>
          <w:szCs w:val="24"/>
          <w:u w:val="single"/>
        </w:rPr>
        <w:t>Gastroenteropankreatiske</w:t>
      </w:r>
      <w:proofErr w:type="spellEnd"/>
      <w:r w:rsidRPr="004B7604">
        <w:rPr>
          <w:i/>
          <w:sz w:val="24"/>
          <w:szCs w:val="24"/>
          <w:u w:val="single"/>
        </w:rPr>
        <w:t xml:space="preserve"> endokrine tumorer</w:t>
      </w:r>
    </w:p>
    <w:p w14:paraId="785ECED8" w14:textId="77777777" w:rsidR="004B7604" w:rsidRPr="004B7604" w:rsidRDefault="004B7604" w:rsidP="004B7604">
      <w:pPr>
        <w:ind w:left="851"/>
        <w:rPr>
          <w:bCs/>
          <w:sz w:val="24"/>
          <w:szCs w:val="24"/>
        </w:rPr>
      </w:pPr>
    </w:p>
    <w:p w14:paraId="683238CA" w14:textId="77777777" w:rsidR="004B7604" w:rsidRPr="004B7604" w:rsidRDefault="004B7604" w:rsidP="004B7604">
      <w:pPr>
        <w:ind w:left="851"/>
        <w:rPr>
          <w:i/>
          <w:sz w:val="24"/>
          <w:szCs w:val="24"/>
        </w:rPr>
      </w:pPr>
      <w:r w:rsidRPr="004B7604">
        <w:rPr>
          <w:i/>
          <w:sz w:val="24"/>
          <w:szCs w:val="24"/>
        </w:rPr>
        <w:t xml:space="preserve">Behandling af patienter med symptomer associeret med funktionelle </w:t>
      </w:r>
      <w:proofErr w:type="spellStart"/>
      <w:r w:rsidRPr="004B7604">
        <w:rPr>
          <w:i/>
          <w:sz w:val="24"/>
          <w:szCs w:val="24"/>
        </w:rPr>
        <w:t>gastroenteropankreatiske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neuroendokrine</w:t>
      </w:r>
      <w:proofErr w:type="spellEnd"/>
      <w:r w:rsidRPr="004B7604">
        <w:rPr>
          <w:i/>
          <w:sz w:val="24"/>
          <w:szCs w:val="24"/>
        </w:rPr>
        <w:t xml:space="preserve"> tumorer</w:t>
      </w:r>
    </w:p>
    <w:p w14:paraId="69B99531" w14:textId="54182DDD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anbefales at starte behandling med 20 mg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hver 4. uge. Patienter i behandling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bør fortsætte med den tidligere anvendte effektive dosis i 2 uger efter den første injektion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.</w:t>
      </w:r>
    </w:p>
    <w:p w14:paraId="0F9D63A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404B1E5" w14:textId="3859F002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patienter, hvis symptomer og biologiske markører er velkontrollerede efter 3 måneders behandling, kan dosis reduceres til 10 mg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hver 4. uge.</w:t>
      </w:r>
    </w:p>
    <w:p w14:paraId="632968D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6A716D5" w14:textId="2015A77F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lastRenderedPageBreak/>
        <w:t xml:space="preserve">Hos patienter, hvis symptomer kun er delvist kontrollerede efter 3 måneders behandling, kan dosis øges til 30 mg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hver 4. uge.</w:t>
      </w:r>
    </w:p>
    <w:p w14:paraId="1323BB5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CD73A98" w14:textId="4CC31048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På dage, hvor symptomerne forbundet med </w:t>
      </w:r>
      <w:proofErr w:type="spellStart"/>
      <w:r w:rsidRPr="004B7604">
        <w:rPr>
          <w:sz w:val="24"/>
          <w:szCs w:val="24"/>
        </w:rPr>
        <w:t>gastroenteropankreatiske</w:t>
      </w:r>
      <w:proofErr w:type="spellEnd"/>
      <w:r w:rsidRPr="004B7604">
        <w:rPr>
          <w:sz w:val="24"/>
          <w:szCs w:val="24"/>
        </w:rPr>
        <w:t xml:space="preserve"> tumorer evt. forværres under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, anbefales det i tillæg at administrere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med en dosis svarende til den, der blev anvendt, før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-behandlingen blev påbegyndt. Dette kan hovedsageligt forekomme i de første 2 måneder af behandlingen, indtil terapeutisk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-koncentration er nået.</w:t>
      </w:r>
    </w:p>
    <w:p w14:paraId="47EFBD53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33EE667" w14:textId="77777777" w:rsidR="004B7604" w:rsidRPr="004B7604" w:rsidRDefault="004B7604" w:rsidP="004B7604">
      <w:pPr>
        <w:ind w:left="851"/>
        <w:rPr>
          <w:i/>
          <w:sz w:val="24"/>
          <w:szCs w:val="24"/>
        </w:rPr>
      </w:pPr>
      <w:r w:rsidRPr="004B7604">
        <w:rPr>
          <w:i/>
          <w:sz w:val="24"/>
          <w:szCs w:val="24"/>
        </w:rPr>
        <w:t xml:space="preserve">Behandling af patienter med fremskredne </w:t>
      </w:r>
      <w:proofErr w:type="spellStart"/>
      <w:r w:rsidRPr="004B7604">
        <w:rPr>
          <w:i/>
          <w:sz w:val="24"/>
          <w:szCs w:val="24"/>
        </w:rPr>
        <w:t>neuroendokrine</w:t>
      </w:r>
      <w:proofErr w:type="spellEnd"/>
      <w:r w:rsidRPr="004B7604">
        <w:rPr>
          <w:i/>
          <w:sz w:val="24"/>
          <w:szCs w:val="24"/>
        </w:rPr>
        <w:t xml:space="preserve"> tumorer (NET) i mave-tarm-kanalen eller af ukendt primær oprindelse, hvor oprindelse uden for mave-tarm-kanalen kan udelukkes</w:t>
      </w:r>
    </w:p>
    <w:p w14:paraId="2F19E1AC" w14:textId="3748BC2C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Den anbefalede dosis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er 30 mg hver 4. uge (se pkt. 5.1).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bør fortsættes selv i fravær af tumorprogression.</w:t>
      </w:r>
    </w:p>
    <w:p w14:paraId="0EF35EAD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983C87F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r w:rsidRPr="004B7604">
        <w:rPr>
          <w:i/>
          <w:sz w:val="24"/>
          <w:szCs w:val="24"/>
          <w:u w:val="single"/>
        </w:rPr>
        <w:t xml:space="preserve">Behandling af TSH-secernerende </w:t>
      </w:r>
      <w:proofErr w:type="spellStart"/>
      <w:r w:rsidRPr="004B7604">
        <w:rPr>
          <w:i/>
          <w:sz w:val="24"/>
          <w:szCs w:val="24"/>
          <w:u w:val="single"/>
        </w:rPr>
        <w:t>hypofyseadenomer</w:t>
      </w:r>
      <w:proofErr w:type="spellEnd"/>
    </w:p>
    <w:p w14:paraId="3FAF8C13" w14:textId="7E14B6D6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skal startes med en dosis på 20 mg hver 4. uge i 3 måneder, før dosisjustering overvejes. Dosis kan herefter justeres på basis af TSH</w:t>
      </w:r>
      <w:r w:rsidRPr="004B7604">
        <w:rPr>
          <w:sz w:val="24"/>
          <w:szCs w:val="24"/>
        </w:rPr>
        <w:noBreakHyphen/>
        <w:t xml:space="preserve"> og </w:t>
      </w:r>
      <w:proofErr w:type="spellStart"/>
      <w:r w:rsidRPr="004B7604">
        <w:rPr>
          <w:sz w:val="24"/>
          <w:szCs w:val="24"/>
        </w:rPr>
        <w:t>thyroideahormon</w:t>
      </w:r>
      <w:proofErr w:type="spellEnd"/>
      <w:r w:rsidRPr="004B7604">
        <w:rPr>
          <w:sz w:val="24"/>
          <w:szCs w:val="24"/>
        </w:rPr>
        <w:t>-respons.</w:t>
      </w:r>
    </w:p>
    <w:p w14:paraId="4C9D89D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2BF091A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r w:rsidRPr="004B7604">
        <w:rPr>
          <w:i/>
          <w:sz w:val="24"/>
          <w:szCs w:val="24"/>
          <w:u w:val="single"/>
        </w:rPr>
        <w:t>Brug til patienter med nedsat nyrefunktion</w:t>
      </w:r>
    </w:p>
    <w:p w14:paraId="05CD032A" w14:textId="13BFFB65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Nedsat nyrefunktion påvirker ikke den totale optagelse (AUC)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når det administreres subkutant. Dosisjustering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er derfor ikke nødvendig.</w:t>
      </w:r>
    </w:p>
    <w:p w14:paraId="24FF182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94D9AD4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r w:rsidRPr="004B7604">
        <w:rPr>
          <w:i/>
          <w:sz w:val="24"/>
          <w:szCs w:val="24"/>
          <w:u w:val="single"/>
        </w:rPr>
        <w:t>Brug til patienter med nedsat leverfunktion</w:t>
      </w:r>
    </w:p>
    <w:p w14:paraId="6139A5FC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er i et studie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administreret subkutant og intravenøst vist, at eliminationskapaciteten muligvis er nedsat hos patienter med levercirrose, men ikke hos patienter med fedtlever. I visse tilfælde kan dosisjustering være nødvendig hos patienter med nedsat leverfunktion.</w:t>
      </w:r>
    </w:p>
    <w:p w14:paraId="7BA18EC2" w14:textId="77777777" w:rsidR="004B7604" w:rsidRPr="004B7604" w:rsidRDefault="004B7604" w:rsidP="004B7604">
      <w:pPr>
        <w:ind w:left="851"/>
        <w:rPr>
          <w:bCs/>
          <w:sz w:val="24"/>
          <w:szCs w:val="24"/>
        </w:rPr>
      </w:pPr>
    </w:p>
    <w:p w14:paraId="7FEE9CFD" w14:textId="77777777" w:rsidR="004B7604" w:rsidRPr="004B7604" w:rsidRDefault="004B7604" w:rsidP="004B7604">
      <w:pPr>
        <w:ind w:left="851"/>
        <w:rPr>
          <w:i/>
          <w:sz w:val="24"/>
          <w:szCs w:val="24"/>
          <w:u w:val="single"/>
        </w:rPr>
      </w:pPr>
      <w:r w:rsidRPr="004B7604">
        <w:rPr>
          <w:i/>
          <w:sz w:val="24"/>
          <w:szCs w:val="24"/>
          <w:u w:val="single"/>
        </w:rPr>
        <w:t>Brug til ældre</w:t>
      </w:r>
    </w:p>
    <w:p w14:paraId="00098123" w14:textId="46FA1ADC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et studie, hvor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blev administreret subkutant, var dosisjustering ikke nødvendig hos patienter </w:t>
      </w:r>
      <w:r w:rsidRPr="004B7604">
        <w:rPr>
          <w:sz w:val="24"/>
          <w:szCs w:val="24"/>
        </w:rPr>
        <w:sym w:font="Symbol" w:char="F0B3"/>
      </w:r>
      <w:r w:rsidRPr="004B7604">
        <w:rPr>
          <w:sz w:val="24"/>
          <w:szCs w:val="24"/>
        </w:rPr>
        <w:t xml:space="preserve"> 65 år. Dosisjustering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er derfor ikke nødvendig hos denne patientgruppe.</w:t>
      </w:r>
    </w:p>
    <w:p w14:paraId="07ABCC7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4D0E121" w14:textId="77777777" w:rsidR="004B7604" w:rsidRPr="004B7604" w:rsidRDefault="004B7604" w:rsidP="004B7604">
      <w:pPr>
        <w:ind w:left="851"/>
        <w:rPr>
          <w:i/>
          <w:sz w:val="24"/>
          <w:szCs w:val="24"/>
        </w:rPr>
      </w:pPr>
      <w:r w:rsidRPr="004B7604">
        <w:rPr>
          <w:i/>
          <w:sz w:val="24"/>
          <w:szCs w:val="24"/>
          <w:u w:val="single"/>
        </w:rPr>
        <w:t>Brug til børn</w:t>
      </w:r>
    </w:p>
    <w:p w14:paraId="3C5990F0" w14:textId="7B0C2DB4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foreligger kun begrænset erfaring med brug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til børn.</w:t>
      </w:r>
    </w:p>
    <w:p w14:paraId="531A28A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D970E06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Administration</w:t>
      </w:r>
    </w:p>
    <w:p w14:paraId="1701D738" w14:textId="04A2A48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skal gives som dyb intramuskulær injektion. Ved gentagne intramuskulære injektioner skal der veksles mellem højre og venstre sædemuskel (se pkt. 6.6).</w:t>
      </w:r>
    </w:p>
    <w:p w14:paraId="0A792EE0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607F8F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4.3</w:t>
      </w:r>
      <w:r w:rsidRPr="00B2164A">
        <w:rPr>
          <w:b/>
          <w:sz w:val="24"/>
          <w:szCs w:val="24"/>
        </w:rPr>
        <w:tab/>
        <w:t>Kontraindikationer</w:t>
      </w:r>
    </w:p>
    <w:p w14:paraId="6CA615E1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Overfølsomhed over for det aktive stof eller over for et eller flere af hjælpestofferne anført i pkt. 6.1.</w:t>
      </w:r>
    </w:p>
    <w:p w14:paraId="7C111CC5" w14:textId="4620DA0A" w:rsidR="00EC7E21" w:rsidRDefault="00EC7E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5598EB1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7899CC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4.4</w:t>
      </w:r>
      <w:r w:rsidRPr="00B2164A">
        <w:rPr>
          <w:b/>
          <w:sz w:val="24"/>
          <w:szCs w:val="24"/>
        </w:rPr>
        <w:tab/>
        <w:t>Særlige advarsler og forsigtighedsregler vedrørende brugen</w:t>
      </w:r>
    </w:p>
    <w:p w14:paraId="1CCED9F4" w14:textId="77777777" w:rsidR="00B2164A" w:rsidRDefault="00B2164A" w:rsidP="004B7604">
      <w:pPr>
        <w:ind w:left="851"/>
        <w:rPr>
          <w:sz w:val="24"/>
          <w:szCs w:val="24"/>
          <w:u w:val="single"/>
        </w:rPr>
      </w:pPr>
    </w:p>
    <w:p w14:paraId="5651C3E7" w14:textId="552F90B2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Generelt</w:t>
      </w:r>
    </w:p>
    <w:p w14:paraId="19D54C1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Da væksthormon-secernerende hypofysetumorer kan brede sig og medføre alvorlige komplikationer (f.eks. synsfeltdefekter), er det essentielt, at alle patienter monitoreres nøje. Er der tegn på tumorspredning, tilrådes alternative procedurer.</w:t>
      </w:r>
    </w:p>
    <w:p w14:paraId="26D3BEC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44BB922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De terapeutisk gavnlige virkninger ved reduktion af væksthormon-koncentrationen og ved normalisering af koncentrationen af insulinlignende vækstfaktor 1 (IGF</w:t>
      </w:r>
      <w:r w:rsidRPr="004B7604">
        <w:rPr>
          <w:sz w:val="24"/>
          <w:szCs w:val="24"/>
        </w:rPr>
        <w:noBreakHyphen/>
        <w:t xml:space="preserve">1) hos kvinder med akromegali kan potentielt genoprette fertiliteten. Om nødvendigt bør kvinder i den fertile alder rådes til at anvende passende prævention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(se pkt. 4.6).</w:t>
      </w:r>
    </w:p>
    <w:p w14:paraId="080A0E18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4CB5FCD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Thyroideafunktionen</w:t>
      </w:r>
      <w:proofErr w:type="spellEnd"/>
      <w:r w:rsidRPr="004B7604">
        <w:rPr>
          <w:sz w:val="24"/>
          <w:szCs w:val="24"/>
        </w:rPr>
        <w:t xml:space="preserve"> bør monitoreres hos patienter, der er i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i længere tid.</w:t>
      </w:r>
    </w:p>
    <w:p w14:paraId="0926EDF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58453A2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Leverfunktionen bør monitoreres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.</w:t>
      </w:r>
    </w:p>
    <w:p w14:paraId="3089301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A06ABB7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Kardiovaskulære hændelser</w:t>
      </w:r>
    </w:p>
    <w:p w14:paraId="0CF6384B" w14:textId="468C1E96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er indberettet tilfælde af bradykardi med hyppigheden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almindelig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. Det kan være nødvendigt at justere dosis af lægemidler som betablokkere, calciumantagonister og af lægemidler, som kontrollerer væske</w:t>
      </w:r>
      <w:r w:rsidRPr="004B7604">
        <w:rPr>
          <w:sz w:val="24"/>
          <w:szCs w:val="24"/>
        </w:rPr>
        <w:noBreakHyphen/>
        <w:t xml:space="preserve"> og elektrolytbalancen (se pkt. 4.5).</w:t>
      </w:r>
    </w:p>
    <w:p w14:paraId="5CDA3A2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AF70BF8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Galdeblære og relaterede tilfælde</w:t>
      </w:r>
    </w:p>
    <w:p w14:paraId="3292FC57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Galdesten er et meget almindeligt forekommende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og kan være forbundet med </w:t>
      </w:r>
      <w:proofErr w:type="spellStart"/>
      <w:r w:rsidRPr="004B7604">
        <w:rPr>
          <w:sz w:val="24"/>
          <w:szCs w:val="24"/>
        </w:rPr>
        <w:t>cholecystitis</w:t>
      </w:r>
      <w:proofErr w:type="spellEnd"/>
      <w:r w:rsidRPr="004B7604">
        <w:rPr>
          <w:sz w:val="24"/>
          <w:szCs w:val="24"/>
        </w:rPr>
        <w:t xml:space="preserve"> og dilatation af galdekanalen (se pkt. 4.8). Derudover er der efter markedsføring rapporteret tilfælde af </w:t>
      </w:r>
      <w:proofErr w:type="spellStart"/>
      <w:r w:rsidRPr="004B7604">
        <w:rPr>
          <w:sz w:val="24"/>
          <w:szCs w:val="24"/>
        </w:rPr>
        <w:t>cholangitis</w:t>
      </w:r>
      <w:proofErr w:type="spellEnd"/>
      <w:r w:rsidRPr="004B7604">
        <w:rPr>
          <w:sz w:val="24"/>
          <w:szCs w:val="24"/>
        </w:rPr>
        <w:t xml:space="preserve"> som komplikation til </w:t>
      </w:r>
      <w:proofErr w:type="spellStart"/>
      <w:r w:rsidRPr="004B7604">
        <w:rPr>
          <w:sz w:val="24"/>
          <w:szCs w:val="24"/>
        </w:rPr>
        <w:t>cholelithiasis</w:t>
      </w:r>
      <w:proofErr w:type="spellEnd"/>
      <w:r w:rsidRPr="004B7604">
        <w:rPr>
          <w:sz w:val="24"/>
          <w:szCs w:val="24"/>
        </w:rPr>
        <w:t xml:space="preserve"> hos patienter, der tager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 Det anbefales at udføre ultralydsundersøgelse af galdeblæren før behandling og med 6</w:t>
      </w:r>
      <w:r w:rsidRPr="004B7604">
        <w:rPr>
          <w:sz w:val="24"/>
          <w:szCs w:val="24"/>
        </w:rPr>
        <w:noBreakHyphen/>
        <w:t xml:space="preserve">måneders intervaller under behandlingen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</w:t>
      </w:r>
    </w:p>
    <w:p w14:paraId="4BE767E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788E727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Glucosemetabolisme</w:t>
      </w:r>
      <w:proofErr w:type="spellEnd"/>
    </w:p>
    <w:p w14:paraId="2A18706D" w14:textId="4021A49D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På grund af den hæmmende effekt på frigivelsen af væksthormon, </w:t>
      </w:r>
      <w:proofErr w:type="spellStart"/>
      <w:r w:rsidRPr="004B7604">
        <w:rPr>
          <w:sz w:val="24"/>
          <w:szCs w:val="24"/>
        </w:rPr>
        <w:t>glucagon</w:t>
      </w:r>
      <w:proofErr w:type="spellEnd"/>
      <w:r w:rsidRPr="004B7604">
        <w:rPr>
          <w:sz w:val="24"/>
          <w:szCs w:val="24"/>
        </w:rPr>
        <w:t xml:space="preserve"> og insulin kan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påvirke </w:t>
      </w:r>
      <w:proofErr w:type="spellStart"/>
      <w:r w:rsidRPr="004B7604">
        <w:rPr>
          <w:sz w:val="24"/>
          <w:szCs w:val="24"/>
        </w:rPr>
        <w:t>glucosereguleringen</w:t>
      </w:r>
      <w:proofErr w:type="spellEnd"/>
      <w:r w:rsidRPr="004B7604">
        <w:rPr>
          <w:sz w:val="24"/>
          <w:szCs w:val="24"/>
        </w:rPr>
        <w:t xml:space="preserve">. </w:t>
      </w:r>
      <w:proofErr w:type="spellStart"/>
      <w:r w:rsidRPr="004B7604">
        <w:rPr>
          <w:sz w:val="24"/>
          <w:szCs w:val="24"/>
        </w:rPr>
        <w:t>Postprandial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glucosetolerance</w:t>
      </w:r>
      <w:proofErr w:type="spellEnd"/>
      <w:r w:rsidRPr="004B7604">
        <w:rPr>
          <w:sz w:val="24"/>
          <w:szCs w:val="24"/>
        </w:rPr>
        <w:t xml:space="preserve"> kan nedsættes. Som rapporteret for patienter i behandling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en tilstand med vedvarende </w:t>
      </w:r>
      <w:proofErr w:type="spellStart"/>
      <w:r w:rsidRPr="004B7604">
        <w:rPr>
          <w:sz w:val="24"/>
          <w:szCs w:val="24"/>
        </w:rPr>
        <w:t>hyperglykæmi</w:t>
      </w:r>
      <w:proofErr w:type="spellEnd"/>
      <w:r w:rsidRPr="004B7604">
        <w:rPr>
          <w:sz w:val="24"/>
          <w:szCs w:val="24"/>
        </w:rPr>
        <w:t xml:space="preserve"> i nogle tilfælde induceres som følge af kronisk administration. Hypoglykæmi er også blevet rapporteret.</w:t>
      </w:r>
    </w:p>
    <w:p w14:paraId="069DD45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FE8307F" w14:textId="4B7298FD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med samtidig type I-diabetes vil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sandsynligvis påvirke </w:t>
      </w:r>
      <w:proofErr w:type="spellStart"/>
      <w:r w:rsidRPr="004B7604">
        <w:rPr>
          <w:sz w:val="24"/>
          <w:szCs w:val="24"/>
        </w:rPr>
        <w:t>glucosereguleringen</w:t>
      </w:r>
      <w:proofErr w:type="spellEnd"/>
      <w:r w:rsidRPr="004B7604">
        <w:rPr>
          <w:sz w:val="24"/>
          <w:szCs w:val="24"/>
        </w:rPr>
        <w:t xml:space="preserve"> og muligvis reducere insulinbehovet. Hos non-diabetikere og type II-diabetikere med delvist intakte insulinreserver kan subkutan 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forårsage post-</w:t>
      </w:r>
      <w:proofErr w:type="spellStart"/>
      <w:r w:rsidRPr="004B7604">
        <w:rPr>
          <w:sz w:val="24"/>
          <w:szCs w:val="24"/>
        </w:rPr>
        <w:t>prandial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hyperglykæmi</w:t>
      </w:r>
      <w:proofErr w:type="spellEnd"/>
      <w:r w:rsidRPr="004B7604">
        <w:rPr>
          <w:sz w:val="24"/>
          <w:szCs w:val="24"/>
        </w:rPr>
        <w:t xml:space="preserve">. Det anbefales derfor at monitorere </w:t>
      </w:r>
      <w:proofErr w:type="spellStart"/>
      <w:r w:rsidRPr="004B7604">
        <w:rPr>
          <w:sz w:val="24"/>
          <w:szCs w:val="24"/>
        </w:rPr>
        <w:t>glucosetolerance</w:t>
      </w:r>
      <w:proofErr w:type="spellEnd"/>
      <w:r w:rsidRPr="004B7604">
        <w:rPr>
          <w:sz w:val="24"/>
          <w:szCs w:val="24"/>
        </w:rPr>
        <w:t xml:space="preserve"> og den antidiabetiske behandling.</w:t>
      </w:r>
    </w:p>
    <w:p w14:paraId="399973F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F03BADA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med </w:t>
      </w:r>
      <w:proofErr w:type="spellStart"/>
      <w:r w:rsidRPr="004B7604">
        <w:rPr>
          <w:sz w:val="24"/>
          <w:szCs w:val="24"/>
        </w:rPr>
        <w:t>insulinomer</w:t>
      </w:r>
      <w:proofErr w:type="spellEnd"/>
      <w:r w:rsidRPr="004B7604">
        <w:rPr>
          <w:sz w:val="24"/>
          <w:szCs w:val="24"/>
        </w:rPr>
        <w:t xml:space="preserve"> kan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da det i relativt højere grad hæmmer sekretionen af væksthormon og </w:t>
      </w:r>
      <w:proofErr w:type="spellStart"/>
      <w:r w:rsidRPr="004B7604">
        <w:rPr>
          <w:sz w:val="24"/>
          <w:szCs w:val="24"/>
        </w:rPr>
        <w:t>glucagon</w:t>
      </w:r>
      <w:proofErr w:type="spellEnd"/>
      <w:r w:rsidRPr="004B7604">
        <w:rPr>
          <w:sz w:val="24"/>
          <w:szCs w:val="24"/>
        </w:rPr>
        <w:t xml:space="preserve"> end af insulin, og da dets insulinhæmmende effekt er af kortere varighed, muligvis øge sværhedsgraden og forlænge varigheden af hypoglykæmi. Disse patienter bør monitoreres tæt.</w:t>
      </w:r>
    </w:p>
    <w:p w14:paraId="5D242665" w14:textId="07C40D12" w:rsidR="00EC7E21" w:rsidRDefault="00EC7E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7362D4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EE1CB6E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Ernæring</w:t>
      </w:r>
    </w:p>
    <w:p w14:paraId="47461387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ændre absorptionen af fedt fra kosten hos nogle patienter.</w:t>
      </w:r>
    </w:p>
    <w:p w14:paraId="6667F05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C7C32B1" w14:textId="305E3016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Der er observeret nedsat niveau af B</w:t>
      </w:r>
      <w:r w:rsidRPr="004B7604">
        <w:rPr>
          <w:sz w:val="24"/>
          <w:szCs w:val="24"/>
          <w:vertAlign w:val="subscript"/>
        </w:rPr>
        <w:t>12</w:t>
      </w:r>
      <w:r w:rsidRPr="004B7604">
        <w:rPr>
          <w:sz w:val="24"/>
          <w:szCs w:val="24"/>
        </w:rPr>
        <w:t xml:space="preserve">-vitamin og abnorm Schillings test hos nogle patienter, som har fået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. Det anbefales at monitorere niveauet af B</w:t>
      </w:r>
      <w:r w:rsidRPr="004B7604">
        <w:rPr>
          <w:sz w:val="24"/>
          <w:szCs w:val="24"/>
          <w:vertAlign w:val="subscript"/>
        </w:rPr>
        <w:t>12</w:t>
      </w:r>
      <w:r w:rsidRPr="004B7604">
        <w:rPr>
          <w:sz w:val="24"/>
          <w:szCs w:val="24"/>
        </w:rPr>
        <w:t xml:space="preserve">-vitamin under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hos patienter, der har nedsat niveau af B</w:t>
      </w:r>
      <w:r w:rsidRPr="004B7604">
        <w:rPr>
          <w:sz w:val="24"/>
          <w:szCs w:val="24"/>
          <w:vertAlign w:val="subscript"/>
        </w:rPr>
        <w:t>12</w:t>
      </w:r>
      <w:r w:rsidRPr="004B7604">
        <w:rPr>
          <w:sz w:val="24"/>
          <w:szCs w:val="24"/>
        </w:rPr>
        <w:t>-vitamin i anamnesen.</w:t>
      </w:r>
    </w:p>
    <w:p w14:paraId="03B1782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A5B77CA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Pankreasfunktion</w:t>
      </w:r>
      <w:proofErr w:type="spellEnd"/>
    </w:p>
    <w:p w14:paraId="320F5162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er observeret </w:t>
      </w:r>
      <w:proofErr w:type="spellStart"/>
      <w:r w:rsidRPr="004B7604">
        <w:rPr>
          <w:sz w:val="24"/>
          <w:szCs w:val="24"/>
        </w:rPr>
        <w:t>eksokrin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pankreasinsufficiens</w:t>
      </w:r>
      <w:proofErr w:type="spellEnd"/>
      <w:r w:rsidRPr="004B7604">
        <w:rPr>
          <w:sz w:val="24"/>
          <w:szCs w:val="24"/>
        </w:rPr>
        <w:t xml:space="preserve"> (EPI) hos nogle patienter, der blev behandlet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for </w:t>
      </w:r>
      <w:proofErr w:type="spellStart"/>
      <w:r w:rsidRPr="004B7604">
        <w:rPr>
          <w:sz w:val="24"/>
          <w:szCs w:val="24"/>
        </w:rPr>
        <w:t>gastroenteropankreatiske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neuroendokrine</w:t>
      </w:r>
      <w:proofErr w:type="spellEnd"/>
      <w:r w:rsidRPr="004B7604">
        <w:rPr>
          <w:sz w:val="24"/>
          <w:szCs w:val="24"/>
        </w:rPr>
        <w:t xml:space="preserve"> tumorer. Symptomer på EPI kan omfatte </w:t>
      </w:r>
      <w:proofErr w:type="spellStart"/>
      <w:r w:rsidRPr="004B7604">
        <w:rPr>
          <w:sz w:val="24"/>
          <w:szCs w:val="24"/>
        </w:rPr>
        <w:t>steatorré</w:t>
      </w:r>
      <w:proofErr w:type="spellEnd"/>
      <w:r w:rsidRPr="004B7604">
        <w:rPr>
          <w:sz w:val="24"/>
          <w:szCs w:val="24"/>
        </w:rPr>
        <w:t>, løs afføring, abdominal oppustethed og vægttab. Screening og passende behandling af EPI i henhold til kliniske retningslinjer bør overvejes hos symptomatiske patienter.</w:t>
      </w:r>
    </w:p>
    <w:p w14:paraId="10B1DDA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290A988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Natriumindhold</w:t>
      </w:r>
    </w:p>
    <w:p w14:paraId="52C48EC9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Dette lægemiddel indeholder mindre end 1 mmol (23 mg) natrium pr. hætteglas, dvs. det er i det væsentlige natriumfrit.</w:t>
      </w:r>
    </w:p>
    <w:p w14:paraId="7729A008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2ED4D91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4.5</w:t>
      </w:r>
      <w:r w:rsidRPr="00B2164A">
        <w:rPr>
          <w:b/>
          <w:sz w:val="24"/>
          <w:szCs w:val="24"/>
        </w:rPr>
        <w:tab/>
        <w:t>Interaktion med andre lægemidler og andre former for interaktion</w:t>
      </w:r>
    </w:p>
    <w:p w14:paraId="0E9738D3" w14:textId="6DC48076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Dosisjustering af lægemidler såsom betablokkere og calciumantagonister, og af lægemidler, som kontrollerer væske</w:t>
      </w:r>
      <w:r w:rsidRPr="004B7604">
        <w:rPr>
          <w:sz w:val="24"/>
          <w:szCs w:val="24"/>
        </w:rPr>
        <w:noBreakHyphen/>
        <w:t xml:space="preserve"> og elektrolytbalancen, kan være nødvendig, når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administreres samtidig (se pkt. 4.4).</w:t>
      </w:r>
    </w:p>
    <w:p w14:paraId="5A6BB07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05EDAAA" w14:textId="7B331F38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Dosisjustering af insulin og </w:t>
      </w:r>
      <w:proofErr w:type="spellStart"/>
      <w:r w:rsidRPr="004B7604">
        <w:rPr>
          <w:sz w:val="24"/>
          <w:szCs w:val="24"/>
        </w:rPr>
        <w:t>antidiabetika</w:t>
      </w:r>
      <w:proofErr w:type="spellEnd"/>
      <w:r w:rsidRPr="004B7604">
        <w:rPr>
          <w:sz w:val="24"/>
          <w:szCs w:val="24"/>
        </w:rPr>
        <w:t xml:space="preserve"> kan være nødvendig, når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administreres samtidig (se pkt. 4.4).</w:t>
      </w:r>
    </w:p>
    <w:p w14:paraId="01F7A67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4BAF7A2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reducerer den </w:t>
      </w:r>
      <w:proofErr w:type="spellStart"/>
      <w:r w:rsidRPr="004B7604">
        <w:rPr>
          <w:sz w:val="24"/>
          <w:szCs w:val="24"/>
        </w:rPr>
        <w:t>intestinale</w:t>
      </w:r>
      <w:proofErr w:type="spellEnd"/>
      <w:r w:rsidRPr="004B7604">
        <w:rPr>
          <w:sz w:val="24"/>
          <w:szCs w:val="24"/>
        </w:rPr>
        <w:t xml:space="preserve"> absorption af </w:t>
      </w:r>
      <w:proofErr w:type="spellStart"/>
      <w:r w:rsidRPr="004B7604">
        <w:rPr>
          <w:sz w:val="24"/>
          <w:szCs w:val="24"/>
        </w:rPr>
        <w:t>ciclosporin</w:t>
      </w:r>
      <w:proofErr w:type="spellEnd"/>
      <w:r w:rsidRPr="004B7604">
        <w:rPr>
          <w:sz w:val="24"/>
          <w:szCs w:val="24"/>
        </w:rPr>
        <w:t xml:space="preserve"> og forsinker optagelsen af </w:t>
      </w:r>
      <w:proofErr w:type="spellStart"/>
      <w:r w:rsidRPr="004B7604">
        <w:rPr>
          <w:sz w:val="24"/>
          <w:szCs w:val="24"/>
        </w:rPr>
        <w:t>cimetidin</w:t>
      </w:r>
      <w:proofErr w:type="spellEnd"/>
      <w:r w:rsidRPr="004B7604">
        <w:rPr>
          <w:sz w:val="24"/>
          <w:szCs w:val="24"/>
        </w:rPr>
        <w:t>.</w:t>
      </w:r>
    </w:p>
    <w:p w14:paraId="63BABCB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DE7D36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Samtidig 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og </w:t>
      </w:r>
      <w:proofErr w:type="spellStart"/>
      <w:r w:rsidRPr="004B7604">
        <w:rPr>
          <w:sz w:val="24"/>
          <w:szCs w:val="24"/>
        </w:rPr>
        <w:t>bromocriptin</w:t>
      </w:r>
      <w:proofErr w:type="spellEnd"/>
      <w:r w:rsidRPr="004B7604">
        <w:rPr>
          <w:sz w:val="24"/>
          <w:szCs w:val="24"/>
        </w:rPr>
        <w:t xml:space="preserve"> øger biotilgængeligheden af </w:t>
      </w:r>
      <w:proofErr w:type="spellStart"/>
      <w:r w:rsidRPr="004B7604">
        <w:rPr>
          <w:sz w:val="24"/>
          <w:szCs w:val="24"/>
        </w:rPr>
        <w:t>bromocriptin</w:t>
      </w:r>
      <w:proofErr w:type="spellEnd"/>
      <w:r w:rsidRPr="004B7604">
        <w:rPr>
          <w:sz w:val="24"/>
          <w:szCs w:val="24"/>
        </w:rPr>
        <w:t>.</w:t>
      </w:r>
    </w:p>
    <w:p w14:paraId="11A55B4D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FAC66C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Begrænsede publicerede data indikerer, at </w:t>
      </w:r>
      <w:proofErr w:type="spellStart"/>
      <w:r w:rsidRPr="004B7604">
        <w:rPr>
          <w:sz w:val="24"/>
          <w:szCs w:val="24"/>
        </w:rPr>
        <w:t>somatostatinanaloger</w:t>
      </w:r>
      <w:proofErr w:type="spellEnd"/>
      <w:r w:rsidRPr="004B7604">
        <w:rPr>
          <w:sz w:val="24"/>
          <w:szCs w:val="24"/>
        </w:rPr>
        <w:t xml:space="preserve"> kan nedsætte den metaboliske </w:t>
      </w:r>
      <w:proofErr w:type="spellStart"/>
      <w:r w:rsidRPr="004B7604">
        <w:rPr>
          <w:sz w:val="24"/>
          <w:szCs w:val="24"/>
        </w:rPr>
        <w:t>clearance</w:t>
      </w:r>
      <w:proofErr w:type="spellEnd"/>
      <w:r w:rsidRPr="004B7604">
        <w:rPr>
          <w:sz w:val="24"/>
          <w:szCs w:val="24"/>
        </w:rPr>
        <w:t xml:space="preserve"> af stoffer, der </w:t>
      </w:r>
      <w:proofErr w:type="spellStart"/>
      <w:r w:rsidRPr="004B7604">
        <w:rPr>
          <w:sz w:val="24"/>
          <w:szCs w:val="24"/>
        </w:rPr>
        <w:t>metaboliseres</w:t>
      </w:r>
      <w:proofErr w:type="spellEnd"/>
      <w:r w:rsidRPr="004B7604">
        <w:rPr>
          <w:sz w:val="24"/>
          <w:szCs w:val="24"/>
        </w:rPr>
        <w:t xml:space="preserve"> af CYP-enzymer. Dette kan skyldes suppressionen af væksthormon. Da det ikke kan udelukkes, at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have denne virkning, bør andre lægemidler, der primært </w:t>
      </w:r>
      <w:proofErr w:type="spellStart"/>
      <w:r w:rsidRPr="004B7604">
        <w:rPr>
          <w:sz w:val="24"/>
          <w:szCs w:val="24"/>
        </w:rPr>
        <w:t>metaboliseres</w:t>
      </w:r>
      <w:proofErr w:type="spellEnd"/>
      <w:r w:rsidRPr="004B7604">
        <w:rPr>
          <w:sz w:val="24"/>
          <w:szCs w:val="24"/>
        </w:rPr>
        <w:t xml:space="preserve"> via CYP3A4, og som har et lille terapeutisk vindue, anvendes med forsigtighed (f.eks. </w:t>
      </w:r>
      <w:proofErr w:type="spellStart"/>
      <w:r w:rsidRPr="004B7604">
        <w:rPr>
          <w:sz w:val="24"/>
          <w:szCs w:val="24"/>
        </w:rPr>
        <w:t>quinidin</w:t>
      </w:r>
      <w:proofErr w:type="spellEnd"/>
      <w:r w:rsidRPr="004B7604">
        <w:rPr>
          <w:sz w:val="24"/>
          <w:szCs w:val="24"/>
        </w:rPr>
        <w:t xml:space="preserve">, </w:t>
      </w:r>
      <w:proofErr w:type="spellStart"/>
      <w:r w:rsidRPr="004B7604">
        <w:rPr>
          <w:sz w:val="24"/>
          <w:szCs w:val="24"/>
        </w:rPr>
        <w:t>terfenadin</w:t>
      </w:r>
      <w:proofErr w:type="spellEnd"/>
      <w:r w:rsidRPr="004B7604">
        <w:rPr>
          <w:sz w:val="24"/>
          <w:szCs w:val="24"/>
        </w:rPr>
        <w:t>).</w:t>
      </w:r>
    </w:p>
    <w:p w14:paraId="63EE9C0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3E5A9CA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 xml:space="preserve">Samtidig brug af radioaktive </w:t>
      </w:r>
      <w:proofErr w:type="spellStart"/>
      <w:r w:rsidRPr="004B7604">
        <w:rPr>
          <w:sz w:val="24"/>
          <w:szCs w:val="24"/>
          <w:u w:val="single"/>
        </w:rPr>
        <w:t>somatostatinanaloger</w:t>
      </w:r>
      <w:proofErr w:type="spellEnd"/>
    </w:p>
    <w:p w14:paraId="2CAF8905" w14:textId="323D848B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 xml:space="preserve"> og dets </w:t>
      </w:r>
      <w:proofErr w:type="spellStart"/>
      <w:r w:rsidRPr="004B7604">
        <w:rPr>
          <w:sz w:val="24"/>
          <w:szCs w:val="24"/>
        </w:rPr>
        <w:t>analoger</w:t>
      </w:r>
      <w:proofErr w:type="spellEnd"/>
      <w:r w:rsidRPr="004B7604">
        <w:rPr>
          <w:sz w:val="24"/>
          <w:szCs w:val="24"/>
        </w:rPr>
        <w:t xml:space="preserve">, såsom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binder </w:t>
      </w:r>
      <w:proofErr w:type="spellStart"/>
      <w:r w:rsidRPr="004B7604">
        <w:rPr>
          <w:sz w:val="24"/>
          <w:szCs w:val="24"/>
        </w:rPr>
        <w:t>kompetitivt</w:t>
      </w:r>
      <w:proofErr w:type="spellEnd"/>
      <w:r w:rsidRPr="004B7604">
        <w:rPr>
          <w:sz w:val="24"/>
          <w:szCs w:val="24"/>
        </w:rPr>
        <w:t xml:space="preserve"> til </w:t>
      </w:r>
      <w:proofErr w:type="spellStart"/>
      <w:r w:rsidRPr="004B7604">
        <w:rPr>
          <w:sz w:val="24"/>
          <w:szCs w:val="24"/>
        </w:rPr>
        <w:t>somatostatin</w:t>
      </w:r>
      <w:r w:rsidR="00491536">
        <w:rPr>
          <w:sz w:val="24"/>
          <w:szCs w:val="24"/>
        </w:rPr>
        <w:softHyphen/>
      </w:r>
      <w:r w:rsidRPr="004B7604">
        <w:rPr>
          <w:sz w:val="24"/>
          <w:szCs w:val="24"/>
        </w:rPr>
        <w:t>receptorer</w:t>
      </w:r>
      <w:proofErr w:type="spellEnd"/>
      <w:r w:rsidRPr="004B7604">
        <w:rPr>
          <w:sz w:val="24"/>
          <w:szCs w:val="24"/>
        </w:rPr>
        <w:t xml:space="preserve"> og kan påvirke virkningen af radioaktive </w:t>
      </w:r>
      <w:proofErr w:type="spellStart"/>
      <w:r w:rsidRPr="004B7604">
        <w:rPr>
          <w:sz w:val="24"/>
          <w:szCs w:val="24"/>
        </w:rPr>
        <w:t>somatostatinanaloger</w:t>
      </w:r>
      <w:proofErr w:type="spellEnd"/>
      <w:r w:rsidRPr="004B7604">
        <w:rPr>
          <w:sz w:val="24"/>
          <w:szCs w:val="24"/>
        </w:rPr>
        <w:t xml:space="preserve">. Administration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bør undgås i mindst 4 uger før administration af den radiofarmaceutiske behandling </w:t>
      </w:r>
      <w:proofErr w:type="spellStart"/>
      <w:r w:rsidRPr="004B7604">
        <w:rPr>
          <w:sz w:val="24"/>
          <w:szCs w:val="24"/>
        </w:rPr>
        <w:t>lutetium</w:t>
      </w:r>
      <w:proofErr w:type="spellEnd"/>
      <w:r w:rsidRPr="004B7604">
        <w:rPr>
          <w:sz w:val="24"/>
          <w:szCs w:val="24"/>
        </w:rPr>
        <w:t xml:space="preserve"> (</w:t>
      </w:r>
      <w:r w:rsidRPr="004B7604">
        <w:rPr>
          <w:sz w:val="24"/>
          <w:szCs w:val="24"/>
          <w:vertAlign w:val="superscript"/>
        </w:rPr>
        <w:t>177</w:t>
      </w:r>
      <w:r w:rsidRPr="004B7604">
        <w:rPr>
          <w:sz w:val="24"/>
          <w:szCs w:val="24"/>
        </w:rPr>
        <w:t xml:space="preserve">Lu) </w:t>
      </w:r>
      <w:proofErr w:type="spellStart"/>
      <w:r w:rsidRPr="004B7604">
        <w:rPr>
          <w:sz w:val="24"/>
          <w:szCs w:val="24"/>
        </w:rPr>
        <w:t>oxodotreotid</w:t>
      </w:r>
      <w:proofErr w:type="spellEnd"/>
      <w:r w:rsidRPr="004B7604">
        <w:rPr>
          <w:sz w:val="24"/>
          <w:szCs w:val="24"/>
        </w:rPr>
        <w:t xml:space="preserve">, som binder til </w:t>
      </w:r>
      <w:proofErr w:type="spellStart"/>
      <w:r w:rsidRPr="004B7604">
        <w:rPr>
          <w:sz w:val="24"/>
          <w:szCs w:val="24"/>
        </w:rPr>
        <w:t>somatostatinreceptorer</w:t>
      </w:r>
      <w:proofErr w:type="spellEnd"/>
      <w:r w:rsidRPr="004B7604">
        <w:rPr>
          <w:sz w:val="24"/>
          <w:szCs w:val="24"/>
        </w:rPr>
        <w:t xml:space="preserve">. Hvis det er nødvendigt, kan patienter behandles med korttidsvirkende </w:t>
      </w:r>
      <w:proofErr w:type="spellStart"/>
      <w:r w:rsidRPr="004B7604">
        <w:rPr>
          <w:sz w:val="24"/>
          <w:szCs w:val="24"/>
        </w:rPr>
        <w:t>somatostatinanaloger</w:t>
      </w:r>
      <w:proofErr w:type="spellEnd"/>
      <w:r w:rsidRPr="004B7604">
        <w:rPr>
          <w:sz w:val="24"/>
          <w:szCs w:val="24"/>
        </w:rPr>
        <w:t xml:space="preserve"> indtil 24 timer før administration af </w:t>
      </w:r>
      <w:proofErr w:type="spellStart"/>
      <w:r w:rsidRPr="004B7604">
        <w:rPr>
          <w:sz w:val="24"/>
          <w:szCs w:val="24"/>
        </w:rPr>
        <w:t>lutetium</w:t>
      </w:r>
      <w:proofErr w:type="spellEnd"/>
      <w:r w:rsidRPr="004B7604">
        <w:rPr>
          <w:sz w:val="24"/>
          <w:szCs w:val="24"/>
        </w:rPr>
        <w:t xml:space="preserve"> (</w:t>
      </w:r>
      <w:r w:rsidRPr="004B7604">
        <w:rPr>
          <w:sz w:val="24"/>
          <w:szCs w:val="24"/>
          <w:vertAlign w:val="superscript"/>
        </w:rPr>
        <w:t>177</w:t>
      </w:r>
      <w:r w:rsidRPr="004B7604">
        <w:rPr>
          <w:sz w:val="24"/>
          <w:szCs w:val="24"/>
        </w:rPr>
        <w:t xml:space="preserve">Lu) </w:t>
      </w:r>
      <w:proofErr w:type="spellStart"/>
      <w:r w:rsidRPr="004B7604">
        <w:rPr>
          <w:sz w:val="24"/>
          <w:szCs w:val="24"/>
        </w:rPr>
        <w:t>oxodotreotid</w:t>
      </w:r>
      <w:proofErr w:type="spellEnd"/>
      <w:r w:rsidRPr="004B7604">
        <w:rPr>
          <w:sz w:val="24"/>
          <w:szCs w:val="24"/>
        </w:rPr>
        <w:t xml:space="preserve">. Efter administration af </w:t>
      </w:r>
      <w:proofErr w:type="spellStart"/>
      <w:r w:rsidRPr="004B7604">
        <w:rPr>
          <w:sz w:val="24"/>
          <w:szCs w:val="24"/>
        </w:rPr>
        <w:t>lutetium</w:t>
      </w:r>
      <w:proofErr w:type="spellEnd"/>
      <w:r w:rsidRPr="004B7604">
        <w:rPr>
          <w:sz w:val="24"/>
          <w:szCs w:val="24"/>
        </w:rPr>
        <w:t xml:space="preserve"> (</w:t>
      </w:r>
      <w:r w:rsidRPr="004B7604">
        <w:rPr>
          <w:sz w:val="24"/>
          <w:szCs w:val="24"/>
          <w:vertAlign w:val="superscript"/>
        </w:rPr>
        <w:t>177</w:t>
      </w:r>
      <w:r w:rsidRPr="004B7604">
        <w:rPr>
          <w:sz w:val="24"/>
          <w:szCs w:val="24"/>
        </w:rPr>
        <w:t xml:space="preserve">Lu) </w:t>
      </w:r>
      <w:proofErr w:type="spellStart"/>
      <w:r w:rsidRPr="004B7604">
        <w:rPr>
          <w:sz w:val="24"/>
          <w:szCs w:val="24"/>
        </w:rPr>
        <w:t>oxodotreotid</w:t>
      </w:r>
      <w:proofErr w:type="spellEnd"/>
      <w:r w:rsidRPr="004B7604">
        <w:rPr>
          <w:sz w:val="24"/>
          <w:szCs w:val="24"/>
        </w:rPr>
        <w:t xml:space="preserve"> kan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genoptages inden for 4 til 24 timer og bør seponeres igen 4 uger før næste administration af </w:t>
      </w:r>
      <w:proofErr w:type="spellStart"/>
      <w:r w:rsidRPr="004B7604">
        <w:rPr>
          <w:sz w:val="24"/>
          <w:szCs w:val="24"/>
        </w:rPr>
        <w:t>lutetium</w:t>
      </w:r>
      <w:proofErr w:type="spellEnd"/>
      <w:r w:rsidRPr="004B7604">
        <w:rPr>
          <w:sz w:val="24"/>
          <w:szCs w:val="24"/>
        </w:rPr>
        <w:t xml:space="preserve"> (</w:t>
      </w:r>
      <w:r w:rsidRPr="004B7604">
        <w:rPr>
          <w:sz w:val="24"/>
          <w:szCs w:val="24"/>
          <w:vertAlign w:val="superscript"/>
        </w:rPr>
        <w:t>177</w:t>
      </w:r>
      <w:r w:rsidRPr="004B7604">
        <w:rPr>
          <w:sz w:val="24"/>
          <w:szCs w:val="24"/>
        </w:rPr>
        <w:t xml:space="preserve">Lu) </w:t>
      </w:r>
      <w:proofErr w:type="spellStart"/>
      <w:r w:rsidRPr="004B7604">
        <w:rPr>
          <w:sz w:val="24"/>
          <w:szCs w:val="24"/>
        </w:rPr>
        <w:t>oxodotreotid</w:t>
      </w:r>
      <w:proofErr w:type="spellEnd"/>
      <w:r w:rsidRPr="004B7604">
        <w:rPr>
          <w:sz w:val="24"/>
          <w:szCs w:val="24"/>
        </w:rPr>
        <w:t>.</w:t>
      </w:r>
    </w:p>
    <w:p w14:paraId="1612BDD3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808F608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4.6</w:t>
      </w:r>
      <w:r w:rsidRPr="00B2164A">
        <w:rPr>
          <w:b/>
          <w:sz w:val="24"/>
          <w:szCs w:val="24"/>
        </w:rPr>
        <w:tab/>
      </w:r>
      <w:r w:rsidR="0071241E" w:rsidRPr="00B2164A">
        <w:rPr>
          <w:b/>
          <w:sz w:val="24"/>
          <w:szCs w:val="24"/>
        </w:rPr>
        <w:t>Fertilitet, g</w:t>
      </w:r>
      <w:r w:rsidRPr="00B2164A">
        <w:rPr>
          <w:b/>
          <w:sz w:val="24"/>
          <w:szCs w:val="24"/>
        </w:rPr>
        <w:t>raviditet og amning</w:t>
      </w:r>
    </w:p>
    <w:p w14:paraId="6DD59D72" w14:textId="77777777" w:rsidR="00B2164A" w:rsidRDefault="00B2164A" w:rsidP="004B7604">
      <w:pPr>
        <w:ind w:left="851"/>
        <w:rPr>
          <w:sz w:val="24"/>
          <w:szCs w:val="24"/>
          <w:u w:val="single"/>
        </w:rPr>
      </w:pPr>
    </w:p>
    <w:p w14:paraId="576F0C63" w14:textId="087E3C22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Graviditet</w:t>
      </w:r>
    </w:p>
    <w:p w14:paraId="5A3B0C1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64C2EFE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er utilstrækkelige data (færre end 300 graviditeter) fra anvendelse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til gravide kvinder, og i ca. en tredjedel af tilfældene er udfaldet af graviditeten ikke kendt. De fleste rapporter blev modtaget efter brug efter markedsføring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og mere end 50 % af graviditeterne blev rapporteret hos patienter med akromegali. De fleste af kvinderne fik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i løbet af det første trimester af graviditeten med doser fra 100</w:t>
      </w:r>
      <w:r w:rsidRPr="004B7604">
        <w:rPr>
          <w:sz w:val="24"/>
          <w:szCs w:val="24"/>
        </w:rPr>
        <w:noBreakHyphen/>
        <w:t xml:space="preserve">1.200 mikrogram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subkutant/dag eller 10</w:t>
      </w:r>
      <w:r w:rsidRPr="004B7604">
        <w:rPr>
          <w:sz w:val="24"/>
          <w:szCs w:val="24"/>
        </w:rPr>
        <w:noBreakHyphen/>
        <w:t xml:space="preserve">40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/måned som depotinjektion. Medfødte abnormiteter blev rapporteret i ca. 4 % af de graviditeter, hvor udfaldet er kendt. For disse tilfælde mistænkes der ingen kausal sammenhæng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-behandling.</w:t>
      </w:r>
    </w:p>
    <w:p w14:paraId="53B38F2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A88A77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Dyrestudier indikerer hverken direkte eller indirekte skadelige virkninger hvad angår reproduktionstoksicitet (se pkt. 5.3).</w:t>
      </w:r>
    </w:p>
    <w:p w14:paraId="578C315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84E3658" w14:textId="241B512D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For en sikkerheds skyld bør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undgås under graviditet (se pkt. 4.4).</w:t>
      </w:r>
    </w:p>
    <w:p w14:paraId="2B878FF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AAB6B00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Amning</w:t>
      </w:r>
    </w:p>
    <w:p w14:paraId="6D34982B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er ukendt, om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/metabolitter udskilles i human mælk. Dyrestudier har vist, at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/metabolitter udskilles i mælk (se pkt. 5.3 for yderligere oplysninger).</w:t>
      </w:r>
    </w:p>
    <w:p w14:paraId="15BE9A2B" w14:textId="13A387C1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En risiko for den nyfødte/spædbarnet kan ikke udelukkes. Patienter i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bør ikke amme.</w:t>
      </w:r>
    </w:p>
    <w:p w14:paraId="4C2D108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7DEF722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Fertilitet</w:t>
      </w:r>
    </w:p>
    <w:p w14:paraId="3FBBBE2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er ukendt, om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påvirker human fertilitet. Sent nedsunkne testikler sås hos hanligt afkom af hunner behandlet under graviditet og amning.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påvirkede dog ikke fertiliteten negativt hos han</w:t>
      </w:r>
      <w:r w:rsidRPr="004B7604">
        <w:rPr>
          <w:sz w:val="24"/>
          <w:szCs w:val="24"/>
        </w:rPr>
        <w:noBreakHyphen/>
        <w:t xml:space="preserve"> og hunrotter ved doser på op til 1 mg/kg legemsvægt pr. dag (se pkt. 5.3).</w:t>
      </w:r>
    </w:p>
    <w:p w14:paraId="5E33F638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A799D76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4.7</w:t>
      </w:r>
      <w:r w:rsidRPr="00B2164A">
        <w:rPr>
          <w:b/>
          <w:sz w:val="24"/>
          <w:szCs w:val="24"/>
        </w:rPr>
        <w:tab/>
        <w:t xml:space="preserve">Virkning på evnen til at føre motorkøretøj </w:t>
      </w:r>
      <w:r w:rsidR="0071241E" w:rsidRPr="00B2164A">
        <w:rPr>
          <w:b/>
          <w:sz w:val="24"/>
          <w:szCs w:val="24"/>
        </w:rPr>
        <w:t>og</w:t>
      </w:r>
      <w:r w:rsidRPr="00B2164A">
        <w:rPr>
          <w:b/>
          <w:sz w:val="24"/>
          <w:szCs w:val="24"/>
        </w:rPr>
        <w:t xml:space="preserve"> betjene maskiner</w:t>
      </w:r>
    </w:p>
    <w:p w14:paraId="3BF42E5B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Ikke mærkning.</w:t>
      </w:r>
    </w:p>
    <w:p w14:paraId="21A324E3" w14:textId="65EE89B6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påvirker ikke eller kun i ubetydelig grad evnen til at føre motorkøretøj og betjene maskiner. Patienter skal rådes til at være forsigtige, når de fører motorkøretøj eller betjener maskiner, hvis de oplever svimmelhed, asteni/træthed eller hovedpine under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.</w:t>
      </w:r>
    </w:p>
    <w:p w14:paraId="1C5CE8EC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360541E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4.8</w:t>
      </w:r>
      <w:r w:rsidRPr="00B2164A">
        <w:rPr>
          <w:b/>
          <w:sz w:val="24"/>
          <w:szCs w:val="24"/>
        </w:rPr>
        <w:tab/>
        <w:t>Bivirkninger</w:t>
      </w:r>
    </w:p>
    <w:p w14:paraId="7D6D4C33" w14:textId="77777777" w:rsidR="00B2164A" w:rsidRDefault="00B2164A" w:rsidP="004B7604">
      <w:pPr>
        <w:ind w:left="851"/>
        <w:rPr>
          <w:sz w:val="24"/>
          <w:szCs w:val="24"/>
          <w:u w:val="single"/>
        </w:rPr>
      </w:pPr>
    </w:p>
    <w:p w14:paraId="7C6E5D09" w14:textId="370607FD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Resumé af sikkerhedsprofilen</w:t>
      </w:r>
    </w:p>
    <w:p w14:paraId="30F41D8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01D963E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 hyppigste bivirkninger, der er rapporteret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er </w:t>
      </w:r>
      <w:proofErr w:type="spellStart"/>
      <w:r w:rsidRPr="004B7604">
        <w:rPr>
          <w:sz w:val="24"/>
          <w:szCs w:val="24"/>
        </w:rPr>
        <w:t>gastrointestinale</w:t>
      </w:r>
      <w:proofErr w:type="spellEnd"/>
      <w:r w:rsidRPr="004B7604">
        <w:rPr>
          <w:sz w:val="24"/>
          <w:szCs w:val="24"/>
        </w:rPr>
        <w:t xml:space="preserve"> gener, lidelser i nervesystemet, lever</w:t>
      </w:r>
      <w:r w:rsidRPr="004B7604">
        <w:rPr>
          <w:sz w:val="24"/>
          <w:szCs w:val="24"/>
        </w:rPr>
        <w:noBreakHyphen/>
        <w:t xml:space="preserve"> og galdevejslidelser samt forstyrrelser i metabolisme og ernæring.</w:t>
      </w:r>
    </w:p>
    <w:p w14:paraId="2A1985F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0352C79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 hyppigst indberettede bivirkninger i kliniske studier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var diarré, </w:t>
      </w:r>
      <w:proofErr w:type="spellStart"/>
      <w:r w:rsidRPr="004B7604">
        <w:rPr>
          <w:sz w:val="24"/>
          <w:szCs w:val="24"/>
        </w:rPr>
        <w:t>abdominalsmerter</w:t>
      </w:r>
      <w:proofErr w:type="spellEnd"/>
      <w:r w:rsidRPr="004B7604">
        <w:rPr>
          <w:sz w:val="24"/>
          <w:szCs w:val="24"/>
        </w:rPr>
        <w:t xml:space="preserve">, kvalme, </w:t>
      </w:r>
      <w:proofErr w:type="spellStart"/>
      <w:r w:rsidRPr="004B7604">
        <w:rPr>
          <w:sz w:val="24"/>
          <w:szCs w:val="24"/>
        </w:rPr>
        <w:t>flatulens</w:t>
      </w:r>
      <w:proofErr w:type="spellEnd"/>
      <w:r w:rsidRPr="004B7604">
        <w:rPr>
          <w:sz w:val="24"/>
          <w:szCs w:val="24"/>
        </w:rPr>
        <w:t xml:space="preserve">, hovedpine, galdesten, </w:t>
      </w:r>
      <w:proofErr w:type="spellStart"/>
      <w:r w:rsidRPr="004B7604">
        <w:rPr>
          <w:sz w:val="24"/>
          <w:szCs w:val="24"/>
        </w:rPr>
        <w:t>hyperglykæmi</w:t>
      </w:r>
      <w:proofErr w:type="spellEnd"/>
      <w:r w:rsidRPr="004B7604">
        <w:rPr>
          <w:sz w:val="24"/>
          <w:szCs w:val="24"/>
        </w:rPr>
        <w:t xml:space="preserve"> og obstipation. Andre hyppigt forekommende bivirkninger var svimmelhed, lokaliseret smerte, slam i galdevejene, forstyrrelser i </w:t>
      </w:r>
      <w:proofErr w:type="spellStart"/>
      <w:r w:rsidRPr="004B7604">
        <w:rPr>
          <w:sz w:val="24"/>
          <w:szCs w:val="24"/>
        </w:rPr>
        <w:t>thyroideafunktionen</w:t>
      </w:r>
      <w:proofErr w:type="spellEnd"/>
      <w:r w:rsidRPr="004B7604">
        <w:rPr>
          <w:sz w:val="24"/>
          <w:szCs w:val="24"/>
        </w:rPr>
        <w:t xml:space="preserve"> (f.eks. nedsat </w:t>
      </w:r>
      <w:proofErr w:type="spellStart"/>
      <w:r w:rsidRPr="004B7604">
        <w:rPr>
          <w:sz w:val="24"/>
          <w:szCs w:val="24"/>
        </w:rPr>
        <w:t>thyroideastimulerende</w:t>
      </w:r>
      <w:proofErr w:type="spellEnd"/>
      <w:r w:rsidRPr="004B7604">
        <w:rPr>
          <w:sz w:val="24"/>
          <w:szCs w:val="24"/>
        </w:rPr>
        <w:t xml:space="preserve"> hormon (TSH), nedsat total</w:t>
      </w:r>
      <w:r w:rsidRPr="004B7604">
        <w:rPr>
          <w:sz w:val="24"/>
          <w:szCs w:val="24"/>
        </w:rPr>
        <w:noBreakHyphen/>
        <w:t>T4 og nedsat frit</w:t>
      </w:r>
      <w:r w:rsidRPr="004B7604">
        <w:rPr>
          <w:sz w:val="24"/>
          <w:szCs w:val="24"/>
        </w:rPr>
        <w:noBreakHyphen/>
        <w:t xml:space="preserve">T4), løs afføring, nedsat </w:t>
      </w:r>
      <w:proofErr w:type="spellStart"/>
      <w:r w:rsidRPr="004B7604">
        <w:rPr>
          <w:sz w:val="24"/>
          <w:szCs w:val="24"/>
        </w:rPr>
        <w:t>glucosetolerance</w:t>
      </w:r>
      <w:proofErr w:type="spellEnd"/>
      <w:r w:rsidRPr="004B7604">
        <w:rPr>
          <w:sz w:val="24"/>
          <w:szCs w:val="24"/>
        </w:rPr>
        <w:t>, opkastning, asteni og hypoglykæmi.</w:t>
      </w:r>
    </w:p>
    <w:p w14:paraId="02F7EC5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C325291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Bivirkningstabel</w:t>
      </w:r>
    </w:p>
    <w:p w14:paraId="31966EC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3249AA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Nedenstående bivirkninger i tabel 1 er indsamlet fra kliniske studier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.</w:t>
      </w:r>
    </w:p>
    <w:p w14:paraId="5E4D50F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Bivirkningerne (tabel 1) er listet efter hyppighed, med den hyppigste først, ved anvendelse af følgende konvention: Meget almindelig (≥ 1/10); almindelig (≥ 1/100 til &lt; 1/10); ikke almindelig (≥ 1/1.000 til &lt; 1/100); sjælden (≥ 1/10.000 til &lt; 1/1.000); meget sjælden (&lt; 1/10.000), inkl. isolerede rapporter. Inden for hver frekvensgruppe er bivirkningerne listet i rækkefølge efter faldende alvorlighed.</w:t>
      </w:r>
    </w:p>
    <w:p w14:paraId="572796A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4CB61BB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  <w:r w:rsidRPr="004B7604">
        <w:rPr>
          <w:b/>
          <w:bCs/>
          <w:sz w:val="24"/>
          <w:szCs w:val="24"/>
        </w:rPr>
        <w:t>Tabel 1: Bivirkninger rapporteret i kliniske studier</w:t>
      </w:r>
    </w:p>
    <w:p w14:paraId="29710D57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</w:p>
    <w:tbl>
      <w:tblPr>
        <w:tblW w:w="4638" w:type="pct"/>
        <w:tblInd w:w="84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1"/>
        <w:gridCol w:w="6370"/>
      </w:tblGrid>
      <w:tr w:rsidR="004B7604" w:rsidRPr="004B7604" w14:paraId="7AF31CDB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19843D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Mave-tarm-kanalen</w:t>
            </w:r>
          </w:p>
        </w:tc>
      </w:tr>
      <w:tr w:rsidR="004B7604" w:rsidRPr="004B7604" w14:paraId="4CC87358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BA6F1C5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Meget 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960848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Diarré, </w:t>
            </w:r>
            <w:proofErr w:type="spellStart"/>
            <w:r w:rsidRPr="004B7604">
              <w:rPr>
                <w:sz w:val="24"/>
                <w:szCs w:val="24"/>
              </w:rPr>
              <w:t>abdominalsmerter</w:t>
            </w:r>
            <w:proofErr w:type="spellEnd"/>
            <w:r w:rsidRPr="004B7604">
              <w:rPr>
                <w:sz w:val="24"/>
                <w:szCs w:val="24"/>
              </w:rPr>
              <w:t xml:space="preserve">, kvalme, forstoppelse, </w:t>
            </w:r>
            <w:proofErr w:type="spellStart"/>
            <w:r w:rsidRPr="004B7604">
              <w:rPr>
                <w:sz w:val="24"/>
                <w:szCs w:val="24"/>
              </w:rPr>
              <w:t>flatulens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  <w:tr w:rsidR="004B7604" w:rsidRPr="004B7604" w14:paraId="1D911CDF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FDD1DB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68A50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Dyspepsi, opkastning, oppustet abdomen, </w:t>
            </w:r>
            <w:proofErr w:type="spellStart"/>
            <w:r w:rsidRPr="004B7604">
              <w:rPr>
                <w:sz w:val="24"/>
                <w:szCs w:val="24"/>
              </w:rPr>
              <w:t>steatorré</w:t>
            </w:r>
            <w:proofErr w:type="spellEnd"/>
            <w:r w:rsidRPr="004B7604">
              <w:rPr>
                <w:sz w:val="24"/>
                <w:szCs w:val="24"/>
              </w:rPr>
              <w:t>, løs afføring, misfarvning af fæces.</w:t>
            </w:r>
          </w:p>
        </w:tc>
      </w:tr>
      <w:tr w:rsidR="004B7604" w:rsidRPr="004B7604" w14:paraId="14BAD7DD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0D6A7B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bCs/>
                <w:sz w:val="24"/>
                <w:szCs w:val="24"/>
              </w:rPr>
              <w:t>Nervesystemet</w:t>
            </w:r>
          </w:p>
        </w:tc>
      </w:tr>
      <w:tr w:rsidR="004B7604" w:rsidRPr="004B7604" w14:paraId="2B8DA450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F7F154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Meget 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F21E9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Hovedpine.</w:t>
            </w:r>
          </w:p>
        </w:tc>
      </w:tr>
      <w:tr w:rsidR="004B7604" w:rsidRPr="004B7604" w14:paraId="0AA94AD4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E54FC6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26068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Svimmelhed.</w:t>
            </w:r>
          </w:p>
        </w:tc>
      </w:tr>
      <w:tr w:rsidR="004B7604" w:rsidRPr="004B7604" w14:paraId="2592FAB7" w14:textId="77777777" w:rsidTr="004B7604">
        <w:trPr>
          <w:cantSplit/>
          <w:trHeight w:val="33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A860B7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Det endokrine system</w:t>
            </w:r>
          </w:p>
        </w:tc>
      </w:tr>
      <w:tr w:rsidR="004B7604" w:rsidRPr="004B7604" w14:paraId="7614B530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A8F4BB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170E3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Hypotyroidisme</w:t>
            </w:r>
            <w:proofErr w:type="spellEnd"/>
            <w:r w:rsidRPr="004B7604">
              <w:rPr>
                <w:sz w:val="24"/>
                <w:szCs w:val="24"/>
              </w:rPr>
              <w:t xml:space="preserve">, </w:t>
            </w:r>
            <w:proofErr w:type="spellStart"/>
            <w:r w:rsidRPr="004B7604">
              <w:rPr>
                <w:sz w:val="24"/>
                <w:szCs w:val="24"/>
              </w:rPr>
              <w:t>thyroideasygdom</w:t>
            </w:r>
            <w:proofErr w:type="spellEnd"/>
            <w:r w:rsidRPr="004B7604">
              <w:rPr>
                <w:sz w:val="24"/>
                <w:szCs w:val="24"/>
              </w:rPr>
              <w:t xml:space="preserve"> (f.eks. nedsat </w:t>
            </w:r>
            <w:proofErr w:type="spellStart"/>
            <w:r w:rsidRPr="004B7604">
              <w:rPr>
                <w:sz w:val="24"/>
                <w:szCs w:val="24"/>
              </w:rPr>
              <w:t>thyroideastimulerende</w:t>
            </w:r>
            <w:proofErr w:type="spellEnd"/>
            <w:r w:rsidRPr="004B7604">
              <w:rPr>
                <w:sz w:val="24"/>
                <w:szCs w:val="24"/>
              </w:rPr>
              <w:t xml:space="preserve"> hormon (TSH), nedsat total</w:t>
            </w:r>
            <w:r w:rsidRPr="004B7604">
              <w:rPr>
                <w:sz w:val="24"/>
                <w:szCs w:val="24"/>
              </w:rPr>
              <w:noBreakHyphen/>
              <w:t>T4 og nedsat frit</w:t>
            </w:r>
            <w:r w:rsidRPr="004B7604">
              <w:rPr>
                <w:sz w:val="24"/>
                <w:szCs w:val="24"/>
              </w:rPr>
              <w:noBreakHyphen/>
              <w:t>T4).</w:t>
            </w:r>
          </w:p>
        </w:tc>
      </w:tr>
      <w:tr w:rsidR="004B7604" w:rsidRPr="004B7604" w14:paraId="7C004B2F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77F50A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Lever og galdeveje</w:t>
            </w:r>
          </w:p>
        </w:tc>
      </w:tr>
      <w:tr w:rsidR="004B7604" w:rsidRPr="004B7604" w14:paraId="25CE5E58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514003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Meget 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118954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Galdesten.</w:t>
            </w:r>
          </w:p>
        </w:tc>
      </w:tr>
      <w:tr w:rsidR="004B7604" w:rsidRPr="004B7604" w14:paraId="53809139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9060F23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7FA241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Cholecystitis</w:t>
            </w:r>
            <w:proofErr w:type="spellEnd"/>
            <w:r w:rsidRPr="004B7604">
              <w:rPr>
                <w:sz w:val="24"/>
                <w:szCs w:val="24"/>
              </w:rPr>
              <w:t xml:space="preserve">, slam i galdevejene, </w:t>
            </w:r>
            <w:proofErr w:type="spellStart"/>
            <w:r w:rsidRPr="004B7604">
              <w:rPr>
                <w:sz w:val="24"/>
                <w:szCs w:val="24"/>
              </w:rPr>
              <w:t>hyperbilirubinæmi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  <w:tr w:rsidR="004B7604" w:rsidRPr="004B7604" w14:paraId="479E8677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500A0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Metabolisme og ernæring</w:t>
            </w:r>
          </w:p>
        </w:tc>
      </w:tr>
      <w:tr w:rsidR="004B7604" w:rsidRPr="004B7604" w14:paraId="7F6DD517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9952BB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Meget 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079F0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Hyperglykæmi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  <w:tr w:rsidR="004B7604" w:rsidRPr="004B7604" w14:paraId="73D20552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94E0F9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876F9E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Hypoglykæmi, nedsat </w:t>
            </w:r>
            <w:proofErr w:type="spellStart"/>
            <w:r w:rsidRPr="004B7604">
              <w:rPr>
                <w:sz w:val="24"/>
                <w:szCs w:val="24"/>
              </w:rPr>
              <w:t>glucosetolerance</w:t>
            </w:r>
            <w:proofErr w:type="spellEnd"/>
            <w:r w:rsidRPr="004B7604">
              <w:rPr>
                <w:sz w:val="24"/>
                <w:szCs w:val="24"/>
              </w:rPr>
              <w:t>, anoreksi.</w:t>
            </w:r>
          </w:p>
        </w:tc>
      </w:tr>
      <w:tr w:rsidR="004B7604" w:rsidRPr="004B7604" w14:paraId="0D04FF0A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22FD9E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Ikke 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886B7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Dehydrering.</w:t>
            </w:r>
          </w:p>
        </w:tc>
      </w:tr>
      <w:tr w:rsidR="004B7604" w:rsidRPr="004B7604" w14:paraId="339C119F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B8CCF8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Almene symptomer og reaktioner på administrationsstedet</w:t>
            </w:r>
          </w:p>
        </w:tc>
      </w:tr>
      <w:tr w:rsidR="004B7604" w:rsidRPr="004B7604" w14:paraId="6139BC8A" w14:textId="77777777" w:rsidTr="004B7604">
        <w:trPr>
          <w:cantSplit/>
          <w:trHeight w:val="292"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5CDE34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Meget 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C51169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Reaktioner på injektionsstedet.</w:t>
            </w:r>
          </w:p>
        </w:tc>
      </w:tr>
      <w:tr w:rsidR="004B7604" w:rsidRPr="004B7604" w14:paraId="46B3F929" w14:textId="77777777" w:rsidTr="004B7604">
        <w:trPr>
          <w:cantSplit/>
          <w:trHeight w:val="268"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02DA56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F1E23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Asteni.</w:t>
            </w:r>
          </w:p>
        </w:tc>
      </w:tr>
      <w:tr w:rsidR="004B7604" w:rsidRPr="004B7604" w14:paraId="6A3A783C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6A6893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bCs/>
                <w:sz w:val="24"/>
                <w:szCs w:val="24"/>
              </w:rPr>
              <w:t>Undersøgelser</w:t>
            </w:r>
          </w:p>
        </w:tc>
      </w:tr>
      <w:tr w:rsidR="004B7604" w:rsidRPr="004B7604" w14:paraId="3867E16A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2395C6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5BB86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Forhøjede </w:t>
            </w:r>
            <w:proofErr w:type="spellStart"/>
            <w:r w:rsidRPr="004B7604">
              <w:rPr>
                <w:sz w:val="24"/>
                <w:szCs w:val="24"/>
              </w:rPr>
              <w:t>aminotransferaser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  <w:tr w:rsidR="004B7604" w:rsidRPr="004B7604" w14:paraId="13752D9E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3F8244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Hud og subkutane væv</w:t>
            </w:r>
          </w:p>
        </w:tc>
      </w:tr>
      <w:tr w:rsidR="004B7604" w:rsidRPr="004B7604" w14:paraId="665D4C44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63C1B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C6A78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Kløe, udslæt, </w:t>
            </w:r>
            <w:proofErr w:type="spellStart"/>
            <w:r w:rsidRPr="004B7604">
              <w:rPr>
                <w:sz w:val="24"/>
                <w:szCs w:val="24"/>
              </w:rPr>
              <w:t>alopeci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  <w:tr w:rsidR="004B7604" w:rsidRPr="004B7604" w14:paraId="56808451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43C245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 xml:space="preserve">Luftveje, thorax og </w:t>
            </w:r>
            <w:proofErr w:type="spellStart"/>
            <w:r w:rsidRPr="004B7604">
              <w:rPr>
                <w:b/>
                <w:sz w:val="24"/>
                <w:szCs w:val="24"/>
              </w:rPr>
              <w:t>mediastinum</w:t>
            </w:r>
            <w:proofErr w:type="spellEnd"/>
          </w:p>
        </w:tc>
      </w:tr>
      <w:tr w:rsidR="004B7604" w:rsidRPr="004B7604" w14:paraId="26E879B5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60FA8F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8FF56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Dyspnø.</w:t>
            </w:r>
          </w:p>
        </w:tc>
      </w:tr>
      <w:tr w:rsidR="004B7604" w:rsidRPr="004B7604" w14:paraId="5BF6D4D7" w14:textId="77777777" w:rsidTr="004B7604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91EB26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b/>
                <w:bCs/>
                <w:sz w:val="24"/>
                <w:szCs w:val="24"/>
              </w:rPr>
              <w:t>Hjerte</w:t>
            </w:r>
          </w:p>
        </w:tc>
      </w:tr>
      <w:tr w:rsidR="004B7604" w:rsidRPr="004B7604" w14:paraId="6B908DD1" w14:textId="77777777" w:rsidTr="004B7604">
        <w:trPr>
          <w:cantSplit/>
          <w:trHeight w:val="74"/>
        </w:trPr>
        <w:tc>
          <w:tcPr>
            <w:tcW w:w="1434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501340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Almindelig:</w:t>
            </w:r>
          </w:p>
        </w:tc>
        <w:tc>
          <w:tcPr>
            <w:tcW w:w="35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FF3B3E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Bradykardi.</w:t>
            </w:r>
          </w:p>
        </w:tc>
      </w:tr>
      <w:tr w:rsidR="004B7604" w:rsidRPr="004B7604" w14:paraId="40B8956A" w14:textId="77777777" w:rsidTr="004B7604">
        <w:trPr>
          <w:cantSplit/>
        </w:trPr>
        <w:tc>
          <w:tcPr>
            <w:tcW w:w="14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9D7207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Ikke almindelig:</w:t>
            </w:r>
          </w:p>
        </w:tc>
        <w:tc>
          <w:tcPr>
            <w:tcW w:w="3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C4DFB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Takykardi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</w:tbl>
    <w:p w14:paraId="0448C752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77135706" w14:textId="77777777" w:rsidR="004B7604" w:rsidRPr="004B7604" w:rsidRDefault="004B7604" w:rsidP="004B7604">
      <w:pPr>
        <w:tabs>
          <w:tab w:val="left" w:pos="851"/>
        </w:tabs>
        <w:ind w:left="851"/>
        <w:rPr>
          <w:iCs/>
          <w:sz w:val="24"/>
          <w:szCs w:val="24"/>
          <w:u w:val="single"/>
        </w:rPr>
      </w:pPr>
      <w:r w:rsidRPr="004B7604">
        <w:rPr>
          <w:iCs/>
          <w:sz w:val="24"/>
          <w:szCs w:val="24"/>
          <w:u w:val="single"/>
        </w:rPr>
        <w:t>Efter markedsføring</w:t>
      </w:r>
    </w:p>
    <w:p w14:paraId="3BFE70E6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>Spontant rapporterede bivirkninger er vist i tabel 2. Disse er frivilligt rapporteret, og det er ikke altid muligt at bestemme hyppigheden pålideligt, eller at give en kausal sammenhæng med eksponering for lægemidlet.</w:t>
      </w:r>
    </w:p>
    <w:p w14:paraId="2B3DFACD" w14:textId="4472D58E" w:rsidR="00EC7E21" w:rsidRDefault="00EC7E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77723F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03CB5CBF" w14:textId="77777777" w:rsidR="004B7604" w:rsidRPr="004B7604" w:rsidRDefault="004B7604" w:rsidP="004B7604">
      <w:pPr>
        <w:tabs>
          <w:tab w:val="left" w:pos="851"/>
        </w:tabs>
        <w:ind w:left="851"/>
        <w:rPr>
          <w:b/>
          <w:sz w:val="24"/>
          <w:szCs w:val="24"/>
        </w:rPr>
      </w:pPr>
      <w:r w:rsidRPr="004B7604">
        <w:rPr>
          <w:b/>
          <w:sz w:val="24"/>
          <w:szCs w:val="24"/>
        </w:rPr>
        <w:t>Tabel 2: Bivirkninger afledt af spontane rapporter</w:t>
      </w:r>
    </w:p>
    <w:p w14:paraId="2BB1CFCC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893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4B7604" w:rsidRPr="004B7604" w14:paraId="23486BBE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98BA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4B7604">
              <w:rPr>
                <w:b/>
                <w:sz w:val="24"/>
                <w:szCs w:val="24"/>
                <w:lang w:val="en-GB"/>
              </w:rPr>
              <w:t>Blod</w:t>
            </w:r>
            <w:proofErr w:type="spellEnd"/>
            <w:r w:rsidRPr="004B7604">
              <w:rPr>
                <w:b/>
                <w:sz w:val="24"/>
                <w:szCs w:val="24"/>
                <w:lang w:val="en-GB"/>
              </w:rPr>
              <w:t xml:space="preserve"> og </w:t>
            </w:r>
            <w:proofErr w:type="spellStart"/>
            <w:r w:rsidRPr="004B7604">
              <w:rPr>
                <w:b/>
                <w:sz w:val="24"/>
                <w:szCs w:val="24"/>
                <w:lang w:val="en-GB"/>
              </w:rPr>
              <w:t>lymfesystem</w:t>
            </w:r>
            <w:proofErr w:type="spellEnd"/>
          </w:p>
          <w:p w14:paraId="70590CAE" w14:textId="77777777" w:rsidR="004B7604" w:rsidRPr="004B7604" w:rsidRDefault="004B7604" w:rsidP="004B7604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4B7604">
              <w:rPr>
                <w:sz w:val="24"/>
                <w:szCs w:val="24"/>
                <w:lang w:val="en-GB"/>
              </w:rPr>
              <w:t>Trombocytopeni</w:t>
            </w:r>
            <w:proofErr w:type="spellEnd"/>
            <w:r w:rsidRPr="004B7604">
              <w:rPr>
                <w:sz w:val="24"/>
                <w:szCs w:val="24"/>
                <w:lang w:val="en-GB"/>
              </w:rPr>
              <w:t>.</w:t>
            </w:r>
          </w:p>
        </w:tc>
      </w:tr>
      <w:tr w:rsidR="004B7604" w:rsidRPr="004B7604" w14:paraId="24F1B285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2DAB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Immunsystemet</w:t>
            </w:r>
          </w:p>
          <w:p w14:paraId="1A96C434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Anafylaktiske</w:t>
            </w:r>
            <w:proofErr w:type="spellEnd"/>
            <w:r w:rsidRPr="004B7604">
              <w:rPr>
                <w:sz w:val="24"/>
                <w:szCs w:val="24"/>
              </w:rPr>
              <w:t xml:space="preserve"> reaktioner, allergi/overfølsomhedsreaktioner.</w:t>
            </w:r>
          </w:p>
        </w:tc>
      </w:tr>
      <w:tr w:rsidR="004B7604" w:rsidRPr="004B7604" w14:paraId="5451C7D7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518F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Hud og subkutane væv</w:t>
            </w:r>
          </w:p>
          <w:p w14:paraId="0EF7D277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Urticaria.</w:t>
            </w:r>
          </w:p>
        </w:tc>
      </w:tr>
      <w:tr w:rsidR="004B7604" w:rsidRPr="004B7604" w14:paraId="315953BC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6E2D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Lever og galdeveje</w:t>
            </w:r>
          </w:p>
          <w:p w14:paraId="3ACBA3D7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Akut </w:t>
            </w:r>
            <w:proofErr w:type="spellStart"/>
            <w:r w:rsidRPr="004B7604">
              <w:rPr>
                <w:sz w:val="24"/>
                <w:szCs w:val="24"/>
              </w:rPr>
              <w:t>pankreatitis</w:t>
            </w:r>
            <w:proofErr w:type="spellEnd"/>
            <w:r w:rsidRPr="004B7604">
              <w:rPr>
                <w:sz w:val="24"/>
                <w:szCs w:val="24"/>
              </w:rPr>
              <w:t xml:space="preserve">, akut hepatitis uden </w:t>
            </w:r>
            <w:proofErr w:type="spellStart"/>
            <w:r w:rsidRPr="004B7604">
              <w:rPr>
                <w:sz w:val="24"/>
                <w:szCs w:val="24"/>
              </w:rPr>
              <w:t>kolestase</w:t>
            </w:r>
            <w:proofErr w:type="spellEnd"/>
            <w:r w:rsidRPr="004B7604">
              <w:rPr>
                <w:sz w:val="24"/>
                <w:szCs w:val="24"/>
              </w:rPr>
              <w:t xml:space="preserve">, hepatitis med </w:t>
            </w:r>
            <w:proofErr w:type="spellStart"/>
            <w:r w:rsidRPr="004B7604">
              <w:rPr>
                <w:sz w:val="24"/>
                <w:szCs w:val="24"/>
              </w:rPr>
              <w:t>kolestase</w:t>
            </w:r>
            <w:proofErr w:type="spellEnd"/>
            <w:r w:rsidRPr="004B7604">
              <w:rPr>
                <w:sz w:val="24"/>
                <w:szCs w:val="24"/>
              </w:rPr>
              <w:t xml:space="preserve">, </w:t>
            </w:r>
            <w:proofErr w:type="spellStart"/>
            <w:r w:rsidRPr="004B7604">
              <w:rPr>
                <w:sz w:val="24"/>
                <w:szCs w:val="24"/>
              </w:rPr>
              <w:t>kolestase</w:t>
            </w:r>
            <w:proofErr w:type="spellEnd"/>
            <w:r w:rsidRPr="004B7604">
              <w:rPr>
                <w:sz w:val="24"/>
                <w:szCs w:val="24"/>
              </w:rPr>
              <w:t xml:space="preserve">, gulsot, </w:t>
            </w:r>
            <w:proofErr w:type="spellStart"/>
            <w:r w:rsidRPr="004B7604">
              <w:rPr>
                <w:sz w:val="24"/>
                <w:szCs w:val="24"/>
              </w:rPr>
              <w:t>kolestatisk</w:t>
            </w:r>
            <w:proofErr w:type="spellEnd"/>
            <w:r w:rsidRPr="004B7604">
              <w:rPr>
                <w:sz w:val="24"/>
                <w:szCs w:val="24"/>
              </w:rPr>
              <w:t xml:space="preserve"> gulsot.</w:t>
            </w:r>
          </w:p>
        </w:tc>
      </w:tr>
      <w:tr w:rsidR="004B7604" w:rsidRPr="004B7604" w14:paraId="604BD586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2AF6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  <w:lang w:val="en-GB"/>
              </w:rPr>
            </w:pPr>
            <w:r w:rsidRPr="004B7604">
              <w:rPr>
                <w:b/>
                <w:sz w:val="24"/>
                <w:szCs w:val="24"/>
                <w:lang w:val="en-GB"/>
              </w:rPr>
              <w:t>Hjerte</w:t>
            </w:r>
          </w:p>
          <w:p w14:paraId="2DF30D23" w14:textId="77777777" w:rsidR="004B7604" w:rsidRPr="004B7604" w:rsidRDefault="004B7604" w:rsidP="004B7604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4B7604">
              <w:rPr>
                <w:sz w:val="24"/>
                <w:szCs w:val="24"/>
                <w:lang w:val="en-GB"/>
              </w:rPr>
              <w:t>Arytmier</w:t>
            </w:r>
            <w:proofErr w:type="spellEnd"/>
            <w:r w:rsidRPr="004B7604">
              <w:rPr>
                <w:sz w:val="24"/>
                <w:szCs w:val="24"/>
                <w:lang w:val="en-GB"/>
              </w:rPr>
              <w:t>.</w:t>
            </w:r>
          </w:p>
        </w:tc>
      </w:tr>
      <w:tr w:rsidR="004B7604" w:rsidRPr="004B7604" w14:paraId="0235DE20" w14:textId="77777777" w:rsidTr="004B7604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5F67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Undersøgelser</w:t>
            </w:r>
          </w:p>
          <w:p w14:paraId="5E97D792" w14:textId="77777777" w:rsidR="004B7604" w:rsidRPr="004B7604" w:rsidRDefault="004B7604" w:rsidP="004B7604">
            <w:pPr>
              <w:ind w:left="32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Forhøjet alkalisk fosfatase og forhøjet gamma-</w:t>
            </w:r>
            <w:proofErr w:type="spellStart"/>
            <w:r w:rsidRPr="004B7604">
              <w:rPr>
                <w:sz w:val="24"/>
                <w:szCs w:val="24"/>
              </w:rPr>
              <w:t>glutamyltransferase</w:t>
            </w:r>
            <w:proofErr w:type="spellEnd"/>
            <w:r w:rsidRPr="004B7604">
              <w:rPr>
                <w:sz w:val="24"/>
                <w:szCs w:val="24"/>
              </w:rPr>
              <w:t>.</w:t>
            </w:r>
          </w:p>
        </w:tc>
      </w:tr>
    </w:tbl>
    <w:p w14:paraId="67971C2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B211783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Beskrivelse af udvalgte bivirkninger</w:t>
      </w:r>
    </w:p>
    <w:p w14:paraId="2F8FBE4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8847547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>Galdeblære og relaterede reaktioner</w:t>
      </w:r>
    </w:p>
    <w:p w14:paraId="4C93EE72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Somatostatinanaloger</w:t>
      </w:r>
      <w:proofErr w:type="spellEnd"/>
      <w:r w:rsidRPr="004B7604">
        <w:rPr>
          <w:sz w:val="24"/>
          <w:szCs w:val="24"/>
        </w:rPr>
        <w:t xml:space="preserve"> har vist sig at hæmme galdeblærens </w:t>
      </w:r>
      <w:proofErr w:type="spellStart"/>
      <w:r w:rsidRPr="004B7604">
        <w:rPr>
          <w:sz w:val="24"/>
          <w:szCs w:val="24"/>
        </w:rPr>
        <w:t>kontraktilitet</w:t>
      </w:r>
      <w:proofErr w:type="spellEnd"/>
      <w:r w:rsidRPr="004B7604">
        <w:rPr>
          <w:sz w:val="24"/>
          <w:szCs w:val="24"/>
        </w:rPr>
        <w:t xml:space="preserve"> og mindske galdesekretionen, hvilket kan føre til </w:t>
      </w:r>
      <w:proofErr w:type="spellStart"/>
      <w:r w:rsidRPr="004B7604">
        <w:rPr>
          <w:sz w:val="24"/>
          <w:szCs w:val="24"/>
        </w:rPr>
        <w:t>abnormaliteter</w:t>
      </w:r>
      <w:proofErr w:type="spellEnd"/>
      <w:r w:rsidRPr="004B7604">
        <w:rPr>
          <w:sz w:val="24"/>
          <w:szCs w:val="24"/>
        </w:rPr>
        <w:t xml:space="preserve"> eller slam i galdeblæren. Ved behandling i længere tid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er der rapporteret udvikling af galdesten hos 15</w:t>
      </w:r>
      <w:r w:rsidRPr="004B7604">
        <w:rPr>
          <w:sz w:val="24"/>
          <w:szCs w:val="24"/>
        </w:rPr>
        <w:noBreakHyphen/>
        <w:t>30 % af patienterne. Forekomsten i befolkningen generelt (i aldersgruppen 40</w:t>
      </w:r>
      <w:r w:rsidRPr="004B7604">
        <w:rPr>
          <w:sz w:val="24"/>
          <w:szCs w:val="24"/>
        </w:rPr>
        <w:noBreakHyphen/>
        <w:t>60 år) er 5</w:t>
      </w:r>
      <w:r w:rsidRPr="004B7604">
        <w:rPr>
          <w:sz w:val="24"/>
          <w:szCs w:val="24"/>
        </w:rPr>
        <w:noBreakHyphen/>
        <w:t xml:space="preserve">20 %. Langtidsbehandling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hos patienter med akromegali eller </w:t>
      </w:r>
      <w:proofErr w:type="spellStart"/>
      <w:r w:rsidRPr="004B7604">
        <w:rPr>
          <w:sz w:val="24"/>
          <w:szCs w:val="24"/>
        </w:rPr>
        <w:t>gastrointestinale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pankreatiske</w:t>
      </w:r>
      <w:proofErr w:type="spellEnd"/>
      <w:r w:rsidRPr="004B7604">
        <w:rPr>
          <w:sz w:val="24"/>
          <w:szCs w:val="24"/>
        </w:rPr>
        <w:t xml:space="preserve"> endokrine tumorer tyder på, at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ikke øger hyppigheden af galdesten sammenlignet med subkutan behandling. Hvis galdesten opstår, er de som regel asymptomatiske. Symptomgivende galdesten bør behandles enten ved opløsning med galdesyrer eller kirurgisk.</w:t>
      </w:r>
    </w:p>
    <w:p w14:paraId="622F7A75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279BBAF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>Mave-tarm-kanalen</w:t>
      </w:r>
    </w:p>
    <w:p w14:paraId="232218F8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sjældne tilfælde kan </w:t>
      </w:r>
      <w:proofErr w:type="spellStart"/>
      <w:r w:rsidRPr="004B7604">
        <w:rPr>
          <w:sz w:val="24"/>
          <w:szCs w:val="24"/>
        </w:rPr>
        <w:t>gastrointestinale</w:t>
      </w:r>
      <w:proofErr w:type="spellEnd"/>
      <w:r w:rsidRPr="004B7604">
        <w:rPr>
          <w:sz w:val="24"/>
          <w:szCs w:val="24"/>
        </w:rPr>
        <w:t xml:space="preserve"> bivirkninger ligne akut </w:t>
      </w:r>
      <w:proofErr w:type="spellStart"/>
      <w:r w:rsidRPr="004B7604">
        <w:rPr>
          <w:sz w:val="24"/>
          <w:szCs w:val="24"/>
        </w:rPr>
        <w:t>intestinal</w:t>
      </w:r>
      <w:proofErr w:type="spellEnd"/>
      <w:r w:rsidRPr="004B7604">
        <w:rPr>
          <w:sz w:val="24"/>
          <w:szCs w:val="24"/>
        </w:rPr>
        <w:t xml:space="preserve"> obstruktion med progressiv abdominal udspiling, svære </w:t>
      </w:r>
      <w:proofErr w:type="spellStart"/>
      <w:r w:rsidRPr="004B7604">
        <w:rPr>
          <w:sz w:val="24"/>
          <w:szCs w:val="24"/>
        </w:rPr>
        <w:t>epigastriske</w:t>
      </w:r>
      <w:proofErr w:type="spellEnd"/>
      <w:r w:rsidRPr="004B7604">
        <w:rPr>
          <w:sz w:val="24"/>
          <w:szCs w:val="24"/>
        </w:rPr>
        <w:t xml:space="preserve"> smerter, abdominal ømhed og </w:t>
      </w:r>
      <w:proofErr w:type="spellStart"/>
      <w:r w:rsidRPr="004B7604">
        <w:rPr>
          <w:sz w:val="24"/>
          <w:szCs w:val="24"/>
        </w:rPr>
        <w:t>defense</w:t>
      </w:r>
      <w:proofErr w:type="spellEnd"/>
      <w:r w:rsidRPr="004B7604">
        <w:rPr>
          <w:sz w:val="24"/>
          <w:szCs w:val="24"/>
        </w:rPr>
        <w:t xml:space="preserve">. Det vides, at hyppigheden af </w:t>
      </w:r>
      <w:proofErr w:type="spellStart"/>
      <w:r w:rsidRPr="004B7604">
        <w:rPr>
          <w:sz w:val="24"/>
          <w:szCs w:val="24"/>
        </w:rPr>
        <w:t>gastrointestinale</w:t>
      </w:r>
      <w:proofErr w:type="spellEnd"/>
      <w:r w:rsidRPr="004B7604">
        <w:rPr>
          <w:sz w:val="24"/>
          <w:szCs w:val="24"/>
        </w:rPr>
        <w:t xml:space="preserve"> bivirkninger aftager over tid ved fortsat behandling.</w:t>
      </w:r>
    </w:p>
    <w:p w14:paraId="6E24A74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F313531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 xml:space="preserve">Hypersensitivitet og </w:t>
      </w:r>
      <w:proofErr w:type="spellStart"/>
      <w:r w:rsidRPr="004B7604">
        <w:rPr>
          <w:i/>
          <w:iCs/>
          <w:sz w:val="24"/>
          <w:szCs w:val="24"/>
        </w:rPr>
        <w:t>anafylaktiske</w:t>
      </w:r>
      <w:proofErr w:type="spellEnd"/>
      <w:r w:rsidRPr="004B7604">
        <w:rPr>
          <w:i/>
          <w:iCs/>
          <w:sz w:val="24"/>
          <w:szCs w:val="24"/>
        </w:rPr>
        <w:t xml:space="preserve"> reaktioner</w:t>
      </w:r>
    </w:p>
    <w:p w14:paraId="6DD264DA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Hypersensitivitet og allergiske reaktioner er blevet rapporteret efter markedsføring. Når disse opstår, påvirker de som oftest huden og sjældent mund og luftveje. Der har været rapporteret enkelte tilfælde af </w:t>
      </w:r>
      <w:proofErr w:type="spellStart"/>
      <w:r w:rsidRPr="004B7604">
        <w:rPr>
          <w:sz w:val="24"/>
          <w:szCs w:val="24"/>
        </w:rPr>
        <w:t>anafylaktisk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shock</w:t>
      </w:r>
      <w:proofErr w:type="spellEnd"/>
      <w:r w:rsidRPr="004B7604">
        <w:rPr>
          <w:sz w:val="24"/>
          <w:szCs w:val="24"/>
        </w:rPr>
        <w:t>.</w:t>
      </w:r>
    </w:p>
    <w:p w14:paraId="3B73E70C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87387E8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>Reaktioner på injektionsstedet</w:t>
      </w:r>
    </w:p>
    <w:p w14:paraId="3331B33D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Reaktioner på injektionsstedet herunder smerte, rødme, blødning, kløe, hævelse eller </w:t>
      </w:r>
      <w:proofErr w:type="spellStart"/>
      <w:r w:rsidRPr="004B7604">
        <w:rPr>
          <w:sz w:val="24"/>
          <w:szCs w:val="24"/>
        </w:rPr>
        <w:t>induration</w:t>
      </w:r>
      <w:proofErr w:type="spellEnd"/>
      <w:r w:rsidRPr="004B7604">
        <w:rPr>
          <w:sz w:val="24"/>
          <w:szCs w:val="24"/>
        </w:rPr>
        <w:t xml:space="preserve"> blev ofte rapporteret hos patienter, der fik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 I de fleste tilfælde krævede disse reaktioner dog ikke klinisk intervention.</w:t>
      </w:r>
    </w:p>
    <w:p w14:paraId="14B5EA7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1F11075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>Metabolisme og ernæring</w:t>
      </w:r>
    </w:p>
    <w:p w14:paraId="38110C9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Selvom fedtindholdet i fæces kan øges, er der indtil nu ikke set tegn på, at langtidsbehandling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medføre fejlernæring på grund af </w:t>
      </w:r>
      <w:proofErr w:type="spellStart"/>
      <w:r w:rsidRPr="004B7604">
        <w:rPr>
          <w:sz w:val="24"/>
          <w:szCs w:val="24"/>
        </w:rPr>
        <w:t>malabsorption</w:t>
      </w:r>
      <w:proofErr w:type="spellEnd"/>
      <w:r w:rsidRPr="004B7604">
        <w:rPr>
          <w:sz w:val="24"/>
          <w:szCs w:val="24"/>
        </w:rPr>
        <w:t>.</w:t>
      </w:r>
    </w:p>
    <w:p w14:paraId="011C6CD3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A879313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proofErr w:type="spellStart"/>
      <w:r w:rsidRPr="004B7604">
        <w:rPr>
          <w:i/>
          <w:iCs/>
          <w:sz w:val="24"/>
          <w:szCs w:val="24"/>
        </w:rPr>
        <w:t>Pankreasenzymer</w:t>
      </w:r>
      <w:proofErr w:type="spellEnd"/>
    </w:p>
    <w:p w14:paraId="7E22111F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meget sjældne tilfælde er der rapporteret akut </w:t>
      </w:r>
      <w:proofErr w:type="spellStart"/>
      <w:r w:rsidRPr="004B7604">
        <w:rPr>
          <w:sz w:val="24"/>
          <w:szCs w:val="24"/>
        </w:rPr>
        <w:t>pankreatitis</w:t>
      </w:r>
      <w:proofErr w:type="spellEnd"/>
      <w:r w:rsidRPr="004B7604">
        <w:rPr>
          <w:sz w:val="24"/>
          <w:szCs w:val="24"/>
        </w:rPr>
        <w:t xml:space="preserve"> indenfor de første timer eller dage efter behandling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. Tilstanden ophørte ved </w:t>
      </w:r>
      <w:proofErr w:type="spellStart"/>
      <w:r w:rsidRPr="004B7604">
        <w:rPr>
          <w:sz w:val="24"/>
          <w:szCs w:val="24"/>
        </w:rPr>
        <w:t>seponering</w:t>
      </w:r>
      <w:proofErr w:type="spellEnd"/>
      <w:r w:rsidRPr="004B7604">
        <w:rPr>
          <w:sz w:val="24"/>
          <w:szCs w:val="24"/>
        </w:rPr>
        <w:t xml:space="preserve"> af behandlingen. </w:t>
      </w:r>
      <w:proofErr w:type="spellStart"/>
      <w:r w:rsidRPr="004B7604">
        <w:rPr>
          <w:sz w:val="24"/>
          <w:szCs w:val="24"/>
        </w:rPr>
        <w:t>Cholelithiasis</w:t>
      </w:r>
      <w:proofErr w:type="spellEnd"/>
      <w:r w:rsidRPr="004B7604">
        <w:rPr>
          <w:sz w:val="24"/>
          <w:szCs w:val="24"/>
        </w:rPr>
        <w:t xml:space="preserve">-induceret </w:t>
      </w:r>
      <w:proofErr w:type="spellStart"/>
      <w:r w:rsidRPr="004B7604">
        <w:rPr>
          <w:sz w:val="24"/>
          <w:szCs w:val="24"/>
        </w:rPr>
        <w:t>pankreatitis</w:t>
      </w:r>
      <w:proofErr w:type="spellEnd"/>
      <w:r w:rsidRPr="004B7604">
        <w:rPr>
          <w:sz w:val="24"/>
          <w:szCs w:val="24"/>
        </w:rPr>
        <w:t xml:space="preserve"> er desuden blevet rapporteret hos patienter i langtidsbehandling med subkutan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.</w:t>
      </w:r>
    </w:p>
    <w:p w14:paraId="7BF7DA0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E7443D7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r w:rsidRPr="004B7604">
        <w:rPr>
          <w:i/>
          <w:iCs/>
          <w:sz w:val="24"/>
          <w:szCs w:val="24"/>
        </w:rPr>
        <w:t>Hjerte</w:t>
      </w:r>
    </w:p>
    <w:p w14:paraId="7D5B6E5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Bradykardi er en almindelig bivirkning ved behandling med </w:t>
      </w:r>
      <w:proofErr w:type="spellStart"/>
      <w:r w:rsidRPr="004B7604">
        <w:rPr>
          <w:sz w:val="24"/>
          <w:szCs w:val="24"/>
        </w:rPr>
        <w:t>somatostatinanaloger</w:t>
      </w:r>
      <w:proofErr w:type="spellEnd"/>
      <w:r w:rsidRPr="004B7604">
        <w:rPr>
          <w:sz w:val="24"/>
          <w:szCs w:val="24"/>
        </w:rPr>
        <w:t xml:space="preserve">. EKG-ændringer såsom QT-forlængelse, akseskift, tidlig </w:t>
      </w:r>
      <w:proofErr w:type="spellStart"/>
      <w:r w:rsidRPr="004B7604">
        <w:rPr>
          <w:sz w:val="24"/>
          <w:szCs w:val="24"/>
        </w:rPr>
        <w:t>repolarisering</w:t>
      </w:r>
      <w:proofErr w:type="spellEnd"/>
      <w:r w:rsidRPr="004B7604">
        <w:rPr>
          <w:sz w:val="24"/>
          <w:szCs w:val="24"/>
        </w:rPr>
        <w:t>, lav spænding, R/S-overgang, tidlig R</w:t>
      </w:r>
      <w:r w:rsidRPr="004B7604">
        <w:rPr>
          <w:sz w:val="24"/>
          <w:szCs w:val="24"/>
        </w:rPr>
        <w:noBreakHyphen/>
        <w:t xml:space="preserve">bølgeprogression og ikke-specifikke ændringer i ST-T-bølgen blev observeret både hos </w:t>
      </w:r>
      <w:proofErr w:type="spellStart"/>
      <w:r w:rsidRPr="004B7604">
        <w:rPr>
          <w:sz w:val="24"/>
          <w:szCs w:val="24"/>
        </w:rPr>
        <w:t>karcinoide</w:t>
      </w:r>
      <w:proofErr w:type="spellEnd"/>
      <w:r w:rsidRPr="004B7604">
        <w:rPr>
          <w:sz w:val="24"/>
          <w:szCs w:val="24"/>
        </w:rPr>
        <w:t xml:space="preserve"> patienter og hos patienter med akromegali. En sammenhæng mellem disse hændelser og </w:t>
      </w:r>
      <w:proofErr w:type="spellStart"/>
      <w:r w:rsidRPr="004B7604">
        <w:rPr>
          <w:sz w:val="24"/>
          <w:szCs w:val="24"/>
        </w:rPr>
        <w:t>octreotidacetat</w:t>
      </w:r>
      <w:proofErr w:type="spellEnd"/>
      <w:r w:rsidRPr="004B7604">
        <w:rPr>
          <w:sz w:val="24"/>
          <w:szCs w:val="24"/>
        </w:rPr>
        <w:t xml:space="preserve"> er ikke fastslået, fordi mange af disse patienter har underliggende hjertesygdomme (se pkt. 4.4).</w:t>
      </w:r>
    </w:p>
    <w:p w14:paraId="37A4D45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97344F4" w14:textId="77777777" w:rsidR="004B7604" w:rsidRPr="004B7604" w:rsidRDefault="004B7604" w:rsidP="004B7604">
      <w:pPr>
        <w:ind w:left="851"/>
        <w:rPr>
          <w:i/>
          <w:iCs/>
          <w:sz w:val="24"/>
          <w:szCs w:val="24"/>
        </w:rPr>
      </w:pPr>
      <w:proofErr w:type="spellStart"/>
      <w:r w:rsidRPr="004B7604">
        <w:rPr>
          <w:i/>
          <w:iCs/>
          <w:sz w:val="24"/>
          <w:szCs w:val="24"/>
        </w:rPr>
        <w:t>Trombocytopeni</w:t>
      </w:r>
      <w:proofErr w:type="spellEnd"/>
    </w:p>
    <w:p w14:paraId="662930AF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Trombocytopeni</w:t>
      </w:r>
      <w:proofErr w:type="spellEnd"/>
      <w:r w:rsidRPr="004B7604">
        <w:rPr>
          <w:sz w:val="24"/>
          <w:szCs w:val="24"/>
        </w:rPr>
        <w:t xml:space="preserve"> er blevet rapporteret efter markedsføring, især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(</w:t>
      </w:r>
      <w:proofErr w:type="spellStart"/>
      <w:r w:rsidRPr="004B7604">
        <w:rPr>
          <w:sz w:val="24"/>
          <w:szCs w:val="24"/>
        </w:rPr>
        <w:t>i.v</w:t>
      </w:r>
      <w:proofErr w:type="spellEnd"/>
      <w:r w:rsidRPr="004B7604">
        <w:rPr>
          <w:sz w:val="24"/>
          <w:szCs w:val="24"/>
        </w:rPr>
        <w:t xml:space="preserve">.) hos patienter med levercirrose, og under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 Dette er reversibelt efter </w:t>
      </w:r>
      <w:proofErr w:type="spellStart"/>
      <w:r w:rsidRPr="004B7604">
        <w:rPr>
          <w:sz w:val="24"/>
          <w:szCs w:val="24"/>
        </w:rPr>
        <w:t>seponering</w:t>
      </w:r>
      <w:proofErr w:type="spellEnd"/>
      <w:r w:rsidRPr="004B7604">
        <w:rPr>
          <w:sz w:val="24"/>
          <w:szCs w:val="24"/>
        </w:rPr>
        <w:t xml:space="preserve"> af behandlingen.</w:t>
      </w:r>
    </w:p>
    <w:p w14:paraId="553DA6E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939CDE1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Indberetning af formodede bivirkninger</w:t>
      </w:r>
    </w:p>
    <w:p w14:paraId="799C0D4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Når lægemidlet er godkendt, er indberetning af formodede bivirkninger vigtig. Det muliggør løbende overvågning af benefit/</w:t>
      </w:r>
      <w:proofErr w:type="spellStart"/>
      <w:r w:rsidRPr="004B7604">
        <w:rPr>
          <w:sz w:val="24"/>
          <w:szCs w:val="24"/>
        </w:rPr>
        <w:t>risk</w:t>
      </w:r>
      <w:proofErr w:type="spellEnd"/>
      <w:r w:rsidRPr="004B7604">
        <w:rPr>
          <w:sz w:val="24"/>
          <w:szCs w:val="24"/>
        </w:rPr>
        <w:t>-forholdet for lægemidlet. Sundhedspersoner anmodes om at indberette alle formodede bivirkninger via:</w:t>
      </w:r>
    </w:p>
    <w:p w14:paraId="72B61CC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F7B034A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Lægemiddelstyrelsen</w:t>
      </w:r>
    </w:p>
    <w:p w14:paraId="3D3A179B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Axel Heides Gade 1</w:t>
      </w:r>
    </w:p>
    <w:p w14:paraId="78A87A7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DK-2300 København S</w:t>
      </w:r>
    </w:p>
    <w:p w14:paraId="726EE2F2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Websted: </w:t>
      </w:r>
      <w:hyperlink r:id="rId8" w:history="1">
        <w:r w:rsidRPr="004B7604">
          <w:rPr>
            <w:rStyle w:val="Hyperlink"/>
            <w:sz w:val="24"/>
            <w:szCs w:val="24"/>
          </w:rPr>
          <w:t>www.meldenbivirkning.dk</w:t>
        </w:r>
      </w:hyperlink>
    </w:p>
    <w:p w14:paraId="20ED55B6" w14:textId="77777777" w:rsidR="009260DE" w:rsidRPr="00B2164A" w:rsidRDefault="009260DE" w:rsidP="00A10294">
      <w:pPr>
        <w:tabs>
          <w:tab w:val="left" w:pos="851"/>
        </w:tabs>
        <w:ind w:left="851"/>
        <w:rPr>
          <w:sz w:val="24"/>
          <w:szCs w:val="24"/>
        </w:rPr>
      </w:pPr>
    </w:p>
    <w:p w14:paraId="4BFDDBDE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4.9</w:t>
      </w:r>
      <w:r w:rsidRPr="00B2164A">
        <w:rPr>
          <w:b/>
          <w:sz w:val="24"/>
          <w:szCs w:val="24"/>
        </w:rPr>
        <w:tab/>
        <w:t>Overdosering</w:t>
      </w:r>
    </w:p>
    <w:p w14:paraId="1459930E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er rapporteret et begrænset antal utilsigtede overdoseringer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 Doserne varierede fra 100 mg til 163 mg/måned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 Den eneste rapporterede bivirkning var hedeture.</w:t>
      </w:r>
    </w:p>
    <w:p w14:paraId="4B6B333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A978DA1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er rapporteret, at cancerpatienter har fået doser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på op til 60 mg/måned og op til 90 mg/2 uger. Disse doser var generelt veltolererede, men følgende bivirkninger er blevet rapporteret: Hyppig vandladning, træthed, depression, angst og koncentrationsbesvær.</w:t>
      </w:r>
    </w:p>
    <w:p w14:paraId="5321477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EC02C6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Behandling ved overdosering er symptomatisk.</w:t>
      </w:r>
    </w:p>
    <w:p w14:paraId="4C9C6E5C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8429405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4.10</w:t>
      </w:r>
      <w:r w:rsidRPr="00B2164A">
        <w:rPr>
          <w:b/>
          <w:sz w:val="24"/>
          <w:szCs w:val="24"/>
        </w:rPr>
        <w:tab/>
        <w:t>Udlevering</w:t>
      </w:r>
    </w:p>
    <w:p w14:paraId="1D353A11" w14:textId="522D8DEB" w:rsidR="009260DE" w:rsidRPr="00B2164A" w:rsidRDefault="004B7604" w:rsidP="009260DE">
      <w:pPr>
        <w:tabs>
          <w:tab w:val="left" w:pos="85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>BEGR (kun til sygehuse)</w:t>
      </w:r>
    </w:p>
    <w:p w14:paraId="1E016523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691A3B7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C427F92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5.</w:t>
      </w:r>
      <w:r w:rsidRPr="00B2164A">
        <w:rPr>
          <w:b/>
          <w:sz w:val="24"/>
          <w:szCs w:val="24"/>
        </w:rPr>
        <w:tab/>
        <w:t>FARMAKOLOGISKE EGENSKABER</w:t>
      </w:r>
    </w:p>
    <w:p w14:paraId="6E24C094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2FCE4FB" w14:textId="77777777" w:rsidR="009260DE" w:rsidRPr="00B2164A" w:rsidRDefault="009260DE" w:rsidP="009260DE">
      <w:pPr>
        <w:tabs>
          <w:tab w:val="num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5.1</w:t>
      </w:r>
      <w:r w:rsidRPr="00B2164A">
        <w:rPr>
          <w:b/>
          <w:sz w:val="24"/>
          <w:szCs w:val="24"/>
        </w:rPr>
        <w:tab/>
      </w:r>
      <w:proofErr w:type="spellStart"/>
      <w:r w:rsidRPr="00B2164A">
        <w:rPr>
          <w:b/>
          <w:sz w:val="24"/>
          <w:szCs w:val="24"/>
        </w:rPr>
        <w:t>Farmakodynamiske</w:t>
      </w:r>
      <w:proofErr w:type="spellEnd"/>
      <w:r w:rsidRPr="00B2164A">
        <w:rPr>
          <w:b/>
          <w:sz w:val="24"/>
          <w:szCs w:val="24"/>
        </w:rPr>
        <w:t xml:space="preserve"> egenskaber</w:t>
      </w:r>
    </w:p>
    <w:p w14:paraId="3AE5116C" w14:textId="5FB1115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Farmakoterapeutisk</w:t>
      </w:r>
      <w:proofErr w:type="spellEnd"/>
      <w:r w:rsidRPr="004B7604">
        <w:rPr>
          <w:sz w:val="24"/>
          <w:szCs w:val="24"/>
        </w:rPr>
        <w:t xml:space="preserve"> klassifikation: </w:t>
      </w: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 xml:space="preserve"> og </w:t>
      </w:r>
      <w:proofErr w:type="spellStart"/>
      <w:r w:rsidRPr="004B7604">
        <w:rPr>
          <w:sz w:val="24"/>
          <w:szCs w:val="24"/>
        </w:rPr>
        <w:t>analoger</w:t>
      </w:r>
      <w:proofErr w:type="spellEnd"/>
      <w:r w:rsidR="00B2164A">
        <w:rPr>
          <w:sz w:val="24"/>
          <w:szCs w:val="24"/>
        </w:rPr>
        <w:t>,</w:t>
      </w:r>
      <w:r w:rsidRPr="004B7604">
        <w:rPr>
          <w:sz w:val="24"/>
          <w:szCs w:val="24"/>
        </w:rPr>
        <w:t xml:space="preserve"> ATC-kode: H01CB02.</w:t>
      </w:r>
    </w:p>
    <w:p w14:paraId="00DA1FE6" w14:textId="75667D33" w:rsidR="00EC7E21" w:rsidRDefault="00EC7E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DE151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B066EDB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Virkningsmekanisme</w:t>
      </w:r>
    </w:p>
    <w:p w14:paraId="50D79928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er et syntetisk </w:t>
      </w:r>
      <w:proofErr w:type="spellStart"/>
      <w:r w:rsidRPr="004B7604">
        <w:rPr>
          <w:sz w:val="24"/>
          <w:szCs w:val="24"/>
        </w:rPr>
        <w:t>oktapeptidderivat</w:t>
      </w:r>
      <w:proofErr w:type="spellEnd"/>
      <w:r w:rsidRPr="004B7604">
        <w:rPr>
          <w:sz w:val="24"/>
          <w:szCs w:val="24"/>
        </w:rPr>
        <w:t xml:space="preserve"> af det naturligt forekommende </w:t>
      </w: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 xml:space="preserve"> med sammenlignelige farmakologiske virkninger, men med betydelig længere virkningsvarighed.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hæmmer patologisk øget sekretion af væksthormon og af peptider og serotonin produceret i det </w:t>
      </w:r>
      <w:proofErr w:type="spellStart"/>
      <w:r w:rsidRPr="004B7604">
        <w:rPr>
          <w:sz w:val="24"/>
          <w:szCs w:val="24"/>
        </w:rPr>
        <w:t>gastroenteropankreatiske</w:t>
      </w:r>
      <w:proofErr w:type="spellEnd"/>
      <w:r w:rsidRPr="004B7604">
        <w:rPr>
          <w:sz w:val="24"/>
          <w:szCs w:val="24"/>
        </w:rPr>
        <w:t xml:space="preserve"> (GEP) endokrine system.</w:t>
      </w:r>
    </w:p>
    <w:p w14:paraId="7A1B716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9DAE03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dyr er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en mere potent hæmmer af frigivelsen af væksthormon, </w:t>
      </w:r>
      <w:proofErr w:type="spellStart"/>
      <w:r w:rsidRPr="004B7604">
        <w:rPr>
          <w:sz w:val="24"/>
          <w:szCs w:val="24"/>
        </w:rPr>
        <w:t>glucagon</w:t>
      </w:r>
      <w:proofErr w:type="spellEnd"/>
      <w:r w:rsidRPr="004B7604">
        <w:rPr>
          <w:sz w:val="24"/>
          <w:szCs w:val="24"/>
        </w:rPr>
        <w:t xml:space="preserve"> og insulin end </w:t>
      </w: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 xml:space="preserve"> og med større selektivitet for væksthormon</w:t>
      </w:r>
      <w:r w:rsidRPr="004B7604">
        <w:rPr>
          <w:sz w:val="24"/>
          <w:szCs w:val="24"/>
        </w:rPr>
        <w:noBreakHyphen/>
        <w:t xml:space="preserve"> og </w:t>
      </w:r>
      <w:proofErr w:type="spellStart"/>
      <w:r w:rsidRPr="004B7604">
        <w:rPr>
          <w:sz w:val="24"/>
          <w:szCs w:val="24"/>
        </w:rPr>
        <w:t>glucagonsuppression</w:t>
      </w:r>
      <w:proofErr w:type="spellEnd"/>
      <w:r w:rsidRPr="004B7604">
        <w:rPr>
          <w:sz w:val="24"/>
          <w:szCs w:val="24"/>
        </w:rPr>
        <w:t>.</w:t>
      </w:r>
    </w:p>
    <w:p w14:paraId="2CD7E59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18E8167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raske frivillige er det blevet vist, at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, i lighed med </w:t>
      </w: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>, hæmmer:</w:t>
      </w:r>
    </w:p>
    <w:p w14:paraId="03074030" w14:textId="77777777" w:rsidR="004B7604" w:rsidRPr="004B7604" w:rsidRDefault="004B7604" w:rsidP="00B2164A">
      <w:pPr>
        <w:numPr>
          <w:ilvl w:val="0"/>
          <w:numId w:val="7"/>
        </w:numPr>
        <w:tabs>
          <w:tab w:val="clear" w:pos="360"/>
        </w:tabs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 xml:space="preserve">frigivelse af væksthormon, stimuleret af </w:t>
      </w:r>
      <w:proofErr w:type="spellStart"/>
      <w:r w:rsidRPr="004B7604">
        <w:rPr>
          <w:sz w:val="24"/>
          <w:szCs w:val="24"/>
        </w:rPr>
        <w:t>arginin</w:t>
      </w:r>
      <w:proofErr w:type="spellEnd"/>
      <w:r w:rsidRPr="004B7604">
        <w:rPr>
          <w:sz w:val="24"/>
          <w:szCs w:val="24"/>
        </w:rPr>
        <w:t xml:space="preserve"> og anstrengelses</w:t>
      </w:r>
      <w:r w:rsidRPr="004B7604">
        <w:rPr>
          <w:sz w:val="24"/>
          <w:szCs w:val="24"/>
        </w:rPr>
        <w:noBreakHyphen/>
        <w:t xml:space="preserve"> og insulininduceret hypoglykæmi</w:t>
      </w:r>
    </w:p>
    <w:p w14:paraId="483616FA" w14:textId="77777777" w:rsidR="004B7604" w:rsidRPr="004B7604" w:rsidRDefault="004B7604" w:rsidP="00B2164A">
      <w:pPr>
        <w:numPr>
          <w:ilvl w:val="0"/>
          <w:numId w:val="7"/>
        </w:numPr>
        <w:tabs>
          <w:tab w:val="clear" w:pos="360"/>
        </w:tabs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>post-</w:t>
      </w:r>
      <w:proofErr w:type="spellStart"/>
      <w:r w:rsidRPr="004B7604">
        <w:rPr>
          <w:sz w:val="24"/>
          <w:szCs w:val="24"/>
        </w:rPr>
        <w:t>prandial</w:t>
      </w:r>
      <w:proofErr w:type="spellEnd"/>
      <w:r w:rsidRPr="004B7604">
        <w:rPr>
          <w:sz w:val="24"/>
          <w:szCs w:val="24"/>
        </w:rPr>
        <w:t xml:space="preserve"> frigivelse af insulin, </w:t>
      </w:r>
      <w:proofErr w:type="spellStart"/>
      <w:r w:rsidRPr="004B7604">
        <w:rPr>
          <w:sz w:val="24"/>
          <w:szCs w:val="24"/>
        </w:rPr>
        <w:t>glucagon</w:t>
      </w:r>
      <w:proofErr w:type="spellEnd"/>
      <w:r w:rsidRPr="004B7604">
        <w:rPr>
          <w:sz w:val="24"/>
          <w:szCs w:val="24"/>
        </w:rPr>
        <w:t xml:space="preserve">, gastrin og andre peptider i det GEP endokrine system samt </w:t>
      </w:r>
      <w:proofErr w:type="spellStart"/>
      <w:r w:rsidRPr="004B7604">
        <w:rPr>
          <w:sz w:val="24"/>
          <w:szCs w:val="24"/>
        </w:rPr>
        <w:t>arginin</w:t>
      </w:r>
      <w:proofErr w:type="spellEnd"/>
      <w:r w:rsidRPr="004B7604">
        <w:rPr>
          <w:sz w:val="24"/>
          <w:szCs w:val="24"/>
        </w:rPr>
        <w:t xml:space="preserve">-stimuleret frigivelse af insulin og </w:t>
      </w:r>
      <w:proofErr w:type="spellStart"/>
      <w:r w:rsidRPr="004B7604">
        <w:rPr>
          <w:sz w:val="24"/>
          <w:szCs w:val="24"/>
        </w:rPr>
        <w:t>glucagon</w:t>
      </w:r>
      <w:proofErr w:type="spellEnd"/>
    </w:p>
    <w:p w14:paraId="5E1C4EBC" w14:textId="77777777" w:rsidR="004B7604" w:rsidRPr="004B7604" w:rsidRDefault="004B7604" w:rsidP="00B2164A">
      <w:pPr>
        <w:numPr>
          <w:ilvl w:val="0"/>
          <w:numId w:val="7"/>
        </w:numPr>
        <w:tabs>
          <w:tab w:val="clear" w:pos="360"/>
        </w:tabs>
        <w:ind w:left="1276" w:hanging="425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thyrotropin</w:t>
      </w:r>
      <w:proofErr w:type="spellEnd"/>
      <w:r w:rsidRPr="004B7604">
        <w:rPr>
          <w:sz w:val="24"/>
          <w:szCs w:val="24"/>
        </w:rPr>
        <w:t xml:space="preserve">-frigivende hormon (TRH)-stimuleret frigivelse af </w:t>
      </w:r>
      <w:proofErr w:type="spellStart"/>
      <w:r w:rsidRPr="004B7604">
        <w:rPr>
          <w:sz w:val="24"/>
          <w:szCs w:val="24"/>
        </w:rPr>
        <w:t>thyreoidea</w:t>
      </w:r>
      <w:proofErr w:type="spellEnd"/>
      <w:r w:rsidRPr="004B7604">
        <w:rPr>
          <w:sz w:val="24"/>
          <w:szCs w:val="24"/>
        </w:rPr>
        <w:t>-stimulerende hormon (TSH).</w:t>
      </w:r>
    </w:p>
    <w:p w14:paraId="7F0571F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EF0F6C2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modsætning til </w:t>
      </w:r>
      <w:proofErr w:type="spellStart"/>
      <w:r w:rsidRPr="004B7604">
        <w:rPr>
          <w:sz w:val="24"/>
          <w:szCs w:val="24"/>
        </w:rPr>
        <w:t>somatostatin</w:t>
      </w:r>
      <w:proofErr w:type="spellEnd"/>
      <w:r w:rsidRPr="004B7604">
        <w:rPr>
          <w:sz w:val="24"/>
          <w:szCs w:val="24"/>
        </w:rPr>
        <w:t xml:space="preserve"> hæmmer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fortrinsvis sekretion af væksthormon fremfor insulin, og der ses ikke </w:t>
      </w:r>
      <w:proofErr w:type="spellStart"/>
      <w:r w:rsidRPr="004B7604">
        <w:rPr>
          <w:i/>
          <w:sz w:val="24"/>
          <w:szCs w:val="24"/>
        </w:rPr>
        <w:t>rebound</w:t>
      </w:r>
      <w:r w:rsidRPr="004B7604">
        <w:rPr>
          <w:sz w:val="24"/>
          <w:szCs w:val="24"/>
        </w:rPr>
        <w:t>-hormonhypersekretion</w:t>
      </w:r>
      <w:proofErr w:type="spellEnd"/>
      <w:r w:rsidRPr="004B7604">
        <w:rPr>
          <w:sz w:val="24"/>
          <w:szCs w:val="24"/>
        </w:rPr>
        <w:t xml:space="preserve"> (det vil sige af væksthormon hos patienter med akromegali) efter administration.</w:t>
      </w:r>
    </w:p>
    <w:p w14:paraId="4D37199D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5DE6B29" w14:textId="6793EBDE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med akromegali giver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, der er en </w:t>
      </w:r>
      <w:proofErr w:type="spellStart"/>
      <w:r w:rsidRPr="004B7604">
        <w:rPr>
          <w:sz w:val="24"/>
          <w:szCs w:val="24"/>
        </w:rPr>
        <w:t>galenisk</w:t>
      </w:r>
      <w:proofErr w:type="spellEnd"/>
      <w:r w:rsidRPr="004B7604">
        <w:rPr>
          <w:sz w:val="24"/>
          <w:szCs w:val="24"/>
        </w:rPr>
        <w:t xml:space="preserve"> formulering indeholdende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beregnet til gentagen administration hver 4. uge, en konstant terapeutisk serumkoncentration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. Derved reduceres væksthormon-koncentrationen vedvarende, og IGF-1-koncentrationen normaliseres hos flertallet af patienterne. Hos de fleste patienter reducerer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de kliniske symptomer, såsom hovedpine, </w:t>
      </w:r>
      <w:proofErr w:type="spellStart"/>
      <w:r w:rsidRPr="004B7604">
        <w:rPr>
          <w:sz w:val="24"/>
          <w:szCs w:val="24"/>
        </w:rPr>
        <w:t>perspiration</w:t>
      </w:r>
      <w:proofErr w:type="spellEnd"/>
      <w:r w:rsidRPr="004B7604">
        <w:rPr>
          <w:sz w:val="24"/>
          <w:szCs w:val="24"/>
        </w:rPr>
        <w:t xml:space="preserve">, </w:t>
      </w:r>
      <w:proofErr w:type="spellStart"/>
      <w:r w:rsidRPr="004B7604">
        <w:rPr>
          <w:sz w:val="24"/>
          <w:szCs w:val="24"/>
        </w:rPr>
        <w:t>paræstesi</w:t>
      </w:r>
      <w:proofErr w:type="spellEnd"/>
      <w:r w:rsidRPr="004B7604">
        <w:rPr>
          <w:sz w:val="24"/>
          <w:szCs w:val="24"/>
        </w:rPr>
        <w:t xml:space="preserve">, træthed, </w:t>
      </w:r>
      <w:proofErr w:type="spellStart"/>
      <w:r w:rsidRPr="004B7604">
        <w:rPr>
          <w:sz w:val="24"/>
          <w:szCs w:val="24"/>
        </w:rPr>
        <w:t>osteoartralgi</w:t>
      </w:r>
      <w:proofErr w:type="spellEnd"/>
      <w:r w:rsidRPr="004B7604">
        <w:rPr>
          <w:sz w:val="24"/>
          <w:szCs w:val="24"/>
        </w:rPr>
        <w:t xml:space="preserve"> og karpaltunnelsyndrom, markant. Hos en betydelig del (50 %) af tidligere ubehandlede akromegali-patienter med væksthormon-secernerende </w:t>
      </w:r>
      <w:proofErr w:type="spellStart"/>
      <w:r w:rsidRPr="004B7604">
        <w:rPr>
          <w:sz w:val="24"/>
          <w:szCs w:val="24"/>
        </w:rPr>
        <w:t>hypofyseadenom</w:t>
      </w:r>
      <w:proofErr w:type="spellEnd"/>
      <w:r w:rsidRPr="004B7604">
        <w:rPr>
          <w:sz w:val="24"/>
          <w:szCs w:val="24"/>
        </w:rPr>
        <w:t xml:space="preserve"> medførte behandlingen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en reduktion i tumorvolumen på &gt; 20 %.</w:t>
      </w:r>
    </w:p>
    <w:p w14:paraId="50C1D68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750536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er rapporteret tumorsvind (inden operation)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hos enkelte patienter med væksthormon-secernerende </w:t>
      </w:r>
      <w:proofErr w:type="spellStart"/>
      <w:r w:rsidRPr="004B7604">
        <w:rPr>
          <w:sz w:val="24"/>
          <w:szCs w:val="24"/>
        </w:rPr>
        <w:t>hypofyseadenom</w:t>
      </w:r>
      <w:proofErr w:type="spellEnd"/>
      <w:r w:rsidRPr="004B7604">
        <w:rPr>
          <w:sz w:val="24"/>
          <w:szCs w:val="24"/>
        </w:rPr>
        <w:t>. Operation bør dog ikke udsættes.</w:t>
      </w:r>
    </w:p>
    <w:p w14:paraId="1F9BBBF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4875CCF" w14:textId="1D345A5D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med funktionelle tumorer i det </w:t>
      </w:r>
      <w:proofErr w:type="spellStart"/>
      <w:r w:rsidRPr="004B7604">
        <w:rPr>
          <w:sz w:val="24"/>
          <w:szCs w:val="24"/>
        </w:rPr>
        <w:t>gastroenteropankreatiske</w:t>
      </w:r>
      <w:proofErr w:type="spellEnd"/>
      <w:r w:rsidRPr="004B7604">
        <w:rPr>
          <w:sz w:val="24"/>
          <w:szCs w:val="24"/>
        </w:rPr>
        <w:t xml:space="preserve"> endokrine system giver behandling med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en vedvarende kontrol af symptomer relateret til den underliggende sygdom. Virkningen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i forskellige typer af </w:t>
      </w:r>
      <w:proofErr w:type="spellStart"/>
      <w:r w:rsidRPr="004B7604">
        <w:rPr>
          <w:sz w:val="24"/>
          <w:szCs w:val="24"/>
        </w:rPr>
        <w:t>gastroenteropankreatiske</w:t>
      </w:r>
      <w:proofErr w:type="spellEnd"/>
      <w:r w:rsidRPr="004B7604">
        <w:rPr>
          <w:sz w:val="24"/>
          <w:szCs w:val="24"/>
        </w:rPr>
        <w:t xml:space="preserve"> tumorer er:</w:t>
      </w:r>
    </w:p>
    <w:p w14:paraId="480035C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B1B3508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Karcinoide</w:t>
      </w:r>
      <w:proofErr w:type="spellEnd"/>
      <w:r w:rsidRPr="004B7604">
        <w:rPr>
          <w:sz w:val="24"/>
          <w:szCs w:val="24"/>
          <w:u w:val="single"/>
        </w:rPr>
        <w:t xml:space="preserve"> tumorer</w:t>
      </w:r>
    </w:p>
    <w:p w14:paraId="6DCE60C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kan medføre forbedring af symptomerne, særligt af ansigtsrødme og diarré. I mange tilfælde er dette ledsaget af et fald i plasmaserotonin og reduceret udskillelse af 5</w:t>
      </w:r>
      <w:r w:rsidRPr="004B7604">
        <w:rPr>
          <w:sz w:val="24"/>
          <w:szCs w:val="24"/>
        </w:rPr>
        <w:noBreakHyphen/>
        <w:t>hydroxyindoledikkesyre i urinen.</w:t>
      </w:r>
    </w:p>
    <w:p w14:paraId="2163893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293AB12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VIPomer</w:t>
      </w:r>
      <w:proofErr w:type="spellEnd"/>
    </w:p>
    <w:p w14:paraId="76168BD5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</w:rPr>
        <w:t xml:space="preserve">De biokemiske karakteristika ved disse tumorer er overproduktion af </w:t>
      </w:r>
      <w:proofErr w:type="spellStart"/>
      <w:r w:rsidRPr="004B7604">
        <w:rPr>
          <w:sz w:val="24"/>
          <w:szCs w:val="24"/>
        </w:rPr>
        <w:t>vasoaktivt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intestinalt</w:t>
      </w:r>
      <w:proofErr w:type="spellEnd"/>
      <w:r w:rsidRPr="004B7604">
        <w:rPr>
          <w:sz w:val="24"/>
          <w:szCs w:val="24"/>
        </w:rPr>
        <w:t xml:space="preserve"> peptid (VIP). I de fleste tilfælde medfører 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lindring af den svære </w:t>
      </w:r>
      <w:proofErr w:type="spellStart"/>
      <w:r w:rsidRPr="004B7604">
        <w:rPr>
          <w:sz w:val="24"/>
          <w:szCs w:val="24"/>
        </w:rPr>
        <w:t>sekretoriske</w:t>
      </w:r>
      <w:proofErr w:type="spellEnd"/>
      <w:r w:rsidRPr="004B7604">
        <w:rPr>
          <w:sz w:val="24"/>
          <w:szCs w:val="24"/>
        </w:rPr>
        <w:t xml:space="preserve"> diarré, der er typisk for tilstanden, med deraf følgende forbedring i livskvalitet. Dette ledsages af en forbedring i de relaterede elektrolytforstyrrelser, f.eks. </w:t>
      </w:r>
      <w:proofErr w:type="spellStart"/>
      <w:r w:rsidRPr="004B7604">
        <w:rPr>
          <w:sz w:val="24"/>
          <w:szCs w:val="24"/>
        </w:rPr>
        <w:t>hypokaliæmi</w:t>
      </w:r>
      <w:proofErr w:type="spellEnd"/>
      <w:r w:rsidRPr="004B7604">
        <w:rPr>
          <w:sz w:val="24"/>
          <w:szCs w:val="24"/>
        </w:rPr>
        <w:t xml:space="preserve">, hvilket muliggør </w:t>
      </w:r>
      <w:proofErr w:type="spellStart"/>
      <w:r w:rsidRPr="004B7604">
        <w:rPr>
          <w:sz w:val="24"/>
          <w:szCs w:val="24"/>
        </w:rPr>
        <w:t>seponering</w:t>
      </w:r>
      <w:proofErr w:type="spellEnd"/>
      <w:r w:rsidRPr="004B7604">
        <w:rPr>
          <w:sz w:val="24"/>
          <w:szCs w:val="24"/>
        </w:rPr>
        <w:t xml:space="preserve"> af </w:t>
      </w:r>
      <w:proofErr w:type="spellStart"/>
      <w:r w:rsidRPr="004B7604">
        <w:rPr>
          <w:sz w:val="24"/>
          <w:szCs w:val="24"/>
        </w:rPr>
        <w:t>enteral</w:t>
      </w:r>
      <w:proofErr w:type="spellEnd"/>
      <w:r w:rsidRPr="004B7604">
        <w:rPr>
          <w:sz w:val="24"/>
          <w:szCs w:val="24"/>
        </w:rPr>
        <w:t xml:space="preserve"> og </w:t>
      </w:r>
      <w:proofErr w:type="gramStart"/>
      <w:r w:rsidRPr="004B7604">
        <w:rPr>
          <w:sz w:val="24"/>
          <w:szCs w:val="24"/>
        </w:rPr>
        <w:t>parenteral væske</w:t>
      </w:r>
      <w:r w:rsidRPr="004B7604">
        <w:rPr>
          <w:sz w:val="24"/>
          <w:szCs w:val="24"/>
        </w:rPr>
        <w:noBreakHyphen/>
        <w:t xml:space="preserve"> og elektrolyttilskud</w:t>
      </w:r>
      <w:proofErr w:type="gramEnd"/>
      <w:r w:rsidRPr="004B7604">
        <w:rPr>
          <w:sz w:val="24"/>
          <w:szCs w:val="24"/>
        </w:rPr>
        <w:t>. Hos nogle patienter indikerer CT-scanning en langsommere eller ophørt tumorprogression eller sågar mindsket tumormasse, særligt ved levermetastaser. Klinisk bedring ledsages som regel af et fald i plasma-VIP-niveau, som kan falde til normalområdet.</w:t>
      </w:r>
    </w:p>
    <w:p w14:paraId="59FF505B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2BAAC12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Glucagonom</w:t>
      </w:r>
      <w:proofErr w:type="spellEnd"/>
    </w:p>
    <w:p w14:paraId="3E67EF6D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resulterer i de fleste tilfælde i</w:t>
      </w:r>
      <w:r w:rsidRPr="004B7604">
        <w:rPr>
          <w:i/>
          <w:sz w:val="24"/>
          <w:szCs w:val="24"/>
        </w:rPr>
        <w:t xml:space="preserve"> </w:t>
      </w:r>
      <w:r w:rsidRPr="004B7604">
        <w:rPr>
          <w:sz w:val="24"/>
          <w:szCs w:val="24"/>
        </w:rPr>
        <w:t xml:space="preserve">betydelig forbedring af det </w:t>
      </w:r>
      <w:proofErr w:type="spellStart"/>
      <w:r w:rsidRPr="004B7604">
        <w:rPr>
          <w:sz w:val="24"/>
          <w:szCs w:val="24"/>
        </w:rPr>
        <w:t>nekrolytiske</w:t>
      </w:r>
      <w:proofErr w:type="spellEnd"/>
      <w:r w:rsidRPr="004B7604">
        <w:rPr>
          <w:sz w:val="24"/>
          <w:szCs w:val="24"/>
        </w:rPr>
        <w:t xml:space="preserve"> migrerende udslæt, som er karakteristisk for tilstanden. </w:t>
      </w:r>
      <w:proofErr w:type="spellStart"/>
      <w:r w:rsidRPr="004B7604">
        <w:rPr>
          <w:sz w:val="24"/>
          <w:szCs w:val="24"/>
        </w:rPr>
        <w:t>Octreotids</w:t>
      </w:r>
      <w:proofErr w:type="spellEnd"/>
      <w:r w:rsidRPr="004B7604">
        <w:rPr>
          <w:sz w:val="24"/>
          <w:szCs w:val="24"/>
        </w:rPr>
        <w:t xml:space="preserve"> virkning på let diabetes mellitus, som hyppigt forekommer, er ikke udtalt og medfører sædvanligvis ikke nedsat behov for insulin eller orale hypoglykæmiske midler.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medfører bedring af diarré, og giver dermed vægtforøgelse hos de berørte patienter. Selvom 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ofte medfører en umiddelbar reduktion i plasma-</w:t>
      </w:r>
      <w:proofErr w:type="spellStart"/>
      <w:r w:rsidRPr="004B7604">
        <w:rPr>
          <w:sz w:val="24"/>
          <w:szCs w:val="24"/>
        </w:rPr>
        <w:t>glucagon</w:t>
      </w:r>
      <w:proofErr w:type="spellEnd"/>
      <w:r w:rsidRPr="004B7604">
        <w:rPr>
          <w:sz w:val="24"/>
          <w:szCs w:val="24"/>
        </w:rPr>
        <w:t>, opretholdes denne reduktion som regel ikke over en længere behandlingsperiode på trods af fortsat symptomlindring.</w:t>
      </w:r>
    </w:p>
    <w:p w14:paraId="34590DFA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77A0071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Gastrinomer</w:t>
      </w:r>
      <w:proofErr w:type="spellEnd"/>
      <w:r w:rsidRPr="004B7604">
        <w:rPr>
          <w:sz w:val="24"/>
          <w:szCs w:val="24"/>
          <w:u w:val="single"/>
        </w:rPr>
        <w:t>/</w:t>
      </w:r>
      <w:proofErr w:type="spellStart"/>
      <w:r w:rsidRPr="004B7604">
        <w:rPr>
          <w:sz w:val="24"/>
          <w:szCs w:val="24"/>
          <w:u w:val="single"/>
        </w:rPr>
        <w:t>Zollinger-Ellison</w:t>
      </w:r>
      <w:proofErr w:type="spellEnd"/>
      <w:r w:rsidRPr="004B7604">
        <w:rPr>
          <w:sz w:val="24"/>
          <w:szCs w:val="24"/>
          <w:u w:val="single"/>
        </w:rPr>
        <w:t xml:space="preserve"> syndrom</w:t>
      </w:r>
    </w:p>
    <w:p w14:paraId="7E6FD9F8" w14:textId="114A0DE0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Behandling med </w:t>
      </w:r>
      <w:proofErr w:type="spellStart"/>
      <w:r w:rsidRPr="004B7604">
        <w:rPr>
          <w:sz w:val="24"/>
          <w:szCs w:val="24"/>
        </w:rPr>
        <w:t>protonpumpehæmmere</w:t>
      </w:r>
      <w:proofErr w:type="spellEnd"/>
      <w:r w:rsidRPr="004B7604">
        <w:rPr>
          <w:sz w:val="24"/>
          <w:szCs w:val="24"/>
        </w:rPr>
        <w:t xml:space="preserve"> eller H</w:t>
      </w:r>
      <w:r w:rsidRPr="004B7604">
        <w:rPr>
          <w:sz w:val="24"/>
          <w:szCs w:val="24"/>
          <w:vertAlign w:val="subscript"/>
        </w:rPr>
        <w:t>2</w:t>
      </w:r>
      <w:r w:rsidRPr="004B7604">
        <w:rPr>
          <w:sz w:val="24"/>
          <w:szCs w:val="24"/>
        </w:rPr>
        <w:t xml:space="preserve">-receptorantagonister kontrollerer generelt </w:t>
      </w:r>
      <w:proofErr w:type="spellStart"/>
      <w:r w:rsidRPr="004B7604">
        <w:rPr>
          <w:sz w:val="24"/>
          <w:szCs w:val="24"/>
        </w:rPr>
        <w:t>hypersekretion</w:t>
      </w:r>
      <w:proofErr w:type="spellEnd"/>
      <w:r w:rsidRPr="004B7604">
        <w:rPr>
          <w:sz w:val="24"/>
          <w:szCs w:val="24"/>
        </w:rPr>
        <w:t xml:space="preserve"> af mavesyre. Diarré, som også er et fremtrædende symptom, kan dog muligvis ikke lindres tilstrækkeligt med </w:t>
      </w:r>
      <w:proofErr w:type="spellStart"/>
      <w:r w:rsidRPr="004B7604">
        <w:rPr>
          <w:sz w:val="24"/>
          <w:szCs w:val="24"/>
        </w:rPr>
        <w:t>protonpumpehæmmere</w:t>
      </w:r>
      <w:proofErr w:type="spellEnd"/>
      <w:r w:rsidRPr="004B7604">
        <w:rPr>
          <w:sz w:val="24"/>
          <w:szCs w:val="24"/>
        </w:rPr>
        <w:t xml:space="preserve"> eller H</w:t>
      </w:r>
      <w:r w:rsidRPr="004B7604">
        <w:rPr>
          <w:sz w:val="24"/>
          <w:szCs w:val="24"/>
          <w:vertAlign w:val="subscript"/>
        </w:rPr>
        <w:t>2</w:t>
      </w:r>
      <w:r w:rsidRPr="004B7604">
        <w:rPr>
          <w:sz w:val="24"/>
          <w:szCs w:val="24"/>
        </w:rPr>
        <w:t xml:space="preserve">-receptorantagonister.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kan reducere </w:t>
      </w:r>
      <w:proofErr w:type="spellStart"/>
      <w:r w:rsidRPr="004B7604">
        <w:rPr>
          <w:sz w:val="24"/>
          <w:szCs w:val="24"/>
        </w:rPr>
        <w:t>hypersekretion</w:t>
      </w:r>
      <w:proofErr w:type="spellEnd"/>
      <w:r w:rsidRPr="004B7604">
        <w:rPr>
          <w:sz w:val="24"/>
          <w:szCs w:val="24"/>
        </w:rPr>
        <w:t xml:space="preserve"> af mavesyre yderligere og forbedre symptomer, herunder diarré, da det medfører suppression af forhøjede gastrinniveauer hos nogle patienter.</w:t>
      </w:r>
    </w:p>
    <w:p w14:paraId="240A070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FBBEB1D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Insulinomer</w:t>
      </w:r>
      <w:proofErr w:type="spellEnd"/>
    </w:p>
    <w:p w14:paraId="57377606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</w:rPr>
        <w:t xml:space="preserve">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medfører et fald i cirkulerende immunreaktivt insulin. Hos patienter med operable tumorer kan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medvirke til at genopbygge og vedligeholde </w:t>
      </w:r>
      <w:proofErr w:type="spellStart"/>
      <w:r w:rsidRPr="004B7604">
        <w:rPr>
          <w:sz w:val="24"/>
          <w:szCs w:val="24"/>
        </w:rPr>
        <w:t>normoglykæmi</w:t>
      </w:r>
      <w:proofErr w:type="spellEnd"/>
      <w:r w:rsidRPr="004B7604">
        <w:rPr>
          <w:sz w:val="24"/>
          <w:szCs w:val="24"/>
        </w:rPr>
        <w:t xml:space="preserve"> før operation. Hos patienter med inoperable benigne eller maligne tumorer kan glykæmisk kontrol muligvis forbedres, også uden samtidig vedvarende reduktion i koncentrationen af cirkulerende insulin.</w:t>
      </w:r>
    </w:p>
    <w:p w14:paraId="05B7B0C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3049727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 xml:space="preserve">Fremskredne </w:t>
      </w:r>
      <w:proofErr w:type="spellStart"/>
      <w:r w:rsidRPr="004B7604">
        <w:rPr>
          <w:sz w:val="24"/>
          <w:szCs w:val="24"/>
          <w:u w:val="single"/>
        </w:rPr>
        <w:t>neuroendokrine</w:t>
      </w:r>
      <w:proofErr w:type="spellEnd"/>
      <w:r w:rsidRPr="004B7604">
        <w:rPr>
          <w:sz w:val="24"/>
          <w:szCs w:val="24"/>
          <w:u w:val="single"/>
        </w:rPr>
        <w:t xml:space="preserve"> tumorer i mave-tarm-kanalen eller af ukendt primær oprindelse, hvor oprindelse uden for mave-tarm-kanalen kan udelukkes</w:t>
      </w:r>
    </w:p>
    <w:p w14:paraId="1227B878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Et randomiseret, dobbeltblindet, placebokontrolleret fase III-studie (PROMID) viste, at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hæmmer tumorvækst hos patienter med fremskredne </w:t>
      </w:r>
      <w:proofErr w:type="spellStart"/>
      <w:r w:rsidRPr="004B7604">
        <w:rPr>
          <w:sz w:val="24"/>
          <w:szCs w:val="24"/>
        </w:rPr>
        <w:t>neuroendokrine</w:t>
      </w:r>
      <w:proofErr w:type="spellEnd"/>
      <w:r w:rsidRPr="004B7604">
        <w:rPr>
          <w:sz w:val="24"/>
          <w:szCs w:val="24"/>
        </w:rPr>
        <w:t xml:space="preserve"> tumorer i mave-tarm-kanalen.</w:t>
      </w:r>
    </w:p>
    <w:p w14:paraId="18DC8C78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00585E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85 patienter blev randomiseret til at blive behandlet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30 mg hver 4. uge (n = 42) eller placebo (n = 43) i 18 måneder eller indtil tumorprogression eller død.</w:t>
      </w:r>
    </w:p>
    <w:p w14:paraId="4EEEAC2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354E7D8D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 primære inklusionskriterier var: Behandlingsnaiv; histologisk bekræftet; lokalt inoperabel eller metastatisk veldifferentieret; funktionelt aktive eller inaktive </w:t>
      </w:r>
      <w:proofErr w:type="spellStart"/>
      <w:r w:rsidRPr="004B7604">
        <w:rPr>
          <w:sz w:val="24"/>
          <w:szCs w:val="24"/>
        </w:rPr>
        <w:t>neuroendokrine</w:t>
      </w:r>
      <w:proofErr w:type="spellEnd"/>
      <w:r w:rsidRPr="004B7604">
        <w:rPr>
          <w:sz w:val="24"/>
          <w:szCs w:val="24"/>
        </w:rPr>
        <w:t xml:space="preserve"> tumorer/karcinomer; primær tumor lokaliseret i mave-tarm-kanalen eller af ukendt oprindelse med formodet udspring i mave-tarm-kanalen, hvor det er udelukket, at primær tumor er i pankreas, bryst eller andetsteds.</w:t>
      </w:r>
    </w:p>
    <w:p w14:paraId="1F3364F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1B509F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Det primære endepunkt var tid til tumorprogression eller tumorrelateret død (TTP).</w:t>
      </w:r>
    </w:p>
    <w:p w14:paraId="694AE41F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91E7258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</w:t>
      </w:r>
      <w:r w:rsidRPr="004B7604">
        <w:rPr>
          <w:i/>
          <w:sz w:val="24"/>
          <w:szCs w:val="24"/>
        </w:rPr>
        <w:t>intent-to-</w:t>
      </w:r>
      <w:proofErr w:type="spellStart"/>
      <w:r w:rsidRPr="004B7604">
        <w:rPr>
          <w:i/>
          <w:sz w:val="24"/>
          <w:szCs w:val="24"/>
        </w:rPr>
        <w:t>treat</w:t>
      </w:r>
      <w:proofErr w:type="spellEnd"/>
      <w:r w:rsidRPr="004B7604">
        <w:rPr>
          <w:sz w:val="24"/>
          <w:szCs w:val="24"/>
        </w:rPr>
        <w:t xml:space="preserve"> analysepopulationen (ITT) (alle randomiserede patienter) blev der observeret henholdsvis 26 og 41 tumorprogressioner eller tumorrelaterede dødsfald i grupperne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og placebo (HR = 0,32; 95 % CI 0,19</w:t>
      </w:r>
      <w:r w:rsidRPr="004B7604">
        <w:rPr>
          <w:sz w:val="24"/>
          <w:szCs w:val="24"/>
        </w:rPr>
        <w:noBreakHyphen/>
        <w:t>0,55; p = 0,000015).</w:t>
      </w:r>
    </w:p>
    <w:p w14:paraId="2015883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5167AC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den konservative </w:t>
      </w:r>
      <w:r w:rsidRPr="004B7604">
        <w:rPr>
          <w:i/>
          <w:sz w:val="24"/>
          <w:szCs w:val="24"/>
        </w:rPr>
        <w:t>intent-to-</w:t>
      </w:r>
      <w:proofErr w:type="spellStart"/>
      <w:r w:rsidRPr="004B7604">
        <w:rPr>
          <w:i/>
          <w:sz w:val="24"/>
          <w:szCs w:val="24"/>
        </w:rPr>
        <w:t>treat</w:t>
      </w:r>
      <w:proofErr w:type="spellEnd"/>
      <w:r w:rsidRPr="004B7604">
        <w:rPr>
          <w:sz w:val="24"/>
          <w:szCs w:val="24"/>
        </w:rPr>
        <w:t xml:space="preserve"> analysepopulation (</w:t>
      </w:r>
      <w:proofErr w:type="spellStart"/>
      <w:r w:rsidRPr="004B7604">
        <w:rPr>
          <w:sz w:val="24"/>
          <w:szCs w:val="24"/>
        </w:rPr>
        <w:t>cITT</w:t>
      </w:r>
      <w:proofErr w:type="spellEnd"/>
      <w:r w:rsidRPr="004B7604">
        <w:rPr>
          <w:sz w:val="24"/>
          <w:szCs w:val="24"/>
        </w:rPr>
        <w:t xml:space="preserve">), hvor 3 patienter blev censureret ved </w:t>
      </w:r>
      <w:proofErr w:type="spellStart"/>
      <w:r w:rsidRPr="004B7604">
        <w:rPr>
          <w:sz w:val="24"/>
          <w:szCs w:val="24"/>
        </w:rPr>
        <w:t>randomisering</w:t>
      </w:r>
      <w:proofErr w:type="spellEnd"/>
      <w:r w:rsidRPr="004B7604">
        <w:rPr>
          <w:sz w:val="24"/>
          <w:szCs w:val="24"/>
        </w:rPr>
        <w:t xml:space="preserve">, blev der observeret henholdsvis 26 og 40 tumorprogressioner eller tumorrelaterede dødsfald i grupperne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og placebo (HR = 0,34; 95 % CI 0,20</w:t>
      </w:r>
      <w:r w:rsidRPr="004B7604">
        <w:rPr>
          <w:sz w:val="24"/>
          <w:szCs w:val="24"/>
        </w:rPr>
        <w:noBreakHyphen/>
        <w:t>0,59; p = 0,000072; Figur 1). Mediantid til tumorprogression var 14,3 måneder (95 % CI 11,0</w:t>
      </w:r>
      <w:r w:rsidRPr="004B7604">
        <w:rPr>
          <w:sz w:val="24"/>
          <w:szCs w:val="24"/>
        </w:rPr>
        <w:noBreakHyphen/>
        <w:t xml:space="preserve">28,8 måneder) i gruppen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og 6,0 måneder (95 % CI 3,7</w:t>
      </w:r>
      <w:r w:rsidRPr="004B7604">
        <w:rPr>
          <w:sz w:val="24"/>
          <w:szCs w:val="24"/>
        </w:rPr>
        <w:noBreakHyphen/>
        <w:t>9,4 måneder) i gruppen med placebo.</w:t>
      </w:r>
    </w:p>
    <w:p w14:paraId="7A70AF8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00AD7D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I </w:t>
      </w:r>
      <w:r w:rsidRPr="004B7604">
        <w:rPr>
          <w:i/>
          <w:sz w:val="24"/>
          <w:szCs w:val="24"/>
        </w:rPr>
        <w:t>per-protokol</w:t>
      </w:r>
      <w:r w:rsidRPr="004B7604">
        <w:rPr>
          <w:sz w:val="24"/>
          <w:szCs w:val="24"/>
        </w:rPr>
        <w:t xml:space="preserve"> analysepopulationen (PP), hvor flere patienter blev censureret i slutningen af studiet, blev der observeret henholdsvis 19 og 38 tumorprogressioner eller tumorrelaterede dødsfald i grupperne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eller placebo (HR = 0,24; 95 % CI 0,13</w:t>
      </w:r>
      <w:r w:rsidRPr="004B7604">
        <w:rPr>
          <w:sz w:val="24"/>
          <w:szCs w:val="24"/>
        </w:rPr>
        <w:noBreakHyphen/>
        <w:t>0,45; p = 0,0000036).</w:t>
      </w:r>
    </w:p>
    <w:p w14:paraId="4B07081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7CDD136" w14:textId="77777777" w:rsidR="004B7604" w:rsidRPr="004B7604" w:rsidRDefault="004B7604" w:rsidP="004B7604">
      <w:pPr>
        <w:tabs>
          <w:tab w:val="left" w:pos="851"/>
        </w:tabs>
        <w:ind w:left="851"/>
        <w:rPr>
          <w:b/>
          <w:sz w:val="24"/>
          <w:szCs w:val="24"/>
        </w:rPr>
      </w:pPr>
      <w:r w:rsidRPr="004B7604">
        <w:rPr>
          <w:b/>
          <w:sz w:val="24"/>
          <w:szCs w:val="24"/>
        </w:rPr>
        <w:t xml:space="preserve">Figur 1: Kaplan-Meier-estimater af tid til tumorprogression eller tumorrelateret død (TTP), sammenlignende </w:t>
      </w:r>
      <w:proofErr w:type="spellStart"/>
      <w:r w:rsidRPr="004B7604">
        <w:rPr>
          <w:b/>
          <w:sz w:val="24"/>
          <w:szCs w:val="24"/>
        </w:rPr>
        <w:t>octreotid</w:t>
      </w:r>
      <w:proofErr w:type="spellEnd"/>
      <w:r w:rsidRPr="004B7604">
        <w:rPr>
          <w:b/>
          <w:sz w:val="24"/>
          <w:szCs w:val="24"/>
        </w:rPr>
        <w:t xml:space="preserve"> depotinjektion med placebo (konservativ </w:t>
      </w:r>
      <w:r w:rsidRPr="004B7604">
        <w:rPr>
          <w:b/>
          <w:i/>
          <w:sz w:val="24"/>
          <w:szCs w:val="24"/>
        </w:rPr>
        <w:t>intent-to-</w:t>
      </w:r>
      <w:proofErr w:type="spellStart"/>
      <w:r w:rsidRPr="004B7604">
        <w:rPr>
          <w:b/>
          <w:i/>
          <w:sz w:val="24"/>
          <w:szCs w:val="24"/>
        </w:rPr>
        <w:t>treat</w:t>
      </w:r>
      <w:proofErr w:type="spellEnd"/>
      <w:r w:rsidRPr="004B7604">
        <w:rPr>
          <w:b/>
          <w:sz w:val="24"/>
          <w:szCs w:val="24"/>
        </w:rPr>
        <w:t xml:space="preserve"> population)</w:t>
      </w:r>
    </w:p>
    <w:p w14:paraId="5DDFFEAD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753A0890" w14:textId="7058B6AF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B2164A">
        <w:rPr>
          <w:noProof/>
          <w:sz w:val="24"/>
          <w:szCs w:val="24"/>
        </w:rPr>
        <w:drawing>
          <wp:inline distT="0" distB="0" distL="0" distR="0" wp14:anchorId="1B3AD409" wp14:editId="5A85760D">
            <wp:extent cx="5753100" cy="3169920"/>
            <wp:effectExtent l="0" t="0" r="0" b="0"/>
            <wp:docPr id="852757818" name="Billede 2" descr="Et billede, der indeholder tekst, diagram, linje/række, Kurv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757818" name="Billede 2" descr="Et billede, der indeholder tekst, diagram, linje/række, Kurve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774B9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i/>
          <w:iCs/>
          <w:sz w:val="24"/>
          <w:szCs w:val="24"/>
        </w:rPr>
        <w:t>Log-rank-test</w:t>
      </w:r>
      <w:r w:rsidRPr="004B7604">
        <w:rPr>
          <w:sz w:val="24"/>
          <w:szCs w:val="24"/>
        </w:rPr>
        <w:t xml:space="preserve"> stratificeret ved funktionel aktivitet: p = 0,000072, HR = 0,34 [95 % CI 0,20-0,59]</w:t>
      </w:r>
    </w:p>
    <w:p w14:paraId="71F5B326" w14:textId="1DDB4402" w:rsidR="00EC7E21" w:rsidRDefault="00EC7E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FCCCCED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79E69FC1" w14:textId="77777777" w:rsidR="004B7604" w:rsidRPr="004B7604" w:rsidRDefault="004B7604" w:rsidP="004B7604">
      <w:pPr>
        <w:tabs>
          <w:tab w:val="left" w:pos="851"/>
        </w:tabs>
        <w:ind w:left="851"/>
        <w:rPr>
          <w:b/>
          <w:sz w:val="24"/>
          <w:szCs w:val="24"/>
        </w:rPr>
      </w:pPr>
      <w:r w:rsidRPr="004B7604">
        <w:rPr>
          <w:b/>
          <w:sz w:val="24"/>
          <w:szCs w:val="24"/>
        </w:rPr>
        <w:t>Tabel 3: TTP-resultater pr. analysepopulation</w:t>
      </w:r>
    </w:p>
    <w:p w14:paraId="1F8B9F22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781"/>
        <w:gridCol w:w="1038"/>
        <w:gridCol w:w="1777"/>
        <w:gridCol w:w="1036"/>
        <w:gridCol w:w="2367"/>
      </w:tblGrid>
      <w:tr w:rsidR="004B7604" w:rsidRPr="00B2164A" w14:paraId="52DA66D0" w14:textId="77777777" w:rsidTr="00564577"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A41B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87F6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2164A">
              <w:rPr>
                <w:b/>
                <w:bCs/>
                <w:sz w:val="22"/>
                <w:szCs w:val="22"/>
                <w:lang w:val="en-GB"/>
              </w:rPr>
              <w:t>TTP-</w:t>
            </w: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hændelser</w:t>
            </w:r>
            <w:proofErr w:type="spellEnd"/>
          </w:p>
        </w:tc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AE47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</w:rPr>
            </w:pPr>
            <w:r w:rsidRPr="00B2164A">
              <w:rPr>
                <w:b/>
                <w:bCs/>
                <w:sz w:val="22"/>
                <w:szCs w:val="22"/>
              </w:rPr>
              <w:t>Mediantid til tumorprogression</w:t>
            </w:r>
          </w:p>
          <w:p w14:paraId="2B1E9F54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</w:rPr>
            </w:pPr>
            <w:r w:rsidRPr="00B2164A">
              <w:rPr>
                <w:b/>
                <w:bCs/>
                <w:sz w:val="22"/>
                <w:szCs w:val="22"/>
              </w:rPr>
              <w:t>måneder [95 % CI]</w:t>
            </w:r>
          </w:p>
        </w:tc>
        <w:tc>
          <w:tcPr>
            <w:tcW w:w="1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32292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2164A">
              <w:rPr>
                <w:b/>
                <w:bCs/>
                <w:sz w:val="22"/>
                <w:szCs w:val="22"/>
                <w:lang w:val="en-GB"/>
              </w:rPr>
              <w:t>HR [95 % CI]</w:t>
            </w:r>
          </w:p>
          <w:p w14:paraId="4EE218B3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2164A">
              <w:rPr>
                <w:b/>
                <w:bCs/>
                <w:sz w:val="22"/>
                <w:szCs w:val="22"/>
                <w:lang w:val="en-GB"/>
              </w:rPr>
              <w:t>p-</w:t>
            </w: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værdi</w:t>
            </w:r>
            <w:proofErr w:type="spellEnd"/>
            <w:r w:rsidRPr="00B2164A">
              <w:rPr>
                <w:b/>
                <w:bCs/>
                <w:sz w:val="22"/>
                <w:szCs w:val="22"/>
                <w:lang w:val="en-GB"/>
              </w:rPr>
              <w:t>*</w:t>
            </w:r>
          </w:p>
        </w:tc>
      </w:tr>
      <w:tr w:rsidR="004B7604" w:rsidRPr="00B2164A" w14:paraId="15D8EF83" w14:textId="77777777" w:rsidTr="00564577"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26F6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6655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Octreotid</w:t>
            </w:r>
            <w:proofErr w:type="spellEnd"/>
            <w:r w:rsidRPr="00B2164A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depotinjektion</w:t>
            </w:r>
            <w:proofErr w:type="spellEnd"/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C935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2164A">
              <w:rPr>
                <w:b/>
                <w:bCs/>
                <w:sz w:val="22"/>
                <w:szCs w:val="22"/>
                <w:lang w:val="en-GB"/>
              </w:rPr>
              <w:t>Placebo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D989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Octreotid</w:t>
            </w:r>
            <w:proofErr w:type="spellEnd"/>
            <w:r w:rsidRPr="00B2164A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2164A">
              <w:rPr>
                <w:b/>
                <w:bCs/>
                <w:sz w:val="22"/>
                <w:szCs w:val="22"/>
                <w:lang w:val="en-GB"/>
              </w:rPr>
              <w:t>depotinjektion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2A2C" w14:textId="77777777" w:rsidR="004B7604" w:rsidRPr="00B2164A" w:rsidRDefault="004B7604" w:rsidP="004B7604">
            <w:pPr>
              <w:rPr>
                <w:b/>
                <w:bCs/>
                <w:sz w:val="22"/>
                <w:szCs w:val="22"/>
                <w:lang w:val="en-GB"/>
              </w:rPr>
            </w:pPr>
            <w:r w:rsidRPr="00B2164A">
              <w:rPr>
                <w:b/>
                <w:bCs/>
                <w:sz w:val="22"/>
                <w:szCs w:val="22"/>
                <w:lang w:val="en-GB"/>
              </w:rPr>
              <w:t>Placebo</w:t>
            </w:r>
          </w:p>
        </w:tc>
        <w:tc>
          <w:tcPr>
            <w:tcW w:w="1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A5D1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</w:p>
        </w:tc>
      </w:tr>
      <w:tr w:rsidR="004B7604" w:rsidRPr="00B2164A" w14:paraId="201D5E15" w14:textId="77777777" w:rsidTr="00564577"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2AFD" w14:textId="77777777" w:rsidR="004B7604" w:rsidRPr="00B2164A" w:rsidRDefault="004B7604" w:rsidP="004B7604">
            <w:pPr>
              <w:rPr>
                <w:bCs/>
                <w:i/>
                <w:sz w:val="22"/>
                <w:szCs w:val="22"/>
                <w:lang w:val="en-GB"/>
              </w:rPr>
            </w:pPr>
            <w:r w:rsidRPr="00B2164A">
              <w:rPr>
                <w:bCs/>
                <w:i/>
                <w:sz w:val="22"/>
                <w:szCs w:val="22"/>
                <w:lang w:val="en-GB"/>
              </w:rPr>
              <w:t>Intent-to-treat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00CD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26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B0F4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41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83D8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NR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AB0C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NR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99F6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0,32</w:t>
            </w:r>
          </w:p>
          <w:p w14:paraId="3FEA71D2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[95 % CI 0,19</w:t>
            </w:r>
            <w:r w:rsidRPr="00B2164A">
              <w:rPr>
                <w:sz w:val="22"/>
                <w:szCs w:val="22"/>
                <w:lang w:val="en-GB"/>
              </w:rPr>
              <w:noBreakHyphen/>
              <w:t>0,55] p = 0,000015</w:t>
            </w:r>
          </w:p>
        </w:tc>
      </w:tr>
      <w:tr w:rsidR="004B7604" w:rsidRPr="00B2164A" w14:paraId="57C4C449" w14:textId="77777777" w:rsidTr="00564577"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0879" w14:textId="77777777" w:rsidR="004B7604" w:rsidRPr="00B2164A" w:rsidRDefault="004B7604" w:rsidP="004B7604">
            <w:pPr>
              <w:rPr>
                <w:bCs/>
                <w:sz w:val="22"/>
                <w:szCs w:val="22"/>
                <w:lang w:val="en-GB"/>
              </w:rPr>
            </w:pPr>
            <w:proofErr w:type="spellStart"/>
            <w:r w:rsidRPr="00B2164A">
              <w:rPr>
                <w:bCs/>
                <w:sz w:val="22"/>
                <w:szCs w:val="22"/>
                <w:lang w:val="en-GB"/>
              </w:rPr>
              <w:t>Konservativ</w:t>
            </w:r>
            <w:proofErr w:type="spellEnd"/>
            <w:r w:rsidRPr="00B2164A">
              <w:rPr>
                <w:bCs/>
                <w:sz w:val="22"/>
                <w:szCs w:val="22"/>
                <w:lang w:val="en-GB"/>
              </w:rPr>
              <w:t xml:space="preserve"> </w:t>
            </w:r>
            <w:r w:rsidRPr="00B2164A">
              <w:rPr>
                <w:bCs/>
                <w:i/>
                <w:sz w:val="22"/>
                <w:szCs w:val="22"/>
                <w:lang w:val="en-GB"/>
              </w:rPr>
              <w:t>intent-to-treat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D050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26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7C68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40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7879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14,3</w:t>
            </w:r>
          </w:p>
          <w:p w14:paraId="3E3F99DE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[95 % CI, 11,0</w:t>
            </w:r>
            <w:r w:rsidRPr="00B2164A">
              <w:rPr>
                <w:sz w:val="22"/>
                <w:szCs w:val="22"/>
                <w:lang w:val="en-GB"/>
              </w:rPr>
              <w:noBreakHyphen/>
              <w:t>28,8]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A04F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6,0</w:t>
            </w:r>
          </w:p>
          <w:p w14:paraId="4B58B530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[95 % CI, 3,7</w:t>
            </w:r>
            <w:r w:rsidRPr="00B2164A">
              <w:rPr>
                <w:sz w:val="22"/>
                <w:szCs w:val="22"/>
                <w:lang w:val="en-GB"/>
              </w:rPr>
              <w:noBreakHyphen/>
              <w:t>9,4]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DF03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0,34</w:t>
            </w:r>
          </w:p>
          <w:p w14:paraId="1F173123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[95 % CI 0,20</w:t>
            </w:r>
            <w:r w:rsidRPr="00B2164A">
              <w:rPr>
                <w:sz w:val="22"/>
                <w:szCs w:val="22"/>
                <w:lang w:val="en-GB"/>
              </w:rPr>
              <w:noBreakHyphen/>
              <w:t>0,59] p = 0,000072</w:t>
            </w:r>
          </w:p>
        </w:tc>
      </w:tr>
      <w:tr w:rsidR="004B7604" w:rsidRPr="00B2164A" w14:paraId="01CE647F" w14:textId="77777777" w:rsidTr="00564577"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03AE" w14:textId="77777777" w:rsidR="004B7604" w:rsidRPr="00B2164A" w:rsidRDefault="004B7604" w:rsidP="004B7604">
            <w:pPr>
              <w:rPr>
                <w:bCs/>
                <w:i/>
                <w:sz w:val="22"/>
                <w:szCs w:val="22"/>
                <w:lang w:val="en-GB"/>
              </w:rPr>
            </w:pPr>
            <w:r w:rsidRPr="00B2164A">
              <w:rPr>
                <w:bCs/>
                <w:i/>
                <w:sz w:val="22"/>
                <w:szCs w:val="22"/>
                <w:lang w:val="en-GB"/>
              </w:rPr>
              <w:t xml:space="preserve">Per </w:t>
            </w:r>
            <w:proofErr w:type="spellStart"/>
            <w:r w:rsidRPr="00B2164A">
              <w:rPr>
                <w:bCs/>
                <w:i/>
                <w:sz w:val="22"/>
                <w:szCs w:val="22"/>
                <w:lang w:val="en-GB"/>
              </w:rPr>
              <w:t>protokol</w:t>
            </w:r>
            <w:proofErr w:type="spellEnd"/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F7E9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19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8D59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38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51CB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NR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B702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NR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8E89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0,24</w:t>
            </w:r>
          </w:p>
          <w:p w14:paraId="25BDEA33" w14:textId="77777777" w:rsidR="004B7604" w:rsidRPr="00B2164A" w:rsidRDefault="004B7604" w:rsidP="004B7604">
            <w:pPr>
              <w:rPr>
                <w:sz w:val="22"/>
                <w:szCs w:val="22"/>
                <w:lang w:val="en-GB"/>
              </w:rPr>
            </w:pPr>
            <w:r w:rsidRPr="00B2164A">
              <w:rPr>
                <w:sz w:val="22"/>
                <w:szCs w:val="22"/>
                <w:lang w:val="en-GB"/>
              </w:rPr>
              <w:t>[95 % CI 0,13</w:t>
            </w:r>
            <w:r w:rsidRPr="00B2164A">
              <w:rPr>
                <w:sz w:val="22"/>
                <w:szCs w:val="22"/>
                <w:lang w:val="en-GB"/>
              </w:rPr>
              <w:noBreakHyphen/>
              <w:t>0,45] p = 0,0000036</w:t>
            </w:r>
          </w:p>
        </w:tc>
      </w:tr>
      <w:tr w:rsidR="004B7604" w:rsidRPr="00B2164A" w14:paraId="1E14B903" w14:textId="77777777" w:rsidTr="0056457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17ED" w14:textId="77777777" w:rsidR="004B7604" w:rsidRPr="00B2164A" w:rsidRDefault="004B7604" w:rsidP="004B7604">
            <w:pPr>
              <w:rPr>
                <w:sz w:val="22"/>
                <w:szCs w:val="22"/>
              </w:rPr>
            </w:pPr>
            <w:r w:rsidRPr="00B2164A">
              <w:rPr>
                <w:sz w:val="22"/>
                <w:szCs w:val="22"/>
              </w:rPr>
              <w:t>NR = Ikke rapporteret; HR = </w:t>
            </w:r>
            <w:proofErr w:type="spellStart"/>
            <w:r w:rsidRPr="00B2164A">
              <w:rPr>
                <w:i/>
                <w:sz w:val="22"/>
                <w:szCs w:val="22"/>
              </w:rPr>
              <w:t>Hazard</w:t>
            </w:r>
            <w:proofErr w:type="spellEnd"/>
            <w:r w:rsidRPr="00B2164A">
              <w:rPr>
                <w:i/>
                <w:sz w:val="22"/>
                <w:szCs w:val="22"/>
              </w:rPr>
              <w:t xml:space="preserve"> ratio</w:t>
            </w:r>
          </w:p>
          <w:p w14:paraId="138CDD5B" w14:textId="77777777" w:rsidR="004B7604" w:rsidRPr="00B2164A" w:rsidRDefault="004B7604" w:rsidP="004B7604">
            <w:pPr>
              <w:rPr>
                <w:sz w:val="22"/>
                <w:szCs w:val="22"/>
              </w:rPr>
            </w:pPr>
            <w:r w:rsidRPr="00B2164A">
              <w:rPr>
                <w:sz w:val="22"/>
                <w:szCs w:val="22"/>
              </w:rPr>
              <w:t>*</w:t>
            </w:r>
            <w:r w:rsidRPr="00B2164A">
              <w:rPr>
                <w:i/>
                <w:iCs/>
                <w:sz w:val="22"/>
                <w:szCs w:val="22"/>
              </w:rPr>
              <w:t>Log-rank-test</w:t>
            </w:r>
            <w:r w:rsidRPr="00B2164A">
              <w:rPr>
                <w:sz w:val="22"/>
                <w:szCs w:val="22"/>
              </w:rPr>
              <w:t xml:space="preserve"> stratificeret ved funktionel aktivitet</w:t>
            </w:r>
          </w:p>
        </w:tc>
      </w:tr>
    </w:tbl>
    <w:p w14:paraId="1C0A707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789974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Behandlingseffekten var sammenlignelig hos patienter med funktionelt aktive (HR = 0,23; 95 % CI 0,09</w:t>
      </w:r>
      <w:r w:rsidRPr="004B7604">
        <w:rPr>
          <w:sz w:val="24"/>
          <w:szCs w:val="24"/>
        </w:rPr>
        <w:noBreakHyphen/>
        <w:t>0,57) og inaktive tumorer (HR = 0,25; 95 % CI 0,10</w:t>
      </w:r>
      <w:r w:rsidRPr="004B7604">
        <w:rPr>
          <w:sz w:val="24"/>
          <w:szCs w:val="24"/>
        </w:rPr>
        <w:noBreakHyphen/>
        <w:t>0,59).</w:t>
      </w:r>
    </w:p>
    <w:p w14:paraId="547CE63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698B601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Efter 6 måneders behandling blev der observeret stabil sygdom hos 67 % af patienterne i gruppen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og hos 37 % af patienterne i gruppen med placebo.</w:t>
      </w:r>
    </w:p>
    <w:p w14:paraId="3B8B1F0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332212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På baggrund af den signifikante kliniske fordel ved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depotinjektion, observeret i denne forud planlagte </w:t>
      </w:r>
      <w:proofErr w:type="spellStart"/>
      <w:r w:rsidRPr="004B7604">
        <w:rPr>
          <w:sz w:val="24"/>
          <w:szCs w:val="24"/>
        </w:rPr>
        <w:t>interimanalyse</w:t>
      </w:r>
      <w:proofErr w:type="spellEnd"/>
      <w:r w:rsidRPr="004B7604">
        <w:rPr>
          <w:sz w:val="24"/>
          <w:szCs w:val="24"/>
        </w:rPr>
        <w:t>, blev yderligere rekruttering stoppet.</w:t>
      </w:r>
    </w:p>
    <w:p w14:paraId="152E3481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8A0E4D9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Sikkerheden ved brug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i dette studie var overensstemmende med lægemidlets allerede kendte sikkerhedsprofil.</w:t>
      </w:r>
    </w:p>
    <w:p w14:paraId="3F78243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F11FB1D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 xml:space="preserve">Behandling af TSH-secernerende </w:t>
      </w:r>
      <w:proofErr w:type="spellStart"/>
      <w:r w:rsidRPr="004B7604">
        <w:rPr>
          <w:sz w:val="24"/>
          <w:szCs w:val="24"/>
          <w:u w:val="single"/>
        </w:rPr>
        <w:t>hypofyseadenomer</w:t>
      </w:r>
      <w:proofErr w:type="spellEnd"/>
    </w:p>
    <w:p w14:paraId="6FDB7D0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 er vist, at én intramuskulær injektion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hver 4. uge supprimerer forhøjede </w:t>
      </w:r>
      <w:proofErr w:type="spellStart"/>
      <w:r w:rsidRPr="004B7604">
        <w:rPr>
          <w:sz w:val="24"/>
          <w:szCs w:val="24"/>
        </w:rPr>
        <w:t>thyroideahormoner</w:t>
      </w:r>
      <w:proofErr w:type="spellEnd"/>
      <w:r w:rsidRPr="004B7604">
        <w:rPr>
          <w:sz w:val="24"/>
          <w:szCs w:val="24"/>
        </w:rPr>
        <w:t xml:space="preserve">, normaliserer TSH og forbedrer de kliniske symptomer på </w:t>
      </w:r>
      <w:proofErr w:type="spellStart"/>
      <w:r w:rsidRPr="004B7604">
        <w:rPr>
          <w:sz w:val="24"/>
          <w:szCs w:val="24"/>
        </w:rPr>
        <w:t>hypertyroidisme</w:t>
      </w:r>
      <w:proofErr w:type="spellEnd"/>
      <w:r w:rsidRPr="004B7604">
        <w:rPr>
          <w:sz w:val="24"/>
          <w:szCs w:val="24"/>
        </w:rPr>
        <w:t xml:space="preserve"> hos patienter med TSH-secernerende </w:t>
      </w:r>
      <w:proofErr w:type="spellStart"/>
      <w:r w:rsidRPr="004B7604">
        <w:rPr>
          <w:sz w:val="24"/>
          <w:szCs w:val="24"/>
        </w:rPr>
        <w:t>adenomer</w:t>
      </w:r>
      <w:proofErr w:type="spellEnd"/>
      <w:r w:rsidRPr="004B7604">
        <w:rPr>
          <w:sz w:val="24"/>
          <w:szCs w:val="24"/>
        </w:rPr>
        <w:t xml:space="preserve">. Effekten af behandling med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nåede statistisk signifikans efter 28 dage sammenlignet med </w:t>
      </w:r>
      <w:r w:rsidRPr="004B7604">
        <w:rPr>
          <w:i/>
          <w:sz w:val="24"/>
          <w:szCs w:val="24"/>
        </w:rPr>
        <w:t>baseline</w:t>
      </w:r>
      <w:r w:rsidRPr="004B7604">
        <w:rPr>
          <w:sz w:val="24"/>
          <w:szCs w:val="24"/>
        </w:rPr>
        <w:t>, og virkningen fortsatte i op til 6 måneder.</w:t>
      </w:r>
    </w:p>
    <w:p w14:paraId="2D24B996" w14:textId="77777777" w:rsidR="009260DE" w:rsidRPr="00B2164A" w:rsidRDefault="009260DE" w:rsidP="004B7604">
      <w:pPr>
        <w:ind w:left="851"/>
        <w:rPr>
          <w:sz w:val="24"/>
          <w:szCs w:val="24"/>
        </w:rPr>
      </w:pPr>
    </w:p>
    <w:p w14:paraId="74F07300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5.2</w:t>
      </w:r>
      <w:r w:rsidRPr="00B2164A">
        <w:rPr>
          <w:b/>
          <w:sz w:val="24"/>
          <w:szCs w:val="24"/>
        </w:rPr>
        <w:tab/>
      </w:r>
      <w:proofErr w:type="spellStart"/>
      <w:r w:rsidRPr="00B2164A">
        <w:rPr>
          <w:b/>
          <w:sz w:val="24"/>
          <w:szCs w:val="24"/>
        </w:rPr>
        <w:t>Farmakokinetiske</w:t>
      </w:r>
      <w:proofErr w:type="spellEnd"/>
      <w:r w:rsidRPr="00B2164A">
        <w:rPr>
          <w:b/>
          <w:sz w:val="24"/>
          <w:szCs w:val="24"/>
        </w:rPr>
        <w:t xml:space="preserve"> egenskaber</w:t>
      </w:r>
    </w:p>
    <w:p w14:paraId="6EAC9818" w14:textId="77777777" w:rsidR="00CE3E77" w:rsidRDefault="00CE3E77" w:rsidP="004B7604">
      <w:pPr>
        <w:ind w:left="851"/>
        <w:rPr>
          <w:sz w:val="24"/>
          <w:szCs w:val="24"/>
          <w:u w:val="single"/>
        </w:rPr>
      </w:pPr>
    </w:p>
    <w:p w14:paraId="6C3ED5F2" w14:textId="20A82BFF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Absorption</w:t>
      </w:r>
    </w:p>
    <w:p w14:paraId="41A2A68A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Efter intramuskulær enkeltinjektioner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når serum-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et kortvarigt initialt maksimum inden for 1 time efter administration, efterfulgt af et progressivt fald til et lavt ikke-</w:t>
      </w:r>
      <w:proofErr w:type="spellStart"/>
      <w:r w:rsidRPr="004B7604">
        <w:rPr>
          <w:sz w:val="24"/>
          <w:szCs w:val="24"/>
        </w:rPr>
        <w:t>detekterbart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-niveau inden for 24 timer. Efter dette initiale maksimum på dag 1 opretholdes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-koncentrationen på et subterapeutisk niveau hos de fleste patienter de følgende 7 dage. Herefter stiger plasmakoncentrationen igen og når omkring dag 14 en plateau-koncentration, som forbliver relativt konstant de efterfølgende 3</w:t>
      </w:r>
      <w:r w:rsidRPr="004B7604">
        <w:rPr>
          <w:sz w:val="24"/>
          <w:szCs w:val="24"/>
        </w:rPr>
        <w:noBreakHyphen/>
        <w:t xml:space="preserve">4 uger. Maksimumkoncentrationen, som ses den første dag, er lavere end koncentrationen i plateaufasen, og mindre end 0,5 % af den totale lægemiddelfrigivelse finder sted i løbet af den første dag. Efter ca. dag 42 falder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-koncentrationen langsomt sideløbende med den afsluttende nedbrydning af lægemiddelformens polymermatrix.</w:t>
      </w:r>
    </w:p>
    <w:p w14:paraId="17DBDF4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6910F317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For akromegali-patienter er plateau-koncentrationerne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efter en enkelt dosis på 10 mg, 20 mg og 30 mg henholdsvis 358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/l, 926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 og 1.710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 xml:space="preserve">/l. </w:t>
      </w:r>
      <w:proofErr w:type="spellStart"/>
      <w:r w:rsidRPr="004B7604">
        <w:rPr>
          <w:i/>
          <w:sz w:val="24"/>
          <w:szCs w:val="24"/>
        </w:rPr>
        <w:t>Steady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state</w:t>
      </w:r>
      <w:proofErr w:type="spellEnd"/>
      <w:r w:rsidRPr="004B7604">
        <w:rPr>
          <w:sz w:val="24"/>
          <w:szCs w:val="24"/>
        </w:rPr>
        <w:t xml:space="preserve"> nås efter 3 injektioner med 4 ugers interval, og plateau-koncentrationerne er ca. 1,6 til 1,8 gange højere svarende til ca. 1.557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 og 2.384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 xml:space="preserve">/l efter flere injektioner af henholdsvis 20 mg og 30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depotinjektion.</w:t>
      </w:r>
    </w:p>
    <w:p w14:paraId="4A4AACD2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DD4CA9C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Hos patienter med </w:t>
      </w:r>
      <w:proofErr w:type="spellStart"/>
      <w:r w:rsidRPr="004B7604">
        <w:rPr>
          <w:sz w:val="24"/>
          <w:szCs w:val="24"/>
        </w:rPr>
        <w:t>karcinoide</w:t>
      </w:r>
      <w:proofErr w:type="spellEnd"/>
      <w:r w:rsidRPr="004B7604">
        <w:rPr>
          <w:sz w:val="24"/>
          <w:szCs w:val="24"/>
        </w:rPr>
        <w:t xml:space="preserve"> tumorer steg middel (og median) </w:t>
      </w:r>
      <w:proofErr w:type="spellStart"/>
      <w:r w:rsidRPr="004B7604">
        <w:rPr>
          <w:i/>
          <w:sz w:val="24"/>
          <w:szCs w:val="24"/>
        </w:rPr>
        <w:t>steady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state</w:t>
      </w:r>
      <w:proofErr w:type="spellEnd"/>
      <w:r w:rsidRPr="004B7604">
        <w:rPr>
          <w:sz w:val="24"/>
          <w:szCs w:val="24"/>
        </w:rPr>
        <w:t xml:space="preserve"> serumkoncentrationen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også lineært efter gentagne injektioner med 10 mg, 20 mg og 30 mg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administreret hver 4. uge og var henholdsvis 1.231 (894)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/l, 2.620 (2.270)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 og 3.928 (3.010)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/l.</w:t>
      </w:r>
    </w:p>
    <w:p w14:paraId="576D7FBD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ECA50ED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akkumuleres ikke i kroppen, ud over hvad der forventes for overlappende udløsningsprofiler, vurderet på baggrund af data fra behandling med månedlige injektioner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i op til 28 måneder.</w:t>
      </w:r>
    </w:p>
    <w:p w14:paraId="528F50B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F18544B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Fordeling og biotransformation</w:t>
      </w:r>
    </w:p>
    <w:p w14:paraId="4366BCF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Den </w:t>
      </w:r>
      <w:proofErr w:type="spellStart"/>
      <w:r w:rsidRPr="004B7604">
        <w:rPr>
          <w:sz w:val="24"/>
          <w:szCs w:val="24"/>
        </w:rPr>
        <w:t>farmakokinetiske</w:t>
      </w:r>
      <w:proofErr w:type="spellEnd"/>
      <w:r w:rsidRPr="004B7604">
        <w:rPr>
          <w:sz w:val="24"/>
          <w:szCs w:val="24"/>
        </w:rPr>
        <w:t xml:space="preserve"> profil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efter injektion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afspejler udløsningsprofilen fra polymermatrixen og dets </w:t>
      </w:r>
      <w:proofErr w:type="spellStart"/>
      <w:r w:rsidRPr="004B7604">
        <w:rPr>
          <w:sz w:val="24"/>
          <w:szCs w:val="24"/>
        </w:rPr>
        <w:t>metabolisering</w:t>
      </w:r>
      <w:proofErr w:type="spellEnd"/>
      <w:r w:rsidRPr="004B7604">
        <w:rPr>
          <w:sz w:val="24"/>
          <w:szCs w:val="24"/>
        </w:rPr>
        <w:t xml:space="preserve">. Efter frigivelse til det systemiske kredsløb fordeles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i overensstemmelse med dets kendte </w:t>
      </w:r>
      <w:proofErr w:type="spellStart"/>
      <w:r w:rsidRPr="004B7604">
        <w:rPr>
          <w:sz w:val="24"/>
          <w:szCs w:val="24"/>
        </w:rPr>
        <w:t>farmakokinetiske</w:t>
      </w:r>
      <w:proofErr w:type="spellEnd"/>
      <w:r w:rsidRPr="004B7604">
        <w:rPr>
          <w:sz w:val="24"/>
          <w:szCs w:val="24"/>
        </w:rPr>
        <w:t xml:space="preserve"> egenskaber som beskrevet for subkutan administration. </w:t>
      </w:r>
      <w:proofErr w:type="spellStart"/>
      <w:r w:rsidRPr="004B7604">
        <w:rPr>
          <w:i/>
          <w:sz w:val="24"/>
          <w:szCs w:val="24"/>
        </w:rPr>
        <w:t>Steady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state</w:t>
      </w:r>
      <w:r w:rsidRPr="004B7604">
        <w:rPr>
          <w:sz w:val="24"/>
          <w:szCs w:val="24"/>
        </w:rPr>
        <w:t>-fordelingsvolumet</w:t>
      </w:r>
      <w:proofErr w:type="spellEnd"/>
      <w:r w:rsidRPr="004B7604">
        <w:rPr>
          <w:sz w:val="24"/>
          <w:szCs w:val="24"/>
        </w:rPr>
        <w:t xml:space="preserve">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er 0,27 l/kg og total </w:t>
      </w:r>
      <w:proofErr w:type="spellStart"/>
      <w:r w:rsidRPr="004B7604">
        <w:rPr>
          <w:sz w:val="24"/>
          <w:szCs w:val="24"/>
        </w:rPr>
        <w:t>clearance</w:t>
      </w:r>
      <w:proofErr w:type="spellEnd"/>
      <w:r w:rsidRPr="004B7604">
        <w:rPr>
          <w:sz w:val="24"/>
          <w:szCs w:val="24"/>
        </w:rPr>
        <w:t xml:space="preserve"> er 160 ml/min. Plasmaproteinbindingen er ca. 65 %, og bindingen til blodlegemer er negligeabel.</w:t>
      </w:r>
    </w:p>
    <w:p w14:paraId="576BB235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9A085BA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Farmakokinetiske</w:t>
      </w:r>
      <w:proofErr w:type="spellEnd"/>
      <w:r w:rsidRPr="004B7604">
        <w:rPr>
          <w:sz w:val="24"/>
          <w:szCs w:val="24"/>
        </w:rPr>
        <w:t xml:space="preserve"> data fra et begrænset antal blodprøver fra pædiatriske patienter i alderen 7 til 17 år med </w:t>
      </w:r>
      <w:proofErr w:type="spellStart"/>
      <w:r w:rsidRPr="004B7604">
        <w:rPr>
          <w:sz w:val="24"/>
          <w:szCs w:val="24"/>
        </w:rPr>
        <w:t>hypothalamisk</w:t>
      </w:r>
      <w:proofErr w:type="spellEnd"/>
      <w:r w:rsidRPr="004B7604">
        <w:rPr>
          <w:sz w:val="24"/>
          <w:szCs w:val="24"/>
        </w:rPr>
        <w:t xml:space="preserve"> fedme, der fik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depotinjektion 40 mg én gang om måneden, viste gennemsnitlige dal-plasmakoncentrationer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på 1.395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>/l efter den første injektion og 2.973 </w:t>
      </w:r>
      <w:proofErr w:type="spellStart"/>
      <w:r w:rsidRPr="004B7604">
        <w:rPr>
          <w:sz w:val="24"/>
          <w:szCs w:val="24"/>
        </w:rPr>
        <w:t>ng</w:t>
      </w:r>
      <w:proofErr w:type="spellEnd"/>
      <w:r w:rsidRPr="004B7604">
        <w:rPr>
          <w:sz w:val="24"/>
          <w:szCs w:val="24"/>
        </w:rPr>
        <w:t xml:space="preserve">/l ved </w:t>
      </w:r>
      <w:proofErr w:type="spellStart"/>
      <w:r w:rsidRPr="004B7604">
        <w:rPr>
          <w:i/>
          <w:sz w:val="24"/>
          <w:szCs w:val="24"/>
        </w:rPr>
        <w:t>steady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state</w:t>
      </w:r>
      <w:proofErr w:type="spellEnd"/>
      <w:r w:rsidRPr="004B7604">
        <w:rPr>
          <w:sz w:val="24"/>
          <w:szCs w:val="24"/>
        </w:rPr>
        <w:t xml:space="preserve">. Der blev observeret en høj </w:t>
      </w:r>
      <w:proofErr w:type="spellStart"/>
      <w:r w:rsidRPr="004B7604">
        <w:rPr>
          <w:sz w:val="24"/>
          <w:szCs w:val="24"/>
        </w:rPr>
        <w:t>interindividuel</w:t>
      </w:r>
      <w:proofErr w:type="spellEnd"/>
      <w:r w:rsidRPr="004B7604">
        <w:rPr>
          <w:sz w:val="24"/>
          <w:szCs w:val="24"/>
        </w:rPr>
        <w:t xml:space="preserve"> variation.</w:t>
      </w:r>
    </w:p>
    <w:p w14:paraId="7E370EAD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213B0872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i/>
          <w:sz w:val="24"/>
          <w:szCs w:val="24"/>
        </w:rPr>
        <w:t>Steady</w:t>
      </w:r>
      <w:proofErr w:type="spellEnd"/>
      <w:r w:rsidRPr="004B7604">
        <w:rPr>
          <w:i/>
          <w:sz w:val="24"/>
          <w:szCs w:val="24"/>
        </w:rPr>
        <w:t xml:space="preserve"> </w:t>
      </w:r>
      <w:proofErr w:type="spellStart"/>
      <w:r w:rsidRPr="004B7604">
        <w:rPr>
          <w:i/>
          <w:sz w:val="24"/>
          <w:szCs w:val="24"/>
        </w:rPr>
        <w:t>state</w:t>
      </w:r>
      <w:proofErr w:type="spellEnd"/>
      <w:r w:rsidRPr="004B7604">
        <w:rPr>
          <w:sz w:val="24"/>
          <w:szCs w:val="24"/>
        </w:rPr>
        <w:t xml:space="preserve">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>-dal-koncentrationen korrelerede ikke med alder og BMI, men korrelerede moderat med kropsvægt (52,3</w:t>
      </w:r>
      <w:r w:rsidRPr="004B7604">
        <w:rPr>
          <w:sz w:val="24"/>
          <w:szCs w:val="24"/>
        </w:rPr>
        <w:noBreakHyphen/>
        <w:t>133 kg) og var signifikant forskellig mellem mandlige og kvindelige patienter, dvs. ca. 17 % højere for kvindelige patienter.</w:t>
      </w:r>
    </w:p>
    <w:p w14:paraId="7D87DE31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063F5D6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5.3</w:t>
      </w:r>
      <w:r w:rsidRPr="00B2164A">
        <w:rPr>
          <w:b/>
          <w:sz w:val="24"/>
          <w:szCs w:val="24"/>
        </w:rPr>
        <w:tab/>
      </w:r>
      <w:r w:rsidR="00BD7931" w:rsidRPr="00B2164A">
        <w:rPr>
          <w:b/>
          <w:sz w:val="24"/>
          <w:szCs w:val="24"/>
        </w:rPr>
        <w:t>Non-</w:t>
      </w:r>
      <w:r w:rsidRPr="00B2164A">
        <w:rPr>
          <w:b/>
          <w:sz w:val="24"/>
          <w:szCs w:val="24"/>
        </w:rPr>
        <w:t>kliniske sikkerhedsdata</w:t>
      </w:r>
    </w:p>
    <w:p w14:paraId="313232DD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Dyrestudier af toksicitet efter akutte og gentagne doser, genotoksicitet, </w:t>
      </w:r>
      <w:proofErr w:type="spellStart"/>
      <w:r w:rsidRPr="004B7604">
        <w:rPr>
          <w:sz w:val="24"/>
          <w:szCs w:val="24"/>
        </w:rPr>
        <w:t>karcinogenicitet</w:t>
      </w:r>
      <w:proofErr w:type="spellEnd"/>
      <w:r w:rsidRPr="004B7604">
        <w:rPr>
          <w:sz w:val="24"/>
          <w:szCs w:val="24"/>
        </w:rPr>
        <w:t xml:space="preserve"> og reproduktionstoksicitet viste ingen speciel risiko for mennesker.</w:t>
      </w:r>
    </w:p>
    <w:p w14:paraId="6DD622B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AFEF64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Reproduktionsstudier hos dyr viste ikke evidens for </w:t>
      </w:r>
      <w:proofErr w:type="spellStart"/>
      <w:r w:rsidRPr="004B7604">
        <w:rPr>
          <w:sz w:val="24"/>
          <w:szCs w:val="24"/>
        </w:rPr>
        <w:t>teratogenicitet</w:t>
      </w:r>
      <w:proofErr w:type="spellEnd"/>
      <w:r w:rsidRPr="004B7604">
        <w:rPr>
          <w:sz w:val="24"/>
          <w:szCs w:val="24"/>
        </w:rPr>
        <w:t>, embryo/</w:t>
      </w:r>
      <w:proofErr w:type="spellStart"/>
      <w:r w:rsidRPr="004B7604">
        <w:rPr>
          <w:sz w:val="24"/>
          <w:szCs w:val="24"/>
        </w:rPr>
        <w:t>føtal</w:t>
      </w:r>
      <w:proofErr w:type="spellEnd"/>
      <w:r w:rsidRPr="004B7604">
        <w:rPr>
          <w:sz w:val="24"/>
          <w:szCs w:val="24"/>
        </w:rPr>
        <w:t xml:space="preserve"> toksicitet eller andre reproduktionspåvirkninger pga. administration af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ved forældredoser på op til 1 mg/kg/dag. Der sås nogen forsinkelse af fysiologisk vækst hos rotteafkom, hvilket var forbigående og kunne tilskrives væksthormonhæmning, udløst af voldsom </w:t>
      </w:r>
      <w:proofErr w:type="spellStart"/>
      <w:r w:rsidRPr="004B7604">
        <w:rPr>
          <w:sz w:val="24"/>
          <w:szCs w:val="24"/>
        </w:rPr>
        <w:t>farmakodynamisk</w:t>
      </w:r>
      <w:proofErr w:type="spellEnd"/>
      <w:r w:rsidRPr="004B7604">
        <w:rPr>
          <w:sz w:val="24"/>
          <w:szCs w:val="24"/>
        </w:rPr>
        <w:t xml:space="preserve"> aktivitet (se pkt. 4.6).</w:t>
      </w:r>
    </w:p>
    <w:p w14:paraId="323A4746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0CD2798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Der blev ikke udført specifikke studier hos unge rotter. I de </w:t>
      </w:r>
      <w:proofErr w:type="gramStart"/>
      <w:r w:rsidRPr="004B7604">
        <w:rPr>
          <w:sz w:val="24"/>
          <w:szCs w:val="24"/>
        </w:rPr>
        <w:t>præ</w:t>
      </w:r>
      <w:proofErr w:type="gramEnd"/>
      <w:r w:rsidRPr="004B7604">
        <w:rPr>
          <w:sz w:val="24"/>
          <w:szCs w:val="24"/>
        </w:rPr>
        <w:noBreakHyphen/>
        <w:t xml:space="preserve">, og </w:t>
      </w:r>
      <w:proofErr w:type="spellStart"/>
      <w:r w:rsidRPr="004B7604">
        <w:rPr>
          <w:sz w:val="24"/>
          <w:szCs w:val="24"/>
        </w:rPr>
        <w:t>postnatale</w:t>
      </w:r>
      <w:proofErr w:type="spellEnd"/>
      <w:r w:rsidRPr="004B7604">
        <w:rPr>
          <w:sz w:val="24"/>
          <w:szCs w:val="24"/>
        </w:rPr>
        <w:t xml:space="preserve"> udviklingsstudier blev der observeret nedsat vækst og modning af F1-afkom fra hunrotter, som fik </w:t>
      </w:r>
      <w:proofErr w:type="spellStart"/>
      <w:r w:rsidRPr="004B7604">
        <w:rPr>
          <w:sz w:val="24"/>
          <w:szCs w:val="24"/>
        </w:rPr>
        <w:t>octreotid</w:t>
      </w:r>
      <w:proofErr w:type="spellEnd"/>
      <w:r w:rsidRPr="004B7604">
        <w:rPr>
          <w:sz w:val="24"/>
          <w:szCs w:val="24"/>
        </w:rPr>
        <w:t xml:space="preserve"> gennem hele drægtigheden og laktationsperioden. Sent nedsunkne testikler sås hos hanligt F1-afkom, men fertiliteten hos de påvirkede F1-hanunger forblev normal. Ovenstående observationer var således forbigående og betragtes som en konsekvens af væksthormonhæmning.</w:t>
      </w:r>
    </w:p>
    <w:p w14:paraId="6AA76251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273A773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9EBC171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</w:t>
      </w:r>
      <w:r w:rsidRPr="00B2164A">
        <w:rPr>
          <w:b/>
          <w:sz w:val="24"/>
          <w:szCs w:val="24"/>
        </w:rPr>
        <w:tab/>
        <w:t>FARMACEUTISKE OPLYSNINGER</w:t>
      </w:r>
    </w:p>
    <w:p w14:paraId="0468DDA7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60BFBB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6.1</w:t>
      </w:r>
      <w:r w:rsidRPr="00B2164A">
        <w:rPr>
          <w:b/>
          <w:sz w:val="24"/>
          <w:szCs w:val="24"/>
        </w:rPr>
        <w:tab/>
        <w:t>Hjælpestoffer</w:t>
      </w:r>
    </w:p>
    <w:p w14:paraId="212C57EE" w14:textId="77777777" w:rsidR="00CE3E77" w:rsidRDefault="00CE3E77" w:rsidP="004B7604">
      <w:pPr>
        <w:ind w:left="851"/>
        <w:rPr>
          <w:sz w:val="24"/>
          <w:szCs w:val="24"/>
          <w:u w:val="single"/>
        </w:rPr>
      </w:pPr>
    </w:p>
    <w:p w14:paraId="42C45F20" w14:textId="6E53D55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Pulver (hætteglas)</w:t>
      </w:r>
    </w:p>
    <w:p w14:paraId="0282332F" w14:textId="77777777" w:rsidR="004B7604" w:rsidRPr="004B7604" w:rsidRDefault="004B7604" w:rsidP="004B7604">
      <w:pPr>
        <w:ind w:left="851"/>
        <w:rPr>
          <w:sz w:val="24"/>
          <w:szCs w:val="24"/>
          <w:lang w:val="en-US"/>
        </w:rPr>
      </w:pPr>
      <w:proofErr w:type="gramStart"/>
      <w:r w:rsidRPr="004B7604">
        <w:rPr>
          <w:sz w:val="24"/>
          <w:szCs w:val="24"/>
          <w:lang w:val="en-US"/>
        </w:rPr>
        <w:t>Poly(</w:t>
      </w:r>
      <w:proofErr w:type="gramEnd"/>
      <w:r w:rsidRPr="004B7604">
        <w:rPr>
          <w:sz w:val="24"/>
          <w:szCs w:val="24"/>
          <w:lang w:val="en-US"/>
        </w:rPr>
        <w:t>DL-</w:t>
      </w:r>
      <w:proofErr w:type="spellStart"/>
      <w:r w:rsidRPr="004B7604">
        <w:rPr>
          <w:sz w:val="24"/>
          <w:szCs w:val="24"/>
          <w:lang w:val="en-US"/>
        </w:rPr>
        <w:t>lactid</w:t>
      </w:r>
      <w:proofErr w:type="spellEnd"/>
      <w:r w:rsidRPr="004B7604">
        <w:rPr>
          <w:sz w:val="24"/>
          <w:szCs w:val="24"/>
          <w:lang w:val="en-US"/>
        </w:rPr>
        <w:t>-co-</w:t>
      </w:r>
      <w:proofErr w:type="spellStart"/>
      <w:r w:rsidRPr="004B7604">
        <w:rPr>
          <w:sz w:val="24"/>
          <w:szCs w:val="24"/>
          <w:lang w:val="en-US"/>
        </w:rPr>
        <w:t>glycolid</w:t>
      </w:r>
      <w:proofErr w:type="spellEnd"/>
      <w:r w:rsidRPr="004B7604">
        <w:rPr>
          <w:sz w:val="24"/>
          <w:szCs w:val="24"/>
          <w:lang w:val="en-US"/>
        </w:rPr>
        <w:t>)</w:t>
      </w:r>
    </w:p>
    <w:p w14:paraId="57F23C68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Mannitol</w:t>
      </w:r>
      <w:proofErr w:type="spellEnd"/>
      <w:r w:rsidRPr="004B7604">
        <w:rPr>
          <w:sz w:val="24"/>
          <w:szCs w:val="24"/>
        </w:rPr>
        <w:t xml:space="preserve"> (E421)</w:t>
      </w:r>
    </w:p>
    <w:p w14:paraId="030453A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80AE1EC" w14:textId="77777777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r w:rsidRPr="004B7604">
        <w:rPr>
          <w:sz w:val="24"/>
          <w:szCs w:val="24"/>
          <w:u w:val="single"/>
        </w:rPr>
        <w:t>Solvens (fyldt sprøjte)</w:t>
      </w:r>
    </w:p>
    <w:p w14:paraId="3489FEEB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Carmellosenatrium</w:t>
      </w:r>
      <w:proofErr w:type="spellEnd"/>
    </w:p>
    <w:p w14:paraId="2D05423B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Mannitol</w:t>
      </w:r>
      <w:proofErr w:type="spellEnd"/>
      <w:r w:rsidRPr="004B7604">
        <w:rPr>
          <w:sz w:val="24"/>
          <w:szCs w:val="24"/>
        </w:rPr>
        <w:t xml:space="preserve"> (E421)</w:t>
      </w:r>
    </w:p>
    <w:p w14:paraId="3DCAA880" w14:textId="77777777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Poloxamer</w:t>
      </w:r>
      <w:proofErr w:type="spellEnd"/>
      <w:r w:rsidRPr="004B7604">
        <w:rPr>
          <w:sz w:val="24"/>
          <w:szCs w:val="24"/>
        </w:rPr>
        <w:t> 188</w:t>
      </w:r>
    </w:p>
    <w:p w14:paraId="22AF12E4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Vand til injektionsvæsker</w:t>
      </w:r>
    </w:p>
    <w:p w14:paraId="1FF562C0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3DA2F40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6.2</w:t>
      </w:r>
      <w:r w:rsidRPr="00B2164A">
        <w:rPr>
          <w:b/>
          <w:sz w:val="24"/>
          <w:szCs w:val="24"/>
        </w:rPr>
        <w:tab/>
        <w:t>Uforligeligheder</w:t>
      </w:r>
    </w:p>
    <w:p w14:paraId="0653577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Da der ikke foreligger studier af eventuelle uforligeligheder, må dette lægemiddel ikke blandes med andre lægemidler.</w:t>
      </w:r>
    </w:p>
    <w:p w14:paraId="11642A86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AC01791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6.3</w:t>
      </w:r>
      <w:r w:rsidRPr="00B2164A">
        <w:rPr>
          <w:b/>
          <w:sz w:val="24"/>
          <w:szCs w:val="24"/>
        </w:rPr>
        <w:tab/>
        <w:t>Opbevaringstid</w:t>
      </w:r>
    </w:p>
    <w:p w14:paraId="7B41E44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3 år</w:t>
      </w:r>
    </w:p>
    <w:p w14:paraId="29DF146B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Dette lægemiddel må ikke opbevares efter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 xml:space="preserve"> (skal anvendes straks).</w:t>
      </w:r>
    </w:p>
    <w:p w14:paraId="453018B5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130C2AD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6.4</w:t>
      </w:r>
      <w:r w:rsidRPr="00B2164A">
        <w:rPr>
          <w:b/>
          <w:sz w:val="24"/>
          <w:szCs w:val="24"/>
        </w:rPr>
        <w:tab/>
        <w:t>Særlige opbevaringsforhold</w:t>
      </w:r>
    </w:p>
    <w:p w14:paraId="1E11E838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Opbevares i den originale yderpakning for at beskytte mod lys.</w:t>
      </w:r>
    </w:p>
    <w:p w14:paraId="300672DA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Opbevares i køleskab (2 °C til 8 °C). Må ikke nedfryses.</w:t>
      </w:r>
    </w:p>
    <w:p w14:paraId="0270EC1E" w14:textId="400164FF" w:rsidR="004B7604" w:rsidRPr="004B7604" w:rsidRDefault="004B7604" w:rsidP="004B7604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kan opbevares ved temperaturer på op til 25 °C på injektionsdagen.</w:t>
      </w:r>
    </w:p>
    <w:p w14:paraId="411EE2FC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8F6BE35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Opbevaringsforhold efter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 xml:space="preserve"> af lægemidlet, se pkt. 6.3.</w:t>
      </w:r>
    </w:p>
    <w:p w14:paraId="474B844A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71EE1CD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6.5</w:t>
      </w:r>
      <w:r w:rsidRPr="00B2164A">
        <w:rPr>
          <w:b/>
          <w:sz w:val="24"/>
          <w:szCs w:val="24"/>
        </w:rPr>
        <w:tab/>
        <w:t>Emballagetype og pakningsstørrelser</w:t>
      </w:r>
    </w:p>
    <w:p w14:paraId="5AB2DFD3" w14:textId="77777777" w:rsidR="00CE3E77" w:rsidRDefault="00CE3E77" w:rsidP="004B7604">
      <w:pPr>
        <w:tabs>
          <w:tab w:val="left" w:pos="851"/>
        </w:tabs>
        <w:ind w:left="851"/>
        <w:rPr>
          <w:sz w:val="24"/>
          <w:szCs w:val="24"/>
          <w:u w:val="single"/>
        </w:rPr>
      </w:pPr>
    </w:p>
    <w:p w14:paraId="3C237835" w14:textId="3D35F989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10 mg:</w:t>
      </w:r>
    </w:p>
    <w:p w14:paraId="37C7507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Hver enkeltpakning indeholder et 6 ml hætteglas med gummiprop (</w:t>
      </w:r>
      <w:proofErr w:type="spellStart"/>
      <w:r w:rsidRPr="004B7604">
        <w:rPr>
          <w:sz w:val="24"/>
          <w:szCs w:val="24"/>
        </w:rPr>
        <w:t>chlorobutylgummi</w:t>
      </w:r>
      <w:proofErr w:type="spellEnd"/>
      <w:r w:rsidRPr="004B7604">
        <w:rPr>
          <w:sz w:val="24"/>
          <w:szCs w:val="24"/>
        </w:rPr>
        <w:t>), forseglet med et aluminiumlåg med en mørkeblå aftagelig forsegling, indeholdende pulver til injektionsvæske, suspension, samt en 3 ml farveløs fyldt glassprøjte med beskyttelseshætte og stempelprop (</w:t>
      </w:r>
      <w:proofErr w:type="spellStart"/>
      <w:r w:rsidRPr="004B7604">
        <w:rPr>
          <w:sz w:val="24"/>
          <w:szCs w:val="24"/>
        </w:rPr>
        <w:t>bromobutylgummi</w:t>
      </w:r>
      <w:proofErr w:type="spellEnd"/>
      <w:r w:rsidRPr="004B7604">
        <w:rPr>
          <w:sz w:val="24"/>
          <w:szCs w:val="24"/>
        </w:rPr>
        <w:t>) med 2 ml solvens, pakket sammen i en forseglet blisterbakke med en hætteglasadapter og en sikkerhedskanyle.</w:t>
      </w:r>
    </w:p>
    <w:p w14:paraId="7465A197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79F513F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Pakningsstørrelser: 1 eller 3 enkeltpakninger.</w:t>
      </w:r>
    </w:p>
    <w:p w14:paraId="4A0AE89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F89627D" w14:textId="44300F8A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20 mg:</w:t>
      </w:r>
    </w:p>
    <w:p w14:paraId="74941E63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Hver enkeltpakning indeholder et 6 ml hætteglas med gummiprop (</w:t>
      </w:r>
      <w:proofErr w:type="spellStart"/>
      <w:r w:rsidRPr="004B7604">
        <w:rPr>
          <w:sz w:val="24"/>
          <w:szCs w:val="24"/>
        </w:rPr>
        <w:t>chlorobutylgummi</w:t>
      </w:r>
      <w:proofErr w:type="spellEnd"/>
      <w:r w:rsidRPr="004B7604">
        <w:rPr>
          <w:sz w:val="24"/>
          <w:szCs w:val="24"/>
        </w:rPr>
        <w:t>), forseglet med et aluminiumlåg med en orange aftagelig forsegling, indeholdende pulver til injektionsvæske, suspension, samt en 3 ml farveløs fyldt glassprøjte med beskyttelseshætte og stempelprop (</w:t>
      </w:r>
      <w:proofErr w:type="spellStart"/>
      <w:r w:rsidRPr="004B7604">
        <w:rPr>
          <w:sz w:val="24"/>
          <w:szCs w:val="24"/>
        </w:rPr>
        <w:t>bromobutylgummi</w:t>
      </w:r>
      <w:proofErr w:type="spellEnd"/>
      <w:r w:rsidRPr="004B7604">
        <w:rPr>
          <w:sz w:val="24"/>
          <w:szCs w:val="24"/>
        </w:rPr>
        <w:t>) med 2 ml solvens, pakket sammen i en forseglet blisterbakke med en hætteglasadapter og en sikkerhedskanyle.</w:t>
      </w:r>
    </w:p>
    <w:p w14:paraId="715EB904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9ECD4CC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Pakningsstørrelser: 1 eller 3 enkeltpakninger.</w:t>
      </w:r>
    </w:p>
    <w:p w14:paraId="6DAC8A2C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0F3DA1B0" w14:textId="2DAF19BF" w:rsidR="004B7604" w:rsidRPr="004B7604" w:rsidRDefault="004B7604" w:rsidP="004B7604">
      <w:pPr>
        <w:ind w:left="851"/>
        <w:rPr>
          <w:sz w:val="24"/>
          <w:szCs w:val="24"/>
          <w:u w:val="single"/>
        </w:rPr>
      </w:pPr>
      <w:proofErr w:type="spellStart"/>
      <w:r w:rsidRPr="004B7604">
        <w:rPr>
          <w:sz w:val="24"/>
          <w:szCs w:val="24"/>
          <w:u w:val="single"/>
        </w:rPr>
        <w:t>Octreotide</w:t>
      </w:r>
      <w:proofErr w:type="spellEnd"/>
      <w:r w:rsidRPr="004B7604">
        <w:rPr>
          <w:sz w:val="24"/>
          <w:szCs w:val="24"/>
          <w:u w:val="single"/>
        </w:rPr>
        <w:t xml:space="preserve"> 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>Orion</w:t>
      </w:r>
      <w:r w:rsidR="00B2164A">
        <w:rPr>
          <w:sz w:val="24"/>
          <w:szCs w:val="24"/>
          <w:u w:val="single"/>
        </w:rPr>
        <w:t>"</w:t>
      </w:r>
      <w:r w:rsidRPr="004B7604">
        <w:rPr>
          <w:sz w:val="24"/>
          <w:szCs w:val="24"/>
          <w:u w:val="single"/>
        </w:rPr>
        <w:t xml:space="preserve"> 30 mg:</w:t>
      </w:r>
    </w:p>
    <w:p w14:paraId="4A709F66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Hver enkeltpakning indeholder et 6 ml hætteglas med gummiprop (</w:t>
      </w:r>
      <w:proofErr w:type="spellStart"/>
      <w:r w:rsidRPr="004B7604">
        <w:rPr>
          <w:sz w:val="24"/>
          <w:szCs w:val="24"/>
        </w:rPr>
        <w:t>chlorobutylgummi</w:t>
      </w:r>
      <w:proofErr w:type="spellEnd"/>
      <w:r w:rsidRPr="004B7604">
        <w:rPr>
          <w:sz w:val="24"/>
          <w:szCs w:val="24"/>
        </w:rPr>
        <w:t>), forseglet med et aluminiumlåg med en pink (amarant) aftagelig forsegling, indeholdende pulver til injektionsvæske, suspension, samt en 3 ml farveløs fyldt glassprøjte med beskyttelseshætte og stempelprop (</w:t>
      </w:r>
      <w:proofErr w:type="spellStart"/>
      <w:r w:rsidRPr="004B7604">
        <w:rPr>
          <w:sz w:val="24"/>
          <w:szCs w:val="24"/>
        </w:rPr>
        <w:t>bromobutylgummi</w:t>
      </w:r>
      <w:proofErr w:type="spellEnd"/>
      <w:r w:rsidRPr="004B7604">
        <w:rPr>
          <w:sz w:val="24"/>
          <w:szCs w:val="24"/>
        </w:rPr>
        <w:t>) med 2 ml solvens, pakket sammen i en forseglet blisterbakke med en hætteglasadapter og en sikkerhedskanyle.</w:t>
      </w:r>
    </w:p>
    <w:p w14:paraId="5D9FEA5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5AECEC3B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Pakningsstørrelser: 1 eller 3 enkeltpakninger.</w:t>
      </w:r>
    </w:p>
    <w:p w14:paraId="4E2F8639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03D1D0A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>Ikke alle pakningsstørrelser er nødvendigvis markedsført.</w:t>
      </w:r>
    </w:p>
    <w:p w14:paraId="623F9564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C53034E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6.6</w:t>
      </w:r>
      <w:r w:rsidRPr="00B2164A">
        <w:rPr>
          <w:b/>
          <w:sz w:val="24"/>
          <w:szCs w:val="24"/>
        </w:rPr>
        <w:tab/>
        <w:t xml:space="preserve">Regler for </w:t>
      </w:r>
      <w:r w:rsidR="00BD7931" w:rsidRPr="00B2164A">
        <w:rPr>
          <w:b/>
          <w:sz w:val="24"/>
          <w:szCs w:val="24"/>
        </w:rPr>
        <w:t>bortskaffelse</w:t>
      </w:r>
      <w:r w:rsidRPr="00B2164A">
        <w:rPr>
          <w:b/>
          <w:sz w:val="24"/>
          <w:szCs w:val="24"/>
        </w:rPr>
        <w:t xml:space="preserve"> og anden håndtering</w:t>
      </w:r>
    </w:p>
    <w:p w14:paraId="6BC92F70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Ikke anvendt lægemiddel samt affald heraf skal bortskaffes i henhold til lokale retningslinjer.</w:t>
      </w:r>
    </w:p>
    <w:p w14:paraId="202DDED0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AC9A69C" w14:textId="14BFD91D" w:rsidR="004B7604" w:rsidRPr="004B7604" w:rsidRDefault="004B7604" w:rsidP="004B7604">
      <w:pPr>
        <w:ind w:left="851"/>
        <w:rPr>
          <w:b/>
          <w:bCs/>
          <w:sz w:val="24"/>
          <w:szCs w:val="24"/>
        </w:rPr>
      </w:pPr>
      <w:r w:rsidRPr="004B7604">
        <w:rPr>
          <w:b/>
          <w:bCs/>
          <w:sz w:val="24"/>
          <w:szCs w:val="24"/>
        </w:rPr>
        <w:t xml:space="preserve">Vejledning i klargøring og intramuskulær injektion af </w:t>
      </w:r>
      <w:proofErr w:type="spellStart"/>
      <w:r w:rsidRPr="004B7604">
        <w:rPr>
          <w:b/>
          <w:bCs/>
          <w:sz w:val="24"/>
          <w:szCs w:val="24"/>
        </w:rPr>
        <w:t>Octreotide</w:t>
      </w:r>
      <w:proofErr w:type="spellEnd"/>
      <w:r w:rsidRPr="004B7604">
        <w:rPr>
          <w:b/>
          <w:bCs/>
          <w:sz w:val="24"/>
          <w:szCs w:val="24"/>
        </w:rPr>
        <w:t xml:space="preserve"> </w:t>
      </w:r>
      <w:r w:rsidR="00B2164A">
        <w:rPr>
          <w:b/>
          <w:bCs/>
          <w:sz w:val="24"/>
          <w:szCs w:val="24"/>
        </w:rPr>
        <w:t>"</w:t>
      </w:r>
      <w:r w:rsidRPr="004B7604">
        <w:rPr>
          <w:b/>
          <w:bCs/>
          <w:sz w:val="24"/>
          <w:szCs w:val="24"/>
        </w:rPr>
        <w:t>Orion</w:t>
      </w:r>
      <w:r w:rsidR="00B2164A">
        <w:rPr>
          <w:b/>
          <w:bCs/>
          <w:sz w:val="24"/>
          <w:szCs w:val="24"/>
        </w:rPr>
        <w:t>"</w:t>
      </w:r>
    </w:p>
    <w:p w14:paraId="4509685E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14F5B2BF" w14:textId="77777777" w:rsidR="004B7604" w:rsidRPr="004B7604" w:rsidRDefault="004B7604" w:rsidP="004B7604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KUN TIL DYB INTRAMUSKULÆR INJEKTION</w:t>
      </w:r>
    </w:p>
    <w:p w14:paraId="30D6FFA3" w14:textId="77777777" w:rsidR="004B7604" w:rsidRPr="004B7604" w:rsidRDefault="004B7604" w:rsidP="004B7604">
      <w:pPr>
        <w:ind w:left="851"/>
        <w:rPr>
          <w:sz w:val="24"/>
          <w:szCs w:val="24"/>
        </w:rPr>
      </w:pPr>
    </w:p>
    <w:p w14:paraId="4319D72C" w14:textId="77777777" w:rsidR="004B7604" w:rsidRPr="004B7604" w:rsidRDefault="004B7604" w:rsidP="004B7604">
      <w:pPr>
        <w:ind w:left="851"/>
        <w:rPr>
          <w:b/>
          <w:bCs/>
          <w:sz w:val="24"/>
          <w:szCs w:val="24"/>
        </w:rPr>
      </w:pPr>
      <w:r w:rsidRPr="004B7604">
        <w:rPr>
          <w:b/>
          <w:bCs/>
          <w:sz w:val="24"/>
          <w:szCs w:val="24"/>
        </w:rPr>
        <w:t>Indhold i injektionssættet:</w:t>
      </w:r>
    </w:p>
    <w:p w14:paraId="51608D59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001B6B6C" w14:textId="0118E041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B2164A">
        <w:rPr>
          <w:noProof/>
          <w:sz w:val="24"/>
          <w:szCs w:val="24"/>
        </w:rPr>
        <w:drawing>
          <wp:inline distT="0" distB="0" distL="0" distR="0" wp14:anchorId="3BC2D64A" wp14:editId="75C6BC51">
            <wp:extent cx="5760720" cy="2141220"/>
            <wp:effectExtent l="0" t="0" r="0" b="0"/>
            <wp:docPr id="698496053" name="Billede 36" descr="Et billede, der indeholder skitse, tegning, diagram, Stregte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96053" name="Billede 36" descr="Et billede, der indeholder skitse, tegning, diagram, Stregtegning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CAC7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68140524" w14:textId="57E62E2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a. Et hætteglas indeholdende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pulver.</w:t>
      </w:r>
    </w:p>
    <w:p w14:paraId="63161DED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b. En fyldt sprøjte indeholdende solvens til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>.</w:t>
      </w:r>
    </w:p>
    <w:p w14:paraId="628703DB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c. En hætteglasadapter til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 xml:space="preserve"> af lægemidlet.</w:t>
      </w:r>
    </w:p>
    <w:p w14:paraId="70ABE4F0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>d. En sikkerhedskanyle.</w:t>
      </w:r>
    </w:p>
    <w:p w14:paraId="0D7AB91C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381C2CA2" w14:textId="4960C9FB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r w:rsidRPr="004B7604">
        <w:rPr>
          <w:sz w:val="24"/>
          <w:szCs w:val="24"/>
        </w:rPr>
        <w:t xml:space="preserve">Følg nedenstående vejledning nøje for at sikre en fuldstændig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 xml:space="preserve">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inden dyb intramuskulær injektion.</w:t>
      </w:r>
    </w:p>
    <w:p w14:paraId="2BE904F1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256F4CF9" w14:textId="1AAABEA2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  <w:r w:rsidRPr="004B7604">
        <w:rPr>
          <w:sz w:val="24"/>
          <w:szCs w:val="24"/>
        </w:rPr>
        <w:t xml:space="preserve">Der er 3 kritiske trin i </w:t>
      </w:r>
      <w:proofErr w:type="spellStart"/>
      <w:r w:rsidRPr="004B7604">
        <w:rPr>
          <w:sz w:val="24"/>
          <w:szCs w:val="24"/>
        </w:rPr>
        <w:t>rekonstitutionen</w:t>
      </w:r>
      <w:proofErr w:type="spellEnd"/>
      <w:r w:rsidRPr="004B7604">
        <w:rPr>
          <w:sz w:val="24"/>
          <w:szCs w:val="24"/>
        </w:rPr>
        <w:t xml:space="preserve"> af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. </w:t>
      </w:r>
      <w:r w:rsidRPr="004B7604">
        <w:rPr>
          <w:b/>
          <w:bCs/>
          <w:sz w:val="24"/>
          <w:szCs w:val="24"/>
          <w:u w:val="single"/>
        </w:rPr>
        <w:t>Hvis de ikke følges, kan det resultere i, at lægemidlet ikke kan gives korrekt.</w:t>
      </w:r>
    </w:p>
    <w:p w14:paraId="39E8A182" w14:textId="77777777" w:rsidR="004B7604" w:rsidRPr="004B7604" w:rsidRDefault="004B7604" w:rsidP="00CE3E77">
      <w:pPr>
        <w:numPr>
          <w:ilvl w:val="0"/>
          <w:numId w:val="8"/>
        </w:numPr>
        <w:ind w:left="1276" w:hanging="425"/>
        <w:rPr>
          <w:sz w:val="24"/>
          <w:szCs w:val="24"/>
        </w:rPr>
      </w:pPr>
      <w:r w:rsidRPr="004B7604">
        <w:rPr>
          <w:b/>
          <w:bCs/>
          <w:sz w:val="24"/>
          <w:szCs w:val="24"/>
          <w:u w:val="single"/>
        </w:rPr>
        <w:t>Injektionskittet skal opnå stuetemperatur.</w:t>
      </w:r>
      <w:r w:rsidRPr="004B7604">
        <w:rPr>
          <w:sz w:val="24"/>
          <w:szCs w:val="24"/>
        </w:rPr>
        <w:t xml:space="preserve"> Tag injektionskittet ud af køleskabet og lad det stå ved stuetemperatur i minimum 30 minutter før </w:t>
      </w:r>
      <w:proofErr w:type="spellStart"/>
      <w:r w:rsidRPr="004B7604">
        <w:rPr>
          <w:sz w:val="24"/>
          <w:szCs w:val="24"/>
        </w:rPr>
        <w:t>rekonstitution</w:t>
      </w:r>
      <w:proofErr w:type="spellEnd"/>
      <w:r w:rsidRPr="004B7604">
        <w:rPr>
          <w:sz w:val="24"/>
          <w:szCs w:val="24"/>
        </w:rPr>
        <w:t>, men overskrid ikke 24 timer.</w:t>
      </w:r>
    </w:p>
    <w:p w14:paraId="2C88C2C8" w14:textId="77777777" w:rsidR="004B7604" w:rsidRPr="004B7604" w:rsidRDefault="004B7604" w:rsidP="00CE3E77">
      <w:pPr>
        <w:numPr>
          <w:ilvl w:val="0"/>
          <w:numId w:val="8"/>
        </w:numPr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 xml:space="preserve">Lad hætteglasset stå i 5 minutter efter at have overført solvens for </w:t>
      </w:r>
      <w:r w:rsidRPr="004B7604">
        <w:rPr>
          <w:b/>
          <w:bCs/>
          <w:sz w:val="24"/>
          <w:szCs w:val="24"/>
          <w:u w:val="single"/>
        </w:rPr>
        <w:t>at sikre, at pulveret er helt gennemvædet</w:t>
      </w:r>
      <w:r w:rsidRPr="004B7604">
        <w:rPr>
          <w:sz w:val="24"/>
          <w:szCs w:val="24"/>
        </w:rPr>
        <w:t>.</w:t>
      </w:r>
    </w:p>
    <w:p w14:paraId="15A5423C" w14:textId="73308835" w:rsidR="004B7604" w:rsidRPr="004B7604" w:rsidRDefault="004B7604" w:rsidP="00CE3E77">
      <w:pPr>
        <w:numPr>
          <w:ilvl w:val="0"/>
          <w:numId w:val="8"/>
        </w:numPr>
        <w:ind w:left="1276" w:hanging="425"/>
        <w:rPr>
          <w:sz w:val="24"/>
          <w:szCs w:val="24"/>
        </w:rPr>
      </w:pPr>
      <w:r w:rsidRPr="004B7604">
        <w:rPr>
          <w:sz w:val="24"/>
          <w:szCs w:val="24"/>
        </w:rPr>
        <w:t xml:space="preserve">Efter </w:t>
      </w:r>
      <w:proofErr w:type="spellStart"/>
      <w:r w:rsidRPr="004B7604">
        <w:rPr>
          <w:sz w:val="24"/>
          <w:szCs w:val="24"/>
        </w:rPr>
        <w:t>gennemvædning</w:t>
      </w:r>
      <w:proofErr w:type="spellEnd"/>
      <w:r w:rsidRPr="004B7604">
        <w:rPr>
          <w:sz w:val="24"/>
          <w:szCs w:val="24"/>
        </w:rPr>
        <w:t xml:space="preserve">: </w:t>
      </w:r>
      <w:r w:rsidRPr="004B7604">
        <w:rPr>
          <w:b/>
          <w:bCs/>
          <w:sz w:val="24"/>
          <w:szCs w:val="24"/>
          <w:u w:val="single"/>
        </w:rPr>
        <w:t>Ryst hætteglasset moderat</w:t>
      </w:r>
      <w:r w:rsidRPr="004B7604">
        <w:rPr>
          <w:sz w:val="24"/>
          <w:szCs w:val="24"/>
        </w:rPr>
        <w:t xml:space="preserve"> i vandret retning i minimum 30 sekunder, </w:t>
      </w:r>
      <w:r w:rsidRPr="004B7604">
        <w:rPr>
          <w:b/>
          <w:bCs/>
          <w:sz w:val="24"/>
          <w:szCs w:val="24"/>
          <w:u w:val="single"/>
        </w:rPr>
        <w:t>indtil der er dannet en ensartet suspension</w:t>
      </w:r>
      <w:r w:rsidRPr="004B7604">
        <w:rPr>
          <w:sz w:val="24"/>
          <w:szCs w:val="24"/>
        </w:rPr>
        <w:t xml:space="preserve">. </w:t>
      </w: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suspension skal først klargøres </w:t>
      </w:r>
      <w:r w:rsidRPr="004B7604">
        <w:rPr>
          <w:b/>
          <w:bCs/>
          <w:sz w:val="24"/>
          <w:szCs w:val="24"/>
          <w:u w:val="single"/>
        </w:rPr>
        <w:t>umiddelbart</w:t>
      </w:r>
      <w:r w:rsidRPr="004B7604">
        <w:rPr>
          <w:sz w:val="24"/>
          <w:szCs w:val="24"/>
        </w:rPr>
        <w:t xml:space="preserve"> inden administration.</w:t>
      </w:r>
    </w:p>
    <w:p w14:paraId="7FEAA786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6829B491" w14:textId="7E0EF711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Octreotide</w:t>
      </w:r>
      <w:proofErr w:type="spellEnd"/>
      <w:r w:rsidRPr="004B7604">
        <w:rPr>
          <w:sz w:val="24"/>
          <w:szCs w:val="24"/>
        </w:rPr>
        <w:t xml:space="preserve"> 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>Orion</w:t>
      </w:r>
      <w:r w:rsidR="00B2164A">
        <w:rPr>
          <w:sz w:val="24"/>
          <w:szCs w:val="24"/>
        </w:rPr>
        <w:t>"</w:t>
      </w:r>
      <w:r w:rsidRPr="004B7604">
        <w:rPr>
          <w:sz w:val="24"/>
          <w:szCs w:val="24"/>
        </w:rPr>
        <w:t xml:space="preserve"> bør kun administreres af en uddannet sundhedsperson.</w:t>
      </w:r>
    </w:p>
    <w:p w14:paraId="2301064E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p w14:paraId="795B99D3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979"/>
        <w:gridCol w:w="3659"/>
      </w:tblGrid>
      <w:tr w:rsidR="004B7604" w:rsidRPr="004B7604" w14:paraId="659A6D74" w14:textId="77777777" w:rsidTr="00B2164A">
        <w:tc>
          <w:tcPr>
            <w:tcW w:w="3102" w:type="pct"/>
            <w:hideMark/>
          </w:tcPr>
          <w:p w14:paraId="4A293C65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1</w:t>
            </w:r>
          </w:p>
          <w:p w14:paraId="2AFEDB90" w14:textId="2DE05AB0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Tag injektionskittet med </w:t>
            </w:r>
            <w:proofErr w:type="spellStart"/>
            <w:r w:rsidRPr="004B7604">
              <w:rPr>
                <w:sz w:val="24"/>
                <w:szCs w:val="24"/>
              </w:rPr>
              <w:t>Octreotide</w:t>
            </w:r>
            <w:proofErr w:type="spellEnd"/>
            <w:r w:rsidRPr="004B7604">
              <w:rPr>
                <w:sz w:val="24"/>
                <w:szCs w:val="24"/>
              </w:rPr>
              <w:t xml:space="preserve"> 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Orion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 xml:space="preserve"> ud af køleskabet.</w:t>
            </w:r>
          </w:p>
          <w:p w14:paraId="0E39FA3C" w14:textId="17E5921D" w:rsidR="004B7604" w:rsidRPr="004B7604" w:rsidRDefault="00CE3E77" w:rsidP="00CE3E77">
            <w:pPr>
              <w:ind w:left="457" w:hanging="4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4B7604" w:rsidRPr="004B7604">
              <w:rPr>
                <w:b/>
                <w:sz w:val="24"/>
                <w:szCs w:val="24"/>
              </w:rPr>
              <w:t xml:space="preserve">BEMÆRK: Det er vigtigt først at starte </w:t>
            </w:r>
            <w:proofErr w:type="spellStart"/>
            <w:r w:rsidR="004B7604" w:rsidRPr="004B7604">
              <w:rPr>
                <w:b/>
                <w:sz w:val="24"/>
                <w:szCs w:val="24"/>
              </w:rPr>
              <w:t>rekonstitutionsprocessen</w:t>
            </w:r>
            <w:proofErr w:type="spellEnd"/>
            <w:r w:rsidR="004B7604" w:rsidRPr="004B7604">
              <w:rPr>
                <w:b/>
                <w:sz w:val="24"/>
                <w:szCs w:val="24"/>
              </w:rPr>
              <w:t xml:space="preserve">, når injektionskittet har opnået stuetemperatur. Lad injektionskittet stå ved stuetemperatur i minimum 30 minutter før </w:t>
            </w:r>
            <w:proofErr w:type="spellStart"/>
            <w:r w:rsidR="004B7604" w:rsidRPr="004B7604">
              <w:rPr>
                <w:b/>
                <w:sz w:val="24"/>
                <w:szCs w:val="24"/>
              </w:rPr>
              <w:t>rekonstitution</w:t>
            </w:r>
            <w:proofErr w:type="spellEnd"/>
            <w:r w:rsidR="004B7604" w:rsidRPr="004B7604">
              <w:rPr>
                <w:b/>
                <w:sz w:val="24"/>
                <w:szCs w:val="24"/>
              </w:rPr>
              <w:t>, men overskrid ikke 24 timer.</w:t>
            </w:r>
          </w:p>
          <w:p w14:paraId="614177E2" w14:textId="5D2314D0" w:rsidR="004B7604" w:rsidRPr="004B7604" w:rsidRDefault="00CE3E77" w:rsidP="00CE3E77">
            <w:pPr>
              <w:ind w:left="457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4B7604" w:rsidRPr="004B7604">
              <w:rPr>
                <w:sz w:val="24"/>
                <w:szCs w:val="24"/>
              </w:rPr>
              <w:t>Bemærk: Injektionskittet kan sættes tilbage i køleskabet, hvis det er nødvendigt.</w:t>
            </w:r>
          </w:p>
        </w:tc>
        <w:tc>
          <w:tcPr>
            <w:tcW w:w="1898" w:type="pct"/>
            <w:hideMark/>
          </w:tcPr>
          <w:p w14:paraId="27A0F9C3" w14:textId="25C98C01" w:rsidR="004B7604" w:rsidRPr="004B7604" w:rsidRDefault="004B7604" w:rsidP="004B7604">
            <w:pPr>
              <w:tabs>
                <w:tab w:val="left" w:pos="851"/>
              </w:tabs>
              <w:ind w:left="851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CA3995E" wp14:editId="64335746">
                  <wp:extent cx="1645920" cy="1615440"/>
                  <wp:effectExtent l="0" t="0" r="0" b="3810"/>
                  <wp:docPr id="120792451" name="Billede 35" descr="Et billede, der indeholder cirkel, Font/skrifttype, logo, symbol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92451" name="Billede 35" descr="Et billede, der indeholder cirkel, Font/skrifttype, logo, symbol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2" t="4070" b="36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5DD25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99"/>
        <w:gridCol w:w="3339"/>
      </w:tblGrid>
      <w:tr w:rsidR="004B7604" w:rsidRPr="004B7604" w14:paraId="6D96FE85" w14:textId="77777777" w:rsidTr="00B2164A">
        <w:tc>
          <w:tcPr>
            <w:tcW w:w="3268" w:type="pct"/>
            <w:vMerge w:val="restart"/>
            <w:hideMark/>
          </w:tcPr>
          <w:p w14:paraId="0EE1C4C3" w14:textId="77777777" w:rsidR="004B7604" w:rsidRPr="004B7604" w:rsidRDefault="004B7604" w:rsidP="004B7604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2</w:t>
            </w:r>
          </w:p>
          <w:p w14:paraId="06462B1C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Fjern plasticlåget fra hætteglasset, og rengør gummiproppen på hætteglasset med en spritserviet.</w:t>
            </w:r>
          </w:p>
          <w:p w14:paraId="4CF08279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Fjern filmlåget fra pakningen med hætteglasadapteren, men tag IKKE hætteglasadapteren ud af dens pakning.</w:t>
            </w:r>
          </w:p>
          <w:p w14:paraId="41CA49BA" w14:textId="44D9ABAB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Hold i pakningen med hætteglasadapteren, mens du placerer hætteglasadapteren på toppen af hætteglasset og skubber den helt ned, så den klikker på plads med et hørligt 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klik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.</w:t>
            </w:r>
          </w:p>
          <w:p w14:paraId="087B4262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Løft pakningen af hætteglasadapteren med en lodret bevægelse.</w:t>
            </w:r>
          </w:p>
        </w:tc>
        <w:tc>
          <w:tcPr>
            <w:tcW w:w="1732" w:type="pct"/>
            <w:hideMark/>
          </w:tcPr>
          <w:p w14:paraId="7BAE6CF5" w14:textId="3BC9B329" w:rsidR="004B7604" w:rsidRPr="004B7604" w:rsidRDefault="004B7604" w:rsidP="00B2164A">
            <w:pPr>
              <w:ind w:left="126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B3F85BC" wp14:editId="20A80F58">
                  <wp:extent cx="1722120" cy="1226820"/>
                  <wp:effectExtent l="0" t="0" r="0" b="0"/>
                  <wp:docPr id="1559506575" name="Billede 34" descr="Et billede, der indeholder skitse, tegning, clipart, design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506575" name="Billede 34" descr="Et billede, der indeholder skitse, tegning, clipart, design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276365E8" w14:textId="77777777" w:rsidTr="00B2164A">
        <w:tc>
          <w:tcPr>
            <w:tcW w:w="3268" w:type="pct"/>
            <w:vMerge/>
            <w:vAlign w:val="center"/>
            <w:hideMark/>
          </w:tcPr>
          <w:p w14:paraId="54AF168C" w14:textId="77777777" w:rsidR="004B7604" w:rsidRPr="004B7604" w:rsidRDefault="004B7604" w:rsidP="004B7604">
            <w:pPr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1732" w:type="pct"/>
            <w:hideMark/>
          </w:tcPr>
          <w:p w14:paraId="5C00D7CB" w14:textId="7ED1074B" w:rsidR="004B7604" w:rsidRPr="004B7604" w:rsidRDefault="004B7604" w:rsidP="00B2164A">
            <w:pPr>
              <w:ind w:left="126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7EFA6E49" wp14:editId="6A61608F">
                  <wp:extent cx="1684020" cy="1249680"/>
                  <wp:effectExtent l="0" t="0" r="0" b="7620"/>
                  <wp:docPr id="846516776" name="Billede 33" descr="Et billede, der indeholder skitse, tegning, Stregtegning, hvid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516776" name="Billede 33" descr="Et billede, der indeholder skitse, tegning, Stregtegning, hvid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4C5F8CED" w14:textId="77777777" w:rsidTr="00B2164A">
        <w:tc>
          <w:tcPr>
            <w:tcW w:w="3268" w:type="pct"/>
            <w:vMerge/>
            <w:vAlign w:val="center"/>
            <w:hideMark/>
          </w:tcPr>
          <w:p w14:paraId="2B4942FC" w14:textId="77777777" w:rsidR="004B7604" w:rsidRPr="004B7604" w:rsidRDefault="004B7604" w:rsidP="004B7604">
            <w:pPr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1732" w:type="pct"/>
            <w:hideMark/>
          </w:tcPr>
          <w:p w14:paraId="349B7EE3" w14:textId="5F5BF840" w:rsidR="004B7604" w:rsidRPr="004B7604" w:rsidRDefault="004B7604" w:rsidP="00B2164A">
            <w:pPr>
              <w:ind w:left="126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865E36C" wp14:editId="34C233A1">
                  <wp:extent cx="1706880" cy="1295400"/>
                  <wp:effectExtent l="0" t="0" r="7620" b="0"/>
                  <wp:docPr id="1126719011" name="Billede 32" descr="Et billede, der indeholder skitse, tegning, Stregtegning, clipart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719011" name="Billede 32" descr="Et billede, der indeholder skitse, tegning, Stregtegning, clipart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E3E5C" w14:textId="77777777" w:rsidR="004B7604" w:rsidRPr="004B7604" w:rsidRDefault="004B7604" w:rsidP="004B7604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2"/>
        <w:gridCol w:w="3886"/>
      </w:tblGrid>
      <w:tr w:rsidR="004B7604" w:rsidRPr="004B7604" w14:paraId="59E543AC" w14:textId="77777777" w:rsidTr="00B2164A">
        <w:trPr>
          <w:trHeight w:val="1095"/>
        </w:trPr>
        <w:tc>
          <w:tcPr>
            <w:tcW w:w="2984" w:type="pct"/>
            <w:vMerge w:val="restart"/>
            <w:hideMark/>
          </w:tcPr>
          <w:p w14:paraId="1F9B163B" w14:textId="77777777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3</w:t>
            </w:r>
          </w:p>
          <w:p w14:paraId="1BB0A1DD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Fjern hætten fra sprøjten, der er fyldt med solvens, ved at dreje mod uret, og skru sprøjten på hætteglasadapteren.</w:t>
            </w:r>
          </w:p>
          <w:p w14:paraId="623E5940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Skub langsomt stemplet helt i bund for at overføre al solvensen til hætteglasset.</w:t>
            </w:r>
          </w:p>
        </w:tc>
        <w:tc>
          <w:tcPr>
            <w:tcW w:w="2016" w:type="pct"/>
            <w:hideMark/>
          </w:tcPr>
          <w:p w14:paraId="0CF2CE69" w14:textId="6C2F4DF8" w:rsidR="004B7604" w:rsidRPr="004B7604" w:rsidRDefault="004B7604" w:rsidP="00B2164A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27D29EA5" wp14:editId="19436DA0">
                  <wp:extent cx="1958340" cy="1318260"/>
                  <wp:effectExtent l="0" t="0" r="3810" b="0"/>
                  <wp:docPr id="33175244" name="Billede 31" descr="Et billede, der indeholder skitse, tegning, design, kunst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75244" name="Billede 31" descr="Et billede, der indeholder skitse, tegning, design, kunst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3658AA6F" w14:textId="77777777" w:rsidTr="00B2164A">
        <w:trPr>
          <w:trHeight w:val="1095"/>
        </w:trPr>
        <w:tc>
          <w:tcPr>
            <w:tcW w:w="2984" w:type="pct"/>
            <w:vMerge/>
            <w:vAlign w:val="center"/>
            <w:hideMark/>
          </w:tcPr>
          <w:p w14:paraId="4B61F9CC" w14:textId="77777777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2016" w:type="pct"/>
            <w:hideMark/>
          </w:tcPr>
          <w:p w14:paraId="08B8D88F" w14:textId="222B81E5" w:rsidR="004B7604" w:rsidRPr="004B7604" w:rsidRDefault="004B7604" w:rsidP="00B2164A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561CF5CF" wp14:editId="4AD14733">
                  <wp:extent cx="1965960" cy="1432560"/>
                  <wp:effectExtent l="0" t="0" r="0" b="0"/>
                  <wp:docPr id="1896853721" name="Billede 30" descr="Et billede, der indeholder skitse, tegning, clipart, kunst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853721" name="Billede 30" descr="Et billede, der indeholder skitse, tegning, clipart, kunst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F3EEB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754"/>
        <w:gridCol w:w="3884"/>
      </w:tblGrid>
      <w:tr w:rsidR="004B7604" w:rsidRPr="004B7604" w14:paraId="5577EA24" w14:textId="77777777" w:rsidTr="00B2164A">
        <w:tc>
          <w:tcPr>
            <w:tcW w:w="2985" w:type="pct"/>
            <w:hideMark/>
          </w:tcPr>
          <w:p w14:paraId="4C6D61A3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>Trin 4</w:t>
            </w:r>
          </w:p>
          <w:p w14:paraId="1B4780C3" w14:textId="77777777" w:rsidR="004B7604" w:rsidRPr="004B7604" w:rsidRDefault="004B7604" w:rsidP="00CE3E77">
            <w:pPr>
              <w:ind w:left="457"/>
              <w:rPr>
                <w:bCs/>
                <w:sz w:val="24"/>
                <w:szCs w:val="24"/>
              </w:rPr>
            </w:pPr>
            <w:r w:rsidRPr="004B7604">
              <w:rPr>
                <w:b/>
                <w:sz w:val="24"/>
                <w:szCs w:val="24"/>
              </w:rPr>
              <w:t xml:space="preserve">BEMÆRK: Det er vigtigt at lade hætteglasset stå i minimum 5 minutter </w:t>
            </w:r>
            <w:r w:rsidRPr="004B7604">
              <w:rPr>
                <w:bCs/>
                <w:sz w:val="24"/>
                <w:szCs w:val="24"/>
              </w:rPr>
              <w:t>for at sikre, at solvensen har gennemvædet pulveret fuldstændigt.</w:t>
            </w:r>
          </w:p>
          <w:p w14:paraId="21237B74" w14:textId="77777777" w:rsidR="004B7604" w:rsidRPr="004B7604" w:rsidRDefault="004B7604" w:rsidP="00CE3E77">
            <w:pPr>
              <w:ind w:left="457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Bemærk: Det er normalt, hvis stemplet bevæger sig opad, da der kan være et let overtryk i hætteglasset.</w:t>
            </w:r>
          </w:p>
          <w:p w14:paraId="6943D6F9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På dette tidspunkt skal patienten forberedes til injektionen.</w:t>
            </w:r>
          </w:p>
        </w:tc>
        <w:tc>
          <w:tcPr>
            <w:tcW w:w="2015" w:type="pct"/>
            <w:hideMark/>
          </w:tcPr>
          <w:p w14:paraId="6A9AF362" w14:textId="4E58BBA0" w:rsidR="004B7604" w:rsidRPr="004B7604" w:rsidRDefault="004B7604" w:rsidP="00B2164A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00EE62F" wp14:editId="59A55295">
                  <wp:extent cx="1943100" cy="1409700"/>
                  <wp:effectExtent l="0" t="0" r="0" b="0"/>
                  <wp:docPr id="553899480" name="Billede 29" descr="Et billede, der indeholder skitse, tegning, diagram, design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99480" name="Billede 29" descr="Et billede, der indeholder skitse, tegning, diagram, design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5E445C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754"/>
        <w:gridCol w:w="3884"/>
      </w:tblGrid>
      <w:tr w:rsidR="004B7604" w:rsidRPr="004B7604" w14:paraId="1D64A843" w14:textId="77777777" w:rsidTr="00B2164A">
        <w:tc>
          <w:tcPr>
            <w:tcW w:w="2985" w:type="pct"/>
            <w:hideMark/>
          </w:tcPr>
          <w:p w14:paraId="5F718318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5</w:t>
            </w:r>
          </w:p>
          <w:p w14:paraId="20BF0B5C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Efter </w:t>
            </w:r>
            <w:proofErr w:type="spellStart"/>
            <w:r w:rsidRPr="004B7604">
              <w:rPr>
                <w:sz w:val="24"/>
                <w:szCs w:val="24"/>
              </w:rPr>
              <w:t>gennemvædningen</w:t>
            </w:r>
            <w:proofErr w:type="spellEnd"/>
            <w:r w:rsidRPr="004B7604">
              <w:rPr>
                <w:sz w:val="24"/>
                <w:szCs w:val="24"/>
              </w:rPr>
              <w:t xml:space="preserve"> skal det sikres, at stemplet presses helt i bund i sprøjten.</w:t>
            </w:r>
          </w:p>
          <w:p w14:paraId="5C238184" w14:textId="79E2702A" w:rsidR="004B7604" w:rsidRPr="004B7604" w:rsidRDefault="00CE3E77" w:rsidP="00CE3E77">
            <w:pPr>
              <w:ind w:left="45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4B7604" w:rsidRPr="004B7604">
              <w:rPr>
                <w:b/>
                <w:sz w:val="24"/>
                <w:szCs w:val="24"/>
              </w:rPr>
              <w:t xml:space="preserve">BEMÆRK: </w:t>
            </w:r>
            <w:r w:rsidR="004B7604" w:rsidRPr="004B7604">
              <w:rPr>
                <w:bCs/>
                <w:sz w:val="24"/>
                <w:szCs w:val="24"/>
              </w:rPr>
              <w:t xml:space="preserve">Hold stemplet i bund og ryst hætteglasset </w:t>
            </w:r>
            <w:r w:rsidR="004B7604" w:rsidRPr="004B7604">
              <w:rPr>
                <w:b/>
                <w:sz w:val="24"/>
                <w:szCs w:val="24"/>
              </w:rPr>
              <w:t>moderat</w:t>
            </w:r>
            <w:r w:rsidR="004B7604" w:rsidRPr="004B7604">
              <w:rPr>
                <w:bCs/>
                <w:sz w:val="24"/>
                <w:szCs w:val="24"/>
              </w:rPr>
              <w:t xml:space="preserve"> i vandret retning</w:t>
            </w:r>
            <w:r w:rsidR="004B7604" w:rsidRPr="004B7604">
              <w:rPr>
                <w:b/>
                <w:sz w:val="24"/>
                <w:szCs w:val="24"/>
              </w:rPr>
              <w:t xml:space="preserve"> i minimum 30 sekunder</w:t>
            </w:r>
            <w:r w:rsidR="004B7604" w:rsidRPr="004B7604">
              <w:rPr>
                <w:bCs/>
                <w:sz w:val="24"/>
                <w:szCs w:val="24"/>
              </w:rPr>
              <w:t>, så pulveret er fuldstændigt opslæmmet (mælkeagtig, ensartet suspension).</w:t>
            </w:r>
            <w:r w:rsidR="004B7604" w:rsidRPr="004B7604">
              <w:rPr>
                <w:b/>
                <w:sz w:val="24"/>
                <w:szCs w:val="24"/>
              </w:rPr>
              <w:t xml:space="preserve"> Gentag den moderate omrystning i endnu 30 sekunder, hvis pulveret ikke er fuldstændigt opslæmmet.</w:t>
            </w:r>
          </w:p>
        </w:tc>
        <w:tc>
          <w:tcPr>
            <w:tcW w:w="2015" w:type="pct"/>
            <w:hideMark/>
          </w:tcPr>
          <w:p w14:paraId="592C8E87" w14:textId="33CC57FD" w:rsidR="004B7604" w:rsidRPr="004B7604" w:rsidRDefault="004B7604" w:rsidP="004B7604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46A166B3" wp14:editId="365DFCEA">
                  <wp:extent cx="1996440" cy="1516380"/>
                  <wp:effectExtent l="0" t="0" r="3810" b="7620"/>
                  <wp:docPr id="1328160460" name="Billede 28" descr="Et billede, der indeholder skitse, tegning, design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160460" name="Billede 28" descr="Et billede, der indeholder skitse, tegning, design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7D64D" w14:textId="77777777" w:rsidR="004B7604" w:rsidRPr="004B7604" w:rsidRDefault="004B7604" w:rsidP="004B7604">
      <w:pPr>
        <w:tabs>
          <w:tab w:val="left" w:pos="851"/>
        </w:tabs>
        <w:ind w:left="32"/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8"/>
        <w:gridCol w:w="3880"/>
      </w:tblGrid>
      <w:tr w:rsidR="004B7604" w:rsidRPr="004B7604" w14:paraId="33C94BA3" w14:textId="77777777" w:rsidTr="00B2164A">
        <w:trPr>
          <w:trHeight w:val="938"/>
        </w:trPr>
        <w:tc>
          <w:tcPr>
            <w:tcW w:w="2987" w:type="pct"/>
            <w:vMerge w:val="restart"/>
            <w:hideMark/>
          </w:tcPr>
          <w:p w14:paraId="11051826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6</w:t>
            </w:r>
          </w:p>
          <w:p w14:paraId="0B7C2AEC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Klargør injektionsstedet med en spritserviet.</w:t>
            </w:r>
          </w:p>
          <w:p w14:paraId="35874D4B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Vend sprøjte og hætteglas med bunden i vejret, træk langsomt stemplet tilbage og træk hele hætteglassets indhold ind i sprøjten.</w:t>
            </w:r>
          </w:p>
          <w:p w14:paraId="22ACFA82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Skru sprøjten af hætteglasadapteren.</w:t>
            </w:r>
          </w:p>
        </w:tc>
        <w:tc>
          <w:tcPr>
            <w:tcW w:w="2013" w:type="pct"/>
            <w:hideMark/>
          </w:tcPr>
          <w:p w14:paraId="611312E8" w14:textId="0E392F97" w:rsidR="004B7604" w:rsidRPr="004B7604" w:rsidRDefault="004B7604" w:rsidP="004B7604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8EDC1C3" wp14:editId="4EBC6E3B">
                  <wp:extent cx="1920240" cy="1493520"/>
                  <wp:effectExtent l="0" t="0" r="3810" b="0"/>
                  <wp:docPr id="366507336" name="Billede 27" descr="Et billede, der indeholder skitse, Stregtegning, hvid, tegning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507336" name="Billede 27" descr="Et billede, der indeholder skitse, Stregtegning, hvid, tegning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214CBC52" w14:textId="77777777" w:rsidTr="00B2164A">
        <w:trPr>
          <w:trHeight w:val="937"/>
        </w:trPr>
        <w:tc>
          <w:tcPr>
            <w:tcW w:w="2987" w:type="pct"/>
            <w:vMerge/>
            <w:vAlign w:val="center"/>
            <w:hideMark/>
          </w:tcPr>
          <w:p w14:paraId="4C6781A2" w14:textId="77777777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2013" w:type="pct"/>
            <w:hideMark/>
          </w:tcPr>
          <w:p w14:paraId="39E50064" w14:textId="68A0BF27" w:rsidR="004B7604" w:rsidRPr="004B7604" w:rsidRDefault="004B7604" w:rsidP="004B7604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142F1C6D" wp14:editId="2DDDA361">
                  <wp:extent cx="1973580" cy="1501140"/>
                  <wp:effectExtent l="0" t="0" r="7620" b="3810"/>
                  <wp:docPr id="1359374758" name="Billede 26" descr="Et billede, der indeholder skitse, tegning, hvid, Stregtegning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374758" name="Billede 26" descr="Et billede, der indeholder skitse, tegning, hvid, Stregtegning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14DEA" w14:textId="77777777" w:rsidR="004B7604" w:rsidRPr="004B7604" w:rsidRDefault="004B7604" w:rsidP="00B2164A">
      <w:pPr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80"/>
        <w:gridCol w:w="4158"/>
      </w:tblGrid>
      <w:tr w:rsidR="004B7604" w:rsidRPr="004B7604" w14:paraId="23AEDFA8" w14:textId="77777777" w:rsidTr="00B2164A">
        <w:trPr>
          <w:trHeight w:val="938"/>
        </w:trPr>
        <w:tc>
          <w:tcPr>
            <w:tcW w:w="2843" w:type="pct"/>
            <w:vMerge w:val="restart"/>
            <w:hideMark/>
          </w:tcPr>
          <w:p w14:paraId="3976BF5C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7</w:t>
            </w:r>
          </w:p>
          <w:p w14:paraId="1B97EC7D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Skru sikkerhedskanylen på sprøjten.</w:t>
            </w:r>
          </w:p>
          <w:p w14:paraId="2E583680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Ryst forsigtigt sprøjten igen for at opnå en mælkeagtig, ensartet suspension.</w:t>
            </w:r>
          </w:p>
          <w:p w14:paraId="092FA418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Flyt sikkerhedshylsteret væk fra kanylen mod sprøjtens cylinder i den viste vinkel, før du fjerner beskyttelseshætten. Træk beskyttelseshætten af kanylen med en lige bevægelse.</w:t>
            </w:r>
          </w:p>
          <w:p w14:paraId="03B6ED29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Bank forsigtigt på sprøjten for at fjerne synlige luftbobler og pres dem ud af sprøjten. </w:t>
            </w:r>
            <w:r w:rsidRPr="004B7604">
              <w:rPr>
                <w:i/>
                <w:iCs/>
                <w:sz w:val="24"/>
                <w:szCs w:val="24"/>
              </w:rPr>
              <w:t>Kontrollér, at injektionsstedet ikke er blevet kontamineret.</w:t>
            </w:r>
          </w:p>
          <w:p w14:paraId="1BB4F977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Gå </w:t>
            </w:r>
            <w:r w:rsidRPr="004B7604">
              <w:rPr>
                <w:b/>
                <w:bCs/>
                <w:sz w:val="24"/>
                <w:szCs w:val="24"/>
              </w:rPr>
              <w:t>straks</w:t>
            </w:r>
            <w:r w:rsidRPr="004B7604">
              <w:rPr>
                <w:sz w:val="24"/>
                <w:szCs w:val="24"/>
              </w:rPr>
              <w:t xml:space="preserve"> videre til Trin 8 for administration til patienten. Enhver forsinkelse kan resultere i bundfældning.</w:t>
            </w:r>
          </w:p>
        </w:tc>
        <w:tc>
          <w:tcPr>
            <w:tcW w:w="2157" w:type="pct"/>
            <w:hideMark/>
          </w:tcPr>
          <w:p w14:paraId="08D30D38" w14:textId="1D843A8E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E62391E" wp14:editId="2AD180D4">
                  <wp:extent cx="1889760" cy="1409700"/>
                  <wp:effectExtent l="0" t="0" r="0" b="0"/>
                  <wp:docPr id="849690642" name="Billede 25" descr="Et billede, der indeholder skitse, tegning, Stregtegning, stregtegning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690642" name="Billede 25" descr="Et billede, der indeholder skitse, tegning, Stregtegning, stregtegning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1DD767DA" w14:textId="77777777" w:rsidTr="00B2164A">
        <w:trPr>
          <w:trHeight w:val="938"/>
        </w:trPr>
        <w:tc>
          <w:tcPr>
            <w:tcW w:w="2843" w:type="pct"/>
            <w:vMerge/>
            <w:vAlign w:val="center"/>
            <w:hideMark/>
          </w:tcPr>
          <w:p w14:paraId="06C7005C" w14:textId="77777777" w:rsidR="004B7604" w:rsidRPr="004B7604" w:rsidRDefault="004B7604" w:rsidP="00B2164A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2157" w:type="pct"/>
            <w:hideMark/>
          </w:tcPr>
          <w:p w14:paraId="1B65721C" w14:textId="757D3C64" w:rsidR="004B7604" w:rsidRPr="004B7604" w:rsidRDefault="004B7604" w:rsidP="00B2164A">
            <w:pPr>
              <w:tabs>
                <w:tab w:val="left" w:pos="851"/>
              </w:tabs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49362497" wp14:editId="42480E85">
                  <wp:extent cx="1882140" cy="1325880"/>
                  <wp:effectExtent l="0" t="0" r="3810" b="7620"/>
                  <wp:docPr id="1186907273" name="Billede 24" descr="Et billede, der indeholder skitse, tegning, Stregtegning, clipart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907273" name="Billede 24" descr="Et billede, der indeholder skitse, tegning, Stregtegning, clipart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38B6AB56" w14:textId="77777777" w:rsidTr="00B2164A">
        <w:trPr>
          <w:trHeight w:val="937"/>
        </w:trPr>
        <w:tc>
          <w:tcPr>
            <w:tcW w:w="2843" w:type="pct"/>
            <w:vMerge/>
            <w:vAlign w:val="center"/>
            <w:hideMark/>
          </w:tcPr>
          <w:p w14:paraId="6BB7DB34" w14:textId="77777777" w:rsidR="004B7604" w:rsidRPr="004B7604" w:rsidRDefault="004B7604" w:rsidP="004B7604">
            <w:pPr>
              <w:tabs>
                <w:tab w:val="left" w:pos="851"/>
              </w:tabs>
              <w:ind w:left="851"/>
              <w:rPr>
                <w:sz w:val="24"/>
                <w:szCs w:val="24"/>
                <w:lang w:val="en-US"/>
              </w:rPr>
            </w:pPr>
          </w:p>
        </w:tc>
        <w:tc>
          <w:tcPr>
            <w:tcW w:w="2157" w:type="pct"/>
            <w:hideMark/>
          </w:tcPr>
          <w:p w14:paraId="07613EE6" w14:textId="2E83CE5F" w:rsidR="004B7604" w:rsidRPr="004B7604" w:rsidRDefault="004B7604" w:rsidP="004B7604">
            <w:pPr>
              <w:tabs>
                <w:tab w:val="left" w:pos="851"/>
              </w:tabs>
              <w:ind w:left="851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D2695E3" wp14:editId="6161E56C">
                  <wp:extent cx="1958340" cy="1485900"/>
                  <wp:effectExtent l="0" t="0" r="3810" b="0"/>
                  <wp:docPr id="604996277" name="Billede 23" descr="Et billede, der indeholder skitse, tegning, trækvogn/indkøbskurv/sækkevogn, design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96277" name="Billede 23" descr="Et billede, der indeholder skitse, tegning, trækvogn/indkøbskurv/sækkevogn, design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D7DB68" w14:textId="77777777" w:rsidR="004B7604" w:rsidRPr="004B7604" w:rsidRDefault="004B7604" w:rsidP="00B2164A">
      <w:pPr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17"/>
        <w:gridCol w:w="3921"/>
      </w:tblGrid>
      <w:tr w:rsidR="004B7604" w:rsidRPr="004B7604" w14:paraId="09CEF21A" w14:textId="77777777" w:rsidTr="00B2164A">
        <w:trPr>
          <w:trHeight w:val="3432"/>
        </w:trPr>
        <w:tc>
          <w:tcPr>
            <w:tcW w:w="2966" w:type="pct"/>
            <w:hideMark/>
          </w:tcPr>
          <w:p w14:paraId="3E090477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8</w:t>
            </w:r>
          </w:p>
          <w:p w14:paraId="7AFD2158" w14:textId="73CC25EF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proofErr w:type="spellStart"/>
            <w:r w:rsidRPr="004B7604">
              <w:rPr>
                <w:sz w:val="24"/>
                <w:szCs w:val="24"/>
              </w:rPr>
              <w:t>Octreotide</w:t>
            </w:r>
            <w:proofErr w:type="spellEnd"/>
            <w:r w:rsidRPr="004B7604">
              <w:rPr>
                <w:sz w:val="24"/>
                <w:szCs w:val="24"/>
              </w:rPr>
              <w:t xml:space="preserve"> 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Orion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 xml:space="preserve"> må kun gives som dyb intramuskulær injektion, </w:t>
            </w:r>
            <w:r w:rsidRPr="004B7604">
              <w:rPr>
                <w:b/>
                <w:bCs/>
                <w:sz w:val="24"/>
                <w:szCs w:val="24"/>
              </w:rPr>
              <w:t xml:space="preserve">ALDRIG </w:t>
            </w:r>
            <w:r w:rsidRPr="004B7604">
              <w:rPr>
                <w:sz w:val="24"/>
                <w:szCs w:val="24"/>
              </w:rPr>
              <w:t>intravenøst.</w:t>
            </w:r>
          </w:p>
          <w:p w14:paraId="5BF51E2F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Stik kanylen helt ind i højre eller venstre sædemuskel i en vinkel på 90 º ud fra huden.</w:t>
            </w:r>
          </w:p>
          <w:p w14:paraId="6593DC98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Træk langsomt stemplet tilbage for at tjekke, at ingen blodårer er perforerede (positionen skal ændres, hvis en blodåre er penetreret).</w:t>
            </w:r>
          </w:p>
          <w:p w14:paraId="7482A628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 w:hanging="425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Pres stemplet langsomt i bund med et jævnt tryk, indtil sprøjten er tom. Tag kanylen ud fra injektionsstedet, og aktivér sikkerhedsbeskyttelsen (som vist i </w:t>
            </w:r>
            <w:r w:rsidRPr="004B7604">
              <w:rPr>
                <w:b/>
                <w:bCs/>
                <w:sz w:val="24"/>
                <w:szCs w:val="24"/>
              </w:rPr>
              <w:t>Trin 9</w:t>
            </w:r>
            <w:r w:rsidRPr="004B7604">
              <w:rPr>
                <w:sz w:val="24"/>
                <w:szCs w:val="24"/>
              </w:rPr>
              <w:t>).</w:t>
            </w:r>
          </w:p>
        </w:tc>
        <w:tc>
          <w:tcPr>
            <w:tcW w:w="2034" w:type="pct"/>
            <w:hideMark/>
          </w:tcPr>
          <w:p w14:paraId="532D3ECC" w14:textId="13E4B363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0C5107ED" wp14:editId="03AB49AA">
                  <wp:extent cx="2240280" cy="1737360"/>
                  <wp:effectExtent l="0" t="0" r="7620" b="0"/>
                  <wp:docPr id="1914780059" name="Billede 22" descr="Et billede, der indeholder tegning, diagram, hvid, skitse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80059" name="Billede 22" descr="Et billede, der indeholder tegning, diagram, hvid, skitse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A88B0" w14:textId="77777777" w:rsidR="004B7604" w:rsidRPr="004B7604" w:rsidRDefault="004B7604" w:rsidP="004B7604">
      <w:pPr>
        <w:tabs>
          <w:tab w:val="left" w:pos="851"/>
        </w:tabs>
        <w:ind w:left="851"/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68"/>
        <w:gridCol w:w="3770"/>
      </w:tblGrid>
      <w:tr w:rsidR="004B7604" w:rsidRPr="004B7604" w14:paraId="2DA63F3D" w14:textId="77777777" w:rsidTr="00B2164A">
        <w:trPr>
          <w:trHeight w:val="938"/>
        </w:trPr>
        <w:tc>
          <w:tcPr>
            <w:tcW w:w="3044" w:type="pct"/>
            <w:vMerge w:val="restart"/>
            <w:hideMark/>
          </w:tcPr>
          <w:p w14:paraId="71CABF72" w14:textId="77777777" w:rsidR="004B7604" w:rsidRPr="004B7604" w:rsidRDefault="004B7604" w:rsidP="00B2164A">
            <w:pPr>
              <w:ind w:left="32"/>
              <w:rPr>
                <w:b/>
                <w:sz w:val="24"/>
                <w:szCs w:val="24"/>
                <w:lang w:val="en-US"/>
              </w:rPr>
            </w:pPr>
            <w:r w:rsidRPr="004B7604">
              <w:rPr>
                <w:b/>
                <w:sz w:val="24"/>
                <w:szCs w:val="24"/>
                <w:lang w:val="en-US"/>
              </w:rPr>
              <w:t>Trin 9</w:t>
            </w:r>
          </w:p>
          <w:p w14:paraId="0A1F6DC1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Aktivér kanylens sikkerhedsbeskyttelse ved hjælp af én af de to viste metoder:</w:t>
            </w:r>
          </w:p>
          <w:p w14:paraId="72C249F8" w14:textId="6A34281E" w:rsidR="004B7604" w:rsidRPr="004B7604" w:rsidRDefault="004B7604" w:rsidP="00CE3E77">
            <w:pPr>
              <w:ind w:left="741" w:hanging="284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- </w:t>
            </w:r>
            <w:r w:rsidR="00CE3E77">
              <w:rPr>
                <w:sz w:val="24"/>
                <w:szCs w:val="24"/>
              </w:rPr>
              <w:tab/>
            </w:r>
            <w:r w:rsidRPr="004B7604">
              <w:rPr>
                <w:sz w:val="24"/>
                <w:szCs w:val="24"/>
              </w:rPr>
              <w:t>enten trykkes sikkerhedsbeskyttelsen ned mod en hård overflade (figur A)</w:t>
            </w:r>
          </w:p>
          <w:p w14:paraId="229CAC87" w14:textId="6DF3E801" w:rsidR="004B7604" w:rsidRPr="004B7604" w:rsidRDefault="004B7604" w:rsidP="00CE3E77">
            <w:pPr>
              <w:ind w:left="741" w:hanging="284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- </w:t>
            </w:r>
            <w:r w:rsidR="00CE3E77">
              <w:rPr>
                <w:sz w:val="24"/>
                <w:szCs w:val="24"/>
              </w:rPr>
              <w:tab/>
            </w:r>
            <w:r w:rsidRPr="004B7604">
              <w:rPr>
                <w:sz w:val="24"/>
                <w:szCs w:val="24"/>
              </w:rPr>
              <w:t>ellers skubbes sikkerhedsbeskyttelsen fremover med din finger (figur B).</w:t>
            </w:r>
          </w:p>
          <w:p w14:paraId="6F936D37" w14:textId="5960B8E6" w:rsidR="004B7604" w:rsidRPr="004B7604" w:rsidRDefault="004B7604" w:rsidP="00CE3E77">
            <w:pPr>
              <w:numPr>
                <w:ilvl w:val="0"/>
                <w:numId w:val="9"/>
              </w:numPr>
              <w:ind w:left="457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 xml:space="preserve">Når du hører et 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klik</w:t>
            </w:r>
            <w:r w:rsidR="00B2164A">
              <w:rPr>
                <w:sz w:val="24"/>
                <w:szCs w:val="24"/>
              </w:rPr>
              <w:t>"</w:t>
            </w:r>
            <w:r w:rsidRPr="004B7604">
              <w:rPr>
                <w:sz w:val="24"/>
                <w:szCs w:val="24"/>
              </w:rPr>
              <w:t>, betyder det korrekt aktivering.</w:t>
            </w:r>
          </w:p>
          <w:p w14:paraId="05D1BD56" w14:textId="77777777" w:rsidR="004B7604" w:rsidRPr="004B7604" w:rsidRDefault="004B7604" w:rsidP="00CE3E77">
            <w:pPr>
              <w:numPr>
                <w:ilvl w:val="0"/>
                <w:numId w:val="9"/>
              </w:numPr>
              <w:ind w:left="457"/>
              <w:rPr>
                <w:sz w:val="24"/>
                <w:szCs w:val="24"/>
              </w:rPr>
            </w:pPr>
            <w:r w:rsidRPr="004B7604">
              <w:rPr>
                <w:sz w:val="24"/>
                <w:szCs w:val="24"/>
              </w:rPr>
              <w:t>Kassér straks sprøjten (i en beholder til skarpe genstande).</w:t>
            </w:r>
          </w:p>
        </w:tc>
        <w:tc>
          <w:tcPr>
            <w:tcW w:w="1956" w:type="pct"/>
            <w:hideMark/>
          </w:tcPr>
          <w:p w14:paraId="5A594483" w14:textId="64048817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1BA9B623" wp14:editId="5D35A1AC">
                  <wp:extent cx="2095500" cy="1623060"/>
                  <wp:effectExtent l="0" t="0" r="0" b="0"/>
                  <wp:docPr id="1927976197" name="Billede 21" descr="Et billede, der indeholder skitse, tegning, clipart, Stregtegning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976197" name="Billede 21" descr="Et billede, der indeholder skitse, tegning, clipart, Stregtegning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604" w:rsidRPr="004B7604" w14:paraId="070A3389" w14:textId="77777777" w:rsidTr="00B2164A">
        <w:trPr>
          <w:trHeight w:val="937"/>
        </w:trPr>
        <w:tc>
          <w:tcPr>
            <w:tcW w:w="3044" w:type="pct"/>
            <w:vMerge/>
            <w:vAlign w:val="center"/>
            <w:hideMark/>
          </w:tcPr>
          <w:p w14:paraId="5DD4E558" w14:textId="77777777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</w:p>
        </w:tc>
        <w:tc>
          <w:tcPr>
            <w:tcW w:w="1956" w:type="pct"/>
            <w:hideMark/>
          </w:tcPr>
          <w:p w14:paraId="4B6F472C" w14:textId="1DF9D74C" w:rsidR="004B7604" w:rsidRPr="004B7604" w:rsidRDefault="004B7604" w:rsidP="00B2164A">
            <w:pPr>
              <w:ind w:left="32"/>
              <w:rPr>
                <w:sz w:val="24"/>
                <w:szCs w:val="24"/>
                <w:lang w:val="en-US"/>
              </w:rPr>
            </w:pPr>
            <w:r w:rsidRPr="00B2164A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58BD288B" wp14:editId="6D88360C">
                  <wp:extent cx="2011680" cy="548640"/>
                  <wp:effectExtent l="0" t="0" r="7620" b="3810"/>
                  <wp:docPr id="810444942" name="Billede 20" descr="Et billede, der indeholder skitse, værktøj, design&#10;&#10;AI-genereret indhold kan være ukorrek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444942" name="Billede 20" descr="Et billede, der indeholder skitse, værktøj, design&#10;&#10;AI-genereret indhold kan være ukorrek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75EEB" w14:textId="77777777" w:rsidR="009260DE" w:rsidRPr="00B2164A" w:rsidRDefault="009260DE" w:rsidP="000730CA">
      <w:pPr>
        <w:tabs>
          <w:tab w:val="left" w:pos="851"/>
        </w:tabs>
        <w:ind w:left="851"/>
        <w:rPr>
          <w:sz w:val="24"/>
          <w:szCs w:val="24"/>
        </w:rPr>
      </w:pPr>
    </w:p>
    <w:p w14:paraId="27A1684A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7.</w:t>
      </w:r>
      <w:r w:rsidRPr="00B2164A">
        <w:rPr>
          <w:b/>
          <w:sz w:val="24"/>
          <w:szCs w:val="24"/>
        </w:rPr>
        <w:tab/>
        <w:t>INDEHAVER AF MARKEDSFØRINGSTILLADELSEN</w:t>
      </w:r>
    </w:p>
    <w:p w14:paraId="16CD69FB" w14:textId="77777777" w:rsidR="004B7604" w:rsidRPr="004B7604" w:rsidRDefault="004B7604" w:rsidP="00B2164A">
      <w:pPr>
        <w:ind w:left="851"/>
        <w:rPr>
          <w:sz w:val="24"/>
          <w:szCs w:val="24"/>
        </w:rPr>
      </w:pPr>
      <w:proofErr w:type="spellStart"/>
      <w:r w:rsidRPr="004B7604">
        <w:rPr>
          <w:sz w:val="24"/>
          <w:szCs w:val="24"/>
        </w:rPr>
        <w:t>Qilu</w:t>
      </w:r>
      <w:proofErr w:type="spellEnd"/>
      <w:r w:rsidRPr="004B7604">
        <w:rPr>
          <w:sz w:val="24"/>
          <w:szCs w:val="24"/>
        </w:rPr>
        <w:t xml:space="preserve"> Pharma Spain S.L.</w:t>
      </w:r>
    </w:p>
    <w:p w14:paraId="61678EFC" w14:textId="77777777" w:rsidR="004B7604" w:rsidRPr="004B7604" w:rsidRDefault="004B7604" w:rsidP="00B2164A">
      <w:pPr>
        <w:ind w:left="851"/>
        <w:rPr>
          <w:sz w:val="24"/>
          <w:szCs w:val="24"/>
          <w:lang w:val="en-US"/>
        </w:rPr>
      </w:pPr>
      <w:r w:rsidRPr="004B7604">
        <w:rPr>
          <w:sz w:val="24"/>
          <w:szCs w:val="24"/>
          <w:lang w:val="en-US"/>
        </w:rPr>
        <w:t>Paseo de la Castellana 40, planta 8</w:t>
      </w:r>
    </w:p>
    <w:p w14:paraId="5CE53A5A" w14:textId="77777777" w:rsidR="004B7604" w:rsidRPr="004B7604" w:rsidRDefault="004B7604" w:rsidP="00B2164A">
      <w:pPr>
        <w:ind w:left="851"/>
        <w:rPr>
          <w:sz w:val="24"/>
          <w:szCs w:val="24"/>
          <w:lang w:val="en-US"/>
        </w:rPr>
      </w:pPr>
      <w:r w:rsidRPr="004B7604">
        <w:rPr>
          <w:sz w:val="24"/>
          <w:szCs w:val="24"/>
          <w:lang w:val="en-US"/>
        </w:rPr>
        <w:t>28046 Madrid</w:t>
      </w:r>
    </w:p>
    <w:p w14:paraId="60FC829C" w14:textId="77777777" w:rsidR="004B7604" w:rsidRPr="004B7604" w:rsidRDefault="004B7604" w:rsidP="00B2164A">
      <w:pPr>
        <w:ind w:left="851"/>
        <w:rPr>
          <w:sz w:val="24"/>
          <w:szCs w:val="24"/>
          <w:lang w:val="en-US"/>
        </w:rPr>
      </w:pPr>
      <w:proofErr w:type="spellStart"/>
      <w:r w:rsidRPr="004B7604">
        <w:rPr>
          <w:sz w:val="24"/>
          <w:szCs w:val="24"/>
          <w:lang w:val="en-US"/>
        </w:rPr>
        <w:t>Spanien</w:t>
      </w:r>
      <w:proofErr w:type="spellEnd"/>
    </w:p>
    <w:p w14:paraId="522B746F" w14:textId="77777777" w:rsidR="004B7604" w:rsidRPr="004B7604" w:rsidRDefault="004B7604" w:rsidP="00B2164A">
      <w:pPr>
        <w:ind w:left="851"/>
        <w:rPr>
          <w:sz w:val="24"/>
          <w:szCs w:val="24"/>
          <w:lang w:val="en-US"/>
        </w:rPr>
      </w:pPr>
    </w:p>
    <w:p w14:paraId="681EB764" w14:textId="77777777" w:rsidR="004B7604" w:rsidRPr="004B7604" w:rsidRDefault="004B7604" w:rsidP="00B2164A">
      <w:pPr>
        <w:ind w:left="851"/>
        <w:rPr>
          <w:b/>
          <w:bCs/>
          <w:sz w:val="24"/>
          <w:szCs w:val="24"/>
          <w:lang w:val="en-US"/>
        </w:rPr>
      </w:pPr>
      <w:proofErr w:type="spellStart"/>
      <w:r w:rsidRPr="004B7604">
        <w:rPr>
          <w:b/>
          <w:bCs/>
          <w:sz w:val="24"/>
          <w:szCs w:val="24"/>
          <w:lang w:val="en-US"/>
        </w:rPr>
        <w:t>Repræsentant</w:t>
      </w:r>
      <w:proofErr w:type="spellEnd"/>
    </w:p>
    <w:p w14:paraId="7D6E54D6" w14:textId="77777777" w:rsidR="004B7604" w:rsidRPr="004B7604" w:rsidRDefault="004B7604" w:rsidP="00B2164A">
      <w:pPr>
        <w:ind w:left="851"/>
        <w:rPr>
          <w:sz w:val="24"/>
          <w:szCs w:val="24"/>
          <w:lang w:val="en-US"/>
        </w:rPr>
      </w:pPr>
      <w:r w:rsidRPr="004B7604">
        <w:rPr>
          <w:sz w:val="24"/>
          <w:szCs w:val="24"/>
          <w:lang w:val="en-US"/>
        </w:rPr>
        <w:t>Orion Pharma A/S</w:t>
      </w:r>
    </w:p>
    <w:p w14:paraId="0CB989F6" w14:textId="77777777" w:rsidR="004B7604" w:rsidRPr="004B7604" w:rsidRDefault="004B7604" w:rsidP="00B2164A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Ørestads Boulevard 73</w:t>
      </w:r>
    </w:p>
    <w:p w14:paraId="44EE4B5A" w14:textId="77777777" w:rsidR="004B7604" w:rsidRPr="004B7604" w:rsidRDefault="004B7604" w:rsidP="00B2164A">
      <w:pPr>
        <w:ind w:left="851"/>
        <w:rPr>
          <w:sz w:val="24"/>
          <w:szCs w:val="24"/>
        </w:rPr>
      </w:pPr>
      <w:r w:rsidRPr="004B7604">
        <w:rPr>
          <w:sz w:val="24"/>
          <w:szCs w:val="24"/>
        </w:rPr>
        <w:t>2300 København S</w:t>
      </w:r>
    </w:p>
    <w:p w14:paraId="564F6C3C" w14:textId="77777777" w:rsidR="00641C65" w:rsidRPr="00B2164A" w:rsidRDefault="00641C65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FF817E8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8.</w:t>
      </w:r>
      <w:r w:rsidRPr="00B2164A">
        <w:rPr>
          <w:b/>
          <w:sz w:val="24"/>
          <w:szCs w:val="24"/>
        </w:rPr>
        <w:tab/>
        <w:t>MARKEDSFØRINGSTILLADELSESNUMMER (</w:t>
      </w:r>
      <w:r w:rsidR="00BF6243" w:rsidRPr="00B2164A">
        <w:rPr>
          <w:b/>
          <w:sz w:val="24"/>
          <w:szCs w:val="24"/>
        </w:rPr>
        <w:t>-</w:t>
      </w:r>
      <w:r w:rsidRPr="00B2164A">
        <w:rPr>
          <w:b/>
          <w:sz w:val="24"/>
          <w:szCs w:val="24"/>
        </w:rPr>
        <w:t>NUMRE)</w:t>
      </w:r>
    </w:p>
    <w:p w14:paraId="2BB9FE84" w14:textId="6BC5E8D9" w:rsidR="009260DE" w:rsidRPr="00B2164A" w:rsidRDefault="004B7604" w:rsidP="009E01FB">
      <w:pPr>
        <w:tabs>
          <w:tab w:val="left" w:pos="170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 xml:space="preserve">10 mg: </w:t>
      </w:r>
      <w:r w:rsidR="009E01FB">
        <w:rPr>
          <w:sz w:val="24"/>
          <w:szCs w:val="24"/>
        </w:rPr>
        <w:tab/>
      </w:r>
      <w:r w:rsidRPr="00B2164A">
        <w:rPr>
          <w:sz w:val="24"/>
          <w:szCs w:val="24"/>
        </w:rPr>
        <w:t>74190</w:t>
      </w:r>
    </w:p>
    <w:p w14:paraId="5A0A7E44" w14:textId="2282C266" w:rsidR="004B7604" w:rsidRPr="00B2164A" w:rsidRDefault="004B7604" w:rsidP="009E01FB">
      <w:pPr>
        <w:tabs>
          <w:tab w:val="left" w:pos="170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 xml:space="preserve">20 mg: </w:t>
      </w:r>
      <w:r w:rsidR="009E01FB">
        <w:rPr>
          <w:sz w:val="24"/>
          <w:szCs w:val="24"/>
        </w:rPr>
        <w:tab/>
      </w:r>
      <w:r w:rsidRPr="00B2164A">
        <w:rPr>
          <w:sz w:val="24"/>
          <w:szCs w:val="24"/>
        </w:rPr>
        <w:t>74193</w:t>
      </w:r>
    </w:p>
    <w:p w14:paraId="74979A3C" w14:textId="0D687662" w:rsidR="004B7604" w:rsidRPr="00B2164A" w:rsidRDefault="004B7604" w:rsidP="009E01FB">
      <w:pPr>
        <w:tabs>
          <w:tab w:val="left" w:pos="170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 xml:space="preserve">30 mg: </w:t>
      </w:r>
      <w:r w:rsidR="009E01FB">
        <w:rPr>
          <w:sz w:val="24"/>
          <w:szCs w:val="24"/>
        </w:rPr>
        <w:tab/>
      </w:r>
      <w:r w:rsidRPr="00B2164A">
        <w:rPr>
          <w:sz w:val="24"/>
          <w:szCs w:val="24"/>
        </w:rPr>
        <w:t>74194</w:t>
      </w:r>
    </w:p>
    <w:p w14:paraId="1965E2A0" w14:textId="77777777" w:rsidR="009260DE" w:rsidRPr="00B2164A" w:rsidRDefault="009260DE" w:rsidP="009260DE">
      <w:pPr>
        <w:tabs>
          <w:tab w:val="left" w:pos="851"/>
        </w:tabs>
        <w:ind w:left="851"/>
        <w:jc w:val="both"/>
        <w:rPr>
          <w:sz w:val="24"/>
          <w:szCs w:val="24"/>
        </w:rPr>
      </w:pPr>
    </w:p>
    <w:p w14:paraId="74B3D157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9.</w:t>
      </w:r>
      <w:r w:rsidRPr="00B2164A">
        <w:rPr>
          <w:b/>
          <w:sz w:val="24"/>
          <w:szCs w:val="24"/>
        </w:rPr>
        <w:tab/>
        <w:t>DATO FOR FØRSTE MARKEDSFØRINGSTILLADELSE</w:t>
      </w:r>
    </w:p>
    <w:p w14:paraId="3172DFCE" w14:textId="5A1812C3" w:rsidR="009260DE" w:rsidRPr="00B2164A" w:rsidRDefault="00491536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10. september 2026</w:t>
      </w:r>
    </w:p>
    <w:p w14:paraId="1F00BC94" w14:textId="77777777" w:rsidR="009260DE" w:rsidRPr="00B2164A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A4F2BF7" w14:textId="77777777" w:rsidR="009260DE" w:rsidRPr="00B2164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B2164A">
        <w:rPr>
          <w:b/>
          <w:sz w:val="24"/>
          <w:szCs w:val="24"/>
        </w:rPr>
        <w:t>10.</w:t>
      </w:r>
      <w:r w:rsidRPr="00B2164A">
        <w:rPr>
          <w:b/>
          <w:sz w:val="24"/>
          <w:szCs w:val="24"/>
        </w:rPr>
        <w:tab/>
        <w:t>DATO FOR ÆNDRING AF TEKSTEN</w:t>
      </w:r>
    </w:p>
    <w:p w14:paraId="4A569765" w14:textId="5C011A0C" w:rsidR="009260DE" w:rsidRPr="00B2164A" w:rsidRDefault="004B7604" w:rsidP="009260DE">
      <w:pPr>
        <w:tabs>
          <w:tab w:val="left" w:pos="851"/>
        </w:tabs>
        <w:ind w:left="851"/>
        <w:rPr>
          <w:sz w:val="24"/>
          <w:szCs w:val="24"/>
        </w:rPr>
      </w:pPr>
      <w:r w:rsidRPr="00B2164A">
        <w:rPr>
          <w:sz w:val="24"/>
          <w:szCs w:val="24"/>
        </w:rPr>
        <w:t>-</w:t>
      </w:r>
    </w:p>
    <w:sectPr w:rsidR="009260DE" w:rsidRPr="00B2164A" w:rsidSect="000259B9">
      <w:footerReference w:type="default" r:id="rId27"/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D14A" w14:textId="77777777" w:rsidR="00CB3D53" w:rsidRDefault="00CB3D53">
      <w:r>
        <w:separator/>
      </w:r>
    </w:p>
  </w:endnote>
  <w:endnote w:type="continuationSeparator" w:id="0">
    <w:p w14:paraId="7110356E" w14:textId="77777777" w:rsidR="00CB3D53" w:rsidRDefault="00CB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21C" w14:textId="77777777" w:rsidR="000259B9" w:rsidRDefault="000259B9">
    <w:pPr>
      <w:pStyle w:val="Sidefod"/>
      <w:pBdr>
        <w:bottom w:val="single" w:sz="6" w:space="1" w:color="auto"/>
      </w:pBdr>
    </w:pPr>
  </w:p>
  <w:p w14:paraId="58265CC2" w14:textId="77777777" w:rsidR="000259B9" w:rsidRDefault="000259B9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</w:p>
  <w:p w14:paraId="52C16E58" w14:textId="3288A1E3" w:rsidR="000259B9" w:rsidRPr="00B373D7" w:rsidRDefault="00782AF4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  <w:r w:rsidRPr="00B373D7">
      <w:rPr>
        <w:i/>
        <w:sz w:val="18"/>
        <w:szCs w:val="18"/>
      </w:rPr>
      <w:fldChar w:fldCharType="begin"/>
    </w:r>
    <w:r w:rsidR="000259B9" w:rsidRPr="00B373D7">
      <w:rPr>
        <w:i/>
        <w:sz w:val="18"/>
        <w:szCs w:val="18"/>
      </w:rPr>
      <w:instrText xml:space="preserve"> FILENAME </w:instrText>
    </w:r>
    <w:r w:rsidRPr="00B373D7">
      <w:rPr>
        <w:i/>
        <w:sz w:val="18"/>
        <w:szCs w:val="18"/>
      </w:rPr>
      <w:fldChar w:fldCharType="separate"/>
    </w:r>
    <w:r w:rsidR="001F2C97">
      <w:rPr>
        <w:i/>
        <w:noProof/>
        <w:sz w:val="18"/>
        <w:szCs w:val="18"/>
      </w:rPr>
      <w:t>Octreotide Orion, pulver og solvens til depotinjektionsvæske, suspension 10 mg, 20 mg og 30 mg.docx</w:t>
    </w:r>
    <w:r w:rsidRPr="00B373D7">
      <w:rPr>
        <w:i/>
        <w:sz w:val="18"/>
        <w:szCs w:val="18"/>
      </w:rPr>
      <w:fldChar w:fldCharType="end"/>
    </w:r>
    <w:r w:rsidR="000259B9" w:rsidRPr="00B373D7">
      <w:rPr>
        <w:i/>
        <w:sz w:val="18"/>
        <w:szCs w:val="18"/>
      </w:rPr>
      <w:tab/>
      <w:t xml:space="preserve">Side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PAGE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  <w:r w:rsidR="000259B9" w:rsidRPr="00B373D7">
      <w:rPr>
        <w:rStyle w:val="Sidetal"/>
        <w:i/>
        <w:sz w:val="18"/>
        <w:szCs w:val="18"/>
      </w:rPr>
      <w:t xml:space="preserve"> af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NUMPAGES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0029" w14:textId="77777777" w:rsidR="00CB3D53" w:rsidRDefault="00CB3D53">
      <w:r>
        <w:separator/>
      </w:r>
    </w:p>
  </w:footnote>
  <w:footnote w:type="continuationSeparator" w:id="0">
    <w:p w14:paraId="586D1DB0" w14:textId="77777777" w:rsidR="00CB3D53" w:rsidRDefault="00CB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19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397578A"/>
    <w:multiLevelType w:val="multilevel"/>
    <w:tmpl w:val="392232EE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3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64660C3"/>
    <w:multiLevelType w:val="multilevel"/>
    <w:tmpl w:val="DAF0ED20"/>
    <w:lvl w:ilvl="0">
      <w:start w:val="5"/>
      <w:numFmt w:val="decimal"/>
      <w:lvlText w:val="%1.0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2159"/>
        </w:tabs>
        <w:ind w:left="2159" w:hanging="855"/>
      </w:pPr>
    </w:lvl>
    <w:lvl w:ilvl="2">
      <w:start w:val="1"/>
      <w:numFmt w:val="decimal"/>
      <w:lvlText w:val="%1.%2.%3"/>
      <w:lvlJc w:val="left"/>
      <w:pPr>
        <w:tabs>
          <w:tab w:val="num" w:pos="3463"/>
        </w:tabs>
        <w:ind w:left="3463" w:hanging="855"/>
      </w:pPr>
    </w:lvl>
    <w:lvl w:ilvl="3">
      <w:start w:val="1"/>
      <w:numFmt w:val="decimal"/>
      <w:lvlText w:val="%1.%2.%3.%4"/>
      <w:lvlJc w:val="left"/>
      <w:pPr>
        <w:tabs>
          <w:tab w:val="num" w:pos="4767"/>
        </w:tabs>
        <w:ind w:left="4767" w:hanging="855"/>
      </w:p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</w:lvl>
    <w:lvl w:ilvl="5">
      <w:start w:val="1"/>
      <w:numFmt w:val="decimal"/>
      <w:lvlText w:val="%1.%2.%3.%4.%5.%6"/>
      <w:lvlJc w:val="left"/>
      <w:pPr>
        <w:tabs>
          <w:tab w:val="num" w:pos="7600"/>
        </w:tabs>
        <w:ind w:left="76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0568"/>
        </w:tabs>
        <w:ind w:left="1056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</w:lvl>
  </w:abstractNum>
  <w:abstractNum w:abstractNumId="4" w15:restartNumberingAfterBreak="0">
    <w:nsid w:val="405C5D3C"/>
    <w:multiLevelType w:val="multilevel"/>
    <w:tmpl w:val="9CBC71DC"/>
    <w:lvl w:ilvl="0"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C23268F"/>
    <w:multiLevelType w:val="hybridMultilevel"/>
    <w:tmpl w:val="DDEE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42CAA"/>
    <w:multiLevelType w:val="multilevel"/>
    <w:tmpl w:val="6E481CAC"/>
    <w:lvl w:ilvl="0">
      <w:start w:val="5"/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606F5FD3"/>
    <w:multiLevelType w:val="hybridMultilevel"/>
    <w:tmpl w:val="C7C69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61149"/>
    <w:multiLevelType w:val="hybridMultilevel"/>
    <w:tmpl w:val="B5308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04965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8734637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894133">
    <w:abstractNumId w:val="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8548794">
    <w:abstractNumId w:val="2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17397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7179507">
    <w:abstractNumId w:val="7"/>
  </w:num>
  <w:num w:numId="7" w16cid:durableId="808281789">
    <w:abstractNumId w:val="0"/>
  </w:num>
  <w:num w:numId="8" w16cid:durableId="623075550">
    <w:abstractNumId w:val="5"/>
  </w:num>
  <w:num w:numId="9" w16cid:durableId="17486531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53"/>
    <w:rsid w:val="000259B9"/>
    <w:rsid w:val="00041491"/>
    <w:rsid w:val="00050D16"/>
    <w:rsid w:val="00066334"/>
    <w:rsid w:val="000730CA"/>
    <w:rsid w:val="00074F2A"/>
    <w:rsid w:val="000A1CA8"/>
    <w:rsid w:val="000A466B"/>
    <w:rsid w:val="000B058C"/>
    <w:rsid w:val="000D68B0"/>
    <w:rsid w:val="000E4EE6"/>
    <w:rsid w:val="001454E2"/>
    <w:rsid w:val="001F2C97"/>
    <w:rsid w:val="00206CE8"/>
    <w:rsid w:val="0021526C"/>
    <w:rsid w:val="00283A2B"/>
    <w:rsid w:val="002B30AD"/>
    <w:rsid w:val="002C1EC0"/>
    <w:rsid w:val="002C2C01"/>
    <w:rsid w:val="003A29AE"/>
    <w:rsid w:val="003A32D7"/>
    <w:rsid w:val="003B4074"/>
    <w:rsid w:val="003C769A"/>
    <w:rsid w:val="003D3A90"/>
    <w:rsid w:val="003F1838"/>
    <w:rsid w:val="004251C1"/>
    <w:rsid w:val="0045746C"/>
    <w:rsid w:val="0049104B"/>
    <w:rsid w:val="00491536"/>
    <w:rsid w:val="004B7604"/>
    <w:rsid w:val="004E3B12"/>
    <w:rsid w:val="00532310"/>
    <w:rsid w:val="00564577"/>
    <w:rsid w:val="00565F0F"/>
    <w:rsid w:val="00594A86"/>
    <w:rsid w:val="00596D86"/>
    <w:rsid w:val="00637F5A"/>
    <w:rsid w:val="00641C65"/>
    <w:rsid w:val="006560B1"/>
    <w:rsid w:val="006756DD"/>
    <w:rsid w:val="0071241E"/>
    <w:rsid w:val="00737275"/>
    <w:rsid w:val="00740EEC"/>
    <w:rsid w:val="0078011A"/>
    <w:rsid w:val="00782AF4"/>
    <w:rsid w:val="00790EE7"/>
    <w:rsid w:val="007B6649"/>
    <w:rsid w:val="0082576E"/>
    <w:rsid w:val="0089346F"/>
    <w:rsid w:val="00907F75"/>
    <w:rsid w:val="009260DE"/>
    <w:rsid w:val="0093258A"/>
    <w:rsid w:val="009C7BA3"/>
    <w:rsid w:val="009D1F5A"/>
    <w:rsid w:val="009D7768"/>
    <w:rsid w:val="009E01FB"/>
    <w:rsid w:val="00A10294"/>
    <w:rsid w:val="00AA79FC"/>
    <w:rsid w:val="00B003BF"/>
    <w:rsid w:val="00B2164A"/>
    <w:rsid w:val="00B373D7"/>
    <w:rsid w:val="00B55271"/>
    <w:rsid w:val="00BD7931"/>
    <w:rsid w:val="00BF6243"/>
    <w:rsid w:val="00C36276"/>
    <w:rsid w:val="00C42586"/>
    <w:rsid w:val="00C45F6B"/>
    <w:rsid w:val="00C60CCD"/>
    <w:rsid w:val="00C84483"/>
    <w:rsid w:val="00C95551"/>
    <w:rsid w:val="00CB20D7"/>
    <w:rsid w:val="00CB3D53"/>
    <w:rsid w:val="00CE3E77"/>
    <w:rsid w:val="00D020B0"/>
    <w:rsid w:val="00D11748"/>
    <w:rsid w:val="00D237F6"/>
    <w:rsid w:val="00D34D98"/>
    <w:rsid w:val="00D366CF"/>
    <w:rsid w:val="00D80EF7"/>
    <w:rsid w:val="00D93992"/>
    <w:rsid w:val="00E108AA"/>
    <w:rsid w:val="00E3749A"/>
    <w:rsid w:val="00E7437F"/>
    <w:rsid w:val="00E865B8"/>
    <w:rsid w:val="00EC0B9B"/>
    <w:rsid w:val="00EC7E21"/>
    <w:rsid w:val="00ED5E9F"/>
    <w:rsid w:val="00F66D4F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D564F"/>
  <w15:chartTrackingRefBased/>
  <w15:docId w15:val="{3DBC3C02-17A2-459A-AE2F-6E712B4E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01"/>
    <w:rPr>
      <w:sz w:val="23"/>
      <w:lang w:eastAsia="en-US"/>
    </w:rPr>
  </w:style>
  <w:style w:type="paragraph" w:styleId="Overskrift1">
    <w:name w:val="heading 1"/>
    <w:basedOn w:val="Normal"/>
    <w:next w:val="Normal"/>
    <w:qFormat/>
    <w:rsid w:val="00FB6D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3">
    <w:name w:val="heading 3"/>
    <w:basedOn w:val="Normal"/>
    <w:next w:val="Normal"/>
    <w:qFormat/>
    <w:rsid w:val="00FB6D01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semiHidden/>
    <w:rsid w:val="00790EE7"/>
    <w:rPr>
      <w:sz w:val="20"/>
      <w:lang w:eastAsia="da-DK"/>
    </w:rPr>
  </w:style>
  <w:style w:type="paragraph" w:styleId="Sidehoved">
    <w:name w:val="header"/>
    <w:basedOn w:val="Normal"/>
    <w:link w:val="SidehovedTegn"/>
    <w:rsid w:val="00790EE7"/>
    <w:pPr>
      <w:tabs>
        <w:tab w:val="center" w:pos="4819"/>
        <w:tab w:val="right" w:pos="9638"/>
      </w:tabs>
    </w:pPr>
    <w:rPr>
      <w:sz w:val="24"/>
      <w:lang w:eastAsia="da-DK"/>
    </w:rPr>
  </w:style>
  <w:style w:type="paragraph" w:styleId="Titel">
    <w:name w:val="Title"/>
    <w:basedOn w:val="Normal"/>
    <w:link w:val="TitelTegn"/>
    <w:qFormat/>
    <w:rsid w:val="00790EE7"/>
    <w:pPr>
      <w:jc w:val="center"/>
    </w:pPr>
    <w:rPr>
      <w:b/>
      <w:sz w:val="24"/>
      <w:lang w:eastAsia="da-DK"/>
    </w:rPr>
  </w:style>
  <w:style w:type="character" w:styleId="Kommentarhenvisning">
    <w:name w:val="annotation reference"/>
    <w:semiHidden/>
    <w:rsid w:val="00790EE7"/>
    <w:rPr>
      <w:sz w:val="16"/>
      <w:szCs w:val="16"/>
    </w:rPr>
  </w:style>
  <w:style w:type="paragraph" w:styleId="Markeringsbobletekst">
    <w:name w:val="Balloon Text"/>
    <w:basedOn w:val="Normal"/>
    <w:semiHidden/>
    <w:rsid w:val="00790EE7"/>
    <w:rPr>
      <w:rFonts w:ascii="Tahoma" w:hAnsi="Tahoma" w:cs="Tahoma"/>
      <w:sz w:val="16"/>
      <w:szCs w:val="16"/>
    </w:rPr>
  </w:style>
  <w:style w:type="paragraph" w:styleId="Sidefod">
    <w:name w:val="footer"/>
    <w:basedOn w:val="Normal"/>
    <w:rsid w:val="00C42586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C42586"/>
  </w:style>
  <w:style w:type="character" w:customStyle="1" w:styleId="KommentartekstTegn">
    <w:name w:val="Kommentartekst Tegn"/>
    <w:basedOn w:val="Standardskrifttypeiafsnit"/>
    <w:link w:val="Kommentartekst"/>
    <w:semiHidden/>
    <w:rsid w:val="00B003BF"/>
  </w:style>
  <w:style w:type="character" w:customStyle="1" w:styleId="SidehovedTegn">
    <w:name w:val="Sidehoved Tegn"/>
    <w:link w:val="Sidehoved"/>
    <w:rsid w:val="00B003BF"/>
    <w:rPr>
      <w:sz w:val="24"/>
    </w:rPr>
  </w:style>
  <w:style w:type="character" w:customStyle="1" w:styleId="TitelTegn">
    <w:name w:val="Titel Tegn"/>
    <w:link w:val="Titel"/>
    <w:rsid w:val="00B003BF"/>
    <w:rPr>
      <w:b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60DE"/>
    <w:rPr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60DE"/>
    <w:rPr>
      <w:b/>
      <w:bCs/>
      <w:lang w:eastAsia="en-US"/>
    </w:rPr>
  </w:style>
  <w:style w:type="character" w:styleId="Hyperlink">
    <w:name w:val="Hyperlink"/>
    <w:basedOn w:val="Standardskrifttypeiafsnit"/>
    <w:uiPriority w:val="99"/>
    <w:unhideWhenUsed/>
    <w:rsid w:val="004B760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B7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ldenbivirkning.dk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QW_Docs\GOD\docs\National\LGO-RKE-REG%20008-01-SKB%20SPC%20Hum%20skabelon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LGO-RKE-REG 008-01-SKB SPC Hum skabelon.dotx</Template>
  <TotalTime>50</TotalTime>
  <Pages>20</Pages>
  <Words>5319</Words>
  <Characters>35663</Characters>
  <Application>Microsoft Office Word</Application>
  <DocSecurity>0</DocSecurity>
  <Lines>297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Jørgensen</dc:creator>
  <cp:keywords/>
  <dc:description>2025061208, MT</dc:description>
  <cp:lastModifiedBy>Gitte Jørgensen</cp:lastModifiedBy>
  <cp:revision>9</cp:revision>
  <cp:lastPrinted>2012-08-22T08:53:00Z</cp:lastPrinted>
  <dcterms:created xsi:type="dcterms:W3CDTF">2026-09-08T11:48:00Z</dcterms:created>
  <dcterms:modified xsi:type="dcterms:W3CDTF">2026-09-10T07:24:00Z</dcterms:modified>
</cp:coreProperties>
</file>