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5762FD" w:rsidRDefault="006B3847" w:rsidP="006B3847">
      <w:pPr>
        <w:tabs>
          <w:tab w:val="right" w:pos="9356"/>
        </w:tabs>
        <w:rPr>
          <w:b/>
          <w:sz w:val="24"/>
          <w:szCs w:val="24"/>
          <w:lang w:val="en-US"/>
        </w:rPr>
      </w:pPr>
      <w:r w:rsidRPr="00303008">
        <w:rPr>
          <w:b/>
          <w:sz w:val="24"/>
          <w:szCs w:val="24"/>
          <w:lang w:val="en-GB"/>
        </w:rPr>
        <w:tab/>
      </w:r>
      <w:r w:rsidR="00BB14C3" w:rsidRPr="005762FD">
        <w:rPr>
          <w:b/>
          <w:sz w:val="24"/>
          <w:szCs w:val="24"/>
          <w:lang w:val="en-US"/>
        </w:rPr>
        <w:t>19 November 2024</w:t>
      </w:r>
    </w:p>
    <w:p w:rsidR="004225D0" w:rsidRPr="005762FD" w:rsidRDefault="004225D0" w:rsidP="006B3847">
      <w:pPr>
        <w:rPr>
          <w:sz w:val="24"/>
          <w:szCs w:val="24"/>
          <w:lang w:val="en-US"/>
        </w:rPr>
      </w:pPr>
    </w:p>
    <w:p w:rsidR="007C5D2A" w:rsidRPr="005762FD" w:rsidRDefault="007C5D2A" w:rsidP="007C5D2A">
      <w:pPr>
        <w:rPr>
          <w:sz w:val="24"/>
          <w:szCs w:val="24"/>
          <w:lang w:val="en-US"/>
        </w:rPr>
      </w:pPr>
    </w:p>
    <w:p w:rsidR="007C5D2A" w:rsidRPr="005762FD" w:rsidRDefault="007C5D2A" w:rsidP="007C5D2A">
      <w:pPr>
        <w:rPr>
          <w:sz w:val="24"/>
          <w:szCs w:val="24"/>
          <w:lang w:val="en-US"/>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7445C6" w:rsidP="007C5D2A">
      <w:pPr>
        <w:jc w:val="center"/>
        <w:rPr>
          <w:b/>
          <w:sz w:val="24"/>
          <w:szCs w:val="24"/>
          <w:lang w:val="en-GB"/>
        </w:rPr>
      </w:pPr>
      <w:r>
        <w:rPr>
          <w:b/>
          <w:sz w:val="24"/>
          <w:szCs w:val="24"/>
          <w:lang w:val="en-GB"/>
        </w:rPr>
        <w:t>Odelo, film-coated tablets 2.5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A63628" w:rsidP="008F2F8C">
      <w:pPr>
        <w:tabs>
          <w:tab w:val="left" w:pos="8222"/>
        </w:tabs>
        <w:ind w:left="851"/>
        <w:rPr>
          <w:sz w:val="24"/>
          <w:szCs w:val="24"/>
          <w:lang w:val="en-GB"/>
        </w:rPr>
      </w:pPr>
      <w:r>
        <w:rPr>
          <w:sz w:val="24"/>
          <w:szCs w:val="24"/>
          <w:lang w:val="en-GB"/>
        </w:rPr>
        <w:t>31546</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A63628" w:rsidP="004A3BF4">
      <w:pPr>
        <w:tabs>
          <w:tab w:val="left" w:pos="851"/>
        </w:tabs>
        <w:ind w:left="851"/>
        <w:rPr>
          <w:sz w:val="24"/>
          <w:szCs w:val="24"/>
          <w:lang w:val="en-GB"/>
        </w:rPr>
      </w:pPr>
      <w:r>
        <w:rPr>
          <w:sz w:val="24"/>
          <w:szCs w:val="24"/>
          <w:lang w:val="en-GB"/>
        </w:rPr>
        <w:t>Odelo</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3A11AA" w:rsidRPr="003A11AA" w:rsidRDefault="003A11AA" w:rsidP="003A11AA">
      <w:pPr>
        <w:tabs>
          <w:tab w:val="left" w:pos="851"/>
        </w:tabs>
        <w:ind w:left="851"/>
        <w:rPr>
          <w:sz w:val="24"/>
          <w:szCs w:val="24"/>
          <w:lang w:val="en-GB"/>
        </w:rPr>
      </w:pPr>
      <w:r w:rsidRPr="003A11AA">
        <w:rPr>
          <w:sz w:val="24"/>
          <w:szCs w:val="24"/>
          <w:lang w:val="en-GB"/>
        </w:rPr>
        <w:t>Each film-coated tablet contains 2.5 mg rivaroxaban.</w:t>
      </w:r>
    </w:p>
    <w:p w:rsidR="003A11AA" w:rsidRPr="003A11AA" w:rsidRDefault="003A11AA" w:rsidP="003A11AA">
      <w:pPr>
        <w:tabs>
          <w:tab w:val="left" w:pos="851"/>
        </w:tabs>
        <w:ind w:left="851"/>
        <w:rPr>
          <w:iCs/>
          <w:sz w:val="24"/>
          <w:szCs w:val="24"/>
          <w:lang w:val="en-GB"/>
        </w:rPr>
      </w:pPr>
    </w:p>
    <w:p w:rsidR="003A11AA" w:rsidRPr="003A11AA" w:rsidRDefault="003A11AA" w:rsidP="003A11AA">
      <w:pPr>
        <w:tabs>
          <w:tab w:val="left" w:pos="851"/>
        </w:tabs>
        <w:ind w:left="851"/>
        <w:rPr>
          <w:sz w:val="24"/>
          <w:szCs w:val="24"/>
          <w:lang w:val="en-GB"/>
        </w:rPr>
      </w:pPr>
      <w:r w:rsidRPr="003A11AA">
        <w:rPr>
          <w:sz w:val="24"/>
          <w:szCs w:val="24"/>
          <w:u w:val="single"/>
          <w:lang w:val="en-GB"/>
        </w:rPr>
        <w:t>Excipient with known effect</w:t>
      </w:r>
    </w:p>
    <w:p w:rsidR="003A11AA" w:rsidRPr="003A11AA" w:rsidRDefault="003A11AA" w:rsidP="003A11AA">
      <w:pPr>
        <w:tabs>
          <w:tab w:val="left" w:pos="851"/>
        </w:tabs>
        <w:ind w:left="851"/>
        <w:rPr>
          <w:sz w:val="24"/>
          <w:szCs w:val="24"/>
          <w:lang w:val="en-GB"/>
        </w:rPr>
      </w:pPr>
      <w:r w:rsidRPr="003A11AA">
        <w:rPr>
          <w:sz w:val="24"/>
          <w:szCs w:val="24"/>
          <w:lang w:val="en-GB"/>
        </w:rPr>
        <w:t>Each film-coated tablet contains 23.9 mg lactose (as monohydrate) and 0.5185 mg sodium (see section 4.4).</w:t>
      </w:r>
    </w:p>
    <w:p w:rsidR="003A11AA" w:rsidRPr="003A11AA" w:rsidRDefault="003A11AA" w:rsidP="003A11AA">
      <w:pPr>
        <w:tabs>
          <w:tab w:val="left" w:pos="851"/>
        </w:tabs>
        <w:ind w:left="851"/>
        <w:rPr>
          <w:sz w:val="24"/>
          <w:szCs w:val="24"/>
          <w:lang w:val="en-GB"/>
        </w:rPr>
      </w:pPr>
    </w:p>
    <w:p w:rsidR="003A11AA" w:rsidRPr="003A11AA" w:rsidRDefault="003A11AA" w:rsidP="003A11AA">
      <w:pPr>
        <w:tabs>
          <w:tab w:val="left" w:pos="851"/>
        </w:tabs>
        <w:ind w:left="851"/>
        <w:rPr>
          <w:sz w:val="24"/>
          <w:szCs w:val="24"/>
          <w:lang w:val="en-GB"/>
        </w:rPr>
      </w:pPr>
      <w:r w:rsidRPr="003A11AA">
        <w:rPr>
          <w:sz w:val="24"/>
          <w:szCs w:val="24"/>
          <w:lang w:val="en-GB"/>
        </w:rPr>
        <w:t>For the full list of excipients, see section 6.1.</w:t>
      </w:r>
    </w:p>
    <w:p w:rsidR="007C5D2A" w:rsidRPr="003A11AA"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A63628" w:rsidRPr="00E155E0" w:rsidRDefault="00A63628" w:rsidP="00E155E0">
      <w:pPr>
        <w:suppressAutoHyphens/>
        <w:ind w:left="851"/>
        <w:jc w:val="both"/>
        <w:rPr>
          <w:sz w:val="24"/>
          <w:szCs w:val="24"/>
          <w:lang w:val="en-US"/>
        </w:rPr>
      </w:pPr>
      <w:r w:rsidRPr="00E155E0">
        <w:rPr>
          <w:sz w:val="24"/>
          <w:szCs w:val="24"/>
          <w:lang w:val="en-US"/>
        </w:rPr>
        <w:t>Film-coated tablets</w:t>
      </w:r>
    </w:p>
    <w:p w:rsidR="00A63628" w:rsidRPr="00E155E0" w:rsidRDefault="00A63628" w:rsidP="00E155E0">
      <w:pPr>
        <w:suppressAutoHyphens/>
        <w:ind w:left="851"/>
        <w:jc w:val="both"/>
        <w:rPr>
          <w:sz w:val="24"/>
          <w:szCs w:val="24"/>
          <w:lang w:val="en-US"/>
        </w:rPr>
      </w:pPr>
    </w:p>
    <w:p w:rsidR="00A63628" w:rsidRPr="00E155E0" w:rsidRDefault="00A63628" w:rsidP="00E155E0">
      <w:pPr>
        <w:suppressAutoHyphens/>
        <w:ind w:left="851"/>
        <w:jc w:val="both"/>
        <w:rPr>
          <w:sz w:val="24"/>
          <w:szCs w:val="24"/>
          <w:lang w:val="en-US"/>
        </w:rPr>
      </w:pPr>
      <w:r w:rsidRPr="00E155E0">
        <w:rPr>
          <w:sz w:val="24"/>
          <w:szCs w:val="24"/>
          <w:lang w:val="en-US"/>
        </w:rPr>
        <w:t>Yellow round biconvex film</w:t>
      </w:r>
      <w:r w:rsidR="00E155E0">
        <w:rPr>
          <w:sz w:val="24"/>
          <w:szCs w:val="24"/>
          <w:lang w:val="en-US"/>
        </w:rPr>
        <w:t>-</w:t>
      </w:r>
      <w:r w:rsidRPr="00E155E0">
        <w:rPr>
          <w:sz w:val="24"/>
          <w:szCs w:val="24"/>
          <w:lang w:val="en-US"/>
        </w:rPr>
        <w:t>coated tablet, engraved with “RVX” on one side, plain on the other with a diameter of 6.1 mm approximately.</w:t>
      </w:r>
    </w:p>
    <w:p w:rsidR="007C5D2A" w:rsidRPr="00A63628"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E155E0" w:rsidRPr="00E155E0" w:rsidRDefault="00965E6E" w:rsidP="00E155E0">
      <w:pPr>
        <w:tabs>
          <w:tab w:val="left" w:pos="851"/>
        </w:tabs>
        <w:ind w:left="851"/>
        <w:rPr>
          <w:sz w:val="24"/>
          <w:szCs w:val="24"/>
          <w:lang w:val="en-GB"/>
        </w:rPr>
      </w:pPr>
      <w:r>
        <w:rPr>
          <w:sz w:val="24"/>
          <w:szCs w:val="24"/>
          <w:lang w:val="en-GB"/>
        </w:rPr>
        <w:t>Odelo</w:t>
      </w:r>
      <w:r w:rsidR="00E155E0" w:rsidRPr="00E155E0">
        <w:rPr>
          <w:sz w:val="24"/>
          <w:szCs w:val="24"/>
          <w:lang w:val="en-GB"/>
        </w:rPr>
        <w:t>,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rsidR="00E155E0" w:rsidRPr="00E155E0" w:rsidRDefault="00E155E0" w:rsidP="00E155E0">
      <w:pPr>
        <w:tabs>
          <w:tab w:val="left" w:pos="851"/>
        </w:tabs>
        <w:ind w:left="851"/>
        <w:rPr>
          <w:sz w:val="24"/>
          <w:szCs w:val="24"/>
          <w:lang w:val="en-GB"/>
        </w:rPr>
      </w:pPr>
    </w:p>
    <w:p w:rsidR="00E155E0" w:rsidRPr="00E155E0" w:rsidRDefault="00965E6E" w:rsidP="00E155E0">
      <w:pPr>
        <w:tabs>
          <w:tab w:val="left" w:pos="851"/>
        </w:tabs>
        <w:ind w:left="851"/>
        <w:rPr>
          <w:sz w:val="24"/>
          <w:szCs w:val="24"/>
          <w:lang w:val="en-GB"/>
        </w:rPr>
      </w:pPr>
      <w:r>
        <w:rPr>
          <w:sz w:val="24"/>
          <w:szCs w:val="24"/>
          <w:lang w:val="en-GB"/>
        </w:rPr>
        <w:t>Odelo</w:t>
      </w:r>
      <w:r w:rsidR="00E155E0" w:rsidRPr="00E155E0">
        <w:rPr>
          <w:sz w:val="24"/>
          <w:szCs w:val="24"/>
          <w:lang w:val="en-GB"/>
        </w:rPr>
        <w:t>, co-administered with acetylsalicylic acid (ASA), is indicated for the prevention of atherothrombotic events in adult patients with coronary artery disease (CAD) or symptomatic peripheral artery disease (PAD) at high risk of ischaemic events.</w:t>
      </w:r>
    </w:p>
    <w:p w:rsidR="003747AF" w:rsidRDefault="003747AF">
      <w:pPr>
        <w:rPr>
          <w:sz w:val="24"/>
          <w:szCs w:val="24"/>
          <w:lang w:val="en-GB"/>
        </w:rPr>
      </w:pPr>
      <w:r>
        <w:rPr>
          <w:sz w:val="24"/>
          <w:szCs w:val="24"/>
          <w:lang w:val="en-GB"/>
        </w:rPr>
        <w:br w:type="page"/>
      </w:r>
    </w:p>
    <w:p w:rsidR="007C5D2A" w:rsidRPr="00E155E0"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E155E0" w:rsidRPr="00E155E0" w:rsidRDefault="00E155E0" w:rsidP="00E155E0">
      <w:pPr>
        <w:tabs>
          <w:tab w:val="left" w:pos="851"/>
        </w:tabs>
        <w:ind w:left="851"/>
        <w:rPr>
          <w:sz w:val="24"/>
          <w:szCs w:val="24"/>
          <w:lang w:val="en-GB"/>
        </w:rPr>
      </w:pPr>
    </w:p>
    <w:p w:rsidR="00E155E0" w:rsidRPr="00AB0CCC" w:rsidRDefault="00E155E0" w:rsidP="00E155E0">
      <w:pPr>
        <w:tabs>
          <w:tab w:val="left" w:pos="851"/>
        </w:tabs>
        <w:ind w:left="851"/>
        <w:rPr>
          <w:b/>
          <w:sz w:val="24"/>
          <w:szCs w:val="24"/>
          <w:lang w:val="en-GB"/>
        </w:rPr>
      </w:pPr>
      <w:r w:rsidRPr="00AB0CCC">
        <w:rPr>
          <w:b/>
          <w:sz w:val="24"/>
          <w:szCs w:val="24"/>
          <w:lang w:val="en-GB"/>
        </w:rPr>
        <w:t xml:space="preserve">Posology </w:t>
      </w:r>
    </w:p>
    <w:p w:rsidR="00E155E0" w:rsidRPr="00E155E0" w:rsidRDefault="00E155E0" w:rsidP="00E155E0">
      <w:pPr>
        <w:tabs>
          <w:tab w:val="left" w:pos="851"/>
        </w:tabs>
        <w:ind w:left="851"/>
        <w:rPr>
          <w:iCs/>
          <w:sz w:val="24"/>
          <w:szCs w:val="24"/>
          <w:lang w:val="en-GB"/>
        </w:rPr>
      </w:pPr>
      <w:r w:rsidRPr="00E155E0">
        <w:rPr>
          <w:iCs/>
          <w:sz w:val="24"/>
          <w:szCs w:val="24"/>
          <w:lang w:val="en-GB"/>
        </w:rPr>
        <w:t>The recommended dose is 2.5 mg twice daily.</w:t>
      </w:r>
    </w:p>
    <w:p w:rsidR="00E155E0" w:rsidRPr="00E155E0" w:rsidRDefault="00E155E0" w:rsidP="00E155E0">
      <w:pPr>
        <w:tabs>
          <w:tab w:val="left" w:pos="851"/>
        </w:tabs>
        <w:ind w:left="851"/>
        <w:rPr>
          <w:iCs/>
          <w:sz w:val="24"/>
          <w:szCs w:val="24"/>
          <w:lang w:val="en-GB"/>
        </w:rPr>
      </w:pPr>
    </w:p>
    <w:p w:rsidR="00E155E0" w:rsidRPr="00E155E0" w:rsidRDefault="00E155E0" w:rsidP="003747AF">
      <w:pPr>
        <w:numPr>
          <w:ilvl w:val="0"/>
          <w:numId w:val="5"/>
        </w:numPr>
        <w:tabs>
          <w:tab w:val="left" w:pos="851"/>
        </w:tabs>
        <w:ind w:left="1134" w:hanging="283"/>
        <w:rPr>
          <w:i/>
          <w:sz w:val="24"/>
          <w:szCs w:val="24"/>
          <w:u w:val="single"/>
          <w:lang w:val="en-GB"/>
        </w:rPr>
      </w:pPr>
      <w:r w:rsidRPr="00E155E0">
        <w:rPr>
          <w:i/>
          <w:sz w:val="24"/>
          <w:szCs w:val="24"/>
          <w:u w:val="single"/>
          <w:lang w:val="en-GB"/>
        </w:rPr>
        <w:t>ACS</w:t>
      </w:r>
    </w:p>
    <w:p w:rsidR="00E155E0" w:rsidRPr="00E155E0" w:rsidRDefault="00E155E0" w:rsidP="00E155E0">
      <w:pPr>
        <w:tabs>
          <w:tab w:val="left" w:pos="851"/>
        </w:tabs>
        <w:ind w:left="851"/>
        <w:rPr>
          <w:iCs/>
          <w:sz w:val="24"/>
          <w:szCs w:val="24"/>
          <w:lang w:val="en-GB"/>
        </w:rPr>
      </w:pPr>
      <w:r w:rsidRPr="00E155E0">
        <w:rPr>
          <w:iCs/>
          <w:sz w:val="24"/>
          <w:szCs w:val="24"/>
          <w:lang w:val="en-GB"/>
        </w:rPr>
        <w:t xml:space="preserve">Patients taking </w:t>
      </w:r>
      <w:r w:rsidR="00965E6E">
        <w:rPr>
          <w:iCs/>
          <w:sz w:val="24"/>
          <w:szCs w:val="24"/>
          <w:lang w:val="en-GB"/>
        </w:rPr>
        <w:t>Odelo</w:t>
      </w:r>
      <w:r w:rsidRPr="00E155E0">
        <w:rPr>
          <w:iCs/>
          <w:sz w:val="24"/>
          <w:szCs w:val="24"/>
          <w:lang w:val="en-GB"/>
        </w:rPr>
        <w:t xml:space="preserve"> 2.5 mg twice daily should also take a daily dose of 75 - 100 mg ASA or a daily dose of 75 - 100 mg ASA in addition to either a daily dose of 75 mg clopidogrel or a standard daily dose of ticlopidine.</w:t>
      </w:r>
    </w:p>
    <w:p w:rsidR="00E155E0" w:rsidRPr="00E155E0" w:rsidRDefault="00E155E0" w:rsidP="00E155E0">
      <w:pPr>
        <w:tabs>
          <w:tab w:val="left" w:pos="851"/>
        </w:tabs>
        <w:ind w:left="851"/>
        <w:rPr>
          <w:iCs/>
          <w:sz w:val="24"/>
          <w:szCs w:val="24"/>
          <w:lang w:val="en-GB"/>
        </w:rPr>
      </w:pPr>
    </w:p>
    <w:p w:rsidR="00E155E0" w:rsidRPr="00E155E0" w:rsidRDefault="00E155E0" w:rsidP="00E155E0">
      <w:pPr>
        <w:tabs>
          <w:tab w:val="left" w:pos="851"/>
        </w:tabs>
        <w:ind w:left="851"/>
        <w:rPr>
          <w:iCs/>
          <w:sz w:val="24"/>
          <w:szCs w:val="24"/>
          <w:lang w:val="en-GB"/>
        </w:rPr>
      </w:pPr>
      <w:r w:rsidRPr="00E155E0">
        <w:rPr>
          <w:iCs/>
          <w:sz w:val="24"/>
          <w:szCs w:val="24"/>
          <w:lang w:val="en-GB"/>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rsidR="00E155E0" w:rsidRPr="00E155E0" w:rsidRDefault="00E155E0" w:rsidP="00E155E0">
      <w:pPr>
        <w:tabs>
          <w:tab w:val="left" w:pos="851"/>
        </w:tabs>
        <w:ind w:left="851"/>
        <w:rPr>
          <w:iCs/>
          <w:sz w:val="24"/>
          <w:szCs w:val="24"/>
          <w:lang w:val="en-GB"/>
        </w:rPr>
      </w:pPr>
    </w:p>
    <w:p w:rsidR="00E155E0" w:rsidRPr="00E155E0" w:rsidRDefault="00E155E0" w:rsidP="001C47FA">
      <w:pPr>
        <w:tabs>
          <w:tab w:val="left" w:pos="851"/>
        </w:tabs>
        <w:ind w:left="851"/>
        <w:rPr>
          <w:iCs/>
          <w:sz w:val="24"/>
          <w:szCs w:val="24"/>
          <w:lang w:val="en-GB"/>
        </w:rPr>
      </w:pPr>
      <w:r w:rsidRPr="00E155E0">
        <w:rPr>
          <w:iCs/>
          <w:sz w:val="24"/>
          <w:szCs w:val="24"/>
          <w:lang w:val="en-GB"/>
        </w:rPr>
        <w:t xml:space="preserve">Treatment with </w:t>
      </w:r>
      <w:r w:rsidR="00965E6E">
        <w:rPr>
          <w:sz w:val="24"/>
          <w:szCs w:val="24"/>
          <w:lang w:val="en-GB"/>
        </w:rPr>
        <w:t>Odelo</w:t>
      </w:r>
      <w:r w:rsidRPr="00E155E0">
        <w:rPr>
          <w:iCs/>
          <w:sz w:val="24"/>
          <w:szCs w:val="24"/>
          <w:lang w:val="en-GB"/>
        </w:rPr>
        <w:t xml:space="preserve"> should be started as soon as possible after stabilisation of the ACS event (including revascularisation procedures); at the earliest 24 hours after admission to hospital and at the time when parenteral anticoagulation therapy would normally be discontinued.</w:t>
      </w:r>
    </w:p>
    <w:p w:rsidR="00E155E0" w:rsidRPr="00E155E0" w:rsidRDefault="00E155E0" w:rsidP="001C47FA">
      <w:pPr>
        <w:tabs>
          <w:tab w:val="left" w:pos="851"/>
        </w:tabs>
        <w:ind w:left="851"/>
        <w:rPr>
          <w:iCs/>
          <w:sz w:val="24"/>
          <w:szCs w:val="24"/>
          <w:lang w:val="en-GB"/>
        </w:rPr>
      </w:pPr>
    </w:p>
    <w:p w:rsidR="00E155E0" w:rsidRPr="00E155E0" w:rsidRDefault="00E155E0" w:rsidP="001C47FA">
      <w:pPr>
        <w:numPr>
          <w:ilvl w:val="0"/>
          <w:numId w:val="5"/>
        </w:numPr>
        <w:tabs>
          <w:tab w:val="left" w:pos="851"/>
        </w:tabs>
        <w:ind w:left="1134" w:hanging="283"/>
        <w:rPr>
          <w:i/>
          <w:sz w:val="24"/>
          <w:szCs w:val="24"/>
          <w:u w:val="single"/>
          <w:lang w:val="en-GB"/>
        </w:rPr>
      </w:pPr>
      <w:r w:rsidRPr="00E155E0">
        <w:rPr>
          <w:i/>
          <w:sz w:val="24"/>
          <w:szCs w:val="24"/>
          <w:u w:val="single"/>
          <w:lang w:val="en-GB"/>
        </w:rPr>
        <w:t>CAD/PAD</w:t>
      </w:r>
    </w:p>
    <w:p w:rsidR="00E155E0" w:rsidRPr="00E155E0" w:rsidRDefault="00E155E0" w:rsidP="001C47FA">
      <w:pPr>
        <w:tabs>
          <w:tab w:val="left" w:pos="851"/>
        </w:tabs>
        <w:ind w:left="851"/>
        <w:rPr>
          <w:iCs/>
          <w:sz w:val="24"/>
          <w:szCs w:val="24"/>
          <w:lang w:val="en-GB"/>
        </w:rPr>
      </w:pPr>
      <w:r w:rsidRPr="00E155E0">
        <w:rPr>
          <w:iCs/>
          <w:sz w:val="24"/>
          <w:szCs w:val="24"/>
          <w:lang w:val="en-GB"/>
        </w:rPr>
        <w:t xml:space="preserve">Patients taking </w:t>
      </w:r>
      <w:r w:rsidR="00965E6E">
        <w:rPr>
          <w:iCs/>
          <w:sz w:val="24"/>
          <w:szCs w:val="24"/>
          <w:lang w:val="en-GB"/>
        </w:rPr>
        <w:t>Odelo</w:t>
      </w:r>
      <w:r w:rsidRPr="00E155E0">
        <w:rPr>
          <w:iCs/>
          <w:sz w:val="24"/>
          <w:szCs w:val="24"/>
          <w:lang w:val="en-GB"/>
        </w:rPr>
        <w:t xml:space="preserve"> 2.5 mg twice daily should also take a daily dose of 75 – 100 mg ASA.</w:t>
      </w:r>
    </w:p>
    <w:p w:rsidR="00E155E0" w:rsidRPr="008976FF" w:rsidRDefault="00E155E0" w:rsidP="001C47FA">
      <w:pPr>
        <w:ind w:left="851"/>
        <w:rPr>
          <w:iCs/>
          <w:sz w:val="24"/>
          <w:szCs w:val="24"/>
          <w:lang w:val="en-GB"/>
        </w:rPr>
      </w:pPr>
    </w:p>
    <w:p w:rsidR="00A26BFB" w:rsidRPr="008976FF" w:rsidRDefault="00A26BFB" w:rsidP="001C47FA">
      <w:pPr>
        <w:suppressAutoHyphens/>
        <w:ind w:left="851"/>
        <w:rPr>
          <w:iCs/>
          <w:sz w:val="24"/>
          <w:szCs w:val="24"/>
          <w:lang w:val="en-US" w:eastAsia="el-GR"/>
        </w:rPr>
      </w:pPr>
      <w:r w:rsidRPr="008976FF">
        <w:rPr>
          <w:iCs/>
          <w:sz w:val="24"/>
          <w:szCs w:val="24"/>
          <w:lang w:val="en-US" w:eastAsia="el-GR"/>
        </w:rPr>
        <w:t>In patients after a successful revascularisation procedure of the lower limb (surgical or endovascular including hybrid procedures) due to symptomatic PAD, treatment should not be started until haemostasis is achieved (see section 5.1).</w:t>
      </w:r>
    </w:p>
    <w:p w:rsidR="00A26BFB" w:rsidRPr="008976FF" w:rsidRDefault="00A26BFB" w:rsidP="001C47FA">
      <w:pPr>
        <w:ind w:left="851"/>
        <w:rPr>
          <w:iCs/>
          <w:sz w:val="24"/>
          <w:szCs w:val="24"/>
          <w:lang w:val="en-US"/>
        </w:rPr>
      </w:pPr>
    </w:p>
    <w:p w:rsidR="00E155E0" w:rsidRPr="008976FF" w:rsidRDefault="00E155E0" w:rsidP="001C47FA">
      <w:pPr>
        <w:ind w:left="851"/>
        <w:rPr>
          <w:iCs/>
          <w:sz w:val="24"/>
          <w:szCs w:val="24"/>
          <w:lang w:val="en-GB"/>
        </w:rPr>
      </w:pPr>
      <w:r w:rsidRPr="008976FF">
        <w:rPr>
          <w:iCs/>
          <w:sz w:val="24"/>
          <w:szCs w:val="24"/>
          <w:lang w:val="en-GB"/>
        </w:rPr>
        <w:t>Duration of treatment should be determined for each individual patient based on regular evaluations and should consider the risk for thrombotic events versus the bleeding risks.</w:t>
      </w:r>
    </w:p>
    <w:p w:rsidR="00E155E0" w:rsidRPr="008976FF" w:rsidRDefault="00E155E0" w:rsidP="001C47FA">
      <w:pPr>
        <w:tabs>
          <w:tab w:val="left" w:pos="851"/>
        </w:tabs>
        <w:ind w:left="851"/>
        <w:rPr>
          <w:iCs/>
          <w:sz w:val="24"/>
          <w:szCs w:val="24"/>
          <w:lang w:val="en-GB"/>
        </w:rPr>
      </w:pPr>
    </w:p>
    <w:p w:rsidR="00A26BFB" w:rsidRPr="008976FF" w:rsidRDefault="00A26BFB" w:rsidP="008976FF">
      <w:pPr>
        <w:pStyle w:val="Listeafsnit"/>
        <w:numPr>
          <w:ilvl w:val="0"/>
          <w:numId w:val="8"/>
        </w:numPr>
        <w:suppressAutoHyphens/>
        <w:overflowPunct/>
        <w:ind w:left="1134" w:hanging="283"/>
        <w:rPr>
          <w:iCs/>
          <w:szCs w:val="24"/>
          <w:u w:val="single"/>
          <w:lang w:val="en-US" w:eastAsia="el-GR"/>
        </w:rPr>
      </w:pPr>
      <w:r w:rsidRPr="008976FF">
        <w:rPr>
          <w:i/>
          <w:iCs/>
          <w:szCs w:val="24"/>
          <w:u w:val="single"/>
          <w:lang w:val="en-US" w:eastAsia="el-GR"/>
        </w:rPr>
        <w:t xml:space="preserve">ACS, CAD/PAD </w:t>
      </w:r>
    </w:p>
    <w:p w:rsidR="00A26BFB" w:rsidRPr="008976FF" w:rsidRDefault="00A26BFB" w:rsidP="008976FF">
      <w:pPr>
        <w:suppressAutoHyphens/>
        <w:rPr>
          <w:iCs/>
          <w:sz w:val="24"/>
          <w:szCs w:val="24"/>
          <w:lang w:val="en-US" w:eastAsia="el-GR"/>
        </w:rPr>
      </w:pPr>
    </w:p>
    <w:p w:rsidR="00A26BFB" w:rsidRPr="008976FF" w:rsidRDefault="00A26BFB" w:rsidP="008976FF">
      <w:pPr>
        <w:suppressAutoHyphens/>
        <w:ind w:left="851"/>
        <w:rPr>
          <w:iCs/>
          <w:sz w:val="24"/>
          <w:szCs w:val="24"/>
          <w:lang w:val="en-GB" w:eastAsia="el-GR"/>
        </w:rPr>
      </w:pPr>
      <w:r w:rsidRPr="008976FF">
        <w:rPr>
          <w:i/>
          <w:iCs/>
          <w:sz w:val="24"/>
          <w:szCs w:val="24"/>
          <w:lang w:val="en-US" w:eastAsia="el-GR"/>
        </w:rPr>
        <w:t>Co-administration with antiplatelet therapy</w:t>
      </w:r>
    </w:p>
    <w:p w:rsidR="00A26BFB" w:rsidRPr="008976FF" w:rsidRDefault="00E155E0" w:rsidP="008976FF">
      <w:pPr>
        <w:tabs>
          <w:tab w:val="left" w:pos="851"/>
        </w:tabs>
        <w:ind w:left="851"/>
        <w:rPr>
          <w:iCs/>
          <w:sz w:val="24"/>
          <w:szCs w:val="24"/>
          <w:lang w:val="en-GB"/>
        </w:rPr>
      </w:pPr>
      <w:r w:rsidRPr="008976FF">
        <w:rPr>
          <w:iCs/>
          <w:sz w:val="24"/>
          <w:szCs w:val="24"/>
          <w:lang w:val="en-GB"/>
        </w:rPr>
        <w:t xml:space="preserve">In patients with an acute thrombotic events or vascular procedure and a need for dual antiplatelet therapy, the continuation of </w:t>
      </w:r>
      <w:r w:rsidR="00965E6E" w:rsidRPr="008976FF">
        <w:rPr>
          <w:iCs/>
          <w:sz w:val="24"/>
          <w:szCs w:val="24"/>
          <w:lang w:val="en-GB"/>
        </w:rPr>
        <w:t>Odelo</w:t>
      </w:r>
      <w:r w:rsidRPr="008976FF">
        <w:rPr>
          <w:iCs/>
          <w:sz w:val="24"/>
          <w:szCs w:val="24"/>
          <w:lang w:val="en-GB"/>
        </w:rPr>
        <w:t xml:space="preserve"> 2.5 mg twice daily should be evaluated depending on the type of event or procedure and antiplatelet regimen. </w:t>
      </w:r>
    </w:p>
    <w:p w:rsidR="00A26BFB" w:rsidRPr="008976FF" w:rsidRDefault="00A26BFB" w:rsidP="008976FF">
      <w:pPr>
        <w:tabs>
          <w:tab w:val="left" w:pos="851"/>
        </w:tabs>
        <w:ind w:left="851"/>
        <w:rPr>
          <w:iCs/>
          <w:sz w:val="24"/>
          <w:szCs w:val="24"/>
          <w:lang w:val="en-GB"/>
        </w:rPr>
      </w:pPr>
    </w:p>
    <w:p w:rsidR="00A26BFB" w:rsidRPr="008976FF" w:rsidRDefault="00A26BFB" w:rsidP="008976FF">
      <w:pPr>
        <w:suppressAutoHyphens/>
        <w:ind w:left="851"/>
        <w:rPr>
          <w:iCs/>
          <w:sz w:val="24"/>
          <w:szCs w:val="24"/>
          <w:lang w:val="en-US" w:eastAsia="el-GR"/>
        </w:rPr>
      </w:pPr>
      <w:r w:rsidRPr="008976FF">
        <w:rPr>
          <w:iCs/>
          <w:sz w:val="24"/>
          <w:szCs w:val="24"/>
          <w:lang w:val="en-US" w:eastAsia="el-GR"/>
        </w:rPr>
        <w:t>Safety and efficacy of rivaroxaban 2.5 mg twice daily in combination with dual antiplatelet therapy have been studied in patients</w:t>
      </w:r>
    </w:p>
    <w:p w:rsidR="00A26BFB" w:rsidRPr="008976FF" w:rsidRDefault="00A26BFB" w:rsidP="008976FF">
      <w:pPr>
        <w:pStyle w:val="Listeafsnit"/>
        <w:numPr>
          <w:ilvl w:val="0"/>
          <w:numId w:val="8"/>
        </w:numPr>
        <w:suppressAutoHyphens/>
        <w:overflowPunct/>
        <w:ind w:left="1276" w:hanging="425"/>
        <w:rPr>
          <w:iCs/>
          <w:szCs w:val="24"/>
          <w:lang w:val="en-US" w:eastAsia="el-GR"/>
        </w:rPr>
      </w:pPr>
      <w:r w:rsidRPr="008976FF">
        <w:rPr>
          <w:iCs/>
          <w:szCs w:val="24"/>
          <w:lang w:eastAsia="el-GR"/>
        </w:rPr>
        <w:t>with recent ACS in combination with ASA plus clopidogrel/ticlopidine (see section 4.1) and</w:t>
      </w:r>
    </w:p>
    <w:p w:rsidR="00A26BFB" w:rsidRPr="008976FF" w:rsidRDefault="00A26BFB" w:rsidP="008976FF">
      <w:pPr>
        <w:pStyle w:val="Listeafsnit"/>
        <w:numPr>
          <w:ilvl w:val="0"/>
          <w:numId w:val="8"/>
        </w:numPr>
        <w:suppressAutoHyphens/>
        <w:overflowPunct/>
        <w:ind w:left="1276" w:hanging="425"/>
        <w:rPr>
          <w:iCs/>
          <w:szCs w:val="24"/>
          <w:lang w:val="en-US" w:eastAsia="el-GR"/>
        </w:rPr>
      </w:pPr>
      <w:r w:rsidRPr="008976FF">
        <w:rPr>
          <w:iCs/>
          <w:szCs w:val="24"/>
          <w:lang w:val="en-US" w:eastAsia="el-GR"/>
        </w:rPr>
        <w:t xml:space="preserve">after recent revascularisation procedure of the lower limb due to symptomatic PAD in combination with ASA and, if applicable, short-term clopidogrel use (see sections 4.4 and 5.1) </w:t>
      </w:r>
    </w:p>
    <w:p w:rsidR="00A26BFB" w:rsidRPr="008976FF" w:rsidRDefault="00A26BFB" w:rsidP="008976FF">
      <w:pPr>
        <w:suppressAutoHyphens/>
        <w:ind w:left="851"/>
        <w:rPr>
          <w:iCs/>
          <w:sz w:val="24"/>
          <w:szCs w:val="24"/>
          <w:lang w:val="en-GB" w:eastAsia="el-GR"/>
        </w:rPr>
      </w:pPr>
      <w:r w:rsidRPr="008976FF">
        <w:rPr>
          <w:iCs/>
          <w:sz w:val="24"/>
          <w:szCs w:val="24"/>
          <w:lang w:val="en-US" w:eastAsia="el-GR"/>
        </w:rPr>
        <w:t xml:space="preserve"> </w:t>
      </w:r>
    </w:p>
    <w:p w:rsidR="00A26BFB" w:rsidRPr="008976FF" w:rsidRDefault="00A26BFB" w:rsidP="008976FF">
      <w:pPr>
        <w:suppressAutoHyphens/>
        <w:ind w:left="851"/>
        <w:rPr>
          <w:i/>
          <w:iCs/>
          <w:sz w:val="24"/>
          <w:szCs w:val="24"/>
          <w:lang w:val="en-US" w:eastAsia="el-GR"/>
        </w:rPr>
      </w:pPr>
      <w:r w:rsidRPr="008976FF">
        <w:rPr>
          <w:i/>
          <w:iCs/>
          <w:sz w:val="24"/>
          <w:szCs w:val="24"/>
          <w:lang w:val="en-US" w:eastAsia="el-GR"/>
        </w:rPr>
        <w:t>Missed dose</w:t>
      </w:r>
    </w:p>
    <w:p w:rsidR="00E155E0" w:rsidRPr="008976FF" w:rsidRDefault="00E155E0" w:rsidP="008976FF">
      <w:pPr>
        <w:tabs>
          <w:tab w:val="left" w:pos="851"/>
        </w:tabs>
        <w:ind w:left="851"/>
        <w:rPr>
          <w:iCs/>
          <w:sz w:val="24"/>
          <w:szCs w:val="24"/>
          <w:lang w:val="en-GB"/>
        </w:rPr>
      </w:pPr>
      <w:r w:rsidRPr="008976FF">
        <w:rPr>
          <w:iCs/>
          <w:sz w:val="24"/>
          <w:szCs w:val="24"/>
          <w:lang w:val="en-GB"/>
        </w:rPr>
        <w:t>If a dose is missed the patient should continue with the regular dose as recommended at the next scheduled time. The dose should not be doubled to make up for a missed dose.</w:t>
      </w:r>
    </w:p>
    <w:p w:rsidR="00E155E0" w:rsidRPr="008976FF" w:rsidRDefault="00E155E0" w:rsidP="008976FF">
      <w:pPr>
        <w:tabs>
          <w:tab w:val="left" w:pos="851"/>
        </w:tabs>
        <w:ind w:left="851"/>
        <w:rPr>
          <w:iCs/>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Converting from Vitamin K Antagonists (VKA) to rivaroxaban</w:t>
      </w:r>
    </w:p>
    <w:p w:rsidR="00E155E0" w:rsidRPr="00E155E0" w:rsidRDefault="00E155E0" w:rsidP="00E155E0">
      <w:pPr>
        <w:tabs>
          <w:tab w:val="left" w:pos="851"/>
        </w:tabs>
        <w:ind w:left="851"/>
        <w:rPr>
          <w:sz w:val="24"/>
          <w:szCs w:val="24"/>
          <w:lang w:val="en-GB"/>
        </w:rPr>
      </w:pPr>
      <w:r w:rsidRPr="00E155E0">
        <w:rPr>
          <w:sz w:val="24"/>
          <w:szCs w:val="24"/>
          <w:lang w:val="en-GB"/>
        </w:rPr>
        <w:t>When converting patients from VKAs to rivaroxaban, International Normalized Ratio (INR) values could be falsely elevated after the intake of rivaroxaban. The INR is not valid to measure the anticoagulant activity of rivaroxaban, and therefore should not be used (see section 4.5).</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Converting from rivaroxaban to Vitamin K antagonists (VKA)</w:t>
      </w:r>
    </w:p>
    <w:p w:rsidR="00E155E0" w:rsidRPr="00E155E0" w:rsidRDefault="00E155E0" w:rsidP="00E155E0">
      <w:pPr>
        <w:tabs>
          <w:tab w:val="left" w:pos="851"/>
        </w:tabs>
        <w:ind w:left="851"/>
        <w:rPr>
          <w:sz w:val="24"/>
          <w:szCs w:val="24"/>
          <w:lang w:val="en-GB"/>
        </w:rPr>
      </w:pPr>
      <w:r w:rsidRPr="00E155E0">
        <w:rPr>
          <w:sz w:val="24"/>
          <w:szCs w:val="24"/>
          <w:lang w:val="en-GB"/>
        </w:rPr>
        <w:t>There is a potential for inadequate anticoagulation during the transition from rivaroxaban to VKA.</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Continuous adequate anticoagulation should be ensured during any transition to an alternate anticoagulant. It should be noted that rivaroxaban can contribute to an elevated INR.</w:t>
      </w:r>
    </w:p>
    <w:p w:rsidR="00E155E0" w:rsidRPr="00E155E0" w:rsidRDefault="00E155E0" w:rsidP="00E155E0">
      <w:pPr>
        <w:tabs>
          <w:tab w:val="left" w:pos="851"/>
        </w:tabs>
        <w:ind w:left="851"/>
        <w:rPr>
          <w:sz w:val="24"/>
          <w:szCs w:val="24"/>
          <w:lang w:val="en-GB"/>
        </w:rPr>
      </w:pPr>
      <w:r w:rsidRPr="00E155E0">
        <w:rPr>
          <w:sz w:val="24"/>
          <w:szCs w:val="24"/>
          <w:lang w:val="en-GB"/>
        </w:rPr>
        <w:t>In patients converting from rivaroxaban to VKA, VKA should be given concurrently until the INR is ≥ 2.0.</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For the first two days of the conversion period, standard initial dosing of VKA should be used followed by VKA dosing, as guided by INR testing. While patients are on both rivaroxaban and VKA the INR should not be tested earlier than 24 hours after the previous dose but prior to the next dose of rivaroxaban. Once </w:t>
      </w:r>
      <w:r w:rsidR="00965E6E">
        <w:rPr>
          <w:sz w:val="24"/>
          <w:szCs w:val="24"/>
          <w:lang w:val="en-GB"/>
        </w:rPr>
        <w:t>Odelo</w:t>
      </w:r>
      <w:r w:rsidRPr="00E155E0">
        <w:rPr>
          <w:sz w:val="24"/>
          <w:szCs w:val="24"/>
          <w:lang w:val="en-GB"/>
        </w:rPr>
        <w:t xml:space="preserve"> is discontinued INR testing may be done reliably at least 24 hours after the last dose (see sections 4.5 and 5.2).</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Converting from parenteral anticoagulants to rivaroxaban</w:t>
      </w:r>
    </w:p>
    <w:p w:rsidR="00E155E0" w:rsidRPr="00E155E0" w:rsidRDefault="00E155E0" w:rsidP="00E155E0">
      <w:pPr>
        <w:tabs>
          <w:tab w:val="left" w:pos="851"/>
        </w:tabs>
        <w:ind w:left="851"/>
        <w:rPr>
          <w:sz w:val="24"/>
          <w:szCs w:val="24"/>
          <w:lang w:val="en-GB"/>
        </w:rPr>
      </w:pPr>
      <w:r w:rsidRPr="00E155E0">
        <w:rPr>
          <w:sz w:val="24"/>
          <w:szCs w:val="24"/>
          <w:lang w:val="en-GB"/>
        </w:rPr>
        <w:t>For patients currently receiving a parenteral anticoagulant, discontinue the parenteral anticoagulant and start rivaroxaban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Converting from rivaroxaban to parenteral anticoagulants</w:t>
      </w:r>
    </w:p>
    <w:p w:rsidR="00E155E0" w:rsidRPr="00E155E0" w:rsidRDefault="00E155E0" w:rsidP="00E155E0">
      <w:pPr>
        <w:tabs>
          <w:tab w:val="left" w:pos="851"/>
        </w:tabs>
        <w:ind w:left="851"/>
        <w:rPr>
          <w:sz w:val="24"/>
          <w:szCs w:val="24"/>
          <w:lang w:val="en-GB"/>
        </w:rPr>
      </w:pPr>
      <w:r w:rsidRPr="00E155E0">
        <w:rPr>
          <w:sz w:val="24"/>
          <w:szCs w:val="24"/>
          <w:lang w:val="en-GB"/>
        </w:rPr>
        <w:t>Give the first dose of parenteral anticoagulant at the time the next rivaroxaban dose would be taken.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Special populations</w:t>
      </w:r>
    </w:p>
    <w:p w:rsidR="003747AF" w:rsidRDefault="003747AF"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Renal impairment</w:t>
      </w:r>
    </w:p>
    <w:p w:rsidR="00E155E0" w:rsidRPr="00E155E0" w:rsidRDefault="00E155E0" w:rsidP="00E155E0">
      <w:pPr>
        <w:tabs>
          <w:tab w:val="left" w:pos="851"/>
        </w:tabs>
        <w:ind w:left="851"/>
        <w:rPr>
          <w:sz w:val="24"/>
          <w:szCs w:val="24"/>
          <w:lang w:val="en-GB"/>
        </w:rPr>
      </w:pPr>
      <w:r w:rsidRPr="00E155E0">
        <w:rPr>
          <w:sz w:val="24"/>
          <w:szCs w:val="24"/>
          <w:lang w:val="en-GB"/>
        </w:rPr>
        <w:t xml:space="preserve">Limited clinical data for patients with severe renal impairment (creatinine clearance 15 - 29 ml/min) indicate that rivaroxaban plasma concentrations are significantly increased. Therefore, </w:t>
      </w:r>
      <w:r w:rsidR="00965E6E">
        <w:rPr>
          <w:sz w:val="24"/>
          <w:szCs w:val="24"/>
          <w:lang w:val="en-GB"/>
        </w:rPr>
        <w:t>Odelo</w:t>
      </w:r>
      <w:r w:rsidRPr="00E155E0">
        <w:rPr>
          <w:sz w:val="24"/>
          <w:szCs w:val="24"/>
          <w:lang w:val="en-GB"/>
        </w:rPr>
        <w:t xml:space="preserve"> is to be used with caution in these patients. Use is not recommended in patients with creatinine clearance &lt; 15 ml/min (see sections 4.4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No dose adjustment is necessary in patients with mild renal impairment (creatinine clearance</w:t>
      </w:r>
    </w:p>
    <w:p w:rsidR="00E155E0" w:rsidRPr="00E155E0" w:rsidRDefault="00E155E0" w:rsidP="00E155E0">
      <w:pPr>
        <w:tabs>
          <w:tab w:val="left" w:pos="851"/>
        </w:tabs>
        <w:ind w:left="851"/>
        <w:rPr>
          <w:sz w:val="24"/>
          <w:szCs w:val="24"/>
          <w:lang w:val="en-GB"/>
        </w:rPr>
      </w:pPr>
      <w:r w:rsidRPr="00E155E0">
        <w:rPr>
          <w:sz w:val="24"/>
          <w:szCs w:val="24"/>
          <w:lang w:val="en-GB"/>
        </w:rPr>
        <w:t>50 - 80 ml/min) or moderate renal impairment (creatinine clearance 30 - 49 ml/min) (see section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Hepatic impairment</w:t>
      </w:r>
    </w:p>
    <w:p w:rsidR="00E155E0" w:rsidRPr="00E155E0" w:rsidRDefault="00965E6E" w:rsidP="00E155E0">
      <w:pPr>
        <w:tabs>
          <w:tab w:val="left" w:pos="851"/>
        </w:tabs>
        <w:ind w:left="851"/>
        <w:rPr>
          <w:sz w:val="24"/>
          <w:szCs w:val="24"/>
          <w:lang w:val="en-GB"/>
        </w:rPr>
      </w:pPr>
      <w:r>
        <w:rPr>
          <w:sz w:val="24"/>
          <w:szCs w:val="24"/>
          <w:lang w:val="en-GB"/>
        </w:rPr>
        <w:t>Odelo</w:t>
      </w:r>
      <w:r w:rsidR="00E155E0" w:rsidRPr="00E155E0">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Elderly population</w:t>
      </w:r>
    </w:p>
    <w:p w:rsidR="00E155E0" w:rsidRPr="00E155E0" w:rsidRDefault="00E155E0" w:rsidP="00E155E0">
      <w:pPr>
        <w:tabs>
          <w:tab w:val="left" w:pos="851"/>
        </w:tabs>
        <w:ind w:left="851"/>
        <w:rPr>
          <w:sz w:val="24"/>
          <w:szCs w:val="24"/>
          <w:lang w:val="en-GB"/>
        </w:rPr>
      </w:pPr>
      <w:r w:rsidRPr="00E155E0">
        <w:rPr>
          <w:sz w:val="24"/>
          <w:szCs w:val="24"/>
          <w:lang w:val="en-GB"/>
        </w:rPr>
        <w:t>No dose adjustment (see sections 4.4 and 5.2).</w:t>
      </w:r>
    </w:p>
    <w:p w:rsidR="00E155E0" w:rsidRPr="00E155E0" w:rsidRDefault="00E155E0" w:rsidP="00E155E0">
      <w:pPr>
        <w:tabs>
          <w:tab w:val="left" w:pos="851"/>
        </w:tabs>
        <w:ind w:left="851"/>
        <w:rPr>
          <w:sz w:val="24"/>
          <w:szCs w:val="24"/>
          <w:lang w:val="en-GB"/>
        </w:rPr>
      </w:pPr>
      <w:r w:rsidRPr="00E155E0">
        <w:rPr>
          <w:sz w:val="24"/>
          <w:szCs w:val="24"/>
          <w:lang w:val="en-GB"/>
        </w:rPr>
        <w:t>The risk of bleeding increases with increasing age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Body weight</w:t>
      </w:r>
    </w:p>
    <w:p w:rsidR="00E155E0" w:rsidRPr="00E155E0" w:rsidRDefault="00E155E0" w:rsidP="00E155E0">
      <w:pPr>
        <w:tabs>
          <w:tab w:val="left" w:pos="851"/>
        </w:tabs>
        <w:ind w:left="851"/>
        <w:rPr>
          <w:sz w:val="24"/>
          <w:szCs w:val="24"/>
          <w:lang w:val="en-GB"/>
        </w:rPr>
      </w:pPr>
      <w:r w:rsidRPr="00E155E0">
        <w:rPr>
          <w:sz w:val="24"/>
          <w:szCs w:val="24"/>
          <w:lang w:val="en-GB"/>
        </w:rPr>
        <w:t>No dose adjustment (see sections 4.4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Gender</w:t>
      </w:r>
    </w:p>
    <w:p w:rsidR="00E155E0" w:rsidRPr="00E155E0" w:rsidRDefault="00E155E0" w:rsidP="00E155E0">
      <w:pPr>
        <w:tabs>
          <w:tab w:val="left" w:pos="851"/>
        </w:tabs>
        <w:ind w:left="851"/>
        <w:rPr>
          <w:sz w:val="24"/>
          <w:szCs w:val="24"/>
          <w:lang w:val="en-GB"/>
        </w:rPr>
      </w:pPr>
      <w:r w:rsidRPr="00E155E0">
        <w:rPr>
          <w:sz w:val="24"/>
          <w:szCs w:val="24"/>
          <w:lang w:val="en-GB"/>
        </w:rPr>
        <w:t>No dose adjustment (see section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Paediatric population</w:t>
      </w:r>
    </w:p>
    <w:p w:rsidR="00A26BFB" w:rsidRPr="008976FF" w:rsidRDefault="00A26BFB" w:rsidP="008976FF">
      <w:pPr>
        <w:suppressAutoHyphens/>
        <w:ind w:left="851"/>
        <w:rPr>
          <w:sz w:val="24"/>
          <w:szCs w:val="24"/>
          <w:lang w:val="en-US" w:eastAsia="el-GR"/>
        </w:rPr>
      </w:pPr>
      <w:r w:rsidRPr="008976FF">
        <w:rPr>
          <w:sz w:val="24"/>
          <w:szCs w:val="24"/>
          <w:lang w:val="en-US" w:eastAsia="el-GR"/>
        </w:rPr>
        <w:t xml:space="preserve">The safety and efficacy of rivaroxaban in children aged 0 to 18 years have not been established. No data are available. Therefore, </w:t>
      </w:r>
      <w:r w:rsidR="008976FF">
        <w:rPr>
          <w:sz w:val="24"/>
          <w:szCs w:val="24"/>
          <w:lang w:val="en-US" w:eastAsia="en-US"/>
        </w:rPr>
        <w:t>Odelo</w:t>
      </w:r>
      <w:r w:rsidRPr="008976FF">
        <w:rPr>
          <w:sz w:val="24"/>
          <w:szCs w:val="24"/>
          <w:lang w:val="en-US" w:eastAsia="el-GR"/>
        </w:rPr>
        <w:t xml:space="preserve"> 2.5mg film-coated tablets</w:t>
      </w:r>
      <w:r w:rsidRPr="008976FF">
        <w:rPr>
          <w:sz w:val="24"/>
          <w:szCs w:val="24"/>
          <w:lang w:val="en-US" w:eastAsia="en-US"/>
        </w:rPr>
        <w:t xml:space="preserve"> </w:t>
      </w:r>
      <w:r w:rsidRPr="008976FF">
        <w:rPr>
          <w:sz w:val="24"/>
          <w:szCs w:val="24"/>
          <w:lang w:val="en-US" w:eastAsia="el-GR"/>
        </w:rPr>
        <w:t>are not recommended for use in children below 18 years of age.</w:t>
      </w:r>
    </w:p>
    <w:p w:rsidR="00E155E0" w:rsidRPr="008976FF" w:rsidRDefault="00E155E0" w:rsidP="008976FF">
      <w:pPr>
        <w:tabs>
          <w:tab w:val="left" w:pos="851"/>
        </w:tabs>
        <w:ind w:left="851"/>
        <w:rPr>
          <w:sz w:val="24"/>
          <w:szCs w:val="24"/>
          <w:u w:val="single"/>
          <w:lang w:val="en-US"/>
        </w:rPr>
      </w:pPr>
    </w:p>
    <w:p w:rsidR="00E155E0" w:rsidRPr="00A26BFB" w:rsidRDefault="00E155E0" w:rsidP="00E155E0">
      <w:pPr>
        <w:tabs>
          <w:tab w:val="left" w:pos="851"/>
        </w:tabs>
        <w:ind w:left="851"/>
        <w:rPr>
          <w:sz w:val="24"/>
          <w:szCs w:val="24"/>
          <w:u w:val="single"/>
          <w:lang w:val="en-GB"/>
        </w:rPr>
      </w:pPr>
      <w:r w:rsidRPr="00A26BFB">
        <w:rPr>
          <w:sz w:val="24"/>
          <w:szCs w:val="24"/>
          <w:u w:val="single"/>
          <w:lang w:val="en-GB"/>
        </w:rPr>
        <w:t>Method of administration</w:t>
      </w:r>
    </w:p>
    <w:p w:rsidR="00E155E0" w:rsidRPr="00E155E0" w:rsidRDefault="00965E6E" w:rsidP="00E155E0">
      <w:pPr>
        <w:tabs>
          <w:tab w:val="left" w:pos="851"/>
        </w:tabs>
        <w:ind w:left="851"/>
        <w:rPr>
          <w:sz w:val="24"/>
          <w:szCs w:val="24"/>
          <w:lang w:val="en-GB"/>
        </w:rPr>
      </w:pPr>
      <w:r>
        <w:rPr>
          <w:sz w:val="24"/>
          <w:szCs w:val="24"/>
          <w:lang w:val="en-GB"/>
        </w:rPr>
        <w:t>Odelo</w:t>
      </w:r>
      <w:r w:rsidR="00E155E0" w:rsidRPr="00E155E0">
        <w:rPr>
          <w:sz w:val="24"/>
          <w:szCs w:val="24"/>
          <w:lang w:val="en-GB"/>
        </w:rPr>
        <w:t xml:space="preserve"> is for oral use.</w:t>
      </w:r>
    </w:p>
    <w:p w:rsidR="00E155E0" w:rsidRPr="00E155E0" w:rsidRDefault="00E155E0" w:rsidP="00E155E0">
      <w:pPr>
        <w:tabs>
          <w:tab w:val="left" w:pos="851"/>
        </w:tabs>
        <w:ind w:left="851"/>
        <w:rPr>
          <w:sz w:val="24"/>
          <w:szCs w:val="24"/>
          <w:lang w:val="en-GB"/>
        </w:rPr>
      </w:pPr>
      <w:r w:rsidRPr="00E155E0">
        <w:rPr>
          <w:sz w:val="24"/>
          <w:szCs w:val="24"/>
          <w:lang w:val="en-GB"/>
        </w:rPr>
        <w:t>The tablets can be taken with or without food (see sections 4.5 and 5.2).</w:t>
      </w:r>
    </w:p>
    <w:p w:rsidR="00E155E0" w:rsidRPr="008976FF" w:rsidRDefault="00E155E0" w:rsidP="008976FF">
      <w:pPr>
        <w:ind w:left="851"/>
        <w:rPr>
          <w:sz w:val="24"/>
          <w:szCs w:val="24"/>
          <w:lang w:val="en-GB"/>
        </w:rPr>
      </w:pPr>
    </w:p>
    <w:p w:rsidR="00A26BFB" w:rsidRPr="008976FF" w:rsidRDefault="00A26BFB" w:rsidP="008976FF">
      <w:pPr>
        <w:ind w:left="851"/>
        <w:rPr>
          <w:sz w:val="24"/>
          <w:szCs w:val="24"/>
          <w:lang w:val="en-US" w:eastAsia="el-GR"/>
        </w:rPr>
      </w:pPr>
      <w:r w:rsidRPr="008976FF">
        <w:rPr>
          <w:i/>
          <w:iCs/>
          <w:sz w:val="24"/>
          <w:szCs w:val="24"/>
          <w:lang w:val="en-US" w:eastAsia="el-GR"/>
        </w:rPr>
        <w:t>Crushing of tablets</w:t>
      </w:r>
    </w:p>
    <w:p w:rsidR="00A26BFB" w:rsidRPr="008976FF" w:rsidRDefault="00A26BFB" w:rsidP="008976FF">
      <w:pPr>
        <w:ind w:left="851"/>
        <w:rPr>
          <w:sz w:val="24"/>
          <w:szCs w:val="24"/>
          <w:lang w:val="en-US" w:eastAsia="el-GR"/>
        </w:rPr>
      </w:pPr>
      <w:r w:rsidRPr="008976FF">
        <w:rPr>
          <w:sz w:val="24"/>
          <w:szCs w:val="24"/>
          <w:lang w:val="en-US" w:eastAsia="el-GR"/>
        </w:rPr>
        <w:t xml:space="preserve">For patients who are unable to swallow whole tablets, </w:t>
      </w:r>
      <w:r w:rsidR="008976FF">
        <w:rPr>
          <w:sz w:val="24"/>
          <w:szCs w:val="24"/>
          <w:lang w:val="en-US" w:eastAsia="en-US"/>
        </w:rPr>
        <w:t>Odelo</w:t>
      </w:r>
      <w:r w:rsidRPr="008976FF">
        <w:rPr>
          <w:sz w:val="24"/>
          <w:szCs w:val="24"/>
          <w:lang w:val="en-US" w:eastAsia="el-GR"/>
        </w:rPr>
        <w:t xml:space="preserve"> tablet may be crushed and mixed with water or apple puree immediately prior to use and administered orally.</w:t>
      </w:r>
    </w:p>
    <w:p w:rsidR="00A26BFB" w:rsidRPr="008976FF" w:rsidRDefault="00A26BFB" w:rsidP="008976FF">
      <w:pPr>
        <w:ind w:left="851"/>
        <w:rPr>
          <w:sz w:val="24"/>
          <w:szCs w:val="24"/>
          <w:lang w:val="en-US" w:eastAsia="el-GR"/>
        </w:rPr>
      </w:pPr>
      <w:r w:rsidRPr="008976FF">
        <w:rPr>
          <w:sz w:val="24"/>
          <w:szCs w:val="24"/>
          <w:lang w:val="en-US" w:eastAsia="el-GR"/>
        </w:rPr>
        <w:t xml:space="preserve">The crushed </w:t>
      </w:r>
      <w:r w:rsidR="008976FF">
        <w:rPr>
          <w:sz w:val="24"/>
          <w:szCs w:val="24"/>
          <w:lang w:val="en-US" w:eastAsia="en-US"/>
        </w:rPr>
        <w:t>Odelo</w:t>
      </w:r>
      <w:r w:rsidRPr="008976FF">
        <w:rPr>
          <w:sz w:val="24"/>
          <w:szCs w:val="24"/>
          <w:lang w:val="en-US" w:eastAsia="el-GR"/>
        </w:rPr>
        <w:t xml:space="preserve"> tablet may also be given through gastric tubes (see section 5.2 and 6.6).</w:t>
      </w:r>
    </w:p>
    <w:p w:rsidR="007C5D2A" w:rsidRPr="008976FF" w:rsidRDefault="007C5D2A" w:rsidP="008976FF">
      <w:pPr>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E155E0" w:rsidRPr="00E155E0" w:rsidRDefault="00E155E0" w:rsidP="00E155E0">
      <w:pPr>
        <w:tabs>
          <w:tab w:val="left" w:pos="851"/>
        </w:tabs>
        <w:ind w:left="851"/>
        <w:rPr>
          <w:sz w:val="24"/>
          <w:szCs w:val="24"/>
          <w:lang w:val="en-GB"/>
        </w:rPr>
      </w:pPr>
      <w:r w:rsidRPr="00E155E0">
        <w:rPr>
          <w:sz w:val="24"/>
          <w:szCs w:val="24"/>
          <w:lang w:val="en-GB"/>
        </w:rPr>
        <w:t>Hypersensitivity to the active substance or to any of the excipients listed in section 6.1.</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Active clinically significant bleeding.</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Concomitant treatment with any other anticoagulants e.g. unfractionated heparin (UFH), low</w:t>
      </w:r>
      <w:r w:rsidR="00AA3F74">
        <w:rPr>
          <w:sz w:val="24"/>
          <w:szCs w:val="24"/>
          <w:lang w:val="en-GB"/>
        </w:rPr>
        <w:t xml:space="preserve"> </w:t>
      </w:r>
      <w:r w:rsidRPr="00E155E0">
        <w:rPr>
          <w:sz w:val="24"/>
          <w:szCs w:val="24"/>
          <w:lang w:val="en-GB"/>
        </w:rPr>
        <w:t>molecular weight heparins (enoxaparin, dalteparin, etc.), heparin derivatives (fondaparinux, etc.), oral anticoagulants (warfarin, dabigatran etexilate, apixaban, etc.) except under specific circumstances of switching anticoagulant therapy (see section 4.2) or when UFH is given at doses necessary to maintain an open central venous or arterial catheter (see section 4.5).</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Concomitant treatment of ACS with antiplatelet therapy in patients with a prior stroke or a transient ischaemic attack (TIA)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Concomitant treatment of CAD/PAD with ASA in patients with previous haemorrhagic or lacunar stroke, or any stroke within a month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Hepatic disease associated with coagulopathy and clinically relevant bleeding risk including cirrhotic patients with Child Pugh B and C (see section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Pregnancy and breast feeding (see section 4.6).</w:t>
      </w:r>
    </w:p>
    <w:p w:rsidR="00E155E0" w:rsidRPr="00E155E0" w:rsidRDefault="00E155E0" w:rsidP="00E155E0">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A26BFB" w:rsidRPr="008976FF" w:rsidRDefault="00A26BFB" w:rsidP="008976FF">
      <w:pPr>
        <w:ind w:left="851"/>
        <w:rPr>
          <w:color w:val="000000"/>
          <w:sz w:val="24"/>
          <w:szCs w:val="24"/>
          <w:lang w:val="en-US" w:eastAsia="el-GR"/>
        </w:rPr>
      </w:pPr>
      <w:r w:rsidRPr="008976FF">
        <w:rPr>
          <w:sz w:val="24"/>
          <w:szCs w:val="24"/>
          <w:lang w:val="en-US"/>
        </w:rPr>
        <w:t>In ACS patients, efficacy and safety of rivaroxaban 2.5 mg twice daily have been investigated in combination with the antiplatelet agents, ASA alone or ASA plus clopidogrel/ticlopidine. In patients at high risk of ischaemic events with CAD/PAD, efficacy and safety of rivaroxaban 2.5 mg twice daily have been investigated in combination with ASA.</w:t>
      </w:r>
    </w:p>
    <w:p w:rsidR="00A26BFB" w:rsidRPr="008976FF" w:rsidRDefault="00A26BFB" w:rsidP="008976FF">
      <w:pPr>
        <w:ind w:left="851"/>
        <w:rPr>
          <w:sz w:val="24"/>
          <w:szCs w:val="24"/>
          <w:lang w:val="en-US"/>
        </w:rPr>
      </w:pPr>
      <w:r w:rsidRPr="008976FF">
        <w:rPr>
          <w:sz w:val="24"/>
          <w:szCs w:val="24"/>
          <w:lang w:val="en-US"/>
        </w:rPr>
        <w:t>In patients after recent revascularisation procedure of the lower limb due to symptomatic PAD, efficacy and safety of Rivaroxaban 2.5 mg twice daily have been investigated in combination with the antiplatelet agent ASA alone or ASA plus short-term clopidogrel. If required, dual antiplatelet therapy with clopidogrel should be short-term; long-term dual antiplatelet therapy should be avoided (see section 5.1).</w:t>
      </w:r>
    </w:p>
    <w:p w:rsidR="00A26BFB" w:rsidRPr="008976FF" w:rsidRDefault="00A26BFB" w:rsidP="008976FF">
      <w:pPr>
        <w:ind w:left="851"/>
        <w:rPr>
          <w:sz w:val="24"/>
          <w:szCs w:val="24"/>
          <w:lang w:val="en-GB"/>
        </w:rPr>
      </w:pPr>
    </w:p>
    <w:p w:rsidR="00A26BFB" w:rsidRPr="008976FF" w:rsidRDefault="00A26BFB" w:rsidP="008976FF">
      <w:pPr>
        <w:ind w:left="851"/>
        <w:rPr>
          <w:sz w:val="24"/>
          <w:szCs w:val="24"/>
          <w:lang w:val="en-US"/>
        </w:rPr>
      </w:pPr>
      <w:r w:rsidRPr="008976FF">
        <w:rPr>
          <w:sz w:val="24"/>
          <w:szCs w:val="24"/>
          <w:lang w:val="en-US"/>
        </w:rPr>
        <w:t>Treatment in combination with other antiplatelet agents, e.g. prasugrel or ticagrelor, has not been studied and is not recommended.</w:t>
      </w:r>
    </w:p>
    <w:p w:rsidR="00A26BFB" w:rsidRPr="008976FF" w:rsidRDefault="00A26BFB" w:rsidP="008976FF">
      <w:pPr>
        <w:ind w:left="851"/>
        <w:rPr>
          <w:sz w:val="24"/>
          <w:szCs w:val="24"/>
          <w:lang w:val="en-US"/>
        </w:rPr>
      </w:pPr>
    </w:p>
    <w:p w:rsidR="00A26BFB" w:rsidRPr="008976FF" w:rsidRDefault="00A26BFB" w:rsidP="008976FF">
      <w:pPr>
        <w:ind w:left="851"/>
        <w:rPr>
          <w:sz w:val="24"/>
          <w:szCs w:val="24"/>
          <w:lang w:val="en-US"/>
        </w:rPr>
      </w:pPr>
      <w:r w:rsidRPr="008976FF">
        <w:rPr>
          <w:sz w:val="24"/>
          <w:szCs w:val="24"/>
          <w:lang w:val="en-US"/>
        </w:rPr>
        <w:t>Clinical surveillance in line with anticoagulation practice is recommended throughout the treatment period.</w:t>
      </w:r>
    </w:p>
    <w:p w:rsidR="00E155E0" w:rsidRPr="008976FF" w:rsidRDefault="00E155E0" w:rsidP="008976FF">
      <w:pPr>
        <w:ind w:left="851"/>
        <w:rPr>
          <w:sz w:val="24"/>
          <w:szCs w:val="24"/>
          <w:lang w:val="en-US"/>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Haemorrhagic risk</w:t>
      </w:r>
    </w:p>
    <w:p w:rsidR="00E155E0" w:rsidRPr="007C41BB" w:rsidRDefault="00E155E0" w:rsidP="00E155E0">
      <w:pPr>
        <w:tabs>
          <w:tab w:val="left" w:pos="851"/>
        </w:tabs>
        <w:ind w:left="851"/>
        <w:rPr>
          <w:sz w:val="24"/>
          <w:szCs w:val="24"/>
          <w:lang w:val="en-US"/>
        </w:rPr>
      </w:pPr>
      <w:r w:rsidRPr="00E155E0">
        <w:rPr>
          <w:sz w:val="24"/>
          <w:szCs w:val="24"/>
          <w:lang w:val="en-GB"/>
        </w:rPr>
        <w:t xml:space="preserve">As with other anticoagulants, patients taking </w:t>
      </w:r>
      <w:r w:rsidR="00965E6E">
        <w:rPr>
          <w:sz w:val="24"/>
          <w:szCs w:val="24"/>
          <w:lang w:val="en-GB"/>
        </w:rPr>
        <w:t>Odelo</w:t>
      </w:r>
      <w:r w:rsidRPr="00E155E0">
        <w:rPr>
          <w:sz w:val="24"/>
          <w:szCs w:val="24"/>
          <w:lang w:val="en-GB"/>
        </w:rPr>
        <w:t xml:space="preserve"> are to be carefully observed for signs of bleeding. It is recommended to be used with caution in conditions with increased risk of haemorrhage. </w:t>
      </w:r>
      <w:r w:rsidR="00965E6E">
        <w:rPr>
          <w:sz w:val="24"/>
          <w:szCs w:val="24"/>
          <w:lang w:val="en-GB"/>
        </w:rPr>
        <w:t>Odelo</w:t>
      </w:r>
      <w:r w:rsidRPr="00E155E0">
        <w:rPr>
          <w:sz w:val="24"/>
          <w:szCs w:val="24"/>
          <w:lang w:val="en-GB"/>
        </w:rPr>
        <w:t xml:space="preserve"> administration should be discontinued if severe haemorrhage occurs</w:t>
      </w:r>
      <w:r w:rsidR="007C41BB">
        <w:rPr>
          <w:sz w:val="24"/>
          <w:szCs w:val="24"/>
          <w:lang w:val="en-GB"/>
        </w:rPr>
        <w:t xml:space="preserve"> </w:t>
      </w:r>
      <w:r w:rsidR="007C41BB" w:rsidRPr="007C41BB">
        <w:rPr>
          <w:szCs w:val="24"/>
          <w:lang w:val="en-US"/>
        </w:rPr>
        <w:t>(see section 4.9).</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In the clinical studies mucosal bleedings (i.e. epistaxis, gingival, gastrointestinal, genito 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Several sub-groups of patients, as detailed below, are at increased risk of bleeding. Therefore, the use of </w:t>
      </w:r>
      <w:r w:rsidR="00965E6E">
        <w:rPr>
          <w:sz w:val="24"/>
          <w:szCs w:val="24"/>
          <w:lang w:val="en-GB"/>
        </w:rPr>
        <w:t>Odelo</w:t>
      </w:r>
      <w:r w:rsidRPr="00E155E0">
        <w:rPr>
          <w:sz w:val="24"/>
          <w:szCs w:val="24"/>
          <w:lang w:val="en-GB"/>
        </w:rPr>
        <w:t xml:space="preserve"> in combination with dual antiplatelet therapy in patients at known increased risk for bleeding should be balanced against the benefit in terms of prevention of atherothrombotic events. In addition, these patients are to be carefully monitored for signs and symptoms of bleeding complications and anaemia after initiation of treatment (see section 4.8).</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Any unexplained fall in haemoglobin or blood pressure should lead to a search for a bleeding site.</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Although treatment with rivaroxaban does not require routine monitoring of exposure, rivaroxaban levels measured with a calibrated quantitative anti-factor Xa assay may be useful in exceptional situations where knowledge of rivaroxaban exposure may help to inform clinical decisions, e.g., overdose and emergency surgery (see sections 5.1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Renal impairment</w:t>
      </w:r>
    </w:p>
    <w:p w:rsidR="00E155E0" w:rsidRPr="00E155E0" w:rsidRDefault="00E155E0" w:rsidP="00E155E0">
      <w:pPr>
        <w:tabs>
          <w:tab w:val="left" w:pos="851"/>
        </w:tabs>
        <w:ind w:left="851"/>
        <w:rPr>
          <w:sz w:val="24"/>
          <w:szCs w:val="24"/>
          <w:lang w:val="en-GB"/>
        </w:rPr>
      </w:pPr>
      <w:r w:rsidRPr="00E155E0">
        <w:rPr>
          <w:sz w:val="24"/>
          <w:szCs w:val="24"/>
          <w:lang w:val="en-GB"/>
        </w:rPr>
        <w:t>In patients with severe renal impairment (creatinine clearance &lt; 30 ml/min) rivaroxaban plasma levels may be significantly increased (1.6 fold on average) which may lead to an increased bleeding risk.</w:t>
      </w:r>
    </w:p>
    <w:p w:rsidR="00E155E0" w:rsidRPr="00E155E0" w:rsidRDefault="00E155E0" w:rsidP="00E155E0">
      <w:pPr>
        <w:tabs>
          <w:tab w:val="left" w:pos="851"/>
        </w:tabs>
        <w:ind w:left="851"/>
        <w:rPr>
          <w:sz w:val="24"/>
          <w:szCs w:val="24"/>
          <w:lang w:val="en-GB"/>
        </w:rPr>
      </w:pPr>
    </w:p>
    <w:p w:rsidR="00E155E0" w:rsidRPr="00E155E0" w:rsidRDefault="00965E6E" w:rsidP="00E155E0">
      <w:pPr>
        <w:tabs>
          <w:tab w:val="left" w:pos="851"/>
        </w:tabs>
        <w:ind w:left="851"/>
        <w:rPr>
          <w:sz w:val="24"/>
          <w:szCs w:val="24"/>
          <w:lang w:val="en-GB"/>
        </w:rPr>
      </w:pPr>
      <w:r>
        <w:rPr>
          <w:sz w:val="24"/>
          <w:szCs w:val="24"/>
          <w:lang w:val="en-GB"/>
        </w:rPr>
        <w:t>Odelo</w:t>
      </w:r>
      <w:r w:rsidR="00E155E0" w:rsidRPr="00E155E0">
        <w:rPr>
          <w:sz w:val="24"/>
          <w:szCs w:val="24"/>
          <w:lang w:val="en-GB"/>
        </w:rPr>
        <w:t xml:space="preserve"> is to be used with caution in patients with creatinine clearance 15 - 29 ml/min. Use is not recommended in patients with creatinine clearance &lt; 15 ml/min (see sections 4.2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In patients with moderate renal impairment (creatinine clearance 30 - 49 ml/min) concomitantly receiving other medicinal products which increase rivaroxaban plasma concentrations </w:t>
      </w:r>
      <w:r w:rsidR="00965E6E">
        <w:rPr>
          <w:sz w:val="24"/>
          <w:szCs w:val="24"/>
          <w:lang w:val="en-GB"/>
        </w:rPr>
        <w:t>Odelo</w:t>
      </w:r>
      <w:r w:rsidRPr="00E155E0">
        <w:rPr>
          <w:sz w:val="24"/>
          <w:szCs w:val="24"/>
          <w:lang w:val="en-GB"/>
        </w:rPr>
        <w:t xml:space="preserve"> is to be used with caution (see section 4.5).</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Interaction with other medicinal products</w:t>
      </w:r>
    </w:p>
    <w:p w:rsidR="00E155E0" w:rsidRPr="00E155E0" w:rsidRDefault="00E155E0" w:rsidP="00E155E0">
      <w:pPr>
        <w:tabs>
          <w:tab w:val="left" w:pos="851"/>
        </w:tabs>
        <w:ind w:left="851"/>
        <w:rPr>
          <w:sz w:val="24"/>
          <w:szCs w:val="24"/>
          <w:lang w:val="en-GB"/>
        </w:rPr>
      </w:pPr>
      <w:r w:rsidRPr="00E155E0">
        <w:rPr>
          <w:sz w:val="24"/>
          <w:szCs w:val="24"/>
          <w:lang w:val="en-GB"/>
        </w:rPr>
        <w:t xml:space="preserve">The use of </w:t>
      </w:r>
      <w:r w:rsidR="00965E6E">
        <w:rPr>
          <w:sz w:val="24"/>
          <w:szCs w:val="24"/>
          <w:lang w:val="en-GB"/>
        </w:rPr>
        <w:t>Odelo</w:t>
      </w:r>
      <w:r w:rsidRPr="00E155E0">
        <w:rPr>
          <w:sz w:val="24"/>
          <w:szCs w:val="24"/>
          <w:lang w:val="en-GB"/>
        </w:rPr>
        <w:t xml:space="preserve"> is not recommended in patients receiving concomitant systemic treatment with azole-antimycotics (such as ketoconazole, itraconazole, voriconazole and posaconazole) or HIV protease inhibitors (e.g. ritonavir). These active substances are strong inhibitors of both CYP3A4 and P-gp and therefore may increase rivaroxaban plasma concentrations to a clinically relevant degree (2.6 fold on average) which may lead to an increased bleeding risk (see section 4.5).</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r w:rsidR="005762FD" w:rsidRPr="0028257D">
        <w:rPr>
          <w:szCs w:val="24"/>
          <w:lang w:val="en-US"/>
        </w:rPr>
        <w:t xml:space="preserve"> and 5.1</w:t>
      </w:r>
      <w:r w:rsidRPr="00E155E0">
        <w:rPr>
          <w:sz w:val="24"/>
          <w:szCs w:val="24"/>
          <w:lang w:val="en-GB"/>
        </w:rPr>
        <w:t>).</w:t>
      </w:r>
    </w:p>
    <w:p w:rsidR="00E155E0" w:rsidRPr="008976FF" w:rsidRDefault="00E155E0" w:rsidP="008976FF">
      <w:pPr>
        <w:ind w:left="851"/>
        <w:rPr>
          <w:sz w:val="24"/>
          <w:szCs w:val="24"/>
          <w:lang w:val="en-GB"/>
        </w:rPr>
      </w:pPr>
    </w:p>
    <w:p w:rsidR="007C41BB" w:rsidRPr="008976FF" w:rsidRDefault="007C41BB" w:rsidP="008976FF">
      <w:pPr>
        <w:ind w:left="851"/>
        <w:rPr>
          <w:sz w:val="24"/>
          <w:szCs w:val="24"/>
          <w:lang w:val="en-US"/>
        </w:rPr>
      </w:pPr>
      <w:r w:rsidRPr="008976FF">
        <w:rPr>
          <w:sz w:val="24"/>
          <w:szCs w:val="24"/>
          <w:lang w:val="en-US"/>
        </w:rPr>
        <w:t xml:space="preserve">Patients treated with </w:t>
      </w:r>
      <w:r w:rsidR="008976FF" w:rsidRPr="008976FF">
        <w:rPr>
          <w:sz w:val="24"/>
          <w:szCs w:val="24"/>
          <w:lang w:val="en-US" w:eastAsia="en-US"/>
        </w:rPr>
        <w:t>Odelo</w:t>
      </w:r>
      <w:r w:rsidRPr="008976FF">
        <w:rPr>
          <w:sz w:val="24"/>
          <w:szCs w:val="24"/>
          <w:lang w:val="en-US"/>
        </w:rPr>
        <w:t xml:space="preserve"> and antiplatelet agents should only receive concomitant treatment with NSAIDs if the benefit outweighs the bleeding risk.</w:t>
      </w:r>
    </w:p>
    <w:p w:rsidR="00E155E0" w:rsidRPr="008976FF" w:rsidRDefault="00E155E0" w:rsidP="008976FF">
      <w:pPr>
        <w:ind w:left="851"/>
        <w:rPr>
          <w:sz w:val="24"/>
          <w:szCs w:val="24"/>
          <w:lang w:val="en-US"/>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Other haemorrhagic risk factors</w:t>
      </w:r>
    </w:p>
    <w:p w:rsidR="004D25EC" w:rsidRDefault="004D25EC"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As with other antithrombotics, rivaroxaban is not recommended in patients with an increased bleeding risk such as:</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congenital or acquired bleeding disorders</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uncontrolled severe arterial hypertension</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 xml:space="preserve">other gastrointestinal disease </w:t>
      </w:r>
      <w:r w:rsidRPr="00E155E0">
        <w:rPr>
          <w:sz w:val="24"/>
          <w:szCs w:val="24"/>
          <w:u w:val="single"/>
          <w:lang w:val="en-GB"/>
        </w:rPr>
        <w:t>without active ulceration</w:t>
      </w:r>
      <w:r w:rsidRPr="00E155E0">
        <w:rPr>
          <w:sz w:val="24"/>
          <w:szCs w:val="24"/>
          <w:lang w:val="en-GB"/>
        </w:rPr>
        <w:t xml:space="preserve"> that can potentially lead to bleeding complications (e.g. inflammatory bowel disease, oesophagitis, gastritis and gastroesophageal reflux disease)</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vascular retinopathy</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bronchiectasis or history of pulmonary bleeding</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It should be used with caution in ACS and CAD/PAD patients:</w:t>
      </w:r>
    </w:p>
    <w:p w:rsidR="00E155E0" w:rsidRPr="00E155E0" w:rsidRDefault="00E155E0" w:rsidP="00AA3F74">
      <w:pPr>
        <w:numPr>
          <w:ilvl w:val="1"/>
          <w:numId w:val="7"/>
        </w:numPr>
        <w:tabs>
          <w:tab w:val="left" w:pos="851"/>
        </w:tabs>
        <w:ind w:left="1134" w:hanging="283"/>
        <w:rPr>
          <w:sz w:val="24"/>
          <w:szCs w:val="24"/>
          <w:lang w:val="en-GB"/>
        </w:rPr>
      </w:pPr>
      <w:r w:rsidRPr="00E155E0">
        <w:rPr>
          <w:sz w:val="24"/>
          <w:szCs w:val="24"/>
          <w:lang w:val="en-US"/>
        </w:rPr>
        <w:t xml:space="preserve">≥ </w:t>
      </w:r>
      <w:r w:rsidRPr="00E155E0">
        <w:rPr>
          <w:sz w:val="24"/>
          <w:szCs w:val="24"/>
          <w:lang w:val="en-GB"/>
        </w:rPr>
        <w:t>75 years of age if co-administered with ASA alone or with ASA plus clopidogrel or ticlopidine. The benefit-risk of the treatment should be individually assessed on a regular basis.</w:t>
      </w:r>
    </w:p>
    <w:p w:rsidR="00E155E0" w:rsidRPr="00E155E0" w:rsidRDefault="00E155E0" w:rsidP="00AA3F74">
      <w:pPr>
        <w:numPr>
          <w:ilvl w:val="1"/>
          <w:numId w:val="7"/>
        </w:numPr>
        <w:tabs>
          <w:tab w:val="left" w:pos="851"/>
        </w:tabs>
        <w:ind w:left="1134" w:hanging="283"/>
        <w:rPr>
          <w:sz w:val="24"/>
          <w:szCs w:val="24"/>
          <w:lang w:val="en-GB"/>
        </w:rPr>
      </w:pPr>
      <w:r w:rsidRPr="00E155E0">
        <w:rPr>
          <w:sz w:val="24"/>
          <w:szCs w:val="24"/>
          <w:lang w:val="en-GB"/>
        </w:rPr>
        <w:t>with lower body weight (&lt; 60 kg) if co-administered with ASA alone or with ASA plus clopidogrel or ticlopidine.</w:t>
      </w:r>
    </w:p>
    <w:p w:rsidR="00E155E0" w:rsidRPr="00E155E0" w:rsidRDefault="00E155E0" w:rsidP="00AA3F74">
      <w:pPr>
        <w:numPr>
          <w:ilvl w:val="1"/>
          <w:numId w:val="7"/>
        </w:numPr>
        <w:tabs>
          <w:tab w:val="left" w:pos="851"/>
        </w:tabs>
        <w:ind w:left="1134" w:hanging="283"/>
        <w:rPr>
          <w:sz w:val="24"/>
          <w:szCs w:val="24"/>
          <w:lang w:val="en-GB"/>
        </w:rPr>
      </w:pPr>
      <w:r w:rsidRPr="00E155E0">
        <w:rPr>
          <w:sz w:val="24"/>
          <w:szCs w:val="24"/>
          <w:lang w:val="en-GB"/>
        </w:rPr>
        <w:t>CAD patients with severe symptomatic heart failure. Study data indicate that such patients may benefit less from treatment with rivaroxaban (see section 5.1).</w:t>
      </w:r>
    </w:p>
    <w:p w:rsidR="00E155E0" w:rsidRPr="008976FF" w:rsidRDefault="00E155E0" w:rsidP="008976FF">
      <w:pPr>
        <w:ind w:left="851"/>
        <w:rPr>
          <w:sz w:val="24"/>
          <w:szCs w:val="24"/>
          <w:lang w:val="en-US"/>
        </w:rPr>
      </w:pPr>
    </w:p>
    <w:p w:rsidR="007C41BB" w:rsidRPr="008976FF" w:rsidRDefault="007C41BB" w:rsidP="008976FF">
      <w:pPr>
        <w:ind w:left="851"/>
        <w:rPr>
          <w:rFonts w:ascii="TimesNewRomanPSMT" w:hAnsi="TimesNewRomanPSMT" w:cs="TimesNewRomanPSMT"/>
          <w:sz w:val="24"/>
          <w:szCs w:val="24"/>
          <w:u w:val="single"/>
          <w:lang w:val="en-US" w:eastAsia="el-GR"/>
        </w:rPr>
      </w:pPr>
      <w:r w:rsidRPr="008976FF">
        <w:rPr>
          <w:rFonts w:ascii="TimesNewRomanPSMT" w:hAnsi="TimesNewRomanPSMT" w:cs="TimesNewRomanPSMT"/>
          <w:sz w:val="24"/>
          <w:szCs w:val="24"/>
          <w:u w:val="single"/>
          <w:lang w:val="en-US" w:eastAsia="el-GR"/>
        </w:rPr>
        <w:t xml:space="preserve">Patients with cancer </w:t>
      </w:r>
    </w:p>
    <w:p w:rsidR="007C41BB" w:rsidRPr="008976FF" w:rsidRDefault="007C41BB" w:rsidP="008976FF">
      <w:pPr>
        <w:ind w:left="851"/>
        <w:rPr>
          <w:rFonts w:ascii="TimesNewRomanPSMT" w:hAnsi="TimesNewRomanPSMT" w:cs="TimesNewRomanPSMT"/>
          <w:sz w:val="24"/>
          <w:szCs w:val="24"/>
          <w:lang w:val="en-US" w:eastAsia="el-GR"/>
        </w:rPr>
      </w:pPr>
      <w:r w:rsidRPr="008976FF">
        <w:rPr>
          <w:rFonts w:ascii="TimesNewRomanPSMT" w:hAnsi="TimesNewRomanPSMT" w:cs="TimesNewRomanPSMT"/>
          <w:sz w:val="24"/>
          <w:szCs w:val="24"/>
          <w:lang w:val="en-US" w:eastAsia="el-GR"/>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rsidR="007C41BB" w:rsidRPr="008976FF" w:rsidRDefault="007C41BB" w:rsidP="008976FF">
      <w:pPr>
        <w:ind w:left="851"/>
        <w:rPr>
          <w:rFonts w:ascii="TimesNewRomanPSMT" w:hAnsi="TimesNewRomanPSMT" w:cs="TimesNewRomanPSMT"/>
          <w:sz w:val="24"/>
          <w:szCs w:val="24"/>
          <w:lang w:val="en-US" w:eastAsia="el-GR"/>
        </w:rPr>
      </w:pPr>
      <w:r w:rsidRPr="008976FF">
        <w:rPr>
          <w:rFonts w:ascii="TimesNewRomanPSMT" w:hAnsi="TimesNewRomanPSMT" w:cs="TimesNewRomanPSMT"/>
          <w:sz w:val="24"/>
          <w:szCs w:val="24"/>
          <w:lang w:val="en-US" w:eastAsia="el-GR"/>
        </w:rPr>
        <w:t>In patients with malignant neoplasms at high risk of bleeding, the use of rivaroxaban is contraindicated (see section 4.3).</w:t>
      </w:r>
    </w:p>
    <w:p w:rsidR="007C41BB" w:rsidRPr="00E155E0" w:rsidRDefault="007C41BB" w:rsidP="00E155E0">
      <w:pPr>
        <w:tabs>
          <w:tab w:val="left" w:pos="851"/>
        </w:tabs>
        <w:ind w:left="851"/>
        <w:rPr>
          <w:sz w:val="24"/>
          <w:szCs w:val="24"/>
          <w:lang w:val="en-US"/>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Patients with prosthetic valves</w:t>
      </w:r>
    </w:p>
    <w:p w:rsidR="00E155E0" w:rsidRPr="00E155E0" w:rsidRDefault="00E155E0" w:rsidP="00E155E0">
      <w:pPr>
        <w:tabs>
          <w:tab w:val="left" w:pos="851"/>
        </w:tabs>
        <w:ind w:left="851"/>
        <w:rPr>
          <w:sz w:val="24"/>
          <w:szCs w:val="24"/>
          <w:lang w:val="en-GB"/>
        </w:rPr>
      </w:pPr>
      <w:r w:rsidRPr="00E155E0">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w:t>
      </w:r>
      <w:r w:rsidR="00965E6E">
        <w:rPr>
          <w:sz w:val="24"/>
          <w:szCs w:val="24"/>
          <w:lang w:val="en-GB"/>
        </w:rPr>
        <w:t>Odelo</w:t>
      </w:r>
      <w:r w:rsidRPr="00E155E0">
        <w:rPr>
          <w:sz w:val="24"/>
          <w:szCs w:val="24"/>
          <w:lang w:val="en-GB"/>
        </w:rPr>
        <w:t xml:space="preserve"> provides adequate anticoagulation in this patient population. Treatment with </w:t>
      </w:r>
      <w:r w:rsidR="00965E6E">
        <w:rPr>
          <w:sz w:val="24"/>
          <w:szCs w:val="24"/>
          <w:lang w:val="en-GB"/>
        </w:rPr>
        <w:t>Odelo</w:t>
      </w:r>
      <w:r w:rsidRPr="00E155E0">
        <w:rPr>
          <w:sz w:val="24"/>
          <w:szCs w:val="24"/>
          <w:lang w:val="en-GB"/>
        </w:rPr>
        <w:t xml:space="preserve"> is not recommended for these patients.</w:t>
      </w:r>
    </w:p>
    <w:p w:rsidR="00E155E0" w:rsidRPr="00E155E0" w:rsidRDefault="00E155E0" w:rsidP="00E155E0">
      <w:pPr>
        <w:tabs>
          <w:tab w:val="left" w:pos="851"/>
        </w:tabs>
        <w:ind w:left="851"/>
        <w:rPr>
          <w:sz w:val="24"/>
          <w:szCs w:val="24"/>
          <w:lang w:val="en-GB"/>
        </w:rPr>
      </w:pPr>
    </w:p>
    <w:p w:rsidR="00E155E0" w:rsidRPr="004D25EC" w:rsidRDefault="00E155E0" w:rsidP="00E155E0">
      <w:pPr>
        <w:tabs>
          <w:tab w:val="left" w:pos="851"/>
        </w:tabs>
        <w:ind w:left="851"/>
        <w:rPr>
          <w:sz w:val="24"/>
          <w:szCs w:val="24"/>
          <w:u w:val="single"/>
          <w:lang w:val="en-GB"/>
        </w:rPr>
      </w:pPr>
      <w:r w:rsidRPr="004D25EC">
        <w:rPr>
          <w:sz w:val="24"/>
          <w:szCs w:val="24"/>
          <w:u w:val="single"/>
          <w:lang w:val="en-GB"/>
        </w:rPr>
        <w:t>Patients with antiphospholipid syndrome</w:t>
      </w:r>
    </w:p>
    <w:p w:rsidR="00E155E0" w:rsidRPr="00E155E0" w:rsidRDefault="00E155E0" w:rsidP="00E155E0">
      <w:pPr>
        <w:tabs>
          <w:tab w:val="left" w:pos="851"/>
        </w:tabs>
        <w:ind w:left="851"/>
        <w:rPr>
          <w:sz w:val="24"/>
          <w:szCs w:val="24"/>
          <w:lang w:val="en-GB"/>
        </w:rPr>
      </w:pPr>
      <w:r w:rsidRPr="00E155E0">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w:t>
      </w:r>
      <w:r w:rsidR="001C47FA">
        <w:rPr>
          <w:sz w:val="24"/>
          <w:szCs w:val="24"/>
          <w:lang w:val="en-GB"/>
        </w:rPr>
        <w:t>-</w:t>
      </w:r>
      <w:r w:rsidRPr="00E155E0">
        <w:rPr>
          <w:sz w:val="24"/>
          <w:szCs w:val="24"/>
          <w:lang w:val="en-GB"/>
        </w:rPr>
        <w:t>beta 2-glycoprotein I antibodies), treatment with DOACs could be associated with increased rates of recurrent thrombotic events compared with vitamin K antagonist therapy.</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Patients with prior stroke and/or TIA</w:t>
      </w:r>
    </w:p>
    <w:p w:rsidR="004D25EC" w:rsidRDefault="004D25EC" w:rsidP="00E155E0">
      <w:pPr>
        <w:tabs>
          <w:tab w:val="left" w:pos="851"/>
        </w:tabs>
        <w:ind w:left="851"/>
        <w:rPr>
          <w:i/>
          <w:iCs/>
          <w:sz w:val="24"/>
          <w:szCs w:val="24"/>
          <w:lang w:val="en-GB"/>
        </w:rPr>
      </w:pPr>
    </w:p>
    <w:p w:rsidR="00E155E0" w:rsidRPr="00E155E0" w:rsidRDefault="00E155E0" w:rsidP="00E155E0">
      <w:pPr>
        <w:tabs>
          <w:tab w:val="left" w:pos="851"/>
        </w:tabs>
        <w:ind w:left="851"/>
        <w:rPr>
          <w:i/>
          <w:iCs/>
          <w:sz w:val="24"/>
          <w:szCs w:val="24"/>
          <w:lang w:val="en-GB"/>
        </w:rPr>
      </w:pPr>
      <w:r w:rsidRPr="00E155E0">
        <w:rPr>
          <w:i/>
          <w:iCs/>
          <w:sz w:val="24"/>
          <w:szCs w:val="24"/>
          <w:lang w:val="en-GB"/>
        </w:rPr>
        <w:t>Patients with ACS</w:t>
      </w:r>
    </w:p>
    <w:p w:rsidR="00E155E0" w:rsidRPr="00E155E0" w:rsidRDefault="00965E6E" w:rsidP="00E155E0">
      <w:pPr>
        <w:tabs>
          <w:tab w:val="left" w:pos="851"/>
        </w:tabs>
        <w:ind w:left="851"/>
        <w:rPr>
          <w:sz w:val="24"/>
          <w:szCs w:val="24"/>
          <w:lang w:val="en-GB"/>
        </w:rPr>
      </w:pPr>
      <w:r>
        <w:rPr>
          <w:sz w:val="24"/>
          <w:szCs w:val="24"/>
          <w:lang w:val="en-GB"/>
        </w:rPr>
        <w:t>Odelo</w:t>
      </w:r>
      <w:r w:rsidR="00E155E0" w:rsidRPr="00E155E0">
        <w:rPr>
          <w:sz w:val="24"/>
          <w:szCs w:val="24"/>
          <w:lang w:val="en-GB"/>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rsidR="00E155E0" w:rsidRPr="00E155E0" w:rsidRDefault="00E155E0" w:rsidP="00E155E0">
      <w:pPr>
        <w:tabs>
          <w:tab w:val="left" w:pos="851"/>
        </w:tabs>
        <w:ind w:left="851"/>
        <w:rPr>
          <w:sz w:val="24"/>
          <w:szCs w:val="24"/>
          <w:lang w:val="en-GB"/>
        </w:rPr>
      </w:pPr>
    </w:p>
    <w:p w:rsidR="00E155E0" w:rsidRPr="00E155E0" w:rsidRDefault="00E155E0" w:rsidP="001C47FA">
      <w:pPr>
        <w:tabs>
          <w:tab w:val="left" w:pos="851"/>
        </w:tabs>
        <w:ind w:left="851"/>
        <w:rPr>
          <w:i/>
          <w:iCs/>
          <w:sz w:val="24"/>
          <w:szCs w:val="24"/>
          <w:lang w:val="en-GB"/>
        </w:rPr>
      </w:pPr>
      <w:r w:rsidRPr="00E155E0">
        <w:rPr>
          <w:i/>
          <w:iCs/>
          <w:sz w:val="24"/>
          <w:szCs w:val="24"/>
          <w:lang w:val="en-GB"/>
        </w:rPr>
        <w:t>Patients with CAD/PAD</w:t>
      </w:r>
    </w:p>
    <w:p w:rsidR="00E155E0" w:rsidRDefault="00E155E0" w:rsidP="001C47FA">
      <w:pPr>
        <w:tabs>
          <w:tab w:val="left" w:pos="851"/>
        </w:tabs>
        <w:ind w:left="851"/>
        <w:rPr>
          <w:sz w:val="24"/>
          <w:szCs w:val="24"/>
          <w:lang w:val="en-GB"/>
        </w:rPr>
      </w:pPr>
      <w:r w:rsidRPr="00E155E0">
        <w:rPr>
          <w:sz w:val="24"/>
          <w:szCs w:val="24"/>
          <w:lang w:val="en-GB"/>
        </w:rPr>
        <w:t>CAD/PAD patients with previous haemorrhagic or lacunar stroke, or an ischaemic, non-lacunar stroke within the previous month were not studied (see section 4.3).</w:t>
      </w:r>
    </w:p>
    <w:p w:rsidR="007C41BB" w:rsidRPr="008976FF" w:rsidRDefault="007C41BB" w:rsidP="001C47FA">
      <w:pPr>
        <w:suppressAutoHyphens/>
        <w:ind w:left="851"/>
        <w:rPr>
          <w:sz w:val="24"/>
          <w:szCs w:val="24"/>
          <w:lang w:val="en-US"/>
        </w:rPr>
      </w:pPr>
      <w:r w:rsidRPr="008976FF">
        <w:rPr>
          <w:sz w:val="24"/>
          <w:szCs w:val="24"/>
          <w:lang w:val="en-US"/>
        </w:rPr>
        <w:t xml:space="preserve">Patients after recent revascularisation procedures of the lower limb due to symptomatic PAD with a previous stroke or TIA were not studied. Treatment with </w:t>
      </w:r>
      <w:r w:rsidR="008976FF" w:rsidRPr="008976FF">
        <w:rPr>
          <w:sz w:val="24"/>
          <w:szCs w:val="24"/>
          <w:lang w:val="en-US"/>
        </w:rPr>
        <w:t>Odelo</w:t>
      </w:r>
      <w:r w:rsidRPr="008976FF">
        <w:rPr>
          <w:sz w:val="24"/>
          <w:szCs w:val="24"/>
          <w:lang w:val="en-US"/>
        </w:rPr>
        <w:t xml:space="preserve"> 2.5 mg should be avoided in these patients receiving dual antiplatelet therapy.</w:t>
      </w:r>
    </w:p>
    <w:p w:rsidR="00E155E0" w:rsidRPr="008976FF" w:rsidRDefault="00E155E0" w:rsidP="008976FF">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u w:val="single"/>
          <w:lang w:val="en-GB"/>
        </w:rPr>
        <w:t>Spinal/epidural anaesthesia or puncture</w:t>
      </w:r>
      <w:r w:rsidRPr="00E155E0">
        <w:rPr>
          <w:sz w:val="24"/>
          <w:szCs w:val="24"/>
          <w:lang w:val="en-GB"/>
        </w:rPr>
        <w:t xml:space="preserve"> </w:t>
      </w:r>
    </w:p>
    <w:p w:rsidR="00E155E0" w:rsidRPr="00E155E0" w:rsidRDefault="00E155E0" w:rsidP="00E155E0">
      <w:pPr>
        <w:tabs>
          <w:tab w:val="left" w:pos="851"/>
        </w:tabs>
        <w:ind w:left="851"/>
        <w:rPr>
          <w:sz w:val="24"/>
          <w:szCs w:val="24"/>
          <w:lang w:val="en-GB"/>
        </w:rPr>
      </w:pPr>
      <w:r w:rsidRPr="00E155E0">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w:t>
      </w:r>
    </w:p>
    <w:p w:rsidR="00E155E0" w:rsidRPr="008976FF" w:rsidRDefault="00E155E0" w:rsidP="008976FF">
      <w:pPr>
        <w:ind w:left="851"/>
        <w:rPr>
          <w:sz w:val="24"/>
          <w:szCs w:val="24"/>
          <w:lang w:val="en-GB"/>
        </w:rPr>
      </w:pPr>
    </w:p>
    <w:p w:rsidR="007C41BB" w:rsidRPr="008976FF" w:rsidRDefault="00E155E0" w:rsidP="008976FF">
      <w:pPr>
        <w:suppressAutoHyphens/>
        <w:ind w:left="851"/>
        <w:rPr>
          <w:sz w:val="24"/>
          <w:szCs w:val="24"/>
          <w:lang w:val="en-US"/>
        </w:rPr>
      </w:pPr>
      <w:r w:rsidRPr="008976FF">
        <w:rPr>
          <w:sz w:val="24"/>
          <w:szCs w:val="24"/>
          <w:lang w:val="en-GB"/>
        </w:rPr>
        <w:t xml:space="preserve">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r w:rsidR="007C41BB" w:rsidRPr="008976FF">
        <w:rPr>
          <w:sz w:val="24"/>
          <w:szCs w:val="24"/>
          <w:lang w:val="en-US"/>
        </w:rPr>
        <w:t>There is no clinical experience with the use of rivaroxaban 2.5 mg and antiplatelet agents in these situations.</w:t>
      </w:r>
      <w:r w:rsidR="007C41BB" w:rsidRPr="008976FF">
        <w:rPr>
          <w:color w:val="000000"/>
          <w:sz w:val="24"/>
          <w:szCs w:val="24"/>
          <w:lang w:val="en-US" w:eastAsia="el-GR"/>
        </w:rPr>
        <w:t xml:space="preserve"> </w:t>
      </w:r>
      <w:r w:rsidR="007C41BB" w:rsidRPr="008976FF">
        <w:rPr>
          <w:sz w:val="24"/>
          <w:szCs w:val="24"/>
          <w:lang w:val="en-US"/>
        </w:rPr>
        <w:t xml:space="preserve">Platelet aggregation inhibitors should be discontinued as suggested by the manufacturer’s prescribing information. </w:t>
      </w:r>
    </w:p>
    <w:p w:rsidR="007C41BB" w:rsidRPr="008976FF" w:rsidRDefault="007C41BB" w:rsidP="008976FF">
      <w:pPr>
        <w:ind w:left="851"/>
        <w:rPr>
          <w:sz w:val="24"/>
          <w:szCs w:val="24"/>
          <w:lang w:val="en-US"/>
        </w:rPr>
      </w:pPr>
    </w:p>
    <w:p w:rsidR="00E155E0" w:rsidRPr="00E155E0" w:rsidRDefault="00E155E0" w:rsidP="00E155E0">
      <w:pPr>
        <w:tabs>
          <w:tab w:val="left" w:pos="851"/>
        </w:tabs>
        <w:ind w:left="851"/>
        <w:rPr>
          <w:sz w:val="24"/>
          <w:szCs w:val="24"/>
          <w:lang w:val="en-GB"/>
        </w:rPr>
      </w:pPr>
      <w:r w:rsidRPr="00E155E0">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u w:val="single"/>
          <w:lang w:val="en-GB"/>
        </w:rPr>
        <w:t>Dosing recommendations before and after invasive procedures and surgical intervention</w:t>
      </w:r>
      <w:r w:rsidRPr="00E155E0">
        <w:rPr>
          <w:sz w:val="24"/>
          <w:szCs w:val="24"/>
          <w:lang w:val="en-GB"/>
        </w:rPr>
        <w:t xml:space="preserve"> </w:t>
      </w:r>
    </w:p>
    <w:p w:rsidR="00E155E0" w:rsidRPr="00E155E0" w:rsidRDefault="00E155E0" w:rsidP="00E155E0">
      <w:pPr>
        <w:tabs>
          <w:tab w:val="left" w:pos="851"/>
        </w:tabs>
        <w:ind w:left="851"/>
        <w:rPr>
          <w:sz w:val="24"/>
          <w:szCs w:val="24"/>
          <w:lang w:val="en-GB"/>
        </w:rPr>
      </w:pPr>
      <w:r w:rsidRPr="00E155E0">
        <w:rPr>
          <w:sz w:val="24"/>
          <w:szCs w:val="24"/>
          <w:lang w:val="en-GB"/>
        </w:rPr>
        <w:t xml:space="preserve">If an invasive procedure or surgical intervention is required, </w:t>
      </w:r>
      <w:r w:rsidR="00965E6E">
        <w:rPr>
          <w:sz w:val="24"/>
          <w:szCs w:val="24"/>
          <w:lang w:val="en-GB"/>
        </w:rPr>
        <w:t>Odelo</w:t>
      </w:r>
      <w:r w:rsidRPr="00E155E0">
        <w:rPr>
          <w:sz w:val="24"/>
          <w:szCs w:val="24"/>
          <w:lang w:val="en-GB"/>
        </w:rPr>
        <w:t xml:space="preserve">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If the procedure cannot be delayed the increased risk of bleeding should be assessed against the urgency of the intervention.</w:t>
      </w:r>
    </w:p>
    <w:p w:rsidR="00E155E0" w:rsidRPr="00E155E0" w:rsidRDefault="00E155E0" w:rsidP="00E155E0">
      <w:pPr>
        <w:tabs>
          <w:tab w:val="left" w:pos="851"/>
        </w:tabs>
        <w:ind w:left="851"/>
        <w:rPr>
          <w:sz w:val="24"/>
          <w:szCs w:val="24"/>
          <w:lang w:val="en-GB"/>
        </w:rPr>
      </w:pPr>
    </w:p>
    <w:p w:rsidR="00E155E0" w:rsidRPr="00E155E0" w:rsidRDefault="00965E6E" w:rsidP="00E155E0">
      <w:pPr>
        <w:tabs>
          <w:tab w:val="left" w:pos="851"/>
        </w:tabs>
        <w:ind w:left="851"/>
        <w:rPr>
          <w:sz w:val="24"/>
          <w:szCs w:val="24"/>
          <w:lang w:val="en-GB"/>
        </w:rPr>
      </w:pPr>
      <w:r>
        <w:rPr>
          <w:sz w:val="24"/>
          <w:szCs w:val="24"/>
          <w:lang w:val="en-GB"/>
        </w:rPr>
        <w:t>Odelo</w:t>
      </w:r>
      <w:r w:rsidR="00E155E0" w:rsidRPr="00E155E0">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Elderly population</w:t>
      </w:r>
    </w:p>
    <w:p w:rsidR="00E155E0" w:rsidRPr="00E155E0" w:rsidRDefault="00E155E0" w:rsidP="00E155E0">
      <w:pPr>
        <w:tabs>
          <w:tab w:val="left" w:pos="851"/>
        </w:tabs>
        <w:ind w:left="851"/>
        <w:rPr>
          <w:sz w:val="24"/>
          <w:szCs w:val="24"/>
          <w:lang w:val="en-GB"/>
        </w:rPr>
      </w:pPr>
      <w:r w:rsidRPr="00E155E0">
        <w:rPr>
          <w:sz w:val="24"/>
          <w:szCs w:val="24"/>
          <w:lang w:val="en-GB"/>
        </w:rPr>
        <w:t>Increasing age may increase haemorrhagic risk (see sections 5.1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Dermatological reactions</w:t>
      </w:r>
    </w:p>
    <w:p w:rsidR="00E155E0" w:rsidRPr="00E155E0" w:rsidRDefault="00E155E0" w:rsidP="00E155E0">
      <w:pPr>
        <w:tabs>
          <w:tab w:val="left" w:pos="851"/>
        </w:tabs>
        <w:ind w:left="851"/>
        <w:rPr>
          <w:sz w:val="24"/>
          <w:szCs w:val="24"/>
          <w:lang w:val="en-GB"/>
        </w:rPr>
      </w:pPr>
      <w:r w:rsidRPr="00E155E0">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E155E0" w:rsidRPr="00E155E0" w:rsidRDefault="00E155E0" w:rsidP="00E155E0">
      <w:pPr>
        <w:tabs>
          <w:tab w:val="left" w:pos="851"/>
        </w:tabs>
        <w:ind w:left="851"/>
        <w:rPr>
          <w:sz w:val="24"/>
          <w:szCs w:val="24"/>
          <w:lang w:val="en-GB"/>
        </w:rPr>
      </w:pPr>
    </w:p>
    <w:p w:rsidR="007C41BB" w:rsidRPr="008976FF" w:rsidRDefault="007C41BB" w:rsidP="008976FF">
      <w:pPr>
        <w:suppressAutoHyphens/>
        <w:ind w:left="851"/>
        <w:rPr>
          <w:sz w:val="24"/>
          <w:szCs w:val="24"/>
          <w:u w:val="single"/>
          <w:lang w:val="en-US"/>
        </w:rPr>
      </w:pPr>
      <w:r w:rsidRPr="008976FF">
        <w:rPr>
          <w:sz w:val="24"/>
          <w:szCs w:val="24"/>
          <w:u w:val="single"/>
          <w:lang w:val="en-US"/>
        </w:rPr>
        <w:t>Information about excipients</w:t>
      </w:r>
    </w:p>
    <w:p w:rsidR="007C41BB" w:rsidRPr="008976FF" w:rsidRDefault="008976FF" w:rsidP="008976FF">
      <w:pPr>
        <w:suppressAutoHyphens/>
        <w:ind w:left="851"/>
        <w:rPr>
          <w:sz w:val="24"/>
          <w:szCs w:val="24"/>
          <w:lang w:val="en-GB"/>
        </w:rPr>
      </w:pPr>
      <w:r w:rsidRPr="008976FF">
        <w:rPr>
          <w:sz w:val="24"/>
          <w:szCs w:val="24"/>
          <w:lang w:val="en-US" w:eastAsia="el-GR"/>
        </w:rPr>
        <w:t>Odelo</w:t>
      </w:r>
      <w:r w:rsidR="007C41BB" w:rsidRPr="008976FF">
        <w:rPr>
          <w:sz w:val="24"/>
          <w:szCs w:val="24"/>
          <w:lang w:val="en-US" w:eastAsia="el-GR"/>
        </w:rPr>
        <w:t xml:space="preserve"> contains lactose. Patients with rare hereditary problems of galactose intolerance, total lactase deficiency or glucose-galactose malabsorption should not take this medicinal product.</w:t>
      </w:r>
      <w:r w:rsidR="007C41BB" w:rsidRPr="008976FF">
        <w:rPr>
          <w:sz w:val="24"/>
          <w:szCs w:val="24"/>
          <w:lang w:val="en-US"/>
        </w:rPr>
        <w:t xml:space="preserve"> </w:t>
      </w:r>
    </w:p>
    <w:p w:rsidR="007C41BB" w:rsidRPr="008976FF" w:rsidRDefault="007C41BB" w:rsidP="008976FF">
      <w:pPr>
        <w:suppressAutoHyphens/>
        <w:ind w:left="851"/>
        <w:rPr>
          <w:sz w:val="24"/>
          <w:szCs w:val="24"/>
          <w:u w:val="single"/>
          <w:lang w:val="en-US" w:eastAsia="el-GR"/>
        </w:rPr>
      </w:pPr>
    </w:p>
    <w:p w:rsidR="007C41BB" w:rsidRPr="008976FF" w:rsidRDefault="007C41BB" w:rsidP="008976FF">
      <w:pPr>
        <w:suppressAutoHyphens/>
        <w:ind w:left="851"/>
        <w:rPr>
          <w:bCs/>
          <w:sz w:val="24"/>
          <w:szCs w:val="24"/>
          <w:lang w:val="en-US"/>
        </w:rPr>
      </w:pPr>
      <w:r w:rsidRPr="008976FF">
        <w:rPr>
          <w:bCs/>
          <w:sz w:val="24"/>
          <w:szCs w:val="24"/>
          <w:lang w:val="en-US"/>
        </w:rPr>
        <w:t>This medicine contains less than 1 mmol sodium (23 mg) per tablet, that is to say “essentially sodium-free”.</w:t>
      </w:r>
    </w:p>
    <w:p w:rsidR="00E155E0" w:rsidRPr="008976FF" w:rsidRDefault="00E155E0" w:rsidP="008976FF">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CYP3A4 and P-gp inhibitors</w:t>
      </w:r>
    </w:p>
    <w:p w:rsidR="00E155E0" w:rsidRPr="00E155E0" w:rsidRDefault="00E155E0" w:rsidP="00E155E0">
      <w:pPr>
        <w:tabs>
          <w:tab w:val="left" w:pos="851"/>
        </w:tabs>
        <w:ind w:left="851"/>
        <w:rPr>
          <w:sz w:val="24"/>
          <w:szCs w:val="24"/>
          <w:lang w:val="en-GB"/>
        </w:rPr>
      </w:pPr>
      <w:r w:rsidRPr="00E155E0">
        <w:rPr>
          <w:sz w:val="24"/>
          <w:szCs w:val="24"/>
          <w:lang w:val="en-GB"/>
        </w:rPr>
        <w:t>Co-administration of rivaroxaban with ketoconazole (400 mg once a day) or ritonavir (600 mg twice a day) led to a 2.6 fold / 2.5-fold increase in mean rivaroxaban AUC and a 1.7 fold / 1.6-fold increase in mean rivaroxaban C</w:t>
      </w:r>
      <w:r w:rsidRPr="00E155E0">
        <w:rPr>
          <w:sz w:val="24"/>
          <w:szCs w:val="24"/>
          <w:vertAlign w:val="subscript"/>
          <w:lang w:val="en-GB"/>
        </w:rPr>
        <w:t>max</w:t>
      </w:r>
      <w:r w:rsidRPr="00E155E0">
        <w:rPr>
          <w:sz w:val="24"/>
          <w:szCs w:val="24"/>
          <w:lang w:val="en-GB"/>
        </w:rPr>
        <w:t xml:space="preserve">, with significant increases in pharmacodynamic effects which may lead to an increased bleeding risk. Therefore, the use of </w:t>
      </w:r>
      <w:r w:rsidR="00965E6E">
        <w:rPr>
          <w:sz w:val="24"/>
          <w:szCs w:val="24"/>
          <w:lang w:val="en-GB"/>
        </w:rPr>
        <w:t>Odelo</w:t>
      </w:r>
      <w:r w:rsidRPr="00E155E0">
        <w:rPr>
          <w:sz w:val="24"/>
          <w:szCs w:val="24"/>
          <w:lang w:val="en-GB"/>
        </w:rPr>
        <w:t xml:space="preserve"> is not recommended in patients receiving concomitant systemic treatment with azole-antimycotics such as ketoconazole, itraconazole, voriconazole and posaconazole or HIV protease inhibitors. These active substances are strong inhibitors of both CYP3A4 and P-gp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Active substances strongly inhibiting only one of the rivaroxaban elimination pathways, either CYP3A4 or P-gp, are expected to increase rivaroxaban plasma concentrations to a lesser extent.</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Clarithromycin (500 mg twice a day), for instance, considered as a strong CYP3A4 inhibitor and moderate P-gp inhibitor, led to a 1.5-fold increase in mean rivaroxaban AUC and a 1.4-fold increase in C</w:t>
      </w:r>
      <w:r w:rsidRPr="00E155E0">
        <w:rPr>
          <w:sz w:val="24"/>
          <w:szCs w:val="24"/>
          <w:vertAlign w:val="subscript"/>
          <w:lang w:val="en-GB"/>
        </w:rPr>
        <w:t>max</w:t>
      </w:r>
      <w:r w:rsidRPr="00E155E0">
        <w:rPr>
          <w:sz w:val="24"/>
          <w:szCs w:val="24"/>
          <w:lang w:val="en-GB"/>
        </w:rPr>
        <w:t>. The interaction with clarithromycin is likely not clinically relevant in most patients but can be potentially significant in high-risk patients. (For patients with renal impairment: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Erythromycin (500 mg three times a day), which inhibits CYP3A4 and P-gp moderately, led to a 1.3-fold increase in mean rivaroxaban AUC and C</w:t>
      </w:r>
      <w:r w:rsidRPr="00E155E0">
        <w:rPr>
          <w:sz w:val="24"/>
          <w:szCs w:val="24"/>
          <w:vertAlign w:val="subscript"/>
          <w:lang w:val="en-GB"/>
        </w:rPr>
        <w:t>max</w:t>
      </w:r>
      <w:r w:rsidRPr="00E155E0">
        <w:rPr>
          <w:sz w:val="24"/>
          <w:szCs w:val="24"/>
          <w:lang w:val="en-GB"/>
        </w:rPr>
        <w:t>. Th</w:t>
      </w:r>
      <w:r w:rsidR="007C41BB">
        <w:rPr>
          <w:sz w:val="24"/>
          <w:szCs w:val="24"/>
          <w:lang w:val="en-GB"/>
        </w:rPr>
        <w:t>e</w:t>
      </w:r>
      <w:r w:rsidRPr="00E155E0">
        <w:rPr>
          <w:sz w:val="24"/>
          <w:szCs w:val="24"/>
          <w:lang w:val="en-GB"/>
        </w:rPr>
        <w:t xml:space="preserve"> interaction with erythromycin is likely not clinically relevant in most patients but can be potentially significant in high-risk patients.</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In subjects with mild renal impairment erythromycin (500 mg three times a day) led to a 1.8-fold increase in mean rivaroxaban AUC and 1.6-fold increase in C</w:t>
      </w:r>
      <w:r w:rsidRPr="00E155E0">
        <w:rPr>
          <w:sz w:val="24"/>
          <w:szCs w:val="24"/>
          <w:vertAlign w:val="subscript"/>
          <w:lang w:val="en-GB"/>
        </w:rPr>
        <w:t>max</w:t>
      </w:r>
      <w:r w:rsidRPr="00E155E0">
        <w:rPr>
          <w:sz w:val="24"/>
          <w:szCs w:val="24"/>
          <w:lang w:val="en-GB"/>
        </w:rPr>
        <w:t xml:space="preserve"> when compared to subjects with normal renal function. In subjects with moderate renal impairment, erythromycin led to a 2.0-fold increase in mean rivaroxaban AUC and 1.6-fold increase in C</w:t>
      </w:r>
      <w:r w:rsidRPr="00E155E0">
        <w:rPr>
          <w:sz w:val="24"/>
          <w:szCs w:val="24"/>
          <w:vertAlign w:val="subscript"/>
          <w:lang w:val="en-GB"/>
        </w:rPr>
        <w:t>max</w:t>
      </w:r>
      <w:r w:rsidRPr="00E155E0">
        <w:rPr>
          <w:sz w:val="24"/>
          <w:szCs w:val="24"/>
          <w:lang w:val="en-GB"/>
        </w:rPr>
        <w:t xml:space="preserve"> when compared to subjects with normal renal function. The effect of erythromycin is additive to that of renal impairment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Fluconazole (400 mg once daily), considered as a moderate CYP3A4 inhibitor, led to a 1.4-fold increase in mean rivaroxaban AUC and a 1.3-fold increase in mean C</w:t>
      </w:r>
      <w:r w:rsidRPr="00E155E0">
        <w:rPr>
          <w:sz w:val="24"/>
          <w:szCs w:val="24"/>
          <w:vertAlign w:val="subscript"/>
          <w:lang w:val="en-GB"/>
        </w:rPr>
        <w:t>max</w:t>
      </w:r>
      <w:r w:rsidRPr="00E155E0">
        <w:rPr>
          <w:sz w:val="24"/>
          <w:szCs w:val="24"/>
          <w:lang w:val="en-GB"/>
        </w:rPr>
        <w:t>. The interaction with fluconazole is likely not clinically relevant in most patients but can be potentially significant in high-risk patients. (For patients with renal impairment: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Given the limited clinical data available with dronedarone, co-administration with rivaroxaban should be avoided.</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Anticoagulants</w:t>
      </w:r>
    </w:p>
    <w:p w:rsidR="00E155E0" w:rsidRPr="00E155E0" w:rsidRDefault="00E155E0" w:rsidP="00E155E0">
      <w:pPr>
        <w:tabs>
          <w:tab w:val="left" w:pos="851"/>
        </w:tabs>
        <w:ind w:left="851"/>
        <w:rPr>
          <w:sz w:val="24"/>
          <w:szCs w:val="24"/>
          <w:lang w:val="en-GB"/>
        </w:rPr>
      </w:pPr>
      <w:r w:rsidRPr="00E155E0">
        <w:rPr>
          <w:sz w:val="24"/>
          <w:szCs w:val="24"/>
          <w:lang w:val="en-GB"/>
        </w:rPr>
        <w:t>After combined administration of enoxaparin (40 mg single dose) with rivaroxaban (10 mg single dose) an additive effect on anti-factor Xa activity was observed without any additional effects on clotting tests (PT, aPTT). Enoxaparin did not affect the pharmacokinetics of rivaroxaban.</w:t>
      </w:r>
    </w:p>
    <w:p w:rsidR="00E155E0" w:rsidRPr="00E155E0" w:rsidRDefault="00E155E0" w:rsidP="00E155E0">
      <w:pPr>
        <w:tabs>
          <w:tab w:val="left" w:pos="851"/>
        </w:tabs>
        <w:ind w:left="851"/>
        <w:rPr>
          <w:sz w:val="24"/>
          <w:szCs w:val="24"/>
          <w:lang w:val="en-GB"/>
        </w:rPr>
      </w:pPr>
      <w:r w:rsidRPr="00E155E0">
        <w:rPr>
          <w:sz w:val="24"/>
          <w:szCs w:val="24"/>
          <w:lang w:val="en-GB"/>
        </w:rPr>
        <w:t>Due to the increased bleeding risk care is to be taken if patients are treated concomitantly with any other anticoagulants (see sections 4.3 and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NSAIDs/platelet aggregation inhibitors</w:t>
      </w:r>
    </w:p>
    <w:p w:rsidR="00E155E0" w:rsidRPr="00E155E0" w:rsidRDefault="00E155E0" w:rsidP="00E155E0">
      <w:pPr>
        <w:tabs>
          <w:tab w:val="left" w:pos="851"/>
        </w:tabs>
        <w:ind w:left="851"/>
        <w:rPr>
          <w:sz w:val="24"/>
          <w:szCs w:val="24"/>
          <w:lang w:val="en-GB"/>
        </w:rPr>
      </w:pPr>
      <w:r w:rsidRPr="00E155E0">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E155E0" w:rsidRPr="00E155E0" w:rsidRDefault="00E155E0" w:rsidP="00E155E0">
      <w:pPr>
        <w:tabs>
          <w:tab w:val="left" w:pos="851"/>
        </w:tabs>
        <w:ind w:left="851"/>
        <w:rPr>
          <w:sz w:val="24"/>
          <w:szCs w:val="24"/>
          <w:lang w:val="en-GB"/>
        </w:rPr>
      </w:pPr>
      <w:r w:rsidRPr="00E155E0">
        <w:rPr>
          <w:sz w:val="24"/>
          <w:szCs w:val="24"/>
          <w:lang w:val="en-GB"/>
        </w:rPr>
        <w:t>No clinically significant pharmacokinetic or pharmacodynamic interactions were observed when rivaroxaban was co-administered with 500 mg acetylsalicylic acid.</w:t>
      </w:r>
    </w:p>
    <w:p w:rsidR="00E155E0" w:rsidRPr="00E155E0" w:rsidRDefault="00E155E0" w:rsidP="00E155E0">
      <w:pPr>
        <w:tabs>
          <w:tab w:val="left" w:pos="851"/>
        </w:tabs>
        <w:ind w:left="851"/>
        <w:rPr>
          <w:sz w:val="24"/>
          <w:szCs w:val="24"/>
          <w:lang w:val="en-GB"/>
        </w:rPr>
      </w:pPr>
      <w:r w:rsidRPr="00E155E0">
        <w:rPr>
          <w:sz w:val="24"/>
          <w:szCs w:val="24"/>
          <w:lang w:val="en-GB"/>
        </w:rPr>
        <w:t>Clopidogrel (300 mg loading dose followed by 75 mg maintenance dose) did not show a pharmacokinetic interaction with rivaroxaban (15 mg) but a relevant increase in bleeding time was observed in a subset of patients which was not correlated to platelet aggregation, P-selectin or GPIIb/IIIa receptor levels.</w:t>
      </w:r>
    </w:p>
    <w:p w:rsidR="00E155E0" w:rsidRPr="00E155E0" w:rsidRDefault="00E155E0" w:rsidP="00E155E0">
      <w:pPr>
        <w:tabs>
          <w:tab w:val="left" w:pos="851"/>
        </w:tabs>
        <w:ind w:left="851"/>
        <w:rPr>
          <w:sz w:val="24"/>
          <w:szCs w:val="24"/>
          <w:lang w:val="en-GB"/>
        </w:rPr>
      </w:pPr>
      <w:r w:rsidRPr="00E155E0">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SSRIs/SNRIs</w:t>
      </w:r>
    </w:p>
    <w:p w:rsidR="00E155E0" w:rsidRPr="00E155E0" w:rsidRDefault="00E155E0" w:rsidP="00E155E0">
      <w:pPr>
        <w:tabs>
          <w:tab w:val="left" w:pos="851"/>
        </w:tabs>
        <w:ind w:left="851"/>
        <w:rPr>
          <w:sz w:val="24"/>
          <w:szCs w:val="24"/>
          <w:lang w:val="en-GB"/>
        </w:rPr>
      </w:pPr>
      <w:r w:rsidRPr="00E155E0">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Warfarin</w:t>
      </w:r>
    </w:p>
    <w:p w:rsidR="00E155E0" w:rsidRPr="00E155E0" w:rsidRDefault="00E155E0" w:rsidP="00E155E0">
      <w:pPr>
        <w:tabs>
          <w:tab w:val="left" w:pos="851"/>
        </w:tabs>
        <w:ind w:left="851"/>
        <w:rPr>
          <w:sz w:val="24"/>
          <w:szCs w:val="24"/>
          <w:lang w:val="en-GB"/>
        </w:rPr>
      </w:pPr>
      <w:r w:rsidRPr="00E155E0">
        <w:rPr>
          <w:sz w:val="24"/>
          <w:szCs w:val="24"/>
          <w:lang w:val="en-GB"/>
        </w:rPr>
        <w:t>Converting patients from the vitamin K antagonist warfarin (INR 2.0 to 3.0) to rivaroxaban (20 mg) or from rivaroxaban (20 mg) to warfarin (INR 2.0 to 3.0) increased prothrombin time/INR (Neoplastin) more than additively (individual INR values up to 12 may be observed), whereas effects on aPTT, inhibition of factor Xa activity and endogenous thrombin potential were additive.</w:t>
      </w:r>
    </w:p>
    <w:p w:rsidR="00E155E0" w:rsidRPr="00E155E0" w:rsidRDefault="00E155E0" w:rsidP="00E155E0">
      <w:pPr>
        <w:tabs>
          <w:tab w:val="left" w:pos="851"/>
        </w:tabs>
        <w:ind w:left="851"/>
        <w:rPr>
          <w:sz w:val="24"/>
          <w:szCs w:val="24"/>
          <w:lang w:val="en-GB"/>
        </w:rPr>
      </w:pPr>
      <w:r w:rsidRPr="00E155E0">
        <w:rPr>
          <w:sz w:val="24"/>
          <w:szCs w:val="24"/>
          <w:lang w:val="en-GB"/>
        </w:rPr>
        <w:t>If it is desired to test the pharmacodynamic effects of rivaroxaban during the conversion period, antifactor Xa activity, PiCT, and Heptest can be used as these tests were not affected by warfarin. On the fourth day after the last dose of warfarin, all tests (including PT, aPTT, inhibition of factor Xa activity and ETP) reflected only the effect of rivaroxaban.</w:t>
      </w:r>
    </w:p>
    <w:p w:rsidR="00E155E0" w:rsidRPr="00E155E0" w:rsidRDefault="00E155E0" w:rsidP="00E155E0">
      <w:pPr>
        <w:tabs>
          <w:tab w:val="left" w:pos="851"/>
        </w:tabs>
        <w:ind w:left="851"/>
        <w:rPr>
          <w:sz w:val="24"/>
          <w:szCs w:val="24"/>
          <w:lang w:val="en-GB"/>
        </w:rPr>
      </w:pPr>
      <w:r w:rsidRPr="00E155E0">
        <w:rPr>
          <w:sz w:val="24"/>
          <w:szCs w:val="24"/>
          <w:lang w:val="en-GB"/>
        </w:rPr>
        <w:t>If it is desired to test the pharmacodynamic effects of warfarin during the conversion period, INR measurement can be used at the C</w:t>
      </w:r>
      <w:r w:rsidRPr="00E155E0">
        <w:rPr>
          <w:sz w:val="24"/>
          <w:szCs w:val="24"/>
          <w:vertAlign w:val="subscript"/>
          <w:lang w:val="en-GB"/>
        </w:rPr>
        <w:t>trough</w:t>
      </w:r>
      <w:r w:rsidRPr="00E155E0">
        <w:rPr>
          <w:sz w:val="24"/>
          <w:szCs w:val="24"/>
          <w:lang w:val="en-GB"/>
        </w:rPr>
        <w:t xml:space="preserve"> of rivaroxaban (24 hours after the previous intake of rivaroxaban) as this test is minimally affected by rivaroxaban at this time point.</w:t>
      </w:r>
    </w:p>
    <w:p w:rsidR="00E155E0" w:rsidRPr="00E155E0" w:rsidRDefault="00E155E0" w:rsidP="00E155E0">
      <w:pPr>
        <w:tabs>
          <w:tab w:val="left" w:pos="851"/>
        </w:tabs>
        <w:ind w:left="851"/>
        <w:rPr>
          <w:sz w:val="24"/>
          <w:szCs w:val="24"/>
          <w:lang w:val="en-GB"/>
        </w:rPr>
      </w:pPr>
      <w:r w:rsidRPr="00E155E0">
        <w:rPr>
          <w:sz w:val="24"/>
          <w:szCs w:val="24"/>
          <w:lang w:val="en-GB"/>
        </w:rPr>
        <w:t>No pharmacokinetic interaction was observed between warfarin and rivaroxaban.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 xml:space="preserve">CYP3A4 inducers </w:t>
      </w:r>
    </w:p>
    <w:p w:rsidR="00E155E0" w:rsidRPr="00E155E0" w:rsidRDefault="00E155E0" w:rsidP="00E155E0">
      <w:pPr>
        <w:tabs>
          <w:tab w:val="left" w:pos="851"/>
        </w:tabs>
        <w:ind w:left="851"/>
        <w:rPr>
          <w:sz w:val="24"/>
          <w:szCs w:val="24"/>
          <w:lang w:val="en-GB"/>
        </w:rPr>
      </w:pPr>
      <w:r w:rsidRPr="00E155E0">
        <w:rPr>
          <w:sz w:val="24"/>
          <w:szCs w:val="24"/>
          <w:lang w:val="en-GB"/>
        </w:rPr>
        <w:t>Co-administration of rivaroxaban with the strong CYP3A4 inducer rifampicin led to an approximate 50 % decrease in mean rivaroxaban AUC, with parallel decreases in its pharmacodynamic effects. The concomitant use of rivaroxaban with other strong CYP3A4 inducers (e.g. phenytoin, carbamazepine, phenobarbital or St. John’s Wort (Hypericum perforatum)) may also lead to reduced rivaroxaban plasma concentrations. Therefore, concomitant administration of strong CYP3A4 inducers should be avoided unless the patient is closely observed for signs and symptoms of thrombosis.</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Other concomitant therapies</w:t>
      </w:r>
    </w:p>
    <w:p w:rsidR="00E155E0" w:rsidRPr="00E155E0" w:rsidRDefault="00E155E0" w:rsidP="00E155E0">
      <w:pPr>
        <w:tabs>
          <w:tab w:val="left" w:pos="851"/>
        </w:tabs>
        <w:ind w:left="851"/>
        <w:rPr>
          <w:sz w:val="24"/>
          <w:szCs w:val="24"/>
          <w:lang w:val="en-GB"/>
        </w:rPr>
      </w:pPr>
      <w:r w:rsidRPr="00E155E0">
        <w:rPr>
          <w:sz w:val="24"/>
          <w:szCs w:val="24"/>
          <w:lang w:val="en-GB"/>
        </w:rPr>
        <w:t xml:space="preserve">No clinically significant pharmacokinetic or pharmacodynamic interactions were observed when rivaroxaban was co-administered with midazolam (substrate of CYP3A4), digoxin (substrate of P-gp), atorvastatin (substrate of CYP3A4 and P-gp) or omeprazole (proton pump inhibitor). Rivaroxaban neither inhibits nor induces any major CYP isoforms like CYP3A4. </w:t>
      </w:r>
    </w:p>
    <w:p w:rsidR="00E155E0" w:rsidRPr="00E155E0" w:rsidRDefault="00E155E0" w:rsidP="00E155E0">
      <w:pPr>
        <w:tabs>
          <w:tab w:val="left" w:pos="851"/>
        </w:tabs>
        <w:ind w:left="851"/>
        <w:rPr>
          <w:sz w:val="24"/>
          <w:szCs w:val="24"/>
          <w:lang w:val="en-GB"/>
        </w:rPr>
      </w:pPr>
      <w:r w:rsidRPr="00E155E0">
        <w:rPr>
          <w:sz w:val="24"/>
          <w:szCs w:val="24"/>
          <w:lang w:val="en-GB"/>
        </w:rPr>
        <w:t>No clinically relevant interaction with food was observed (see section 4.2).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Laboratory parameters</w:t>
      </w:r>
    </w:p>
    <w:p w:rsidR="00E155E0" w:rsidRPr="00E155E0" w:rsidRDefault="00E155E0" w:rsidP="00E155E0">
      <w:pPr>
        <w:tabs>
          <w:tab w:val="left" w:pos="851"/>
        </w:tabs>
        <w:ind w:left="851"/>
        <w:rPr>
          <w:sz w:val="24"/>
          <w:szCs w:val="24"/>
          <w:lang w:val="en-GB"/>
        </w:rPr>
      </w:pPr>
      <w:r w:rsidRPr="00E155E0">
        <w:rPr>
          <w:sz w:val="24"/>
          <w:szCs w:val="24"/>
          <w:lang w:val="en-GB"/>
        </w:rPr>
        <w:t>Clotting parameters (e.g. PT, aPTT, HepTest) are affected as expected by the mode of action of rivaroxaban (see section 5.1).</w:t>
      </w:r>
    </w:p>
    <w:p w:rsidR="007C5D2A" w:rsidRPr="00E155E0"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644FAF" w:rsidRPr="00644FAF" w:rsidRDefault="00644FAF" w:rsidP="00644FAF">
      <w:pPr>
        <w:tabs>
          <w:tab w:val="left" w:pos="851"/>
        </w:tabs>
        <w:ind w:left="851"/>
        <w:rPr>
          <w:sz w:val="24"/>
          <w:szCs w:val="24"/>
          <w:u w:val="single"/>
          <w:lang w:val="en-GB"/>
        </w:rPr>
      </w:pPr>
    </w:p>
    <w:p w:rsidR="00644FAF" w:rsidRPr="00644FAF" w:rsidRDefault="00644FAF" w:rsidP="00644FAF">
      <w:pPr>
        <w:tabs>
          <w:tab w:val="left" w:pos="851"/>
        </w:tabs>
        <w:ind w:left="851"/>
        <w:rPr>
          <w:sz w:val="24"/>
          <w:szCs w:val="24"/>
          <w:u w:val="single"/>
          <w:lang w:val="en-GB"/>
        </w:rPr>
      </w:pPr>
      <w:r w:rsidRPr="00644FAF">
        <w:rPr>
          <w:sz w:val="24"/>
          <w:szCs w:val="24"/>
          <w:u w:val="single"/>
          <w:lang w:val="en-GB"/>
        </w:rPr>
        <w:t>Pregnancy</w:t>
      </w:r>
    </w:p>
    <w:p w:rsidR="00644FAF" w:rsidRPr="00644FAF" w:rsidRDefault="00644FAF" w:rsidP="00644FAF">
      <w:pPr>
        <w:tabs>
          <w:tab w:val="left" w:pos="851"/>
        </w:tabs>
        <w:ind w:left="851"/>
        <w:rPr>
          <w:sz w:val="24"/>
          <w:szCs w:val="24"/>
          <w:lang w:val="en-GB"/>
        </w:rPr>
      </w:pPr>
      <w:r w:rsidRPr="00644FAF">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965E6E">
        <w:rPr>
          <w:sz w:val="24"/>
          <w:szCs w:val="24"/>
          <w:lang w:val="en-GB"/>
        </w:rPr>
        <w:t>Odelo</w:t>
      </w:r>
      <w:r w:rsidRPr="00644FAF">
        <w:rPr>
          <w:sz w:val="24"/>
          <w:szCs w:val="24"/>
          <w:lang w:val="en-GB"/>
        </w:rPr>
        <w:t xml:space="preserve"> is contraindicated during pregnancy (see section 4.3).</w:t>
      </w:r>
    </w:p>
    <w:p w:rsidR="00644FAF" w:rsidRPr="00644FAF" w:rsidRDefault="00644FAF" w:rsidP="00644FAF">
      <w:pPr>
        <w:tabs>
          <w:tab w:val="left" w:pos="851"/>
        </w:tabs>
        <w:ind w:left="851"/>
        <w:rPr>
          <w:sz w:val="24"/>
          <w:szCs w:val="24"/>
          <w:lang w:val="en-GB"/>
        </w:rPr>
      </w:pPr>
      <w:r w:rsidRPr="00644FAF">
        <w:rPr>
          <w:sz w:val="24"/>
          <w:szCs w:val="24"/>
          <w:lang w:val="en-GB"/>
        </w:rPr>
        <w:t>Women of child-bearing potential should avoid becoming pregnant during treatment with rivaroxaban.</w:t>
      </w:r>
    </w:p>
    <w:p w:rsidR="00644FAF" w:rsidRPr="00644FAF" w:rsidRDefault="00644FAF" w:rsidP="00644FAF">
      <w:pPr>
        <w:tabs>
          <w:tab w:val="left" w:pos="851"/>
        </w:tabs>
        <w:ind w:left="851"/>
        <w:rPr>
          <w:sz w:val="24"/>
          <w:szCs w:val="24"/>
          <w:lang w:val="en-GB"/>
        </w:rPr>
      </w:pPr>
    </w:p>
    <w:p w:rsidR="00644FAF" w:rsidRPr="00644FAF" w:rsidRDefault="00644FAF" w:rsidP="00644FAF">
      <w:pPr>
        <w:tabs>
          <w:tab w:val="left" w:pos="851"/>
        </w:tabs>
        <w:ind w:left="851"/>
        <w:rPr>
          <w:sz w:val="24"/>
          <w:szCs w:val="24"/>
          <w:u w:val="single"/>
          <w:lang w:val="en-GB"/>
        </w:rPr>
      </w:pPr>
      <w:r w:rsidRPr="00644FAF">
        <w:rPr>
          <w:sz w:val="24"/>
          <w:szCs w:val="24"/>
          <w:u w:val="single"/>
          <w:lang w:val="en-GB"/>
        </w:rPr>
        <w:t>Breast-feeding</w:t>
      </w:r>
    </w:p>
    <w:p w:rsidR="00644FAF" w:rsidRPr="00644FAF" w:rsidRDefault="00644FAF" w:rsidP="00644FAF">
      <w:pPr>
        <w:tabs>
          <w:tab w:val="left" w:pos="851"/>
        </w:tabs>
        <w:ind w:left="851"/>
        <w:rPr>
          <w:sz w:val="24"/>
          <w:szCs w:val="24"/>
          <w:lang w:val="en-GB"/>
        </w:rPr>
      </w:pPr>
      <w:r w:rsidRPr="00644FAF">
        <w:rPr>
          <w:sz w:val="24"/>
          <w:szCs w:val="24"/>
          <w:lang w:val="en-GB"/>
        </w:rPr>
        <w:t xml:space="preserve">Safety and efficacy of rivaroxaban have not been established in breast feeding women. Data from </w:t>
      </w:r>
      <w:r w:rsidR="007C41BB">
        <w:rPr>
          <w:sz w:val="24"/>
          <w:szCs w:val="24"/>
          <w:lang w:val="en-GB"/>
        </w:rPr>
        <w:t>a</w:t>
      </w:r>
      <w:r w:rsidRPr="00644FAF">
        <w:rPr>
          <w:sz w:val="24"/>
          <w:szCs w:val="24"/>
          <w:lang w:val="en-GB"/>
        </w:rPr>
        <w:t>nimals indicate that rivaroxaban is secreted into milk. Therefore</w:t>
      </w:r>
      <w:r w:rsidR="008976FF">
        <w:rPr>
          <w:sz w:val="24"/>
          <w:szCs w:val="24"/>
          <w:lang w:val="en-GB"/>
        </w:rPr>
        <w:t>,</w:t>
      </w:r>
      <w:r w:rsidRPr="00644FAF">
        <w:rPr>
          <w:sz w:val="24"/>
          <w:szCs w:val="24"/>
          <w:lang w:val="en-GB"/>
        </w:rPr>
        <w:t xml:space="preserve"> </w:t>
      </w:r>
      <w:r w:rsidR="00965E6E">
        <w:rPr>
          <w:sz w:val="24"/>
          <w:szCs w:val="24"/>
          <w:lang w:val="en-GB"/>
        </w:rPr>
        <w:t>Odelo</w:t>
      </w:r>
      <w:r w:rsidRPr="00644FAF">
        <w:rPr>
          <w:sz w:val="24"/>
          <w:szCs w:val="24"/>
          <w:lang w:val="en-GB"/>
        </w:rPr>
        <w:t xml:space="preserve"> is contraindicated during breast feeding (see section 4.3). A decision must be made whether to discontinue breast feeding or to discontinue/abstain from therapy.</w:t>
      </w:r>
    </w:p>
    <w:p w:rsidR="00644FAF" w:rsidRPr="00644FAF" w:rsidRDefault="00644FAF" w:rsidP="00644FAF">
      <w:pPr>
        <w:tabs>
          <w:tab w:val="left" w:pos="851"/>
        </w:tabs>
        <w:ind w:left="851"/>
        <w:rPr>
          <w:sz w:val="24"/>
          <w:szCs w:val="24"/>
          <w:u w:val="single"/>
          <w:lang w:val="en-GB"/>
        </w:rPr>
      </w:pPr>
    </w:p>
    <w:p w:rsidR="00644FAF" w:rsidRPr="00644FAF" w:rsidRDefault="00644FAF" w:rsidP="00644FAF">
      <w:pPr>
        <w:tabs>
          <w:tab w:val="left" w:pos="851"/>
        </w:tabs>
        <w:ind w:left="851"/>
        <w:rPr>
          <w:sz w:val="24"/>
          <w:szCs w:val="24"/>
          <w:u w:val="single"/>
          <w:lang w:val="en-GB"/>
        </w:rPr>
      </w:pPr>
      <w:r w:rsidRPr="00644FAF">
        <w:rPr>
          <w:sz w:val="24"/>
          <w:szCs w:val="24"/>
          <w:u w:val="single"/>
          <w:lang w:val="en-GB"/>
        </w:rPr>
        <w:t>Fertility</w:t>
      </w:r>
    </w:p>
    <w:p w:rsidR="00644FAF" w:rsidRPr="00644FAF" w:rsidRDefault="00644FAF" w:rsidP="00644FAF">
      <w:pPr>
        <w:tabs>
          <w:tab w:val="left" w:pos="851"/>
        </w:tabs>
        <w:ind w:left="851"/>
        <w:rPr>
          <w:sz w:val="24"/>
          <w:szCs w:val="24"/>
          <w:lang w:val="en-GB"/>
        </w:rPr>
      </w:pPr>
      <w:r w:rsidRPr="00644FAF">
        <w:rPr>
          <w:sz w:val="24"/>
          <w:szCs w:val="24"/>
          <w:lang w:val="en-GB"/>
        </w:rPr>
        <w:t>No specific studies with rivaroxaban in humans have been conducted to evaluate effects on fertility. In a study on male and female fertility in rats no effects were seen (see section 5.3).</w:t>
      </w:r>
    </w:p>
    <w:p w:rsidR="007C5D2A" w:rsidRPr="00644FAF"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7A011E" w:rsidRDefault="007A011E" w:rsidP="007A011E">
      <w:pPr>
        <w:tabs>
          <w:tab w:val="left" w:pos="851"/>
        </w:tabs>
        <w:ind w:left="851"/>
        <w:rPr>
          <w:sz w:val="24"/>
          <w:szCs w:val="24"/>
          <w:lang w:val="en-GB"/>
        </w:rPr>
      </w:pPr>
      <w:r>
        <w:rPr>
          <w:sz w:val="24"/>
          <w:szCs w:val="24"/>
          <w:lang w:val="en-GB"/>
        </w:rPr>
        <w:t>No traffic warning.</w:t>
      </w:r>
    </w:p>
    <w:p w:rsidR="007A011E" w:rsidRPr="007A011E" w:rsidRDefault="007A011E" w:rsidP="007A011E">
      <w:pPr>
        <w:tabs>
          <w:tab w:val="left" w:pos="851"/>
        </w:tabs>
        <w:ind w:left="851"/>
        <w:rPr>
          <w:sz w:val="24"/>
          <w:szCs w:val="24"/>
          <w:lang w:val="en-GB"/>
        </w:rPr>
      </w:pPr>
      <w:r w:rsidRPr="007A011E">
        <w:rPr>
          <w:sz w:val="24"/>
          <w:szCs w:val="24"/>
          <w:lang w:val="en-GB"/>
        </w:rPr>
        <w:t>Rivaroxaban has minor influence on the ability to drive and use machines. Adverse reactions like syncope (frequency: uncommon) and dizziness (frequency: common) have been reported (see section 4.8).</w:t>
      </w:r>
    </w:p>
    <w:p w:rsidR="007A011E" w:rsidRPr="007A011E" w:rsidRDefault="007A011E" w:rsidP="007A011E">
      <w:pPr>
        <w:tabs>
          <w:tab w:val="left" w:pos="851"/>
        </w:tabs>
        <w:ind w:left="851"/>
        <w:rPr>
          <w:sz w:val="24"/>
          <w:szCs w:val="24"/>
          <w:lang w:val="en-GB"/>
        </w:rPr>
      </w:pPr>
      <w:r w:rsidRPr="007A011E">
        <w:rPr>
          <w:sz w:val="24"/>
          <w:szCs w:val="24"/>
          <w:lang w:val="en-GB"/>
        </w:rPr>
        <w:t>Patients experiencing these adverse reactions should not drive or use machines.</w:t>
      </w:r>
    </w:p>
    <w:p w:rsidR="007C5D2A" w:rsidRPr="007A011E"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7A011E" w:rsidRPr="007A011E" w:rsidRDefault="007A011E" w:rsidP="007A011E">
      <w:pPr>
        <w:pStyle w:val="Sidehoved"/>
        <w:tabs>
          <w:tab w:val="left" w:pos="851"/>
        </w:tabs>
        <w:ind w:left="851"/>
        <w:rPr>
          <w:szCs w:val="24"/>
          <w:lang w:val="en-GB"/>
        </w:rPr>
      </w:pPr>
    </w:p>
    <w:p w:rsidR="007A011E" w:rsidRPr="008976FF" w:rsidRDefault="007A011E" w:rsidP="008976FF">
      <w:pPr>
        <w:pStyle w:val="Sidehoved"/>
        <w:ind w:left="851"/>
        <w:rPr>
          <w:szCs w:val="24"/>
          <w:u w:val="single"/>
          <w:lang w:val="en-GB"/>
        </w:rPr>
      </w:pPr>
      <w:r w:rsidRPr="008976FF">
        <w:rPr>
          <w:szCs w:val="24"/>
          <w:u w:val="single"/>
          <w:lang w:val="en-GB"/>
        </w:rPr>
        <w:t>Summary of the safety profile</w:t>
      </w:r>
    </w:p>
    <w:p w:rsidR="007C41BB" w:rsidRPr="008976FF" w:rsidRDefault="007C41BB" w:rsidP="008976FF">
      <w:pPr>
        <w:suppressAutoHyphens/>
        <w:ind w:left="851"/>
        <w:rPr>
          <w:sz w:val="24"/>
          <w:szCs w:val="24"/>
          <w:lang w:val="en-US" w:eastAsia="el-GR"/>
        </w:rPr>
      </w:pPr>
      <w:r w:rsidRPr="008976FF">
        <w:rPr>
          <w:sz w:val="24"/>
          <w:szCs w:val="24"/>
          <w:lang w:val="en-US" w:eastAsia="el-GR"/>
        </w:rPr>
        <w:t>The safety of rivaroxaban has been evaluated in thirteen pivotal phase III studies (see Table 1).</w:t>
      </w:r>
    </w:p>
    <w:p w:rsidR="007C41BB" w:rsidRPr="008976FF" w:rsidRDefault="007C41BB" w:rsidP="008976FF">
      <w:pPr>
        <w:suppressAutoHyphens/>
        <w:ind w:left="851"/>
        <w:rPr>
          <w:sz w:val="24"/>
          <w:szCs w:val="24"/>
          <w:lang w:val="en-US" w:eastAsia="el-GR"/>
        </w:rPr>
      </w:pPr>
    </w:p>
    <w:p w:rsidR="007C41BB" w:rsidRPr="008976FF" w:rsidRDefault="007C41BB" w:rsidP="008976FF">
      <w:pPr>
        <w:suppressAutoHyphens/>
        <w:ind w:left="851"/>
        <w:rPr>
          <w:sz w:val="24"/>
          <w:szCs w:val="24"/>
          <w:lang w:val="en-US" w:eastAsia="el-GR"/>
        </w:rPr>
      </w:pPr>
      <w:r w:rsidRPr="008976FF">
        <w:rPr>
          <w:sz w:val="24"/>
          <w:szCs w:val="24"/>
          <w:lang w:val="en-US" w:eastAsia="el-GR"/>
        </w:rPr>
        <w:t>Overall, 69,608 adult patients in nineteen phase III studies and 488 paediatric patients in two phase II and two phase III studies were exposed to rivaroxaban.</w:t>
      </w:r>
    </w:p>
    <w:p w:rsidR="001C47FA" w:rsidRDefault="001C47FA">
      <w:pPr>
        <w:rPr>
          <w:sz w:val="24"/>
          <w:szCs w:val="24"/>
          <w:lang w:val="en-US"/>
        </w:rPr>
      </w:pPr>
      <w:r>
        <w:rPr>
          <w:szCs w:val="24"/>
          <w:lang w:val="en-US"/>
        </w:rPr>
        <w:br w:type="page"/>
      </w:r>
    </w:p>
    <w:p w:rsidR="007A011E" w:rsidRPr="008976FF" w:rsidRDefault="007A011E" w:rsidP="008976FF">
      <w:pPr>
        <w:pStyle w:val="Sidehoved"/>
        <w:ind w:left="851"/>
        <w:rPr>
          <w:szCs w:val="24"/>
          <w:lang w:val="en-US"/>
        </w:rPr>
      </w:pPr>
    </w:p>
    <w:p w:rsidR="007C41BB" w:rsidRPr="007C41BB" w:rsidRDefault="007A011E" w:rsidP="008976FF">
      <w:pPr>
        <w:suppressAutoHyphens/>
        <w:rPr>
          <w:b/>
          <w:sz w:val="24"/>
          <w:szCs w:val="24"/>
          <w:lang w:val="en-US" w:eastAsia="el-GR"/>
        </w:rPr>
      </w:pPr>
      <w:r w:rsidRPr="007A011E">
        <w:rPr>
          <w:b/>
          <w:szCs w:val="24"/>
          <w:lang w:val="en-GB"/>
        </w:rPr>
        <w:t xml:space="preserve">Table 1: </w:t>
      </w:r>
      <w:r w:rsidR="007C41BB" w:rsidRPr="007C41BB">
        <w:rPr>
          <w:b/>
          <w:szCs w:val="24"/>
          <w:lang w:val="en-US" w:eastAsia="el-GR"/>
        </w:rPr>
        <w:t>Number of patients studied, total daily dose and maximum treatment duration in adult and paediatric phase III studies</w:t>
      </w:r>
    </w:p>
    <w:p w:rsidR="007A011E" w:rsidRPr="007C41BB" w:rsidRDefault="007A011E" w:rsidP="007A011E">
      <w:pPr>
        <w:pStyle w:val="Sidehoved"/>
        <w:tabs>
          <w:tab w:val="left" w:pos="851"/>
        </w:tabs>
        <w:ind w:left="851"/>
        <w:rPr>
          <w:b/>
          <w:szCs w:val="24"/>
          <w:lang w:val="en-US"/>
        </w:rPr>
      </w:pPr>
    </w:p>
    <w:tbl>
      <w:tblPr>
        <w:tblStyle w:val="Tabel-Gitter"/>
        <w:tblW w:w="5000" w:type="pct"/>
        <w:tblLook w:val="04A0" w:firstRow="1" w:lastRow="0" w:firstColumn="1" w:lastColumn="0" w:noHBand="0" w:noVBand="1"/>
      </w:tblPr>
      <w:tblGrid>
        <w:gridCol w:w="4251"/>
        <w:gridCol w:w="1429"/>
        <w:gridCol w:w="2600"/>
        <w:gridCol w:w="1348"/>
      </w:tblGrid>
      <w:tr w:rsidR="007A011E" w:rsidRPr="007A011E" w:rsidTr="008976FF">
        <w:tc>
          <w:tcPr>
            <w:tcW w:w="2208" w:type="pct"/>
            <w:tcBorders>
              <w:top w:val="single" w:sz="4" w:space="0" w:color="auto"/>
              <w:left w:val="single" w:sz="4" w:space="0" w:color="auto"/>
              <w:bottom w:val="single" w:sz="4" w:space="0" w:color="auto"/>
              <w:right w:val="single" w:sz="4" w:space="0" w:color="auto"/>
            </w:tcBorders>
          </w:tcPr>
          <w:p w:rsidR="007A011E" w:rsidRPr="007A011E" w:rsidRDefault="007A011E" w:rsidP="008976FF">
            <w:pPr>
              <w:pStyle w:val="Sidehoved"/>
              <w:ind w:left="32"/>
              <w:rPr>
                <w:b/>
                <w:szCs w:val="24"/>
                <w:u w:val="single"/>
                <w:lang w:val="en-GB"/>
              </w:rPr>
            </w:pPr>
            <w:r w:rsidRPr="007A011E">
              <w:rPr>
                <w:b/>
                <w:szCs w:val="24"/>
                <w:lang w:val="en-GB"/>
              </w:rPr>
              <w:t xml:space="preserve">Indication </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b/>
                <w:szCs w:val="24"/>
                <w:u w:val="single"/>
                <w:lang w:val="en-GB"/>
              </w:rPr>
            </w:pPr>
            <w:r w:rsidRPr="007A011E">
              <w:rPr>
                <w:b/>
                <w:szCs w:val="24"/>
                <w:lang w:val="en-GB"/>
              </w:rPr>
              <w:t>Number of patients*</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b/>
                <w:szCs w:val="24"/>
                <w:lang w:val="en-GB"/>
              </w:rPr>
            </w:pPr>
            <w:r w:rsidRPr="007A011E">
              <w:rPr>
                <w:b/>
                <w:szCs w:val="24"/>
                <w:lang w:val="en-GB"/>
              </w:rPr>
              <w:t>Total daily dose</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b/>
                <w:szCs w:val="24"/>
                <w:lang w:val="en-GB"/>
              </w:rPr>
            </w:pPr>
            <w:r w:rsidRPr="007A011E">
              <w:rPr>
                <w:b/>
                <w:szCs w:val="24"/>
                <w:lang w:val="en-GB"/>
              </w:rPr>
              <w:t>Maximum</w:t>
            </w:r>
          </w:p>
          <w:p w:rsidR="007A011E" w:rsidRPr="007A011E" w:rsidRDefault="007A011E" w:rsidP="00345B1B">
            <w:pPr>
              <w:pStyle w:val="Sidehoved"/>
              <w:ind w:left="45"/>
              <w:rPr>
                <w:b/>
                <w:szCs w:val="24"/>
                <w:u w:val="single"/>
                <w:lang w:val="en-GB"/>
              </w:rPr>
            </w:pPr>
            <w:r w:rsidRPr="007A011E">
              <w:rPr>
                <w:b/>
                <w:szCs w:val="24"/>
                <w:lang w:val="en-GB"/>
              </w:rPr>
              <w:t>treatment duration</w:t>
            </w:r>
          </w:p>
        </w:tc>
      </w:tr>
      <w:tr w:rsidR="007A011E" w:rsidRPr="007A011E" w:rsidTr="008976FF">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8976FF">
            <w:pPr>
              <w:pStyle w:val="Sidehoved"/>
              <w:ind w:left="32"/>
              <w:rPr>
                <w:szCs w:val="24"/>
                <w:lang w:val="en-GB"/>
              </w:rPr>
            </w:pPr>
            <w:r w:rsidRPr="007A011E">
              <w:rPr>
                <w:szCs w:val="24"/>
                <w:lang w:val="en-GB"/>
              </w:rPr>
              <w:t>Prevention of venous thromboembolism</w:t>
            </w:r>
            <w:r w:rsidR="008976FF">
              <w:rPr>
                <w:szCs w:val="24"/>
                <w:lang w:val="en-GB"/>
              </w:rPr>
              <w:t xml:space="preserve"> </w:t>
            </w:r>
            <w:r w:rsidRPr="007A011E">
              <w:rPr>
                <w:szCs w:val="24"/>
                <w:lang w:val="en-GB"/>
              </w:rPr>
              <w:t>(VTE) in adult patients undergoing</w:t>
            </w:r>
            <w:r w:rsidR="008976FF">
              <w:rPr>
                <w:szCs w:val="24"/>
                <w:lang w:val="en-GB"/>
              </w:rPr>
              <w:t xml:space="preserve"> </w:t>
            </w:r>
            <w:r w:rsidRPr="007A011E">
              <w:rPr>
                <w:szCs w:val="24"/>
                <w:lang w:val="en-GB"/>
              </w:rPr>
              <w:t>elective hip or knee replacement surgery</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lang w:val="en-GB"/>
              </w:rPr>
            </w:pPr>
            <w:r w:rsidRPr="007A011E">
              <w:rPr>
                <w:szCs w:val="24"/>
                <w:lang w:val="en-GB"/>
              </w:rPr>
              <w:t>6,097</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lang w:val="en-GB"/>
              </w:rPr>
            </w:pPr>
            <w:r w:rsidRPr="007A011E">
              <w:rPr>
                <w:szCs w:val="24"/>
                <w:lang w:val="en-GB"/>
              </w:rPr>
              <w:t>10 mg</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lang w:val="en-GB"/>
              </w:rPr>
            </w:pPr>
            <w:r w:rsidRPr="007A011E">
              <w:rPr>
                <w:szCs w:val="24"/>
                <w:lang w:val="en-GB"/>
              </w:rPr>
              <w:t>39 days</w:t>
            </w:r>
          </w:p>
        </w:tc>
      </w:tr>
      <w:tr w:rsidR="007A011E" w:rsidRPr="007A011E" w:rsidTr="008976FF">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32"/>
              <w:rPr>
                <w:szCs w:val="24"/>
                <w:u w:val="single"/>
                <w:lang w:val="en-GB"/>
              </w:rPr>
            </w:pPr>
            <w:r w:rsidRPr="007A011E">
              <w:rPr>
                <w:szCs w:val="24"/>
                <w:lang w:val="en-GB"/>
              </w:rPr>
              <w:t>Prevention of VTE in medically ill patients</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u w:val="single"/>
                <w:lang w:val="en-GB"/>
              </w:rPr>
            </w:pPr>
            <w:r w:rsidRPr="007A011E">
              <w:rPr>
                <w:szCs w:val="24"/>
                <w:lang w:val="en-GB"/>
              </w:rPr>
              <w:t>3,997</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u w:val="single"/>
                <w:lang w:val="en-GB"/>
              </w:rPr>
            </w:pPr>
            <w:r w:rsidRPr="007A011E">
              <w:rPr>
                <w:szCs w:val="24"/>
                <w:lang w:val="en-GB"/>
              </w:rPr>
              <w:t>10 mg</w:t>
            </w:r>
          </w:p>
        </w:tc>
        <w:tc>
          <w:tcPr>
            <w:tcW w:w="700" w:type="pct"/>
            <w:tcBorders>
              <w:top w:val="single" w:sz="4" w:space="0" w:color="auto"/>
              <w:left w:val="single" w:sz="4" w:space="0" w:color="auto"/>
              <w:bottom w:val="single" w:sz="4" w:space="0" w:color="auto"/>
              <w:right w:val="single" w:sz="4" w:space="0" w:color="auto"/>
            </w:tcBorders>
          </w:tcPr>
          <w:p w:rsidR="007A011E" w:rsidRPr="007A011E" w:rsidRDefault="007A011E" w:rsidP="00345B1B">
            <w:pPr>
              <w:pStyle w:val="Sidehoved"/>
              <w:ind w:left="45"/>
              <w:rPr>
                <w:szCs w:val="24"/>
                <w:lang w:val="en-GB"/>
              </w:rPr>
            </w:pPr>
            <w:r w:rsidRPr="007A011E">
              <w:rPr>
                <w:szCs w:val="24"/>
                <w:lang w:val="en-GB"/>
              </w:rPr>
              <w:t>39 days</w:t>
            </w:r>
          </w:p>
          <w:p w:rsidR="007A011E" w:rsidRPr="007A011E" w:rsidRDefault="007A011E" w:rsidP="00345B1B">
            <w:pPr>
              <w:pStyle w:val="Sidehoved"/>
              <w:ind w:left="45"/>
              <w:rPr>
                <w:szCs w:val="24"/>
                <w:u w:val="single"/>
                <w:lang w:val="en-GB"/>
              </w:rPr>
            </w:pPr>
          </w:p>
        </w:tc>
      </w:tr>
      <w:tr w:rsidR="007A011E" w:rsidRPr="007A011E" w:rsidTr="008976FF">
        <w:trPr>
          <w:trHeight w:val="712"/>
        </w:trPr>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8976FF">
            <w:pPr>
              <w:pStyle w:val="Sidehoved"/>
              <w:ind w:left="32"/>
              <w:rPr>
                <w:szCs w:val="24"/>
                <w:lang w:val="en-GB"/>
              </w:rPr>
            </w:pPr>
            <w:r w:rsidRPr="007A011E">
              <w:rPr>
                <w:szCs w:val="24"/>
                <w:lang w:val="en-GB"/>
              </w:rPr>
              <w:t>Treatment of deep vein thrombosis (DVT), pulmonary embolism (PE) and prevention</w:t>
            </w:r>
            <w:r w:rsidR="008976FF">
              <w:rPr>
                <w:szCs w:val="24"/>
                <w:lang w:val="en-GB"/>
              </w:rPr>
              <w:t xml:space="preserve"> </w:t>
            </w:r>
            <w:r w:rsidRPr="007A011E">
              <w:rPr>
                <w:szCs w:val="24"/>
                <w:lang w:val="en-GB"/>
              </w:rPr>
              <w:t>of recurrence</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lang w:val="en-GB"/>
              </w:rPr>
            </w:pPr>
            <w:r w:rsidRPr="007A011E">
              <w:rPr>
                <w:szCs w:val="24"/>
                <w:lang w:val="en-GB"/>
              </w:rPr>
              <w:t>6,790</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lang w:val="en-GB"/>
              </w:rPr>
            </w:pPr>
            <w:r w:rsidRPr="007A011E">
              <w:rPr>
                <w:szCs w:val="24"/>
                <w:lang w:val="en-GB"/>
              </w:rPr>
              <w:t>Day 1 - 21: 30 mg</w:t>
            </w:r>
          </w:p>
          <w:p w:rsidR="007A011E" w:rsidRPr="007A011E" w:rsidRDefault="007A011E" w:rsidP="00345B1B">
            <w:pPr>
              <w:pStyle w:val="Sidehoved"/>
              <w:ind w:left="87"/>
              <w:rPr>
                <w:szCs w:val="24"/>
                <w:lang w:val="en-GB"/>
              </w:rPr>
            </w:pPr>
            <w:r w:rsidRPr="007A011E">
              <w:rPr>
                <w:szCs w:val="24"/>
                <w:lang w:val="en-GB"/>
              </w:rPr>
              <w:t>Day 22 and onwards: 20 mg</w:t>
            </w:r>
          </w:p>
          <w:p w:rsidR="007A011E" w:rsidRPr="007A011E" w:rsidRDefault="007A011E" w:rsidP="00345B1B">
            <w:pPr>
              <w:pStyle w:val="Sidehoved"/>
              <w:ind w:left="87"/>
              <w:rPr>
                <w:szCs w:val="24"/>
                <w:lang w:val="en-GB"/>
              </w:rPr>
            </w:pPr>
            <w:r w:rsidRPr="007A011E">
              <w:rPr>
                <w:szCs w:val="24"/>
                <w:lang w:val="en-GB"/>
              </w:rPr>
              <w:t xml:space="preserve">After at least 6 months: </w:t>
            </w:r>
          </w:p>
          <w:p w:rsidR="007A011E" w:rsidRPr="007A011E" w:rsidRDefault="007A011E" w:rsidP="00345B1B">
            <w:pPr>
              <w:pStyle w:val="Sidehoved"/>
              <w:ind w:left="87"/>
              <w:rPr>
                <w:szCs w:val="24"/>
                <w:u w:val="single"/>
                <w:lang w:val="en-GB"/>
              </w:rPr>
            </w:pPr>
            <w:r w:rsidRPr="007A011E">
              <w:rPr>
                <w:szCs w:val="24"/>
                <w:lang w:val="en-GB"/>
              </w:rPr>
              <w:t>10 mg or 20 mg</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lang w:val="en-GB"/>
              </w:rPr>
            </w:pPr>
            <w:r w:rsidRPr="007A011E">
              <w:rPr>
                <w:szCs w:val="24"/>
                <w:lang w:val="en-GB"/>
              </w:rPr>
              <w:t>21 months</w:t>
            </w:r>
          </w:p>
        </w:tc>
      </w:tr>
      <w:tr w:rsidR="007C41BB" w:rsidRPr="007C41BB" w:rsidTr="008976FF">
        <w:tc>
          <w:tcPr>
            <w:tcW w:w="2208" w:type="pct"/>
            <w:tcBorders>
              <w:top w:val="single" w:sz="4" w:space="0" w:color="auto"/>
              <w:left w:val="single" w:sz="4" w:space="0" w:color="auto"/>
              <w:bottom w:val="single" w:sz="4" w:space="0" w:color="auto"/>
              <w:right w:val="single" w:sz="4" w:space="0" w:color="auto"/>
            </w:tcBorders>
          </w:tcPr>
          <w:p w:rsidR="007C41BB" w:rsidRPr="007C41BB" w:rsidRDefault="007C41BB" w:rsidP="00345B1B">
            <w:pPr>
              <w:pStyle w:val="Sidehoved"/>
              <w:ind w:left="32"/>
              <w:rPr>
                <w:szCs w:val="24"/>
                <w:lang w:val="en-US"/>
              </w:rPr>
            </w:pPr>
            <w:r w:rsidRPr="007C41BB">
              <w:rPr>
                <w:szCs w:val="24"/>
                <w:lang w:val="en-US"/>
              </w:rPr>
              <w:t>Treatment of VTE and prevention of VTE recurrence in term neonates and children aged less than 18 years following initiation of standard anticoagulation treatment</w:t>
            </w:r>
          </w:p>
        </w:tc>
        <w:tc>
          <w:tcPr>
            <w:tcW w:w="742" w:type="pct"/>
            <w:tcBorders>
              <w:top w:val="single" w:sz="4" w:space="0" w:color="auto"/>
              <w:left w:val="single" w:sz="4" w:space="0" w:color="auto"/>
              <w:bottom w:val="single" w:sz="4" w:space="0" w:color="auto"/>
              <w:right w:val="single" w:sz="4" w:space="0" w:color="auto"/>
            </w:tcBorders>
          </w:tcPr>
          <w:p w:rsidR="007C41BB" w:rsidRPr="007A011E" w:rsidRDefault="007C41BB" w:rsidP="00345B1B">
            <w:pPr>
              <w:pStyle w:val="Sidehoved"/>
              <w:ind w:left="102"/>
              <w:rPr>
                <w:szCs w:val="24"/>
                <w:lang w:val="en-GB"/>
              </w:rPr>
            </w:pPr>
            <w:r>
              <w:rPr>
                <w:szCs w:val="24"/>
              </w:rPr>
              <w:t>329</w:t>
            </w:r>
          </w:p>
        </w:tc>
        <w:tc>
          <w:tcPr>
            <w:tcW w:w="1350" w:type="pct"/>
            <w:tcBorders>
              <w:top w:val="single" w:sz="4" w:space="0" w:color="auto"/>
              <w:left w:val="single" w:sz="4" w:space="0" w:color="auto"/>
              <w:bottom w:val="single" w:sz="4" w:space="0" w:color="auto"/>
              <w:right w:val="single" w:sz="4" w:space="0" w:color="auto"/>
            </w:tcBorders>
          </w:tcPr>
          <w:p w:rsidR="007C41BB" w:rsidRPr="007C41BB" w:rsidRDefault="007C41BB" w:rsidP="00345B1B">
            <w:pPr>
              <w:pStyle w:val="Sidehoved"/>
              <w:ind w:left="87"/>
              <w:rPr>
                <w:szCs w:val="24"/>
                <w:lang w:val="en-US"/>
              </w:rPr>
            </w:pPr>
            <w:r w:rsidRPr="007C41BB">
              <w:rPr>
                <w:szCs w:val="24"/>
                <w:lang w:val="en-US"/>
              </w:rPr>
              <w:t>Body weight-adjusted dose to achieve a similar exposure as that observed in adults treated for DVT with 20 mg rivaroxaban once daily</w:t>
            </w:r>
          </w:p>
        </w:tc>
        <w:tc>
          <w:tcPr>
            <w:tcW w:w="700" w:type="pct"/>
            <w:tcBorders>
              <w:top w:val="single" w:sz="4" w:space="0" w:color="auto"/>
              <w:left w:val="single" w:sz="4" w:space="0" w:color="auto"/>
              <w:bottom w:val="single" w:sz="4" w:space="0" w:color="auto"/>
              <w:right w:val="single" w:sz="4" w:space="0" w:color="auto"/>
            </w:tcBorders>
          </w:tcPr>
          <w:p w:rsidR="007C41BB" w:rsidRPr="007A011E" w:rsidRDefault="007C41BB" w:rsidP="00345B1B">
            <w:pPr>
              <w:pStyle w:val="Sidehoved"/>
              <w:ind w:left="45"/>
              <w:rPr>
                <w:szCs w:val="24"/>
                <w:lang w:val="en-GB"/>
              </w:rPr>
            </w:pPr>
            <w:r>
              <w:rPr>
                <w:szCs w:val="24"/>
              </w:rPr>
              <w:t>12 months</w:t>
            </w:r>
          </w:p>
        </w:tc>
      </w:tr>
      <w:tr w:rsidR="007A011E" w:rsidRPr="007A011E" w:rsidTr="008976FF">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8976FF">
            <w:pPr>
              <w:pStyle w:val="Sidehoved"/>
              <w:ind w:left="32"/>
              <w:rPr>
                <w:szCs w:val="24"/>
                <w:lang w:val="en-GB"/>
              </w:rPr>
            </w:pPr>
            <w:r w:rsidRPr="007A011E">
              <w:rPr>
                <w:szCs w:val="24"/>
                <w:lang w:val="en-GB"/>
              </w:rPr>
              <w:t>Prevention of stroke and systemic</w:t>
            </w:r>
            <w:r w:rsidR="008976FF">
              <w:rPr>
                <w:szCs w:val="24"/>
                <w:lang w:val="en-GB"/>
              </w:rPr>
              <w:t xml:space="preserve"> </w:t>
            </w:r>
            <w:r w:rsidRPr="007A011E">
              <w:rPr>
                <w:szCs w:val="24"/>
                <w:lang w:val="en-GB"/>
              </w:rPr>
              <w:t>embolism in patients with non-valvular</w:t>
            </w:r>
            <w:r w:rsidR="008976FF">
              <w:rPr>
                <w:szCs w:val="24"/>
                <w:lang w:val="en-GB"/>
              </w:rPr>
              <w:t xml:space="preserve"> </w:t>
            </w:r>
            <w:r w:rsidRPr="007A011E">
              <w:rPr>
                <w:szCs w:val="24"/>
                <w:lang w:val="en-GB"/>
              </w:rPr>
              <w:t xml:space="preserve">atrial fibrillation </w:t>
            </w:r>
          </w:p>
        </w:tc>
        <w:tc>
          <w:tcPr>
            <w:tcW w:w="742" w:type="pct"/>
            <w:tcBorders>
              <w:top w:val="single" w:sz="4" w:space="0" w:color="auto"/>
              <w:left w:val="single" w:sz="4" w:space="0" w:color="auto"/>
              <w:bottom w:val="single" w:sz="4" w:space="0" w:color="auto"/>
              <w:right w:val="single" w:sz="4" w:space="0" w:color="auto"/>
            </w:tcBorders>
          </w:tcPr>
          <w:p w:rsidR="007A011E" w:rsidRPr="007A011E" w:rsidRDefault="007A011E" w:rsidP="00345B1B">
            <w:pPr>
              <w:pStyle w:val="Sidehoved"/>
              <w:ind w:left="102"/>
              <w:rPr>
                <w:szCs w:val="24"/>
                <w:u w:val="single"/>
                <w:lang w:val="en-GB"/>
              </w:rPr>
            </w:pPr>
            <w:r w:rsidRPr="007A011E">
              <w:rPr>
                <w:szCs w:val="24"/>
                <w:lang w:val="en-GB"/>
              </w:rPr>
              <w:t xml:space="preserve">7,750 </w:t>
            </w:r>
          </w:p>
          <w:p w:rsidR="007A011E" w:rsidRPr="007A011E" w:rsidRDefault="007A011E" w:rsidP="00345B1B">
            <w:pPr>
              <w:pStyle w:val="Sidehoved"/>
              <w:ind w:left="102"/>
              <w:rPr>
                <w:szCs w:val="24"/>
                <w:u w:val="single"/>
                <w:lang w:val="en-GB"/>
              </w:rPr>
            </w:pPr>
          </w:p>
        </w:tc>
        <w:tc>
          <w:tcPr>
            <w:tcW w:w="1350" w:type="pct"/>
            <w:tcBorders>
              <w:top w:val="single" w:sz="4" w:space="0" w:color="auto"/>
              <w:left w:val="single" w:sz="4" w:space="0" w:color="auto"/>
              <w:bottom w:val="single" w:sz="4" w:space="0" w:color="auto"/>
              <w:right w:val="single" w:sz="4" w:space="0" w:color="auto"/>
            </w:tcBorders>
          </w:tcPr>
          <w:p w:rsidR="007A011E" w:rsidRPr="007A011E" w:rsidRDefault="007A011E" w:rsidP="00345B1B">
            <w:pPr>
              <w:pStyle w:val="Sidehoved"/>
              <w:ind w:left="87"/>
              <w:rPr>
                <w:szCs w:val="24"/>
                <w:lang w:val="en-GB"/>
              </w:rPr>
            </w:pPr>
            <w:r w:rsidRPr="007A011E">
              <w:rPr>
                <w:szCs w:val="24"/>
                <w:lang w:val="en-GB"/>
              </w:rPr>
              <w:t xml:space="preserve">20 mg </w:t>
            </w:r>
          </w:p>
          <w:p w:rsidR="007A011E" w:rsidRPr="007A011E" w:rsidRDefault="007A011E" w:rsidP="00345B1B">
            <w:pPr>
              <w:pStyle w:val="Sidehoved"/>
              <w:ind w:left="87"/>
              <w:rPr>
                <w:szCs w:val="24"/>
                <w:u w:val="single"/>
                <w:lang w:val="en-GB"/>
              </w:rPr>
            </w:pP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u w:val="single"/>
                <w:lang w:val="en-GB"/>
              </w:rPr>
            </w:pPr>
            <w:r w:rsidRPr="007A011E">
              <w:rPr>
                <w:szCs w:val="24"/>
                <w:lang w:val="en-GB"/>
              </w:rPr>
              <w:t>41 months</w:t>
            </w:r>
          </w:p>
        </w:tc>
      </w:tr>
      <w:tr w:rsidR="007A011E" w:rsidRPr="007A011E" w:rsidTr="008976FF">
        <w:tc>
          <w:tcPr>
            <w:tcW w:w="2208" w:type="pct"/>
            <w:tcBorders>
              <w:top w:val="single" w:sz="4" w:space="0" w:color="auto"/>
              <w:left w:val="single" w:sz="4" w:space="0" w:color="auto"/>
              <w:bottom w:val="single" w:sz="4" w:space="0" w:color="auto"/>
              <w:right w:val="single" w:sz="4" w:space="0" w:color="auto"/>
            </w:tcBorders>
          </w:tcPr>
          <w:p w:rsidR="007A011E" w:rsidRPr="007A011E" w:rsidRDefault="007A011E" w:rsidP="008976FF">
            <w:pPr>
              <w:pStyle w:val="Sidehoved"/>
              <w:ind w:left="32"/>
              <w:rPr>
                <w:szCs w:val="24"/>
                <w:lang w:val="en-GB"/>
              </w:rPr>
            </w:pPr>
            <w:r w:rsidRPr="007A011E">
              <w:rPr>
                <w:szCs w:val="24"/>
                <w:lang w:val="en-GB"/>
              </w:rPr>
              <w:t>Prevention of atherothrombotic events in</w:t>
            </w:r>
            <w:r w:rsidR="008976FF">
              <w:rPr>
                <w:szCs w:val="24"/>
                <w:lang w:val="en-GB"/>
              </w:rPr>
              <w:t xml:space="preserve"> </w:t>
            </w:r>
            <w:r w:rsidRPr="007A011E">
              <w:rPr>
                <w:szCs w:val="24"/>
                <w:lang w:val="en-GB"/>
              </w:rPr>
              <w:t>patients after an ACS</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lang w:val="en-GB"/>
              </w:rPr>
            </w:pPr>
            <w:r w:rsidRPr="007A011E">
              <w:rPr>
                <w:szCs w:val="24"/>
                <w:lang w:val="en-GB"/>
              </w:rPr>
              <w:t>10,225</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lang w:val="en-GB"/>
              </w:rPr>
            </w:pPr>
            <w:r w:rsidRPr="007A011E">
              <w:rPr>
                <w:szCs w:val="24"/>
                <w:lang w:val="en-GB"/>
              </w:rPr>
              <w:t>5 mg or 10 mg respectively, co-administered with either ASA or ASA plus clopidogrel or ticlopidine</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lang w:val="en-GB"/>
              </w:rPr>
            </w:pPr>
            <w:r w:rsidRPr="007A011E">
              <w:rPr>
                <w:szCs w:val="24"/>
                <w:lang w:val="en-GB"/>
              </w:rPr>
              <w:t>31 months</w:t>
            </w:r>
          </w:p>
        </w:tc>
      </w:tr>
      <w:tr w:rsidR="00113DAE" w:rsidRPr="007A011E" w:rsidTr="008976FF">
        <w:tc>
          <w:tcPr>
            <w:tcW w:w="2208" w:type="pct"/>
            <w:vMerge w:val="restart"/>
            <w:tcBorders>
              <w:top w:val="single" w:sz="4" w:space="0" w:color="auto"/>
              <w:left w:val="single" w:sz="4" w:space="0" w:color="auto"/>
              <w:right w:val="single" w:sz="4" w:space="0" w:color="auto"/>
            </w:tcBorders>
            <w:hideMark/>
          </w:tcPr>
          <w:p w:rsidR="00113DAE" w:rsidRPr="007A011E" w:rsidRDefault="00113DAE" w:rsidP="00345B1B">
            <w:pPr>
              <w:pStyle w:val="Sidehoved"/>
              <w:ind w:left="32"/>
              <w:rPr>
                <w:szCs w:val="24"/>
                <w:lang w:val="en-GB"/>
              </w:rPr>
            </w:pPr>
            <w:r w:rsidRPr="007A011E">
              <w:rPr>
                <w:szCs w:val="24"/>
                <w:lang w:val="en-GB"/>
              </w:rPr>
              <w:t>Prevention of atherothrombotic events in patients with CAD/PAD</w:t>
            </w:r>
          </w:p>
        </w:tc>
        <w:tc>
          <w:tcPr>
            <w:tcW w:w="742" w:type="pct"/>
            <w:tcBorders>
              <w:top w:val="single" w:sz="4" w:space="0" w:color="auto"/>
              <w:left w:val="single" w:sz="4" w:space="0" w:color="auto"/>
              <w:bottom w:val="single" w:sz="4" w:space="0" w:color="auto"/>
              <w:right w:val="single" w:sz="4" w:space="0" w:color="auto"/>
            </w:tcBorders>
            <w:hideMark/>
          </w:tcPr>
          <w:p w:rsidR="00113DAE" w:rsidRPr="007A011E" w:rsidRDefault="00113DAE" w:rsidP="00345B1B">
            <w:pPr>
              <w:pStyle w:val="Sidehoved"/>
              <w:ind w:left="102"/>
              <w:rPr>
                <w:szCs w:val="24"/>
                <w:lang w:val="en-GB"/>
              </w:rPr>
            </w:pPr>
            <w:r w:rsidRPr="007A011E">
              <w:rPr>
                <w:szCs w:val="24"/>
                <w:lang w:val="en-GB"/>
              </w:rPr>
              <w:t>18,244</w:t>
            </w:r>
          </w:p>
        </w:tc>
        <w:tc>
          <w:tcPr>
            <w:tcW w:w="1350" w:type="pct"/>
            <w:tcBorders>
              <w:top w:val="single" w:sz="4" w:space="0" w:color="auto"/>
              <w:left w:val="single" w:sz="4" w:space="0" w:color="auto"/>
              <w:bottom w:val="single" w:sz="4" w:space="0" w:color="auto"/>
              <w:right w:val="single" w:sz="4" w:space="0" w:color="auto"/>
            </w:tcBorders>
            <w:hideMark/>
          </w:tcPr>
          <w:p w:rsidR="00113DAE" w:rsidRPr="007A011E" w:rsidRDefault="00113DAE" w:rsidP="00345B1B">
            <w:pPr>
              <w:pStyle w:val="Sidehoved"/>
              <w:ind w:left="87"/>
              <w:rPr>
                <w:szCs w:val="24"/>
                <w:lang w:val="en-GB"/>
              </w:rPr>
            </w:pPr>
            <w:r w:rsidRPr="007A011E">
              <w:rPr>
                <w:szCs w:val="24"/>
                <w:lang w:val="en-GB"/>
              </w:rPr>
              <w:t>5 mg co-administered with ASA or 10 mg alone</w:t>
            </w:r>
          </w:p>
        </w:tc>
        <w:tc>
          <w:tcPr>
            <w:tcW w:w="700" w:type="pct"/>
            <w:tcBorders>
              <w:top w:val="single" w:sz="4" w:space="0" w:color="auto"/>
              <w:left w:val="single" w:sz="4" w:space="0" w:color="auto"/>
              <w:bottom w:val="single" w:sz="4" w:space="0" w:color="auto"/>
              <w:right w:val="single" w:sz="4" w:space="0" w:color="auto"/>
            </w:tcBorders>
            <w:hideMark/>
          </w:tcPr>
          <w:p w:rsidR="00113DAE" w:rsidRPr="007A011E" w:rsidRDefault="00113DAE" w:rsidP="00345B1B">
            <w:pPr>
              <w:pStyle w:val="Sidehoved"/>
              <w:ind w:left="45"/>
              <w:rPr>
                <w:szCs w:val="24"/>
                <w:lang w:val="en-GB"/>
              </w:rPr>
            </w:pPr>
            <w:r w:rsidRPr="007A011E">
              <w:rPr>
                <w:szCs w:val="24"/>
                <w:lang w:val="en-GB"/>
              </w:rPr>
              <w:t>47 months</w:t>
            </w:r>
          </w:p>
        </w:tc>
      </w:tr>
      <w:tr w:rsidR="00113DAE" w:rsidRPr="007C41BB" w:rsidTr="008976FF">
        <w:tc>
          <w:tcPr>
            <w:tcW w:w="2208" w:type="pct"/>
            <w:vMerge/>
            <w:tcBorders>
              <w:left w:val="single" w:sz="4" w:space="0" w:color="auto"/>
              <w:bottom w:val="single" w:sz="4" w:space="0" w:color="auto"/>
              <w:right w:val="single" w:sz="4" w:space="0" w:color="auto"/>
            </w:tcBorders>
          </w:tcPr>
          <w:p w:rsidR="00113DAE" w:rsidRPr="007A011E" w:rsidRDefault="00113DAE" w:rsidP="00345B1B">
            <w:pPr>
              <w:pStyle w:val="Sidehoved"/>
              <w:ind w:left="32"/>
              <w:rPr>
                <w:szCs w:val="24"/>
                <w:lang w:val="en-GB"/>
              </w:rPr>
            </w:pPr>
          </w:p>
        </w:tc>
        <w:tc>
          <w:tcPr>
            <w:tcW w:w="742" w:type="pct"/>
            <w:tcBorders>
              <w:top w:val="single" w:sz="4" w:space="0" w:color="auto"/>
              <w:left w:val="single" w:sz="4" w:space="0" w:color="auto"/>
              <w:bottom w:val="single" w:sz="4" w:space="0" w:color="auto"/>
              <w:right w:val="single" w:sz="4" w:space="0" w:color="auto"/>
            </w:tcBorders>
          </w:tcPr>
          <w:p w:rsidR="00113DAE" w:rsidRPr="007A011E" w:rsidRDefault="00113DAE" w:rsidP="00345B1B">
            <w:pPr>
              <w:pStyle w:val="Sidehoved"/>
              <w:ind w:left="102"/>
              <w:rPr>
                <w:szCs w:val="24"/>
                <w:lang w:val="en-GB"/>
              </w:rPr>
            </w:pPr>
            <w:r>
              <w:rPr>
                <w:szCs w:val="24"/>
              </w:rPr>
              <w:t>3,256**</w:t>
            </w:r>
          </w:p>
        </w:tc>
        <w:tc>
          <w:tcPr>
            <w:tcW w:w="1350" w:type="pct"/>
            <w:tcBorders>
              <w:top w:val="single" w:sz="4" w:space="0" w:color="auto"/>
              <w:left w:val="single" w:sz="4" w:space="0" w:color="auto"/>
              <w:bottom w:val="single" w:sz="4" w:space="0" w:color="auto"/>
              <w:right w:val="single" w:sz="4" w:space="0" w:color="auto"/>
            </w:tcBorders>
          </w:tcPr>
          <w:p w:rsidR="00113DAE" w:rsidRPr="007C41BB" w:rsidRDefault="00113DAE" w:rsidP="00345B1B">
            <w:pPr>
              <w:pStyle w:val="Sidehoved"/>
              <w:ind w:left="87"/>
              <w:rPr>
                <w:szCs w:val="24"/>
                <w:lang w:val="en-US"/>
              </w:rPr>
            </w:pPr>
            <w:r w:rsidRPr="007C41BB">
              <w:rPr>
                <w:szCs w:val="24"/>
                <w:lang w:val="en-US"/>
              </w:rPr>
              <w:t>5 mg co-administered with ASA</w:t>
            </w:r>
          </w:p>
        </w:tc>
        <w:tc>
          <w:tcPr>
            <w:tcW w:w="700" w:type="pct"/>
            <w:tcBorders>
              <w:top w:val="single" w:sz="4" w:space="0" w:color="auto"/>
              <w:left w:val="single" w:sz="4" w:space="0" w:color="auto"/>
              <w:bottom w:val="single" w:sz="4" w:space="0" w:color="auto"/>
              <w:right w:val="single" w:sz="4" w:space="0" w:color="auto"/>
            </w:tcBorders>
          </w:tcPr>
          <w:p w:rsidR="00113DAE" w:rsidRPr="007A011E" w:rsidRDefault="00113DAE" w:rsidP="00345B1B">
            <w:pPr>
              <w:pStyle w:val="Sidehoved"/>
              <w:ind w:left="45"/>
              <w:rPr>
                <w:szCs w:val="24"/>
                <w:lang w:val="en-GB"/>
              </w:rPr>
            </w:pPr>
            <w:r>
              <w:rPr>
                <w:szCs w:val="24"/>
              </w:rPr>
              <w:t>42 months</w:t>
            </w:r>
          </w:p>
        </w:tc>
      </w:tr>
    </w:tbl>
    <w:p w:rsidR="007C41BB" w:rsidRPr="008976FF" w:rsidRDefault="007C41BB" w:rsidP="008976FF">
      <w:pPr>
        <w:tabs>
          <w:tab w:val="left" w:pos="5844"/>
        </w:tabs>
        <w:suppressAutoHyphens/>
        <w:ind w:left="426" w:hanging="426"/>
        <w:jc w:val="both"/>
        <w:rPr>
          <w:sz w:val="24"/>
          <w:szCs w:val="24"/>
          <w:lang w:val="en-US" w:eastAsia="el-GR"/>
        </w:rPr>
      </w:pPr>
      <w:r w:rsidRPr="008976FF">
        <w:rPr>
          <w:sz w:val="24"/>
          <w:szCs w:val="24"/>
          <w:lang w:val="en-US" w:eastAsia="el-GR"/>
        </w:rPr>
        <w:t>*</w:t>
      </w:r>
      <w:r w:rsidR="008976FF">
        <w:rPr>
          <w:sz w:val="24"/>
          <w:szCs w:val="24"/>
          <w:lang w:val="en-US" w:eastAsia="el-GR"/>
        </w:rPr>
        <w:tab/>
      </w:r>
      <w:r w:rsidRPr="008976FF">
        <w:rPr>
          <w:sz w:val="24"/>
          <w:szCs w:val="24"/>
          <w:lang w:val="en-US" w:eastAsia="el-GR"/>
        </w:rPr>
        <w:t>Patients exposed to at least one dose of rivaroxaban</w:t>
      </w:r>
    </w:p>
    <w:p w:rsidR="007A011E" w:rsidRPr="008976FF" w:rsidRDefault="007C41BB" w:rsidP="008976FF">
      <w:pPr>
        <w:pStyle w:val="Sidehoved"/>
        <w:tabs>
          <w:tab w:val="left" w:pos="851"/>
        </w:tabs>
        <w:ind w:left="426" w:hanging="426"/>
        <w:rPr>
          <w:szCs w:val="24"/>
          <w:u w:val="single"/>
          <w:lang w:val="en-GB"/>
        </w:rPr>
      </w:pPr>
      <w:r w:rsidRPr="008976FF">
        <w:rPr>
          <w:szCs w:val="24"/>
          <w:lang w:val="en-US" w:eastAsia="el-GR"/>
        </w:rPr>
        <w:t>**</w:t>
      </w:r>
      <w:r w:rsidR="008976FF" w:rsidRPr="008976FF">
        <w:rPr>
          <w:szCs w:val="24"/>
          <w:lang w:val="en-US" w:eastAsia="el-GR"/>
        </w:rPr>
        <w:tab/>
      </w:r>
      <w:r w:rsidRPr="008976FF">
        <w:rPr>
          <w:szCs w:val="24"/>
          <w:lang w:val="en-US" w:eastAsia="el-GR"/>
        </w:rPr>
        <w:t>From the VOYAGER PAD study</w:t>
      </w:r>
    </w:p>
    <w:p w:rsidR="007C41BB" w:rsidRDefault="007C41BB" w:rsidP="007A011E">
      <w:pPr>
        <w:pStyle w:val="Sidehoved"/>
        <w:tabs>
          <w:tab w:val="left" w:pos="851"/>
        </w:tabs>
        <w:ind w:left="851"/>
        <w:rPr>
          <w:szCs w:val="24"/>
          <w:lang w:val="en-GB"/>
        </w:rPr>
      </w:pPr>
    </w:p>
    <w:p w:rsidR="007A011E" w:rsidRPr="007A011E" w:rsidRDefault="007A011E" w:rsidP="007A011E">
      <w:pPr>
        <w:pStyle w:val="Sidehoved"/>
        <w:tabs>
          <w:tab w:val="left" w:pos="851"/>
        </w:tabs>
        <w:ind w:left="851"/>
        <w:rPr>
          <w:szCs w:val="24"/>
          <w:lang w:val="en-GB"/>
        </w:rPr>
      </w:pPr>
      <w:r w:rsidRPr="007A011E">
        <w:rPr>
          <w:szCs w:val="24"/>
          <w:lang w:val="en-GB"/>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rsidR="001C47FA" w:rsidRDefault="001C47FA">
      <w:pPr>
        <w:rPr>
          <w:sz w:val="24"/>
          <w:szCs w:val="24"/>
          <w:lang w:val="en-GB"/>
        </w:rPr>
      </w:pPr>
      <w:r>
        <w:rPr>
          <w:szCs w:val="24"/>
          <w:lang w:val="en-GB"/>
        </w:rPr>
        <w:br w:type="page"/>
      </w:r>
    </w:p>
    <w:p w:rsidR="007A011E" w:rsidRPr="007A011E" w:rsidRDefault="007A011E" w:rsidP="007A011E">
      <w:pPr>
        <w:pStyle w:val="Sidehoved"/>
        <w:tabs>
          <w:tab w:val="left" w:pos="851"/>
        </w:tabs>
        <w:ind w:left="851"/>
        <w:rPr>
          <w:szCs w:val="24"/>
          <w:lang w:val="en-GB"/>
        </w:rPr>
      </w:pPr>
    </w:p>
    <w:p w:rsidR="00113DAE" w:rsidRPr="00113DAE" w:rsidRDefault="007A011E" w:rsidP="008976FF">
      <w:pPr>
        <w:suppressAutoHyphens/>
        <w:rPr>
          <w:b/>
          <w:sz w:val="24"/>
          <w:szCs w:val="24"/>
          <w:lang w:val="en-US" w:eastAsia="el-GR"/>
        </w:rPr>
      </w:pPr>
      <w:r w:rsidRPr="007A011E">
        <w:rPr>
          <w:b/>
          <w:szCs w:val="24"/>
          <w:lang w:val="en-GB"/>
        </w:rPr>
        <w:t xml:space="preserve">Table 2: </w:t>
      </w:r>
      <w:r w:rsidR="00113DAE" w:rsidRPr="00113DAE">
        <w:rPr>
          <w:b/>
          <w:szCs w:val="24"/>
          <w:lang w:val="en-US" w:eastAsia="el-GR"/>
        </w:rPr>
        <w:t>Bleeding* and anaemia events rates in patients exposed to rivaroxaban across the completed adult and paediatric phase III studies</w:t>
      </w:r>
    </w:p>
    <w:tbl>
      <w:tblPr>
        <w:tblStyle w:val="Tabel-Gitter"/>
        <w:tblW w:w="5000" w:type="pct"/>
        <w:tblLook w:val="04A0" w:firstRow="1" w:lastRow="0" w:firstColumn="1" w:lastColumn="0" w:noHBand="0" w:noVBand="1"/>
      </w:tblPr>
      <w:tblGrid>
        <w:gridCol w:w="3208"/>
        <w:gridCol w:w="3210"/>
        <w:gridCol w:w="3210"/>
      </w:tblGrid>
      <w:tr w:rsidR="007A011E" w:rsidRPr="007A011E" w:rsidTr="008976FF">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b/>
                <w:bCs/>
                <w:szCs w:val="24"/>
                <w:lang w:val="en-GB"/>
              </w:rPr>
            </w:pPr>
            <w:r w:rsidRPr="007A011E">
              <w:rPr>
                <w:b/>
                <w:bCs/>
                <w:szCs w:val="24"/>
                <w:lang w:val="en-GB"/>
              </w:rPr>
              <w:t>Indication</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b/>
                <w:bCs/>
                <w:szCs w:val="24"/>
                <w:lang w:val="en-GB"/>
              </w:rPr>
            </w:pPr>
            <w:r w:rsidRPr="007A011E">
              <w:rPr>
                <w:b/>
                <w:bCs/>
                <w:szCs w:val="24"/>
                <w:lang w:val="en-GB"/>
              </w:rPr>
              <w:t>Any bleeding</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b/>
                <w:bCs/>
                <w:szCs w:val="24"/>
                <w:lang w:val="en-GB"/>
              </w:rPr>
            </w:pPr>
            <w:r w:rsidRPr="007A011E">
              <w:rPr>
                <w:b/>
                <w:bCs/>
                <w:szCs w:val="24"/>
                <w:lang w:val="en-GB"/>
              </w:rPr>
              <w:t>Anaemia</w:t>
            </w:r>
          </w:p>
        </w:tc>
      </w:tr>
      <w:tr w:rsidR="007A011E" w:rsidRPr="007A011E" w:rsidTr="008976FF">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Prevention of venous thromboembolism (VTE) in adult patients undergoing elective hip or knee replacement surgery</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6.8% of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5.9% of patients</w:t>
            </w:r>
          </w:p>
        </w:tc>
      </w:tr>
      <w:tr w:rsidR="007A011E" w:rsidRPr="007A011E" w:rsidTr="008976FF">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Prevention of venous thromboembolism in medically ill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12.6% of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2.1% of patients</w:t>
            </w:r>
          </w:p>
        </w:tc>
      </w:tr>
      <w:tr w:rsidR="007A011E" w:rsidRPr="007A011E" w:rsidTr="008976FF">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Treatment of DVT, PE and prevention of recurrence</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23% of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1.6% of patients</w:t>
            </w:r>
          </w:p>
        </w:tc>
      </w:tr>
      <w:tr w:rsidR="00113DAE" w:rsidRPr="00113DAE" w:rsidTr="008976FF">
        <w:tc>
          <w:tcPr>
            <w:tcW w:w="1666" w:type="pct"/>
            <w:tcBorders>
              <w:top w:val="single" w:sz="4" w:space="0" w:color="auto"/>
              <w:left w:val="single" w:sz="4" w:space="0" w:color="auto"/>
              <w:bottom w:val="single" w:sz="4" w:space="0" w:color="auto"/>
              <w:right w:val="single" w:sz="4" w:space="0" w:color="auto"/>
            </w:tcBorders>
          </w:tcPr>
          <w:p w:rsidR="00113DAE" w:rsidRPr="00113DAE" w:rsidRDefault="00113DAE" w:rsidP="000D7965">
            <w:pPr>
              <w:pStyle w:val="Sidehoved"/>
              <w:ind w:left="32"/>
              <w:rPr>
                <w:szCs w:val="24"/>
                <w:lang w:val="en-US"/>
              </w:rPr>
            </w:pPr>
            <w:r w:rsidRPr="00113DAE">
              <w:rPr>
                <w:szCs w:val="24"/>
                <w:lang w:val="en-US"/>
              </w:rPr>
              <w:t>Treatment of VTE and prevention of VTE recurrence in term neonates and children aged less than 18 years following initiation of standard anticoagulation treatment</w:t>
            </w:r>
          </w:p>
        </w:tc>
        <w:tc>
          <w:tcPr>
            <w:tcW w:w="1667" w:type="pct"/>
            <w:tcBorders>
              <w:top w:val="single" w:sz="4" w:space="0" w:color="auto"/>
              <w:left w:val="single" w:sz="4" w:space="0" w:color="auto"/>
              <w:bottom w:val="single" w:sz="4" w:space="0" w:color="auto"/>
              <w:right w:val="single" w:sz="4" w:space="0" w:color="auto"/>
            </w:tcBorders>
          </w:tcPr>
          <w:p w:rsidR="00113DAE" w:rsidRPr="007A011E" w:rsidRDefault="00113DAE" w:rsidP="000D7965">
            <w:pPr>
              <w:pStyle w:val="Sidehoved"/>
              <w:ind w:left="71"/>
              <w:rPr>
                <w:szCs w:val="24"/>
                <w:lang w:val="en-GB"/>
              </w:rPr>
            </w:pPr>
            <w:r>
              <w:rPr>
                <w:szCs w:val="24"/>
              </w:rPr>
              <w:t>39.5% of patients</w:t>
            </w:r>
          </w:p>
        </w:tc>
        <w:tc>
          <w:tcPr>
            <w:tcW w:w="1667" w:type="pct"/>
            <w:tcBorders>
              <w:top w:val="single" w:sz="4" w:space="0" w:color="auto"/>
              <w:left w:val="single" w:sz="4" w:space="0" w:color="auto"/>
              <w:bottom w:val="single" w:sz="4" w:space="0" w:color="auto"/>
              <w:right w:val="single" w:sz="4" w:space="0" w:color="auto"/>
            </w:tcBorders>
          </w:tcPr>
          <w:p w:rsidR="00113DAE" w:rsidRPr="007A011E" w:rsidRDefault="00113DAE" w:rsidP="000D7965">
            <w:pPr>
              <w:pStyle w:val="Sidehoved"/>
              <w:ind w:left="109"/>
              <w:rPr>
                <w:szCs w:val="24"/>
                <w:lang w:val="en-GB"/>
              </w:rPr>
            </w:pPr>
            <w:r>
              <w:rPr>
                <w:szCs w:val="24"/>
              </w:rPr>
              <w:t>4.6% of patients</w:t>
            </w:r>
          </w:p>
        </w:tc>
      </w:tr>
      <w:tr w:rsidR="007A011E" w:rsidRPr="007A011E" w:rsidTr="008976FF">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8976FF">
            <w:pPr>
              <w:pStyle w:val="Sidehoved"/>
              <w:ind w:left="32"/>
              <w:rPr>
                <w:szCs w:val="24"/>
                <w:lang w:val="en-GB"/>
              </w:rPr>
            </w:pPr>
            <w:r w:rsidRPr="007A011E">
              <w:rPr>
                <w:szCs w:val="24"/>
                <w:lang w:val="en-GB"/>
              </w:rPr>
              <w:t>Prevention of stroke and systemic embolism in patients with</w:t>
            </w:r>
            <w:r w:rsidR="008976FF">
              <w:rPr>
                <w:szCs w:val="24"/>
                <w:lang w:val="en-GB"/>
              </w:rPr>
              <w:t xml:space="preserve"> </w:t>
            </w:r>
            <w:r w:rsidRPr="007A011E">
              <w:rPr>
                <w:szCs w:val="24"/>
                <w:lang w:val="en-GB"/>
              </w:rPr>
              <w:t>non-valvular atrial fibrillation</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28 per 100 patient years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2.5 per 100 patient years</w:t>
            </w:r>
          </w:p>
        </w:tc>
      </w:tr>
      <w:tr w:rsidR="007A011E" w:rsidRPr="007A011E" w:rsidTr="008976FF">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Prevention of atherothrombotic events in patients after an ACS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22 per 100 patient years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1.4 per 100 patient years</w:t>
            </w:r>
          </w:p>
        </w:tc>
      </w:tr>
      <w:tr w:rsidR="00113DAE" w:rsidRPr="007A011E" w:rsidTr="008976FF">
        <w:tc>
          <w:tcPr>
            <w:tcW w:w="1666" w:type="pct"/>
            <w:vMerge w:val="restart"/>
            <w:tcBorders>
              <w:top w:val="single" w:sz="4" w:space="0" w:color="auto"/>
              <w:left w:val="single" w:sz="4" w:space="0" w:color="auto"/>
              <w:right w:val="single" w:sz="4" w:space="0" w:color="auto"/>
            </w:tcBorders>
            <w:hideMark/>
          </w:tcPr>
          <w:p w:rsidR="00113DAE" w:rsidRPr="007A011E" w:rsidRDefault="00113DAE" w:rsidP="000D7965">
            <w:pPr>
              <w:pStyle w:val="Sidehoved"/>
              <w:ind w:left="32"/>
              <w:rPr>
                <w:szCs w:val="24"/>
                <w:lang w:val="en-GB"/>
              </w:rPr>
            </w:pPr>
            <w:r w:rsidRPr="007A011E">
              <w:rPr>
                <w:szCs w:val="24"/>
                <w:lang w:val="en-GB"/>
              </w:rPr>
              <w:t>Prevention of atherothrombotic events in patients with CAD/PAD</w:t>
            </w:r>
          </w:p>
        </w:tc>
        <w:tc>
          <w:tcPr>
            <w:tcW w:w="1667" w:type="pct"/>
            <w:tcBorders>
              <w:top w:val="single" w:sz="4" w:space="0" w:color="auto"/>
              <w:left w:val="single" w:sz="4" w:space="0" w:color="auto"/>
              <w:bottom w:val="single" w:sz="4" w:space="0" w:color="auto"/>
              <w:right w:val="single" w:sz="4" w:space="0" w:color="auto"/>
            </w:tcBorders>
            <w:hideMark/>
          </w:tcPr>
          <w:p w:rsidR="00113DAE" w:rsidRPr="007A011E" w:rsidRDefault="00113DAE" w:rsidP="000D7965">
            <w:pPr>
              <w:pStyle w:val="Sidehoved"/>
              <w:ind w:left="71"/>
              <w:rPr>
                <w:szCs w:val="24"/>
                <w:lang w:val="en-GB"/>
              </w:rPr>
            </w:pPr>
            <w:r w:rsidRPr="007A011E">
              <w:rPr>
                <w:szCs w:val="24"/>
                <w:lang w:val="en-GB"/>
              </w:rPr>
              <w:t>6.7 per 100 patient years</w:t>
            </w:r>
          </w:p>
        </w:tc>
        <w:tc>
          <w:tcPr>
            <w:tcW w:w="1667" w:type="pct"/>
            <w:tcBorders>
              <w:top w:val="single" w:sz="4" w:space="0" w:color="auto"/>
              <w:left w:val="single" w:sz="4" w:space="0" w:color="auto"/>
              <w:bottom w:val="single" w:sz="4" w:space="0" w:color="auto"/>
              <w:right w:val="single" w:sz="4" w:space="0" w:color="auto"/>
            </w:tcBorders>
            <w:hideMark/>
          </w:tcPr>
          <w:p w:rsidR="00113DAE" w:rsidRPr="007A011E" w:rsidRDefault="00113DAE" w:rsidP="000D7965">
            <w:pPr>
              <w:pStyle w:val="Sidehoved"/>
              <w:ind w:left="109"/>
              <w:rPr>
                <w:szCs w:val="24"/>
                <w:lang w:val="en-GB"/>
              </w:rPr>
            </w:pPr>
            <w:r w:rsidRPr="007A011E">
              <w:rPr>
                <w:szCs w:val="24"/>
                <w:lang w:val="en-GB"/>
              </w:rPr>
              <w:t>0.15 per 100 patient years**</w:t>
            </w:r>
          </w:p>
        </w:tc>
      </w:tr>
      <w:tr w:rsidR="00113DAE" w:rsidRPr="007A011E" w:rsidTr="008976FF">
        <w:tc>
          <w:tcPr>
            <w:tcW w:w="1666" w:type="pct"/>
            <w:vMerge/>
            <w:tcBorders>
              <w:left w:val="single" w:sz="4" w:space="0" w:color="auto"/>
              <w:bottom w:val="single" w:sz="4" w:space="0" w:color="auto"/>
              <w:right w:val="single" w:sz="4" w:space="0" w:color="auto"/>
            </w:tcBorders>
          </w:tcPr>
          <w:p w:rsidR="00113DAE" w:rsidRPr="007A011E" w:rsidRDefault="00113DAE" w:rsidP="000D7965">
            <w:pPr>
              <w:pStyle w:val="Sidehoved"/>
              <w:ind w:left="32"/>
              <w:rPr>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13DAE" w:rsidRPr="007A011E" w:rsidRDefault="00113DAE" w:rsidP="000D7965">
            <w:pPr>
              <w:pStyle w:val="Sidehoved"/>
              <w:ind w:left="71"/>
              <w:rPr>
                <w:szCs w:val="24"/>
                <w:lang w:val="en-GB"/>
              </w:rPr>
            </w:pPr>
            <w:r>
              <w:t>8.38 per 100 patient years #</w:t>
            </w:r>
          </w:p>
        </w:tc>
        <w:tc>
          <w:tcPr>
            <w:tcW w:w="1667" w:type="pct"/>
            <w:tcBorders>
              <w:top w:val="single" w:sz="4" w:space="0" w:color="auto"/>
              <w:left w:val="single" w:sz="4" w:space="0" w:color="auto"/>
              <w:bottom w:val="single" w:sz="4" w:space="0" w:color="auto"/>
              <w:right w:val="single" w:sz="4" w:space="0" w:color="auto"/>
            </w:tcBorders>
          </w:tcPr>
          <w:p w:rsidR="00113DAE" w:rsidRPr="007A011E" w:rsidRDefault="00113DAE" w:rsidP="000D7965">
            <w:pPr>
              <w:pStyle w:val="Sidehoved"/>
              <w:ind w:left="109"/>
              <w:rPr>
                <w:szCs w:val="24"/>
                <w:lang w:val="en-GB"/>
              </w:rPr>
            </w:pPr>
            <w:r>
              <w:t>0.74 per 100 patient years*** #</w:t>
            </w:r>
          </w:p>
        </w:tc>
      </w:tr>
    </w:tbl>
    <w:p w:rsidR="00113DAE" w:rsidRPr="008976FF" w:rsidRDefault="00113DAE" w:rsidP="008976FF">
      <w:pPr>
        <w:suppressAutoHyphens/>
        <w:ind w:left="426" w:hanging="426"/>
        <w:rPr>
          <w:sz w:val="24"/>
          <w:szCs w:val="24"/>
          <w:lang w:val="en-US" w:eastAsia="el-GR"/>
        </w:rPr>
      </w:pPr>
      <w:r w:rsidRPr="008976FF">
        <w:rPr>
          <w:sz w:val="24"/>
          <w:szCs w:val="24"/>
          <w:lang w:val="en-US" w:eastAsia="el-GR"/>
        </w:rPr>
        <w:t xml:space="preserve">* </w:t>
      </w:r>
      <w:r w:rsidR="008976FF">
        <w:rPr>
          <w:sz w:val="24"/>
          <w:szCs w:val="24"/>
          <w:lang w:val="en-US" w:eastAsia="el-GR"/>
        </w:rPr>
        <w:tab/>
      </w:r>
      <w:r w:rsidRPr="008976FF">
        <w:rPr>
          <w:sz w:val="24"/>
          <w:szCs w:val="24"/>
          <w:lang w:val="en-US" w:eastAsia="el-GR"/>
        </w:rPr>
        <w:t>For all rivaroxaban studies all bleeding events are collected, reported and adjudicated.</w:t>
      </w:r>
    </w:p>
    <w:p w:rsidR="00113DAE" w:rsidRPr="008976FF" w:rsidRDefault="00113DAE" w:rsidP="008976FF">
      <w:pPr>
        <w:suppressAutoHyphens/>
        <w:ind w:left="426" w:hanging="426"/>
        <w:rPr>
          <w:sz w:val="24"/>
          <w:szCs w:val="24"/>
          <w:lang w:val="en-US" w:eastAsia="el-GR"/>
        </w:rPr>
      </w:pPr>
      <w:r w:rsidRPr="008976FF">
        <w:rPr>
          <w:sz w:val="24"/>
          <w:szCs w:val="24"/>
          <w:lang w:val="en-US" w:eastAsia="el-GR"/>
        </w:rPr>
        <w:t xml:space="preserve">** </w:t>
      </w:r>
      <w:r w:rsidR="008976FF">
        <w:rPr>
          <w:sz w:val="24"/>
          <w:szCs w:val="24"/>
          <w:lang w:val="en-US" w:eastAsia="el-GR"/>
        </w:rPr>
        <w:tab/>
      </w:r>
      <w:r w:rsidRPr="008976FF">
        <w:rPr>
          <w:sz w:val="24"/>
          <w:szCs w:val="24"/>
          <w:lang w:val="en-US" w:eastAsia="el-GR"/>
        </w:rPr>
        <w:t>In the COMPASS study, there is a low anaemia incidence as a selective approach to adverse event collection was applied.</w:t>
      </w:r>
    </w:p>
    <w:p w:rsidR="00113DAE" w:rsidRPr="008976FF" w:rsidRDefault="00113DAE" w:rsidP="008976FF">
      <w:pPr>
        <w:pStyle w:val="Default"/>
        <w:ind w:left="426" w:hanging="426"/>
        <w:rPr>
          <w:lang w:val="en-US"/>
        </w:rPr>
      </w:pPr>
      <w:r w:rsidRPr="008976FF">
        <w:rPr>
          <w:lang w:val="en-US"/>
        </w:rPr>
        <w:t xml:space="preserve">*** </w:t>
      </w:r>
      <w:r w:rsidR="008976FF">
        <w:rPr>
          <w:lang w:val="en-US"/>
        </w:rPr>
        <w:tab/>
      </w:r>
      <w:r w:rsidRPr="008976FF">
        <w:rPr>
          <w:lang w:val="en-US"/>
        </w:rPr>
        <w:t xml:space="preserve">A selective approach to adverse event collection was applied </w:t>
      </w:r>
    </w:p>
    <w:p w:rsidR="00113DAE" w:rsidRPr="008976FF" w:rsidRDefault="00113DAE" w:rsidP="008976FF">
      <w:pPr>
        <w:suppressAutoHyphens/>
        <w:ind w:left="426" w:hanging="426"/>
        <w:rPr>
          <w:sz w:val="24"/>
          <w:szCs w:val="24"/>
          <w:lang w:val="en-GB"/>
        </w:rPr>
      </w:pPr>
      <w:r w:rsidRPr="005762FD">
        <w:rPr>
          <w:sz w:val="24"/>
          <w:szCs w:val="24"/>
          <w:lang w:val="en-US"/>
        </w:rPr>
        <w:t xml:space="preserve"># </w:t>
      </w:r>
      <w:r w:rsidR="008976FF" w:rsidRPr="005762FD">
        <w:rPr>
          <w:sz w:val="24"/>
          <w:szCs w:val="24"/>
          <w:lang w:val="en-US"/>
        </w:rPr>
        <w:tab/>
      </w:r>
      <w:r w:rsidRPr="005762FD">
        <w:rPr>
          <w:sz w:val="24"/>
          <w:szCs w:val="24"/>
          <w:lang w:val="en-US"/>
        </w:rPr>
        <w:t xml:space="preserve">From the VOYAGER PAD study </w:t>
      </w:r>
    </w:p>
    <w:p w:rsidR="007A011E" w:rsidRPr="007A011E" w:rsidRDefault="007A011E" w:rsidP="007A011E">
      <w:pPr>
        <w:pStyle w:val="Sidehoved"/>
        <w:tabs>
          <w:tab w:val="left" w:pos="851"/>
        </w:tabs>
        <w:ind w:left="851"/>
        <w:rPr>
          <w:szCs w:val="24"/>
          <w:u w:val="single"/>
          <w:lang w:val="en-GB"/>
        </w:rPr>
      </w:pPr>
    </w:p>
    <w:p w:rsidR="007A011E" w:rsidRPr="007A011E" w:rsidRDefault="007A011E" w:rsidP="007A011E">
      <w:pPr>
        <w:pStyle w:val="Sidehoved"/>
        <w:tabs>
          <w:tab w:val="left" w:pos="851"/>
        </w:tabs>
        <w:ind w:left="851"/>
        <w:rPr>
          <w:szCs w:val="24"/>
          <w:u w:val="single"/>
          <w:lang w:val="en-GB"/>
        </w:rPr>
      </w:pPr>
      <w:r w:rsidRPr="007A011E">
        <w:rPr>
          <w:szCs w:val="24"/>
          <w:u w:val="single"/>
          <w:lang w:val="en-GB"/>
        </w:rPr>
        <w:t>Tabulated list of adverse reactions</w:t>
      </w:r>
    </w:p>
    <w:p w:rsidR="0028257D" w:rsidRPr="0028257D" w:rsidRDefault="0028257D" w:rsidP="0028257D">
      <w:pPr>
        <w:suppressAutoHyphens/>
        <w:ind w:left="851"/>
        <w:rPr>
          <w:sz w:val="24"/>
          <w:szCs w:val="24"/>
          <w:lang w:val="en-US" w:eastAsia="el-GR"/>
        </w:rPr>
      </w:pPr>
      <w:r w:rsidRPr="0028257D">
        <w:rPr>
          <w:sz w:val="24"/>
          <w:szCs w:val="24"/>
          <w:lang w:val="en-US" w:eastAsia="el-GR"/>
        </w:rPr>
        <w:t xml:space="preserve">The frequencies of adverse reactions reported with rivaroxaban </w:t>
      </w:r>
      <w:r w:rsidRPr="0028257D">
        <w:rPr>
          <w:sz w:val="24"/>
          <w:szCs w:val="24"/>
          <w:lang w:val="en-US"/>
        </w:rPr>
        <w:t xml:space="preserve">in adult and paediatric patients </w:t>
      </w:r>
      <w:r w:rsidRPr="0028257D">
        <w:rPr>
          <w:sz w:val="24"/>
          <w:szCs w:val="24"/>
          <w:lang w:val="en-US" w:eastAsia="el-GR"/>
        </w:rPr>
        <w:t>are summarised in table 3 below by system organ class (in MedDRA) and by frequency.</w:t>
      </w:r>
    </w:p>
    <w:p w:rsidR="007A011E" w:rsidRPr="0028257D" w:rsidRDefault="007A011E" w:rsidP="0028257D">
      <w:pPr>
        <w:pStyle w:val="Sidehoved"/>
        <w:tabs>
          <w:tab w:val="left" w:pos="851"/>
        </w:tabs>
        <w:ind w:left="851"/>
        <w:rPr>
          <w:szCs w:val="24"/>
          <w:lang w:val="en-US"/>
        </w:rPr>
      </w:pPr>
    </w:p>
    <w:p w:rsidR="007A011E" w:rsidRPr="007A011E" w:rsidRDefault="007A011E" w:rsidP="007A011E">
      <w:pPr>
        <w:pStyle w:val="Sidehoved"/>
        <w:tabs>
          <w:tab w:val="left" w:pos="851"/>
        </w:tabs>
        <w:ind w:left="851"/>
        <w:rPr>
          <w:szCs w:val="24"/>
          <w:lang w:val="en-GB"/>
        </w:rPr>
      </w:pPr>
      <w:r w:rsidRPr="007A011E">
        <w:rPr>
          <w:szCs w:val="24"/>
          <w:lang w:val="en-GB"/>
        </w:rPr>
        <w:t>Frequencies are defined as:</w:t>
      </w:r>
    </w:p>
    <w:p w:rsidR="007A011E" w:rsidRPr="007A011E" w:rsidRDefault="007A011E" w:rsidP="007A011E">
      <w:pPr>
        <w:pStyle w:val="Sidehoved"/>
        <w:tabs>
          <w:tab w:val="left" w:pos="851"/>
        </w:tabs>
        <w:ind w:left="851"/>
        <w:rPr>
          <w:szCs w:val="24"/>
          <w:lang w:val="en-GB"/>
        </w:rPr>
      </w:pPr>
      <w:r w:rsidRPr="007A011E">
        <w:rPr>
          <w:szCs w:val="24"/>
          <w:lang w:val="en-GB"/>
        </w:rPr>
        <w:t>very common (≥ 1/10)</w:t>
      </w:r>
    </w:p>
    <w:p w:rsidR="007A011E" w:rsidRPr="007A011E" w:rsidRDefault="007A011E" w:rsidP="007A011E">
      <w:pPr>
        <w:pStyle w:val="Sidehoved"/>
        <w:tabs>
          <w:tab w:val="left" w:pos="851"/>
        </w:tabs>
        <w:ind w:left="851"/>
        <w:rPr>
          <w:szCs w:val="24"/>
          <w:lang w:val="en-GB"/>
        </w:rPr>
      </w:pPr>
      <w:r w:rsidRPr="007A011E">
        <w:rPr>
          <w:szCs w:val="24"/>
          <w:lang w:val="en-GB"/>
        </w:rPr>
        <w:t>common (≥ 1/100 to &lt; 1/10),</w:t>
      </w:r>
    </w:p>
    <w:p w:rsidR="007A011E" w:rsidRPr="007A011E" w:rsidRDefault="007A011E" w:rsidP="007A011E">
      <w:pPr>
        <w:pStyle w:val="Sidehoved"/>
        <w:tabs>
          <w:tab w:val="left" w:pos="851"/>
        </w:tabs>
        <w:ind w:left="851"/>
        <w:rPr>
          <w:szCs w:val="24"/>
          <w:lang w:val="en-GB"/>
        </w:rPr>
      </w:pPr>
      <w:r w:rsidRPr="007A011E">
        <w:rPr>
          <w:szCs w:val="24"/>
          <w:lang w:val="en-GB"/>
        </w:rPr>
        <w:t>uncommon (≥ 1/1,000 to &lt; 1/100)</w:t>
      </w:r>
    </w:p>
    <w:p w:rsidR="007A011E" w:rsidRPr="007A011E" w:rsidRDefault="007A011E" w:rsidP="007A011E">
      <w:pPr>
        <w:pStyle w:val="Sidehoved"/>
        <w:tabs>
          <w:tab w:val="left" w:pos="851"/>
        </w:tabs>
        <w:ind w:left="851"/>
        <w:rPr>
          <w:szCs w:val="24"/>
          <w:lang w:val="en-GB"/>
        </w:rPr>
      </w:pPr>
      <w:r w:rsidRPr="007A011E">
        <w:rPr>
          <w:szCs w:val="24"/>
          <w:lang w:val="en-GB"/>
        </w:rPr>
        <w:t>rare (≥ 1/10,000 to &lt; 1/1,000)</w:t>
      </w:r>
    </w:p>
    <w:p w:rsidR="007A011E" w:rsidRPr="007A011E" w:rsidRDefault="007A011E" w:rsidP="007A011E">
      <w:pPr>
        <w:pStyle w:val="Sidehoved"/>
        <w:tabs>
          <w:tab w:val="left" w:pos="851"/>
        </w:tabs>
        <w:ind w:left="851"/>
        <w:rPr>
          <w:szCs w:val="24"/>
          <w:lang w:val="en-GB"/>
        </w:rPr>
      </w:pPr>
      <w:r w:rsidRPr="007A011E">
        <w:rPr>
          <w:szCs w:val="24"/>
          <w:lang w:val="en-GB"/>
        </w:rPr>
        <w:t>very rare (&lt; 1/10,000)</w:t>
      </w:r>
    </w:p>
    <w:p w:rsidR="007A011E" w:rsidRPr="007A011E" w:rsidRDefault="007A011E" w:rsidP="007A011E">
      <w:pPr>
        <w:pStyle w:val="Sidehoved"/>
        <w:tabs>
          <w:tab w:val="left" w:pos="851"/>
        </w:tabs>
        <w:ind w:left="851"/>
        <w:rPr>
          <w:szCs w:val="24"/>
          <w:lang w:val="en-GB"/>
        </w:rPr>
      </w:pPr>
      <w:r w:rsidRPr="007A011E">
        <w:rPr>
          <w:szCs w:val="24"/>
          <w:lang w:val="en-GB"/>
        </w:rPr>
        <w:t>not known (cannot be estimated from the available data)</w:t>
      </w:r>
    </w:p>
    <w:p w:rsidR="001C47FA" w:rsidRDefault="001C47FA">
      <w:pPr>
        <w:rPr>
          <w:sz w:val="24"/>
          <w:szCs w:val="24"/>
          <w:lang w:val="en-GB"/>
        </w:rPr>
      </w:pPr>
      <w:r>
        <w:rPr>
          <w:szCs w:val="24"/>
          <w:lang w:val="en-GB"/>
        </w:rPr>
        <w:br w:type="page"/>
      </w:r>
    </w:p>
    <w:p w:rsidR="007A011E" w:rsidRPr="007A011E" w:rsidRDefault="007A011E" w:rsidP="007A011E">
      <w:pPr>
        <w:pStyle w:val="Sidehoved"/>
        <w:tabs>
          <w:tab w:val="left" w:pos="851"/>
        </w:tabs>
        <w:ind w:left="851"/>
        <w:rPr>
          <w:szCs w:val="24"/>
          <w:lang w:val="en-GB"/>
        </w:rPr>
      </w:pPr>
    </w:p>
    <w:p w:rsidR="00113DAE" w:rsidRPr="00113DAE" w:rsidRDefault="007A011E" w:rsidP="008976FF">
      <w:pPr>
        <w:suppressAutoHyphens/>
        <w:rPr>
          <w:b/>
          <w:sz w:val="24"/>
          <w:szCs w:val="24"/>
          <w:lang w:val="en-US" w:eastAsia="el-GR"/>
        </w:rPr>
      </w:pPr>
      <w:r w:rsidRPr="007A011E">
        <w:rPr>
          <w:b/>
          <w:szCs w:val="24"/>
          <w:lang w:val="en-GB"/>
        </w:rPr>
        <w:t xml:space="preserve">Table 3: </w:t>
      </w:r>
      <w:r w:rsidR="00113DAE" w:rsidRPr="00113DAE">
        <w:rPr>
          <w:b/>
          <w:szCs w:val="24"/>
          <w:lang w:val="en-US" w:eastAsia="el-GR"/>
        </w:rPr>
        <w:t>All adverse reactions reported in adult patients in phase III clinical studies or through post-marketing use*</w:t>
      </w:r>
      <w:r w:rsidR="00113DAE">
        <w:rPr>
          <w:b/>
          <w:bCs/>
          <w:color w:val="000000"/>
          <w:sz w:val="22"/>
          <w:szCs w:val="22"/>
          <w:lang w:val="en-US" w:eastAsia="el-GR"/>
        </w:rPr>
        <w:t xml:space="preserve"> </w:t>
      </w:r>
      <w:r w:rsidR="00113DAE">
        <w:rPr>
          <w:b/>
          <w:bCs/>
          <w:szCs w:val="24"/>
          <w:lang w:val="en-US" w:eastAsia="el-GR"/>
        </w:rPr>
        <w:t>and in two phase II and two phase III studies in paediatric patients</w:t>
      </w:r>
    </w:p>
    <w:p w:rsidR="007A011E" w:rsidRPr="00113DAE" w:rsidRDefault="007A011E" w:rsidP="007A011E">
      <w:pPr>
        <w:pStyle w:val="Sidehoved"/>
        <w:tabs>
          <w:tab w:val="left" w:pos="851"/>
        </w:tabs>
        <w:ind w:left="851"/>
        <w:rPr>
          <w:b/>
          <w:szCs w:val="24"/>
          <w:lang w:val="en-US"/>
        </w:rPr>
      </w:pPr>
    </w:p>
    <w:tbl>
      <w:tblPr>
        <w:tblStyle w:val="Tabel-Gitter"/>
        <w:tblW w:w="5000" w:type="pct"/>
        <w:jc w:val="center"/>
        <w:tblCellMar>
          <w:left w:w="85" w:type="dxa"/>
          <w:right w:w="85" w:type="dxa"/>
        </w:tblCellMar>
        <w:tblLook w:val="04A0" w:firstRow="1" w:lastRow="0" w:firstColumn="1" w:lastColumn="0" w:noHBand="0" w:noVBand="1"/>
      </w:tblPr>
      <w:tblGrid>
        <w:gridCol w:w="1834"/>
        <w:gridCol w:w="2124"/>
        <w:gridCol w:w="2053"/>
        <w:gridCol w:w="1966"/>
        <w:gridCol w:w="1641"/>
        <w:gridCol w:w="10"/>
      </w:tblGrid>
      <w:tr w:rsidR="007A011E" w:rsidRPr="007A011E" w:rsidTr="008976FF">
        <w:trPr>
          <w:gridAfter w:val="1"/>
          <w:wAfter w:w="4" w:type="pct"/>
          <w:tblHeader/>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b/>
                <w:bCs/>
                <w:szCs w:val="24"/>
                <w:lang w:val="en-GB"/>
              </w:rPr>
            </w:pPr>
            <w:r w:rsidRPr="007A011E">
              <w:rPr>
                <w:b/>
                <w:bCs/>
                <w:szCs w:val="24"/>
                <w:lang w:val="en-GB"/>
              </w:rPr>
              <w:t>Common</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Uncommon</w:t>
            </w: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b/>
                <w:bCs/>
                <w:szCs w:val="24"/>
                <w:lang w:val="en-GB"/>
              </w:rPr>
            </w:pPr>
            <w:r w:rsidRPr="007A011E">
              <w:rPr>
                <w:b/>
                <w:bCs/>
                <w:szCs w:val="24"/>
                <w:lang w:val="en-GB"/>
              </w:rPr>
              <w:t>Rare</w:t>
            </w:r>
          </w:p>
        </w:tc>
        <w:tc>
          <w:tcPr>
            <w:tcW w:w="1021"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1"/>
              <w:rPr>
                <w:b/>
                <w:bCs/>
                <w:szCs w:val="24"/>
                <w:lang w:val="en-GB"/>
              </w:rPr>
            </w:pPr>
            <w:r w:rsidRPr="007A011E">
              <w:rPr>
                <w:b/>
                <w:bCs/>
                <w:szCs w:val="24"/>
                <w:lang w:val="en-GB"/>
              </w:rPr>
              <w:t>Very rare</w:t>
            </w:r>
          </w:p>
        </w:tc>
        <w:tc>
          <w:tcPr>
            <w:tcW w:w="85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Not known</w:t>
            </w:r>
          </w:p>
        </w:tc>
      </w:tr>
      <w:tr w:rsidR="007A011E" w:rsidRPr="00DE5006"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Blood and lymphatic system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Anaemia (incl. respective laboratory parameters</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Thrombocytosis (incl. platelet count increase</w:t>
            </w:r>
            <w:r w:rsidR="00113DAE">
              <w:rPr>
                <w:szCs w:val="24"/>
                <w:lang w:val="en-GB"/>
              </w:rPr>
              <w:t>d</w:t>
            </w:r>
            <w:r w:rsidRPr="007A011E">
              <w:rPr>
                <w:szCs w:val="24"/>
                <w:lang w:val="en-GB"/>
              </w:rPr>
              <w:t>)</w:t>
            </w:r>
            <w:r w:rsidRPr="007A011E">
              <w:rPr>
                <w:szCs w:val="24"/>
                <w:vertAlign w:val="superscript"/>
                <w:lang w:val="en-GB"/>
              </w:rPr>
              <w:t>A</w:t>
            </w:r>
            <w:r w:rsidRPr="007A011E">
              <w:rPr>
                <w:szCs w:val="24"/>
                <w:lang w:val="en-GB"/>
              </w:rPr>
              <w:t>, Thrombocytopenia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Immune system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tcPr>
          <w:p w:rsidR="007A011E" w:rsidRPr="007A011E" w:rsidRDefault="007A011E" w:rsidP="00160019">
            <w:pPr>
              <w:pStyle w:val="Sidehoved"/>
              <w:ind w:left="52"/>
              <w:rPr>
                <w:szCs w:val="24"/>
                <w:lang w:val="en-GB"/>
              </w:rPr>
            </w:pP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Allergic reaction, dermatitis allergic, Angioedema and allergic oedema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1"/>
              <w:rPr>
                <w:szCs w:val="24"/>
                <w:lang w:val="en-GB"/>
              </w:rPr>
            </w:pPr>
            <w:r w:rsidRPr="007A011E">
              <w:rPr>
                <w:szCs w:val="24"/>
                <w:lang w:val="en-GB"/>
              </w:rPr>
              <w:t>Anaphylactic reactions including anaphylactic shock</w:t>
            </w: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Nervous system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Dizziness, headache</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Cerebral and intracranial haemorrhage, syncope</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Eye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Eye haemorrhage (incl. conjunctival haemorrhage)</w:t>
            </w:r>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Cardiac disorders</w:t>
            </w:r>
          </w:p>
        </w:tc>
      </w:tr>
      <w:tr w:rsidR="007A011E" w:rsidRPr="007A011E"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tcPr>
          <w:p w:rsidR="007A011E" w:rsidRPr="007A011E" w:rsidRDefault="007A011E" w:rsidP="00160019">
            <w:pPr>
              <w:pStyle w:val="Sidehoved"/>
              <w:ind w:left="52"/>
              <w:rPr>
                <w:szCs w:val="24"/>
                <w:lang w:val="en-GB"/>
              </w:rPr>
            </w:pP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Tachycardia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Vascular disorders</w:t>
            </w:r>
          </w:p>
        </w:tc>
      </w:tr>
      <w:tr w:rsidR="007A011E" w:rsidRPr="007A011E"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Hypotension, haematoma</w:t>
            </w:r>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E5006"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Respiratory, thoracic and mediastinal disorders</w:t>
            </w:r>
          </w:p>
        </w:tc>
      </w:tr>
      <w:tr w:rsidR="007A011E" w:rsidRPr="007A011E"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Epistaxis, haemoptysis</w:t>
            </w:r>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113DAE" w:rsidP="00D442F8">
            <w:pPr>
              <w:pStyle w:val="Sidehoved"/>
              <w:ind w:left="41"/>
              <w:rPr>
                <w:szCs w:val="24"/>
                <w:lang w:val="en-GB"/>
              </w:rPr>
            </w:pPr>
            <w:r>
              <w:rPr>
                <w:sz w:val="22"/>
                <w:szCs w:val="22"/>
              </w:rPr>
              <w:t>Eosinophilic pneumonia</w:t>
            </w: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Gastrointestinal disorders</w:t>
            </w:r>
          </w:p>
        </w:tc>
      </w:tr>
      <w:tr w:rsidR="007A011E" w:rsidRPr="007A011E"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Gingival bleeding, gastrointestinal tract haemorrhage (incl. rectal haemorrhage), gastrointestinal and abdominal pains, dyspepsia, nausea, constipation</w:t>
            </w:r>
            <w:r w:rsidRPr="007A011E">
              <w:rPr>
                <w:szCs w:val="24"/>
                <w:vertAlign w:val="superscript"/>
                <w:lang w:val="en-GB"/>
              </w:rPr>
              <w:t>A</w:t>
            </w:r>
            <w:r w:rsidRPr="007A011E">
              <w:rPr>
                <w:szCs w:val="24"/>
                <w:lang w:val="en-GB"/>
              </w:rPr>
              <w:t>, diarrhoea, vomiting</w:t>
            </w:r>
            <w:r w:rsidRPr="007A011E">
              <w:rPr>
                <w:szCs w:val="24"/>
                <w:vertAlign w:val="superscript"/>
                <w:lang w:val="en-GB"/>
              </w:rPr>
              <w:t xml:space="preserve"> A</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Dry mouth</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Hepatobiliary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Increase in transaminases</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Hepatic impairment,</w:t>
            </w:r>
          </w:p>
          <w:p w:rsidR="007A011E" w:rsidRPr="007A011E" w:rsidRDefault="007A011E" w:rsidP="00D442F8">
            <w:pPr>
              <w:pStyle w:val="Sidehoved"/>
              <w:rPr>
                <w:szCs w:val="24"/>
                <w:lang w:val="en-GB"/>
              </w:rPr>
            </w:pPr>
            <w:r w:rsidRPr="007A011E">
              <w:rPr>
                <w:szCs w:val="24"/>
                <w:lang w:val="en-GB"/>
              </w:rPr>
              <w:t>Increased bilirubin, increased blood alkaline phosphatase</w:t>
            </w:r>
            <w:r w:rsidRPr="007A011E">
              <w:rPr>
                <w:szCs w:val="24"/>
                <w:vertAlign w:val="superscript"/>
                <w:lang w:val="en-GB"/>
              </w:rPr>
              <w:t>A</w:t>
            </w:r>
            <w:r w:rsidRPr="007A011E">
              <w:rPr>
                <w:szCs w:val="24"/>
                <w:lang w:val="en-GB"/>
              </w:rPr>
              <w:t>, increased GGT</w:t>
            </w:r>
            <w:r w:rsidRPr="007A011E">
              <w:rPr>
                <w:szCs w:val="24"/>
                <w:vertAlign w:val="superscript"/>
                <w:lang w:val="en-GB"/>
              </w:rPr>
              <w:t>A</w:t>
            </w: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Jaundice, Bilirubin conjugated</w:t>
            </w:r>
          </w:p>
          <w:p w:rsidR="007A011E" w:rsidRPr="007A011E" w:rsidRDefault="007A011E" w:rsidP="00D442F8">
            <w:pPr>
              <w:pStyle w:val="Sidehoved"/>
              <w:ind w:left="40"/>
              <w:rPr>
                <w:szCs w:val="24"/>
                <w:lang w:val="en-GB"/>
              </w:rPr>
            </w:pPr>
            <w:r w:rsidRPr="007A011E">
              <w:rPr>
                <w:szCs w:val="24"/>
                <w:lang w:val="en-GB"/>
              </w:rPr>
              <w:t>increased (with or without concomitant increase of ALT), Cholestasis, Hepatitis (incl. hepatocellular injury)</w:t>
            </w: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E5006"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Skin and subcutaneous tissue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Pruritus (incl. uncommon cases of generalised pruritus), rash, ecchymosis, cutaneous and subcutaneous haemorrhage</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Urticaria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1"/>
              <w:rPr>
                <w:szCs w:val="24"/>
                <w:lang w:val="en-GB"/>
              </w:rPr>
            </w:pPr>
            <w:r w:rsidRPr="007A011E">
              <w:rPr>
                <w:szCs w:val="24"/>
                <w:lang w:val="en-GB"/>
              </w:rPr>
              <w:t>Stevens-Johnson</w:t>
            </w:r>
            <w:r w:rsidR="00D442F8">
              <w:rPr>
                <w:szCs w:val="24"/>
                <w:lang w:val="en-GB"/>
              </w:rPr>
              <w:t>'s</w:t>
            </w:r>
            <w:r w:rsidRPr="007A011E">
              <w:rPr>
                <w:szCs w:val="24"/>
                <w:lang w:val="en-GB"/>
              </w:rPr>
              <w:t xml:space="preserve"> syndrome/Toxic Epidermal Necrolysis, DRESS syndrome</w:t>
            </w: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E5006"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Musculoskeletal and connective tissue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Pain in extremity</w:t>
            </w:r>
            <w:r w:rsidRPr="007A011E">
              <w:rPr>
                <w:szCs w:val="24"/>
                <w:vertAlign w:val="superscript"/>
                <w:lang w:val="en-GB"/>
              </w:rPr>
              <w:t>A</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Haemarthrosis</w:t>
            </w: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Muscle haemorrhage</w:t>
            </w: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Compartment syndrome secondary to a bleeding</w:t>
            </w: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Renal and urinary disorders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Urogenital tract haemorrhage (incl.</w:t>
            </w:r>
          </w:p>
          <w:p w:rsidR="007A011E" w:rsidRPr="007A011E" w:rsidRDefault="007A011E" w:rsidP="00160019">
            <w:pPr>
              <w:pStyle w:val="Sidehoved"/>
              <w:ind w:left="52"/>
              <w:rPr>
                <w:szCs w:val="24"/>
                <w:lang w:val="en-GB"/>
              </w:rPr>
            </w:pPr>
            <w:r w:rsidRPr="007A011E">
              <w:rPr>
                <w:szCs w:val="24"/>
                <w:lang w:val="en-GB"/>
              </w:rPr>
              <w:t>haematuria and menorrhagia</w:t>
            </w:r>
            <w:r w:rsidRPr="007A011E">
              <w:rPr>
                <w:szCs w:val="24"/>
                <w:vertAlign w:val="superscript"/>
                <w:lang w:val="en-GB"/>
              </w:rPr>
              <w:t>B</w:t>
            </w:r>
            <w:r w:rsidRPr="007A011E">
              <w:rPr>
                <w:szCs w:val="24"/>
                <w:lang w:val="en-GB"/>
              </w:rPr>
              <w:t>), renal impairment (incl. blood creatinine increased, blood urea increased)</w:t>
            </w:r>
            <w:r w:rsidRPr="007A011E">
              <w:rPr>
                <w:szCs w:val="24"/>
                <w:vertAlign w:val="superscript"/>
                <w:lang w:val="en-GB"/>
              </w:rPr>
              <w:t>A</w:t>
            </w:r>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Renal failure/acute renal failure</w:t>
            </w:r>
          </w:p>
          <w:p w:rsidR="007A011E" w:rsidRPr="00113DAE" w:rsidRDefault="007A011E" w:rsidP="00D442F8">
            <w:pPr>
              <w:pStyle w:val="Sidehoved"/>
              <w:rPr>
                <w:szCs w:val="24"/>
                <w:lang w:val="en-US"/>
              </w:rPr>
            </w:pPr>
            <w:r w:rsidRPr="007A011E">
              <w:rPr>
                <w:szCs w:val="24"/>
                <w:lang w:val="en-GB"/>
              </w:rPr>
              <w:t>secondary to a bleeding sufficient to cause hypoperfusion</w:t>
            </w:r>
            <w:r w:rsidR="00113DAE">
              <w:rPr>
                <w:szCs w:val="24"/>
                <w:lang w:val="en-GB"/>
              </w:rPr>
              <w:t xml:space="preserve">, </w:t>
            </w:r>
            <w:r w:rsidR="00113DAE" w:rsidRPr="00113DAE">
              <w:rPr>
                <w:sz w:val="22"/>
                <w:szCs w:val="22"/>
                <w:lang w:val="en-US" w:eastAsia="el-GR"/>
              </w:rPr>
              <w:t>Anticoagulant-related nephropathy</w:t>
            </w:r>
          </w:p>
        </w:tc>
      </w:tr>
      <w:tr w:rsidR="007A011E" w:rsidRPr="00DE5006"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General disorders and administration site conditions</w:t>
            </w:r>
          </w:p>
        </w:tc>
      </w:tr>
      <w:tr w:rsidR="007A011E" w:rsidRPr="007A011E"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Fever</w:t>
            </w:r>
            <w:r w:rsidRPr="00E9429A">
              <w:rPr>
                <w:szCs w:val="24"/>
                <w:vertAlign w:val="superscript"/>
                <w:lang w:val="en-GB"/>
              </w:rPr>
              <w:t>A</w:t>
            </w:r>
            <w:r w:rsidRPr="007A011E">
              <w:rPr>
                <w:szCs w:val="24"/>
                <w:lang w:val="en-GB"/>
              </w:rPr>
              <w:t>, peripheral</w:t>
            </w:r>
          </w:p>
          <w:p w:rsidR="007A011E" w:rsidRPr="007A011E" w:rsidRDefault="007A011E" w:rsidP="00160019">
            <w:pPr>
              <w:pStyle w:val="Sidehoved"/>
              <w:ind w:left="52"/>
              <w:rPr>
                <w:szCs w:val="24"/>
                <w:lang w:val="en-GB"/>
              </w:rPr>
            </w:pPr>
            <w:r w:rsidRPr="007A011E">
              <w:rPr>
                <w:szCs w:val="24"/>
                <w:lang w:val="en-GB"/>
              </w:rPr>
              <w:t>oedema, decreased general strength and energy (incl. fatigue and asthenia)</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Feeling unwell</w:t>
            </w:r>
          </w:p>
          <w:p w:rsidR="007A011E" w:rsidRPr="007A011E" w:rsidRDefault="007A011E" w:rsidP="00D442F8">
            <w:pPr>
              <w:pStyle w:val="Sidehoved"/>
              <w:rPr>
                <w:szCs w:val="24"/>
                <w:lang w:val="en-GB"/>
              </w:rPr>
            </w:pPr>
            <w:r w:rsidRPr="007A011E">
              <w:rPr>
                <w:szCs w:val="24"/>
                <w:lang w:val="en-GB"/>
              </w:rPr>
              <w:t>(incl. malaise)</w:t>
            </w: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Localised oedema</w:t>
            </w:r>
            <w:r w:rsidRPr="00E9429A">
              <w:rPr>
                <w:szCs w:val="24"/>
                <w:vertAlign w:val="superscript"/>
                <w:lang w:val="en-GB"/>
              </w:rPr>
              <w:t>A</w:t>
            </w: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Investigations</w:t>
            </w:r>
          </w:p>
        </w:tc>
      </w:tr>
      <w:tr w:rsidR="007A011E" w:rsidRPr="00DE5006"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tcPr>
          <w:p w:rsidR="007A011E" w:rsidRPr="007A011E" w:rsidRDefault="007A011E" w:rsidP="00160019">
            <w:pPr>
              <w:pStyle w:val="Sidehoved"/>
              <w:ind w:left="52"/>
              <w:rPr>
                <w:szCs w:val="24"/>
                <w:lang w:val="en-GB"/>
              </w:rPr>
            </w:pP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Increased LDH</w:t>
            </w:r>
            <w:r w:rsidRPr="00352B3E">
              <w:rPr>
                <w:szCs w:val="24"/>
                <w:vertAlign w:val="superscript"/>
                <w:lang w:val="en-GB"/>
              </w:rPr>
              <w:t>A</w:t>
            </w:r>
            <w:r w:rsidRPr="007A011E">
              <w:rPr>
                <w:szCs w:val="24"/>
                <w:lang w:val="en-GB"/>
              </w:rPr>
              <w:t>, increased lipase</w:t>
            </w:r>
            <w:r w:rsidRPr="00352B3E">
              <w:rPr>
                <w:szCs w:val="24"/>
                <w:vertAlign w:val="superscript"/>
                <w:lang w:val="en-GB"/>
              </w:rPr>
              <w:t>A</w:t>
            </w:r>
            <w:r w:rsidRPr="007A011E">
              <w:rPr>
                <w:szCs w:val="24"/>
                <w:lang w:val="en-GB"/>
              </w:rPr>
              <w:t>, increased amylase</w:t>
            </w:r>
            <w:r w:rsidRPr="00352B3E">
              <w:rPr>
                <w:szCs w:val="24"/>
                <w:vertAlign w:val="superscript"/>
                <w:lang w:val="en-GB"/>
              </w:rPr>
              <w:t>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E5006" w:rsidTr="008976F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Injury, poisoning and procedural complications</w:t>
            </w:r>
          </w:p>
        </w:tc>
      </w:tr>
      <w:tr w:rsidR="007A011E" w:rsidRPr="007A011E" w:rsidTr="008976FF">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Post-procedural haemorrhage (incl. postoperative anaemia, and wound haemorrhage), contusion, wound secretion</w:t>
            </w:r>
            <w:r w:rsidRPr="00352B3E">
              <w:rPr>
                <w:szCs w:val="24"/>
                <w:vertAlign w:val="superscript"/>
                <w:lang w:val="en-GB"/>
              </w:rPr>
              <w:t>A</w:t>
            </w:r>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Vascular pseudo aneurysm</w:t>
            </w:r>
            <w:r w:rsidRPr="00352B3E">
              <w:rPr>
                <w:szCs w:val="24"/>
                <w:vertAlign w:val="superscript"/>
                <w:lang w:val="en-GB"/>
              </w:rPr>
              <w:t>C</w:t>
            </w: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bl>
    <w:p w:rsidR="007A011E" w:rsidRPr="007C09A3" w:rsidRDefault="007A011E" w:rsidP="007C09A3">
      <w:pPr>
        <w:pStyle w:val="Sidehoved"/>
        <w:ind w:left="426" w:hanging="426"/>
        <w:rPr>
          <w:szCs w:val="24"/>
          <w:lang w:val="en-GB"/>
        </w:rPr>
      </w:pPr>
      <w:r w:rsidRPr="007C09A3">
        <w:rPr>
          <w:szCs w:val="24"/>
          <w:lang w:val="en-GB"/>
        </w:rPr>
        <w:t xml:space="preserve">A: </w:t>
      </w:r>
      <w:r w:rsidR="007C09A3">
        <w:rPr>
          <w:szCs w:val="24"/>
          <w:lang w:val="en-GB"/>
        </w:rPr>
        <w:tab/>
      </w:r>
      <w:r w:rsidRPr="007C09A3">
        <w:rPr>
          <w:szCs w:val="24"/>
          <w:lang w:val="en-GB"/>
        </w:rPr>
        <w:t>observed in prevention of VTE in adult patients undergoing elective hip or knee replacement surgery</w:t>
      </w:r>
    </w:p>
    <w:p w:rsidR="007A011E" w:rsidRPr="007C09A3" w:rsidRDefault="007A011E" w:rsidP="007C09A3">
      <w:pPr>
        <w:pStyle w:val="Sidehoved"/>
        <w:ind w:left="426" w:hanging="426"/>
        <w:rPr>
          <w:szCs w:val="24"/>
          <w:lang w:val="en-GB"/>
        </w:rPr>
      </w:pPr>
      <w:r w:rsidRPr="007C09A3">
        <w:rPr>
          <w:szCs w:val="24"/>
          <w:lang w:val="en-GB"/>
        </w:rPr>
        <w:t xml:space="preserve">B: </w:t>
      </w:r>
      <w:r w:rsidR="007C09A3">
        <w:rPr>
          <w:szCs w:val="24"/>
          <w:lang w:val="en-GB"/>
        </w:rPr>
        <w:tab/>
      </w:r>
      <w:r w:rsidRPr="007C09A3">
        <w:rPr>
          <w:szCs w:val="24"/>
          <w:lang w:val="en-GB"/>
        </w:rPr>
        <w:t>observed in treatment of DVT, PE and prevention of recurrence as very common in women &lt; 55 years</w:t>
      </w:r>
    </w:p>
    <w:p w:rsidR="007A011E" w:rsidRPr="007C09A3" w:rsidRDefault="007A011E" w:rsidP="007C09A3">
      <w:pPr>
        <w:pStyle w:val="Sidehoved"/>
        <w:ind w:left="426" w:hanging="426"/>
        <w:rPr>
          <w:szCs w:val="24"/>
          <w:lang w:val="en-GB"/>
        </w:rPr>
      </w:pPr>
      <w:r w:rsidRPr="007C09A3">
        <w:rPr>
          <w:szCs w:val="24"/>
          <w:lang w:val="en-GB"/>
        </w:rPr>
        <w:t xml:space="preserve">C: </w:t>
      </w:r>
      <w:r w:rsidR="007C09A3">
        <w:rPr>
          <w:szCs w:val="24"/>
          <w:lang w:val="en-GB"/>
        </w:rPr>
        <w:tab/>
      </w:r>
      <w:r w:rsidRPr="007C09A3">
        <w:rPr>
          <w:szCs w:val="24"/>
          <w:lang w:val="en-GB"/>
        </w:rPr>
        <w:t>observed as uncommon in prevention of atherothrombotic events in patients after an ACS (following percutaneous coronary intervention)</w:t>
      </w:r>
    </w:p>
    <w:p w:rsidR="00113DAE" w:rsidRPr="007C09A3" w:rsidRDefault="00113DAE" w:rsidP="007C09A3">
      <w:pPr>
        <w:suppressAutoHyphens/>
        <w:ind w:left="426" w:hanging="426"/>
        <w:rPr>
          <w:sz w:val="24"/>
          <w:szCs w:val="24"/>
          <w:lang w:val="en-US" w:eastAsia="el-GR"/>
        </w:rPr>
      </w:pPr>
      <w:r w:rsidRPr="007C09A3">
        <w:rPr>
          <w:sz w:val="24"/>
          <w:szCs w:val="24"/>
          <w:lang w:val="en-US" w:eastAsia="el-GR"/>
        </w:rPr>
        <w:t xml:space="preserve">* </w:t>
      </w:r>
      <w:r w:rsidR="007C09A3">
        <w:rPr>
          <w:sz w:val="24"/>
          <w:szCs w:val="24"/>
          <w:lang w:val="en-US" w:eastAsia="el-GR"/>
        </w:rPr>
        <w:tab/>
      </w:r>
      <w:r w:rsidRPr="007C09A3">
        <w:rPr>
          <w:sz w:val="24"/>
          <w:szCs w:val="24"/>
          <w:lang w:val="en-US" w:eastAsia="el-GR"/>
        </w:rPr>
        <w:t>A pre-specified selective approach to adverse event collection was applied in selected phase III studies. The incidence of adverse reactions did not increase and no new adverse drug reaction was identified after analysis of these studies.</w:t>
      </w:r>
    </w:p>
    <w:p w:rsidR="007A011E" w:rsidRPr="00113DAE" w:rsidRDefault="007A011E" w:rsidP="007A011E">
      <w:pPr>
        <w:pStyle w:val="Sidehoved"/>
        <w:tabs>
          <w:tab w:val="left" w:pos="851"/>
        </w:tabs>
        <w:ind w:left="851"/>
        <w:rPr>
          <w:szCs w:val="24"/>
          <w:lang w:val="en-US"/>
        </w:rPr>
      </w:pPr>
    </w:p>
    <w:p w:rsidR="007A011E" w:rsidRPr="007A011E" w:rsidRDefault="007A011E" w:rsidP="007A011E">
      <w:pPr>
        <w:pStyle w:val="Sidehoved"/>
        <w:tabs>
          <w:tab w:val="left" w:pos="851"/>
        </w:tabs>
        <w:ind w:left="851"/>
        <w:rPr>
          <w:szCs w:val="24"/>
          <w:u w:val="single"/>
          <w:lang w:val="en-GB"/>
        </w:rPr>
      </w:pPr>
      <w:r w:rsidRPr="007A011E">
        <w:rPr>
          <w:szCs w:val="24"/>
          <w:u w:val="single"/>
          <w:lang w:val="en-GB"/>
        </w:rPr>
        <w:t>Description of selected adverse reactions</w:t>
      </w:r>
    </w:p>
    <w:p w:rsidR="007A011E" w:rsidRPr="007A011E" w:rsidRDefault="007A011E" w:rsidP="007A011E">
      <w:pPr>
        <w:pStyle w:val="Sidehoved"/>
        <w:tabs>
          <w:tab w:val="left" w:pos="851"/>
        </w:tabs>
        <w:ind w:left="851"/>
        <w:rPr>
          <w:szCs w:val="24"/>
          <w:lang w:val="en-GB"/>
        </w:rPr>
      </w:pPr>
      <w:r w:rsidRPr="007A011E">
        <w:rPr>
          <w:szCs w:val="24"/>
          <w:lang w:val="en-GB"/>
        </w:rPr>
        <w:t>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studies mucosal bleedings (i.e. epistaxis, gingival, gastrointestinal, genito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 Haemorrhagic complications may present as weakness, paleness, dizziness, headache or unexplained swelling, dyspnoea and unexplained shock. In some cases as a consequence of anaemia, symptoms of cardiac ischaemia like chest pain or angina pectoris have been observed.</w:t>
      </w:r>
    </w:p>
    <w:p w:rsidR="00113DAE" w:rsidRPr="00113DAE" w:rsidRDefault="00113DAE" w:rsidP="007C09A3">
      <w:pPr>
        <w:suppressAutoHyphens/>
        <w:ind w:left="851"/>
        <w:rPr>
          <w:sz w:val="24"/>
          <w:szCs w:val="24"/>
          <w:lang w:val="en-US" w:eastAsia="el-GR"/>
        </w:rPr>
      </w:pPr>
      <w:r w:rsidRPr="00113DAE">
        <w:rPr>
          <w:szCs w:val="24"/>
          <w:lang w:val="en-US" w:eastAsia="el-GR"/>
        </w:rPr>
        <w:t>Known complications secondary to severe bleeding such as compartment syndrome and renal failure due to hypoperfusion, or anticoagulant-related nephropathy have been reported for rivaroxaban. Therefore, the possibility of haemorrhage is to be considered in evaluating the condition in any anticoagulated patient.</w:t>
      </w:r>
    </w:p>
    <w:p w:rsidR="001C47FA" w:rsidRDefault="001C47FA">
      <w:pPr>
        <w:rPr>
          <w:sz w:val="24"/>
          <w:szCs w:val="24"/>
          <w:lang w:val="en-GB"/>
        </w:rPr>
      </w:pPr>
      <w:r>
        <w:rPr>
          <w:szCs w:val="24"/>
          <w:lang w:val="en-GB"/>
        </w:rPr>
        <w:br w:type="page"/>
      </w:r>
    </w:p>
    <w:p w:rsidR="007A011E" w:rsidRPr="007A011E" w:rsidRDefault="007A011E" w:rsidP="007A011E">
      <w:pPr>
        <w:pStyle w:val="Sidehoved"/>
        <w:tabs>
          <w:tab w:val="left" w:pos="851"/>
        </w:tabs>
        <w:ind w:left="851"/>
        <w:rPr>
          <w:szCs w:val="24"/>
          <w:lang w:val="en-GB"/>
        </w:rPr>
      </w:pPr>
    </w:p>
    <w:p w:rsidR="007A011E" w:rsidRPr="007A011E" w:rsidRDefault="007A011E" w:rsidP="007A011E">
      <w:pPr>
        <w:pStyle w:val="Sidehoved"/>
        <w:tabs>
          <w:tab w:val="left" w:pos="851"/>
        </w:tabs>
        <w:ind w:left="851"/>
        <w:rPr>
          <w:szCs w:val="24"/>
          <w:u w:val="single"/>
          <w:lang w:val="en-GB"/>
        </w:rPr>
      </w:pPr>
      <w:r w:rsidRPr="007A011E">
        <w:rPr>
          <w:szCs w:val="24"/>
          <w:u w:val="single"/>
          <w:lang w:val="en-GB"/>
        </w:rPr>
        <w:t>Reporting of suspected adverse reactions</w:t>
      </w:r>
    </w:p>
    <w:p w:rsidR="00121227" w:rsidRDefault="007A011E" w:rsidP="007A011E">
      <w:pPr>
        <w:pStyle w:val="Sidehoved"/>
        <w:tabs>
          <w:tab w:val="left" w:pos="851"/>
        </w:tabs>
        <w:ind w:left="851"/>
        <w:rPr>
          <w:szCs w:val="24"/>
          <w:lang w:val="en-GB"/>
        </w:rPr>
      </w:pPr>
      <w:r w:rsidRPr="007A011E">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121227">
        <w:rPr>
          <w:szCs w:val="24"/>
          <w:lang w:val="en-GB"/>
        </w:rPr>
        <w:t>:</w:t>
      </w:r>
    </w:p>
    <w:p w:rsidR="00121227" w:rsidRDefault="00121227" w:rsidP="007A011E">
      <w:pPr>
        <w:pStyle w:val="Sidehoved"/>
        <w:tabs>
          <w:tab w:val="left" w:pos="851"/>
        </w:tabs>
        <w:ind w:left="851"/>
        <w:rPr>
          <w:szCs w:val="24"/>
          <w:lang w:val="en-GB"/>
        </w:rPr>
      </w:pPr>
    </w:p>
    <w:p w:rsidR="00121227" w:rsidRDefault="00121227" w:rsidP="00121227">
      <w:pPr>
        <w:ind w:left="851"/>
        <w:rPr>
          <w:sz w:val="24"/>
          <w:szCs w:val="24"/>
        </w:rPr>
      </w:pPr>
      <w:r>
        <w:rPr>
          <w:sz w:val="24"/>
          <w:szCs w:val="24"/>
        </w:rPr>
        <w:t>Lægemiddelstyrelsen</w:t>
      </w:r>
    </w:p>
    <w:p w:rsidR="00121227" w:rsidRDefault="00121227" w:rsidP="00121227">
      <w:pPr>
        <w:ind w:left="851"/>
        <w:rPr>
          <w:sz w:val="24"/>
          <w:szCs w:val="24"/>
        </w:rPr>
      </w:pPr>
      <w:r>
        <w:rPr>
          <w:sz w:val="24"/>
          <w:szCs w:val="24"/>
        </w:rPr>
        <w:t>Axel Heides Gade 1</w:t>
      </w:r>
    </w:p>
    <w:p w:rsidR="00121227" w:rsidRDefault="00121227" w:rsidP="00121227">
      <w:pPr>
        <w:ind w:left="851"/>
        <w:rPr>
          <w:sz w:val="24"/>
          <w:szCs w:val="24"/>
        </w:rPr>
      </w:pPr>
      <w:r>
        <w:rPr>
          <w:sz w:val="24"/>
          <w:szCs w:val="24"/>
        </w:rPr>
        <w:t>DK-2300 København S</w:t>
      </w:r>
    </w:p>
    <w:p w:rsidR="00121227" w:rsidRPr="00121227" w:rsidRDefault="00121227" w:rsidP="00121227">
      <w:pPr>
        <w:ind w:left="851"/>
        <w:rPr>
          <w:sz w:val="24"/>
          <w:szCs w:val="24"/>
          <w:lang w:val="en-US"/>
        </w:rPr>
      </w:pPr>
      <w:r w:rsidRPr="00121227">
        <w:rPr>
          <w:sz w:val="24"/>
          <w:szCs w:val="24"/>
          <w:lang w:val="en-US"/>
        </w:rPr>
        <w:t xml:space="preserve">Websted: </w:t>
      </w:r>
      <w:r w:rsidRPr="00121227">
        <w:rPr>
          <w:sz w:val="24"/>
          <w:lang w:val="en-US"/>
        </w:rPr>
        <w:t>www.meldenbivirkning.dk</w:t>
      </w:r>
    </w:p>
    <w:p w:rsidR="007C5D2A" w:rsidRPr="00303008" w:rsidRDefault="007C5D2A" w:rsidP="003E0341">
      <w:pPr>
        <w:pStyle w:val="Sidehoved"/>
        <w:tabs>
          <w:tab w:val="clear" w:pos="4819"/>
          <w:tab w:val="clear" w:pos="9638"/>
          <w:tab w:val="left" w:pos="851"/>
        </w:tabs>
        <w:ind w:left="851"/>
        <w:rPr>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113DAE" w:rsidRPr="007C09A3" w:rsidRDefault="00113DAE" w:rsidP="007C09A3">
      <w:pPr>
        <w:suppressAutoHyphens/>
        <w:ind w:left="851"/>
        <w:rPr>
          <w:sz w:val="24"/>
          <w:szCs w:val="24"/>
          <w:lang w:val="en-US" w:eastAsia="el-GR"/>
        </w:rPr>
      </w:pPr>
      <w:r w:rsidRPr="007C09A3">
        <w:rPr>
          <w:sz w:val="24"/>
          <w:szCs w:val="24"/>
          <w:lang w:val="en-US" w:eastAsia="el-GR"/>
        </w:rPr>
        <w:t xml:space="preserve">Rare cases of overdose up to 1,960 mg have been reported. </w:t>
      </w:r>
      <w:r w:rsidRPr="007C09A3">
        <w:rPr>
          <w:sz w:val="24"/>
          <w:szCs w:val="24"/>
          <w:lang w:val="en-US"/>
        </w:rPr>
        <w:t>In case of overdose, the patient should be observed carefully for</w:t>
      </w:r>
      <w:r w:rsidRPr="007C09A3">
        <w:rPr>
          <w:sz w:val="24"/>
          <w:szCs w:val="24"/>
          <w:lang w:val="en-US" w:eastAsia="el-GR"/>
        </w:rPr>
        <w:t xml:space="preserve"> bleeding complications or other adverse reactions (see section “Management of bleeding”). Due to limited absorption a ceiling effect with no further increase in average plasma exposure is expected at supratherapeutic doses of 50 mg rivaroxaban or above.</w:t>
      </w:r>
    </w:p>
    <w:p w:rsidR="00121227" w:rsidRPr="007C09A3" w:rsidRDefault="00121227" w:rsidP="007C09A3">
      <w:pPr>
        <w:tabs>
          <w:tab w:val="left" w:pos="851"/>
        </w:tabs>
        <w:ind w:left="851"/>
        <w:rPr>
          <w:sz w:val="24"/>
          <w:szCs w:val="24"/>
          <w:lang w:val="en-GB"/>
        </w:rPr>
      </w:pPr>
      <w:r w:rsidRPr="007C09A3">
        <w:rPr>
          <w:sz w:val="24"/>
          <w:szCs w:val="24"/>
          <w:lang w:val="en-GB"/>
        </w:rPr>
        <w:t xml:space="preserve">A specific reversal agent (andexanet alfa) antagonising the pharmacodynamic effect of rivaroxaban is available (refer to the Summary of Product Characteristics of andexanet alfa). The use of activated charcoal to reduce absorption in case of rivaroxaban overdose may be considered. </w:t>
      </w:r>
    </w:p>
    <w:p w:rsidR="00121227" w:rsidRPr="007C09A3" w:rsidRDefault="00121227" w:rsidP="007C09A3">
      <w:pPr>
        <w:tabs>
          <w:tab w:val="left" w:pos="851"/>
        </w:tabs>
        <w:ind w:left="851"/>
        <w:rPr>
          <w:sz w:val="24"/>
          <w:szCs w:val="24"/>
          <w:lang w:val="en-GB"/>
        </w:rPr>
      </w:pPr>
    </w:p>
    <w:p w:rsidR="00121227" w:rsidRPr="00121227" w:rsidRDefault="00121227" w:rsidP="00121227">
      <w:pPr>
        <w:tabs>
          <w:tab w:val="left" w:pos="851"/>
        </w:tabs>
        <w:ind w:left="851"/>
        <w:rPr>
          <w:sz w:val="24"/>
          <w:szCs w:val="24"/>
          <w:u w:val="single"/>
          <w:lang w:val="en-GB"/>
        </w:rPr>
      </w:pPr>
      <w:r w:rsidRPr="00121227">
        <w:rPr>
          <w:sz w:val="24"/>
          <w:szCs w:val="24"/>
          <w:u w:val="single"/>
          <w:lang w:val="en-GB"/>
        </w:rPr>
        <w:t>Management of bleeding</w:t>
      </w:r>
    </w:p>
    <w:p w:rsidR="00121227" w:rsidRPr="00121227" w:rsidRDefault="00121227" w:rsidP="00121227">
      <w:pPr>
        <w:tabs>
          <w:tab w:val="left" w:pos="851"/>
        </w:tabs>
        <w:ind w:left="851"/>
        <w:rPr>
          <w:sz w:val="24"/>
          <w:szCs w:val="24"/>
          <w:lang w:val="en-GB"/>
        </w:rPr>
      </w:pPr>
      <w:r w:rsidRPr="00121227">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121227" w:rsidRPr="00121227" w:rsidRDefault="00121227" w:rsidP="00121227">
      <w:pPr>
        <w:tabs>
          <w:tab w:val="left" w:pos="851"/>
        </w:tabs>
        <w:ind w:left="851"/>
        <w:rPr>
          <w:sz w:val="24"/>
          <w:szCs w:val="24"/>
          <w:lang w:val="en-GB"/>
        </w:rPr>
      </w:pPr>
    </w:p>
    <w:p w:rsidR="00121227" w:rsidRPr="00121227" w:rsidRDefault="00113DAE" w:rsidP="00121227">
      <w:pPr>
        <w:tabs>
          <w:tab w:val="left" w:pos="851"/>
        </w:tabs>
        <w:ind w:left="851"/>
        <w:rPr>
          <w:sz w:val="24"/>
          <w:szCs w:val="24"/>
          <w:lang w:val="en-GB"/>
        </w:rPr>
      </w:pPr>
      <w:r w:rsidRPr="00113DAE">
        <w:rPr>
          <w:szCs w:val="24"/>
          <w:lang w:val="en-US" w:eastAsia="el-GR"/>
        </w:rPr>
        <w:t xml:space="preserve">If bleeding cannot be controlled by the above measures, either the administration of a specific factor Xa inhibitor reversal agent (andexanet alfa), which antagonises the pharmacodynamic effect of rivaroxaban, or a specific procoagulant agent, such as prothrombin complex concentrate (PCC), activated prothrombin complex concentrate (APCC) or recombinant factor VIIa (r-FVIIa), should be considered. </w:t>
      </w:r>
      <w:r w:rsidR="00121227" w:rsidRPr="00121227">
        <w:rPr>
          <w:sz w:val="24"/>
          <w:szCs w:val="24"/>
          <w:lang w:val="en-GB"/>
        </w:rPr>
        <w:t>However, there is currently very limited clinical experience with the use of these medicinal products in individuals receiving rivaroxaban. The recommendation is also based on limited non-clinical data. Re-dosing of recombinant factor VIIa shall be considered and titrated depending on improvement of bleeding. Depending on local availability, a consultation with a coagulation expert should be considered in case of major bleedings (see section 5.1).</w:t>
      </w:r>
    </w:p>
    <w:p w:rsidR="00121227" w:rsidRPr="00121227" w:rsidRDefault="00121227" w:rsidP="00121227">
      <w:pPr>
        <w:tabs>
          <w:tab w:val="left" w:pos="851"/>
        </w:tabs>
        <w:ind w:left="851"/>
        <w:rPr>
          <w:sz w:val="24"/>
          <w:szCs w:val="24"/>
          <w:lang w:val="en-GB"/>
        </w:rPr>
      </w:pPr>
    </w:p>
    <w:p w:rsidR="00121227" w:rsidRPr="00121227" w:rsidRDefault="00121227" w:rsidP="00121227">
      <w:pPr>
        <w:tabs>
          <w:tab w:val="left" w:pos="851"/>
        </w:tabs>
        <w:ind w:left="851"/>
        <w:rPr>
          <w:sz w:val="24"/>
          <w:szCs w:val="24"/>
          <w:lang w:val="en-GB"/>
        </w:rPr>
      </w:pPr>
      <w:r w:rsidRPr="00121227">
        <w:rPr>
          <w:sz w:val="24"/>
          <w:szCs w:val="24"/>
          <w:lang w:val="en-GB"/>
        </w:rPr>
        <w:t>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dialysable.</w:t>
      </w:r>
    </w:p>
    <w:p w:rsidR="007C5D2A" w:rsidRPr="00121227"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EE21F9"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113DAE" w:rsidRPr="007C09A3" w:rsidRDefault="00113DAE" w:rsidP="007C09A3">
      <w:pPr>
        <w:suppressAutoHyphens/>
        <w:ind w:left="851"/>
        <w:rPr>
          <w:sz w:val="24"/>
          <w:szCs w:val="24"/>
          <w:lang w:val="en-US" w:eastAsia="el-GR"/>
        </w:rPr>
      </w:pPr>
      <w:r w:rsidRPr="007C09A3">
        <w:rPr>
          <w:sz w:val="24"/>
          <w:szCs w:val="24"/>
          <w:lang w:val="en-US" w:eastAsia="el-GR"/>
        </w:rPr>
        <w:t>Pharmacotherapeutic group: Antithrombotic agents, direct factor Xa inhibitors, ATC code: B01AF01</w:t>
      </w:r>
    </w:p>
    <w:p w:rsidR="00862D1E" w:rsidRPr="007C09A3" w:rsidRDefault="00862D1E" w:rsidP="007C09A3">
      <w:pPr>
        <w:suppressAutoHyphens/>
        <w:ind w:left="851"/>
        <w:rPr>
          <w:sz w:val="24"/>
          <w:szCs w:val="24"/>
          <w:u w:val="single"/>
          <w:lang w:val="en-US" w:eastAsia="el-GR"/>
        </w:rPr>
      </w:pPr>
    </w:p>
    <w:p w:rsidR="00DE3B28" w:rsidRPr="00862D1E" w:rsidRDefault="00DE3B28" w:rsidP="003B4812">
      <w:pPr>
        <w:suppressAutoHyphens/>
        <w:ind w:left="851"/>
        <w:rPr>
          <w:sz w:val="24"/>
          <w:szCs w:val="24"/>
          <w:u w:val="single"/>
          <w:lang w:val="en-US" w:eastAsia="el-GR"/>
        </w:rPr>
      </w:pPr>
      <w:r w:rsidRPr="00862D1E">
        <w:rPr>
          <w:sz w:val="24"/>
          <w:szCs w:val="24"/>
          <w:u w:val="single"/>
          <w:lang w:val="en-US" w:eastAsia="el-GR"/>
        </w:rPr>
        <w:t>Mechanism of action</w:t>
      </w:r>
    </w:p>
    <w:p w:rsidR="00DE3B28" w:rsidRPr="00862D1E" w:rsidRDefault="00DE3B28" w:rsidP="003B4812">
      <w:pPr>
        <w:suppressAutoHyphens/>
        <w:ind w:left="851"/>
        <w:rPr>
          <w:sz w:val="24"/>
          <w:szCs w:val="24"/>
          <w:lang w:val="en-US" w:eastAsia="el-GR"/>
        </w:rPr>
      </w:pPr>
      <w:r w:rsidRPr="00862D1E">
        <w:rPr>
          <w:sz w:val="24"/>
          <w:szCs w:val="24"/>
          <w:lang w:val="en-US" w:eastAsia="el-GR"/>
        </w:rPr>
        <w:t>Rivaroxaban is a highly selective direct factor Xa inhibitor with oral bioavailability. Inhibition of factor Xa interrupts the intrinsic and extrinsic pathway of the blood coagulation cascade, inhibiting both thrombin formation and development of thrombi. Rivaroxaban does not inhibit thrombin (activated factor II) and no effects on platelets have been demonstrated.</w:t>
      </w:r>
    </w:p>
    <w:p w:rsidR="00DE3B28" w:rsidRPr="00862D1E" w:rsidRDefault="00DE3B28" w:rsidP="003B4812">
      <w:pPr>
        <w:suppressAutoHyphens/>
        <w:ind w:left="851"/>
        <w:rPr>
          <w:sz w:val="24"/>
          <w:szCs w:val="24"/>
          <w:u w:val="single"/>
          <w:lang w:val="en-US" w:eastAsia="el-GR"/>
        </w:rPr>
      </w:pPr>
    </w:p>
    <w:p w:rsidR="00DE3B28" w:rsidRPr="00862D1E" w:rsidRDefault="00DE3B28" w:rsidP="003B4812">
      <w:pPr>
        <w:suppressAutoHyphens/>
        <w:ind w:left="851"/>
        <w:rPr>
          <w:sz w:val="24"/>
          <w:szCs w:val="24"/>
          <w:u w:val="single"/>
          <w:lang w:val="en-US" w:eastAsia="el-GR"/>
        </w:rPr>
      </w:pPr>
      <w:r w:rsidRPr="00862D1E">
        <w:rPr>
          <w:sz w:val="24"/>
          <w:szCs w:val="24"/>
          <w:u w:val="single"/>
          <w:lang w:val="en-US" w:eastAsia="el-GR"/>
        </w:rPr>
        <w:t>Pharmacodynamic effects</w:t>
      </w:r>
    </w:p>
    <w:p w:rsidR="00DE3B28" w:rsidRPr="00862D1E" w:rsidRDefault="00DE3B28" w:rsidP="003B4812">
      <w:pPr>
        <w:suppressAutoHyphens/>
        <w:ind w:left="851"/>
        <w:rPr>
          <w:sz w:val="24"/>
          <w:szCs w:val="24"/>
          <w:lang w:val="en-US" w:eastAsia="el-GR"/>
        </w:rPr>
      </w:pPr>
      <w:r w:rsidRPr="00862D1E">
        <w:rPr>
          <w:sz w:val="24"/>
          <w:szCs w:val="24"/>
          <w:lang w:val="en-US" w:eastAsia="el-GR"/>
        </w:rPr>
        <w:t>Dose-dependent inhibition of factor Xa activity was observed in humans. Prothrombin time (PT) is influenced by rivaroxaban in a dose dependent way with a close correlation to plasma concentrations (r value equals 0.98) if Neoplastin is used for the assay. Other reagents would provide different results.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The readout for PT is to be done in seconds, because the INR is only calibrated and validated for coumarins and cannot be used for any other anticoagulant.</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Neoplastin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The activated partial thomboplastin time (aPTT) and HepTest are also prolonged dose-dependently; however, they are not recommended to assess the pharmacodynamic effect of rivaroxaban. There is no need for monitoring of coagulation parameters during treatment with rivaroxaban in clinical routine.</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However, if clinically indicated, rivaroxaban levels can be measured by calibrated quantitative antifactor-Xa tests (see section 5.2).</w:t>
      </w:r>
    </w:p>
    <w:p w:rsidR="00DE3B28" w:rsidRPr="00862D1E" w:rsidRDefault="00DE3B28" w:rsidP="003B4812">
      <w:pPr>
        <w:suppressAutoHyphens/>
        <w:ind w:left="851"/>
        <w:rPr>
          <w:sz w:val="24"/>
          <w:szCs w:val="24"/>
          <w:u w:val="single"/>
          <w:lang w:val="en-US" w:eastAsia="el-GR"/>
        </w:rPr>
      </w:pPr>
    </w:p>
    <w:p w:rsidR="00DE3B28" w:rsidRPr="00862D1E" w:rsidRDefault="00DE3B28" w:rsidP="003B4812">
      <w:pPr>
        <w:suppressAutoHyphens/>
        <w:ind w:left="851"/>
        <w:rPr>
          <w:sz w:val="24"/>
          <w:szCs w:val="24"/>
          <w:u w:val="single"/>
          <w:lang w:val="en-US" w:eastAsia="el-GR"/>
        </w:rPr>
      </w:pPr>
      <w:r w:rsidRPr="00862D1E">
        <w:rPr>
          <w:sz w:val="24"/>
          <w:szCs w:val="24"/>
          <w:u w:val="single"/>
          <w:lang w:val="en-US" w:eastAsia="el-GR"/>
        </w:rPr>
        <w:t>Clinical efficacy and safety</w:t>
      </w:r>
    </w:p>
    <w:p w:rsidR="00B57B86" w:rsidRDefault="00B57B86" w:rsidP="003B4812">
      <w:pPr>
        <w:suppressAutoHyphens/>
        <w:ind w:left="851"/>
        <w:rPr>
          <w:i/>
          <w:iCs/>
          <w:sz w:val="24"/>
          <w:szCs w:val="24"/>
          <w:u w:val="single"/>
          <w:lang w:val="en-US" w:eastAsia="el-GR"/>
        </w:rPr>
      </w:pPr>
    </w:p>
    <w:p w:rsidR="00DE3B28" w:rsidRPr="00862D1E" w:rsidRDefault="00DE3B28" w:rsidP="003B4812">
      <w:pPr>
        <w:suppressAutoHyphens/>
        <w:ind w:left="851"/>
        <w:rPr>
          <w:i/>
          <w:iCs/>
          <w:sz w:val="24"/>
          <w:szCs w:val="24"/>
          <w:u w:val="single"/>
          <w:lang w:val="en-US" w:eastAsia="el-GR"/>
        </w:rPr>
      </w:pPr>
      <w:r w:rsidRPr="00862D1E">
        <w:rPr>
          <w:i/>
          <w:iCs/>
          <w:sz w:val="24"/>
          <w:szCs w:val="24"/>
          <w:u w:val="single"/>
          <w:lang w:val="en-US" w:eastAsia="el-GR"/>
        </w:rPr>
        <w:t>ACS</w:t>
      </w:r>
    </w:p>
    <w:p w:rsidR="00DE3B28" w:rsidRPr="00862D1E" w:rsidRDefault="00DE3B28" w:rsidP="003B4812">
      <w:pPr>
        <w:suppressAutoHyphens/>
        <w:ind w:left="851"/>
        <w:rPr>
          <w:sz w:val="24"/>
          <w:szCs w:val="24"/>
          <w:lang w:val="en-US" w:eastAsia="el-GR"/>
        </w:rPr>
      </w:pPr>
      <w:r w:rsidRPr="00862D1E">
        <w:rPr>
          <w:sz w:val="24"/>
          <w:szCs w:val="24"/>
          <w:lang w:val="en-US" w:eastAsia="el-GR"/>
        </w:rPr>
        <w:t>The rivaroxaban clinical program</w:t>
      </w:r>
      <w:r w:rsidR="00113DAE">
        <w:rPr>
          <w:sz w:val="24"/>
          <w:szCs w:val="24"/>
          <w:lang w:val="en-US" w:eastAsia="el-GR"/>
        </w:rPr>
        <w:t>me</w:t>
      </w:r>
      <w:r w:rsidRPr="00862D1E">
        <w:rPr>
          <w:sz w:val="24"/>
          <w:szCs w:val="24"/>
          <w:lang w:val="en-US" w:eastAsia="el-GR"/>
        </w:rPr>
        <w:t xml:space="preserve"> was designed to demonstrate the efficacy of rivaroxaban for the prevention of cardiovascular (CV) death, myocardial infarction (MI) or stroke in subjects with a recent ACS (ST-elevation myocardial infarction [STEMI], non-ST-elevation myocardial infarction [NSTEMI] or unstable angina [UA]). In the pivotal double-blind ATLAS ACS 2 TIMI 51 study, 15,526 patients were randomly assigned in a 1:1:1 fashion to one of three treatment groups: rivaroxaban 2.5 mg orally twice daily, 5 mg orally twice daily or to placebo twice daily co-administered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93.2 % of patients received ASA concomitantly plus thienopyridine treatment and 6.8 % ASA only. Among patients receiving dual anti-platelets therapy 98.8% received clopidogrel, 0.9 % received ticlopidine and 0.3 % received prasugrel. Patients received the first dose of rivaroxaban at a minimum of 24 hours and up to 7 days (mean 4.7 days) after admission to the hospital, but as soon as possible after stabilisation of the ACS event, including revascularisation procedures and when parenteral anticoagulation therapy would normally be discontinued.</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Relative to placebo, rivaroxaban significantly reduced the primary composite endpoint of CV death, MI or stroke. The benefit was driven by a reduction in CV death and MI and appeared early with a constant treatment effect over the entire treatment period (see Table 4 and Figure 1). Also the first secondary endpoint (all 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 the incidence rates were balanced between rivaroxaban and placebo for the components of fatal bleeding events, hypotension requiring treatment with intravenous inotropic agents and surgical intervention for ongoing bleeding.</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In Table 5 the efficacy results of patients undergoing percutaneous coronary intervention (PCI) are presented. The safety results in this subgroup of patients undergoing PCI were comparable to the overall safety results.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Patients with elevated biomarkers (troponin or CK-MB) and without a prior stroke/TIA constituted 80 % of the study population. The results of this patient population were also consistent with the overall efficacy and safety results.</w:t>
      </w:r>
    </w:p>
    <w:p w:rsidR="00DE3B28" w:rsidRPr="00862D1E" w:rsidRDefault="00DE3B28" w:rsidP="00862D1E">
      <w:pPr>
        <w:suppressAutoHyphens/>
        <w:ind w:left="851"/>
        <w:jc w:val="both"/>
        <w:rPr>
          <w:sz w:val="24"/>
          <w:szCs w:val="24"/>
          <w:lang w:val="en-US" w:eastAsia="el-GR"/>
        </w:rPr>
      </w:pPr>
    </w:p>
    <w:p w:rsidR="00DE3B28" w:rsidRPr="00862D1E" w:rsidRDefault="00DE3B28" w:rsidP="00DE3B28">
      <w:pPr>
        <w:suppressAutoHyphens/>
        <w:ind w:left="1134" w:hanging="1134"/>
        <w:jc w:val="both"/>
        <w:rPr>
          <w:b/>
          <w:sz w:val="24"/>
          <w:szCs w:val="24"/>
          <w:lang w:val="en-US" w:eastAsia="el-GR"/>
        </w:rPr>
      </w:pPr>
      <w:r w:rsidRPr="00862D1E">
        <w:rPr>
          <w:b/>
          <w:sz w:val="24"/>
          <w:szCs w:val="24"/>
          <w:lang w:val="en-US" w:eastAsia="el-GR"/>
        </w:rPr>
        <w:t>Table 4: Efficacy results from phase III ATLAS ACS 2 TIMI 51</w:t>
      </w:r>
    </w:p>
    <w:tbl>
      <w:tblPr>
        <w:tblStyle w:val="Tabel-Gitter"/>
        <w:tblW w:w="5000" w:type="pct"/>
        <w:tblLook w:val="04A0" w:firstRow="1" w:lastRow="0" w:firstColumn="1" w:lastColumn="0" w:noHBand="0" w:noVBand="1"/>
      </w:tblPr>
      <w:tblGrid>
        <w:gridCol w:w="3805"/>
        <w:gridCol w:w="4283"/>
        <w:gridCol w:w="1540"/>
      </w:tblGrid>
      <w:tr w:rsidR="00DE3B28" w:rsidRPr="00DE5006" w:rsidTr="007C09A3">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b/>
                <w:sz w:val="22"/>
                <w:szCs w:val="22"/>
                <w:lang w:eastAsia="el-GR"/>
              </w:rPr>
            </w:pPr>
            <w:r>
              <w:rPr>
                <w:b/>
                <w:sz w:val="22"/>
                <w:szCs w:val="22"/>
                <w:lang w:eastAsia="el-GR"/>
              </w:rPr>
              <w:t xml:space="preserve">Study Population </w:t>
            </w:r>
          </w:p>
          <w:p w:rsidR="00DE3B28" w:rsidRDefault="00DE3B28">
            <w:pPr>
              <w:suppressAutoHyphens/>
              <w:rPr>
                <w:b/>
                <w:sz w:val="22"/>
                <w:szCs w:val="22"/>
                <w:highlight w:val="yellow"/>
                <w:lang w:eastAsia="el-GR"/>
              </w:rPr>
            </w:pPr>
          </w:p>
        </w:tc>
        <w:tc>
          <w:tcPr>
            <w:tcW w:w="3024" w:type="pct"/>
            <w:gridSpan w:val="2"/>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sz w:val="22"/>
                <w:szCs w:val="22"/>
                <w:highlight w:val="yellow"/>
                <w:lang w:val="en-US" w:eastAsia="el-GR"/>
              </w:rPr>
            </w:pPr>
            <w:r w:rsidRPr="00DE3B28">
              <w:rPr>
                <w:b/>
                <w:sz w:val="22"/>
                <w:szCs w:val="22"/>
                <w:lang w:val="en-US" w:eastAsia="el-GR"/>
              </w:rPr>
              <w:t xml:space="preserve">Patients with a recent acute coronary syndrome </w:t>
            </w:r>
            <w:r w:rsidRPr="00DE3B28">
              <w:rPr>
                <w:b/>
                <w:sz w:val="22"/>
                <w:szCs w:val="22"/>
                <w:vertAlign w:val="superscript"/>
                <w:lang w:val="en-US" w:eastAsia="el-GR"/>
              </w:rPr>
              <w:t>a)</w:t>
            </w:r>
          </w:p>
        </w:tc>
      </w:tr>
      <w:tr w:rsidR="00DE3B28" w:rsidTr="007C09A3">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b/>
                <w:bCs/>
                <w:sz w:val="22"/>
                <w:szCs w:val="22"/>
                <w:lang w:eastAsia="el-GR"/>
              </w:rPr>
            </w:pPr>
            <w:r>
              <w:rPr>
                <w:b/>
                <w:bCs/>
                <w:sz w:val="22"/>
                <w:szCs w:val="22"/>
                <w:lang w:eastAsia="el-GR"/>
              </w:rPr>
              <w:t xml:space="preserve">Treatment dose </w:t>
            </w:r>
          </w:p>
          <w:p w:rsidR="00DE3B28" w:rsidRDefault="00DE3B28">
            <w:pPr>
              <w:suppressAutoHyphens/>
              <w:rPr>
                <w:sz w:val="22"/>
                <w:szCs w:val="22"/>
                <w:highlight w:val="yellow"/>
                <w:lang w:eastAsia="el-GR"/>
              </w:rPr>
            </w:pPr>
          </w:p>
        </w:tc>
        <w:tc>
          <w:tcPr>
            <w:tcW w:w="2224"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Rivaroxaban 2.5 mg, twice daily, N=5,114</w:t>
            </w:r>
          </w:p>
          <w:p w:rsidR="00DE3B28" w:rsidRPr="00DE3B28" w:rsidRDefault="00DE3B28">
            <w:pPr>
              <w:suppressAutoHyphens/>
              <w:rPr>
                <w:b/>
                <w:bCs/>
                <w:sz w:val="22"/>
                <w:szCs w:val="22"/>
                <w:lang w:val="en-US" w:eastAsia="el-GR"/>
              </w:rPr>
            </w:pPr>
            <w:r w:rsidRPr="00DE3B28">
              <w:rPr>
                <w:b/>
                <w:bCs/>
                <w:sz w:val="22"/>
                <w:szCs w:val="22"/>
                <w:lang w:val="en-US" w:eastAsia="el-GR"/>
              </w:rPr>
              <w:t>n (%)</w:t>
            </w:r>
          </w:p>
          <w:p w:rsidR="00DE3B28" w:rsidRPr="00DE3B28" w:rsidRDefault="00DE3B28">
            <w:pPr>
              <w:suppressAutoHyphens/>
              <w:rPr>
                <w:b/>
                <w:bCs/>
                <w:sz w:val="22"/>
                <w:szCs w:val="22"/>
                <w:highlight w:val="yellow"/>
                <w:lang w:val="en-US" w:eastAsia="el-GR"/>
              </w:rPr>
            </w:pPr>
            <w:r w:rsidRPr="00DE3B28">
              <w:rPr>
                <w:b/>
                <w:bCs/>
                <w:sz w:val="22"/>
                <w:szCs w:val="22"/>
                <w:lang w:val="en-US" w:eastAsia="el-GR"/>
              </w:rPr>
              <w:t xml:space="preserve">Hazard Ratio (HR) (95 % CI) p-value </w:t>
            </w:r>
            <w:r w:rsidRPr="00DE3B28">
              <w:rPr>
                <w:b/>
                <w:bCs/>
                <w:sz w:val="22"/>
                <w:szCs w:val="22"/>
                <w:vertAlign w:val="superscript"/>
                <w:lang w:val="en-US" w:eastAsia="el-GR"/>
              </w:rPr>
              <w:t>b)</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eastAsia="el-GR"/>
              </w:rPr>
            </w:pPr>
            <w:r>
              <w:rPr>
                <w:b/>
                <w:bCs/>
                <w:sz w:val="22"/>
                <w:szCs w:val="22"/>
                <w:lang w:eastAsia="el-GR"/>
              </w:rPr>
              <w:t>Placebo</w:t>
            </w:r>
          </w:p>
          <w:p w:rsidR="00DE3B28" w:rsidRDefault="00DE3B28">
            <w:pPr>
              <w:suppressAutoHyphens/>
              <w:rPr>
                <w:b/>
                <w:bCs/>
                <w:sz w:val="22"/>
                <w:szCs w:val="22"/>
                <w:lang w:eastAsia="el-GR"/>
              </w:rPr>
            </w:pPr>
            <w:r>
              <w:rPr>
                <w:b/>
                <w:bCs/>
                <w:sz w:val="22"/>
                <w:szCs w:val="22"/>
                <w:lang w:eastAsia="el-GR"/>
              </w:rPr>
              <w:t>N=5,113</w:t>
            </w:r>
          </w:p>
          <w:p w:rsidR="00DE3B28" w:rsidRDefault="00DE3B28">
            <w:pPr>
              <w:suppressAutoHyphens/>
              <w:rPr>
                <w:sz w:val="22"/>
                <w:szCs w:val="22"/>
                <w:highlight w:val="yellow"/>
                <w:lang w:eastAsia="el-GR"/>
              </w:rPr>
            </w:pPr>
            <w:r>
              <w:rPr>
                <w:b/>
                <w:bCs/>
                <w:sz w:val="22"/>
                <w:szCs w:val="22"/>
                <w:lang w:eastAsia="el-GR"/>
              </w:rPr>
              <w:t>n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lang w:val="en-US" w:eastAsia="el-GR"/>
              </w:rPr>
            </w:pPr>
            <w:r w:rsidRPr="00DE3B28">
              <w:rPr>
                <w:sz w:val="22"/>
                <w:szCs w:val="22"/>
                <w:lang w:val="en-US" w:eastAsia="el-GR"/>
              </w:rPr>
              <w:t>Cardiovascular death, MI or stroke</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313 (6.1 %)</w:t>
            </w:r>
          </w:p>
          <w:p w:rsidR="00DE3B28" w:rsidRDefault="00DE3B28">
            <w:pPr>
              <w:suppressAutoHyphens/>
              <w:rPr>
                <w:sz w:val="22"/>
                <w:szCs w:val="22"/>
                <w:highlight w:val="yellow"/>
                <w:lang w:eastAsia="el-GR"/>
              </w:rPr>
            </w:pPr>
            <w:r>
              <w:rPr>
                <w:sz w:val="22"/>
                <w:szCs w:val="22"/>
                <w:lang w:eastAsia="el-GR"/>
              </w:rPr>
              <w:t>0.84 (0.72, 0.97) p = 0.020*</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376 (7.4 %)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lang w:val="en-US" w:eastAsia="el-GR"/>
              </w:rPr>
            </w:pPr>
            <w:r w:rsidRPr="00DE3B28">
              <w:rPr>
                <w:sz w:val="22"/>
                <w:szCs w:val="22"/>
                <w:lang w:val="en-US" w:eastAsia="el-GR"/>
              </w:rPr>
              <w:t>All-cause death, MI or stroke</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pStyle w:val="TitlePage"/>
              <w:keepNext w:val="0"/>
              <w:spacing w:after="0"/>
              <w:jc w:val="left"/>
              <w:rPr>
                <w:rFonts w:cs="Times New Roman"/>
                <w:sz w:val="22"/>
                <w:szCs w:val="22"/>
                <w:lang w:eastAsia="el-GR"/>
              </w:rPr>
            </w:pPr>
            <w:r>
              <w:rPr>
                <w:rFonts w:cs="Times New Roman"/>
                <w:sz w:val="22"/>
                <w:szCs w:val="22"/>
                <w:lang w:eastAsia="el-GR"/>
              </w:rPr>
              <w:t>320 (6.3 %)</w:t>
            </w:r>
          </w:p>
          <w:p w:rsidR="00DE3B28" w:rsidRDefault="00DE3B28">
            <w:pPr>
              <w:suppressAutoHyphens/>
              <w:rPr>
                <w:b/>
                <w:sz w:val="22"/>
                <w:szCs w:val="22"/>
                <w:highlight w:val="yellow"/>
                <w:lang w:eastAsia="el-GR"/>
              </w:rPr>
            </w:pPr>
            <w:r>
              <w:rPr>
                <w:sz w:val="22"/>
                <w:szCs w:val="22"/>
                <w:lang w:eastAsia="el-GR"/>
              </w:rPr>
              <w:t>0.83 (0.72, 0.97) p = 0.016*</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386 (7.5 %)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Cardiovascular death</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94 (1.8 %)</w:t>
            </w:r>
          </w:p>
          <w:p w:rsidR="00DE3B28" w:rsidRDefault="00DE3B28">
            <w:pPr>
              <w:suppressAutoHyphens/>
              <w:rPr>
                <w:sz w:val="22"/>
                <w:szCs w:val="22"/>
                <w:highlight w:val="yellow"/>
                <w:lang w:eastAsia="el-GR"/>
              </w:rPr>
            </w:pPr>
            <w:r>
              <w:rPr>
                <w:sz w:val="22"/>
                <w:szCs w:val="22"/>
                <w:lang w:eastAsia="el-GR"/>
              </w:rPr>
              <w:t>0.66 (0.51, 0.86) p = 0.002**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143 (2.8 %)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All-cause death</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103 (2.0 %)</w:t>
            </w:r>
          </w:p>
          <w:p w:rsidR="00DE3B28" w:rsidRDefault="00DE3B28">
            <w:pPr>
              <w:suppressAutoHyphens/>
              <w:rPr>
                <w:sz w:val="22"/>
                <w:szCs w:val="22"/>
                <w:highlight w:val="yellow"/>
                <w:lang w:eastAsia="el-GR"/>
              </w:rPr>
            </w:pPr>
            <w:r>
              <w:rPr>
                <w:sz w:val="22"/>
                <w:szCs w:val="22"/>
                <w:lang w:eastAsia="el-GR"/>
              </w:rPr>
              <w:t>0.68 (0.53, 0.87) p = 0.002**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153 (3.0 %)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MI</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205 (4.0 %)</w:t>
            </w:r>
          </w:p>
          <w:p w:rsidR="00DE3B28" w:rsidRDefault="00DE3B28">
            <w:pPr>
              <w:suppressAutoHyphens/>
              <w:rPr>
                <w:sz w:val="22"/>
                <w:szCs w:val="22"/>
                <w:highlight w:val="yellow"/>
                <w:lang w:eastAsia="el-GR"/>
              </w:rPr>
            </w:pPr>
            <w:r>
              <w:rPr>
                <w:sz w:val="22"/>
                <w:szCs w:val="22"/>
                <w:lang w:eastAsia="el-GR"/>
              </w:rPr>
              <w:t>0.90 (0.75, 1.09) p = 0.270</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229 (4.5 %)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Stroke</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46 (0.9 %)</w:t>
            </w:r>
          </w:p>
          <w:p w:rsidR="00DE3B28" w:rsidRDefault="00DE3B28">
            <w:pPr>
              <w:suppressAutoHyphens/>
              <w:rPr>
                <w:sz w:val="22"/>
                <w:szCs w:val="22"/>
                <w:highlight w:val="yellow"/>
                <w:lang w:eastAsia="el-GR"/>
              </w:rPr>
            </w:pPr>
            <w:r>
              <w:rPr>
                <w:sz w:val="22"/>
                <w:szCs w:val="22"/>
                <w:lang w:eastAsia="el-GR"/>
              </w:rPr>
              <w:t>1.13 (0.74, 1.73) p = 0.562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41 (0.8 %)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Stent thrombosis</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61 (1.2 %)</w:t>
            </w:r>
          </w:p>
          <w:p w:rsidR="00DE3B28" w:rsidRDefault="00DE3B28">
            <w:pPr>
              <w:suppressAutoHyphens/>
              <w:rPr>
                <w:sz w:val="22"/>
                <w:szCs w:val="22"/>
                <w:highlight w:val="yellow"/>
                <w:lang w:eastAsia="el-GR"/>
              </w:rPr>
            </w:pPr>
            <w:r>
              <w:rPr>
                <w:sz w:val="22"/>
                <w:szCs w:val="22"/>
                <w:lang w:eastAsia="el-GR"/>
              </w:rPr>
              <w:t>0.70 (0.51, 0.97) p = 0.033**</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87 (1.7 %)</w:t>
            </w:r>
          </w:p>
        </w:tc>
      </w:tr>
    </w:tbl>
    <w:p w:rsidR="00DE3B28" w:rsidRDefault="00DE3B28" w:rsidP="00DE3B28">
      <w:pPr>
        <w:suppressAutoHyphens/>
        <w:ind w:left="1276" w:hanging="1276"/>
        <w:rPr>
          <w:sz w:val="24"/>
          <w:szCs w:val="24"/>
          <w:lang w:val="en-GB" w:eastAsia="el-GR"/>
        </w:rPr>
      </w:pPr>
      <w:r w:rsidRPr="00DE3B28">
        <w:rPr>
          <w:szCs w:val="24"/>
          <w:lang w:val="en-US" w:eastAsia="el-GR"/>
        </w:rPr>
        <w:t>a) modified intent to treat analysis set (intent to treat total analysis set for stent thrombosis)</w:t>
      </w:r>
    </w:p>
    <w:p w:rsidR="00DE3B28" w:rsidRPr="00DE3B28" w:rsidRDefault="00DE3B28" w:rsidP="00DE3B28">
      <w:pPr>
        <w:suppressAutoHyphens/>
        <w:ind w:left="1276" w:hanging="1276"/>
        <w:rPr>
          <w:szCs w:val="24"/>
          <w:lang w:val="en-US" w:eastAsia="el-GR"/>
        </w:rPr>
      </w:pPr>
      <w:r w:rsidRPr="00DE3B28">
        <w:rPr>
          <w:szCs w:val="24"/>
          <w:lang w:val="en-US" w:eastAsia="el-GR"/>
        </w:rPr>
        <w:t>b) vs. placebo; Log-Rank p-value</w:t>
      </w:r>
    </w:p>
    <w:p w:rsidR="00DE3B28" w:rsidRPr="00DE3B28" w:rsidRDefault="00DE3B28" w:rsidP="00DE3B28">
      <w:pPr>
        <w:suppressAutoHyphens/>
        <w:ind w:left="1276" w:hanging="1276"/>
        <w:rPr>
          <w:szCs w:val="24"/>
          <w:lang w:val="en-US" w:eastAsia="el-GR"/>
        </w:rPr>
      </w:pPr>
      <w:r w:rsidRPr="00DE3B28">
        <w:rPr>
          <w:szCs w:val="24"/>
          <w:lang w:val="en-US" w:eastAsia="el-GR"/>
        </w:rPr>
        <w:t>* statistically superior</w:t>
      </w:r>
    </w:p>
    <w:p w:rsidR="00DE3B28" w:rsidRPr="00DE3B28" w:rsidRDefault="00DE3B28" w:rsidP="00DE3B28">
      <w:pPr>
        <w:suppressAutoHyphens/>
        <w:ind w:left="1276" w:hanging="1276"/>
        <w:rPr>
          <w:szCs w:val="24"/>
          <w:highlight w:val="yellow"/>
          <w:lang w:val="en-US" w:eastAsia="el-GR"/>
        </w:rPr>
      </w:pPr>
      <w:r w:rsidRPr="00DE3B28">
        <w:rPr>
          <w:szCs w:val="24"/>
          <w:lang w:val="en-US" w:eastAsia="el-GR"/>
        </w:rPr>
        <w:t>** nominally significant</w:t>
      </w:r>
    </w:p>
    <w:p w:rsidR="00DE3B28" w:rsidRPr="00DE3B28" w:rsidRDefault="00DE3B28" w:rsidP="00DE3B28">
      <w:pPr>
        <w:suppressAutoHyphens/>
        <w:rPr>
          <w:b/>
          <w:bCs/>
          <w:szCs w:val="24"/>
          <w:lang w:val="en-US" w:eastAsia="el-GR"/>
        </w:rPr>
      </w:pPr>
    </w:p>
    <w:p w:rsidR="00DE3B28" w:rsidRPr="00862D1E" w:rsidRDefault="00DE3B28" w:rsidP="00DE3B28">
      <w:pPr>
        <w:suppressAutoHyphens/>
        <w:rPr>
          <w:sz w:val="24"/>
          <w:szCs w:val="24"/>
          <w:highlight w:val="yellow"/>
          <w:u w:val="single"/>
          <w:lang w:val="en-US" w:eastAsia="el-GR"/>
        </w:rPr>
      </w:pPr>
      <w:r w:rsidRPr="00862D1E">
        <w:rPr>
          <w:b/>
          <w:bCs/>
          <w:sz w:val="24"/>
          <w:szCs w:val="24"/>
          <w:lang w:val="en-US" w:eastAsia="el-GR"/>
        </w:rPr>
        <w:t>Table 5: Efficacy results from phase III ATLAS ACS 2 TIMI 51 in patients undergoing PCI</w:t>
      </w:r>
    </w:p>
    <w:tbl>
      <w:tblPr>
        <w:tblStyle w:val="Tabel-Gitter"/>
        <w:tblW w:w="5000" w:type="pct"/>
        <w:tblCellMar>
          <w:left w:w="85" w:type="dxa"/>
          <w:right w:w="57" w:type="dxa"/>
        </w:tblCellMar>
        <w:tblLook w:val="04A0" w:firstRow="1" w:lastRow="0" w:firstColumn="1" w:lastColumn="0" w:noHBand="0" w:noVBand="1"/>
      </w:tblPr>
      <w:tblGrid>
        <w:gridCol w:w="3805"/>
        <w:gridCol w:w="4283"/>
        <w:gridCol w:w="1540"/>
      </w:tblGrid>
      <w:tr w:rsidR="00DE3B28" w:rsidRPr="005762FD" w:rsidTr="007C09A3">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b/>
                <w:sz w:val="22"/>
                <w:szCs w:val="22"/>
                <w:lang w:eastAsia="el-GR"/>
              </w:rPr>
            </w:pPr>
            <w:r>
              <w:rPr>
                <w:b/>
                <w:sz w:val="22"/>
                <w:szCs w:val="22"/>
                <w:lang w:eastAsia="el-GR"/>
              </w:rPr>
              <w:t xml:space="preserve">Study Population </w:t>
            </w:r>
          </w:p>
          <w:p w:rsidR="00DE3B28" w:rsidRDefault="00DE3B28">
            <w:pPr>
              <w:suppressAutoHyphens/>
              <w:rPr>
                <w:b/>
                <w:sz w:val="22"/>
                <w:szCs w:val="22"/>
                <w:lang w:eastAsia="el-GR"/>
              </w:rPr>
            </w:pPr>
          </w:p>
        </w:tc>
        <w:tc>
          <w:tcPr>
            <w:tcW w:w="3024" w:type="pct"/>
            <w:gridSpan w:val="2"/>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sz w:val="22"/>
                <w:szCs w:val="22"/>
                <w:highlight w:val="yellow"/>
                <w:lang w:val="en-US" w:eastAsia="el-GR"/>
              </w:rPr>
            </w:pPr>
            <w:r w:rsidRPr="00DE3B28">
              <w:rPr>
                <w:b/>
                <w:sz w:val="22"/>
                <w:szCs w:val="22"/>
                <w:lang w:val="en-US" w:eastAsia="el-GR"/>
              </w:rPr>
              <w:t xml:space="preserve">Patients with recent acute coronary syndrome undergoing PCI </w:t>
            </w:r>
            <w:r w:rsidRPr="00DE3B28">
              <w:rPr>
                <w:b/>
                <w:sz w:val="22"/>
                <w:szCs w:val="22"/>
                <w:vertAlign w:val="superscript"/>
                <w:lang w:val="en-US" w:eastAsia="el-GR"/>
              </w:rPr>
              <w:t>a)</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eastAsia="el-GR"/>
              </w:rPr>
            </w:pPr>
            <w:r>
              <w:rPr>
                <w:b/>
                <w:bCs/>
                <w:sz w:val="22"/>
                <w:szCs w:val="22"/>
                <w:lang w:eastAsia="el-GR"/>
              </w:rPr>
              <w:t xml:space="preserve">Treatment dose </w:t>
            </w:r>
          </w:p>
        </w:tc>
        <w:tc>
          <w:tcPr>
            <w:tcW w:w="2224"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Rivaroxaban 2.5 mg, twice daily, N=3114</w:t>
            </w:r>
          </w:p>
          <w:p w:rsidR="00DE3B28" w:rsidRDefault="00DE3B28">
            <w:pPr>
              <w:suppressAutoHyphens/>
              <w:rPr>
                <w:b/>
                <w:bCs/>
                <w:sz w:val="22"/>
                <w:szCs w:val="22"/>
                <w:lang w:val="fr-FR" w:eastAsia="el-GR"/>
              </w:rPr>
            </w:pPr>
            <w:r>
              <w:rPr>
                <w:b/>
                <w:bCs/>
                <w:sz w:val="22"/>
                <w:szCs w:val="22"/>
                <w:lang w:val="fr-FR" w:eastAsia="el-GR"/>
              </w:rPr>
              <w:t>n (%)</w:t>
            </w:r>
          </w:p>
          <w:p w:rsidR="00DE3B28" w:rsidRDefault="00DE3B28">
            <w:pPr>
              <w:suppressAutoHyphens/>
              <w:rPr>
                <w:b/>
                <w:bCs/>
                <w:sz w:val="22"/>
                <w:szCs w:val="22"/>
                <w:highlight w:val="yellow"/>
                <w:lang w:val="fr-FR" w:eastAsia="el-GR"/>
              </w:rPr>
            </w:pPr>
            <w:r>
              <w:rPr>
                <w:b/>
                <w:bCs/>
                <w:sz w:val="22"/>
                <w:szCs w:val="22"/>
                <w:lang w:val="fr-FR" w:eastAsia="el-GR"/>
              </w:rPr>
              <w:t>HR (95 % CI) p-value</w:t>
            </w:r>
            <w:r>
              <w:rPr>
                <w:b/>
                <w:bCs/>
                <w:sz w:val="22"/>
                <w:szCs w:val="22"/>
                <w:vertAlign w:val="superscript"/>
                <w:lang w:val="fr-FR" w:eastAsia="el-GR"/>
              </w:rPr>
              <w:t>b)</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val="en-GB" w:eastAsia="el-GR"/>
              </w:rPr>
            </w:pPr>
            <w:r>
              <w:rPr>
                <w:b/>
                <w:bCs/>
                <w:sz w:val="22"/>
                <w:szCs w:val="22"/>
                <w:lang w:eastAsia="el-GR"/>
              </w:rPr>
              <w:t>Placebo</w:t>
            </w:r>
          </w:p>
          <w:p w:rsidR="00DE3B28" w:rsidRDefault="00DE3B28">
            <w:pPr>
              <w:suppressAutoHyphens/>
              <w:rPr>
                <w:b/>
                <w:bCs/>
                <w:sz w:val="22"/>
                <w:szCs w:val="22"/>
                <w:lang w:eastAsia="el-GR"/>
              </w:rPr>
            </w:pPr>
            <w:r>
              <w:rPr>
                <w:b/>
                <w:bCs/>
                <w:sz w:val="22"/>
                <w:szCs w:val="22"/>
                <w:lang w:eastAsia="el-GR"/>
              </w:rPr>
              <w:t>N=3096</w:t>
            </w:r>
          </w:p>
          <w:p w:rsidR="00DE3B28" w:rsidRDefault="00DE3B28">
            <w:pPr>
              <w:suppressAutoHyphens/>
              <w:rPr>
                <w:b/>
                <w:bCs/>
                <w:sz w:val="22"/>
                <w:szCs w:val="22"/>
                <w:highlight w:val="yellow"/>
                <w:lang w:eastAsia="el-GR"/>
              </w:rPr>
            </w:pPr>
            <w:r>
              <w:rPr>
                <w:b/>
                <w:bCs/>
                <w:sz w:val="22"/>
                <w:szCs w:val="22"/>
                <w:lang w:eastAsia="el-GR"/>
              </w:rPr>
              <w:t>n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 xml:space="preserve">Cardiovascular death, MI or stroke </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153 (4.9 %)</w:t>
            </w:r>
          </w:p>
          <w:p w:rsidR="00DE3B28" w:rsidRDefault="00DE3B28">
            <w:pPr>
              <w:suppressAutoHyphens/>
              <w:rPr>
                <w:sz w:val="22"/>
                <w:szCs w:val="22"/>
                <w:highlight w:val="yellow"/>
                <w:lang w:eastAsia="el-GR"/>
              </w:rPr>
            </w:pPr>
            <w:r>
              <w:rPr>
                <w:sz w:val="22"/>
                <w:szCs w:val="22"/>
                <w:lang w:eastAsia="el-GR"/>
              </w:rPr>
              <w:t>0.94 (0.75, 1.17) p = 0.572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165 (5.3 %)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Cardiovascular death</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24 (0.8 %)</w:t>
            </w:r>
          </w:p>
          <w:p w:rsidR="00DE3B28" w:rsidRDefault="00DE3B28">
            <w:pPr>
              <w:suppressAutoHyphens/>
              <w:rPr>
                <w:sz w:val="22"/>
                <w:szCs w:val="22"/>
                <w:lang w:eastAsia="el-GR"/>
              </w:rPr>
            </w:pPr>
            <w:r>
              <w:rPr>
                <w:sz w:val="22"/>
                <w:szCs w:val="22"/>
                <w:lang w:eastAsia="el-GR"/>
              </w:rPr>
              <w:t>0.54 (0.33, 0.89) p = 0.013**</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45 (1.5 %)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sz w:val="22"/>
                <w:szCs w:val="22"/>
                <w:highlight w:val="yellow"/>
                <w:lang w:eastAsia="el-GR"/>
              </w:rPr>
            </w:pPr>
            <w:r>
              <w:rPr>
                <w:sz w:val="22"/>
                <w:szCs w:val="22"/>
                <w:lang w:eastAsia="el-GR"/>
              </w:rPr>
              <w:t>All-cause death</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31 (1.0 %)</w:t>
            </w:r>
          </w:p>
          <w:p w:rsidR="00DE3B28" w:rsidRDefault="00DE3B28">
            <w:pPr>
              <w:suppressAutoHyphens/>
              <w:rPr>
                <w:b/>
                <w:sz w:val="22"/>
                <w:szCs w:val="22"/>
                <w:highlight w:val="yellow"/>
                <w:lang w:eastAsia="el-GR"/>
              </w:rPr>
            </w:pPr>
            <w:r>
              <w:rPr>
                <w:sz w:val="22"/>
                <w:szCs w:val="22"/>
                <w:lang w:eastAsia="el-GR"/>
              </w:rPr>
              <w:t>0.64 (0.41, 1.01) p = 0.053</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49 (1.6 %)</w:t>
            </w:r>
          </w:p>
        </w:tc>
      </w:tr>
      <w:tr w:rsidR="00DE3B28" w:rsidTr="007C09A3">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sz w:val="22"/>
                <w:szCs w:val="22"/>
                <w:lang w:eastAsia="el-GR"/>
              </w:rPr>
            </w:pPr>
            <w:r>
              <w:rPr>
                <w:sz w:val="22"/>
                <w:szCs w:val="22"/>
                <w:lang w:eastAsia="el-GR"/>
              </w:rPr>
              <w:t xml:space="preserve">MI </w:t>
            </w:r>
          </w:p>
          <w:p w:rsidR="00DE3B28" w:rsidRDefault="00DE3B28">
            <w:pPr>
              <w:suppressAutoHyphens/>
              <w:rPr>
                <w:sz w:val="22"/>
                <w:szCs w:val="22"/>
                <w:highlight w:val="yellow"/>
                <w:lang w:eastAsia="el-GR"/>
              </w:rPr>
            </w:pP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115 (3.7 %)</w:t>
            </w:r>
          </w:p>
          <w:p w:rsidR="00DE3B28" w:rsidRDefault="00DE3B28">
            <w:pPr>
              <w:suppressAutoHyphens/>
              <w:rPr>
                <w:sz w:val="22"/>
                <w:szCs w:val="22"/>
                <w:highlight w:val="yellow"/>
                <w:lang w:eastAsia="el-GR"/>
              </w:rPr>
            </w:pPr>
            <w:r>
              <w:rPr>
                <w:sz w:val="22"/>
                <w:szCs w:val="22"/>
                <w:lang w:eastAsia="el-GR"/>
              </w:rPr>
              <w:t>1.03 (0.79, 1.33) p = 0.829</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113 (3.6 %)</w:t>
            </w:r>
          </w:p>
        </w:tc>
      </w:tr>
      <w:tr w:rsidR="00DE3B28" w:rsidTr="007C09A3">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sz w:val="22"/>
                <w:szCs w:val="22"/>
                <w:lang w:eastAsia="el-GR"/>
              </w:rPr>
            </w:pPr>
            <w:r>
              <w:rPr>
                <w:sz w:val="22"/>
                <w:szCs w:val="22"/>
                <w:lang w:eastAsia="el-GR"/>
              </w:rPr>
              <w:t xml:space="preserve">Stroke </w:t>
            </w:r>
          </w:p>
          <w:p w:rsidR="00DE3B28" w:rsidRDefault="00DE3B28">
            <w:pPr>
              <w:suppressAutoHyphens/>
              <w:rPr>
                <w:sz w:val="22"/>
                <w:szCs w:val="22"/>
                <w:highlight w:val="yellow"/>
                <w:lang w:eastAsia="el-GR"/>
              </w:rPr>
            </w:pP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27 (0.9 %)</w:t>
            </w:r>
          </w:p>
          <w:p w:rsidR="00DE3B28" w:rsidRDefault="00DE3B28">
            <w:pPr>
              <w:suppressAutoHyphens/>
              <w:rPr>
                <w:sz w:val="22"/>
                <w:szCs w:val="22"/>
                <w:highlight w:val="yellow"/>
                <w:lang w:eastAsia="el-GR"/>
              </w:rPr>
            </w:pPr>
            <w:r>
              <w:rPr>
                <w:sz w:val="22"/>
                <w:szCs w:val="22"/>
                <w:lang w:eastAsia="el-GR"/>
              </w:rPr>
              <w:t>1.30 (0.74, 2.31) p = 0.360</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21 (0.7 %)</w:t>
            </w:r>
          </w:p>
        </w:tc>
      </w:tr>
      <w:tr w:rsidR="00DE3B28" w:rsidTr="007C09A3">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 xml:space="preserve">Stent thrombosis </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47 (1.5 %)</w:t>
            </w:r>
          </w:p>
          <w:p w:rsidR="00DE3B28" w:rsidRDefault="00DE3B28">
            <w:pPr>
              <w:suppressAutoHyphens/>
              <w:rPr>
                <w:sz w:val="22"/>
                <w:szCs w:val="22"/>
                <w:highlight w:val="yellow"/>
                <w:lang w:eastAsia="el-GR"/>
              </w:rPr>
            </w:pPr>
            <w:r>
              <w:rPr>
                <w:sz w:val="22"/>
                <w:szCs w:val="22"/>
                <w:lang w:eastAsia="el-GR"/>
              </w:rPr>
              <w:t>0.66 (0.46, 0.95) p = 0.026**</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71 (2.3 %)</w:t>
            </w:r>
          </w:p>
        </w:tc>
      </w:tr>
    </w:tbl>
    <w:p w:rsidR="00DE3B28" w:rsidRDefault="00DE3B28" w:rsidP="00DE3B28">
      <w:pPr>
        <w:suppressAutoHyphens/>
        <w:ind w:left="1276" w:hanging="1276"/>
        <w:rPr>
          <w:sz w:val="24"/>
          <w:szCs w:val="24"/>
          <w:lang w:val="en-GB" w:eastAsia="el-GR"/>
        </w:rPr>
      </w:pPr>
      <w:r w:rsidRPr="00DE3B28">
        <w:rPr>
          <w:szCs w:val="24"/>
          <w:lang w:val="en-US" w:eastAsia="el-GR"/>
        </w:rPr>
        <w:t>a) modified intent to treat analysis set (intent to treat total analysis set for stent thrombosis)</w:t>
      </w:r>
    </w:p>
    <w:p w:rsidR="00DE3B28" w:rsidRPr="00DE3B28" w:rsidRDefault="00DE3B28" w:rsidP="00DE3B28">
      <w:pPr>
        <w:suppressAutoHyphens/>
        <w:ind w:left="1276" w:hanging="1276"/>
        <w:rPr>
          <w:szCs w:val="24"/>
          <w:lang w:val="en-US" w:eastAsia="el-GR"/>
        </w:rPr>
      </w:pPr>
      <w:r w:rsidRPr="00DE3B28">
        <w:rPr>
          <w:szCs w:val="24"/>
          <w:lang w:val="en-US" w:eastAsia="el-GR"/>
        </w:rPr>
        <w:t>b) vs. placebo; Log-Rank p-value</w:t>
      </w:r>
    </w:p>
    <w:p w:rsidR="00DE3B28" w:rsidRPr="00DE3B28" w:rsidRDefault="00DE3B28" w:rsidP="00DE3B28">
      <w:pPr>
        <w:suppressAutoHyphens/>
        <w:ind w:left="1276" w:hanging="1276"/>
        <w:rPr>
          <w:szCs w:val="24"/>
          <w:lang w:val="en-US" w:eastAsia="el-GR"/>
        </w:rPr>
      </w:pPr>
      <w:r w:rsidRPr="00DE3B28">
        <w:rPr>
          <w:szCs w:val="24"/>
          <w:lang w:val="en-US" w:eastAsia="el-GR"/>
        </w:rPr>
        <w:t>** nominally significant</w:t>
      </w:r>
    </w:p>
    <w:p w:rsidR="00DE3B28" w:rsidRPr="00DE3B28" w:rsidRDefault="00DE3B28" w:rsidP="00DE3B28">
      <w:pPr>
        <w:suppressAutoHyphens/>
        <w:rPr>
          <w:b/>
          <w:bCs/>
          <w:szCs w:val="24"/>
          <w:lang w:val="en-US" w:eastAsia="el-GR"/>
        </w:rPr>
      </w:pPr>
    </w:p>
    <w:p w:rsidR="00DE3B28" w:rsidRPr="00862D1E" w:rsidRDefault="00DE3B28" w:rsidP="00DE3B28">
      <w:pPr>
        <w:suppressAutoHyphens/>
        <w:rPr>
          <w:b/>
          <w:sz w:val="24"/>
          <w:szCs w:val="24"/>
          <w:lang w:val="en-US" w:eastAsia="el-GR"/>
        </w:rPr>
      </w:pPr>
      <w:r w:rsidRPr="00862D1E">
        <w:rPr>
          <w:b/>
          <w:bCs/>
          <w:sz w:val="24"/>
          <w:szCs w:val="24"/>
          <w:lang w:val="en-US" w:eastAsia="el-GR"/>
        </w:rPr>
        <w:t>Table 6: Safety results from phase III ATLAS ACS 2 TIMI 51</w:t>
      </w:r>
    </w:p>
    <w:tbl>
      <w:tblPr>
        <w:tblStyle w:val="Tabel-Gitter"/>
        <w:tblW w:w="5000" w:type="pct"/>
        <w:tblCellMar>
          <w:left w:w="85" w:type="dxa"/>
          <w:right w:w="57" w:type="dxa"/>
        </w:tblCellMar>
        <w:tblLook w:val="04A0" w:firstRow="1" w:lastRow="0" w:firstColumn="1" w:lastColumn="0" w:noHBand="0" w:noVBand="1"/>
      </w:tblPr>
      <w:tblGrid>
        <w:gridCol w:w="3663"/>
        <w:gridCol w:w="4317"/>
        <w:gridCol w:w="1648"/>
      </w:tblGrid>
      <w:tr w:rsidR="00DE3B28" w:rsidRPr="005762FD" w:rsidTr="007C09A3">
        <w:tc>
          <w:tcPr>
            <w:tcW w:w="1902" w:type="pct"/>
            <w:tcBorders>
              <w:top w:val="single" w:sz="4" w:space="0" w:color="auto"/>
              <w:left w:val="single" w:sz="4" w:space="0" w:color="auto"/>
              <w:bottom w:val="single" w:sz="4" w:space="0" w:color="auto"/>
              <w:right w:val="single" w:sz="4" w:space="0" w:color="auto"/>
            </w:tcBorders>
          </w:tcPr>
          <w:p w:rsidR="00DE3B28" w:rsidRDefault="00DE3B28">
            <w:pPr>
              <w:suppressAutoHyphens/>
              <w:rPr>
                <w:b/>
                <w:sz w:val="22"/>
                <w:szCs w:val="22"/>
                <w:lang w:eastAsia="el-GR"/>
              </w:rPr>
            </w:pPr>
            <w:r>
              <w:rPr>
                <w:b/>
                <w:sz w:val="22"/>
                <w:szCs w:val="22"/>
                <w:lang w:eastAsia="el-GR"/>
              </w:rPr>
              <w:t xml:space="preserve">Study Population </w:t>
            </w:r>
          </w:p>
          <w:p w:rsidR="00DE3B28" w:rsidRDefault="00DE3B28">
            <w:pPr>
              <w:suppressAutoHyphens/>
              <w:rPr>
                <w:b/>
                <w:sz w:val="22"/>
                <w:szCs w:val="22"/>
                <w:lang w:eastAsia="el-GR"/>
              </w:rPr>
            </w:pPr>
          </w:p>
        </w:tc>
        <w:tc>
          <w:tcPr>
            <w:tcW w:w="3098" w:type="pct"/>
            <w:gridSpan w:val="2"/>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 xml:space="preserve">Patients with recent acute coronary syndrome </w:t>
            </w:r>
            <w:r w:rsidRPr="00DE3B28">
              <w:rPr>
                <w:b/>
                <w:bCs/>
                <w:sz w:val="22"/>
                <w:szCs w:val="22"/>
                <w:vertAlign w:val="superscript"/>
                <w:lang w:val="en-US" w:eastAsia="el-GR"/>
              </w:rPr>
              <w:t>a)</w:t>
            </w:r>
          </w:p>
        </w:tc>
      </w:tr>
      <w:tr w:rsidR="00DE3B28" w:rsidTr="007C09A3">
        <w:tc>
          <w:tcPr>
            <w:tcW w:w="1902" w:type="pct"/>
            <w:tcBorders>
              <w:top w:val="single" w:sz="4" w:space="0" w:color="auto"/>
              <w:left w:val="single" w:sz="4" w:space="0" w:color="auto"/>
              <w:bottom w:val="single" w:sz="4" w:space="0" w:color="auto"/>
              <w:right w:val="single" w:sz="4" w:space="0" w:color="auto"/>
            </w:tcBorders>
          </w:tcPr>
          <w:p w:rsidR="00DE3B28" w:rsidRDefault="00DE3B28">
            <w:pPr>
              <w:suppressAutoHyphens/>
              <w:rPr>
                <w:b/>
                <w:bCs/>
                <w:sz w:val="22"/>
                <w:szCs w:val="22"/>
                <w:lang w:eastAsia="el-GR"/>
              </w:rPr>
            </w:pPr>
            <w:r>
              <w:rPr>
                <w:b/>
                <w:bCs/>
                <w:sz w:val="22"/>
                <w:szCs w:val="22"/>
                <w:lang w:eastAsia="el-GR"/>
              </w:rPr>
              <w:t xml:space="preserve">Treatment dose </w:t>
            </w:r>
          </w:p>
          <w:p w:rsidR="00DE3B28" w:rsidRDefault="00DE3B28">
            <w:pPr>
              <w:suppressAutoHyphens/>
              <w:rPr>
                <w:b/>
                <w:bCs/>
                <w:sz w:val="22"/>
                <w:szCs w:val="22"/>
                <w:highlight w:val="yellow"/>
                <w:lang w:eastAsia="el-GR"/>
              </w:rPr>
            </w:pPr>
          </w:p>
        </w:tc>
        <w:tc>
          <w:tcPr>
            <w:tcW w:w="224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Rivaroxaban 2.5 mg, twice daily, N=5,115</w:t>
            </w:r>
          </w:p>
          <w:p w:rsidR="00DE3B28" w:rsidRPr="00DE3B28" w:rsidRDefault="00DE3B28">
            <w:pPr>
              <w:suppressAutoHyphens/>
              <w:rPr>
                <w:b/>
                <w:bCs/>
                <w:sz w:val="22"/>
                <w:szCs w:val="22"/>
                <w:lang w:val="en-US" w:eastAsia="el-GR"/>
              </w:rPr>
            </w:pPr>
            <w:r w:rsidRPr="00DE3B28">
              <w:rPr>
                <w:b/>
                <w:bCs/>
                <w:sz w:val="22"/>
                <w:szCs w:val="22"/>
                <w:lang w:val="en-US" w:eastAsia="el-GR"/>
              </w:rPr>
              <w:t>n (%)</w:t>
            </w:r>
          </w:p>
          <w:p w:rsidR="00DE3B28" w:rsidRPr="00DE3B28" w:rsidRDefault="00DE3B28">
            <w:pPr>
              <w:suppressAutoHyphens/>
              <w:rPr>
                <w:b/>
                <w:bCs/>
                <w:sz w:val="22"/>
                <w:szCs w:val="22"/>
                <w:lang w:val="en-US" w:eastAsia="el-GR"/>
              </w:rPr>
            </w:pPr>
            <w:r w:rsidRPr="00DE3B28">
              <w:rPr>
                <w:b/>
                <w:bCs/>
                <w:sz w:val="22"/>
                <w:szCs w:val="22"/>
                <w:lang w:val="en-US" w:eastAsia="el-GR"/>
              </w:rPr>
              <w:t xml:space="preserve">HR (95 % CI) p-value </w:t>
            </w:r>
            <w:r w:rsidRPr="00DE3B28">
              <w:rPr>
                <w:b/>
                <w:bCs/>
                <w:sz w:val="22"/>
                <w:szCs w:val="22"/>
                <w:vertAlign w:val="superscript"/>
                <w:lang w:val="en-US" w:eastAsia="el-GR"/>
              </w:rPr>
              <w:t>b)</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eastAsia="el-GR"/>
              </w:rPr>
            </w:pPr>
            <w:r>
              <w:rPr>
                <w:b/>
                <w:bCs/>
                <w:sz w:val="22"/>
                <w:szCs w:val="22"/>
                <w:lang w:eastAsia="el-GR"/>
              </w:rPr>
              <w:t>Placebo N=5,125</w:t>
            </w:r>
          </w:p>
          <w:p w:rsidR="00DE3B28" w:rsidRDefault="00DE3B28">
            <w:pPr>
              <w:suppressAutoHyphens/>
              <w:rPr>
                <w:b/>
                <w:bCs/>
                <w:sz w:val="22"/>
                <w:szCs w:val="22"/>
                <w:lang w:eastAsia="el-GR"/>
              </w:rPr>
            </w:pPr>
            <w:r>
              <w:rPr>
                <w:b/>
                <w:bCs/>
                <w:sz w:val="22"/>
                <w:szCs w:val="22"/>
                <w:lang w:eastAsia="el-GR"/>
              </w:rPr>
              <w:t>n(%)</w:t>
            </w:r>
          </w:p>
        </w:tc>
      </w:tr>
      <w:tr w:rsidR="00DE3B28" w:rsidTr="007C09A3">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Non-CABG TIMI major bleeding event</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65 (1.3 %)</w:t>
            </w:r>
          </w:p>
          <w:p w:rsidR="00DE3B28" w:rsidRDefault="00DE3B28">
            <w:pPr>
              <w:suppressAutoHyphens/>
              <w:rPr>
                <w:sz w:val="22"/>
                <w:szCs w:val="22"/>
                <w:highlight w:val="yellow"/>
                <w:lang w:eastAsia="el-GR"/>
              </w:rPr>
            </w:pPr>
            <w:r>
              <w:rPr>
                <w:sz w:val="22"/>
                <w:szCs w:val="22"/>
                <w:lang w:eastAsia="el-GR"/>
              </w:rPr>
              <w:t>3.46 (2.08, 5.77) p = &lt; 0.001*</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19 (0.4 %)</w:t>
            </w:r>
          </w:p>
        </w:tc>
      </w:tr>
      <w:tr w:rsidR="00DE3B28" w:rsidTr="007C09A3">
        <w:tc>
          <w:tcPr>
            <w:tcW w:w="190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Fatal bleeding event</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6 (0.1 %)</w:t>
            </w:r>
          </w:p>
          <w:p w:rsidR="00DE3B28" w:rsidRDefault="00DE3B28">
            <w:pPr>
              <w:suppressAutoHyphens/>
              <w:rPr>
                <w:sz w:val="22"/>
                <w:szCs w:val="22"/>
                <w:highlight w:val="yellow"/>
                <w:lang w:eastAsia="el-GR"/>
              </w:rPr>
            </w:pPr>
            <w:r>
              <w:rPr>
                <w:sz w:val="22"/>
                <w:szCs w:val="22"/>
                <w:lang w:eastAsia="el-GR"/>
              </w:rPr>
              <w:t>0.67 (0.24, 1.89) p = 0.450</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9 (0.2 %)</w:t>
            </w:r>
          </w:p>
        </w:tc>
      </w:tr>
      <w:tr w:rsidR="00DE3B28" w:rsidTr="007C09A3">
        <w:tc>
          <w:tcPr>
            <w:tcW w:w="190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Symptomatic intracranial</w:t>
            </w:r>
          </w:p>
          <w:p w:rsidR="00DE3B28" w:rsidRDefault="00DE3B28">
            <w:pPr>
              <w:suppressAutoHyphens/>
              <w:rPr>
                <w:b/>
                <w:sz w:val="22"/>
                <w:szCs w:val="22"/>
                <w:highlight w:val="yellow"/>
                <w:lang w:eastAsia="el-GR"/>
              </w:rPr>
            </w:pPr>
            <w:r>
              <w:rPr>
                <w:sz w:val="22"/>
                <w:szCs w:val="22"/>
                <w:lang w:eastAsia="el-GR"/>
              </w:rPr>
              <w:t>haemorrhage</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14 (0.3 %)</w:t>
            </w:r>
          </w:p>
          <w:p w:rsidR="00DE3B28" w:rsidRDefault="00DE3B28">
            <w:pPr>
              <w:suppressAutoHyphens/>
              <w:rPr>
                <w:b/>
                <w:sz w:val="22"/>
                <w:szCs w:val="22"/>
                <w:highlight w:val="yellow"/>
                <w:lang w:eastAsia="el-GR"/>
              </w:rPr>
            </w:pPr>
            <w:r>
              <w:rPr>
                <w:sz w:val="22"/>
                <w:szCs w:val="22"/>
                <w:lang w:eastAsia="el-GR"/>
              </w:rPr>
              <w:t>2.83 (1.02, 7.86) p = 0.037</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5 (0.1 %)</w:t>
            </w:r>
          </w:p>
        </w:tc>
      </w:tr>
      <w:tr w:rsidR="00DE3B28" w:rsidTr="007C09A3">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Hypotension requiring treatment with intravenous inotropic agents</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 (0.1 %)</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 (0.1 %)</w:t>
            </w:r>
          </w:p>
        </w:tc>
      </w:tr>
      <w:tr w:rsidR="00DE3B28" w:rsidTr="007C09A3">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Surgical intervention for ongoing bleeding</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 xml:space="preserve">7 (0.1 %) </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9 (0.2 %)</w:t>
            </w:r>
          </w:p>
        </w:tc>
      </w:tr>
      <w:tr w:rsidR="00DE3B28" w:rsidTr="007C09A3">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lang w:val="en-US" w:eastAsia="el-GR"/>
              </w:rPr>
            </w:pPr>
            <w:r w:rsidRPr="00DE3B28">
              <w:rPr>
                <w:sz w:val="22"/>
                <w:szCs w:val="22"/>
                <w:lang w:val="en-US" w:eastAsia="el-GR"/>
              </w:rPr>
              <w:t>Transfusion of 4 or more units of</w:t>
            </w:r>
          </w:p>
          <w:p w:rsidR="00DE3B28" w:rsidRPr="00DE3B28" w:rsidRDefault="00DE3B28">
            <w:pPr>
              <w:suppressAutoHyphens/>
              <w:rPr>
                <w:sz w:val="22"/>
                <w:szCs w:val="22"/>
                <w:highlight w:val="yellow"/>
                <w:lang w:val="en-US" w:eastAsia="el-GR"/>
              </w:rPr>
            </w:pPr>
            <w:r w:rsidRPr="00DE3B28">
              <w:rPr>
                <w:sz w:val="22"/>
                <w:szCs w:val="22"/>
                <w:lang w:val="en-US" w:eastAsia="el-GR"/>
              </w:rPr>
              <w:t>blood over a 48 hour period</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 xml:space="preserve">19 (0.4 %) </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6 (0.1 %)</w:t>
            </w:r>
          </w:p>
        </w:tc>
      </w:tr>
    </w:tbl>
    <w:p w:rsidR="00DE3B28" w:rsidRDefault="00DE3B28" w:rsidP="00DE3B28">
      <w:pPr>
        <w:suppressAutoHyphens/>
        <w:rPr>
          <w:sz w:val="24"/>
          <w:szCs w:val="24"/>
          <w:lang w:val="en-GB" w:eastAsia="el-GR"/>
        </w:rPr>
      </w:pPr>
      <w:r w:rsidRPr="00DE3B28">
        <w:rPr>
          <w:szCs w:val="24"/>
          <w:lang w:val="en-US" w:eastAsia="el-GR"/>
        </w:rPr>
        <w:t>a) safety population, on treatment b) vs. placebo; Log-Rank p-value</w:t>
      </w:r>
    </w:p>
    <w:p w:rsidR="00DE3B28" w:rsidRPr="00DE3B28" w:rsidRDefault="00DE3B28" w:rsidP="00DE3B28">
      <w:pPr>
        <w:suppressAutoHyphens/>
        <w:rPr>
          <w:szCs w:val="24"/>
          <w:highlight w:val="yellow"/>
          <w:u w:val="single"/>
          <w:lang w:val="en-US" w:eastAsia="el-GR"/>
        </w:rPr>
      </w:pPr>
      <w:r w:rsidRPr="00DE3B28">
        <w:rPr>
          <w:szCs w:val="24"/>
          <w:lang w:val="en-US" w:eastAsia="el-GR"/>
        </w:rPr>
        <w:t>* statistically significant</w:t>
      </w:r>
    </w:p>
    <w:p w:rsidR="00DE3B28" w:rsidRPr="00DE3B28" w:rsidRDefault="00DE3B28" w:rsidP="00DE3B28">
      <w:pPr>
        <w:suppressAutoHyphens/>
        <w:rPr>
          <w:b/>
          <w:szCs w:val="24"/>
          <w:lang w:val="en-US" w:eastAsia="el-GR"/>
        </w:rPr>
      </w:pPr>
    </w:p>
    <w:p w:rsidR="00DE3B28" w:rsidRPr="00862D1E" w:rsidRDefault="00DE3B28" w:rsidP="007C09A3">
      <w:pPr>
        <w:keepNext/>
        <w:suppressAutoHyphens/>
        <w:rPr>
          <w:b/>
          <w:sz w:val="24"/>
          <w:szCs w:val="24"/>
          <w:lang w:val="en-US" w:eastAsia="el-GR"/>
        </w:rPr>
      </w:pPr>
      <w:r w:rsidRPr="00862D1E">
        <w:rPr>
          <w:b/>
          <w:sz w:val="24"/>
          <w:szCs w:val="24"/>
          <w:lang w:val="en-US" w:eastAsia="el-GR"/>
        </w:rPr>
        <w:t>Figure 1: Time to First Occurrence of Primary Efficacy Endpoint (CV death, MI or stroke)</w:t>
      </w:r>
    </w:p>
    <w:p w:rsidR="00DE3B28" w:rsidRDefault="00DE3B28" w:rsidP="007C09A3">
      <w:pPr>
        <w:pStyle w:val="Brdtekst"/>
        <w:keepNext/>
        <w:suppressAutoHyphens/>
        <w:spacing w:before="7"/>
        <w:rPr>
          <w:b/>
        </w:rPr>
      </w:pPr>
      <w:r>
        <w:rPr>
          <w:b/>
          <w:noProof/>
          <w:lang w:val="el-GR"/>
        </w:rPr>
        <w:drawing>
          <wp:inline distT="0" distB="0" distL="0" distR="0">
            <wp:extent cx="5581650" cy="37020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702050"/>
                    </a:xfrm>
                    <a:prstGeom prst="rect">
                      <a:avLst/>
                    </a:prstGeom>
                    <a:noFill/>
                    <a:ln>
                      <a:noFill/>
                    </a:ln>
                  </pic:spPr>
                </pic:pic>
              </a:graphicData>
            </a:graphic>
          </wp:inline>
        </w:drawing>
      </w:r>
    </w:p>
    <w:p w:rsidR="00862D1E" w:rsidRDefault="00862D1E" w:rsidP="00862D1E">
      <w:pPr>
        <w:suppressAutoHyphens/>
        <w:ind w:left="851"/>
        <w:jc w:val="both"/>
        <w:rPr>
          <w:i/>
          <w:iCs/>
          <w:sz w:val="24"/>
          <w:szCs w:val="24"/>
          <w:u w:val="single"/>
          <w:lang w:val="en-US" w:eastAsia="el-GR"/>
        </w:rPr>
      </w:pPr>
    </w:p>
    <w:p w:rsidR="00DE3B28" w:rsidRPr="00862D1E" w:rsidRDefault="00DE3B28" w:rsidP="003B4812">
      <w:pPr>
        <w:suppressAutoHyphens/>
        <w:ind w:left="851"/>
        <w:rPr>
          <w:i/>
          <w:iCs/>
          <w:sz w:val="24"/>
          <w:szCs w:val="24"/>
          <w:u w:val="single"/>
          <w:lang w:val="en-US" w:eastAsia="el-GR"/>
        </w:rPr>
      </w:pPr>
      <w:r w:rsidRPr="00862D1E">
        <w:rPr>
          <w:i/>
          <w:iCs/>
          <w:sz w:val="24"/>
          <w:szCs w:val="24"/>
          <w:u w:val="single"/>
          <w:lang w:val="en-US" w:eastAsia="el-GR"/>
        </w:rPr>
        <w:t>CAD/PAD</w:t>
      </w: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The phase III COMPASS study (27,395 patients, 78.0% male, 22.0% female) demonstrated the efficacy and safety of </w:t>
      </w:r>
      <w:r w:rsidR="00113DAE">
        <w:rPr>
          <w:sz w:val="24"/>
          <w:szCs w:val="24"/>
          <w:lang w:val="en-US" w:eastAsia="el-GR"/>
        </w:rPr>
        <w:t>rivaroxaban</w:t>
      </w:r>
      <w:r w:rsidRPr="00862D1E">
        <w:rPr>
          <w:sz w:val="24"/>
          <w:szCs w:val="24"/>
          <w:lang w:val="en-US" w:eastAsia="el-GR"/>
        </w:rPr>
        <w:t xml:space="preserve"> for the prevention of a composite of CV death, MI, stroke in patients with CAD or symptomatic PAD at high risk of ischaemic events. Patients were followed for a median of 23 months and maximum of 3.9 years.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Subjects without a continuous need for treatment with a proton pump inhibitor were randomized to pantoprazole or placebo. All patients were then randomized 1:1:1 to rivaroxaban 2.5 mg twice daily/ASA 100 mg once daily, to rivaroxaban 5 mg twice daily, or ASA 100 mg once daily alone, and their matching placebos.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CAD patients had multivessel CAD and/or prior MI. For patients &lt; 65 years of age atherosclerosis involving at least two vascular beds or at least two additional cardiovascular risk factors were required.</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revascularization or asymptomatic carotid artery stenosis ≥ 50%.</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Exclusion criteria included the need for dual antiplatelet or other non-ASA antiplatelet or oral anticoagulant therapy and patients with high bleeding risk, or heart failure with ejection fraction &lt; 30% or New York Heart Association class III or IV, or any ischaemic, non-lacunar stroke within 1 month or any history of haemorrhagic or lacunar stroke.</w:t>
      </w:r>
    </w:p>
    <w:p w:rsidR="00DE3B28" w:rsidRPr="00862D1E" w:rsidRDefault="00DE3B28" w:rsidP="003B4812">
      <w:pPr>
        <w:suppressAutoHyphens/>
        <w:ind w:left="851"/>
        <w:rPr>
          <w:sz w:val="24"/>
          <w:szCs w:val="24"/>
          <w:lang w:val="en-US" w:eastAsia="el-GR"/>
        </w:rPr>
      </w:pPr>
    </w:p>
    <w:p w:rsidR="00DE3B28" w:rsidRPr="00862D1E" w:rsidRDefault="00113DAE" w:rsidP="003B4812">
      <w:pPr>
        <w:suppressAutoHyphens/>
        <w:ind w:left="851"/>
        <w:rPr>
          <w:sz w:val="24"/>
          <w:szCs w:val="24"/>
          <w:lang w:val="en-US" w:eastAsia="el-GR"/>
        </w:rPr>
      </w:pPr>
      <w:r>
        <w:rPr>
          <w:sz w:val="24"/>
          <w:szCs w:val="24"/>
          <w:lang w:val="en-US" w:eastAsia="el-GR"/>
        </w:rPr>
        <w:t>Rivaroxaban</w:t>
      </w:r>
      <w:r w:rsidR="00DE3B28" w:rsidRPr="00862D1E">
        <w:rPr>
          <w:sz w:val="24"/>
          <w:szCs w:val="24"/>
          <w:lang w:val="en-US" w:eastAsia="el-GR"/>
        </w:rPr>
        <w:t xml:space="preserve"> 2.5 mg twice daily in combination with ASA 100 mg once daily was superior to ASA 100 mg, in the reduction of the primary composite outcome of CV death, MI, stroke (see Table 7 and Figure 2).</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There was a significant increase of the primary safety outcome (modified ISTH major bleeding events) in patients treated with </w:t>
      </w:r>
      <w:r w:rsidR="00113DAE">
        <w:rPr>
          <w:sz w:val="24"/>
          <w:szCs w:val="24"/>
          <w:lang w:val="en-US" w:eastAsia="el-GR"/>
        </w:rPr>
        <w:t>rivaroxaban</w:t>
      </w:r>
      <w:r w:rsidRPr="00862D1E">
        <w:rPr>
          <w:sz w:val="24"/>
          <w:szCs w:val="24"/>
          <w:lang w:val="en-US" w:eastAsia="el-GR"/>
        </w:rPr>
        <w:t xml:space="preserve"> 2.5 mg twice daily in combination with ASA 100 mg once daily compared to patients who received ASA 100 mg (see Table 8).</w:t>
      </w:r>
    </w:p>
    <w:p w:rsidR="00DE3B28" w:rsidRPr="00862D1E" w:rsidRDefault="00DE3B28" w:rsidP="003B4812">
      <w:pPr>
        <w:pStyle w:val="Brdtekst3"/>
        <w:ind w:left="851"/>
        <w:jc w:val="left"/>
        <w:rPr>
          <w:szCs w:val="24"/>
        </w:rPr>
      </w:pPr>
    </w:p>
    <w:p w:rsidR="00DE3B28" w:rsidRPr="00862D1E" w:rsidRDefault="00DE3B28" w:rsidP="003B4812">
      <w:pPr>
        <w:pStyle w:val="Brdtekst3"/>
        <w:ind w:left="851"/>
        <w:jc w:val="left"/>
        <w:rPr>
          <w:szCs w:val="24"/>
        </w:rPr>
      </w:pPr>
      <w:r w:rsidRPr="00862D1E">
        <w:rPr>
          <w:szCs w:val="24"/>
        </w:rPr>
        <w:t xml:space="preserve">For the primary efficacy outcome, the observed benefit of </w:t>
      </w:r>
      <w:r w:rsidR="00113DAE">
        <w:rPr>
          <w:szCs w:val="24"/>
        </w:rPr>
        <w:t>rivaroxaban</w:t>
      </w:r>
      <w:r w:rsidRPr="00862D1E">
        <w:rPr>
          <w:szCs w:val="24"/>
        </w:rPr>
        <w:t xml:space="preserve"> 2.5 mg twice daily plus ASA 100 mg once daily compared with ASA 100 mg once daily was HR=0.89 (95% CI 0.7-1.1) in patients ≥75 years (incidence: 6.3% vs 7.0%) and HR=0.70 (95% CI 0.6-0.8) in patients &lt;75 years (3.6% vs 5.0%). For modified ISTH major bleeding, the observed risk increase was HR=2.12 (95% CI 1.5-3.0) in patients ≥75 years (5.2% vs 2.5%) and HR=1.53 (95% CI 1.2-1.9) in patients &lt;75 years (2.6% vs 1.7 %).</w:t>
      </w:r>
    </w:p>
    <w:p w:rsidR="00DE3B28" w:rsidRPr="00862D1E" w:rsidRDefault="00DE3B28" w:rsidP="003B4812">
      <w:pPr>
        <w:pStyle w:val="Brdtekst3"/>
        <w:ind w:left="851"/>
        <w:jc w:val="left"/>
        <w:rPr>
          <w:szCs w:val="24"/>
        </w:rPr>
      </w:pPr>
    </w:p>
    <w:p w:rsidR="00DE3B28" w:rsidRPr="00862D1E" w:rsidRDefault="00DE3B28" w:rsidP="003B4812">
      <w:pPr>
        <w:pStyle w:val="Brdtekst3"/>
        <w:ind w:left="851"/>
        <w:jc w:val="left"/>
        <w:rPr>
          <w:szCs w:val="24"/>
        </w:rPr>
      </w:pPr>
      <w:r w:rsidRPr="00862D1E">
        <w:rPr>
          <w:szCs w:val="24"/>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rsidR="00DE3B28" w:rsidRPr="00862D1E" w:rsidRDefault="00DE3B28" w:rsidP="00862D1E">
      <w:pPr>
        <w:suppressAutoHyphens/>
        <w:ind w:left="851"/>
        <w:rPr>
          <w:b/>
          <w:bCs/>
          <w:sz w:val="24"/>
          <w:szCs w:val="24"/>
          <w:lang w:val="en-US" w:eastAsia="el-GR"/>
        </w:rPr>
      </w:pPr>
    </w:p>
    <w:p w:rsidR="00DE3B28" w:rsidRPr="00862D1E" w:rsidRDefault="00DE3B28" w:rsidP="00DE3B28">
      <w:pPr>
        <w:suppressAutoHyphens/>
        <w:ind w:left="1275" w:hanging="1275"/>
        <w:rPr>
          <w:b/>
          <w:bCs/>
          <w:sz w:val="24"/>
          <w:szCs w:val="24"/>
          <w:lang w:val="en-US" w:eastAsia="el-GR"/>
        </w:rPr>
      </w:pPr>
      <w:r w:rsidRPr="00862D1E">
        <w:rPr>
          <w:b/>
          <w:bCs/>
          <w:sz w:val="24"/>
          <w:szCs w:val="24"/>
          <w:lang w:val="en-US" w:eastAsia="el-GR"/>
        </w:rPr>
        <w:t>Table 7: Efficacy results from phase III COMPASS</w:t>
      </w:r>
    </w:p>
    <w:tbl>
      <w:tblPr>
        <w:tblStyle w:val="Tabel-Gitter"/>
        <w:tblW w:w="5000" w:type="pct"/>
        <w:tblCellMar>
          <w:left w:w="85" w:type="dxa"/>
          <w:right w:w="57" w:type="dxa"/>
        </w:tblCellMar>
        <w:tblLook w:val="04A0" w:firstRow="1" w:lastRow="0" w:firstColumn="1" w:lastColumn="0" w:noHBand="0" w:noVBand="1"/>
      </w:tblPr>
      <w:tblGrid>
        <w:gridCol w:w="2033"/>
        <w:gridCol w:w="1333"/>
        <w:gridCol w:w="1032"/>
        <w:gridCol w:w="1333"/>
        <w:gridCol w:w="909"/>
        <w:gridCol w:w="1598"/>
        <w:gridCol w:w="1390"/>
      </w:tblGrid>
      <w:tr w:rsidR="00DE3B28" w:rsidRPr="005762FD" w:rsidTr="007C09A3">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pStyle w:val="TableParagraph"/>
              <w:ind w:left="0"/>
              <w:rPr>
                <w:b/>
              </w:rPr>
            </w:pPr>
            <w:r>
              <w:rPr>
                <w:b/>
              </w:rPr>
              <w:t>Study Population</w:t>
            </w:r>
          </w:p>
        </w:tc>
        <w:tc>
          <w:tcPr>
            <w:tcW w:w="3944" w:type="pct"/>
            <w:gridSpan w:val="6"/>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sz w:val="14"/>
              </w:rPr>
            </w:pPr>
            <w:r>
              <w:rPr>
                <w:b/>
              </w:rPr>
              <w:t xml:space="preserve">Patients with CAD/PAD </w:t>
            </w:r>
            <w:r>
              <w:rPr>
                <w:b/>
                <w:position w:val="8"/>
                <w:sz w:val="14"/>
              </w:rPr>
              <w:t>a)</w:t>
            </w:r>
          </w:p>
        </w:tc>
      </w:tr>
      <w:tr w:rsidR="00DE3B28" w:rsidTr="007C09A3">
        <w:tc>
          <w:tcPr>
            <w:tcW w:w="1056" w:type="pct"/>
            <w:vMerge w:val="restart"/>
            <w:tcBorders>
              <w:top w:val="single" w:sz="4" w:space="0" w:color="auto"/>
              <w:left w:val="single" w:sz="4" w:space="0" w:color="auto"/>
              <w:bottom w:val="single" w:sz="4" w:space="0" w:color="auto"/>
              <w:right w:val="single" w:sz="4" w:space="0" w:color="auto"/>
            </w:tcBorders>
            <w:hideMark/>
          </w:tcPr>
          <w:p w:rsidR="00DE3B28" w:rsidRDefault="00DE3B28" w:rsidP="00A44F74">
            <w:pPr>
              <w:pStyle w:val="TableParagraph"/>
              <w:ind w:left="0"/>
              <w:rPr>
                <w:b/>
              </w:rPr>
            </w:pPr>
            <w:r>
              <w:rPr>
                <w:b/>
              </w:rPr>
              <w:t>Treatment Dose</w:t>
            </w:r>
          </w:p>
        </w:tc>
        <w:tc>
          <w:tcPr>
            <w:tcW w:w="1228" w:type="pct"/>
            <w:gridSpan w:val="2"/>
            <w:tcBorders>
              <w:top w:val="single" w:sz="4" w:space="0" w:color="auto"/>
              <w:left w:val="single" w:sz="4" w:space="0" w:color="auto"/>
              <w:bottom w:val="single" w:sz="4" w:space="0" w:color="auto"/>
              <w:right w:val="single" w:sz="4" w:space="0" w:color="auto"/>
            </w:tcBorders>
            <w:hideMark/>
          </w:tcPr>
          <w:p w:rsidR="00DE3B28" w:rsidRDefault="00113DAE">
            <w:pPr>
              <w:pStyle w:val="TableParagraph"/>
              <w:ind w:left="0" w:right="-110"/>
              <w:rPr>
                <w:b/>
              </w:rPr>
            </w:pPr>
            <w:r>
              <w:rPr>
                <w:b/>
              </w:rPr>
              <w:t>Rivaroxaban</w:t>
            </w:r>
            <w:r w:rsidR="00DE3B28">
              <w:rPr>
                <w:b/>
              </w:rPr>
              <w:t xml:space="preserve"> 2.5 mg bid in combination with ASA 100 mg od</w:t>
            </w:r>
          </w:p>
          <w:p w:rsidR="00DE3B28" w:rsidRDefault="00DE3B28">
            <w:pPr>
              <w:pStyle w:val="TableParagraph"/>
              <w:ind w:left="0"/>
              <w:rPr>
                <w:b/>
              </w:rPr>
            </w:pPr>
            <w:r>
              <w:rPr>
                <w:b/>
              </w:rPr>
              <w:t>N=9152</w:t>
            </w:r>
          </w:p>
        </w:tc>
        <w:tc>
          <w:tcPr>
            <w:tcW w:w="1164" w:type="pct"/>
            <w:gridSpan w:val="2"/>
            <w:tcBorders>
              <w:top w:val="single" w:sz="4" w:space="0" w:color="auto"/>
              <w:left w:val="single" w:sz="4" w:space="0" w:color="auto"/>
              <w:bottom w:val="single" w:sz="4" w:space="0" w:color="auto"/>
              <w:right w:val="single" w:sz="4" w:space="0" w:color="auto"/>
            </w:tcBorders>
          </w:tcPr>
          <w:p w:rsidR="00DE3B28" w:rsidRDefault="00DE3B28">
            <w:pPr>
              <w:pStyle w:val="TableParagraph"/>
              <w:spacing w:line="252" w:lineRule="exact"/>
              <w:ind w:left="0"/>
              <w:rPr>
                <w:b/>
              </w:rPr>
            </w:pPr>
            <w:r>
              <w:rPr>
                <w:b/>
              </w:rPr>
              <w:t>ASA 100 mg od</w:t>
            </w:r>
          </w:p>
          <w:p w:rsidR="00DE3B28" w:rsidRDefault="00DE3B28">
            <w:pPr>
              <w:pStyle w:val="TableParagraph"/>
              <w:ind w:left="0"/>
              <w:rPr>
                <w:b/>
                <w:sz w:val="24"/>
              </w:rPr>
            </w:pPr>
          </w:p>
          <w:p w:rsidR="00DE3B28" w:rsidRDefault="00DE3B28">
            <w:pPr>
              <w:pStyle w:val="TableParagraph"/>
              <w:ind w:left="0" w:right="-110"/>
              <w:rPr>
                <w:b/>
                <w:sz w:val="19"/>
              </w:rPr>
            </w:pPr>
          </w:p>
          <w:p w:rsidR="00DE3B28" w:rsidRDefault="00DE3B28">
            <w:pPr>
              <w:pStyle w:val="TableParagraph"/>
              <w:ind w:left="0"/>
              <w:rPr>
                <w:b/>
              </w:rPr>
            </w:pPr>
            <w:r>
              <w:rPr>
                <w:b/>
              </w:rPr>
              <w:t>N=9126</w:t>
            </w:r>
          </w:p>
        </w:tc>
        <w:tc>
          <w:tcPr>
            <w:tcW w:w="1552" w:type="pct"/>
            <w:gridSpan w:val="2"/>
            <w:tcBorders>
              <w:top w:val="single" w:sz="4" w:space="0" w:color="auto"/>
              <w:left w:val="single" w:sz="4" w:space="0" w:color="auto"/>
              <w:bottom w:val="single" w:sz="4" w:space="0" w:color="auto"/>
              <w:right w:val="single" w:sz="4" w:space="0" w:color="auto"/>
            </w:tcBorders>
          </w:tcPr>
          <w:p w:rsidR="00DE3B28" w:rsidRDefault="00DE3B28">
            <w:pPr>
              <w:pStyle w:val="TableParagraph"/>
              <w:ind w:left="0"/>
            </w:pPr>
          </w:p>
        </w:tc>
      </w:tr>
      <w:tr w:rsidR="00DE3B28" w:rsidTr="007C09A3">
        <w:tc>
          <w:tcPr>
            <w:tcW w:w="1056" w:type="pct"/>
            <w:vMerge/>
            <w:tcBorders>
              <w:top w:val="single" w:sz="4" w:space="0" w:color="auto"/>
              <w:left w:val="single" w:sz="4" w:space="0" w:color="auto"/>
              <w:bottom w:val="single" w:sz="4" w:space="0" w:color="auto"/>
              <w:right w:val="single" w:sz="4" w:space="0" w:color="auto"/>
            </w:tcBorders>
            <w:vAlign w:val="center"/>
            <w:hideMark/>
          </w:tcPr>
          <w:p w:rsidR="00DE3B28" w:rsidRDefault="00DE3B28" w:rsidP="00A44F74">
            <w:pPr>
              <w:rPr>
                <w:b/>
                <w:sz w:val="22"/>
                <w:szCs w:val="22"/>
                <w:lang w:val="en-US" w:eastAsia="en-US"/>
              </w:rPr>
            </w:pPr>
          </w:p>
        </w:tc>
        <w:tc>
          <w:tcPr>
            <w:tcW w:w="69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Patients with events</w:t>
            </w:r>
          </w:p>
        </w:tc>
        <w:tc>
          <w:tcPr>
            <w:tcW w:w="536"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KM %</w:t>
            </w:r>
          </w:p>
        </w:tc>
        <w:tc>
          <w:tcPr>
            <w:tcW w:w="69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Patients with events</w:t>
            </w:r>
          </w:p>
        </w:tc>
        <w:tc>
          <w:tcPr>
            <w:tcW w:w="47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KM %</w:t>
            </w:r>
          </w:p>
        </w:tc>
        <w:tc>
          <w:tcPr>
            <w:tcW w:w="830"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HR (95%</w:t>
            </w:r>
            <w:r>
              <w:rPr>
                <w:b/>
                <w:spacing w:val="-3"/>
              </w:rPr>
              <w:t xml:space="preserve"> </w:t>
            </w:r>
            <w:r>
              <w:rPr>
                <w:b/>
              </w:rPr>
              <w:t>CI)</w:t>
            </w:r>
          </w:p>
        </w:tc>
        <w:tc>
          <w:tcPr>
            <w:tcW w:w="72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sz w:val="14"/>
              </w:rPr>
            </w:pPr>
            <w:r>
              <w:rPr>
                <w:b/>
              </w:rPr>
              <w:t xml:space="preserve">p-value </w:t>
            </w:r>
            <w:r>
              <w:rPr>
                <w:b/>
                <w:position w:val="8"/>
                <w:sz w:val="14"/>
              </w:rPr>
              <w:t>b)</w:t>
            </w:r>
          </w:p>
        </w:tc>
      </w:tr>
      <w:tr w:rsidR="00DE3B28" w:rsidTr="007C09A3">
        <w:tc>
          <w:tcPr>
            <w:tcW w:w="5000" w:type="pct"/>
            <w:gridSpan w:val="7"/>
            <w:tcBorders>
              <w:top w:val="single" w:sz="4" w:space="0" w:color="auto"/>
              <w:left w:val="single" w:sz="4" w:space="0" w:color="auto"/>
              <w:bottom w:val="single" w:sz="4" w:space="0" w:color="auto"/>
              <w:right w:val="single" w:sz="4" w:space="0" w:color="auto"/>
            </w:tcBorders>
          </w:tcPr>
          <w:p w:rsidR="00DE3B28" w:rsidRDefault="00DE3B28" w:rsidP="00A44F74">
            <w:pPr>
              <w:suppressAutoHyphens/>
              <w:rPr>
                <w:sz w:val="24"/>
                <w:szCs w:val="24"/>
                <w:lang w:eastAsia="el-GR"/>
              </w:rPr>
            </w:pPr>
          </w:p>
        </w:tc>
      </w:tr>
      <w:tr w:rsidR="00DE3B28" w:rsidTr="007C09A3">
        <w:tc>
          <w:tcPr>
            <w:tcW w:w="105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A44F74">
            <w:pPr>
              <w:suppressAutoHyphens/>
              <w:rPr>
                <w:szCs w:val="24"/>
                <w:lang w:val="en-US" w:eastAsia="el-GR"/>
              </w:rPr>
            </w:pPr>
            <w:r w:rsidRPr="00DE3B28">
              <w:rPr>
                <w:szCs w:val="24"/>
                <w:lang w:val="en-US" w:eastAsia="el-GR"/>
              </w:rPr>
              <w:t>Stroke, MI or CV death</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379 (4.1%)</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5.20%</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496 (5.4%)</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7.17%</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0.76 (0.66;0.86)</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rFonts w:asciiTheme="majorBidi" w:hAnsiTheme="majorBidi" w:cstheme="majorBidi"/>
                <w:sz w:val="22"/>
                <w:szCs w:val="22"/>
                <w:lang w:eastAsia="el-GR"/>
              </w:rPr>
            </w:pPr>
            <w:r>
              <w:rPr>
                <w:rFonts w:asciiTheme="majorBidi" w:hAnsiTheme="majorBidi" w:cstheme="majorBidi"/>
                <w:sz w:val="22"/>
                <w:szCs w:val="22"/>
                <w:lang w:eastAsia="el-GR"/>
              </w:rPr>
              <w:t>p = 0.00004*</w:t>
            </w:r>
          </w:p>
        </w:tc>
      </w:tr>
      <w:tr w:rsidR="00DE3B28" w:rsidTr="007C09A3">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-Stroke</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83 (0.9%)</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rPr>
                <w:rFonts w:asciiTheme="majorBidi" w:hAnsiTheme="majorBidi" w:cstheme="majorBidi"/>
                <w:sz w:val="22"/>
                <w:szCs w:val="22"/>
                <w:lang w:eastAsia="en-GB"/>
              </w:rPr>
            </w:pPr>
            <w:r>
              <w:rPr>
                <w:rFonts w:asciiTheme="majorBidi" w:hAnsiTheme="majorBidi" w:cstheme="majorBidi"/>
                <w:sz w:val="22"/>
                <w:szCs w:val="22"/>
                <w:lang w:eastAsia="en-GB"/>
              </w:rPr>
              <w:t>1.17%</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142 (1.6%)</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2.23%</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0.58 (0.44;0.76)</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p = 0.00006</w:t>
            </w:r>
          </w:p>
        </w:tc>
      </w:tr>
      <w:tr w:rsidR="00DE3B28" w:rsidTr="007C09A3">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-MI</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178 (1.9%)</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rPr>
                <w:rFonts w:asciiTheme="majorBidi" w:hAnsiTheme="majorBidi" w:cstheme="majorBidi"/>
                <w:sz w:val="22"/>
                <w:szCs w:val="22"/>
                <w:lang w:eastAsia="en-GB"/>
              </w:rPr>
            </w:pPr>
            <w:r>
              <w:rPr>
                <w:rFonts w:asciiTheme="majorBidi" w:hAnsiTheme="majorBidi" w:cstheme="majorBidi"/>
                <w:sz w:val="22"/>
                <w:szCs w:val="22"/>
                <w:lang w:eastAsia="en-GB"/>
              </w:rPr>
              <w:t>2.46%</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205 (2.2%)</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2.94%</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0.86 (0.70;1.05)</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p = 0.14458</w:t>
            </w:r>
          </w:p>
        </w:tc>
      </w:tr>
      <w:tr w:rsidR="00DE3B28" w:rsidTr="007C09A3">
        <w:trPr>
          <w:trHeight w:val="374"/>
        </w:trPr>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-CV death</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160 (1.7%)</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rPr>
                <w:rFonts w:asciiTheme="majorBidi" w:hAnsiTheme="majorBidi" w:cstheme="majorBidi"/>
                <w:sz w:val="22"/>
                <w:szCs w:val="22"/>
                <w:lang w:eastAsia="en-GB"/>
              </w:rPr>
            </w:pPr>
            <w:r>
              <w:rPr>
                <w:rFonts w:asciiTheme="majorBidi" w:hAnsiTheme="majorBidi" w:cstheme="majorBidi"/>
                <w:sz w:val="22"/>
                <w:szCs w:val="22"/>
                <w:lang w:eastAsia="en-GB"/>
              </w:rPr>
              <w:t>2.19%</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203 (2.2%)</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2.88%</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0.78 (0.64;0.96)</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p = 0.02053</w:t>
            </w:r>
          </w:p>
        </w:tc>
      </w:tr>
      <w:tr w:rsidR="00DE3B28" w:rsidTr="007C09A3">
        <w:tc>
          <w:tcPr>
            <w:tcW w:w="5000" w:type="pct"/>
            <w:gridSpan w:val="7"/>
            <w:tcBorders>
              <w:top w:val="single" w:sz="4" w:space="0" w:color="auto"/>
              <w:left w:val="single" w:sz="4" w:space="0" w:color="auto"/>
              <w:bottom w:val="single" w:sz="4" w:space="0" w:color="auto"/>
              <w:right w:val="single" w:sz="4" w:space="0" w:color="auto"/>
            </w:tcBorders>
            <w:vAlign w:val="center"/>
          </w:tcPr>
          <w:p w:rsidR="00DE3B28" w:rsidRDefault="00DE3B28" w:rsidP="00A44F74">
            <w:pPr>
              <w:suppressAutoHyphens/>
              <w:rPr>
                <w:rFonts w:asciiTheme="majorBidi" w:hAnsiTheme="majorBidi" w:cstheme="majorBidi"/>
                <w:sz w:val="22"/>
                <w:szCs w:val="22"/>
                <w:lang w:eastAsia="el-GR"/>
              </w:rPr>
            </w:pPr>
          </w:p>
        </w:tc>
      </w:tr>
      <w:tr w:rsidR="00DE3B28" w:rsidTr="007C09A3">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All-cause mortality</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313 (3.4%)</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4.50%</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378 (4.1%)</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5.57%</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0.82 (0.71;0.96)</w:t>
            </w:r>
          </w:p>
        </w:tc>
        <w:tc>
          <w:tcPr>
            <w:tcW w:w="722" w:type="pct"/>
            <w:tcBorders>
              <w:top w:val="single" w:sz="4" w:space="0" w:color="auto"/>
              <w:left w:val="single" w:sz="4" w:space="0" w:color="auto"/>
              <w:bottom w:val="single" w:sz="4" w:space="0" w:color="auto"/>
              <w:right w:val="single" w:sz="4" w:space="0" w:color="auto"/>
            </w:tcBorders>
            <w:vAlign w:val="center"/>
          </w:tcPr>
          <w:p w:rsidR="00DE3B28" w:rsidRDefault="00DE3B28">
            <w:pPr>
              <w:jc w:val="center"/>
              <w:rPr>
                <w:rFonts w:asciiTheme="majorBidi" w:hAnsiTheme="majorBidi" w:cstheme="majorBidi"/>
                <w:sz w:val="22"/>
                <w:szCs w:val="22"/>
                <w:lang w:eastAsia="en-GB"/>
              </w:rPr>
            </w:pPr>
          </w:p>
        </w:tc>
      </w:tr>
      <w:tr w:rsidR="00DE3B28" w:rsidTr="007C09A3">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Acute limb ischaemia</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22 (0.2%)</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0.27%</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40 (0.4%)</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0.60%</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0.55 (0.32;0.92)</w:t>
            </w:r>
          </w:p>
        </w:tc>
        <w:tc>
          <w:tcPr>
            <w:tcW w:w="722" w:type="pct"/>
            <w:tcBorders>
              <w:top w:val="single" w:sz="4" w:space="0" w:color="auto"/>
              <w:left w:val="single" w:sz="4" w:space="0" w:color="auto"/>
              <w:bottom w:val="single" w:sz="4" w:space="0" w:color="auto"/>
              <w:right w:val="single" w:sz="4" w:space="0" w:color="auto"/>
            </w:tcBorders>
            <w:vAlign w:val="center"/>
          </w:tcPr>
          <w:p w:rsidR="00DE3B28" w:rsidRDefault="00DE3B28">
            <w:pPr>
              <w:jc w:val="center"/>
              <w:rPr>
                <w:rFonts w:asciiTheme="majorBidi" w:hAnsiTheme="majorBidi" w:cstheme="majorBidi"/>
                <w:sz w:val="22"/>
                <w:szCs w:val="22"/>
                <w:lang w:eastAsia="en-GB"/>
              </w:rPr>
            </w:pPr>
          </w:p>
        </w:tc>
      </w:tr>
    </w:tbl>
    <w:p w:rsidR="00DE3B28" w:rsidRDefault="00DE3B28" w:rsidP="00DE3B28">
      <w:pPr>
        <w:suppressAutoHyphens/>
        <w:jc w:val="both"/>
        <w:rPr>
          <w:sz w:val="24"/>
          <w:szCs w:val="24"/>
          <w:lang w:val="en-GB" w:eastAsia="el-GR"/>
        </w:rPr>
      </w:pPr>
      <w:r w:rsidRPr="00DE3B28">
        <w:rPr>
          <w:szCs w:val="24"/>
          <w:lang w:val="en-US" w:eastAsia="el-GR"/>
        </w:rPr>
        <w:t>a) intention to treat analysis set, primary analyses</w:t>
      </w:r>
    </w:p>
    <w:p w:rsidR="00DE3B28" w:rsidRPr="00DE3B28" w:rsidRDefault="00DE3B28" w:rsidP="00DE3B28">
      <w:pPr>
        <w:suppressAutoHyphens/>
        <w:jc w:val="both"/>
        <w:rPr>
          <w:szCs w:val="24"/>
          <w:lang w:val="en-US" w:eastAsia="el-GR"/>
        </w:rPr>
      </w:pPr>
      <w:r w:rsidRPr="00DE3B28">
        <w:rPr>
          <w:szCs w:val="24"/>
          <w:lang w:val="en-US" w:eastAsia="el-GR"/>
        </w:rPr>
        <w:t xml:space="preserve">b) vs. ASA 100 mg; Log-Rank p-value    </w:t>
      </w:r>
    </w:p>
    <w:p w:rsidR="00DE3B28" w:rsidRPr="00DE3B28" w:rsidRDefault="00DE3B28" w:rsidP="00DE3B28">
      <w:pPr>
        <w:suppressAutoHyphens/>
        <w:jc w:val="both"/>
        <w:rPr>
          <w:szCs w:val="24"/>
          <w:lang w:val="en-US" w:eastAsia="el-GR"/>
        </w:rPr>
      </w:pPr>
      <w:r w:rsidRPr="00DE3B28">
        <w:rPr>
          <w:szCs w:val="24"/>
          <w:lang w:val="en-US" w:eastAsia="el-GR"/>
        </w:rPr>
        <w:t xml:space="preserve">*  The reduction in the primary efficacy outcome was statistically superior. </w:t>
      </w:r>
    </w:p>
    <w:p w:rsidR="00DE3B28" w:rsidRPr="00DE3B28" w:rsidRDefault="00DE3B28" w:rsidP="00DE3B28">
      <w:pPr>
        <w:suppressAutoHyphens/>
        <w:jc w:val="both"/>
        <w:rPr>
          <w:szCs w:val="24"/>
          <w:lang w:val="en-US" w:eastAsia="el-GR"/>
        </w:rPr>
      </w:pPr>
      <w:r w:rsidRPr="00DE3B28">
        <w:rPr>
          <w:szCs w:val="24"/>
          <w:lang w:val="en-US" w:eastAsia="el-GR"/>
        </w:rPr>
        <w:t>bid: twice daily; CI: confidence interval; KM %: Kaplan-Meier estimates of cumulative incidence risk calculated at 900 days; CV: cardiovascular; MI: myocardial infarction; od: once daily</w:t>
      </w:r>
    </w:p>
    <w:p w:rsidR="00DE3B28" w:rsidRPr="00DE3B28" w:rsidRDefault="00DE3B28" w:rsidP="00DE3B28">
      <w:pPr>
        <w:suppressAutoHyphens/>
        <w:jc w:val="both"/>
        <w:rPr>
          <w:szCs w:val="24"/>
          <w:lang w:val="en-US" w:eastAsia="el-GR"/>
        </w:rPr>
      </w:pPr>
    </w:p>
    <w:p w:rsidR="00DE3B28" w:rsidRPr="00862D1E" w:rsidRDefault="00DE3B28" w:rsidP="00DE3B28">
      <w:pPr>
        <w:suppressAutoHyphens/>
        <w:jc w:val="both"/>
        <w:rPr>
          <w:b/>
          <w:bCs/>
          <w:sz w:val="24"/>
          <w:szCs w:val="24"/>
          <w:lang w:val="en-US" w:eastAsia="el-GR"/>
        </w:rPr>
      </w:pPr>
      <w:r w:rsidRPr="00862D1E">
        <w:rPr>
          <w:b/>
          <w:bCs/>
          <w:sz w:val="24"/>
          <w:szCs w:val="24"/>
          <w:lang w:val="en-US" w:eastAsia="el-GR"/>
        </w:rPr>
        <w:t>Table 8: Safety results from phase III COMPASS</w:t>
      </w:r>
    </w:p>
    <w:tbl>
      <w:tblPr>
        <w:tblStyle w:val="Tabel-Gitter"/>
        <w:tblW w:w="5000" w:type="pct"/>
        <w:tblLook w:val="04A0" w:firstRow="1" w:lastRow="0" w:firstColumn="1" w:lastColumn="0" w:noHBand="0" w:noVBand="1"/>
      </w:tblPr>
      <w:tblGrid>
        <w:gridCol w:w="3363"/>
        <w:gridCol w:w="2214"/>
        <w:gridCol w:w="2068"/>
        <w:gridCol w:w="1983"/>
      </w:tblGrid>
      <w:tr w:rsidR="00DE3B28" w:rsidRPr="005762FD"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b/>
                <w:bCs/>
                <w:sz w:val="22"/>
                <w:szCs w:val="22"/>
                <w:lang w:eastAsia="el-GR"/>
              </w:rPr>
            </w:pPr>
            <w:r>
              <w:rPr>
                <w:b/>
                <w:bCs/>
                <w:sz w:val="22"/>
                <w:szCs w:val="22"/>
                <w:lang w:eastAsia="el-GR"/>
              </w:rPr>
              <w:t>Study population</w:t>
            </w:r>
          </w:p>
        </w:tc>
        <w:tc>
          <w:tcPr>
            <w:tcW w:w="3254" w:type="pct"/>
            <w:gridSpan w:val="3"/>
            <w:tcBorders>
              <w:top w:val="single" w:sz="4" w:space="0" w:color="auto"/>
              <w:left w:val="single" w:sz="4" w:space="0" w:color="auto"/>
              <w:bottom w:val="single" w:sz="4" w:space="0" w:color="auto"/>
              <w:right w:val="single" w:sz="4" w:space="0" w:color="auto"/>
            </w:tcBorders>
            <w:vAlign w:val="center"/>
            <w:hideMark/>
          </w:tcPr>
          <w:p w:rsidR="00DE3B28" w:rsidRPr="00DE3B28" w:rsidRDefault="00DE3B28">
            <w:pPr>
              <w:suppressAutoHyphens/>
              <w:jc w:val="center"/>
              <w:rPr>
                <w:b/>
                <w:bCs/>
                <w:sz w:val="22"/>
                <w:szCs w:val="22"/>
                <w:lang w:val="en-US" w:eastAsia="el-GR"/>
              </w:rPr>
            </w:pPr>
            <w:r w:rsidRPr="00DE3B28">
              <w:rPr>
                <w:b/>
                <w:bCs/>
                <w:sz w:val="22"/>
                <w:szCs w:val="22"/>
                <w:lang w:val="en-US" w:eastAsia="el-GR"/>
              </w:rPr>
              <w:t xml:space="preserve">Patients with CAD/PAD </w:t>
            </w:r>
            <w:r w:rsidRPr="00DE3B28">
              <w:rPr>
                <w:b/>
                <w:bCs/>
                <w:sz w:val="22"/>
                <w:szCs w:val="22"/>
                <w:vertAlign w:val="superscript"/>
                <w:lang w:val="en-US" w:eastAsia="el-GR"/>
              </w:rPr>
              <w:t>a)</w:t>
            </w:r>
          </w:p>
        </w:tc>
      </w:tr>
      <w:tr w:rsidR="00DE3B28" w:rsidRPr="005762FD"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b/>
                <w:bCs/>
                <w:sz w:val="22"/>
                <w:szCs w:val="22"/>
                <w:lang w:eastAsia="el-GR"/>
              </w:rPr>
            </w:pPr>
            <w:r>
              <w:rPr>
                <w:b/>
                <w:bCs/>
                <w:sz w:val="22"/>
                <w:szCs w:val="22"/>
                <w:lang w:eastAsia="el-GR"/>
              </w:rPr>
              <w:t>Treatment Dose</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Pr="00DE3B28" w:rsidRDefault="00113DAE">
            <w:pPr>
              <w:suppressAutoHyphens/>
              <w:jc w:val="center"/>
              <w:rPr>
                <w:b/>
                <w:bCs/>
                <w:sz w:val="22"/>
                <w:szCs w:val="22"/>
                <w:lang w:val="en-US" w:eastAsia="el-GR"/>
              </w:rPr>
            </w:pPr>
            <w:r>
              <w:rPr>
                <w:b/>
                <w:bCs/>
                <w:sz w:val="22"/>
                <w:szCs w:val="22"/>
                <w:lang w:val="en-US" w:eastAsia="el-GR"/>
              </w:rPr>
              <w:t>Rivaroxaban</w:t>
            </w:r>
            <w:r w:rsidR="00DE3B28" w:rsidRPr="00DE3B28">
              <w:rPr>
                <w:b/>
                <w:bCs/>
                <w:sz w:val="22"/>
                <w:szCs w:val="22"/>
                <w:lang w:val="en-US" w:eastAsia="el-GR"/>
              </w:rPr>
              <w:t xml:space="preserve"> 2.5 mg bid in combination with ASA 100 mg od,</w:t>
            </w:r>
          </w:p>
          <w:p w:rsidR="00DE3B28" w:rsidRDefault="00DE3B28">
            <w:pPr>
              <w:suppressAutoHyphens/>
              <w:jc w:val="center"/>
              <w:rPr>
                <w:b/>
                <w:bCs/>
                <w:sz w:val="22"/>
                <w:szCs w:val="22"/>
                <w:lang w:eastAsia="el-GR"/>
              </w:rPr>
            </w:pPr>
            <w:r>
              <w:rPr>
                <w:b/>
                <w:bCs/>
                <w:sz w:val="22"/>
                <w:szCs w:val="22"/>
                <w:lang w:eastAsia="el-GR"/>
              </w:rPr>
              <w:t>N = 9152</w:t>
            </w:r>
          </w:p>
          <w:p w:rsidR="00DE3B28" w:rsidRDefault="00DE3B28">
            <w:pPr>
              <w:suppressAutoHyphens/>
              <w:jc w:val="center"/>
              <w:rPr>
                <w:b/>
                <w:bCs/>
                <w:sz w:val="22"/>
                <w:szCs w:val="22"/>
                <w:lang w:eastAsia="el-GR"/>
              </w:rPr>
            </w:pPr>
            <w:r>
              <w:rPr>
                <w:b/>
                <w:bCs/>
                <w:sz w:val="22"/>
                <w:szCs w:val="22"/>
                <w:lang w:eastAsia="el-GR"/>
              </w:rPr>
              <w:t>n (Cum. risk %)</w:t>
            </w:r>
          </w:p>
        </w:tc>
        <w:tc>
          <w:tcPr>
            <w:tcW w:w="1074" w:type="pct"/>
            <w:tcBorders>
              <w:top w:val="single" w:sz="4" w:space="0" w:color="auto"/>
              <w:left w:val="single" w:sz="4" w:space="0" w:color="auto"/>
              <w:bottom w:val="single" w:sz="4" w:space="0" w:color="auto"/>
              <w:right w:val="single" w:sz="4" w:space="0" w:color="auto"/>
            </w:tcBorders>
            <w:vAlign w:val="center"/>
          </w:tcPr>
          <w:p w:rsidR="00DE3B28" w:rsidRDefault="00DE3B28">
            <w:pPr>
              <w:suppressAutoHyphens/>
              <w:jc w:val="center"/>
              <w:rPr>
                <w:b/>
                <w:bCs/>
                <w:sz w:val="22"/>
                <w:szCs w:val="22"/>
                <w:lang w:val="pt-BR" w:eastAsia="el-GR"/>
              </w:rPr>
            </w:pPr>
            <w:r>
              <w:rPr>
                <w:b/>
                <w:bCs/>
                <w:sz w:val="22"/>
                <w:szCs w:val="22"/>
                <w:lang w:val="pt-BR" w:eastAsia="el-GR"/>
              </w:rPr>
              <w:t>ASA 100 mg od</w:t>
            </w:r>
          </w:p>
          <w:p w:rsidR="00DE3B28" w:rsidRDefault="00DE3B28">
            <w:pPr>
              <w:suppressAutoHyphens/>
              <w:jc w:val="center"/>
              <w:rPr>
                <w:b/>
                <w:bCs/>
                <w:sz w:val="22"/>
                <w:szCs w:val="22"/>
                <w:lang w:val="pt-BR" w:eastAsia="el-GR"/>
              </w:rPr>
            </w:pPr>
          </w:p>
          <w:p w:rsidR="00DE3B28" w:rsidRDefault="00DE3B28">
            <w:pPr>
              <w:suppressAutoHyphens/>
              <w:jc w:val="center"/>
              <w:rPr>
                <w:b/>
                <w:bCs/>
                <w:sz w:val="22"/>
                <w:szCs w:val="22"/>
                <w:lang w:val="pt-BR" w:eastAsia="el-GR"/>
              </w:rPr>
            </w:pPr>
          </w:p>
          <w:p w:rsidR="00DE3B28" w:rsidRDefault="00DE3B28">
            <w:pPr>
              <w:suppressAutoHyphens/>
              <w:jc w:val="center"/>
              <w:rPr>
                <w:b/>
                <w:bCs/>
                <w:sz w:val="22"/>
                <w:szCs w:val="22"/>
                <w:lang w:val="pt-BR" w:eastAsia="el-GR"/>
              </w:rPr>
            </w:pPr>
            <w:r>
              <w:rPr>
                <w:b/>
                <w:bCs/>
                <w:sz w:val="22"/>
                <w:szCs w:val="22"/>
                <w:lang w:val="pt-BR" w:eastAsia="el-GR"/>
              </w:rPr>
              <w:t>N = 9126</w:t>
            </w:r>
          </w:p>
          <w:p w:rsidR="00DE3B28" w:rsidRDefault="00DE3B28">
            <w:pPr>
              <w:suppressAutoHyphens/>
              <w:jc w:val="center"/>
              <w:rPr>
                <w:b/>
                <w:bCs/>
                <w:sz w:val="22"/>
                <w:szCs w:val="22"/>
                <w:lang w:val="pt-BR" w:eastAsia="el-GR"/>
              </w:rPr>
            </w:pPr>
            <w:r>
              <w:rPr>
                <w:b/>
                <w:bCs/>
                <w:sz w:val="22"/>
                <w:szCs w:val="22"/>
                <w:lang w:val="pt-BR" w:eastAsia="el-GR"/>
              </w:rPr>
              <w:t>n (Cum. risk %)</w:t>
            </w:r>
          </w:p>
        </w:tc>
        <w:tc>
          <w:tcPr>
            <w:tcW w:w="1030" w:type="pct"/>
            <w:tcBorders>
              <w:top w:val="single" w:sz="4" w:space="0" w:color="auto"/>
              <w:left w:val="single" w:sz="4" w:space="0" w:color="auto"/>
              <w:bottom w:val="single" w:sz="4" w:space="0" w:color="auto"/>
              <w:right w:val="single" w:sz="4" w:space="0" w:color="auto"/>
            </w:tcBorders>
            <w:vAlign w:val="center"/>
          </w:tcPr>
          <w:p w:rsidR="00DE3B28" w:rsidRDefault="00DE3B28">
            <w:pPr>
              <w:suppressAutoHyphens/>
              <w:jc w:val="center"/>
              <w:rPr>
                <w:b/>
                <w:bCs/>
                <w:sz w:val="22"/>
                <w:szCs w:val="22"/>
                <w:lang w:val="en-GB" w:eastAsia="el-GR"/>
              </w:rPr>
            </w:pPr>
            <w:r w:rsidRPr="00DE3B28">
              <w:rPr>
                <w:b/>
                <w:bCs/>
                <w:sz w:val="22"/>
                <w:szCs w:val="22"/>
                <w:lang w:val="en-US" w:eastAsia="el-GR"/>
              </w:rPr>
              <w:t>Hazard Ratio</w:t>
            </w:r>
          </w:p>
          <w:p w:rsidR="00DE3B28" w:rsidRPr="00DE3B28" w:rsidRDefault="00DE3B28">
            <w:pPr>
              <w:suppressAutoHyphens/>
              <w:jc w:val="center"/>
              <w:rPr>
                <w:b/>
                <w:bCs/>
                <w:sz w:val="22"/>
                <w:szCs w:val="22"/>
                <w:lang w:val="en-US" w:eastAsia="el-GR"/>
              </w:rPr>
            </w:pPr>
            <w:r w:rsidRPr="00DE3B28">
              <w:rPr>
                <w:b/>
                <w:bCs/>
                <w:sz w:val="22"/>
                <w:szCs w:val="22"/>
                <w:lang w:val="en-US" w:eastAsia="el-GR"/>
              </w:rPr>
              <w:t>(95 % CI)</w:t>
            </w:r>
          </w:p>
          <w:p w:rsidR="00DE3B28" w:rsidRPr="00DE3B28" w:rsidRDefault="00DE3B28">
            <w:pPr>
              <w:suppressAutoHyphens/>
              <w:jc w:val="center"/>
              <w:rPr>
                <w:b/>
                <w:bCs/>
                <w:sz w:val="22"/>
                <w:szCs w:val="22"/>
                <w:lang w:val="en-US" w:eastAsia="el-GR"/>
              </w:rPr>
            </w:pPr>
          </w:p>
          <w:p w:rsidR="00DE3B28" w:rsidRPr="00DE3B28" w:rsidRDefault="00DE3B28">
            <w:pPr>
              <w:suppressAutoHyphens/>
              <w:jc w:val="center"/>
              <w:rPr>
                <w:b/>
                <w:bCs/>
                <w:sz w:val="22"/>
                <w:szCs w:val="22"/>
                <w:lang w:val="en-US" w:eastAsia="el-GR"/>
              </w:rPr>
            </w:pPr>
          </w:p>
          <w:p w:rsidR="00DE3B28" w:rsidRPr="00DE3B28" w:rsidRDefault="00DE3B28">
            <w:pPr>
              <w:suppressAutoHyphens/>
              <w:jc w:val="center"/>
              <w:rPr>
                <w:b/>
                <w:bCs/>
                <w:sz w:val="22"/>
                <w:szCs w:val="22"/>
                <w:lang w:val="en-US" w:eastAsia="el-GR"/>
              </w:rPr>
            </w:pPr>
            <w:r w:rsidRPr="00DE3B28">
              <w:rPr>
                <w:b/>
                <w:bCs/>
                <w:sz w:val="22"/>
                <w:szCs w:val="22"/>
                <w:lang w:val="en-US" w:eastAsia="el-GR"/>
              </w:rPr>
              <w:t xml:space="preserve">p-value </w:t>
            </w:r>
            <w:r w:rsidRPr="00DE3B28">
              <w:rPr>
                <w:b/>
                <w:bCs/>
                <w:sz w:val="22"/>
                <w:szCs w:val="22"/>
                <w:vertAlign w:val="superscript"/>
                <w:lang w:val="en-US" w:eastAsia="el-GR"/>
              </w:rPr>
              <w:t>b)</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sz w:val="22"/>
                <w:szCs w:val="22"/>
                <w:lang w:eastAsia="el-GR"/>
              </w:rPr>
            </w:pPr>
            <w:r>
              <w:rPr>
                <w:sz w:val="22"/>
                <w:szCs w:val="22"/>
                <w:lang w:eastAsia="el-GR"/>
              </w:rPr>
              <w:t>Modified ISTH major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288 (3.9 %)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170 (2.5 %)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1.70 (1.40;205)</w:t>
            </w:r>
          </w:p>
          <w:p w:rsidR="00DE3B28" w:rsidRDefault="00DE3B28">
            <w:pPr>
              <w:suppressAutoHyphens/>
              <w:jc w:val="center"/>
              <w:rPr>
                <w:sz w:val="22"/>
                <w:szCs w:val="22"/>
                <w:lang w:eastAsia="el-GR"/>
              </w:rPr>
            </w:pPr>
            <w:r>
              <w:rPr>
                <w:sz w:val="22"/>
                <w:szCs w:val="22"/>
                <w:lang w:eastAsia="el-GR"/>
              </w:rPr>
              <w:t>p &lt; 0.00001</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rsidP="000B650C">
            <w:pPr>
              <w:suppressAutoHyphens/>
              <w:ind w:left="174" w:hanging="174"/>
              <w:rPr>
                <w:sz w:val="22"/>
                <w:szCs w:val="22"/>
                <w:lang w:eastAsia="el-GR"/>
              </w:rPr>
            </w:pPr>
            <w:r>
              <w:rPr>
                <w:sz w:val="22"/>
                <w:szCs w:val="22"/>
                <w:lang w:eastAsia="el-GR"/>
              </w:rPr>
              <w:t>-</w:t>
            </w:r>
            <w:r w:rsidR="000B650C">
              <w:rPr>
                <w:sz w:val="22"/>
                <w:szCs w:val="22"/>
                <w:lang w:eastAsia="el-GR"/>
              </w:rPr>
              <w:tab/>
            </w:r>
            <w:r>
              <w:rPr>
                <w:sz w:val="22"/>
                <w:szCs w:val="22"/>
                <w:lang w:eastAsia="el-GR"/>
              </w:rPr>
              <w:t>Fatal bleeding event</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15 (0.2 %)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10 (0.2 %)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1.49 (0.67;3.33)</w:t>
            </w:r>
          </w:p>
          <w:p w:rsidR="00DE3B28" w:rsidRDefault="00DE3B28">
            <w:pPr>
              <w:suppressAutoHyphens/>
              <w:jc w:val="center"/>
              <w:rPr>
                <w:sz w:val="22"/>
                <w:szCs w:val="22"/>
                <w:lang w:eastAsia="el-GR"/>
              </w:rPr>
            </w:pPr>
            <w:r>
              <w:rPr>
                <w:sz w:val="22"/>
                <w:szCs w:val="22"/>
                <w:lang w:eastAsia="el-GR"/>
              </w:rPr>
              <w:t>p = 0.32164</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0B650C">
            <w:pPr>
              <w:suppressAutoHyphens/>
              <w:ind w:left="174" w:hanging="174"/>
              <w:rPr>
                <w:sz w:val="22"/>
                <w:szCs w:val="22"/>
                <w:lang w:val="en-US" w:eastAsia="el-GR"/>
              </w:rPr>
            </w:pPr>
            <w:r w:rsidRPr="00DE3B28">
              <w:rPr>
                <w:sz w:val="22"/>
                <w:szCs w:val="22"/>
                <w:lang w:val="en-US" w:eastAsia="el-GR"/>
              </w:rPr>
              <w:t>-</w:t>
            </w:r>
            <w:r w:rsidR="00A44F74">
              <w:rPr>
                <w:sz w:val="22"/>
                <w:szCs w:val="22"/>
                <w:lang w:val="en-US" w:eastAsia="el-GR"/>
              </w:rPr>
              <w:tab/>
            </w:r>
            <w:r w:rsidRPr="00DE3B28">
              <w:rPr>
                <w:sz w:val="22"/>
                <w:szCs w:val="22"/>
                <w:lang w:val="en-US" w:eastAsia="el-GR"/>
              </w:rPr>
              <w:t>Symptomatic bleeding in critical organ (non-fatal)</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63 (0.9 %)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49 (0.7 %)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1.28 (0.88;1.86)</w:t>
            </w:r>
          </w:p>
          <w:p w:rsidR="00DE3B28" w:rsidRDefault="00DE3B28">
            <w:pPr>
              <w:suppressAutoHyphens/>
              <w:jc w:val="center"/>
              <w:rPr>
                <w:sz w:val="22"/>
                <w:szCs w:val="22"/>
                <w:lang w:eastAsia="el-GR"/>
              </w:rPr>
            </w:pPr>
            <w:r>
              <w:rPr>
                <w:sz w:val="22"/>
                <w:szCs w:val="22"/>
                <w:lang w:eastAsia="el-GR"/>
              </w:rPr>
              <w:t>p = 0.19679</w:t>
            </w:r>
          </w:p>
        </w:tc>
      </w:tr>
      <w:tr w:rsidR="00DE3B28" w:rsidTr="007C09A3">
        <w:trPr>
          <w:trHeight w:val="522"/>
        </w:trPr>
        <w:tc>
          <w:tcPr>
            <w:tcW w:w="174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0B650C">
            <w:pPr>
              <w:suppressAutoHyphens/>
              <w:ind w:left="174" w:hanging="174"/>
              <w:rPr>
                <w:sz w:val="22"/>
                <w:szCs w:val="22"/>
                <w:lang w:val="en-US" w:eastAsia="el-GR"/>
              </w:rPr>
            </w:pPr>
            <w:r w:rsidRPr="00DE3B28">
              <w:rPr>
                <w:sz w:val="22"/>
                <w:szCs w:val="22"/>
                <w:lang w:val="en-US" w:eastAsia="el-GR"/>
              </w:rPr>
              <w:t>-</w:t>
            </w:r>
            <w:r w:rsidR="00A44F74">
              <w:rPr>
                <w:sz w:val="22"/>
                <w:szCs w:val="22"/>
                <w:lang w:val="en-US" w:eastAsia="el-GR"/>
              </w:rPr>
              <w:tab/>
            </w:r>
            <w:r w:rsidRPr="00DE3B28">
              <w:rPr>
                <w:sz w:val="22"/>
                <w:szCs w:val="22"/>
                <w:lang w:val="en-US" w:eastAsia="el-GR"/>
              </w:rPr>
              <w:t>Bleeding into the surgical site requiring reoperation (non-fatal, not in critical organ)</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10 (0.1 %)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8 (0.1 %)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1.24 (0.49;3.14)</w:t>
            </w:r>
          </w:p>
          <w:p w:rsidR="00DE3B28" w:rsidRDefault="00DE3B28">
            <w:pPr>
              <w:suppressAutoHyphens/>
              <w:jc w:val="center"/>
              <w:rPr>
                <w:sz w:val="22"/>
                <w:szCs w:val="22"/>
                <w:lang w:eastAsia="el-GR"/>
              </w:rPr>
            </w:pPr>
            <w:r>
              <w:rPr>
                <w:sz w:val="22"/>
                <w:szCs w:val="22"/>
                <w:lang w:eastAsia="el-GR"/>
              </w:rPr>
              <w:t>p = 0.65119</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0B650C">
            <w:pPr>
              <w:suppressAutoHyphens/>
              <w:ind w:left="174" w:hanging="174"/>
              <w:rPr>
                <w:sz w:val="22"/>
                <w:szCs w:val="22"/>
                <w:lang w:val="en-US" w:eastAsia="el-GR"/>
              </w:rPr>
            </w:pPr>
            <w:r w:rsidRPr="00DE3B28">
              <w:rPr>
                <w:sz w:val="22"/>
                <w:szCs w:val="22"/>
                <w:lang w:val="en-US" w:eastAsia="el-GR"/>
              </w:rPr>
              <w:t>-</w:t>
            </w:r>
            <w:r w:rsidR="00A44F74">
              <w:rPr>
                <w:sz w:val="22"/>
                <w:szCs w:val="22"/>
                <w:lang w:val="en-US" w:eastAsia="el-GR"/>
              </w:rPr>
              <w:tab/>
            </w:r>
            <w:r w:rsidRPr="00DE3B28">
              <w:rPr>
                <w:sz w:val="22"/>
                <w:szCs w:val="22"/>
                <w:lang w:val="en-US" w:eastAsia="el-GR"/>
              </w:rPr>
              <w:t>Bleeding leading to hospitalisation (non-fatal, not in critical organ, not requiring reoperation)</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208 (2.9 %)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109 (1.6 %)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1.91 (1.51;2.41)</w:t>
            </w:r>
          </w:p>
          <w:p w:rsidR="00DE3B28" w:rsidRDefault="00DE3B28">
            <w:pPr>
              <w:suppressAutoHyphens/>
              <w:jc w:val="center"/>
              <w:rPr>
                <w:sz w:val="22"/>
                <w:szCs w:val="22"/>
                <w:lang w:eastAsia="el-GR"/>
              </w:rPr>
            </w:pPr>
            <w:r>
              <w:rPr>
                <w:sz w:val="22"/>
                <w:szCs w:val="22"/>
                <w:lang w:eastAsia="el-GR"/>
              </w:rPr>
              <w:t>p &lt; 0.00001</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rsidP="000B650C">
            <w:pPr>
              <w:suppressAutoHyphens/>
              <w:ind w:left="883" w:hanging="284"/>
              <w:jc w:val="both"/>
              <w:rPr>
                <w:sz w:val="22"/>
                <w:szCs w:val="22"/>
                <w:lang w:eastAsia="el-GR"/>
              </w:rPr>
            </w:pPr>
            <w:r>
              <w:rPr>
                <w:sz w:val="22"/>
                <w:szCs w:val="22"/>
                <w:lang w:eastAsia="el-GR"/>
              </w:rPr>
              <w:tab/>
              <w:t>- With overnight stay</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172 (2.3 %)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90 (1.3 %)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1.91 (1.48;2.46)</w:t>
            </w:r>
          </w:p>
          <w:p w:rsidR="00DE3B28" w:rsidRDefault="00DE3B28">
            <w:pPr>
              <w:suppressAutoHyphens/>
              <w:jc w:val="center"/>
              <w:rPr>
                <w:sz w:val="22"/>
                <w:szCs w:val="22"/>
                <w:lang w:eastAsia="el-GR"/>
              </w:rPr>
            </w:pPr>
            <w:r>
              <w:rPr>
                <w:sz w:val="22"/>
                <w:szCs w:val="22"/>
                <w:lang w:eastAsia="el-GR"/>
              </w:rPr>
              <w:t>p &lt; 0.00001</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rsidP="000B650C">
            <w:pPr>
              <w:suppressAutoHyphens/>
              <w:ind w:left="883" w:hanging="284"/>
              <w:jc w:val="both"/>
              <w:rPr>
                <w:sz w:val="22"/>
                <w:szCs w:val="22"/>
                <w:lang w:eastAsia="el-GR"/>
              </w:rPr>
            </w:pPr>
            <w:r>
              <w:rPr>
                <w:sz w:val="22"/>
                <w:szCs w:val="22"/>
                <w:lang w:eastAsia="el-GR"/>
              </w:rPr>
              <w:tab/>
              <w:t>- Without overnight stay</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36 (0.5 %)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21 (0.3 %)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1.70 (0.99;2.92)</w:t>
            </w:r>
          </w:p>
          <w:p w:rsidR="00DE3B28" w:rsidRDefault="00DE3B28">
            <w:pPr>
              <w:suppressAutoHyphens/>
              <w:jc w:val="center"/>
              <w:rPr>
                <w:sz w:val="22"/>
                <w:szCs w:val="22"/>
                <w:lang w:eastAsia="el-GR"/>
              </w:rPr>
            </w:pPr>
            <w:r>
              <w:rPr>
                <w:sz w:val="22"/>
                <w:szCs w:val="22"/>
                <w:lang w:eastAsia="el-GR"/>
              </w:rPr>
              <w:t>p = 0.04983</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sz w:val="22"/>
                <w:szCs w:val="22"/>
                <w:lang w:eastAsia="el-GR"/>
              </w:rPr>
            </w:pPr>
            <w:r>
              <w:rPr>
                <w:sz w:val="22"/>
                <w:szCs w:val="22"/>
                <w:lang w:eastAsia="el-GR"/>
              </w:rPr>
              <w:t>Major gastrointestinal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140 (2.0 %)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65 (1.1 %)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2.15 (1.60;2.89)</w:t>
            </w:r>
          </w:p>
          <w:p w:rsidR="00DE3B28" w:rsidRDefault="00DE3B28">
            <w:pPr>
              <w:suppressAutoHyphens/>
              <w:jc w:val="center"/>
              <w:rPr>
                <w:sz w:val="22"/>
                <w:szCs w:val="22"/>
                <w:lang w:eastAsia="el-GR"/>
              </w:rPr>
            </w:pPr>
            <w:r>
              <w:rPr>
                <w:sz w:val="22"/>
                <w:szCs w:val="22"/>
                <w:lang w:eastAsia="el-GR"/>
              </w:rPr>
              <w:t>p &lt; 0.00001</w:t>
            </w:r>
          </w:p>
        </w:tc>
      </w:tr>
      <w:tr w:rsidR="00DE3B28" w:rsidTr="007C09A3">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sz w:val="22"/>
                <w:szCs w:val="22"/>
                <w:lang w:eastAsia="el-GR"/>
              </w:rPr>
            </w:pPr>
            <w:r>
              <w:rPr>
                <w:sz w:val="22"/>
                <w:szCs w:val="22"/>
                <w:lang w:eastAsia="el-GR"/>
              </w:rPr>
              <w:t>Major intracranial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28 (0.4 %)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24 (0.3 %)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1.16 (0.67;2.00)</w:t>
            </w:r>
          </w:p>
          <w:p w:rsidR="00DE3B28" w:rsidRDefault="00DE3B28">
            <w:pPr>
              <w:suppressAutoHyphens/>
              <w:jc w:val="center"/>
              <w:rPr>
                <w:sz w:val="22"/>
                <w:szCs w:val="22"/>
                <w:lang w:eastAsia="el-GR"/>
              </w:rPr>
            </w:pPr>
            <w:r>
              <w:rPr>
                <w:sz w:val="22"/>
                <w:szCs w:val="22"/>
                <w:lang w:eastAsia="el-GR"/>
              </w:rPr>
              <w:t>p = 0.59858</w:t>
            </w:r>
          </w:p>
        </w:tc>
      </w:tr>
    </w:tbl>
    <w:p w:rsidR="00DE3B28" w:rsidRDefault="00DE3B28" w:rsidP="00DE3B28">
      <w:pPr>
        <w:suppressAutoHyphens/>
        <w:jc w:val="both"/>
        <w:rPr>
          <w:sz w:val="24"/>
          <w:szCs w:val="24"/>
          <w:lang w:val="en-GB" w:eastAsia="el-GR"/>
        </w:rPr>
      </w:pPr>
      <w:r w:rsidRPr="00DE3B28">
        <w:rPr>
          <w:szCs w:val="24"/>
          <w:lang w:val="en-US" w:eastAsia="el-GR"/>
        </w:rPr>
        <w:t>a) intention-to-treat analysis set, primary analyses</w:t>
      </w:r>
    </w:p>
    <w:p w:rsidR="00DE3B28" w:rsidRPr="00DE3B28" w:rsidRDefault="00DE3B28" w:rsidP="00DE3B28">
      <w:pPr>
        <w:suppressAutoHyphens/>
        <w:jc w:val="both"/>
        <w:rPr>
          <w:szCs w:val="24"/>
          <w:lang w:val="en-US" w:eastAsia="el-GR"/>
        </w:rPr>
      </w:pPr>
      <w:r w:rsidRPr="00DE3B28">
        <w:rPr>
          <w:szCs w:val="24"/>
          <w:lang w:val="en-US" w:eastAsia="el-GR"/>
        </w:rPr>
        <w:t xml:space="preserve">b) vs. ASA 100 mg; Log-Rank p-value    </w:t>
      </w:r>
    </w:p>
    <w:p w:rsidR="00DE3B28" w:rsidRPr="00DE3B28" w:rsidRDefault="00DE3B28" w:rsidP="00DE3B28">
      <w:pPr>
        <w:suppressAutoHyphens/>
        <w:jc w:val="both"/>
        <w:rPr>
          <w:szCs w:val="24"/>
          <w:lang w:val="en-US" w:eastAsia="el-GR"/>
        </w:rPr>
      </w:pPr>
      <w:r w:rsidRPr="00DE3B28">
        <w:rPr>
          <w:szCs w:val="24"/>
          <w:lang w:val="en-US" w:eastAsia="el-GR"/>
        </w:rPr>
        <w:t>bid: twice daily; CI: confidence interval; Cum. Risk: Cumulative incidence risk (Kaplan-Meier estimates) at 30 months; ISTH: International Society on Thrombosis and Haemostasis; od: once daily</w:t>
      </w:r>
    </w:p>
    <w:p w:rsidR="00DE3B28" w:rsidRPr="00DE3B28" w:rsidRDefault="00DE3B28" w:rsidP="00DE3B28">
      <w:pPr>
        <w:suppressAutoHyphens/>
        <w:jc w:val="both"/>
        <w:rPr>
          <w:szCs w:val="24"/>
          <w:lang w:val="en-US" w:eastAsia="el-GR"/>
        </w:rPr>
      </w:pPr>
    </w:p>
    <w:p w:rsidR="00DE3B28" w:rsidRPr="00862D1E" w:rsidRDefault="00DE3B28" w:rsidP="007C09A3">
      <w:pPr>
        <w:keepNext/>
        <w:suppressAutoHyphens/>
        <w:rPr>
          <w:b/>
          <w:bCs/>
          <w:sz w:val="24"/>
          <w:szCs w:val="24"/>
          <w:lang w:val="en-US" w:eastAsia="el-GR"/>
        </w:rPr>
      </w:pPr>
      <w:r w:rsidRPr="00862D1E">
        <w:rPr>
          <w:b/>
          <w:bCs/>
          <w:sz w:val="24"/>
          <w:szCs w:val="24"/>
          <w:lang w:val="en-US" w:eastAsia="el-GR"/>
        </w:rPr>
        <w:t>Figure 2: Time to first occurrence of primary efficacy outcome (stroke, myocardial infarction, cardiovascular death</w:t>
      </w:r>
      <w:r w:rsidR="00123999">
        <w:rPr>
          <w:b/>
          <w:bCs/>
          <w:sz w:val="24"/>
          <w:szCs w:val="24"/>
          <w:lang w:val="en-US" w:eastAsia="el-GR"/>
        </w:rPr>
        <w:t>)</w:t>
      </w:r>
      <w:r w:rsidRPr="00862D1E">
        <w:rPr>
          <w:b/>
          <w:bCs/>
          <w:sz w:val="24"/>
          <w:szCs w:val="24"/>
          <w:lang w:val="en-US" w:eastAsia="el-GR"/>
        </w:rPr>
        <w:t xml:space="preserve"> in COMPASS</w:t>
      </w:r>
    </w:p>
    <w:p w:rsidR="00DE3B28" w:rsidRPr="00DE3B28" w:rsidRDefault="00DE3B28" w:rsidP="007C09A3">
      <w:pPr>
        <w:keepNext/>
        <w:suppressAutoHyphens/>
        <w:rPr>
          <w:b/>
          <w:bCs/>
          <w:szCs w:val="24"/>
          <w:lang w:val="en-US" w:eastAsia="el-GR"/>
        </w:rPr>
      </w:pPr>
      <w:r>
        <w:rPr>
          <w:noProof/>
        </w:rPr>
        <w:drawing>
          <wp:anchor distT="0" distB="0" distL="114300" distR="114300" simplePos="0" relativeHeight="251658240" behindDoc="0" locked="0" layoutInCell="1" allowOverlap="1">
            <wp:simplePos x="0" y="0"/>
            <wp:positionH relativeFrom="column">
              <wp:posOffset>-127000</wp:posOffset>
            </wp:positionH>
            <wp:positionV relativeFrom="paragraph">
              <wp:posOffset>226695</wp:posOffset>
            </wp:positionV>
            <wp:extent cx="5987415" cy="4762500"/>
            <wp:effectExtent l="0" t="0" r="0" b="0"/>
            <wp:wrapThrough wrapText="bothSides">
              <wp:wrapPolygon edited="0">
                <wp:start x="0" y="0"/>
                <wp:lineTo x="0" y="21514"/>
                <wp:lineTo x="21511" y="21514"/>
                <wp:lineTo x="21511"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415" cy="4762500"/>
                    </a:xfrm>
                    <a:prstGeom prst="rect">
                      <a:avLst/>
                    </a:prstGeom>
                    <a:noFill/>
                  </pic:spPr>
                </pic:pic>
              </a:graphicData>
            </a:graphic>
            <wp14:sizeRelH relativeFrom="page">
              <wp14:pctWidth>0</wp14:pctWidth>
            </wp14:sizeRelH>
            <wp14:sizeRelV relativeFrom="page">
              <wp14:pctHeight>0</wp14:pctHeight>
            </wp14:sizeRelV>
          </wp:anchor>
        </w:drawing>
      </w:r>
    </w:p>
    <w:p w:rsidR="00DE3B28" w:rsidRPr="00DE3B28" w:rsidRDefault="00DE3B28" w:rsidP="007C09A3">
      <w:pPr>
        <w:keepNext/>
        <w:suppressAutoHyphens/>
        <w:rPr>
          <w:szCs w:val="24"/>
          <w:lang w:val="en-US" w:eastAsia="el-GR"/>
        </w:rPr>
      </w:pPr>
      <w:r w:rsidRPr="00DE3B28">
        <w:rPr>
          <w:szCs w:val="24"/>
          <w:lang w:val="en-US" w:eastAsia="el-GR"/>
        </w:rPr>
        <w:t xml:space="preserve">bid: twice daily; od: once daily; CI: confidence interval </w:t>
      </w:r>
    </w:p>
    <w:p w:rsidR="00DE3B28" w:rsidRDefault="00DE3B28" w:rsidP="00DE3B28">
      <w:pPr>
        <w:suppressAutoHyphens/>
        <w:jc w:val="both"/>
        <w:rPr>
          <w:szCs w:val="24"/>
          <w:lang w:val="en-US" w:eastAsia="el-GR"/>
        </w:rPr>
      </w:pPr>
    </w:p>
    <w:p w:rsidR="00123999" w:rsidRDefault="00123999" w:rsidP="007C09A3">
      <w:pPr>
        <w:suppressAutoHyphens/>
        <w:ind w:left="851"/>
        <w:rPr>
          <w:sz w:val="24"/>
          <w:szCs w:val="24"/>
          <w:u w:val="single"/>
          <w:lang w:val="en-US" w:eastAsia="el-GR"/>
        </w:rPr>
      </w:pPr>
      <w:r>
        <w:rPr>
          <w:szCs w:val="24"/>
          <w:u w:val="single"/>
          <w:lang w:val="en-US" w:eastAsia="el-GR"/>
        </w:rPr>
        <w:t xml:space="preserve">Patients after recent revascularisation procedure of the lower limb due to symptomatic PAD </w:t>
      </w:r>
    </w:p>
    <w:p w:rsidR="00123999" w:rsidRDefault="00123999" w:rsidP="007C09A3">
      <w:pPr>
        <w:suppressAutoHyphens/>
        <w:ind w:left="851"/>
        <w:rPr>
          <w:szCs w:val="24"/>
          <w:lang w:val="en-US" w:eastAsia="el-GR"/>
        </w:rPr>
      </w:pPr>
      <w:r>
        <w:rPr>
          <w:szCs w:val="24"/>
          <w:lang w:val="en-US" w:eastAsia="el-GR"/>
        </w:rPr>
        <w:t xml:space="preserve">In the pivotal phase III double-blind </w:t>
      </w:r>
      <w:r>
        <w:rPr>
          <w:b/>
          <w:bCs/>
          <w:szCs w:val="24"/>
          <w:lang w:val="en-US" w:eastAsia="el-GR"/>
        </w:rPr>
        <w:t xml:space="preserve">VOYAGER PAD </w:t>
      </w:r>
      <w:r>
        <w:rPr>
          <w:szCs w:val="24"/>
          <w:lang w:val="en-US" w:eastAsia="el-GR"/>
        </w:rPr>
        <w:t xml:space="preserve">trial, 6,564 patients after recent successful revascularisation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ischaemic stroke, CV death, acute limb ischaemia, or major amputation of a vascular etiology in patients after recent successful lower limb revascularisation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haemodynamically (ankle-brachial-index [ABI] ≤ 0.80 or toe-brachial-index [TBI] ≤ 0.60 for patients without a prior history of limb revascularisation or ABI ≤ 0.85 or TBI ≤ 0.65 for patients with a prior history of limb revascularisation) were included. Patients in need of dual antiplatelet therapy for &gt; 6 months, or any additional antiplatelet therapy other than ASA and clopidogrel, or oral anticoagulant therapy, as well as patients with a history of intracranial haemorrhage, stroke, or TIA, or patients with eGFR &lt; 15 mL/min were excluded. The mean duration of follow-up was 24 months and the maximum follow-up was 4.1 years. The mean age of the enrolled patients was 67 years and 17% of the patient population were &gt; 75 years. The median time from index revascularisation procedure to start of study treatment was 5 days in the overall population (6 days after surgical and 4 days after endovascular revascularisation including hybrid procedures). Overall, 53.0% of patients received short term background clopidogrel therapy with a median duration of 31 days. According to study protocol study treatment could be commenced as soon as possible but no later than 10 days after a successful qualifying revascularisation procedure and once hemostasis had been assured. Rivaroxaban 2.5 mg twice daily in combination with ASA 100 mg once daily was superior in the reduction of the primary composite outcome of myocardial infarction, ischaemic stroke, CV death, acute limb ischaemia and major amputation of vascular etiology compared to ASA alone (see Table 9). The primary safety outcome of TIMI major bleeding events was increased in patients treated with rivaroxaban and ASA, with no increase in fatal or intracranial bleeding (see Table 10). </w:t>
      </w:r>
    </w:p>
    <w:p w:rsidR="00123999" w:rsidRDefault="00123999" w:rsidP="007C09A3">
      <w:pPr>
        <w:suppressAutoHyphens/>
        <w:ind w:left="851"/>
        <w:rPr>
          <w:szCs w:val="24"/>
          <w:lang w:val="en-US" w:eastAsia="el-GR"/>
        </w:rPr>
      </w:pPr>
      <w:r>
        <w:rPr>
          <w:szCs w:val="24"/>
          <w:lang w:val="en-US" w:eastAsia="el-GR"/>
        </w:rPr>
        <w:t>The secondary efficacy outcomes were tested in a prespecified, hierarchical order (see Table 9).</w:t>
      </w:r>
    </w:p>
    <w:p w:rsidR="00123999" w:rsidRDefault="00123999" w:rsidP="00123999">
      <w:pPr>
        <w:suppressAutoHyphens/>
        <w:jc w:val="both"/>
        <w:rPr>
          <w:szCs w:val="24"/>
          <w:lang w:val="en-US" w:eastAsia="el-GR"/>
        </w:rPr>
      </w:pPr>
    </w:p>
    <w:tbl>
      <w:tblPr>
        <w:tblStyle w:val="Tabel-Gitter"/>
        <w:tblW w:w="5000" w:type="pct"/>
        <w:tblLook w:val="04A0" w:firstRow="1" w:lastRow="0" w:firstColumn="1" w:lastColumn="0" w:noHBand="0" w:noVBand="1"/>
      </w:tblPr>
      <w:tblGrid>
        <w:gridCol w:w="2407"/>
        <w:gridCol w:w="2407"/>
        <w:gridCol w:w="2407"/>
        <w:gridCol w:w="2407"/>
      </w:tblGrid>
      <w:tr w:rsidR="00123999" w:rsidRPr="005762FD"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b/>
                <w:sz w:val="22"/>
                <w:szCs w:val="22"/>
                <w:lang w:val="en-GB" w:eastAsia="el-GR"/>
              </w:rPr>
            </w:pPr>
            <w:r>
              <w:rPr>
                <w:b/>
                <w:bCs/>
                <w:szCs w:val="24"/>
                <w:lang w:val="en-US" w:eastAsia="el-GR"/>
              </w:rPr>
              <w:t>Table 9: Efficacy results from phase III VOYAGER PAD</w:t>
            </w:r>
            <w:r w:rsidRPr="00123999">
              <w:rPr>
                <w:b/>
                <w:sz w:val="22"/>
                <w:szCs w:val="22"/>
                <w:lang w:val="en-US" w:eastAsia="el-GR"/>
              </w:rPr>
              <w:t>Study Population</w:t>
            </w:r>
          </w:p>
        </w:tc>
        <w:tc>
          <w:tcPr>
            <w:tcW w:w="3750" w:type="pct"/>
            <w:gridSpan w:val="3"/>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14"/>
                <w:szCs w:val="14"/>
                <w:lang w:val="en-US"/>
              </w:rPr>
            </w:pPr>
            <w:r>
              <w:rPr>
                <w:b/>
                <w:bCs/>
                <w:sz w:val="22"/>
                <w:szCs w:val="22"/>
                <w:lang w:val="en-US"/>
              </w:rPr>
              <w:t xml:space="preserve">Patients after recent revascularisation procedures of the lower limb due to symptomatic PAD </w:t>
            </w:r>
            <w:r>
              <w:rPr>
                <w:b/>
                <w:bCs/>
                <w:sz w:val="22"/>
                <w:szCs w:val="22"/>
                <w:vertAlign w:val="superscript"/>
                <w:lang w:val="en-US"/>
              </w:rPr>
              <w:t>a)</w:t>
            </w:r>
            <w:r>
              <w:rPr>
                <w:b/>
                <w:bCs/>
                <w:sz w:val="14"/>
                <w:szCs w:val="14"/>
                <w:lang w:val="en-US"/>
              </w:rPr>
              <w:t xml:space="preserve">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 w:val="24"/>
                <w:szCs w:val="24"/>
                <w:lang w:val="en-GB" w:eastAsia="el-GR"/>
              </w:rPr>
            </w:pPr>
            <w:r>
              <w:rPr>
                <w:b/>
                <w:bCs/>
                <w:sz w:val="22"/>
                <w:szCs w:val="22"/>
                <w:lang w:eastAsia="el-GR"/>
              </w:rPr>
              <w:t xml:space="preserve">Treatment Dosage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lang w:val="en-US"/>
              </w:rPr>
            </w:pPr>
            <w:r>
              <w:rPr>
                <w:b/>
                <w:bCs/>
                <w:sz w:val="22"/>
                <w:szCs w:val="22"/>
                <w:lang w:val="en-US"/>
              </w:rPr>
              <w:t xml:space="preserve">Rivaroxaban 2.5 mg bid in combination with ASA 100 mg od </w:t>
            </w:r>
          </w:p>
          <w:p w:rsidR="00123999" w:rsidRDefault="00123999">
            <w:pPr>
              <w:pStyle w:val="Default"/>
              <w:rPr>
                <w:sz w:val="22"/>
                <w:szCs w:val="22"/>
                <w:lang w:val="en-US"/>
              </w:rPr>
            </w:pPr>
            <w:r>
              <w:rPr>
                <w:b/>
                <w:bCs/>
                <w:sz w:val="22"/>
                <w:szCs w:val="22"/>
                <w:lang w:val="en-US"/>
              </w:rPr>
              <w:t xml:space="preserve">N=3,286 </w:t>
            </w:r>
          </w:p>
          <w:p w:rsidR="00123999" w:rsidRDefault="00123999">
            <w:pPr>
              <w:suppressAutoHyphens/>
              <w:rPr>
                <w:sz w:val="24"/>
                <w:szCs w:val="24"/>
                <w:lang w:val="en-GB" w:eastAsia="el-GR"/>
              </w:rPr>
            </w:pPr>
            <w:r w:rsidRPr="00123999">
              <w:rPr>
                <w:b/>
                <w:bCs/>
                <w:sz w:val="22"/>
                <w:szCs w:val="22"/>
                <w:lang w:val="en-US" w:eastAsia="el-GR"/>
              </w:rPr>
              <w:t>n (Cum. risk %)</w:t>
            </w:r>
            <w:r w:rsidRPr="00123999">
              <w:rPr>
                <w:b/>
                <w:bCs/>
                <w:sz w:val="22"/>
                <w:szCs w:val="22"/>
                <w:vertAlign w:val="superscript"/>
                <w:lang w:val="en-US" w:eastAsia="el-GR"/>
              </w:rPr>
              <w:t>c)</w:t>
            </w:r>
            <w:r w:rsidRPr="00123999">
              <w:rPr>
                <w:b/>
                <w:bCs/>
                <w:sz w:val="14"/>
                <w:szCs w:val="14"/>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tcPr>
          <w:p w:rsidR="00123999" w:rsidRDefault="00123999">
            <w:pPr>
              <w:pStyle w:val="Default"/>
              <w:rPr>
                <w:b/>
                <w:bCs/>
                <w:sz w:val="22"/>
                <w:szCs w:val="22"/>
                <w:lang w:val="en-US"/>
              </w:rPr>
            </w:pPr>
            <w:r>
              <w:rPr>
                <w:b/>
                <w:bCs/>
                <w:sz w:val="22"/>
                <w:szCs w:val="22"/>
                <w:lang w:val="en-US"/>
              </w:rPr>
              <w:t xml:space="preserve">ASA 100 mg od </w:t>
            </w:r>
          </w:p>
          <w:p w:rsidR="00123999" w:rsidRDefault="00123999">
            <w:pPr>
              <w:pStyle w:val="Default"/>
              <w:rPr>
                <w:b/>
                <w:bCs/>
                <w:sz w:val="22"/>
                <w:szCs w:val="22"/>
                <w:lang w:val="en-US"/>
              </w:rPr>
            </w:pPr>
          </w:p>
          <w:p w:rsidR="00123999" w:rsidRDefault="00123999">
            <w:pPr>
              <w:pStyle w:val="Default"/>
              <w:rPr>
                <w:sz w:val="22"/>
                <w:szCs w:val="22"/>
                <w:lang w:val="en-US"/>
              </w:rPr>
            </w:pPr>
          </w:p>
          <w:p w:rsidR="00123999" w:rsidRDefault="00123999">
            <w:pPr>
              <w:pStyle w:val="Default"/>
              <w:rPr>
                <w:sz w:val="22"/>
                <w:szCs w:val="22"/>
                <w:lang w:val="en-US"/>
              </w:rPr>
            </w:pPr>
            <w:r>
              <w:rPr>
                <w:b/>
                <w:bCs/>
                <w:sz w:val="22"/>
                <w:szCs w:val="22"/>
                <w:lang w:val="en-US"/>
              </w:rPr>
              <w:t xml:space="preserve">N=3,278 </w:t>
            </w:r>
          </w:p>
          <w:p w:rsidR="00123999" w:rsidRDefault="00123999">
            <w:pPr>
              <w:suppressAutoHyphens/>
              <w:rPr>
                <w:sz w:val="24"/>
                <w:szCs w:val="24"/>
                <w:lang w:val="en-GB" w:eastAsia="el-GR"/>
              </w:rPr>
            </w:pPr>
            <w:r w:rsidRPr="00123999">
              <w:rPr>
                <w:b/>
                <w:bCs/>
                <w:sz w:val="22"/>
                <w:szCs w:val="22"/>
                <w:lang w:val="en-US" w:eastAsia="el-GR"/>
              </w:rPr>
              <w:t>n (Cum. risk %)</w:t>
            </w:r>
            <w:r w:rsidRPr="00123999">
              <w:rPr>
                <w:b/>
                <w:bCs/>
                <w:sz w:val="22"/>
                <w:szCs w:val="22"/>
                <w:vertAlign w:val="superscript"/>
                <w:lang w:val="en-US" w:eastAsia="el-GR"/>
              </w:rPr>
              <w:t>c)</w:t>
            </w:r>
            <w:r w:rsidRPr="00123999">
              <w:rPr>
                <w:b/>
                <w:bCs/>
                <w:sz w:val="22"/>
                <w:szCs w:val="22"/>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b/>
                <w:bCs/>
                <w:sz w:val="22"/>
                <w:szCs w:val="22"/>
                <w:lang w:eastAsia="el-GR"/>
              </w:rPr>
              <w:t xml:space="preserve">Hazard Ratio (95% CI) </w:t>
            </w:r>
            <w:r>
              <w:rPr>
                <w:b/>
                <w:bCs/>
                <w:sz w:val="22"/>
                <w:szCs w:val="22"/>
                <w:vertAlign w:val="superscript"/>
                <w:lang w:eastAsia="el-GR"/>
              </w:rPr>
              <w:t xml:space="preserve">d)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 w:val="22"/>
                <w:szCs w:val="22"/>
                <w:lang w:eastAsia="el-GR"/>
              </w:rPr>
            </w:pPr>
            <w:r>
              <w:rPr>
                <w:b/>
                <w:bCs/>
                <w:sz w:val="22"/>
                <w:szCs w:val="22"/>
                <w:lang w:eastAsia="el-GR"/>
              </w:rPr>
              <w:t>Primary efficacy outcome</w:t>
            </w:r>
            <w:r>
              <w:rPr>
                <w:b/>
                <w:bCs/>
                <w:sz w:val="22"/>
                <w:szCs w:val="22"/>
                <w:vertAlign w:val="superscript"/>
                <w:lang w:eastAsia="el-GR"/>
              </w:rPr>
              <w:t>b)</w:t>
            </w:r>
            <w:r>
              <w:rPr>
                <w:b/>
                <w:bCs/>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 w:val="22"/>
                <w:szCs w:val="22"/>
                <w:lang w:eastAsia="el-GR"/>
              </w:rPr>
            </w:pPr>
            <w:r>
              <w:rPr>
                <w:b/>
                <w:bCs/>
                <w:sz w:val="22"/>
                <w:szCs w:val="22"/>
                <w:lang w:eastAsia="el-GR"/>
              </w:rPr>
              <w:t xml:space="preserve">508 (15.5%)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 w:val="22"/>
                <w:szCs w:val="22"/>
                <w:lang w:eastAsia="el-GR"/>
              </w:rPr>
            </w:pPr>
            <w:r>
              <w:rPr>
                <w:b/>
                <w:bCs/>
                <w:sz w:val="22"/>
                <w:szCs w:val="22"/>
                <w:lang w:eastAsia="el-GR"/>
              </w:rPr>
              <w:t xml:space="preserve">584 (17.8%)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rPr>
            </w:pPr>
            <w:r>
              <w:rPr>
                <w:b/>
                <w:bCs/>
                <w:sz w:val="22"/>
                <w:szCs w:val="22"/>
              </w:rPr>
              <w:t xml:space="preserve">0.85 (0.76;0.96) </w:t>
            </w:r>
          </w:p>
          <w:p w:rsidR="00123999" w:rsidRDefault="00123999">
            <w:pPr>
              <w:suppressAutoHyphens/>
              <w:rPr>
                <w:sz w:val="22"/>
                <w:szCs w:val="22"/>
                <w:lang w:eastAsia="el-GR"/>
              </w:rPr>
            </w:pPr>
            <w:r>
              <w:rPr>
                <w:b/>
                <w:bCs/>
                <w:sz w:val="22"/>
                <w:szCs w:val="22"/>
                <w:lang w:eastAsia="el-GR"/>
              </w:rPr>
              <w:t xml:space="preserve">p = 0.0043 </w:t>
            </w:r>
            <w:r>
              <w:rPr>
                <w:b/>
                <w:bCs/>
                <w:sz w:val="22"/>
                <w:szCs w:val="22"/>
                <w:vertAlign w:val="superscript"/>
                <w:lang w:eastAsia="el-GR"/>
              </w:rPr>
              <w:t>e)</w:t>
            </w:r>
            <w:r>
              <w:rPr>
                <w:b/>
                <w:bCs/>
                <w:sz w:val="22"/>
                <w:szCs w:val="22"/>
                <w:vertAlign w:val="superscript"/>
                <w:lang w:val="el-GR" w:eastAsia="el-GR"/>
              </w:rPr>
              <w:t xml:space="preserve"> </w:t>
            </w:r>
            <w:r>
              <w:rPr>
                <w:b/>
                <w:bCs/>
                <w:sz w:val="22"/>
                <w:szCs w:val="22"/>
                <w:lang w:eastAsia="el-GR"/>
              </w:rPr>
              <w:t xml:space="preserve">*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 w:val="24"/>
                <w:szCs w:val="24"/>
                <w:lang w:eastAsia="el-GR"/>
              </w:rPr>
            </w:pPr>
            <w:r>
              <w:rPr>
                <w:sz w:val="22"/>
                <w:szCs w:val="22"/>
                <w:lang w:eastAsia="el-GR"/>
              </w:rPr>
              <w:t xml:space="preserve">- MI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131 (4.0%)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148 (4.5%)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0.88 (0.70;1.12)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 Ischaemic stroke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71 (2.2%)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82 (2.5%)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0.87 (0.63;1.19)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 CV death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199 (6.1%)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174 (5.3%)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1.14 (0.93;1.40)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Acute limb ischaemia</w:t>
            </w:r>
            <w:r w:rsidRPr="001C47FA">
              <w:rPr>
                <w:sz w:val="22"/>
                <w:szCs w:val="22"/>
                <w:vertAlign w:val="superscript"/>
                <w:lang w:eastAsia="el-GR"/>
              </w:rPr>
              <w:t>f)</w:t>
            </w:r>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155 (4.7%)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227 (6.9%)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0.67 (0.55;0.82)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Pr="00123999" w:rsidRDefault="00123999">
            <w:pPr>
              <w:suppressAutoHyphens/>
              <w:rPr>
                <w:szCs w:val="24"/>
                <w:lang w:val="en-US" w:eastAsia="el-GR"/>
              </w:rPr>
            </w:pPr>
            <w:r w:rsidRPr="00123999">
              <w:rPr>
                <w:sz w:val="22"/>
                <w:szCs w:val="22"/>
                <w:lang w:val="en-US" w:eastAsia="el-GR"/>
              </w:rPr>
              <w:t xml:space="preserve">- Major amputation of vascular etiology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103 (3.1%)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115 (3.5%)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0.89 (0.68;1.16)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rPr>
            </w:pPr>
            <w:r>
              <w:rPr>
                <w:b/>
                <w:bCs/>
                <w:sz w:val="22"/>
                <w:szCs w:val="22"/>
              </w:rPr>
              <w:t xml:space="preserve">Secondary efficacy outcome </w:t>
            </w:r>
          </w:p>
        </w:tc>
        <w:tc>
          <w:tcPr>
            <w:tcW w:w="1250" w:type="pct"/>
            <w:tcBorders>
              <w:top w:val="single" w:sz="4" w:space="0" w:color="auto"/>
              <w:left w:val="single" w:sz="4" w:space="0" w:color="auto"/>
              <w:bottom w:val="single" w:sz="4" w:space="0" w:color="auto"/>
              <w:right w:val="single" w:sz="4" w:space="0" w:color="auto"/>
            </w:tcBorders>
          </w:tcPr>
          <w:p w:rsidR="00123999" w:rsidRDefault="00123999">
            <w:pPr>
              <w:suppressAutoHyphens/>
              <w:rPr>
                <w:sz w:val="24"/>
                <w:szCs w:val="24"/>
                <w:lang w:eastAsia="el-GR"/>
              </w:rPr>
            </w:pPr>
          </w:p>
        </w:tc>
        <w:tc>
          <w:tcPr>
            <w:tcW w:w="1250" w:type="pct"/>
            <w:tcBorders>
              <w:top w:val="single" w:sz="4" w:space="0" w:color="auto"/>
              <w:left w:val="single" w:sz="4" w:space="0" w:color="auto"/>
              <w:bottom w:val="single" w:sz="4" w:space="0" w:color="auto"/>
              <w:right w:val="single" w:sz="4" w:space="0" w:color="auto"/>
            </w:tcBorders>
          </w:tcPr>
          <w:p w:rsidR="00123999" w:rsidRDefault="00123999">
            <w:pPr>
              <w:suppressAutoHyphens/>
              <w:rPr>
                <w:szCs w:val="24"/>
                <w:lang w:eastAsia="el-GR"/>
              </w:rPr>
            </w:pPr>
          </w:p>
        </w:tc>
        <w:tc>
          <w:tcPr>
            <w:tcW w:w="1250" w:type="pct"/>
            <w:tcBorders>
              <w:top w:val="single" w:sz="4" w:space="0" w:color="auto"/>
              <w:left w:val="single" w:sz="4" w:space="0" w:color="auto"/>
              <w:bottom w:val="single" w:sz="4" w:space="0" w:color="auto"/>
              <w:right w:val="single" w:sz="4" w:space="0" w:color="auto"/>
            </w:tcBorders>
          </w:tcPr>
          <w:p w:rsidR="00123999" w:rsidRDefault="00123999">
            <w:pPr>
              <w:suppressAutoHyphens/>
              <w:rPr>
                <w:szCs w:val="24"/>
                <w:lang w:eastAsia="el-GR"/>
              </w:rPr>
            </w:pP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Pr="00123999" w:rsidRDefault="00123999">
            <w:pPr>
              <w:suppressAutoHyphens/>
              <w:rPr>
                <w:szCs w:val="24"/>
                <w:lang w:val="en-US" w:eastAsia="el-GR"/>
              </w:rPr>
            </w:pPr>
            <w:r w:rsidRPr="00123999">
              <w:rPr>
                <w:sz w:val="22"/>
                <w:szCs w:val="22"/>
                <w:lang w:val="en-US" w:eastAsia="el-GR"/>
              </w:rPr>
              <w:t xml:space="preserve">Unplanned index limb revascularisation for recurrent limb ischaemia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584 (17.8%)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655 (20.0%)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rPr>
            </w:pPr>
            <w:r>
              <w:rPr>
                <w:sz w:val="22"/>
                <w:szCs w:val="22"/>
              </w:rPr>
              <w:t xml:space="preserve">0.88 (0.79;0.99) </w:t>
            </w:r>
          </w:p>
          <w:p w:rsidR="00123999" w:rsidRDefault="00123999">
            <w:pPr>
              <w:suppressAutoHyphens/>
              <w:rPr>
                <w:sz w:val="24"/>
                <w:szCs w:val="24"/>
                <w:lang w:eastAsia="el-GR"/>
              </w:rPr>
            </w:pPr>
            <w:r>
              <w:rPr>
                <w:sz w:val="22"/>
                <w:szCs w:val="22"/>
                <w:lang w:eastAsia="el-GR"/>
              </w:rPr>
              <w:t xml:space="preserve">p = 0.0140 </w:t>
            </w:r>
            <w:r>
              <w:rPr>
                <w:b/>
                <w:bCs/>
                <w:sz w:val="14"/>
                <w:szCs w:val="14"/>
                <w:lang w:eastAsia="el-GR"/>
              </w:rPr>
              <w:t>e)</w:t>
            </w:r>
            <w:r>
              <w:rPr>
                <w:sz w:val="22"/>
                <w:szCs w:val="22"/>
                <w:lang w:eastAsia="el-GR"/>
              </w:rPr>
              <w:t xml:space="preserve">*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Pr="00123999" w:rsidRDefault="00123999">
            <w:pPr>
              <w:suppressAutoHyphens/>
              <w:rPr>
                <w:szCs w:val="24"/>
                <w:lang w:val="en-US" w:eastAsia="el-GR"/>
              </w:rPr>
            </w:pPr>
            <w:r w:rsidRPr="00123999">
              <w:rPr>
                <w:sz w:val="22"/>
                <w:szCs w:val="22"/>
                <w:lang w:val="en-US" w:eastAsia="el-GR"/>
              </w:rPr>
              <w:t xml:space="preserve">Hospitalisation for a coronary or peripheral cause (either lower limb) of a thrombotic nature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262 (8.0%)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356 (10.9%)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rPr>
            </w:pPr>
            <w:r>
              <w:rPr>
                <w:sz w:val="22"/>
                <w:szCs w:val="22"/>
              </w:rPr>
              <w:t xml:space="preserve">0.72 (0.62;0.85) </w:t>
            </w:r>
          </w:p>
          <w:p w:rsidR="00123999" w:rsidRDefault="00123999">
            <w:pPr>
              <w:suppressAutoHyphens/>
              <w:rPr>
                <w:sz w:val="24"/>
                <w:szCs w:val="24"/>
                <w:lang w:eastAsia="el-GR"/>
              </w:rPr>
            </w:pPr>
            <w:r>
              <w:rPr>
                <w:sz w:val="22"/>
                <w:szCs w:val="22"/>
                <w:lang w:eastAsia="el-GR"/>
              </w:rPr>
              <w:t xml:space="preserve">p &lt; 0.0001 </w:t>
            </w:r>
            <w:r>
              <w:rPr>
                <w:b/>
                <w:bCs/>
                <w:sz w:val="14"/>
                <w:szCs w:val="14"/>
                <w:lang w:eastAsia="el-GR"/>
              </w:rPr>
              <w:t>e)</w:t>
            </w:r>
            <w:r>
              <w:rPr>
                <w:sz w:val="22"/>
                <w:szCs w:val="22"/>
                <w:lang w:eastAsia="el-GR"/>
              </w:rPr>
              <w:t xml:space="preserve">*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All-cause mortality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321 (9.8%)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297 (9.1%)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1.08 (0.92;1.27)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VTE events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25 (0.8%)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41 (1.3%)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0.61 (0.37;1.00) </w:t>
            </w:r>
          </w:p>
        </w:tc>
      </w:tr>
    </w:tbl>
    <w:p w:rsidR="00123999" w:rsidRPr="007C09A3" w:rsidRDefault="00123999" w:rsidP="007C09A3">
      <w:pPr>
        <w:pStyle w:val="Default"/>
        <w:ind w:left="426" w:hanging="426"/>
        <w:rPr>
          <w:lang w:val="en-US"/>
        </w:rPr>
      </w:pPr>
      <w:r w:rsidRPr="007C09A3">
        <w:rPr>
          <w:lang w:val="en-US"/>
        </w:rPr>
        <w:t xml:space="preserve">a) </w:t>
      </w:r>
      <w:r w:rsidR="007C09A3">
        <w:rPr>
          <w:lang w:val="en-US"/>
        </w:rPr>
        <w:tab/>
      </w:r>
      <w:r w:rsidRPr="007C09A3">
        <w:rPr>
          <w:lang w:val="en-US"/>
        </w:rPr>
        <w:t xml:space="preserve">intention to treat analysis set, primary analyses; ICAC adjudicated </w:t>
      </w:r>
    </w:p>
    <w:p w:rsidR="00123999" w:rsidRPr="007C09A3" w:rsidRDefault="00123999" w:rsidP="007C09A3">
      <w:pPr>
        <w:pStyle w:val="Default"/>
        <w:ind w:left="426" w:hanging="426"/>
        <w:rPr>
          <w:lang w:val="en-US"/>
        </w:rPr>
      </w:pPr>
      <w:r w:rsidRPr="007C09A3">
        <w:rPr>
          <w:lang w:val="en-US"/>
        </w:rPr>
        <w:t xml:space="preserve">b) </w:t>
      </w:r>
      <w:r w:rsidR="007C09A3">
        <w:rPr>
          <w:lang w:val="en-US"/>
        </w:rPr>
        <w:tab/>
      </w:r>
      <w:r w:rsidRPr="007C09A3">
        <w:rPr>
          <w:lang w:val="en-US"/>
        </w:rPr>
        <w:t xml:space="preserve">composite of MI, ischaemic stroke, CV death (CV death and unknown cause of death), ALI, and major amputation of vascular etiology </w:t>
      </w:r>
    </w:p>
    <w:p w:rsidR="00123999" w:rsidRPr="007C09A3" w:rsidRDefault="00123999" w:rsidP="007C09A3">
      <w:pPr>
        <w:pStyle w:val="Default"/>
        <w:ind w:left="426" w:hanging="426"/>
        <w:rPr>
          <w:lang w:val="en-US"/>
        </w:rPr>
      </w:pPr>
      <w:r w:rsidRPr="007C09A3">
        <w:rPr>
          <w:lang w:val="en-US"/>
        </w:rPr>
        <w:t xml:space="preserve">c) </w:t>
      </w:r>
      <w:r w:rsidR="007C09A3">
        <w:rPr>
          <w:lang w:val="en-US"/>
        </w:rPr>
        <w:tab/>
      </w:r>
      <w:r w:rsidRPr="007C09A3">
        <w:rPr>
          <w:lang w:val="en-US"/>
        </w:rPr>
        <w:t xml:space="preserve">only the first occurrence of the outcome event under analysis within the data scope from a subject is considered </w:t>
      </w:r>
    </w:p>
    <w:p w:rsidR="00123999" w:rsidRPr="007C09A3" w:rsidRDefault="00123999" w:rsidP="007C09A3">
      <w:pPr>
        <w:pStyle w:val="Default"/>
        <w:ind w:left="426" w:hanging="426"/>
        <w:rPr>
          <w:lang w:val="en-US"/>
        </w:rPr>
      </w:pPr>
      <w:r w:rsidRPr="007C09A3">
        <w:rPr>
          <w:lang w:val="en-US"/>
        </w:rPr>
        <w:t xml:space="preserve">d) </w:t>
      </w:r>
      <w:r w:rsidR="007C09A3">
        <w:rPr>
          <w:lang w:val="en-US"/>
        </w:rPr>
        <w:tab/>
      </w:r>
      <w:r w:rsidRPr="007C09A3">
        <w:rPr>
          <w:lang w:val="en-US"/>
        </w:rPr>
        <w:t xml:space="preserve">HR (95% CI) is based on the Cox proportional hazards model stratified by type of procedure and clopidogrel use with treatment as the only covariate. </w:t>
      </w:r>
    </w:p>
    <w:p w:rsidR="00123999" w:rsidRPr="007C09A3" w:rsidRDefault="00123999" w:rsidP="007C09A3">
      <w:pPr>
        <w:pStyle w:val="Default"/>
        <w:ind w:left="426" w:hanging="426"/>
        <w:rPr>
          <w:lang w:val="en-US"/>
        </w:rPr>
      </w:pPr>
      <w:r w:rsidRPr="007C09A3">
        <w:rPr>
          <w:lang w:val="en-US"/>
        </w:rPr>
        <w:t xml:space="preserve">e) </w:t>
      </w:r>
      <w:r w:rsidR="007C09A3">
        <w:rPr>
          <w:lang w:val="en-US"/>
        </w:rPr>
        <w:tab/>
      </w:r>
      <w:r w:rsidRPr="007C09A3">
        <w:rPr>
          <w:lang w:val="en-US"/>
        </w:rPr>
        <w:t xml:space="preserve">One sided p-value is based on the log-rank test stratified by type of procedure and clopidogrel use with treatment as factor. </w:t>
      </w:r>
    </w:p>
    <w:p w:rsidR="00123999" w:rsidRPr="007C09A3" w:rsidRDefault="00123999" w:rsidP="007C09A3">
      <w:pPr>
        <w:pStyle w:val="Default"/>
        <w:ind w:left="426" w:hanging="426"/>
        <w:rPr>
          <w:lang w:val="en-US"/>
        </w:rPr>
      </w:pPr>
      <w:r w:rsidRPr="007C09A3">
        <w:rPr>
          <w:lang w:val="en-US"/>
        </w:rPr>
        <w:t xml:space="preserve">f) </w:t>
      </w:r>
      <w:r w:rsidR="007C09A3">
        <w:rPr>
          <w:lang w:val="en-US"/>
        </w:rPr>
        <w:tab/>
      </w:r>
      <w:r w:rsidRPr="007C09A3">
        <w:rPr>
          <w:lang w:val="en-US"/>
        </w:rPr>
        <w:t xml:space="preserve">acute limb ischaemia is defined as sudden significant worsening of limb perfusion, either with new pulse deficit or requiring therapeutic intervention (i.e. thrombolysis or thrombectomy, or urgent revascularisation), and leading to hospitalisation </w:t>
      </w:r>
    </w:p>
    <w:p w:rsidR="00123999" w:rsidRPr="007C09A3" w:rsidRDefault="00123999" w:rsidP="007C09A3">
      <w:pPr>
        <w:pStyle w:val="Default"/>
        <w:ind w:left="426" w:hanging="426"/>
        <w:rPr>
          <w:lang w:val="en-US"/>
        </w:rPr>
      </w:pPr>
      <w:r w:rsidRPr="007C09A3">
        <w:rPr>
          <w:lang w:val="en-US"/>
        </w:rPr>
        <w:t xml:space="preserve">* </w:t>
      </w:r>
      <w:r w:rsidR="007C09A3">
        <w:rPr>
          <w:lang w:val="en-US"/>
        </w:rPr>
        <w:tab/>
      </w:r>
      <w:r w:rsidRPr="007C09A3">
        <w:rPr>
          <w:lang w:val="en-US"/>
        </w:rPr>
        <w:t xml:space="preserve">The reduction in the efficacy outcome was statistically superior. </w:t>
      </w:r>
    </w:p>
    <w:p w:rsidR="00123999" w:rsidRPr="007C09A3" w:rsidRDefault="00123999" w:rsidP="007C09A3">
      <w:pPr>
        <w:suppressAutoHyphens/>
        <w:ind w:left="426" w:hanging="426"/>
        <w:jc w:val="both"/>
        <w:rPr>
          <w:sz w:val="24"/>
          <w:szCs w:val="24"/>
          <w:lang w:val="en-GB" w:eastAsia="el-GR"/>
        </w:rPr>
      </w:pPr>
      <w:r w:rsidRPr="007C09A3">
        <w:rPr>
          <w:sz w:val="24"/>
          <w:szCs w:val="24"/>
          <w:lang w:val="en-US"/>
        </w:rPr>
        <w:t>ALI: acute limb ischaemia; bid: twice daily; od: once daily; CI: confidence interval; MI: myocardial infarction; CV: cardiovascular; ICAC: Independent Clinical Adjudication Committee</w:t>
      </w:r>
    </w:p>
    <w:p w:rsidR="00123999" w:rsidRPr="00123999" w:rsidRDefault="00123999" w:rsidP="00123999">
      <w:pPr>
        <w:suppressAutoHyphens/>
        <w:jc w:val="both"/>
        <w:rPr>
          <w:szCs w:val="24"/>
          <w:lang w:val="en-US" w:eastAsia="el-GR"/>
        </w:rPr>
      </w:pPr>
    </w:p>
    <w:p w:rsidR="00123999" w:rsidRPr="00123999" w:rsidRDefault="00123999" w:rsidP="00123999">
      <w:pPr>
        <w:suppressAutoHyphens/>
        <w:jc w:val="both"/>
        <w:rPr>
          <w:szCs w:val="24"/>
          <w:lang w:val="en-US" w:eastAsia="el-GR"/>
        </w:rPr>
      </w:pPr>
      <w:r w:rsidRPr="00123999">
        <w:rPr>
          <w:b/>
          <w:bCs/>
          <w:szCs w:val="24"/>
          <w:lang w:val="en-US"/>
        </w:rPr>
        <w:t>Table 10: Safety results from phase III VOYAGER PAD</w:t>
      </w:r>
    </w:p>
    <w:tbl>
      <w:tblPr>
        <w:tblStyle w:val="Tabel-Gitter"/>
        <w:tblW w:w="5000" w:type="pct"/>
        <w:tblLook w:val="04A0" w:firstRow="1" w:lastRow="0" w:firstColumn="1" w:lastColumn="0" w:noHBand="0" w:noVBand="1"/>
      </w:tblPr>
      <w:tblGrid>
        <w:gridCol w:w="2407"/>
        <w:gridCol w:w="2407"/>
        <w:gridCol w:w="2407"/>
        <w:gridCol w:w="2407"/>
      </w:tblGrid>
      <w:tr w:rsidR="00123999" w:rsidRPr="005762FD"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jc w:val="both"/>
              <w:rPr>
                <w:sz w:val="22"/>
                <w:szCs w:val="22"/>
              </w:rPr>
            </w:pPr>
            <w:r>
              <w:rPr>
                <w:b/>
                <w:bCs/>
                <w:sz w:val="22"/>
                <w:szCs w:val="22"/>
              </w:rPr>
              <w:t xml:space="preserve">Study Population </w:t>
            </w:r>
          </w:p>
        </w:tc>
        <w:tc>
          <w:tcPr>
            <w:tcW w:w="3750" w:type="pct"/>
            <w:gridSpan w:val="3"/>
            <w:tcBorders>
              <w:top w:val="single" w:sz="4" w:space="0" w:color="auto"/>
              <w:left w:val="single" w:sz="4" w:space="0" w:color="auto"/>
              <w:bottom w:val="single" w:sz="4" w:space="0" w:color="auto"/>
              <w:right w:val="single" w:sz="4" w:space="0" w:color="auto"/>
            </w:tcBorders>
            <w:hideMark/>
          </w:tcPr>
          <w:p w:rsidR="00123999" w:rsidRDefault="00123999">
            <w:pPr>
              <w:pStyle w:val="Default"/>
              <w:jc w:val="both"/>
              <w:rPr>
                <w:sz w:val="14"/>
                <w:szCs w:val="14"/>
                <w:lang w:val="en-US"/>
              </w:rPr>
            </w:pPr>
            <w:r>
              <w:rPr>
                <w:b/>
                <w:bCs/>
                <w:sz w:val="22"/>
                <w:szCs w:val="22"/>
                <w:lang w:val="en-US"/>
              </w:rPr>
              <w:t xml:space="preserve">Patients after recent revascularisation procedures of the lower limb due to symptomatic PAD </w:t>
            </w:r>
            <w:r>
              <w:rPr>
                <w:b/>
                <w:bCs/>
                <w:sz w:val="22"/>
                <w:szCs w:val="22"/>
                <w:vertAlign w:val="superscript"/>
                <w:lang w:val="en-US"/>
              </w:rPr>
              <w:t xml:space="preserve">a) </w:t>
            </w:r>
          </w:p>
        </w:tc>
      </w:tr>
      <w:tr w:rsidR="00123999" w:rsidRPr="005762FD"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jc w:val="both"/>
              <w:rPr>
                <w:sz w:val="24"/>
                <w:szCs w:val="24"/>
                <w:lang w:val="en-GB" w:eastAsia="el-GR"/>
              </w:rPr>
            </w:pPr>
            <w:r>
              <w:rPr>
                <w:b/>
                <w:bCs/>
                <w:sz w:val="22"/>
                <w:szCs w:val="22"/>
                <w:lang w:eastAsia="el-GR"/>
              </w:rPr>
              <w:t xml:space="preserve">Treatment Dosage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lang w:val="en-US"/>
              </w:rPr>
            </w:pPr>
            <w:r>
              <w:rPr>
                <w:b/>
                <w:bCs/>
                <w:sz w:val="22"/>
                <w:szCs w:val="22"/>
                <w:lang w:val="en-US"/>
              </w:rPr>
              <w:t xml:space="preserve">Rivaroxaban 2.5 mg bid in combination with ASA 100 mg od </w:t>
            </w:r>
          </w:p>
          <w:p w:rsidR="00123999" w:rsidRDefault="00123999">
            <w:pPr>
              <w:pStyle w:val="Default"/>
              <w:rPr>
                <w:sz w:val="22"/>
                <w:szCs w:val="22"/>
                <w:lang w:val="en-US"/>
              </w:rPr>
            </w:pPr>
            <w:r>
              <w:rPr>
                <w:b/>
                <w:bCs/>
                <w:sz w:val="22"/>
                <w:szCs w:val="22"/>
                <w:lang w:val="en-US"/>
              </w:rPr>
              <w:t xml:space="preserve">N=3,256 </w:t>
            </w:r>
          </w:p>
          <w:p w:rsidR="00123999" w:rsidRDefault="00123999">
            <w:pPr>
              <w:suppressAutoHyphens/>
              <w:jc w:val="both"/>
              <w:rPr>
                <w:sz w:val="24"/>
                <w:szCs w:val="24"/>
                <w:lang w:val="en-GB" w:eastAsia="el-GR"/>
              </w:rPr>
            </w:pPr>
            <w:r w:rsidRPr="00123999">
              <w:rPr>
                <w:b/>
                <w:bCs/>
                <w:sz w:val="22"/>
                <w:szCs w:val="22"/>
                <w:lang w:val="en-US" w:eastAsia="el-GR"/>
              </w:rPr>
              <w:t>n (Cum. risk %)</w:t>
            </w:r>
            <w:r w:rsidRPr="00123999">
              <w:rPr>
                <w:b/>
                <w:bCs/>
                <w:sz w:val="22"/>
                <w:szCs w:val="22"/>
                <w:vertAlign w:val="superscript"/>
                <w:lang w:val="en-US" w:eastAsia="el-GR"/>
              </w:rPr>
              <w:t>b)</w:t>
            </w:r>
            <w:r w:rsidRPr="00123999">
              <w:rPr>
                <w:b/>
                <w:bCs/>
                <w:sz w:val="14"/>
                <w:szCs w:val="14"/>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tcPr>
          <w:p w:rsidR="00123999" w:rsidRDefault="00123999">
            <w:pPr>
              <w:pStyle w:val="Default"/>
              <w:rPr>
                <w:b/>
                <w:bCs/>
                <w:sz w:val="22"/>
                <w:szCs w:val="22"/>
                <w:lang w:val="en-US"/>
              </w:rPr>
            </w:pPr>
            <w:r>
              <w:rPr>
                <w:b/>
                <w:bCs/>
                <w:sz w:val="22"/>
                <w:szCs w:val="22"/>
                <w:lang w:val="en-US"/>
              </w:rPr>
              <w:t xml:space="preserve">ASA 100 mg od </w:t>
            </w:r>
          </w:p>
          <w:p w:rsidR="00123999" w:rsidRDefault="00123999">
            <w:pPr>
              <w:pStyle w:val="Default"/>
              <w:rPr>
                <w:b/>
                <w:bCs/>
                <w:sz w:val="22"/>
                <w:szCs w:val="22"/>
                <w:lang w:val="en-US"/>
              </w:rPr>
            </w:pPr>
          </w:p>
          <w:p w:rsidR="00123999" w:rsidRDefault="00123999">
            <w:pPr>
              <w:pStyle w:val="Default"/>
              <w:rPr>
                <w:sz w:val="22"/>
                <w:szCs w:val="22"/>
                <w:lang w:val="en-US"/>
              </w:rPr>
            </w:pPr>
          </w:p>
          <w:p w:rsidR="00123999" w:rsidRDefault="00123999">
            <w:pPr>
              <w:suppressAutoHyphens/>
              <w:jc w:val="both"/>
              <w:rPr>
                <w:sz w:val="24"/>
                <w:szCs w:val="24"/>
                <w:lang w:val="en-GB" w:eastAsia="el-GR"/>
              </w:rPr>
            </w:pPr>
            <w:r w:rsidRPr="00123999">
              <w:rPr>
                <w:b/>
                <w:bCs/>
                <w:sz w:val="22"/>
                <w:szCs w:val="22"/>
                <w:lang w:val="en-US" w:eastAsia="el-GR"/>
              </w:rPr>
              <w:t>N=3,248 n (Cum. risk %)</w:t>
            </w:r>
            <w:r w:rsidRPr="00123999">
              <w:rPr>
                <w:b/>
                <w:bCs/>
                <w:sz w:val="22"/>
                <w:szCs w:val="22"/>
                <w:vertAlign w:val="superscript"/>
                <w:lang w:val="en-US" w:eastAsia="el-GR"/>
              </w:rPr>
              <w:t>b)</w:t>
            </w:r>
            <w:r w:rsidRPr="00123999">
              <w:rPr>
                <w:b/>
                <w:bCs/>
                <w:sz w:val="14"/>
                <w:szCs w:val="14"/>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tcPr>
          <w:p w:rsidR="00123999" w:rsidRDefault="00123999">
            <w:pPr>
              <w:pStyle w:val="Default"/>
              <w:rPr>
                <w:b/>
                <w:bCs/>
                <w:sz w:val="14"/>
                <w:szCs w:val="14"/>
                <w:lang w:val="en-US"/>
              </w:rPr>
            </w:pPr>
            <w:r>
              <w:rPr>
                <w:b/>
                <w:bCs/>
                <w:sz w:val="22"/>
                <w:szCs w:val="22"/>
                <w:lang w:val="en-US"/>
              </w:rPr>
              <w:t xml:space="preserve">Hazard Ratio (95% CI) </w:t>
            </w:r>
            <w:r>
              <w:rPr>
                <w:b/>
                <w:bCs/>
                <w:sz w:val="14"/>
                <w:szCs w:val="14"/>
                <w:lang w:val="en-US"/>
              </w:rPr>
              <w:t xml:space="preserve">c) </w:t>
            </w:r>
          </w:p>
          <w:p w:rsidR="00123999" w:rsidRDefault="00123999">
            <w:pPr>
              <w:pStyle w:val="Default"/>
              <w:rPr>
                <w:b/>
                <w:bCs/>
                <w:sz w:val="14"/>
                <w:szCs w:val="14"/>
                <w:lang w:val="en-US"/>
              </w:rPr>
            </w:pPr>
          </w:p>
          <w:p w:rsidR="00123999" w:rsidRDefault="00123999">
            <w:pPr>
              <w:pStyle w:val="Default"/>
              <w:rPr>
                <w:b/>
                <w:bCs/>
                <w:sz w:val="14"/>
                <w:szCs w:val="14"/>
                <w:lang w:val="en-US"/>
              </w:rPr>
            </w:pPr>
          </w:p>
          <w:p w:rsidR="00123999" w:rsidRDefault="00123999">
            <w:pPr>
              <w:pStyle w:val="Default"/>
              <w:rPr>
                <w:sz w:val="14"/>
                <w:szCs w:val="14"/>
                <w:lang w:val="en-US"/>
              </w:rPr>
            </w:pPr>
          </w:p>
          <w:p w:rsidR="00123999" w:rsidRDefault="00123999">
            <w:pPr>
              <w:suppressAutoHyphens/>
              <w:jc w:val="both"/>
              <w:rPr>
                <w:sz w:val="24"/>
                <w:szCs w:val="24"/>
                <w:lang w:val="en-GB" w:eastAsia="el-GR"/>
              </w:rPr>
            </w:pPr>
            <w:r w:rsidRPr="00123999">
              <w:rPr>
                <w:b/>
                <w:bCs/>
                <w:sz w:val="22"/>
                <w:szCs w:val="22"/>
                <w:lang w:val="en-US" w:eastAsia="el-GR"/>
              </w:rPr>
              <w:t xml:space="preserve">p-value </w:t>
            </w:r>
            <w:r w:rsidRPr="00123999">
              <w:rPr>
                <w:b/>
                <w:bCs/>
                <w:sz w:val="22"/>
                <w:szCs w:val="22"/>
                <w:vertAlign w:val="superscript"/>
                <w:lang w:val="en-US" w:eastAsia="el-GR"/>
              </w:rPr>
              <w:t>d)</w:t>
            </w:r>
            <w:r w:rsidRPr="00123999">
              <w:rPr>
                <w:b/>
                <w:bCs/>
                <w:sz w:val="14"/>
                <w:szCs w:val="14"/>
                <w:lang w:val="en-US" w:eastAsia="el-GR"/>
              </w:rPr>
              <w:t xml:space="preserve">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lang w:val="en-US"/>
              </w:rPr>
            </w:pPr>
            <w:r>
              <w:rPr>
                <w:sz w:val="22"/>
                <w:szCs w:val="22"/>
                <w:lang w:val="en-US"/>
              </w:rPr>
              <w:t xml:space="preserve">TIMI major bleeding </w:t>
            </w:r>
          </w:p>
          <w:p w:rsidR="00123999" w:rsidRDefault="00123999">
            <w:pPr>
              <w:suppressAutoHyphens/>
              <w:rPr>
                <w:sz w:val="24"/>
                <w:szCs w:val="24"/>
                <w:lang w:val="en-GB" w:eastAsia="el-GR"/>
              </w:rPr>
            </w:pPr>
            <w:r w:rsidRPr="00123999">
              <w:rPr>
                <w:sz w:val="22"/>
                <w:szCs w:val="22"/>
                <w:lang w:val="en-US" w:eastAsia="el-GR"/>
              </w:rPr>
              <w:t xml:space="preserve">(CABG / non-CABG)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62 (1.9%)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44 (1.4%)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rPr>
            </w:pPr>
            <w:r>
              <w:rPr>
                <w:sz w:val="22"/>
                <w:szCs w:val="22"/>
              </w:rPr>
              <w:t xml:space="preserve">1.43 (0.97;2.10) </w:t>
            </w:r>
          </w:p>
          <w:p w:rsidR="00123999" w:rsidRDefault="00123999">
            <w:pPr>
              <w:suppressAutoHyphens/>
              <w:rPr>
                <w:sz w:val="24"/>
                <w:szCs w:val="24"/>
                <w:lang w:eastAsia="el-GR"/>
              </w:rPr>
            </w:pPr>
            <w:r>
              <w:rPr>
                <w:sz w:val="22"/>
                <w:szCs w:val="22"/>
                <w:lang w:eastAsia="el-GR"/>
              </w:rPr>
              <w:t xml:space="preserve">p = 0.0695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 Fatal bleeding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6 (0.2%)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6 (0.2%)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1.02 (0.33;3.15)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 Intracranial bleeding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13 (0.4%)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17 (0.5%)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0.78 (0.38;1.61)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Pr="00123999" w:rsidRDefault="00123999">
            <w:pPr>
              <w:suppressAutoHyphens/>
              <w:rPr>
                <w:szCs w:val="24"/>
                <w:lang w:val="en-US" w:eastAsia="el-GR"/>
              </w:rPr>
            </w:pPr>
            <w:r w:rsidRPr="00123999">
              <w:rPr>
                <w:sz w:val="22"/>
                <w:szCs w:val="22"/>
                <w:lang w:val="en-US" w:eastAsia="el-GR"/>
              </w:rPr>
              <w:t xml:space="preserve">- Overt bleeding associated with drop Hb ≥ 5g/dL / Hct ≥ 15%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46 (1.4%)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24 (0.7%)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1.94 (1.18;3.17)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ISTH major bleeding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140 (4.3%)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100 (3.1%)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pStyle w:val="Default"/>
              <w:rPr>
                <w:sz w:val="22"/>
                <w:szCs w:val="22"/>
              </w:rPr>
            </w:pPr>
            <w:r>
              <w:rPr>
                <w:sz w:val="22"/>
                <w:szCs w:val="22"/>
              </w:rPr>
              <w:t xml:space="preserve">1.42 (1.10;1.84) </w:t>
            </w:r>
          </w:p>
          <w:p w:rsidR="00123999" w:rsidRDefault="00123999">
            <w:pPr>
              <w:suppressAutoHyphens/>
              <w:rPr>
                <w:sz w:val="24"/>
                <w:szCs w:val="24"/>
                <w:lang w:eastAsia="el-GR"/>
              </w:rPr>
            </w:pPr>
            <w:r>
              <w:rPr>
                <w:sz w:val="22"/>
                <w:szCs w:val="22"/>
                <w:lang w:eastAsia="el-GR"/>
              </w:rPr>
              <w:t xml:space="preserve">p = 0.0068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 Fatal bleeding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6 (0.2%)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8 (0.2%)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0.76 (0.26;2.19)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Pr="00123999" w:rsidRDefault="00123999">
            <w:pPr>
              <w:suppressAutoHyphens/>
              <w:rPr>
                <w:szCs w:val="24"/>
                <w:lang w:val="en-US" w:eastAsia="el-GR"/>
              </w:rPr>
            </w:pPr>
            <w:r w:rsidRPr="00123999">
              <w:rPr>
                <w:sz w:val="22"/>
                <w:szCs w:val="22"/>
                <w:lang w:val="en-US" w:eastAsia="el-GR"/>
              </w:rPr>
              <w:t xml:space="preserve">- Non-fatal critical organ bleeding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29 (0.9%)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26 (0.8%)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1.14 (0.67;1.93) </w:t>
            </w:r>
          </w:p>
        </w:tc>
      </w:tr>
      <w:tr w:rsidR="00123999" w:rsidTr="007C09A3">
        <w:tc>
          <w:tcPr>
            <w:tcW w:w="1250" w:type="pct"/>
            <w:tcBorders>
              <w:top w:val="single" w:sz="4" w:space="0" w:color="auto"/>
              <w:left w:val="single" w:sz="4" w:space="0" w:color="auto"/>
              <w:bottom w:val="single" w:sz="4" w:space="0" w:color="auto"/>
              <w:right w:val="single" w:sz="4" w:space="0" w:color="auto"/>
            </w:tcBorders>
            <w:hideMark/>
          </w:tcPr>
          <w:p w:rsidR="00123999" w:rsidRPr="00123999" w:rsidRDefault="00123999">
            <w:pPr>
              <w:suppressAutoHyphens/>
              <w:rPr>
                <w:szCs w:val="24"/>
                <w:lang w:val="en-US" w:eastAsia="el-GR"/>
              </w:rPr>
            </w:pPr>
            <w:r w:rsidRPr="00123999">
              <w:rPr>
                <w:sz w:val="22"/>
                <w:szCs w:val="22"/>
                <w:lang w:val="en-US" w:eastAsia="el-GR"/>
              </w:rPr>
              <w:t xml:space="preserve">ISTH clinically relevant non-major bleeding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246 (7.6%)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139 (4.3%) </w:t>
            </w:r>
          </w:p>
        </w:tc>
        <w:tc>
          <w:tcPr>
            <w:tcW w:w="1250" w:type="pct"/>
            <w:tcBorders>
              <w:top w:val="single" w:sz="4" w:space="0" w:color="auto"/>
              <w:left w:val="single" w:sz="4" w:space="0" w:color="auto"/>
              <w:bottom w:val="single" w:sz="4" w:space="0" w:color="auto"/>
              <w:right w:val="single" w:sz="4" w:space="0" w:color="auto"/>
            </w:tcBorders>
            <w:hideMark/>
          </w:tcPr>
          <w:p w:rsidR="00123999" w:rsidRDefault="00123999">
            <w:pPr>
              <w:suppressAutoHyphens/>
              <w:rPr>
                <w:szCs w:val="24"/>
                <w:lang w:eastAsia="el-GR"/>
              </w:rPr>
            </w:pPr>
            <w:r>
              <w:rPr>
                <w:sz w:val="22"/>
                <w:szCs w:val="22"/>
                <w:lang w:eastAsia="el-GR"/>
              </w:rPr>
              <w:t xml:space="preserve">1.81 (1.47;2.23) </w:t>
            </w:r>
          </w:p>
        </w:tc>
      </w:tr>
    </w:tbl>
    <w:p w:rsidR="00123999" w:rsidRPr="007C09A3" w:rsidRDefault="00123999" w:rsidP="007C09A3">
      <w:pPr>
        <w:pStyle w:val="Default"/>
        <w:ind w:left="426" w:hanging="426"/>
        <w:rPr>
          <w:lang w:val="en-US"/>
        </w:rPr>
      </w:pPr>
      <w:r w:rsidRPr="007C09A3">
        <w:rPr>
          <w:lang w:val="en-US"/>
        </w:rPr>
        <w:t xml:space="preserve">a) </w:t>
      </w:r>
      <w:r w:rsidR="007C09A3">
        <w:rPr>
          <w:lang w:val="en-US"/>
        </w:rPr>
        <w:tab/>
      </w:r>
      <w:r w:rsidRPr="007C09A3">
        <w:rPr>
          <w:lang w:val="en-US"/>
        </w:rPr>
        <w:t xml:space="preserve">Safety analysis set (all randomised subjects with at least one dose of study drug), ICAC: Independent Clinical Adjudication Committee </w:t>
      </w:r>
    </w:p>
    <w:p w:rsidR="00123999" w:rsidRPr="007C09A3" w:rsidRDefault="00123999" w:rsidP="007C09A3">
      <w:pPr>
        <w:pStyle w:val="Default"/>
        <w:ind w:left="426" w:hanging="426"/>
        <w:rPr>
          <w:lang w:val="en-US"/>
        </w:rPr>
      </w:pPr>
      <w:r w:rsidRPr="007C09A3">
        <w:rPr>
          <w:lang w:val="en-US"/>
        </w:rPr>
        <w:t xml:space="preserve">b) </w:t>
      </w:r>
      <w:r w:rsidR="007C09A3">
        <w:rPr>
          <w:lang w:val="en-US"/>
        </w:rPr>
        <w:tab/>
      </w:r>
      <w:r w:rsidRPr="007C09A3">
        <w:rPr>
          <w:lang w:val="en-US"/>
        </w:rPr>
        <w:t xml:space="preserve">n = number of subjects with events, N = number of subjects at risk, % = 100 * n/N, n/100p-yrs = ratio of number of subjects with incident events / cumulative at-risk time </w:t>
      </w:r>
    </w:p>
    <w:p w:rsidR="00123999" w:rsidRPr="007C09A3" w:rsidRDefault="00123999" w:rsidP="007C09A3">
      <w:pPr>
        <w:pStyle w:val="Default"/>
        <w:ind w:left="426" w:hanging="426"/>
        <w:rPr>
          <w:lang w:val="en-US"/>
        </w:rPr>
      </w:pPr>
      <w:r w:rsidRPr="007C09A3">
        <w:rPr>
          <w:lang w:val="en-US"/>
        </w:rPr>
        <w:t xml:space="preserve">c) </w:t>
      </w:r>
      <w:r w:rsidR="007C09A3">
        <w:rPr>
          <w:lang w:val="en-US"/>
        </w:rPr>
        <w:tab/>
      </w:r>
      <w:r w:rsidRPr="007C09A3">
        <w:rPr>
          <w:lang w:val="en-US"/>
        </w:rPr>
        <w:t xml:space="preserve">HR (95% CI) is based on the Cox proportional hazards model stratified by type of procedure and clopidogrel use with treatment as the only covariate </w:t>
      </w:r>
    </w:p>
    <w:p w:rsidR="00123999" w:rsidRPr="007C09A3" w:rsidRDefault="00123999" w:rsidP="007C09A3">
      <w:pPr>
        <w:suppressAutoHyphens/>
        <w:ind w:left="426" w:hanging="426"/>
        <w:rPr>
          <w:sz w:val="24"/>
          <w:szCs w:val="24"/>
          <w:lang w:val="en-GB" w:eastAsia="el-GR"/>
        </w:rPr>
      </w:pPr>
      <w:r w:rsidRPr="007C09A3">
        <w:rPr>
          <w:sz w:val="24"/>
          <w:szCs w:val="24"/>
          <w:lang w:val="en-US"/>
        </w:rPr>
        <w:t xml:space="preserve">d) </w:t>
      </w:r>
      <w:r w:rsidR="007C09A3">
        <w:rPr>
          <w:sz w:val="24"/>
          <w:szCs w:val="24"/>
          <w:lang w:val="en-US"/>
        </w:rPr>
        <w:tab/>
      </w:r>
      <w:r w:rsidRPr="007C09A3">
        <w:rPr>
          <w:sz w:val="24"/>
          <w:szCs w:val="24"/>
          <w:lang w:val="en-US"/>
        </w:rPr>
        <w:t>Two sided p-value is based on the log rank-test stratified by type of procedure and clopidogrel use with treatment as a factor</w:t>
      </w:r>
    </w:p>
    <w:p w:rsidR="00123999" w:rsidRPr="00DE3B28" w:rsidRDefault="00123999" w:rsidP="00DE3B28">
      <w:pPr>
        <w:suppressAutoHyphens/>
        <w:jc w:val="both"/>
        <w:rPr>
          <w:szCs w:val="24"/>
          <w:lang w:val="en-US" w:eastAsia="el-GR"/>
        </w:rPr>
      </w:pPr>
    </w:p>
    <w:p w:rsidR="00DE3B28" w:rsidRPr="00DE3B28" w:rsidRDefault="00DE3B28" w:rsidP="003B4812">
      <w:pPr>
        <w:suppressAutoHyphens/>
        <w:ind w:left="851"/>
        <w:rPr>
          <w:sz w:val="24"/>
          <w:szCs w:val="24"/>
          <w:u w:val="single"/>
          <w:lang w:val="en-US" w:eastAsia="el-GR"/>
        </w:rPr>
      </w:pPr>
      <w:r w:rsidRPr="00DE3B28">
        <w:rPr>
          <w:sz w:val="24"/>
          <w:szCs w:val="24"/>
          <w:u w:val="single"/>
          <w:lang w:val="en-US" w:eastAsia="el-GR"/>
        </w:rPr>
        <w:t>CAD with heart failure</w:t>
      </w:r>
    </w:p>
    <w:p w:rsidR="00DE3B28" w:rsidRPr="00DE3B28" w:rsidRDefault="00DE3B28" w:rsidP="003B4812">
      <w:pPr>
        <w:suppressAutoHyphens/>
        <w:ind w:left="851"/>
        <w:rPr>
          <w:sz w:val="24"/>
          <w:szCs w:val="24"/>
          <w:lang w:val="en-US" w:eastAsia="el-GR"/>
        </w:rPr>
      </w:pPr>
      <w:r w:rsidRPr="00DE3B28">
        <w:rPr>
          <w:sz w:val="24"/>
          <w:szCs w:val="24"/>
          <w:lang w:val="en-US" w:eastAsia="el-GR"/>
        </w:rPr>
        <w:t xml:space="preserve">The COMMANDER HF study included 5,022 patients with heart failure and significant coronary artery disease (CAD) following a hospitalization of decompensated heart failure </w:t>
      </w:r>
    </w:p>
    <w:p w:rsidR="00DE3B28" w:rsidRPr="00DE3B28" w:rsidRDefault="00DE3B28" w:rsidP="003B4812">
      <w:pPr>
        <w:suppressAutoHyphens/>
        <w:ind w:left="851"/>
        <w:rPr>
          <w:sz w:val="24"/>
          <w:szCs w:val="24"/>
          <w:lang w:val="en-US" w:eastAsia="el-GR"/>
        </w:rPr>
      </w:pPr>
      <w:r w:rsidRPr="00DE3B28">
        <w:rPr>
          <w:sz w:val="24"/>
          <w:szCs w:val="24"/>
          <w:lang w:val="en-US" w:eastAsia="el-GR"/>
        </w:rPr>
        <w:t xml:space="preserve">(HF) which were randomly assigned into one of the two treatment groups: rivaroxaban 2.5 mg twice daily (N=2,507) or matching placebo (N=2,515), respectively. The overall median study treatment duration was 504 days. </w:t>
      </w:r>
    </w:p>
    <w:p w:rsidR="00DE3B28" w:rsidRPr="00DE3B28" w:rsidRDefault="00DE3B28" w:rsidP="003B4812">
      <w:pPr>
        <w:suppressAutoHyphens/>
        <w:ind w:left="851"/>
        <w:rPr>
          <w:sz w:val="24"/>
          <w:szCs w:val="24"/>
          <w:lang w:val="en-US" w:eastAsia="el-GR"/>
        </w:rPr>
      </w:pPr>
      <w:r w:rsidRPr="00DE3B28">
        <w:rPr>
          <w:sz w:val="24"/>
          <w:szCs w:val="24"/>
          <w:lang w:val="en-US" w:eastAsia="el-GR"/>
        </w:rPr>
        <w:t>Patients must have had symptomatic HF for at least 3 months and left ventricular ejection fraction (LVEF) of ≤40% within one year of enrollment. At baseline, the median ejection fraction was 34% (IQR: 28%-38%) and 53% of subjects were NYHA Class III or IV.</w:t>
      </w:r>
    </w:p>
    <w:p w:rsidR="00DE3B28" w:rsidRPr="00DE3B28" w:rsidRDefault="00DE3B28" w:rsidP="003B4812">
      <w:pPr>
        <w:suppressAutoHyphens/>
        <w:ind w:left="851"/>
        <w:rPr>
          <w:sz w:val="24"/>
          <w:szCs w:val="24"/>
          <w:lang w:val="en-US" w:eastAsia="el-GR"/>
        </w:rPr>
      </w:pPr>
      <w:r w:rsidRPr="00DE3B28">
        <w:rPr>
          <w:sz w:val="24"/>
          <w:szCs w:val="24"/>
          <w:lang w:val="en-US" w:eastAsia="el-GR"/>
        </w:rPr>
        <w:t xml:space="preserve">The primary efficacy analysis (i.e. composite of all-cause mortality, MI, or stroke) showed no statistically significant difference between the rivaroxaban 2.5 mg </w:t>
      </w:r>
      <w:r w:rsidR="00123999">
        <w:rPr>
          <w:szCs w:val="24"/>
          <w:lang w:val="en-US" w:eastAsia="el-GR"/>
        </w:rPr>
        <w:t>twice daily</w:t>
      </w:r>
      <w:r w:rsidRPr="00DE3B28">
        <w:rPr>
          <w:sz w:val="24"/>
          <w:szCs w:val="24"/>
          <w:lang w:val="en-US" w:eastAsia="el-GR"/>
        </w:rPr>
        <w:t xml:space="preserve"> group and the placebo group with a HR=0.94 (95% CI 0.84 - 1.05), p=0.270. For all-cause mortality, there was no difference between rivaroxaban and placebo in the number of events (event rate per 100 patient-years; 11.41 vs.</w:t>
      </w:r>
      <w:r w:rsidRPr="00DE3B28">
        <w:rPr>
          <w:sz w:val="24"/>
          <w:szCs w:val="24"/>
          <w:lang w:val="en-US"/>
        </w:rPr>
        <w:t xml:space="preserve"> </w:t>
      </w:r>
      <w:r w:rsidRPr="00DE3B28">
        <w:rPr>
          <w:sz w:val="24"/>
          <w:szCs w:val="24"/>
          <w:lang w:val="en-US" w:eastAsia="el-GR"/>
        </w:rPr>
        <w:t xml:space="preserve">11.63, HR: 0.98; 95% CI: 0.87 to 1.10; p=0.743). </w:t>
      </w:r>
    </w:p>
    <w:p w:rsidR="00DE3B28" w:rsidRPr="00DE3B28" w:rsidRDefault="00DE3B28" w:rsidP="003B4812">
      <w:pPr>
        <w:suppressAutoHyphens/>
        <w:ind w:left="851"/>
        <w:rPr>
          <w:sz w:val="24"/>
          <w:szCs w:val="24"/>
          <w:lang w:val="en-US" w:eastAsia="el-GR"/>
        </w:rPr>
      </w:pPr>
      <w:r w:rsidRPr="00DE3B28">
        <w:rPr>
          <w:sz w:val="24"/>
          <w:szCs w:val="24"/>
          <w:lang w:val="en-US" w:eastAsia="el-GR"/>
        </w:rPr>
        <w:t>The event rates for MI per 100 patient-years (rivaroxaban vs placebo) were 2.08 vs 2.52 (HR 0.83; 95% CI: 0.63 to 1.08; p=0.165) and for stroke the event rates per 100 patient-years were 1.08 vs 1.62 (HR: 0.66; 95% CI: 0.47 to 0.95; p=0.023).The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w:t>
      </w:r>
    </w:p>
    <w:p w:rsidR="00DE3B28" w:rsidRPr="00DE3B28" w:rsidRDefault="00DE3B28" w:rsidP="003B4812">
      <w:pPr>
        <w:suppressAutoHyphens/>
        <w:ind w:left="851"/>
        <w:rPr>
          <w:sz w:val="24"/>
          <w:szCs w:val="24"/>
          <w:lang w:val="en-US" w:eastAsia="el-GR"/>
        </w:rPr>
      </w:pPr>
      <w:r w:rsidRPr="00DE3B28">
        <w:rPr>
          <w:sz w:val="24"/>
          <w:szCs w:val="24"/>
          <w:lang w:val="en-US" w:eastAsia="el-GR"/>
        </w:rPr>
        <w:t>In patients with mild and moderate heart failure the treatment effects for the COMPASS study subgroup were similar to those of the entire study population (see section CAD/PAD).</w:t>
      </w:r>
    </w:p>
    <w:p w:rsidR="00DE3B28" w:rsidRPr="00DE3B28" w:rsidRDefault="00DE3B28" w:rsidP="003B4812">
      <w:pPr>
        <w:suppressAutoHyphens/>
        <w:ind w:left="851"/>
        <w:rPr>
          <w:sz w:val="24"/>
          <w:szCs w:val="24"/>
          <w:lang w:val="en-US" w:eastAsia="el-GR"/>
        </w:rPr>
      </w:pPr>
    </w:p>
    <w:p w:rsidR="00DE3B28" w:rsidRPr="00DE3B28" w:rsidRDefault="00DE3B28" w:rsidP="003B4812">
      <w:pPr>
        <w:suppressAutoHyphens/>
        <w:ind w:left="851"/>
        <w:rPr>
          <w:sz w:val="24"/>
          <w:szCs w:val="24"/>
          <w:u w:val="single"/>
          <w:lang w:val="en-US" w:eastAsia="el-GR"/>
        </w:rPr>
      </w:pPr>
      <w:r w:rsidRPr="00DE3B28">
        <w:rPr>
          <w:sz w:val="24"/>
          <w:szCs w:val="24"/>
          <w:u w:val="single"/>
          <w:lang w:val="en-US" w:eastAsia="el-GR"/>
        </w:rPr>
        <w:t xml:space="preserve">Patients with high risk triple positive antiphospholipid syndrome </w:t>
      </w:r>
    </w:p>
    <w:p w:rsidR="00DE3B28" w:rsidRPr="00DE3B28" w:rsidRDefault="00DE3B28" w:rsidP="003B4812">
      <w:pPr>
        <w:suppressAutoHyphens/>
        <w:ind w:left="851"/>
        <w:rPr>
          <w:sz w:val="24"/>
          <w:szCs w:val="24"/>
          <w:lang w:val="en-US" w:eastAsia="el-GR"/>
        </w:rPr>
      </w:pPr>
      <w:r w:rsidRPr="00DE3B28">
        <w:rPr>
          <w:sz w:val="24"/>
          <w:szCs w:val="24"/>
          <w:lang w:val="en-US" w:eastAsia="el-GR"/>
        </w:rPr>
        <w:t xml:space="preserve">In an investigator sponsored, randomized open-label multicenter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trial was terminated prematurely after the enrolment of 120 patients due to an excess of events among patients in the rivaroxaban arm. Mean follow-up was 569 days. 59 patients were randomized to rivaroxaban 20 mg (15 mg for patients with creatinine clearance (CrCl) &lt;50 mL/min) and 61 to warfarin (INR 2.0-3.0). Thromboembolic events occurred in 12% of patients randomized to rivaroxaban (4 ischaemic strokes and 3 myocardial infarctions). No events were reported in patients randomized to warfarin. Major bleeding occurred in 4 patients (7%) of the rivaroxaban group and 2 patients (3%) of the warfarin group. </w:t>
      </w:r>
    </w:p>
    <w:p w:rsidR="00DE3B28" w:rsidRPr="00DE3B28" w:rsidRDefault="00DE3B28" w:rsidP="003B4812">
      <w:pPr>
        <w:suppressAutoHyphens/>
        <w:ind w:left="851"/>
        <w:rPr>
          <w:sz w:val="24"/>
          <w:szCs w:val="24"/>
          <w:lang w:val="en-US" w:eastAsia="el-GR"/>
        </w:rPr>
      </w:pPr>
    </w:p>
    <w:p w:rsidR="00DE3B28" w:rsidRPr="00DE3B28" w:rsidRDefault="00DE3B28" w:rsidP="003B4812">
      <w:pPr>
        <w:suppressAutoHyphens/>
        <w:ind w:left="851"/>
        <w:rPr>
          <w:sz w:val="24"/>
          <w:szCs w:val="24"/>
          <w:u w:val="single"/>
          <w:lang w:val="en-GB" w:eastAsia="el-GR"/>
        </w:rPr>
      </w:pPr>
      <w:r w:rsidRPr="00DE3B28">
        <w:rPr>
          <w:sz w:val="24"/>
          <w:szCs w:val="24"/>
          <w:u w:val="single"/>
          <w:lang w:val="en-US" w:eastAsia="el-GR"/>
        </w:rPr>
        <w:t>Paediatric population</w:t>
      </w:r>
    </w:p>
    <w:p w:rsidR="00DE3B28" w:rsidRPr="00DE3B28" w:rsidRDefault="00DE3B28" w:rsidP="003B4812">
      <w:pPr>
        <w:suppressAutoHyphens/>
        <w:ind w:left="851"/>
        <w:rPr>
          <w:sz w:val="24"/>
          <w:szCs w:val="24"/>
          <w:lang w:val="en-US" w:eastAsia="el-GR"/>
        </w:rPr>
      </w:pPr>
      <w:r w:rsidRPr="00DE3B28">
        <w:rPr>
          <w:sz w:val="24"/>
          <w:szCs w:val="24"/>
          <w:lang w:val="en-US" w:eastAsia="el-GR"/>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rsidR="007C5D2A" w:rsidRPr="00DE3B28" w:rsidRDefault="007C5D2A" w:rsidP="00DE3B28">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rsidR="006148B0" w:rsidRPr="007C09A3"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Absorption</w:t>
      </w:r>
    </w:p>
    <w:p w:rsidR="006148B0" w:rsidRPr="006148B0" w:rsidRDefault="006148B0" w:rsidP="006148B0">
      <w:pPr>
        <w:tabs>
          <w:tab w:val="left" w:pos="851"/>
        </w:tabs>
        <w:ind w:left="851"/>
        <w:rPr>
          <w:sz w:val="24"/>
          <w:szCs w:val="24"/>
          <w:lang w:val="en-GB"/>
        </w:rPr>
      </w:pPr>
      <w:r w:rsidRPr="006148B0">
        <w:rPr>
          <w:sz w:val="24"/>
          <w:szCs w:val="24"/>
          <w:lang w:val="en-GB"/>
        </w:rPr>
        <w:t>Rivaroxaban is rapidly absorbed with maximum concentrations (C</w:t>
      </w:r>
      <w:r w:rsidRPr="006148B0">
        <w:rPr>
          <w:sz w:val="24"/>
          <w:szCs w:val="24"/>
          <w:vertAlign w:val="subscript"/>
          <w:lang w:val="en-GB"/>
        </w:rPr>
        <w:t>max</w:t>
      </w:r>
      <w:r w:rsidRPr="006148B0">
        <w:rPr>
          <w:sz w:val="24"/>
          <w:szCs w:val="24"/>
          <w:lang w:val="en-GB"/>
        </w:rPr>
        <w:t>) appearing 2 - 4 hours after tablet intake.</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Oral absorption of rivaroxaban is almost complete and oral bioavailability is high (80 </w:t>
      </w:r>
      <w:r w:rsidR="007C09A3">
        <w:rPr>
          <w:sz w:val="24"/>
          <w:szCs w:val="24"/>
          <w:lang w:val="en-GB"/>
        </w:rPr>
        <w:t>–</w:t>
      </w:r>
      <w:r w:rsidRPr="006148B0">
        <w:rPr>
          <w:sz w:val="24"/>
          <w:szCs w:val="24"/>
          <w:lang w:val="en-GB"/>
        </w:rPr>
        <w:t xml:space="preserve"> 100</w:t>
      </w:r>
      <w:r w:rsidR="007C09A3">
        <w:rPr>
          <w:sz w:val="24"/>
          <w:szCs w:val="24"/>
          <w:lang w:val="en-GB"/>
        </w:rPr>
        <w:t> </w:t>
      </w:r>
      <w:r w:rsidRPr="006148B0">
        <w:rPr>
          <w:sz w:val="24"/>
          <w:szCs w:val="24"/>
          <w:lang w:val="en-GB"/>
        </w:rPr>
        <w:t>%) for the 2.5 mg and 10 mg tablet dose, irrespective of fasting/fed conditions. Intake with food does not affect rivaroxaban AUC or C</w:t>
      </w:r>
      <w:r w:rsidRPr="006148B0">
        <w:rPr>
          <w:sz w:val="24"/>
          <w:szCs w:val="24"/>
          <w:vertAlign w:val="subscript"/>
          <w:lang w:val="en-GB"/>
        </w:rPr>
        <w:t>max</w:t>
      </w:r>
      <w:r w:rsidRPr="006148B0">
        <w:rPr>
          <w:sz w:val="24"/>
          <w:szCs w:val="24"/>
          <w:lang w:val="en-GB"/>
        </w:rPr>
        <w:t xml:space="preserve"> at the 2.5 mg and 10 mg dose. Rivaroxaban 2.5 mg and 10 mg tablets can be taken with or without food.</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 ranging from 30 % to 40 %.</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Absorption of rivaroxaban is dependent on the site of its release in the gastrointestinal tract. A 29% and 56% decrease in AUC and C</w:t>
      </w:r>
      <w:r w:rsidRPr="006148B0">
        <w:rPr>
          <w:sz w:val="24"/>
          <w:szCs w:val="24"/>
          <w:vertAlign w:val="subscript"/>
          <w:lang w:val="en-GB"/>
        </w:rPr>
        <w:t>max</w:t>
      </w:r>
      <w:r w:rsidRPr="006148B0">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Bioavailability (AUC and C</w:t>
      </w:r>
      <w:r w:rsidRPr="006148B0">
        <w:rPr>
          <w:sz w:val="24"/>
          <w:szCs w:val="24"/>
          <w:vertAlign w:val="subscript"/>
          <w:lang w:val="en-GB"/>
        </w:rPr>
        <w:t>max</w:t>
      </w:r>
      <w:r w:rsidRPr="006148B0">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6148B0" w:rsidRPr="006148B0" w:rsidRDefault="006148B0" w:rsidP="006148B0">
      <w:pPr>
        <w:tabs>
          <w:tab w:val="left" w:pos="851"/>
        </w:tabs>
        <w:ind w:left="851"/>
        <w:rPr>
          <w:sz w:val="24"/>
          <w:szCs w:val="24"/>
          <w:u w:val="single"/>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Distribution</w:t>
      </w:r>
    </w:p>
    <w:p w:rsidR="006148B0" w:rsidRPr="006148B0" w:rsidRDefault="006148B0" w:rsidP="006148B0">
      <w:pPr>
        <w:tabs>
          <w:tab w:val="left" w:pos="851"/>
        </w:tabs>
        <w:ind w:left="851"/>
        <w:rPr>
          <w:sz w:val="24"/>
          <w:szCs w:val="24"/>
          <w:lang w:val="en-GB"/>
        </w:rPr>
      </w:pPr>
      <w:r w:rsidRPr="006148B0">
        <w:rPr>
          <w:sz w:val="24"/>
          <w:szCs w:val="24"/>
          <w:lang w:val="en-GB"/>
        </w:rPr>
        <w:t>Plasma protein binding in humans is high at approximately 92 % to 95 %, with serum albumin being the main binding component. The volume of distribution is moderate with Vss being approximately 50 litres.</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Biotransformation and elimination</w:t>
      </w:r>
    </w:p>
    <w:p w:rsidR="006148B0" w:rsidRPr="006148B0" w:rsidRDefault="006148B0" w:rsidP="006148B0">
      <w:pPr>
        <w:tabs>
          <w:tab w:val="left" w:pos="851"/>
        </w:tabs>
        <w:ind w:left="851"/>
        <w:rPr>
          <w:sz w:val="24"/>
          <w:szCs w:val="24"/>
          <w:lang w:val="en-GB"/>
        </w:rPr>
      </w:pPr>
      <w:r w:rsidRPr="006148B0">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6148B0">
        <w:rPr>
          <w:i/>
          <w:sz w:val="24"/>
          <w:szCs w:val="24"/>
          <w:lang w:val="en-GB"/>
        </w:rPr>
        <w:t>in vitro</w:t>
      </w:r>
      <w:r w:rsidRPr="006148B0">
        <w:rPr>
          <w:sz w:val="24"/>
          <w:szCs w:val="24"/>
          <w:lang w:val="en-GB"/>
        </w:rPr>
        <w:t xml:space="preserve"> investigations rivaroxaban is a substrate of the transporter proteins P-gp (P-glycoprotein) and Bcrp (breast cancer resistance protein).</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6148B0" w:rsidRPr="006148B0" w:rsidRDefault="006148B0" w:rsidP="006148B0">
      <w:pPr>
        <w:tabs>
          <w:tab w:val="left" w:pos="851"/>
        </w:tabs>
        <w:ind w:left="851"/>
        <w:rPr>
          <w:sz w:val="24"/>
          <w:szCs w:val="24"/>
          <w:u w:val="single"/>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Special populations</w:t>
      </w:r>
    </w:p>
    <w:p w:rsidR="006148B0" w:rsidRPr="006148B0" w:rsidRDefault="006148B0" w:rsidP="006148B0">
      <w:pPr>
        <w:tabs>
          <w:tab w:val="left" w:pos="851"/>
        </w:tabs>
        <w:ind w:left="851"/>
        <w:rPr>
          <w:i/>
          <w:iCs/>
          <w:sz w:val="24"/>
          <w:szCs w:val="24"/>
          <w:lang w:val="en-GB"/>
        </w:rPr>
      </w:pPr>
      <w:r w:rsidRPr="006148B0">
        <w:rPr>
          <w:i/>
          <w:iCs/>
          <w:sz w:val="24"/>
          <w:szCs w:val="24"/>
          <w:lang w:val="en-GB"/>
        </w:rPr>
        <w:t>Gender</w:t>
      </w:r>
    </w:p>
    <w:p w:rsidR="006148B0" w:rsidRPr="006148B0" w:rsidRDefault="006148B0" w:rsidP="006148B0">
      <w:pPr>
        <w:tabs>
          <w:tab w:val="left" w:pos="851"/>
        </w:tabs>
        <w:ind w:left="851"/>
        <w:rPr>
          <w:sz w:val="24"/>
          <w:szCs w:val="24"/>
          <w:lang w:val="en-GB"/>
        </w:rPr>
      </w:pPr>
      <w:r w:rsidRPr="006148B0">
        <w:rPr>
          <w:sz w:val="24"/>
          <w:szCs w:val="24"/>
          <w:lang w:val="en-GB"/>
        </w:rPr>
        <w:t>There were no clinically relevant differences in pharmacokinetics and pharmacodynamics between male and female patients.</w:t>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Elderly population</w:t>
      </w:r>
    </w:p>
    <w:p w:rsidR="006148B0" w:rsidRPr="006148B0" w:rsidRDefault="006148B0" w:rsidP="006148B0">
      <w:pPr>
        <w:tabs>
          <w:tab w:val="left" w:pos="851"/>
        </w:tabs>
        <w:ind w:left="851"/>
        <w:rPr>
          <w:sz w:val="24"/>
          <w:szCs w:val="24"/>
          <w:lang w:val="en-GB"/>
        </w:rPr>
      </w:pPr>
      <w:r w:rsidRPr="006148B0">
        <w:rPr>
          <w:sz w:val="24"/>
          <w:szCs w:val="24"/>
          <w:lang w:val="en-GB"/>
        </w:rPr>
        <w:t>Elderly patients exhibited higher plasma concentrations than younger patients, with mean AUC values being approximately 1.5 fold higher, mainly due to reduced (apparent) total and renal clearance. No dose adjustment is necessary.</w:t>
      </w:r>
    </w:p>
    <w:p w:rsidR="001C47FA" w:rsidRDefault="001C47FA">
      <w:pPr>
        <w:rPr>
          <w:i/>
          <w:iCs/>
          <w:sz w:val="24"/>
          <w:szCs w:val="24"/>
          <w:lang w:val="en-GB"/>
        </w:rPr>
      </w:pPr>
      <w:r>
        <w:rPr>
          <w:i/>
          <w:iCs/>
          <w:sz w:val="24"/>
          <w:szCs w:val="24"/>
          <w:lang w:val="en-GB"/>
        </w:rPr>
        <w:br w:type="page"/>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Different weight categories</w:t>
      </w:r>
    </w:p>
    <w:p w:rsidR="006148B0" w:rsidRPr="006148B0" w:rsidRDefault="006148B0" w:rsidP="006148B0">
      <w:pPr>
        <w:tabs>
          <w:tab w:val="left" w:pos="851"/>
        </w:tabs>
        <w:ind w:left="851"/>
        <w:rPr>
          <w:sz w:val="24"/>
          <w:szCs w:val="24"/>
          <w:lang w:val="en-GB"/>
        </w:rPr>
      </w:pPr>
      <w:r w:rsidRPr="006148B0">
        <w:rPr>
          <w:sz w:val="24"/>
          <w:szCs w:val="24"/>
          <w:lang w:val="en-GB"/>
        </w:rPr>
        <w:t>Extremes in body weight (&lt; 50 kg or &gt; 120 kg) had only a small influence on rivaroxaban plasma concentrations (less than 25 %). No dose adjustment is necessary.</w:t>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Inter-ethnic differences</w:t>
      </w:r>
    </w:p>
    <w:p w:rsidR="006148B0" w:rsidRPr="006148B0" w:rsidRDefault="006148B0" w:rsidP="006148B0">
      <w:pPr>
        <w:tabs>
          <w:tab w:val="left" w:pos="851"/>
        </w:tabs>
        <w:ind w:left="851"/>
        <w:rPr>
          <w:sz w:val="24"/>
          <w:szCs w:val="24"/>
          <w:lang w:val="en-GB"/>
        </w:rPr>
      </w:pPr>
      <w:r w:rsidRPr="006148B0">
        <w:rPr>
          <w:sz w:val="24"/>
          <w:szCs w:val="24"/>
          <w:lang w:val="en-GB"/>
        </w:rPr>
        <w:t>No clinically relevant inter-ethnic differences among Caucasian, African-American, Hispanic, Japanese or Chinese patients were observed regarding rivaroxaban pharmacokinetics and pharmacodynamics.</w:t>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Hepatic impairment</w:t>
      </w:r>
    </w:p>
    <w:p w:rsidR="006148B0" w:rsidRPr="006148B0" w:rsidRDefault="006148B0" w:rsidP="006148B0">
      <w:pPr>
        <w:tabs>
          <w:tab w:val="left" w:pos="851"/>
        </w:tabs>
        <w:ind w:left="851"/>
        <w:rPr>
          <w:sz w:val="24"/>
          <w:szCs w:val="24"/>
          <w:lang w:val="en-GB"/>
        </w:rPr>
      </w:pPr>
      <w:r w:rsidRPr="006148B0">
        <w:rPr>
          <w:sz w:val="24"/>
          <w:szCs w:val="24"/>
          <w:lang w:val="en-GB"/>
        </w:rPr>
        <w:t>Cirrhotic patients with mild hepatic impairment (classified as Child Pugh A) exhibited only minor changes in rivaroxaban pharmacokinetics (1.2 fold increase in rivaroxaban AUC on average), nearly comparable to their matched healthy control group. In cirrhotic patients with moderate hepatic impairment (classified as Child Pugh B), rivaroxaban mean AUC was significantly increased by 2.3 fold compared to healthy volunteers. Unbound AUC was increased 2.6 fold. These patients also had reduced renal elimination of rivaroxaban, similar to patients with moderate renal impairment.</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There are no data in patients with severe hepatic impairment.</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The inhibition of factor Xa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6148B0" w:rsidRPr="006148B0" w:rsidRDefault="006148B0" w:rsidP="006148B0">
      <w:pPr>
        <w:tabs>
          <w:tab w:val="left" w:pos="851"/>
        </w:tabs>
        <w:ind w:left="851"/>
        <w:rPr>
          <w:sz w:val="24"/>
          <w:szCs w:val="24"/>
          <w:lang w:val="en-GB"/>
        </w:rPr>
      </w:pPr>
    </w:p>
    <w:p w:rsidR="006148B0" w:rsidRPr="006148B0" w:rsidRDefault="00123999" w:rsidP="006148B0">
      <w:pPr>
        <w:tabs>
          <w:tab w:val="left" w:pos="851"/>
        </w:tabs>
        <w:ind w:left="851"/>
        <w:rPr>
          <w:sz w:val="24"/>
          <w:szCs w:val="24"/>
          <w:lang w:val="en-GB"/>
        </w:rPr>
      </w:pPr>
      <w:r>
        <w:rPr>
          <w:sz w:val="24"/>
          <w:szCs w:val="24"/>
          <w:lang w:val="en-GB"/>
        </w:rPr>
        <w:t>Rivaroxaban</w:t>
      </w:r>
      <w:r w:rsidR="006148B0" w:rsidRPr="006148B0">
        <w:rPr>
          <w:sz w:val="24"/>
          <w:szCs w:val="24"/>
          <w:lang w:val="en-GB"/>
        </w:rPr>
        <w:t xml:space="preserve"> is contraindicated in patients with hepatic disease associated with coagulopathy and clinically relevant bleeding risk, including cirrhotic patients with Child Pugh B and C (see section 4.3).</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Renal impairment</w:t>
      </w:r>
    </w:p>
    <w:p w:rsidR="006148B0" w:rsidRPr="006148B0" w:rsidRDefault="006148B0" w:rsidP="006148B0">
      <w:pPr>
        <w:tabs>
          <w:tab w:val="left" w:pos="851"/>
        </w:tabs>
        <w:ind w:left="851"/>
        <w:rPr>
          <w:sz w:val="24"/>
          <w:szCs w:val="24"/>
          <w:lang w:val="en-GB"/>
        </w:rPr>
      </w:pPr>
      <w:r w:rsidRPr="006148B0">
        <w:rPr>
          <w:sz w:val="24"/>
          <w:szCs w:val="24"/>
          <w:lang w:val="en-GB"/>
        </w:rPr>
        <w:t>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1.6 fold respectively. Corresponding increases in pharmacodynamic effects were more pronounced. In individuals with mild, moderate and severe renal impairment the overall inhibition of factor Xa activity was increased by a factor of 1.5, 1.9 and 2.0 respectively as compared to healthy volunteers; prolongation of PT was similarly increased by a factor of 1.3, 2.2 and 2.4 respectively. There are no data in patients with creatinine clearance &lt; 15 ml/min.</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Due to the high plasma protein binding rivaroxaban is not expected to be dialysable.</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Use is not recommended in patients with creatinine clearance &lt; 15 ml/min. </w:t>
      </w:r>
      <w:r w:rsidR="00123999">
        <w:rPr>
          <w:sz w:val="24"/>
          <w:szCs w:val="24"/>
          <w:lang w:val="en-GB"/>
        </w:rPr>
        <w:t>Rivaroxaban</w:t>
      </w:r>
      <w:r w:rsidRPr="006148B0">
        <w:rPr>
          <w:sz w:val="24"/>
          <w:szCs w:val="24"/>
          <w:lang w:val="en-GB"/>
        </w:rPr>
        <w:t xml:space="preserve"> is to be used with caution in patients with creatinine clearance 15 - 29 ml/min (see section 4.4).</w:t>
      </w:r>
    </w:p>
    <w:p w:rsidR="001C47FA" w:rsidRDefault="001C47FA">
      <w:pPr>
        <w:rPr>
          <w:sz w:val="24"/>
          <w:szCs w:val="24"/>
          <w:lang w:val="en-GB"/>
        </w:rPr>
      </w:pPr>
      <w:r>
        <w:rPr>
          <w:sz w:val="24"/>
          <w:szCs w:val="24"/>
          <w:lang w:val="en-GB"/>
        </w:rPr>
        <w:br w:type="page"/>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Pharmacokinetic data in patients</w:t>
      </w:r>
    </w:p>
    <w:p w:rsidR="006148B0" w:rsidRPr="006148B0" w:rsidRDefault="006148B0" w:rsidP="006148B0">
      <w:pPr>
        <w:tabs>
          <w:tab w:val="left" w:pos="851"/>
        </w:tabs>
        <w:ind w:left="851"/>
        <w:rPr>
          <w:sz w:val="24"/>
          <w:szCs w:val="24"/>
          <w:lang w:val="en-GB"/>
        </w:rPr>
      </w:pPr>
      <w:r w:rsidRPr="006148B0">
        <w:rPr>
          <w:sz w:val="24"/>
          <w:szCs w:val="24"/>
          <w:lang w:val="en-GB"/>
        </w:rPr>
        <w:t>In patients receiving rivaroxaban 2.5 mg twice daily for the prevention of atherothrombotic events in patients with ACS the geometric mean concentration (90 % prediction interval) 2-4 h and about 12 h after dose (roughly representing maximum and minimum concentrations during the dose interval) was 47 (13 - 123) and 9.2 (4.4 - 18) μg/l, respectively.</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Pharmacokinetic/pharmacodynamic relationship</w:t>
      </w:r>
    </w:p>
    <w:p w:rsidR="006148B0" w:rsidRPr="006148B0" w:rsidRDefault="006148B0" w:rsidP="006148B0">
      <w:pPr>
        <w:tabs>
          <w:tab w:val="left" w:pos="851"/>
        </w:tabs>
        <w:ind w:left="851"/>
        <w:rPr>
          <w:sz w:val="24"/>
          <w:szCs w:val="24"/>
          <w:lang w:val="en-GB"/>
        </w:rPr>
      </w:pPr>
      <w:r w:rsidRPr="006148B0">
        <w:rPr>
          <w:sz w:val="24"/>
          <w:szCs w:val="24"/>
          <w:lang w:val="en-GB"/>
        </w:rPr>
        <w:t>The pharmacokinetic/pharmacodynamic (PK/PD) relationship between rivaroxaban plasma concentration and several PD endpoints (factor-Xa inhibition, PT, aPTT, Heptest) has been evaluated after administration of a wide range of doses (5 - 30 mg twice a day). The relationship between rivaroxaban concentration and factor-Xa activity was best described by an E</w:t>
      </w:r>
      <w:r w:rsidRPr="006148B0">
        <w:rPr>
          <w:sz w:val="24"/>
          <w:szCs w:val="24"/>
          <w:vertAlign w:val="subscript"/>
          <w:lang w:val="en-GB"/>
        </w:rPr>
        <w:t>max</w:t>
      </w:r>
      <w:r w:rsidRPr="006148B0">
        <w:rPr>
          <w:sz w:val="24"/>
          <w:szCs w:val="24"/>
          <w:lang w:val="en-GB"/>
        </w:rPr>
        <w:t xml:space="preserve"> model. For PT, the linear intercept model generally described the data better. Depending on the different PT reagents used, the slope differed considerably. When Neoplastin PT was used, baseline PT was about 13 s and the slope was around 3 to 4 s/(100 mcg</w:t>
      </w:r>
      <w:r w:rsidR="00123999">
        <w:rPr>
          <w:sz w:val="24"/>
          <w:szCs w:val="24"/>
          <w:lang w:val="en-GB"/>
        </w:rPr>
        <w:t>/</w:t>
      </w:r>
      <w:r w:rsidRPr="006148B0">
        <w:rPr>
          <w:sz w:val="24"/>
          <w:szCs w:val="24"/>
          <w:lang w:val="en-GB"/>
        </w:rPr>
        <w:t>l). The results of the PK/PD analyses in Phase II and III were consistent with the data established in healthy subjects.</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Paediatric population</w:t>
      </w:r>
    </w:p>
    <w:p w:rsidR="00123999" w:rsidRPr="007C09A3" w:rsidRDefault="00123999" w:rsidP="007C09A3">
      <w:pPr>
        <w:suppressAutoHyphens/>
        <w:ind w:left="851"/>
        <w:rPr>
          <w:sz w:val="24"/>
          <w:szCs w:val="24"/>
          <w:lang w:val="en-US" w:eastAsia="el-GR"/>
        </w:rPr>
      </w:pPr>
      <w:r w:rsidRPr="007C09A3">
        <w:rPr>
          <w:sz w:val="24"/>
          <w:szCs w:val="24"/>
          <w:lang w:val="en-US" w:eastAsia="el-GR"/>
        </w:rPr>
        <w:t xml:space="preserve">Safety and efficacy have not been established </w:t>
      </w:r>
      <w:r w:rsidRPr="007C09A3">
        <w:rPr>
          <w:sz w:val="24"/>
          <w:szCs w:val="24"/>
          <w:lang w:val="en-US"/>
        </w:rPr>
        <w:t xml:space="preserve">in the indications ACS and CAD/PAD for children and adolescents up to 18 years. </w:t>
      </w:r>
    </w:p>
    <w:p w:rsidR="007C5D2A" w:rsidRPr="007C09A3" w:rsidRDefault="007C5D2A" w:rsidP="007C09A3">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0B650C" w:rsidRPr="000B650C" w:rsidRDefault="000B650C" w:rsidP="000B650C">
      <w:pPr>
        <w:tabs>
          <w:tab w:val="left" w:pos="851"/>
        </w:tabs>
        <w:ind w:left="851"/>
        <w:rPr>
          <w:sz w:val="24"/>
          <w:szCs w:val="24"/>
          <w:lang w:val="en-GB"/>
        </w:rPr>
      </w:pPr>
      <w:r w:rsidRPr="000B650C">
        <w:rPr>
          <w:sz w:val="24"/>
          <w:szCs w:val="24"/>
          <w:lang w:val="en-GB"/>
        </w:rPr>
        <w:t>Non-clinical data reveal no special hazard for humans based on conventional studies of safety pharmacology, single dose toxicity, phototoxicity, genotoxicity, carcinogenic potential and juvenile toxicity.</w:t>
      </w:r>
    </w:p>
    <w:p w:rsidR="000B650C" w:rsidRPr="000B650C" w:rsidRDefault="000B650C" w:rsidP="000B650C">
      <w:pPr>
        <w:tabs>
          <w:tab w:val="left" w:pos="851"/>
        </w:tabs>
        <w:ind w:left="851"/>
        <w:rPr>
          <w:sz w:val="24"/>
          <w:szCs w:val="24"/>
          <w:lang w:val="en-GB"/>
        </w:rPr>
      </w:pPr>
    </w:p>
    <w:p w:rsidR="000B650C" w:rsidRPr="000B650C" w:rsidRDefault="000B650C" w:rsidP="000B650C">
      <w:pPr>
        <w:tabs>
          <w:tab w:val="left" w:pos="851"/>
        </w:tabs>
        <w:ind w:left="851"/>
        <w:rPr>
          <w:sz w:val="24"/>
          <w:szCs w:val="24"/>
          <w:lang w:val="en-GB"/>
        </w:rPr>
      </w:pPr>
      <w:r w:rsidRPr="000B650C">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0B650C" w:rsidRPr="000B650C" w:rsidRDefault="000B650C" w:rsidP="000B650C">
      <w:pPr>
        <w:tabs>
          <w:tab w:val="left" w:pos="851"/>
        </w:tabs>
        <w:ind w:left="851"/>
        <w:rPr>
          <w:sz w:val="24"/>
          <w:szCs w:val="24"/>
          <w:lang w:val="en-GB"/>
        </w:rPr>
      </w:pPr>
    </w:p>
    <w:p w:rsidR="000B650C" w:rsidRPr="000B650C" w:rsidRDefault="000B650C" w:rsidP="000B650C">
      <w:pPr>
        <w:tabs>
          <w:tab w:val="left" w:pos="851"/>
        </w:tabs>
        <w:ind w:left="851"/>
        <w:rPr>
          <w:sz w:val="24"/>
          <w:szCs w:val="24"/>
          <w:lang w:val="en-GB"/>
        </w:rPr>
      </w:pPr>
      <w:r w:rsidRPr="000B650C">
        <w:rPr>
          <w:sz w:val="24"/>
          <w:szCs w:val="24"/>
          <w:lang w:val="en-GB"/>
        </w:rPr>
        <w:t>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light coloured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7C5D2A" w:rsidRPr="000B650C"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954B1F" w:rsidRPr="00954B1F" w:rsidRDefault="00954B1F" w:rsidP="00954B1F">
      <w:pPr>
        <w:tabs>
          <w:tab w:val="left" w:pos="851"/>
        </w:tabs>
        <w:ind w:left="851"/>
        <w:rPr>
          <w:sz w:val="24"/>
          <w:szCs w:val="24"/>
          <w:u w:val="single"/>
          <w:lang w:val="en-GB"/>
        </w:rPr>
      </w:pPr>
    </w:p>
    <w:p w:rsidR="00954B1F" w:rsidRPr="00954B1F" w:rsidRDefault="00954B1F" w:rsidP="00954B1F">
      <w:pPr>
        <w:tabs>
          <w:tab w:val="left" w:pos="851"/>
        </w:tabs>
        <w:ind w:left="851"/>
        <w:rPr>
          <w:sz w:val="24"/>
          <w:szCs w:val="24"/>
          <w:u w:val="single"/>
          <w:lang w:val="en-GB"/>
        </w:rPr>
      </w:pPr>
      <w:r w:rsidRPr="00954B1F">
        <w:rPr>
          <w:sz w:val="24"/>
          <w:szCs w:val="24"/>
          <w:u w:val="single"/>
          <w:lang w:val="en-GB"/>
        </w:rPr>
        <w:t>Tablet core</w:t>
      </w:r>
    </w:p>
    <w:p w:rsidR="00954B1F" w:rsidRPr="00954B1F" w:rsidRDefault="00954B1F" w:rsidP="00954B1F">
      <w:pPr>
        <w:tabs>
          <w:tab w:val="left" w:pos="851"/>
        </w:tabs>
        <w:ind w:left="851"/>
        <w:rPr>
          <w:sz w:val="24"/>
          <w:szCs w:val="24"/>
          <w:lang w:val="en-GB"/>
        </w:rPr>
      </w:pPr>
      <w:r w:rsidRPr="00954B1F">
        <w:rPr>
          <w:sz w:val="24"/>
          <w:szCs w:val="24"/>
          <w:lang w:val="en-GB"/>
        </w:rPr>
        <w:t>Hypromellose (E464)</w:t>
      </w:r>
    </w:p>
    <w:p w:rsidR="00954B1F" w:rsidRPr="00954B1F" w:rsidRDefault="00954B1F" w:rsidP="00954B1F">
      <w:pPr>
        <w:tabs>
          <w:tab w:val="left" w:pos="851"/>
        </w:tabs>
        <w:ind w:left="851"/>
        <w:rPr>
          <w:sz w:val="24"/>
          <w:szCs w:val="24"/>
          <w:lang w:val="en-GB"/>
        </w:rPr>
      </w:pPr>
      <w:r w:rsidRPr="00954B1F">
        <w:rPr>
          <w:sz w:val="24"/>
          <w:szCs w:val="24"/>
          <w:lang w:val="en-GB"/>
        </w:rPr>
        <w:t>Sodium laurilsulfate</w:t>
      </w:r>
    </w:p>
    <w:p w:rsidR="00954B1F" w:rsidRPr="00954B1F" w:rsidRDefault="00954B1F" w:rsidP="00954B1F">
      <w:pPr>
        <w:tabs>
          <w:tab w:val="left" w:pos="851"/>
        </w:tabs>
        <w:ind w:left="851"/>
        <w:rPr>
          <w:sz w:val="24"/>
          <w:szCs w:val="24"/>
          <w:lang w:val="en-GB"/>
        </w:rPr>
      </w:pPr>
      <w:r w:rsidRPr="00954B1F">
        <w:rPr>
          <w:sz w:val="24"/>
          <w:szCs w:val="24"/>
          <w:lang w:val="en-GB"/>
        </w:rPr>
        <w:t>Cellulose microcrystalline (E460)</w:t>
      </w:r>
    </w:p>
    <w:p w:rsidR="00954B1F" w:rsidRPr="00954B1F" w:rsidRDefault="00954B1F" w:rsidP="00954B1F">
      <w:pPr>
        <w:tabs>
          <w:tab w:val="left" w:pos="851"/>
        </w:tabs>
        <w:ind w:left="851"/>
        <w:rPr>
          <w:sz w:val="24"/>
          <w:szCs w:val="24"/>
          <w:lang w:val="en-GB"/>
        </w:rPr>
      </w:pPr>
      <w:r w:rsidRPr="00954B1F">
        <w:rPr>
          <w:sz w:val="24"/>
          <w:szCs w:val="24"/>
          <w:lang w:val="en-GB"/>
        </w:rPr>
        <w:t xml:space="preserve">Lactose monohydrate </w:t>
      </w:r>
    </w:p>
    <w:p w:rsidR="00954B1F" w:rsidRPr="00954B1F" w:rsidRDefault="00954B1F" w:rsidP="00954B1F">
      <w:pPr>
        <w:tabs>
          <w:tab w:val="left" w:pos="851"/>
        </w:tabs>
        <w:ind w:left="851"/>
        <w:rPr>
          <w:sz w:val="24"/>
          <w:szCs w:val="24"/>
          <w:lang w:val="en-GB"/>
        </w:rPr>
      </w:pPr>
      <w:r w:rsidRPr="00954B1F">
        <w:rPr>
          <w:sz w:val="24"/>
          <w:szCs w:val="24"/>
          <w:lang w:val="en-GB"/>
        </w:rPr>
        <w:t>Croscarmellose sodium</w:t>
      </w:r>
    </w:p>
    <w:p w:rsidR="00954B1F" w:rsidRPr="00954B1F" w:rsidRDefault="00954B1F" w:rsidP="00954B1F">
      <w:pPr>
        <w:tabs>
          <w:tab w:val="left" w:pos="851"/>
        </w:tabs>
        <w:ind w:left="851"/>
        <w:rPr>
          <w:sz w:val="24"/>
          <w:szCs w:val="24"/>
          <w:lang w:val="en-GB"/>
        </w:rPr>
      </w:pPr>
      <w:r w:rsidRPr="00954B1F">
        <w:rPr>
          <w:sz w:val="24"/>
          <w:szCs w:val="24"/>
          <w:lang w:val="en-GB"/>
        </w:rPr>
        <w:t>Magnesium stearate</w:t>
      </w:r>
    </w:p>
    <w:p w:rsidR="00954B1F" w:rsidRPr="00954B1F" w:rsidRDefault="00954B1F" w:rsidP="00954B1F">
      <w:pPr>
        <w:tabs>
          <w:tab w:val="left" w:pos="851"/>
        </w:tabs>
        <w:ind w:left="851"/>
        <w:rPr>
          <w:sz w:val="24"/>
          <w:szCs w:val="24"/>
          <w:lang w:val="en-GB"/>
        </w:rPr>
      </w:pPr>
    </w:p>
    <w:p w:rsidR="00954B1F" w:rsidRPr="00954B1F" w:rsidRDefault="00954B1F" w:rsidP="00954B1F">
      <w:pPr>
        <w:tabs>
          <w:tab w:val="left" w:pos="851"/>
        </w:tabs>
        <w:ind w:left="851"/>
        <w:rPr>
          <w:sz w:val="24"/>
          <w:szCs w:val="24"/>
          <w:u w:val="single"/>
          <w:lang w:val="en-GB"/>
        </w:rPr>
      </w:pPr>
      <w:r w:rsidRPr="00954B1F">
        <w:rPr>
          <w:sz w:val="24"/>
          <w:szCs w:val="24"/>
          <w:u w:val="single"/>
          <w:lang w:val="en-GB"/>
        </w:rPr>
        <w:t>Coating</w:t>
      </w:r>
    </w:p>
    <w:p w:rsidR="00954B1F" w:rsidRPr="00954B1F" w:rsidRDefault="00954B1F" w:rsidP="00954B1F">
      <w:pPr>
        <w:tabs>
          <w:tab w:val="left" w:pos="851"/>
        </w:tabs>
        <w:ind w:left="851"/>
        <w:rPr>
          <w:sz w:val="24"/>
          <w:szCs w:val="24"/>
          <w:lang w:val="en-GB"/>
        </w:rPr>
      </w:pPr>
      <w:r w:rsidRPr="00954B1F">
        <w:rPr>
          <w:sz w:val="24"/>
          <w:szCs w:val="24"/>
          <w:lang w:val="en-GB"/>
        </w:rPr>
        <w:t>Macrogol 3350</w:t>
      </w:r>
    </w:p>
    <w:p w:rsidR="00954B1F" w:rsidRPr="00954B1F" w:rsidRDefault="00954B1F" w:rsidP="00954B1F">
      <w:pPr>
        <w:tabs>
          <w:tab w:val="left" w:pos="851"/>
        </w:tabs>
        <w:ind w:left="851"/>
        <w:rPr>
          <w:sz w:val="24"/>
          <w:szCs w:val="24"/>
          <w:lang w:val="en-GB"/>
        </w:rPr>
      </w:pPr>
      <w:r w:rsidRPr="00954B1F">
        <w:rPr>
          <w:sz w:val="24"/>
          <w:szCs w:val="24"/>
          <w:lang w:val="en-GB"/>
        </w:rPr>
        <w:t>Hypromellose (E464)</w:t>
      </w:r>
    </w:p>
    <w:p w:rsidR="00954B1F" w:rsidRPr="00954B1F" w:rsidRDefault="00954B1F" w:rsidP="00954B1F">
      <w:pPr>
        <w:tabs>
          <w:tab w:val="left" w:pos="851"/>
        </w:tabs>
        <w:ind w:left="851"/>
        <w:rPr>
          <w:sz w:val="24"/>
          <w:szCs w:val="24"/>
          <w:lang w:val="en-GB"/>
        </w:rPr>
      </w:pPr>
      <w:r w:rsidRPr="00954B1F">
        <w:rPr>
          <w:sz w:val="24"/>
          <w:szCs w:val="24"/>
          <w:lang w:val="en-GB"/>
        </w:rPr>
        <w:t>Titanium dioxide (E171)</w:t>
      </w:r>
    </w:p>
    <w:p w:rsidR="00954B1F" w:rsidRDefault="00954B1F" w:rsidP="00954B1F">
      <w:pPr>
        <w:tabs>
          <w:tab w:val="left" w:pos="851"/>
        </w:tabs>
        <w:ind w:left="851"/>
        <w:rPr>
          <w:sz w:val="24"/>
          <w:szCs w:val="24"/>
          <w:lang w:val="en-GB"/>
        </w:rPr>
      </w:pPr>
      <w:r w:rsidRPr="00954B1F">
        <w:rPr>
          <w:sz w:val="24"/>
          <w:szCs w:val="24"/>
          <w:lang w:val="en-GB"/>
        </w:rPr>
        <w:t>Iron oxide yellow (E172)</w:t>
      </w:r>
    </w:p>
    <w:p w:rsidR="00EC268B" w:rsidRPr="00954B1F" w:rsidRDefault="00EC268B" w:rsidP="00954B1F">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EC268B" w:rsidRPr="00EC268B" w:rsidRDefault="00EC268B" w:rsidP="00EC268B">
      <w:pPr>
        <w:tabs>
          <w:tab w:val="left" w:pos="851"/>
        </w:tabs>
        <w:ind w:left="851"/>
        <w:rPr>
          <w:sz w:val="24"/>
          <w:szCs w:val="24"/>
          <w:lang w:val="en-GB"/>
        </w:rPr>
      </w:pPr>
      <w:r w:rsidRPr="00EC268B">
        <w:rPr>
          <w:sz w:val="24"/>
          <w:szCs w:val="24"/>
          <w:lang w:val="en-GB"/>
        </w:rPr>
        <w:t>Not applicable</w:t>
      </w:r>
      <w:r>
        <w:rPr>
          <w:sz w:val="24"/>
          <w:szCs w:val="24"/>
          <w:lang w:val="en-GB"/>
        </w:rPr>
        <w:t>.</w:t>
      </w:r>
    </w:p>
    <w:p w:rsidR="007C5D2A" w:rsidRPr="00EC268B"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67B36">
        <w:rPr>
          <w:b/>
          <w:sz w:val="24"/>
          <w:szCs w:val="24"/>
          <w:lang w:val="en-GB"/>
        </w:rPr>
        <w:t xml:space="preserve"> </w:t>
      </w:r>
      <w:r w:rsidRPr="00303008">
        <w:rPr>
          <w:b/>
          <w:sz w:val="24"/>
          <w:szCs w:val="24"/>
          <w:lang w:val="en-GB"/>
        </w:rPr>
        <w:t>life</w:t>
      </w:r>
    </w:p>
    <w:p w:rsidR="007C5D2A" w:rsidRDefault="00E74950" w:rsidP="00A85D26">
      <w:pPr>
        <w:tabs>
          <w:tab w:val="left" w:pos="851"/>
        </w:tabs>
        <w:ind w:left="851"/>
        <w:rPr>
          <w:sz w:val="24"/>
          <w:szCs w:val="24"/>
          <w:lang w:val="en-GB"/>
        </w:rPr>
      </w:pPr>
      <w:r>
        <w:rPr>
          <w:sz w:val="24"/>
          <w:szCs w:val="24"/>
          <w:lang w:val="en-GB"/>
        </w:rPr>
        <w:t>3 years.</w:t>
      </w:r>
    </w:p>
    <w:p w:rsidR="00BB0F31" w:rsidRDefault="00BB0F31" w:rsidP="007C09A3">
      <w:pPr>
        <w:suppressAutoHyphens/>
        <w:ind w:left="851"/>
        <w:rPr>
          <w:sz w:val="24"/>
          <w:szCs w:val="24"/>
          <w:lang w:val="en-US" w:eastAsia="el-GR"/>
        </w:rPr>
      </w:pPr>
    </w:p>
    <w:p w:rsidR="00123999" w:rsidRPr="007C09A3" w:rsidRDefault="00123999" w:rsidP="007C09A3">
      <w:pPr>
        <w:suppressAutoHyphens/>
        <w:ind w:left="851"/>
        <w:rPr>
          <w:sz w:val="24"/>
          <w:szCs w:val="24"/>
          <w:lang w:val="en-US" w:eastAsia="el-GR"/>
        </w:rPr>
      </w:pPr>
      <w:r w:rsidRPr="007C09A3">
        <w:rPr>
          <w:sz w:val="24"/>
          <w:szCs w:val="24"/>
          <w:lang w:val="en-US" w:eastAsia="el-GR"/>
        </w:rPr>
        <w:t xml:space="preserve">Crushed tablets </w:t>
      </w:r>
    </w:p>
    <w:p w:rsidR="00123999" w:rsidRPr="007C09A3" w:rsidRDefault="00123999" w:rsidP="007C09A3">
      <w:pPr>
        <w:suppressAutoHyphens/>
        <w:ind w:left="851"/>
        <w:rPr>
          <w:sz w:val="24"/>
          <w:szCs w:val="24"/>
          <w:lang w:val="en-GB" w:eastAsia="el-GR"/>
        </w:rPr>
      </w:pPr>
      <w:r w:rsidRPr="007C09A3">
        <w:rPr>
          <w:sz w:val="24"/>
          <w:szCs w:val="24"/>
          <w:lang w:val="en-US" w:eastAsia="el-GR"/>
        </w:rPr>
        <w:t>Crushed rivaroxaban tablets are stable in water and in apple puree for up to 4 hours.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E74950" w:rsidRPr="00E74950" w:rsidRDefault="00E74950" w:rsidP="00E74950">
      <w:pPr>
        <w:tabs>
          <w:tab w:val="left" w:pos="851"/>
        </w:tabs>
        <w:ind w:left="851"/>
        <w:rPr>
          <w:sz w:val="24"/>
          <w:szCs w:val="24"/>
          <w:lang w:val="en-GB"/>
        </w:rPr>
      </w:pPr>
      <w:r w:rsidRPr="00E74950">
        <w:rPr>
          <w:sz w:val="24"/>
          <w:szCs w:val="24"/>
          <w:lang w:val="en-GB"/>
        </w:rPr>
        <w:t>This medicinal product does not require any special storage conditions.</w:t>
      </w:r>
    </w:p>
    <w:p w:rsidR="007C5D2A" w:rsidRPr="00E74950"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E74950" w:rsidRPr="00E74950" w:rsidRDefault="00E74950" w:rsidP="00E74950">
      <w:pPr>
        <w:tabs>
          <w:tab w:val="left" w:pos="851"/>
        </w:tabs>
        <w:ind w:left="851"/>
        <w:rPr>
          <w:sz w:val="24"/>
          <w:szCs w:val="24"/>
          <w:lang w:val="en-GB"/>
        </w:rPr>
      </w:pPr>
      <w:r w:rsidRPr="00E74950">
        <w:rPr>
          <w:sz w:val="24"/>
          <w:szCs w:val="24"/>
          <w:lang w:val="en-GB"/>
        </w:rPr>
        <w:t>Aluminium/PVC blister</w:t>
      </w:r>
    </w:p>
    <w:p w:rsidR="00E74950" w:rsidRPr="00E74950" w:rsidRDefault="00E74950" w:rsidP="00E74950">
      <w:pPr>
        <w:tabs>
          <w:tab w:val="left" w:pos="851"/>
        </w:tabs>
        <w:ind w:left="851"/>
        <w:rPr>
          <w:sz w:val="24"/>
          <w:szCs w:val="24"/>
          <w:lang w:val="en-GB"/>
        </w:rPr>
      </w:pPr>
    </w:p>
    <w:p w:rsidR="00E74950" w:rsidRPr="00F33AD7" w:rsidRDefault="00E74950" w:rsidP="00E74950">
      <w:pPr>
        <w:tabs>
          <w:tab w:val="left" w:pos="851"/>
        </w:tabs>
        <w:ind w:left="851"/>
        <w:rPr>
          <w:sz w:val="24"/>
          <w:szCs w:val="24"/>
          <w:u w:val="single"/>
          <w:lang w:val="en-GB"/>
        </w:rPr>
      </w:pPr>
      <w:r w:rsidRPr="00F33AD7">
        <w:rPr>
          <w:sz w:val="24"/>
          <w:szCs w:val="24"/>
          <w:u w:val="single"/>
          <w:lang w:val="en-GB"/>
        </w:rPr>
        <w:t>Pack sizes</w:t>
      </w:r>
    </w:p>
    <w:p w:rsidR="00E74950" w:rsidRPr="00E74950" w:rsidRDefault="00E74950" w:rsidP="00E74950">
      <w:pPr>
        <w:tabs>
          <w:tab w:val="left" w:pos="851"/>
        </w:tabs>
        <w:ind w:left="851"/>
        <w:rPr>
          <w:sz w:val="24"/>
          <w:szCs w:val="24"/>
          <w:lang w:val="en-GB"/>
        </w:rPr>
      </w:pPr>
      <w:r w:rsidRPr="00E74950">
        <w:rPr>
          <w:sz w:val="24"/>
          <w:szCs w:val="24"/>
          <w:lang w:val="en-GB"/>
        </w:rPr>
        <w:t xml:space="preserve">5, 10, 14, 15, 20, 28, 30, 42, 56, 60, 98, 100, 168 </w:t>
      </w:r>
      <w:r w:rsidR="00F33AD7">
        <w:rPr>
          <w:sz w:val="24"/>
          <w:szCs w:val="24"/>
          <w:lang w:val="en-GB"/>
        </w:rPr>
        <w:t>and</w:t>
      </w:r>
      <w:r w:rsidRPr="00E74950">
        <w:rPr>
          <w:sz w:val="24"/>
          <w:szCs w:val="24"/>
          <w:lang w:val="en-GB"/>
        </w:rPr>
        <w:t xml:space="preserve"> 196 film-coated tablets</w:t>
      </w:r>
      <w:r>
        <w:rPr>
          <w:sz w:val="24"/>
          <w:szCs w:val="24"/>
          <w:lang w:val="en-GB"/>
        </w:rPr>
        <w:t>, in carton</w:t>
      </w:r>
      <w:r w:rsidRPr="00E74950">
        <w:rPr>
          <w:sz w:val="24"/>
          <w:szCs w:val="24"/>
          <w:lang w:val="en-GB"/>
        </w:rPr>
        <w:t>.</w:t>
      </w:r>
    </w:p>
    <w:p w:rsidR="00E74950" w:rsidRPr="00E74950" w:rsidRDefault="00E74950" w:rsidP="00E74950">
      <w:pPr>
        <w:tabs>
          <w:tab w:val="left" w:pos="851"/>
        </w:tabs>
        <w:ind w:left="851"/>
        <w:rPr>
          <w:sz w:val="24"/>
          <w:szCs w:val="24"/>
          <w:lang w:val="en-GB"/>
        </w:rPr>
      </w:pPr>
    </w:p>
    <w:p w:rsidR="00E74950" w:rsidRPr="00E74950" w:rsidRDefault="00E74950" w:rsidP="00E74950">
      <w:pPr>
        <w:tabs>
          <w:tab w:val="left" w:pos="851"/>
        </w:tabs>
        <w:ind w:left="851"/>
        <w:rPr>
          <w:sz w:val="24"/>
          <w:szCs w:val="24"/>
          <w:lang w:val="en-GB"/>
        </w:rPr>
      </w:pPr>
      <w:r w:rsidRPr="00E74950">
        <w:rPr>
          <w:sz w:val="24"/>
          <w:szCs w:val="24"/>
          <w:lang w:val="en-GB"/>
        </w:rPr>
        <w:t>Not all pack sizes may be marketed.</w:t>
      </w:r>
    </w:p>
    <w:p w:rsidR="007C5D2A" w:rsidRPr="00E74950"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F33AD7" w:rsidRDefault="00F33AD7" w:rsidP="00F33AD7">
      <w:pPr>
        <w:tabs>
          <w:tab w:val="left" w:pos="851"/>
        </w:tabs>
        <w:ind w:left="851"/>
        <w:jc w:val="both"/>
        <w:rPr>
          <w:sz w:val="24"/>
          <w:szCs w:val="24"/>
          <w:lang w:val="en-GB"/>
        </w:rPr>
      </w:pPr>
      <w:r w:rsidRPr="00F33AD7">
        <w:rPr>
          <w:sz w:val="24"/>
          <w:szCs w:val="24"/>
          <w:lang w:val="en-GB"/>
        </w:rPr>
        <w:t>No special requirements for disposal.</w:t>
      </w:r>
    </w:p>
    <w:p w:rsidR="00BB0F31" w:rsidRPr="00BB0F31" w:rsidRDefault="00BB0F31" w:rsidP="00BB0F31">
      <w:pPr>
        <w:ind w:left="851"/>
        <w:rPr>
          <w:b/>
          <w:sz w:val="24"/>
          <w:szCs w:val="24"/>
          <w:lang w:val="en-GB"/>
        </w:rPr>
      </w:pPr>
    </w:p>
    <w:p w:rsidR="00BB0F31" w:rsidRPr="00BB0F31" w:rsidRDefault="00BB0F31" w:rsidP="00BB0F31">
      <w:pPr>
        <w:suppressAutoHyphens/>
        <w:ind w:left="851"/>
        <w:rPr>
          <w:sz w:val="24"/>
          <w:szCs w:val="24"/>
          <w:u w:val="single"/>
          <w:lang w:val="en-US"/>
        </w:rPr>
      </w:pPr>
      <w:r w:rsidRPr="00BB0F31">
        <w:rPr>
          <w:sz w:val="24"/>
          <w:szCs w:val="24"/>
          <w:u w:val="single"/>
          <w:lang w:val="en-US"/>
        </w:rPr>
        <w:t xml:space="preserve">Crushing of tablets </w:t>
      </w:r>
    </w:p>
    <w:p w:rsidR="00BB0F31" w:rsidRPr="00BB0F31" w:rsidRDefault="00BB0F31" w:rsidP="00BB0F31">
      <w:pPr>
        <w:suppressAutoHyphens/>
        <w:ind w:left="851"/>
        <w:rPr>
          <w:sz w:val="24"/>
          <w:szCs w:val="24"/>
          <w:lang w:val="en-US"/>
        </w:rPr>
      </w:pPr>
      <w:r w:rsidRPr="00BB0F31">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rsidR="007C5D2A" w:rsidRPr="00BB0F31" w:rsidRDefault="007C5D2A" w:rsidP="00BB0F31">
      <w:pPr>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F33AD7" w:rsidRPr="00F33AD7" w:rsidRDefault="00F33AD7" w:rsidP="00F33AD7">
      <w:pPr>
        <w:tabs>
          <w:tab w:val="left" w:pos="851"/>
        </w:tabs>
        <w:ind w:left="851"/>
        <w:jc w:val="both"/>
        <w:rPr>
          <w:sz w:val="24"/>
          <w:szCs w:val="24"/>
          <w:lang w:val="en-GB"/>
        </w:rPr>
      </w:pPr>
      <w:r w:rsidRPr="00F33AD7">
        <w:rPr>
          <w:sz w:val="24"/>
          <w:szCs w:val="24"/>
          <w:lang w:val="en-GB"/>
        </w:rPr>
        <w:t>E</w:t>
      </w:r>
      <w:r>
        <w:rPr>
          <w:sz w:val="24"/>
          <w:szCs w:val="24"/>
          <w:lang w:val="en-GB"/>
        </w:rPr>
        <w:t>lpen</w:t>
      </w:r>
      <w:r w:rsidRPr="00F33AD7">
        <w:rPr>
          <w:sz w:val="24"/>
          <w:szCs w:val="24"/>
          <w:lang w:val="en-GB"/>
        </w:rPr>
        <w:t xml:space="preserve"> Pharmaceutical Co. Inc.</w:t>
      </w:r>
    </w:p>
    <w:p w:rsidR="00E2769A" w:rsidRDefault="00F33AD7" w:rsidP="00F33AD7">
      <w:pPr>
        <w:tabs>
          <w:tab w:val="left" w:pos="851"/>
        </w:tabs>
        <w:ind w:left="851"/>
        <w:jc w:val="both"/>
        <w:rPr>
          <w:sz w:val="24"/>
          <w:szCs w:val="24"/>
          <w:lang w:val="en-GB"/>
        </w:rPr>
      </w:pPr>
      <w:r w:rsidRPr="00F33AD7">
        <w:rPr>
          <w:sz w:val="24"/>
          <w:szCs w:val="24"/>
          <w:lang w:val="en-GB"/>
        </w:rPr>
        <w:t>95 Marathonos Ave.</w:t>
      </w:r>
    </w:p>
    <w:p w:rsidR="00F33AD7" w:rsidRPr="00F33AD7" w:rsidRDefault="00F33AD7" w:rsidP="00F33AD7">
      <w:pPr>
        <w:tabs>
          <w:tab w:val="left" w:pos="851"/>
        </w:tabs>
        <w:ind w:left="851"/>
        <w:jc w:val="both"/>
        <w:rPr>
          <w:sz w:val="24"/>
          <w:szCs w:val="24"/>
          <w:lang w:val="en-GB"/>
        </w:rPr>
      </w:pPr>
      <w:r w:rsidRPr="00F33AD7">
        <w:rPr>
          <w:sz w:val="24"/>
          <w:szCs w:val="24"/>
          <w:lang w:val="en-GB"/>
        </w:rPr>
        <w:t>19009</w:t>
      </w:r>
      <w:r w:rsidR="00E2769A">
        <w:rPr>
          <w:sz w:val="24"/>
          <w:szCs w:val="24"/>
          <w:lang w:val="en-GB"/>
        </w:rPr>
        <w:t xml:space="preserve"> </w:t>
      </w:r>
      <w:r w:rsidRPr="00F33AD7">
        <w:rPr>
          <w:sz w:val="24"/>
          <w:szCs w:val="24"/>
          <w:lang w:val="en-GB"/>
        </w:rPr>
        <w:t>Pikermi Attica</w:t>
      </w:r>
    </w:p>
    <w:p w:rsidR="00F33AD7" w:rsidRPr="00F33AD7" w:rsidRDefault="00F33AD7" w:rsidP="00F33AD7">
      <w:pPr>
        <w:tabs>
          <w:tab w:val="left" w:pos="851"/>
        </w:tabs>
        <w:ind w:left="851"/>
        <w:jc w:val="both"/>
        <w:rPr>
          <w:sz w:val="24"/>
          <w:szCs w:val="24"/>
          <w:lang w:val="en-GB"/>
        </w:rPr>
      </w:pPr>
      <w:r w:rsidRPr="00F33AD7">
        <w:rPr>
          <w:sz w:val="24"/>
          <w:szCs w:val="24"/>
          <w:lang w:val="en-GB"/>
        </w:rPr>
        <w:t>Greece</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965E6E" w:rsidP="00A85D26">
      <w:pPr>
        <w:tabs>
          <w:tab w:val="left" w:pos="851"/>
        </w:tabs>
        <w:ind w:left="851"/>
        <w:jc w:val="both"/>
        <w:rPr>
          <w:sz w:val="24"/>
          <w:szCs w:val="24"/>
          <w:lang w:val="en-GB"/>
        </w:rPr>
      </w:pPr>
      <w:r>
        <w:rPr>
          <w:sz w:val="24"/>
          <w:szCs w:val="24"/>
          <w:lang w:val="en-GB"/>
        </w:rPr>
        <w:t>62419</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901726" w:rsidP="00A85D26">
      <w:pPr>
        <w:ind w:left="851"/>
        <w:jc w:val="both"/>
        <w:rPr>
          <w:sz w:val="24"/>
          <w:szCs w:val="24"/>
          <w:lang w:val="en-GB"/>
        </w:rPr>
      </w:pPr>
      <w:r>
        <w:rPr>
          <w:sz w:val="24"/>
          <w:szCs w:val="24"/>
          <w:lang w:val="en-GB"/>
        </w:rPr>
        <w:t>11 September 2020</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BB14C3" w:rsidP="003E0341">
      <w:pPr>
        <w:tabs>
          <w:tab w:val="left" w:pos="851"/>
        </w:tabs>
        <w:ind w:left="851"/>
        <w:jc w:val="both"/>
        <w:rPr>
          <w:sz w:val="24"/>
          <w:szCs w:val="24"/>
          <w:lang w:val="en-GB"/>
        </w:rPr>
      </w:pPr>
      <w:r>
        <w:rPr>
          <w:sz w:val="24"/>
          <w:szCs w:val="24"/>
          <w:lang w:val="en-GB"/>
        </w:rPr>
        <w:t>19 November 2024</w:t>
      </w:r>
    </w:p>
    <w:sectPr w:rsidR="007C5D2A" w:rsidRPr="00303008" w:rsidSect="004A3BF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1BB" w:rsidRDefault="007C41BB">
      <w:r>
        <w:separator/>
      </w:r>
    </w:p>
  </w:endnote>
  <w:endnote w:type="continuationSeparator" w:id="0">
    <w:p w:rsidR="007C41BB" w:rsidRDefault="007C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BB" w:rsidRDefault="007C41B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BB" w:rsidRDefault="007C41BB">
    <w:pPr>
      <w:pStyle w:val="Sidefod"/>
      <w:pBdr>
        <w:bottom w:val="single" w:sz="6" w:space="1" w:color="auto"/>
      </w:pBdr>
    </w:pPr>
  </w:p>
  <w:p w:rsidR="007C41BB" w:rsidRDefault="007C41BB">
    <w:pPr>
      <w:pStyle w:val="Sidefod"/>
      <w:tabs>
        <w:tab w:val="clear" w:pos="4819"/>
        <w:tab w:val="left" w:pos="8647"/>
      </w:tabs>
      <w:rPr>
        <w:i/>
        <w:snapToGrid w:val="0"/>
        <w:sz w:val="18"/>
      </w:rPr>
    </w:pPr>
  </w:p>
  <w:p w:rsidR="007C41BB" w:rsidRPr="00121227" w:rsidRDefault="007C41BB" w:rsidP="00AC033C">
    <w:pPr>
      <w:pStyle w:val="Sidefod"/>
      <w:tabs>
        <w:tab w:val="clear" w:pos="4819"/>
        <w:tab w:val="left" w:pos="8364"/>
      </w:tabs>
      <w:rPr>
        <w:i/>
        <w:sz w:val="18"/>
        <w:lang w:val="en-US"/>
      </w:rPr>
    </w:pPr>
    <w:r>
      <w:rPr>
        <w:i/>
        <w:snapToGrid w:val="0"/>
        <w:sz w:val="18"/>
      </w:rPr>
      <w:fldChar w:fldCharType="begin"/>
    </w:r>
    <w:r w:rsidRPr="00121227">
      <w:rPr>
        <w:i/>
        <w:snapToGrid w:val="0"/>
        <w:sz w:val="18"/>
        <w:lang w:val="en-US"/>
      </w:rPr>
      <w:instrText xml:space="preserve"> FILENAME </w:instrText>
    </w:r>
    <w:r>
      <w:rPr>
        <w:i/>
        <w:snapToGrid w:val="0"/>
        <w:sz w:val="18"/>
      </w:rPr>
      <w:fldChar w:fldCharType="separate"/>
    </w:r>
    <w:r w:rsidR="00F73D76">
      <w:rPr>
        <w:i/>
        <w:noProof/>
        <w:snapToGrid w:val="0"/>
        <w:sz w:val="18"/>
        <w:lang w:val="en-US"/>
      </w:rPr>
      <w:t>Odelo, filmovertrukne tabletter 2,5 mg.docx</w:t>
    </w:r>
    <w:r>
      <w:rPr>
        <w:i/>
        <w:snapToGrid w:val="0"/>
        <w:sz w:val="18"/>
      </w:rPr>
      <w:fldChar w:fldCharType="end"/>
    </w:r>
    <w:r w:rsidRPr="00121227">
      <w:rPr>
        <w:i/>
        <w:snapToGrid w:val="0"/>
        <w:sz w:val="18"/>
        <w:lang w:val="en-US"/>
      </w:rPr>
      <w:tab/>
      <w:t xml:space="preserve">Page </w:t>
    </w:r>
    <w:r>
      <w:rPr>
        <w:i/>
        <w:snapToGrid w:val="0"/>
        <w:sz w:val="18"/>
      </w:rPr>
      <w:fldChar w:fldCharType="begin"/>
    </w:r>
    <w:r w:rsidRPr="00121227">
      <w:rPr>
        <w:i/>
        <w:snapToGrid w:val="0"/>
        <w:sz w:val="18"/>
        <w:lang w:val="en-US"/>
      </w:rPr>
      <w:instrText xml:space="preserve"> PAGE </w:instrText>
    </w:r>
    <w:r>
      <w:rPr>
        <w:i/>
        <w:snapToGrid w:val="0"/>
        <w:sz w:val="18"/>
      </w:rPr>
      <w:fldChar w:fldCharType="separate"/>
    </w:r>
    <w:r w:rsidRPr="00121227">
      <w:rPr>
        <w:i/>
        <w:noProof/>
        <w:snapToGrid w:val="0"/>
        <w:sz w:val="18"/>
        <w:lang w:val="en-US"/>
      </w:rPr>
      <w:t>1</w:t>
    </w:r>
    <w:r>
      <w:rPr>
        <w:i/>
        <w:snapToGrid w:val="0"/>
        <w:sz w:val="18"/>
      </w:rPr>
      <w:fldChar w:fldCharType="end"/>
    </w:r>
    <w:r w:rsidRPr="00121227">
      <w:rPr>
        <w:i/>
        <w:snapToGrid w:val="0"/>
        <w:sz w:val="18"/>
        <w:lang w:val="en-US"/>
      </w:rPr>
      <w:t xml:space="preserve"> of </w:t>
    </w:r>
    <w:r>
      <w:rPr>
        <w:i/>
        <w:snapToGrid w:val="0"/>
        <w:sz w:val="18"/>
      </w:rPr>
      <w:fldChar w:fldCharType="begin"/>
    </w:r>
    <w:r w:rsidRPr="00121227">
      <w:rPr>
        <w:i/>
        <w:snapToGrid w:val="0"/>
        <w:sz w:val="18"/>
        <w:lang w:val="en-US"/>
      </w:rPr>
      <w:instrText xml:space="preserve"> NUMPAGES </w:instrText>
    </w:r>
    <w:r>
      <w:rPr>
        <w:i/>
        <w:snapToGrid w:val="0"/>
        <w:sz w:val="18"/>
      </w:rPr>
      <w:fldChar w:fldCharType="separate"/>
    </w:r>
    <w:r w:rsidRPr="00121227">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BB" w:rsidRDefault="007C41BB">
    <w:pPr>
      <w:pStyle w:val="Sidefod"/>
      <w:pBdr>
        <w:bottom w:val="single" w:sz="6" w:space="1" w:color="auto"/>
      </w:pBdr>
      <w:tabs>
        <w:tab w:val="clear" w:pos="4819"/>
        <w:tab w:val="left" w:pos="8789"/>
      </w:tabs>
      <w:rPr>
        <w:i/>
        <w:snapToGrid w:val="0"/>
        <w:sz w:val="18"/>
      </w:rPr>
    </w:pPr>
  </w:p>
  <w:p w:rsidR="007C41BB" w:rsidRDefault="007C41BB">
    <w:pPr>
      <w:pStyle w:val="Sidefod"/>
      <w:tabs>
        <w:tab w:val="clear" w:pos="4819"/>
        <w:tab w:val="left" w:pos="8789"/>
      </w:tabs>
      <w:rPr>
        <w:i/>
        <w:snapToGrid w:val="0"/>
        <w:sz w:val="18"/>
      </w:rPr>
    </w:pPr>
  </w:p>
  <w:p w:rsidR="007C41BB" w:rsidRPr="00121227" w:rsidRDefault="007C41BB">
    <w:pPr>
      <w:pStyle w:val="Sidefod"/>
      <w:tabs>
        <w:tab w:val="clear" w:pos="4819"/>
        <w:tab w:val="left" w:pos="8647"/>
      </w:tabs>
      <w:rPr>
        <w:i/>
        <w:sz w:val="18"/>
        <w:lang w:val="en-US"/>
      </w:rPr>
    </w:pPr>
    <w:r>
      <w:rPr>
        <w:i/>
        <w:snapToGrid w:val="0"/>
        <w:sz w:val="18"/>
      </w:rPr>
      <w:fldChar w:fldCharType="begin"/>
    </w:r>
    <w:r w:rsidRPr="00121227">
      <w:rPr>
        <w:i/>
        <w:snapToGrid w:val="0"/>
        <w:sz w:val="18"/>
        <w:lang w:val="en-US"/>
      </w:rPr>
      <w:instrText xml:space="preserve"> FILENAME </w:instrText>
    </w:r>
    <w:r>
      <w:rPr>
        <w:i/>
        <w:snapToGrid w:val="0"/>
        <w:sz w:val="18"/>
      </w:rPr>
      <w:fldChar w:fldCharType="separate"/>
    </w:r>
    <w:r w:rsidR="00F73D76">
      <w:rPr>
        <w:i/>
        <w:noProof/>
        <w:snapToGrid w:val="0"/>
        <w:sz w:val="18"/>
        <w:lang w:val="en-US"/>
      </w:rPr>
      <w:t>Odelo, filmovertrukne tabletter 2,5 mg.docx</w:t>
    </w:r>
    <w:r>
      <w:rPr>
        <w:i/>
        <w:snapToGrid w:val="0"/>
        <w:sz w:val="18"/>
      </w:rPr>
      <w:fldChar w:fldCharType="end"/>
    </w:r>
    <w:r w:rsidRPr="00121227">
      <w:rPr>
        <w:i/>
        <w:snapToGrid w:val="0"/>
        <w:sz w:val="18"/>
        <w:lang w:val="en-US"/>
      </w:rPr>
      <w:tab/>
      <w:t xml:space="preserve">Page </w:t>
    </w:r>
    <w:r>
      <w:rPr>
        <w:i/>
        <w:snapToGrid w:val="0"/>
        <w:sz w:val="18"/>
      </w:rPr>
      <w:fldChar w:fldCharType="begin"/>
    </w:r>
    <w:r w:rsidRPr="00121227">
      <w:rPr>
        <w:i/>
        <w:snapToGrid w:val="0"/>
        <w:sz w:val="18"/>
        <w:lang w:val="en-US"/>
      </w:rPr>
      <w:instrText xml:space="preserve"> PAGE </w:instrText>
    </w:r>
    <w:r>
      <w:rPr>
        <w:i/>
        <w:snapToGrid w:val="0"/>
        <w:sz w:val="18"/>
      </w:rPr>
      <w:fldChar w:fldCharType="separate"/>
    </w:r>
    <w:r w:rsidRPr="00121227">
      <w:rPr>
        <w:i/>
        <w:noProof/>
        <w:snapToGrid w:val="0"/>
        <w:sz w:val="18"/>
        <w:lang w:val="en-US"/>
      </w:rPr>
      <w:t>1</w:t>
    </w:r>
    <w:r>
      <w:rPr>
        <w:i/>
        <w:snapToGrid w:val="0"/>
        <w:sz w:val="18"/>
      </w:rPr>
      <w:fldChar w:fldCharType="end"/>
    </w:r>
    <w:r w:rsidRPr="00121227">
      <w:rPr>
        <w:i/>
        <w:snapToGrid w:val="0"/>
        <w:sz w:val="18"/>
        <w:lang w:val="en-US"/>
      </w:rPr>
      <w:t xml:space="preserve"> of </w:t>
    </w:r>
    <w:r>
      <w:rPr>
        <w:i/>
        <w:snapToGrid w:val="0"/>
        <w:sz w:val="18"/>
      </w:rPr>
      <w:fldChar w:fldCharType="begin"/>
    </w:r>
    <w:r w:rsidRPr="00121227">
      <w:rPr>
        <w:i/>
        <w:snapToGrid w:val="0"/>
        <w:sz w:val="18"/>
        <w:lang w:val="en-US"/>
      </w:rPr>
      <w:instrText xml:space="preserve"> NUMPAGES </w:instrText>
    </w:r>
    <w:r>
      <w:rPr>
        <w:i/>
        <w:snapToGrid w:val="0"/>
        <w:sz w:val="18"/>
      </w:rPr>
      <w:fldChar w:fldCharType="separate"/>
    </w:r>
    <w:r w:rsidRPr="00121227">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1BB" w:rsidRDefault="007C41BB">
      <w:r>
        <w:separator/>
      </w:r>
    </w:p>
  </w:footnote>
  <w:footnote w:type="continuationSeparator" w:id="0">
    <w:p w:rsidR="007C41BB" w:rsidRDefault="007C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BB" w:rsidRDefault="007C41B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BB" w:rsidRDefault="007C41BB">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BB" w:rsidRDefault="007C41B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4C27CC"/>
    <w:multiLevelType w:val="hybridMultilevel"/>
    <w:tmpl w:val="5D6A0A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201CE1"/>
    <w:multiLevelType w:val="hybridMultilevel"/>
    <w:tmpl w:val="167265C0"/>
    <w:lvl w:ilvl="0" w:tplc="04090001">
      <w:start w:val="1"/>
      <w:numFmt w:val="bullet"/>
      <w:lvlText w:val=""/>
      <w:lvlJc w:val="left"/>
      <w:pPr>
        <w:ind w:left="720" w:hanging="360"/>
      </w:pPr>
      <w:rPr>
        <w:rFonts w:ascii="Symbol" w:hAnsi="Symbol" w:hint="default"/>
      </w:rPr>
    </w:lvl>
    <w:lvl w:ilvl="1" w:tplc="0AACCEEE">
      <w:numFmt w:val="bullet"/>
      <w:lvlText w:val=""/>
      <w:lvlJc w:val="left"/>
      <w:pPr>
        <w:ind w:left="1440" w:hanging="360"/>
      </w:pPr>
      <w:rPr>
        <w:rFonts w:ascii="Wingdings" w:eastAsia="Times New Roman" w:hAnsi="Wingding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5D6D49"/>
    <w:multiLevelType w:val="hybridMultilevel"/>
    <w:tmpl w:val="7F9621E2"/>
    <w:lvl w:ilvl="0" w:tplc="5358B320">
      <w:start w:val="1"/>
      <w:numFmt w:val="bullet"/>
      <w:lvlText w:val=""/>
      <w:lvlJc w:val="left"/>
      <w:pPr>
        <w:ind w:left="502" w:hanging="360"/>
      </w:pPr>
      <w:rPr>
        <w:rFonts w:ascii="Symbol" w:hAnsi="Symbol" w:hint="default"/>
        <w:strike w:val="0"/>
        <w:dstrike w:val="0"/>
        <w:u w:val="none"/>
        <w:effect w:val="none"/>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7C7A3879"/>
    <w:multiLevelType w:val="hybridMultilevel"/>
    <w:tmpl w:val="6CBE51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C6"/>
    <w:rsid w:val="0001651D"/>
    <w:rsid w:val="00056601"/>
    <w:rsid w:val="000B650C"/>
    <w:rsid w:val="000C3846"/>
    <w:rsid w:val="000C6218"/>
    <w:rsid w:val="000D3C9D"/>
    <w:rsid w:val="000D7965"/>
    <w:rsid w:val="000F0D47"/>
    <w:rsid w:val="00113DAE"/>
    <w:rsid w:val="00121227"/>
    <w:rsid w:val="00123999"/>
    <w:rsid w:val="001242DE"/>
    <w:rsid w:val="00160019"/>
    <w:rsid w:val="00180A12"/>
    <w:rsid w:val="00193EA9"/>
    <w:rsid w:val="001C47FA"/>
    <w:rsid w:val="002104F4"/>
    <w:rsid w:val="00214331"/>
    <w:rsid w:val="00214CF4"/>
    <w:rsid w:val="00281F03"/>
    <w:rsid w:val="0028257D"/>
    <w:rsid w:val="0029458A"/>
    <w:rsid w:val="002A1587"/>
    <w:rsid w:val="002B27C5"/>
    <w:rsid w:val="00303008"/>
    <w:rsid w:val="00320DB5"/>
    <w:rsid w:val="00345B1B"/>
    <w:rsid w:val="00352B3E"/>
    <w:rsid w:val="00373B55"/>
    <w:rsid w:val="003747AF"/>
    <w:rsid w:val="003A11AA"/>
    <w:rsid w:val="003B4812"/>
    <w:rsid w:val="003D727E"/>
    <w:rsid w:val="003E0341"/>
    <w:rsid w:val="003E3402"/>
    <w:rsid w:val="003F4736"/>
    <w:rsid w:val="00401B49"/>
    <w:rsid w:val="004225D0"/>
    <w:rsid w:val="0042292D"/>
    <w:rsid w:val="00440254"/>
    <w:rsid w:val="004860D3"/>
    <w:rsid w:val="004A3BF4"/>
    <w:rsid w:val="004A5DB3"/>
    <w:rsid w:val="004D25EC"/>
    <w:rsid w:val="005152D9"/>
    <w:rsid w:val="00533AD4"/>
    <w:rsid w:val="00534849"/>
    <w:rsid w:val="00560102"/>
    <w:rsid w:val="00562EA1"/>
    <w:rsid w:val="005762FD"/>
    <w:rsid w:val="006148B0"/>
    <w:rsid w:val="00617BB8"/>
    <w:rsid w:val="00644FAF"/>
    <w:rsid w:val="00680052"/>
    <w:rsid w:val="00683267"/>
    <w:rsid w:val="006844E9"/>
    <w:rsid w:val="006B3847"/>
    <w:rsid w:val="007445C6"/>
    <w:rsid w:val="0075453D"/>
    <w:rsid w:val="007A011E"/>
    <w:rsid w:val="007C09A3"/>
    <w:rsid w:val="007C3623"/>
    <w:rsid w:val="007C41BB"/>
    <w:rsid w:val="007C5D2A"/>
    <w:rsid w:val="007F1E00"/>
    <w:rsid w:val="008400E3"/>
    <w:rsid w:val="00862D1E"/>
    <w:rsid w:val="00864538"/>
    <w:rsid w:val="00873B4F"/>
    <w:rsid w:val="008976FF"/>
    <w:rsid w:val="008E51AE"/>
    <w:rsid w:val="008F2F8C"/>
    <w:rsid w:val="00901726"/>
    <w:rsid w:val="00954B1F"/>
    <w:rsid w:val="00965E6E"/>
    <w:rsid w:val="009925C9"/>
    <w:rsid w:val="00A179D0"/>
    <w:rsid w:val="00A26BFB"/>
    <w:rsid w:val="00A358A3"/>
    <w:rsid w:val="00A44F74"/>
    <w:rsid w:val="00A46747"/>
    <w:rsid w:val="00A63628"/>
    <w:rsid w:val="00A80446"/>
    <w:rsid w:val="00A85D26"/>
    <w:rsid w:val="00A9153A"/>
    <w:rsid w:val="00AA3F74"/>
    <w:rsid w:val="00AB0CCC"/>
    <w:rsid w:val="00AC033C"/>
    <w:rsid w:val="00AD2E36"/>
    <w:rsid w:val="00B354BB"/>
    <w:rsid w:val="00B57B86"/>
    <w:rsid w:val="00BB0F31"/>
    <w:rsid w:val="00BB14C3"/>
    <w:rsid w:val="00BD3490"/>
    <w:rsid w:val="00C26226"/>
    <w:rsid w:val="00C3571D"/>
    <w:rsid w:val="00C54F0B"/>
    <w:rsid w:val="00C82621"/>
    <w:rsid w:val="00CB1423"/>
    <w:rsid w:val="00CD7760"/>
    <w:rsid w:val="00D02508"/>
    <w:rsid w:val="00D442F8"/>
    <w:rsid w:val="00D778CC"/>
    <w:rsid w:val="00D82FE9"/>
    <w:rsid w:val="00D97B77"/>
    <w:rsid w:val="00DB6A85"/>
    <w:rsid w:val="00DE3B28"/>
    <w:rsid w:val="00DE5006"/>
    <w:rsid w:val="00E06B32"/>
    <w:rsid w:val="00E1290F"/>
    <w:rsid w:val="00E155E0"/>
    <w:rsid w:val="00E2769A"/>
    <w:rsid w:val="00E36A80"/>
    <w:rsid w:val="00E74950"/>
    <w:rsid w:val="00E9429A"/>
    <w:rsid w:val="00EB21D7"/>
    <w:rsid w:val="00EC268B"/>
    <w:rsid w:val="00EE21F9"/>
    <w:rsid w:val="00EE3EB7"/>
    <w:rsid w:val="00F33AD7"/>
    <w:rsid w:val="00F57E16"/>
    <w:rsid w:val="00F60336"/>
    <w:rsid w:val="00F67B36"/>
    <w:rsid w:val="00F73D7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FC38D-4BBD-44BF-BE34-12EE4AB1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DE3B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7A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DE3B28"/>
    <w:pPr>
      <w:autoSpaceDE w:val="0"/>
      <w:autoSpaceDN w:val="0"/>
      <w:adjustRightInd w:val="0"/>
      <w:jc w:val="both"/>
    </w:pPr>
    <w:rPr>
      <w:iCs/>
      <w:sz w:val="24"/>
      <w:szCs w:val="24"/>
      <w:lang w:val="en-GB" w:eastAsia="el-GR"/>
    </w:rPr>
  </w:style>
  <w:style w:type="character" w:customStyle="1" w:styleId="BrdtekstTegn">
    <w:name w:val="Brødtekst Tegn"/>
    <w:basedOn w:val="Standardskrifttypeiafsnit"/>
    <w:link w:val="Brdtekst"/>
    <w:uiPriority w:val="99"/>
    <w:semiHidden/>
    <w:rsid w:val="00DE3B28"/>
    <w:rPr>
      <w:iCs/>
      <w:sz w:val="24"/>
      <w:szCs w:val="24"/>
      <w:lang w:val="en-GB" w:eastAsia="el-GR"/>
    </w:rPr>
  </w:style>
  <w:style w:type="paragraph" w:styleId="Brdtekst3">
    <w:name w:val="Body Text 3"/>
    <w:basedOn w:val="Normal"/>
    <w:link w:val="Brdtekst3Tegn"/>
    <w:uiPriority w:val="99"/>
    <w:semiHidden/>
    <w:unhideWhenUsed/>
    <w:rsid w:val="00DE3B28"/>
    <w:pPr>
      <w:suppressAutoHyphens/>
      <w:overflowPunct w:val="0"/>
      <w:autoSpaceDE w:val="0"/>
      <w:autoSpaceDN w:val="0"/>
      <w:adjustRightInd w:val="0"/>
      <w:jc w:val="both"/>
    </w:pPr>
    <w:rPr>
      <w:sz w:val="24"/>
      <w:lang w:val="en-GB" w:eastAsia="el-GR"/>
    </w:rPr>
  </w:style>
  <w:style w:type="character" w:customStyle="1" w:styleId="Brdtekst3Tegn">
    <w:name w:val="Brødtekst 3 Tegn"/>
    <w:basedOn w:val="Standardskrifttypeiafsnit"/>
    <w:link w:val="Brdtekst3"/>
    <w:uiPriority w:val="99"/>
    <w:semiHidden/>
    <w:rsid w:val="00DE3B28"/>
    <w:rPr>
      <w:sz w:val="24"/>
      <w:lang w:val="en-GB" w:eastAsia="el-GR"/>
    </w:rPr>
  </w:style>
  <w:style w:type="paragraph" w:customStyle="1" w:styleId="TitlePage">
    <w:name w:val="TitlePage"/>
    <w:basedOn w:val="Overskrift1"/>
    <w:next w:val="Normal"/>
    <w:rsid w:val="00DE3B28"/>
    <w:pPr>
      <w:keepLines w:val="0"/>
      <w:suppressAutoHyphens/>
      <w:overflowPunct w:val="0"/>
      <w:autoSpaceDE w:val="0"/>
      <w:autoSpaceDN w:val="0"/>
      <w:adjustRightInd w:val="0"/>
      <w:spacing w:before="0" w:after="240"/>
      <w:jc w:val="center"/>
    </w:pPr>
    <w:rPr>
      <w:rFonts w:ascii="Times New Roman" w:eastAsia="Times New Roman" w:hAnsi="Times New Roman" w:cs="Arial"/>
      <w:color w:val="auto"/>
      <w:sz w:val="24"/>
      <w:szCs w:val="24"/>
      <w:lang w:val="en-GB"/>
    </w:rPr>
  </w:style>
  <w:style w:type="paragraph" w:customStyle="1" w:styleId="TableParagraph">
    <w:name w:val="Table Paragraph"/>
    <w:basedOn w:val="Normal"/>
    <w:uiPriority w:val="1"/>
    <w:qFormat/>
    <w:rsid w:val="00DE3B28"/>
    <w:pPr>
      <w:widowControl w:val="0"/>
      <w:autoSpaceDE w:val="0"/>
      <w:autoSpaceDN w:val="0"/>
      <w:ind w:left="103"/>
    </w:pPr>
    <w:rPr>
      <w:sz w:val="22"/>
      <w:szCs w:val="22"/>
      <w:lang w:val="en-US" w:eastAsia="en-US"/>
    </w:rPr>
  </w:style>
  <w:style w:type="character" w:customStyle="1" w:styleId="Overskrift1Tegn">
    <w:name w:val="Overskrift 1 Tegn"/>
    <w:basedOn w:val="Standardskrifttypeiafsnit"/>
    <w:link w:val="Overskrift1"/>
    <w:uiPriority w:val="9"/>
    <w:rsid w:val="00DE3B28"/>
    <w:rPr>
      <w:rFonts w:asciiTheme="majorHAnsi" w:eastAsiaTheme="majorEastAsia" w:hAnsiTheme="majorHAnsi" w:cstheme="majorBidi"/>
      <w:color w:val="2E74B5" w:themeColor="accent1" w:themeShade="BF"/>
      <w:sz w:val="32"/>
      <w:szCs w:val="32"/>
    </w:rPr>
  </w:style>
  <w:style w:type="paragraph" w:styleId="Brdtekst2">
    <w:name w:val="Body Text 2"/>
    <w:basedOn w:val="Normal"/>
    <w:link w:val="Brdtekst2Tegn"/>
    <w:uiPriority w:val="99"/>
    <w:semiHidden/>
    <w:unhideWhenUsed/>
    <w:rsid w:val="006148B0"/>
    <w:pPr>
      <w:spacing w:after="120" w:line="480" w:lineRule="auto"/>
    </w:pPr>
  </w:style>
  <w:style w:type="character" w:customStyle="1" w:styleId="Brdtekst2Tegn">
    <w:name w:val="Brødtekst 2 Tegn"/>
    <w:basedOn w:val="Standardskrifttypeiafsnit"/>
    <w:link w:val="Brdtekst2"/>
    <w:uiPriority w:val="99"/>
    <w:semiHidden/>
    <w:rsid w:val="006148B0"/>
    <w:rPr>
      <w:sz w:val="23"/>
    </w:rPr>
  </w:style>
  <w:style w:type="paragraph" w:styleId="Listeafsnit">
    <w:name w:val="List Paragraph"/>
    <w:basedOn w:val="Normal"/>
    <w:uiPriority w:val="34"/>
    <w:qFormat/>
    <w:rsid w:val="00A26BFB"/>
    <w:pPr>
      <w:overflowPunct w:val="0"/>
      <w:autoSpaceDE w:val="0"/>
      <w:autoSpaceDN w:val="0"/>
      <w:adjustRightInd w:val="0"/>
      <w:ind w:left="720"/>
      <w:contextualSpacing/>
    </w:pPr>
    <w:rPr>
      <w:sz w:val="24"/>
      <w:lang w:val="en-GB"/>
    </w:rPr>
  </w:style>
  <w:style w:type="paragraph" w:customStyle="1" w:styleId="Default">
    <w:name w:val="Default"/>
    <w:rsid w:val="00113DAE"/>
    <w:pPr>
      <w:autoSpaceDE w:val="0"/>
      <w:autoSpaceDN w:val="0"/>
      <w:adjustRightInd w:val="0"/>
    </w:pPr>
    <w:rPr>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3460">
      <w:bodyDiv w:val="1"/>
      <w:marLeft w:val="0"/>
      <w:marRight w:val="0"/>
      <w:marTop w:val="0"/>
      <w:marBottom w:val="0"/>
      <w:divBdr>
        <w:top w:val="none" w:sz="0" w:space="0" w:color="auto"/>
        <w:left w:val="none" w:sz="0" w:space="0" w:color="auto"/>
        <w:bottom w:val="none" w:sz="0" w:space="0" w:color="auto"/>
        <w:right w:val="none" w:sz="0" w:space="0" w:color="auto"/>
      </w:divBdr>
    </w:div>
    <w:div w:id="101194775">
      <w:bodyDiv w:val="1"/>
      <w:marLeft w:val="0"/>
      <w:marRight w:val="0"/>
      <w:marTop w:val="0"/>
      <w:marBottom w:val="0"/>
      <w:divBdr>
        <w:top w:val="none" w:sz="0" w:space="0" w:color="auto"/>
        <w:left w:val="none" w:sz="0" w:space="0" w:color="auto"/>
        <w:bottom w:val="none" w:sz="0" w:space="0" w:color="auto"/>
        <w:right w:val="none" w:sz="0" w:space="0" w:color="auto"/>
      </w:divBdr>
    </w:div>
    <w:div w:id="138809159">
      <w:bodyDiv w:val="1"/>
      <w:marLeft w:val="0"/>
      <w:marRight w:val="0"/>
      <w:marTop w:val="0"/>
      <w:marBottom w:val="0"/>
      <w:divBdr>
        <w:top w:val="none" w:sz="0" w:space="0" w:color="auto"/>
        <w:left w:val="none" w:sz="0" w:space="0" w:color="auto"/>
        <w:bottom w:val="none" w:sz="0" w:space="0" w:color="auto"/>
        <w:right w:val="none" w:sz="0" w:space="0" w:color="auto"/>
      </w:divBdr>
    </w:div>
    <w:div w:id="142280980">
      <w:bodyDiv w:val="1"/>
      <w:marLeft w:val="0"/>
      <w:marRight w:val="0"/>
      <w:marTop w:val="0"/>
      <w:marBottom w:val="0"/>
      <w:divBdr>
        <w:top w:val="none" w:sz="0" w:space="0" w:color="auto"/>
        <w:left w:val="none" w:sz="0" w:space="0" w:color="auto"/>
        <w:bottom w:val="none" w:sz="0" w:space="0" w:color="auto"/>
        <w:right w:val="none" w:sz="0" w:space="0" w:color="auto"/>
      </w:divBdr>
    </w:div>
    <w:div w:id="161243623">
      <w:bodyDiv w:val="1"/>
      <w:marLeft w:val="0"/>
      <w:marRight w:val="0"/>
      <w:marTop w:val="0"/>
      <w:marBottom w:val="0"/>
      <w:divBdr>
        <w:top w:val="none" w:sz="0" w:space="0" w:color="auto"/>
        <w:left w:val="none" w:sz="0" w:space="0" w:color="auto"/>
        <w:bottom w:val="none" w:sz="0" w:space="0" w:color="auto"/>
        <w:right w:val="none" w:sz="0" w:space="0" w:color="auto"/>
      </w:divBdr>
    </w:div>
    <w:div w:id="228851805">
      <w:bodyDiv w:val="1"/>
      <w:marLeft w:val="0"/>
      <w:marRight w:val="0"/>
      <w:marTop w:val="0"/>
      <w:marBottom w:val="0"/>
      <w:divBdr>
        <w:top w:val="none" w:sz="0" w:space="0" w:color="auto"/>
        <w:left w:val="none" w:sz="0" w:space="0" w:color="auto"/>
        <w:bottom w:val="none" w:sz="0" w:space="0" w:color="auto"/>
        <w:right w:val="none" w:sz="0" w:space="0" w:color="auto"/>
      </w:divBdr>
    </w:div>
    <w:div w:id="265187765">
      <w:bodyDiv w:val="1"/>
      <w:marLeft w:val="0"/>
      <w:marRight w:val="0"/>
      <w:marTop w:val="0"/>
      <w:marBottom w:val="0"/>
      <w:divBdr>
        <w:top w:val="none" w:sz="0" w:space="0" w:color="auto"/>
        <w:left w:val="none" w:sz="0" w:space="0" w:color="auto"/>
        <w:bottom w:val="none" w:sz="0" w:space="0" w:color="auto"/>
        <w:right w:val="none" w:sz="0" w:space="0" w:color="auto"/>
      </w:divBdr>
    </w:div>
    <w:div w:id="279412333">
      <w:bodyDiv w:val="1"/>
      <w:marLeft w:val="0"/>
      <w:marRight w:val="0"/>
      <w:marTop w:val="0"/>
      <w:marBottom w:val="0"/>
      <w:divBdr>
        <w:top w:val="none" w:sz="0" w:space="0" w:color="auto"/>
        <w:left w:val="none" w:sz="0" w:space="0" w:color="auto"/>
        <w:bottom w:val="none" w:sz="0" w:space="0" w:color="auto"/>
        <w:right w:val="none" w:sz="0" w:space="0" w:color="auto"/>
      </w:divBdr>
    </w:div>
    <w:div w:id="318313672">
      <w:bodyDiv w:val="1"/>
      <w:marLeft w:val="0"/>
      <w:marRight w:val="0"/>
      <w:marTop w:val="0"/>
      <w:marBottom w:val="0"/>
      <w:divBdr>
        <w:top w:val="none" w:sz="0" w:space="0" w:color="auto"/>
        <w:left w:val="none" w:sz="0" w:space="0" w:color="auto"/>
        <w:bottom w:val="none" w:sz="0" w:space="0" w:color="auto"/>
        <w:right w:val="none" w:sz="0" w:space="0" w:color="auto"/>
      </w:divBdr>
    </w:div>
    <w:div w:id="319041963">
      <w:bodyDiv w:val="1"/>
      <w:marLeft w:val="0"/>
      <w:marRight w:val="0"/>
      <w:marTop w:val="0"/>
      <w:marBottom w:val="0"/>
      <w:divBdr>
        <w:top w:val="none" w:sz="0" w:space="0" w:color="auto"/>
        <w:left w:val="none" w:sz="0" w:space="0" w:color="auto"/>
        <w:bottom w:val="none" w:sz="0" w:space="0" w:color="auto"/>
        <w:right w:val="none" w:sz="0" w:space="0" w:color="auto"/>
      </w:divBdr>
    </w:div>
    <w:div w:id="378356629">
      <w:bodyDiv w:val="1"/>
      <w:marLeft w:val="0"/>
      <w:marRight w:val="0"/>
      <w:marTop w:val="0"/>
      <w:marBottom w:val="0"/>
      <w:divBdr>
        <w:top w:val="none" w:sz="0" w:space="0" w:color="auto"/>
        <w:left w:val="none" w:sz="0" w:space="0" w:color="auto"/>
        <w:bottom w:val="none" w:sz="0" w:space="0" w:color="auto"/>
        <w:right w:val="none" w:sz="0" w:space="0" w:color="auto"/>
      </w:divBdr>
    </w:div>
    <w:div w:id="383145951">
      <w:bodyDiv w:val="1"/>
      <w:marLeft w:val="0"/>
      <w:marRight w:val="0"/>
      <w:marTop w:val="0"/>
      <w:marBottom w:val="0"/>
      <w:divBdr>
        <w:top w:val="none" w:sz="0" w:space="0" w:color="auto"/>
        <w:left w:val="none" w:sz="0" w:space="0" w:color="auto"/>
        <w:bottom w:val="none" w:sz="0" w:space="0" w:color="auto"/>
        <w:right w:val="none" w:sz="0" w:space="0" w:color="auto"/>
      </w:divBdr>
    </w:div>
    <w:div w:id="396053826">
      <w:bodyDiv w:val="1"/>
      <w:marLeft w:val="0"/>
      <w:marRight w:val="0"/>
      <w:marTop w:val="0"/>
      <w:marBottom w:val="0"/>
      <w:divBdr>
        <w:top w:val="none" w:sz="0" w:space="0" w:color="auto"/>
        <w:left w:val="none" w:sz="0" w:space="0" w:color="auto"/>
        <w:bottom w:val="none" w:sz="0" w:space="0" w:color="auto"/>
        <w:right w:val="none" w:sz="0" w:space="0" w:color="auto"/>
      </w:divBdr>
    </w:div>
    <w:div w:id="405227552">
      <w:bodyDiv w:val="1"/>
      <w:marLeft w:val="0"/>
      <w:marRight w:val="0"/>
      <w:marTop w:val="0"/>
      <w:marBottom w:val="0"/>
      <w:divBdr>
        <w:top w:val="none" w:sz="0" w:space="0" w:color="auto"/>
        <w:left w:val="none" w:sz="0" w:space="0" w:color="auto"/>
        <w:bottom w:val="none" w:sz="0" w:space="0" w:color="auto"/>
        <w:right w:val="none" w:sz="0" w:space="0" w:color="auto"/>
      </w:divBdr>
    </w:div>
    <w:div w:id="429398117">
      <w:bodyDiv w:val="1"/>
      <w:marLeft w:val="0"/>
      <w:marRight w:val="0"/>
      <w:marTop w:val="0"/>
      <w:marBottom w:val="0"/>
      <w:divBdr>
        <w:top w:val="none" w:sz="0" w:space="0" w:color="auto"/>
        <w:left w:val="none" w:sz="0" w:space="0" w:color="auto"/>
        <w:bottom w:val="none" w:sz="0" w:space="0" w:color="auto"/>
        <w:right w:val="none" w:sz="0" w:space="0" w:color="auto"/>
      </w:divBdr>
    </w:div>
    <w:div w:id="440271295">
      <w:bodyDiv w:val="1"/>
      <w:marLeft w:val="0"/>
      <w:marRight w:val="0"/>
      <w:marTop w:val="0"/>
      <w:marBottom w:val="0"/>
      <w:divBdr>
        <w:top w:val="none" w:sz="0" w:space="0" w:color="auto"/>
        <w:left w:val="none" w:sz="0" w:space="0" w:color="auto"/>
        <w:bottom w:val="none" w:sz="0" w:space="0" w:color="auto"/>
        <w:right w:val="none" w:sz="0" w:space="0" w:color="auto"/>
      </w:divBdr>
    </w:div>
    <w:div w:id="528417382">
      <w:bodyDiv w:val="1"/>
      <w:marLeft w:val="0"/>
      <w:marRight w:val="0"/>
      <w:marTop w:val="0"/>
      <w:marBottom w:val="0"/>
      <w:divBdr>
        <w:top w:val="none" w:sz="0" w:space="0" w:color="auto"/>
        <w:left w:val="none" w:sz="0" w:space="0" w:color="auto"/>
        <w:bottom w:val="none" w:sz="0" w:space="0" w:color="auto"/>
        <w:right w:val="none" w:sz="0" w:space="0" w:color="auto"/>
      </w:divBdr>
    </w:div>
    <w:div w:id="535460802">
      <w:bodyDiv w:val="1"/>
      <w:marLeft w:val="0"/>
      <w:marRight w:val="0"/>
      <w:marTop w:val="0"/>
      <w:marBottom w:val="0"/>
      <w:divBdr>
        <w:top w:val="none" w:sz="0" w:space="0" w:color="auto"/>
        <w:left w:val="none" w:sz="0" w:space="0" w:color="auto"/>
        <w:bottom w:val="none" w:sz="0" w:space="0" w:color="auto"/>
        <w:right w:val="none" w:sz="0" w:space="0" w:color="auto"/>
      </w:divBdr>
    </w:div>
    <w:div w:id="581836047">
      <w:bodyDiv w:val="1"/>
      <w:marLeft w:val="0"/>
      <w:marRight w:val="0"/>
      <w:marTop w:val="0"/>
      <w:marBottom w:val="0"/>
      <w:divBdr>
        <w:top w:val="none" w:sz="0" w:space="0" w:color="auto"/>
        <w:left w:val="none" w:sz="0" w:space="0" w:color="auto"/>
        <w:bottom w:val="none" w:sz="0" w:space="0" w:color="auto"/>
        <w:right w:val="none" w:sz="0" w:space="0" w:color="auto"/>
      </w:divBdr>
    </w:div>
    <w:div w:id="608396450">
      <w:bodyDiv w:val="1"/>
      <w:marLeft w:val="0"/>
      <w:marRight w:val="0"/>
      <w:marTop w:val="0"/>
      <w:marBottom w:val="0"/>
      <w:divBdr>
        <w:top w:val="none" w:sz="0" w:space="0" w:color="auto"/>
        <w:left w:val="none" w:sz="0" w:space="0" w:color="auto"/>
        <w:bottom w:val="none" w:sz="0" w:space="0" w:color="auto"/>
        <w:right w:val="none" w:sz="0" w:space="0" w:color="auto"/>
      </w:divBdr>
    </w:div>
    <w:div w:id="621763049">
      <w:bodyDiv w:val="1"/>
      <w:marLeft w:val="0"/>
      <w:marRight w:val="0"/>
      <w:marTop w:val="0"/>
      <w:marBottom w:val="0"/>
      <w:divBdr>
        <w:top w:val="none" w:sz="0" w:space="0" w:color="auto"/>
        <w:left w:val="none" w:sz="0" w:space="0" w:color="auto"/>
        <w:bottom w:val="none" w:sz="0" w:space="0" w:color="auto"/>
        <w:right w:val="none" w:sz="0" w:space="0" w:color="auto"/>
      </w:divBdr>
    </w:div>
    <w:div w:id="669987468">
      <w:bodyDiv w:val="1"/>
      <w:marLeft w:val="0"/>
      <w:marRight w:val="0"/>
      <w:marTop w:val="0"/>
      <w:marBottom w:val="0"/>
      <w:divBdr>
        <w:top w:val="none" w:sz="0" w:space="0" w:color="auto"/>
        <w:left w:val="none" w:sz="0" w:space="0" w:color="auto"/>
        <w:bottom w:val="none" w:sz="0" w:space="0" w:color="auto"/>
        <w:right w:val="none" w:sz="0" w:space="0" w:color="auto"/>
      </w:divBdr>
    </w:div>
    <w:div w:id="766541548">
      <w:bodyDiv w:val="1"/>
      <w:marLeft w:val="0"/>
      <w:marRight w:val="0"/>
      <w:marTop w:val="0"/>
      <w:marBottom w:val="0"/>
      <w:divBdr>
        <w:top w:val="none" w:sz="0" w:space="0" w:color="auto"/>
        <w:left w:val="none" w:sz="0" w:space="0" w:color="auto"/>
        <w:bottom w:val="none" w:sz="0" w:space="0" w:color="auto"/>
        <w:right w:val="none" w:sz="0" w:space="0" w:color="auto"/>
      </w:divBdr>
    </w:div>
    <w:div w:id="803353199">
      <w:bodyDiv w:val="1"/>
      <w:marLeft w:val="0"/>
      <w:marRight w:val="0"/>
      <w:marTop w:val="0"/>
      <w:marBottom w:val="0"/>
      <w:divBdr>
        <w:top w:val="none" w:sz="0" w:space="0" w:color="auto"/>
        <w:left w:val="none" w:sz="0" w:space="0" w:color="auto"/>
        <w:bottom w:val="none" w:sz="0" w:space="0" w:color="auto"/>
        <w:right w:val="none" w:sz="0" w:space="0" w:color="auto"/>
      </w:divBdr>
    </w:div>
    <w:div w:id="847672179">
      <w:bodyDiv w:val="1"/>
      <w:marLeft w:val="0"/>
      <w:marRight w:val="0"/>
      <w:marTop w:val="0"/>
      <w:marBottom w:val="0"/>
      <w:divBdr>
        <w:top w:val="none" w:sz="0" w:space="0" w:color="auto"/>
        <w:left w:val="none" w:sz="0" w:space="0" w:color="auto"/>
        <w:bottom w:val="none" w:sz="0" w:space="0" w:color="auto"/>
        <w:right w:val="none" w:sz="0" w:space="0" w:color="auto"/>
      </w:divBdr>
    </w:div>
    <w:div w:id="859274405">
      <w:bodyDiv w:val="1"/>
      <w:marLeft w:val="0"/>
      <w:marRight w:val="0"/>
      <w:marTop w:val="0"/>
      <w:marBottom w:val="0"/>
      <w:divBdr>
        <w:top w:val="none" w:sz="0" w:space="0" w:color="auto"/>
        <w:left w:val="none" w:sz="0" w:space="0" w:color="auto"/>
        <w:bottom w:val="none" w:sz="0" w:space="0" w:color="auto"/>
        <w:right w:val="none" w:sz="0" w:space="0" w:color="auto"/>
      </w:divBdr>
    </w:div>
    <w:div w:id="861406676">
      <w:bodyDiv w:val="1"/>
      <w:marLeft w:val="0"/>
      <w:marRight w:val="0"/>
      <w:marTop w:val="0"/>
      <w:marBottom w:val="0"/>
      <w:divBdr>
        <w:top w:val="none" w:sz="0" w:space="0" w:color="auto"/>
        <w:left w:val="none" w:sz="0" w:space="0" w:color="auto"/>
        <w:bottom w:val="none" w:sz="0" w:space="0" w:color="auto"/>
        <w:right w:val="none" w:sz="0" w:space="0" w:color="auto"/>
      </w:divBdr>
    </w:div>
    <w:div w:id="907419323">
      <w:bodyDiv w:val="1"/>
      <w:marLeft w:val="0"/>
      <w:marRight w:val="0"/>
      <w:marTop w:val="0"/>
      <w:marBottom w:val="0"/>
      <w:divBdr>
        <w:top w:val="none" w:sz="0" w:space="0" w:color="auto"/>
        <w:left w:val="none" w:sz="0" w:space="0" w:color="auto"/>
        <w:bottom w:val="none" w:sz="0" w:space="0" w:color="auto"/>
        <w:right w:val="none" w:sz="0" w:space="0" w:color="auto"/>
      </w:divBdr>
    </w:div>
    <w:div w:id="913248456">
      <w:bodyDiv w:val="1"/>
      <w:marLeft w:val="0"/>
      <w:marRight w:val="0"/>
      <w:marTop w:val="0"/>
      <w:marBottom w:val="0"/>
      <w:divBdr>
        <w:top w:val="none" w:sz="0" w:space="0" w:color="auto"/>
        <w:left w:val="none" w:sz="0" w:space="0" w:color="auto"/>
        <w:bottom w:val="none" w:sz="0" w:space="0" w:color="auto"/>
        <w:right w:val="none" w:sz="0" w:space="0" w:color="auto"/>
      </w:divBdr>
    </w:div>
    <w:div w:id="915744817">
      <w:bodyDiv w:val="1"/>
      <w:marLeft w:val="0"/>
      <w:marRight w:val="0"/>
      <w:marTop w:val="0"/>
      <w:marBottom w:val="0"/>
      <w:divBdr>
        <w:top w:val="none" w:sz="0" w:space="0" w:color="auto"/>
        <w:left w:val="none" w:sz="0" w:space="0" w:color="auto"/>
        <w:bottom w:val="none" w:sz="0" w:space="0" w:color="auto"/>
        <w:right w:val="none" w:sz="0" w:space="0" w:color="auto"/>
      </w:divBdr>
    </w:div>
    <w:div w:id="929922601">
      <w:bodyDiv w:val="1"/>
      <w:marLeft w:val="0"/>
      <w:marRight w:val="0"/>
      <w:marTop w:val="0"/>
      <w:marBottom w:val="0"/>
      <w:divBdr>
        <w:top w:val="none" w:sz="0" w:space="0" w:color="auto"/>
        <w:left w:val="none" w:sz="0" w:space="0" w:color="auto"/>
        <w:bottom w:val="none" w:sz="0" w:space="0" w:color="auto"/>
        <w:right w:val="none" w:sz="0" w:space="0" w:color="auto"/>
      </w:divBdr>
    </w:div>
    <w:div w:id="939294042">
      <w:bodyDiv w:val="1"/>
      <w:marLeft w:val="0"/>
      <w:marRight w:val="0"/>
      <w:marTop w:val="0"/>
      <w:marBottom w:val="0"/>
      <w:divBdr>
        <w:top w:val="none" w:sz="0" w:space="0" w:color="auto"/>
        <w:left w:val="none" w:sz="0" w:space="0" w:color="auto"/>
        <w:bottom w:val="none" w:sz="0" w:space="0" w:color="auto"/>
        <w:right w:val="none" w:sz="0" w:space="0" w:color="auto"/>
      </w:divBdr>
    </w:div>
    <w:div w:id="965544911">
      <w:bodyDiv w:val="1"/>
      <w:marLeft w:val="0"/>
      <w:marRight w:val="0"/>
      <w:marTop w:val="0"/>
      <w:marBottom w:val="0"/>
      <w:divBdr>
        <w:top w:val="none" w:sz="0" w:space="0" w:color="auto"/>
        <w:left w:val="none" w:sz="0" w:space="0" w:color="auto"/>
        <w:bottom w:val="none" w:sz="0" w:space="0" w:color="auto"/>
        <w:right w:val="none" w:sz="0" w:space="0" w:color="auto"/>
      </w:divBdr>
    </w:div>
    <w:div w:id="972097977">
      <w:bodyDiv w:val="1"/>
      <w:marLeft w:val="0"/>
      <w:marRight w:val="0"/>
      <w:marTop w:val="0"/>
      <w:marBottom w:val="0"/>
      <w:divBdr>
        <w:top w:val="none" w:sz="0" w:space="0" w:color="auto"/>
        <w:left w:val="none" w:sz="0" w:space="0" w:color="auto"/>
        <w:bottom w:val="none" w:sz="0" w:space="0" w:color="auto"/>
        <w:right w:val="none" w:sz="0" w:space="0" w:color="auto"/>
      </w:divBdr>
    </w:div>
    <w:div w:id="1042756138">
      <w:bodyDiv w:val="1"/>
      <w:marLeft w:val="0"/>
      <w:marRight w:val="0"/>
      <w:marTop w:val="0"/>
      <w:marBottom w:val="0"/>
      <w:divBdr>
        <w:top w:val="none" w:sz="0" w:space="0" w:color="auto"/>
        <w:left w:val="none" w:sz="0" w:space="0" w:color="auto"/>
        <w:bottom w:val="none" w:sz="0" w:space="0" w:color="auto"/>
        <w:right w:val="none" w:sz="0" w:space="0" w:color="auto"/>
      </w:divBdr>
    </w:div>
    <w:div w:id="1088035876">
      <w:bodyDiv w:val="1"/>
      <w:marLeft w:val="0"/>
      <w:marRight w:val="0"/>
      <w:marTop w:val="0"/>
      <w:marBottom w:val="0"/>
      <w:divBdr>
        <w:top w:val="none" w:sz="0" w:space="0" w:color="auto"/>
        <w:left w:val="none" w:sz="0" w:space="0" w:color="auto"/>
        <w:bottom w:val="none" w:sz="0" w:space="0" w:color="auto"/>
        <w:right w:val="none" w:sz="0" w:space="0" w:color="auto"/>
      </w:divBdr>
    </w:div>
    <w:div w:id="1108697113">
      <w:bodyDiv w:val="1"/>
      <w:marLeft w:val="0"/>
      <w:marRight w:val="0"/>
      <w:marTop w:val="0"/>
      <w:marBottom w:val="0"/>
      <w:divBdr>
        <w:top w:val="none" w:sz="0" w:space="0" w:color="auto"/>
        <w:left w:val="none" w:sz="0" w:space="0" w:color="auto"/>
        <w:bottom w:val="none" w:sz="0" w:space="0" w:color="auto"/>
        <w:right w:val="none" w:sz="0" w:space="0" w:color="auto"/>
      </w:divBdr>
    </w:div>
    <w:div w:id="1126580165">
      <w:bodyDiv w:val="1"/>
      <w:marLeft w:val="0"/>
      <w:marRight w:val="0"/>
      <w:marTop w:val="0"/>
      <w:marBottom w:val="0"/>
      <w:divBdr>
        <w:top w:val="none" w:sz="0" w:space="0" w:color="auto"/>
        <w:left w:val="none" w:sz="0" w:space="0" w:color="auto"/>
        <w:bottom w:val="none" w:sz="0" w:space="0" w:color="auto"/>
        <w:right w:val="none" w:sz="0" w:space="0" w:color="auto"/>
      </w:divBdr>
    </w:div>
    <w:div w:id="1167986367">
      <w:bodyDiv w:val="1"/>
      <w:marLeft w:val="0"/>
      <w:marRight w:val="0"/>
      <w:marTop w:val="0"/>
      <w:marBottom w:val="0"/>
      <w:divBdr>
        <w:top w:val="none" w:sz="0" w:space="0" w:color="auto"/>
        <w:left w:val="none" w:sz="0" w:space="0" w:color="auto"/>
        <w:bottom w:val="none" w:sz="0" w:space="0" w:color="auto"/>
        <w:right w:val="none" w:sz="0" w:space="0" w:color="auto"/>
      </w:divBdr>
    </w:div>
    <w:div w:id="1181700699">
      <w:bodyDiv w:val="1"/>
      <w:marLeft w:val="0"/>
      <w:marRight w:val="0"/>
      <w:marTop w:val="0"/>
      <w:marBottom w:val="0"/>
      <w:divBdr>
        <w:top w:val="none" w:sz="0" w:space="0" w:color="auto"/>
        <w:left w:val="none" w:sz="0" w:space="0" w:color="auto"/>
        <w:bottom w:val="none" w:sz="0" w:space="0" w:color="auto"/>
        <w:right w:val="none" w:sz="0" w:space="0" w:color="auto"/>
      </w:divBdr>
    </w:div>
    <w:div w:id="1214150986">
      <w:bodyDiv w:val="1"/>
      <w:marLeft w:val="0"/>
      <w:marRight w:val="0"/>
      <w:marTop w:val="0"/>
      <w:marBottom w:val="0"/>
      <w:divBdr>
        <w:top w:val="none" w:sz="0" w:space="0" w:color="auto"/>
        <w:left w:val="none" w:sz="0" w:space="0" w:color="auto"/>
        <w:bottom w:val="none" w:sz="0" w:space="0" w:color="auto"/>
        <w:right w:val="none" w:sz="0" w:space="0" w:color="auto"/>
      </w:divBdr>
    </w:div>
    <w:div w:id="1232470074">
      <w:bodyDiv w:val="1"/>
      <w:marLeft w:val="0"/>
      <w:marRight w:val="0"/>
      <w:marTop w:val="0"/>
      <w:marBottom w:val="0"/>
      <w:divBdr>
        <w:top w:val="none" w:sz="0" w:space="0" w:color="auto"/>
        <w:left w:val="none" w:sz="0" w:space="0" w:color="auto"/>
        <w:bottom w:val="none" w:sz="0" w:space="0" w:color="auto"/>
        <w:right w:val="none" w:sz="0" w:space="0" w:color="auto"/>
      </w:divBdr>
    </w:div>
    <w:div w:id="1277981828">
      <w:bodyDiv w:val="1"/>
      <w:marLeft w:val="0"/>
      <w:marRight w:val="0"/>
      <w:marTop w:val="0"/>
      <w:marBottom w:val="0"/>
      <w:divBdr>
        <w:top w:val="none" w:sz="0" w:space="0" w:color="auto"/>
        <w:left w:val="none" w:sz="0" w:space="0" w:color="auto"/>
        <w:bottom w:val="none" w:sz="0" w:space="0" w:color="auto"/>
        <w:right w:val="none" w:sz="0" w:space="0" w:color="auto"/>
      </w:divBdr>
    </w:div>
    <w:div w:id="1377119429">
      <w:bodyDiv w:val="1"/>
      <w:marLeft w:val="0"/>
      <w:marRight w:val="0"/>
      <w:marTop w:val="0"/>
      <w:marBottom w:val="0"/>
      <w:divBdr>
        <w:top w:val="none" w:sz="0" w:space="0" w:color="auto"/>
        <w:left w:val="none" w:sz="0" w:space="0" w:color="auto"/>
        <w:bottom w:val="none" w:sz="0" w:space="0" w:color="auto"/>
        <w:right w:val="none" w:sz="0" w:space="0" w:color="auto"/>
      </w:divBdr>
    </w:div>
    <w:div w:id="1378625791">
      <w:bodyDiv w:val="1"/>
      <w:marLeft w:val="0"/>
      <w:marRight w:val="0"/>
      <w:marTop w:val="0"/>
      <w:marBottom w:val="0"/>
      <w:divBdr>
        <w:top w:val="none" w:sz="0" w:space="0" w:color="auto"/>
        <w:left w:val="none" w:sz="0" w:space="0" w:color="auto"/>
        <w:bottom w:val="none" w:sz="0" w:space="0" w:color="auto"/>
        <w:right w:val="none" w:sz="0" w:space="0" w:color="auto"/>
      </w:divBdr>
    </w:div>
    <w:div w:id="1386443086">
      <w:bodyDiv w:val="1"/>
      <w:marLeft w:val="0"/>
      <w:marRight w:val="0"/>
      <w:marTop w:val="0"/>
      <w:marBottom w:val="0"/>
      <w:divBdr>
        <w:top w:val="none" w:sz="0" w:space="0" w:color="auto"/>
        <w:left w:val="none" w:sz="0" w:space="0" w:color="auto"/>
        <w:bottom w:val="none" w:sz="0" w:space="0" w:color="auto"/>
        <w:right w:val="none" w:sz="0" w:space="0" w:color="auto"/>
      </w:divBdr>
    </w:div>
    <w:div w:id="1435712940">
      <w:bodyDiv w:val="1"/>
      <w:marLeft w:val="0"/>
      <w:marRight w:val="0"/>
      <w:marTop w:val="0"/>
      <w:marBottom w:val="0"/>
      <w:divBdr>
        <w:top w:val="none" w:sz="0" w:space="0" w:color="auto"/>
        <w:left w:val="none" w:sz="0" w:space="0" w:color="auto"/>
        <w:bottom w:val="none" w:sz="0" w:space="0" w:color="auto"/>
        <w:right w:val="none" w:sz="0" w:space="0" w:color="auto"/>
      </w:divBdr>
    </w:div>
    <w:div w:id="1520579233">
      <w:bodyDiv w:val="1"/>
      <w:marLeft w:val="0"/>
      <w:marRight w:val="0"/>
      <w:marTop w:val="0"/>
      <w:marBottom w:val="0"/>
      <w:divBdr>
        <w:top w:val="none" w:sz="0" w:space="0" w:color="auto"/>
        <w:left w:val="none" w:sz="0" w:space="0" w:color="auto"/>
        <w:bottom w:val="none" w:sz="0" w:space="0" w:color="auto"/>
        <w:right w:val="none" w:sz="0" w:space="0" w:color="auto"/>
      </w:divBdr>
    </w:div>
    <w:div w:id="1523587954">
      <w:bodyDiv w:val="1"/>
      <w:marLeft w:val="0"/>
      <w:marRight w:val="0"/>
      <w:marTop w:val="0"/>
      <w:marBottom w:val="0"/>
      <w:divBdr>
        <w:top w:val="none" w:sz="0" w:space="0" w:color="auto"/>
        <w:left w:val="none" w:sz="0" w:space="0" w:color="auto"/>
        <w:bottom w:val="none" w:sz="0" w:space="0" w:color="auto"/>
        <w:right w:val="none" w:sz="0" w:space="0" w:color="auto"/>
      </w:divBdr>
    </w:div>
    <w:div w:id="1543207878">
      <w:bodyDiv w:val="1"/>
      <w:marLeft w:val="0"/>
      <w:marRight w:val="0"/>
      <w:marTop w:val="0"/>
      <w:marBottom w:val="0"/>
      <w:divBdr>
        <w:top w:val="none" w:sz="0" w:space="0" w:color="auto"/>
        <w:left w:val="none" w:sz="0" w:space="0" w:color="auto"/>
        <w:bottom w:val="none" w:sz="0" w:space="0" w:color="auto"/>
        <w:right w:val="none" w:sz="0" w:space="0" w:color="auto"/>
      </w:divBdr>
    </w:div>
    <w:div w:id="1582444322">
      <w:bodyDiv w:val="1"/>
      <w:marLeft w:val="0"/>
      <w:marRight w:val="0"/>
      <w:marTop w:val="0"/>
      <w:marBottom w:val="0"/>
      <w:divBdr>
        <w:top w:val="none" w:sz="0" w:space="0" w:color="auto"/>
        <w:left w:val="none" w:sz="0" w:space="0" w:color="auto"/>
        <w:bottom w:val="none" w:sz="0" w:space="0" w:color="auto"/>
        <w:right w:val="none" w:sz="0" w:space="0" w:color="auto"/>
      </w:divBdr>
    </w:div>
    <w:div w:id="1661540262">
      <w:bodyDiv w:val="1"/>
      <w:marLeft w:val="0"/>
      <w:marRight w:val="0"/>
      <w:marTop w:val="0"/>
      <w:marBottom w:val="0"/>
      <w:divBdr>
        <w:top w:val="none" w:sz="0" w:space="0" w:color="auto"/>
        <w:left w:val="none" w:sz="0" w:space="0" w:color="auto"/>
        <w:bottom w:val="none" w:sz="0" w:space="0" w:color="auto"/>
        <w:right w:val="none" w:sz="0" w:space="0" w:color="auto"/>
      </w:divBdr>
    </w:div>
    <w:div w:id="1667245766">
      <w:bodyDiv w:val="1"/>
      <w:marLeft w:val="0"/>
      <w:marRight w:val="0"/>
      <w:marTop w:val="0"/>
      <w:marBottom w:val="0"/>
      <w:divBdr>
        <w:top w:val="none" w:sz="0" w:space="0" w:color="auto"/>
        <w:left w:val="none" w:sz="0" w:space="0" w:color="auto"/>
        <w:bottom w:val="none" w:sz="0" w:space="0" w:color="auto"/>
        <w:right w:val="none" w:sz="0" w:space="0" w:color="auto"/>
      </w:divBdr>
    </w:div>
    <w:div w:id="1701976300">
      <w:bodyDiv w:val="1"/>
      <w:marLeft w:val="0"/>
      <w:marRight w:val="0"/>
      <w:marTop w:val="0"/>
      <w:marBottom w:val="0"/>
      <w:divBdr>
        <w:top w:val="none" w:sz="0" w:space="0" w:color="auto"/>
        <w:left w:val="none" w:sz="0" w:space="0" w:color="auto"/>
        <w:bottom w:val="none" w:sz="0" w:space="0" w:color="auto"/>
        <w:right w:val="none" w:sz="0" w:space="0" w:color="auto"/>
      </w:divBdr>
    </w:div>
    <w:div w:id="1702436602">
      <w:bodyDiv w:val="1"/>
      <w:marLeft w:val="0"/>
      <w:marRight w:val="0"/>
      <w:marTop w:val="0"/>
      <w:marBottom w:val="0"/>
      <w:divBdr>
        <w:top w:val="none" w:sz="0" w:space="0" w:color="auto"/>
        <w:left w:val="none" w:sz="0" w:space="0" w:color="auto"/>
        <w:bottom w:val="none" w:sz="0" w:space="0" w:color="auto"/>
        <w:right w:val="none" w:sz="0" w:space="0" w:color="auto"/>
      </w:divBdr>
    </w:div>
    <w:div w:id="1810972055">
      <w:bodyDiv w:val="1"/>
      <w:marLeft w:val="0"/>
      <w:marRight w:val="0"/>
      <w:marTop w:val="0"/>
      <w:marBottom w:val="0"/>
      <w:divBdr>
        <w:top w:val="none" w:sz="0" w:space="0" w:color="auto"/>
        <w:left w:val="none" w:sz="0" w:space="0" w:color="auto"/>
        <w:bottom w:val="none" w:sz="0" w:space="0" w:color="auto"/>
        <w:right w:val="none" w:sz="0" w:space="0" w:color="auto"/>
      </w:divBdr>
    </w:div>
    <w:div w:id="1830486734">
      <w:bodyDiv w:val="1"/>
      <w:marLeft w:val="0"/>
      <w:marRight w:val="0"/>
      <w:marTop w:val="0"/>
      <w:marBottom w:val="0"/>
      <w:divBdr>
        <w:top w:val="none" w:sz="0" w:space="0" w:color="auto"/>
        <w:left w:val="none" w:sz="0" w:space="0" w:color="auto"/>
        <w:bottom w:val="none" w:sz="0" w:space="0" w:color="auto"/>
        <w:right w:val="none" w:sz="0" w:space="0" w:color="auto"/>
      </w:divBdr>
    </w:div>
    <w:div w:id="1875728226">
      <w:bodyDiv w:val="1"/>
      <w:marLeft w:val="0"/>
      <w:marRight w:val="0"/>
      <w:marTop w:val="0"/>
      <w:marBottom w:val="0"/>
      <w:divBdr>
        <w:top w:val="none" w:sz="0" w:space="0" w:color="auto"/>
        <w:left w:val="none" w:sz="0" w:space="0" w:color="auto"/>
        <w:bottom w:val="none" w:sz="0" w:space="0" w:color="auto"/>
        <w:right w:val="none" w:sz="0" w:space="0" w:color="auto"/>
      </w:divBdr>
    </w:div>
    <w:div w:id="1876186653">
      <w:bodyDiv w:val="1"/>
      <w:marLeft w:val="0"/>
      <w:marRight w:val="0"/>
      <w:marTop w:val="0"/>
      <w:marBottom w:val="0"/>
      <w:divBdr>
        <w:top w:val="none" w:sz="0" w:space="0" w:color="auto"/>
        <w:left w:val="none" w:sz="0" w:space="0" w:color="auto"/>
        <w:bottom w:val="none" w:sz="0" w:space="0" w:color="auto"/>
        <w:right w:val="none" w:sz="0" w:space="0" w:color="auto"/>
      </w:divBdr>
    </w:div>
    <w:div w:id="1930649637">
      <w:bodyDiv w:val="1"/>
      <w:marLeft w:val="0"/>
      <w:marRight w:val="0"/>
      <w:marTop w:val="0"/>
      <w:marBottom w:val="0"/>
      <w:divBdr>
        <w:top w:val="none" w:sz="0" w:space="0" w:color="auto"/>
        <w:left w:val="none" w:sz="0" w:space="0" w:color="auto"/>
        <w:bottom w:val="none" w:sz="0" w:space="0" w:color="auto"/>
        <w:right w:val="none" w:sz="0" w:space="0" w:color="auto"/>
      </w:divBdr>
    </w:div>
    <w:div w:id="1937863571">
      <w:bodyDiv w:val="1"/>
      <w:marLeft w:val="0"/>
      <w:marRight w:val="0"/>
      <w:marTop w:val="0"/>
      <w:marBottom w:val="0"/>
      <w:divBdr>
        <w:top w:val="none" w:sz="0" w:space="0" w:color="auto"/>
        <w:left w:val="none" w:sz="0" w:space="0" w:color="auto"/>
        <w:bottom w:val="none" w:sz="0" w:space="0" w:color="auto"/>
        <w:right w:val="none" w:sz="0" w:space="0" w:color="auto"/>
      </w:divBdr>
    </w:div>
    <w:div w:id="1950776415">
      <w:bodyDiv w:val="1"/>
      <w:marLeft w:val="0"/>
      <w:marRight w:val="0"/>
      <w:marTop w:val="0"/>
      <w:marBottom w:val="0"/>
      <w:divBdr>
        <w:top w:val="none" w:sz="0" w:space="0" w:color="auto"/>
        <w:left w:val="none" w:sz="0" w:space="0" w:color="auto"/>
        <w:bottom w:val="none" w:sz="0" w:space="0" w:color="auto"/>
        <w:right w:val="none" w:sz="0" w:space="0" w:color="auto"/>
      </w:divBdr>
    </w:div>
    <w:div w:id="1980917862">
      <w:bodyDiv w:val="1"/>
      <w:marLeft w:val="0"/>
      <w:marRight w:val="0"/>
      <w:marTop w:val="0"/>
      <w:marBottom w:val="0"/>
      <w:divBdr>
        <w:top w:val="none" w:sz="0" w:space="0" w:color="auto"/>
        <w:left w:val="none" w:sz="0" w:space="0" w:color="auto"/>
        <w:bottom w:val="none" w:sz="0" w:space="0" w:color="auto"/>
        <w:right w:val="none" w:sz="0" w:space="0" w:color="auto"/>
      </w:divBdr>
    </w:div>
    <w:div w:id="1993823577">
      <w:bodyDiv w:val="1"/>
      <w:marLeft w:val="0"/>
      <w:marRight w:val="0"/>
      <w:marTop w:val="0"/>
      <w:marBottom w:val="0"/>
      <w:divBdr>
        <w:top w:val="none" w:sz="0" w:space="0" w:color="auto"/>
        <w:left w:val="none" w:sz="0" w:space="0" w:color="auto"/>
        <w:bottom w:val="none" w:sz="0" w:space="0" w:color="auto"/>
        <w:right w:val="none" w:sz="0" w:space="0" w:color="auto"/>
      </w:divBdr>
    </w:div>
    <w:div w:id="20780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7806-692A-48BB-9BA9-92F9CB11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10623</Words>
  <Characters>64804</Characters>
  <Application>Microsoft Office Word</Application>
  <DocSecurity>0</DocSecurity>
  <Lines>540</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2024044108, var. 5G, opdatering iht reference produkt + PSUSA opdateringer</dc:description>
  <cp:lastModifiedBy>Gitte Jørgensen</cp:lastModifiedBy>
  <cp:revision>27</cp:revision>
  <cp:lastPrinted>2020-09-11T12:18:00Z</cp:lastPrinted>
  <dcterms:created xsi:type="dcterms:W3CDTF">2020-09-10T12:13:00Z</dcterms:created>
  <dcterms:modified xsi:type="dcterms:W3CDTF">2024-11-21T13:53:00Z</dcterms:modified>
</cp:coreProperties>
</file>