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6351F8D0" wp14:editId="5AC321A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A0613C">
        <w:rPr>
          <w:szCs w:val="24"/>
        </w:rPr>
        <w:t>7. februar 2025</w:t>
      </w:r>
    </w:p>
    <w:p w:rsidR="009260DE" w:rsidRPr="00C84483" w:rsidRDefault="009260DE" w:rsidP="009260DE">
      <w:pPr>
        <w:pStyle w:val="Titel"/>
        <w:tabs>
          <w:tab w:val="left" w:pos="8222"/>
        </w:tabs>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0B058C" w:rsidP="009260DE">
      <w:pPr>
        <w:jc w:val="center"/>
        <w:rPr>
          <w:b/>
          <w:sz w:val="24"/>
          <w:szCs w:val="24"/>
        </w:rPr>
      </w:pPr>
    </w:p>
    <w:p w:rsidR="009260DE" w:rsidRPr="00C84483" w:rsidRDefault="00DA1655" w:rsidP="009260DE">
      <w:pPr>
        <w:jc w:val="center"/>
        <w:rPr>
          <w:b/>
          <w:sz w:val="24"/>
          <w:szCs w:val="24"/>
        </w:rPr>
      </w:pPr>
      <w:r>
        <w:rPr>
          <w:b/>
          <w:sz w:val="24"/>
          <w:szCs w:val="24"/>
        </w:rPr>
        <w:t>Oestablet, filmovertrukne tabletter 2 mg</w:t>
      </w:r>
    </w:p>
    <w:p w:rsidR="009260DE" w:rsidRPr="00C84483" w:rsidRDefault="009260DE" w:rsidP="009260DE">
      <w:pPr>
        <w:jc w:val="both"/>
        <w:rPr>
          <w:sz w:val="24"/>
          <w:szCs w:val="24"/>
        </w:rPr>
      </w:pP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DA1655" w:rsidP="009260DE">
      <w:pPr>
        <w:tabs>
          <w:tab w:val="left" w:pos="851"/>
        </w:tabs>
        <w:ind w:left="851"/>
        <w:rPr>
          <w:sz w:val="24"/>
          <w:szCs w:val="24"/>
        </w:rPr>
      </w:pPr>
      <w:r>
        <w:rPr>
          <w:sz w:val="24"/>
          <w:szCs w:val="24"/>
        </w:rPr>
        <w:t>33703</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DA1655" w:rsidP="009260DE">
      <w:pPr>
        <w:tabs>
          <w:tab w:val="left" w:pos="851"/>
        </w:tabs>
        <w:ind w:left="851"/>
        <w:rPr>
          <w:sz w:val="24"/>
          <w:szCs w:val="24"/>
        </w:rPr>
      </w:pPr>
      <w:r>
        <w:rPr>
          <w:sz w:val="24"/>
          <w:szCs w:val="24"/>
        </w:rPr>
        <w:t>Oestablet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DA1655" w:rsidRPr="00DA1655" w:rsidRDefault="00DA1655" w:rsidP="00DA1655">
      <w:pPr>
        <w:tabs>
          <w:tab w:val="left" w:pos="851"/>
        </w:tabs>
        <w:ind w:left="851"/>
        <w:rPr>
          <w:iCs/>
          <w:sz w:val="24"/>
          <w:szCs w:val="24"/>
        </w:rPr>
      </w:pPr>
      <w:bookmarkStart w:id="1" w:name="_Hlk184801191"/>
      <w:r w:rsidRPr="00DA1655">
        <w:rPr>
          <w:iCs/>
          <w:sz w:val="24"/>
          <w:szCs w:val="24"/>
        </w:rPr>
        <w:t>Hver tablet indeholder estradiolhemihydrat svarende til 2 mg estradiol</w:t>
      </w:r>
      <w:bookmarkEnd w:id="1"/>
      <w:r w:rsidRPr="00DA1655">
        <w:rPr>
          <w:iCs/>
          <w:sz w:val="24"/>
          <w:szCs w:val="24"/>
        </w:rPr>
        <w:t>.</w:t>
      </w:r>
    </w:p>
    <w:p w:rsidR="00DA1655" w:rsidRPr="00DA1655" w:rsidRDefault="00DA1655" w:rsidP="00DA1655">
      <w:pPr>
        <w:tabs>
          <w:tab w:val="left" w:pos="851"/>
        </w:tabs>
        <w:ind w:left="851"/>
        <w:rPr>
          <w:sz w:val="24"/>
          <w:szCs w:val="24"/>
        </w:rPr>
      </w:pPr>
    </w:p>
    <w:p w:rsidR="00DA1655" w:rsidRPr="00DA1655" w:rsidRDefault="00DA1655" w:rsidP="00DA1655">
      <w:pPr>
        <w:tabs>
          <w:tab w:val="left" w:pos="851"/>
        </w:tabs>
        <w:ind w:left="851"/>
        <w:rPr>
          <w:sz w:val="24"/>
          <w:szCs w:val="24"/>
          <w:u w:val="single"/>
        </w:rPr>
      </w:pPr>
      <w:r w:rsidRPr="00DA1655">
        <w:rPr>
          <w:sz w:val="24"/>
          <w:szCs w:val="24"/>
          <w:u w:val="single"/>
        </w:rPr>
        <w:t>Hjælpestof, som behandleren skal være opmærksom på</w:t>
      </w:r>
    </w:p>
    <w:p w:rsidR="00DA1655" w:rsidRPr="00DA1655" w:rsidRDefault="00DA1655" w:rsidP="00DA1655">
      <w:pPr>
        <w:tabs>
          <w:tab w:val="left" w:pos="851"/>
        </w:tabs>
        <w:ind w:left="851"/>
        <w:rPr>
          <w:sz w:val="24"/>
          <w:szCs w:val="24"/>
        </w:rPr>
      </w:pPr>
      <w:r w:rsidRPr="00DA1655">
        <w:rPr>
          <w:sz w:val="24"/>
          <w:szCs w:val="24"/>
        </w:rPr>
        <w:t xml:space="preserve">Hver 2 mg filmovertrukket tablet indeholder 58,07 mg lactose (som </w:t>
      </w:r>
      <w:bookmarkStart w:id="2" w:name="_Hlk184801227"/>
      <w:r w:rsidRPr="00DA1655">
        <w:rPr>
          <w:sz w:val="24"/>
          <w:szCs w:val="24"/>
        </w:rPr>
        <w:t>lactosemonohydrat</w:t>
      </w:r>
      <w:bookmarkEnd w:id="2"/>
      <w:r w:rsidRPr="00DA1655">
        <w:rPr>
          <w:sz w:val="24"/>
          <w:szCs w:val="24"/>
        </w:rPr>
        <w:t>).</w:t>
      </w:r>
    </w:p>
    <w:p w:rsidR="00DA1655" w:rsidRPr="00DA1655" w:rsidRDefault="00DA1655" w:rsidP="00DA1655">
      <w:pPr>
        <w:tabs>
          <w:tab w:val="left" w:pos="851"/>
        </w:tabs>
        <w:ind w:left="851"/>
        <w:rPr>
          <w:sz w:val="24"/>
          <w:szCs w:val="24"/>
        </w:rPr>
      </w:pPr>
    </w:p>
    <w:p w:rsidR="00DA1655" w:rsidRPr="00DA1655" w:rsidRDefault="00DA1655" w:rsidP="00DA1655">
      <w:pPr>
        <w:tabs>
          <w:tab w:val="left" w:pos="851"/>
        </w:tabs>
        <w:ind w:left="851"/>
        <w:rPr>
          <w:sz w:val="24"/>
          <w:szCs w:val="24"/>
        </w:rPr>
      </w:pPr>
      <w:r w:rsidRPr="00DA1655">
        <w:rPr>
          <w:sz w:val="24"/>
          <w:szCs w:val="24"/>
        </w:rPr>
        <w:t>Alle hjælpestoffer er anført under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DA1655" w:rsidRPr="00DA1655" w:rsidRDefault="00DA1655" w:rsidP="00DA1655">
      <w:pPr>
        <w:tabs>
          <w:tab w:val="left" w:pos="851"/>
        </w:tabs>
        <w:ind w:left="851"/>
        <w:rPr>
          <w:sz w:val="24"/>
          <w:szCs w:val="24"/>
        </w:rPr>
      </w:pPr>
      <w:r w:rsidRPr="00DA1655">
        <w:rPr>
          <w:sz w:val="24"/>
          <w:szCs w:val="24"/>
        </w:rPr>
        <w:t>Filmovertrukne tabletter</w:t>
      </w:r>
    </w:p>
    <w:p w:rsidR="00DA1655" w:rsidRPr="00DA1655" w:rsidRDefault="00DA1655" w:rsidP="00DA1655">
      <w:pPr>
        <w:tabs>
          <w:tab w:val="left" w:pos="851"/>
        </w:tabs>
        <w:ind w:left="851"/>
        <w:rPr>
          <w:sz w:val="24"/>
          <w:szCs w:val="24"/>
        </w:rPr>
      </w:pPr>
    </w:p>
    <w:p w:rsidR="00DA1655" w:rsidRPr="00DA1655" w:rsidRDefault="00DA1655" w:rsidP="00DA1655">
      <w:pPr>
        <w:tabs>
          <w:tab w:val="left" w:pos="851"/>
        </w:tabs>
        <w:ind w:left="851"/>
        <w:rPr>
          <w:sz w:val="24"/>
          <w:szCs w:val="24"/>
        </w:rPr>
      </w:pPr>
      <w:r w:rsidRPr="00DA1655">
        <w:rPr>
          <w:sz w:val="24"/>
          <w:szCs w:val="24"/>
        </w:rPr>
        <w:t xml:space="preserve">Blå, filmovertrukne, runde, </w:t>
      </w:r>
      <w:bookmarkStart w:id="3" w:name="_Hlk184801295"/>
      <w:r w:rsidRPr="00DA1655">
        <w:rPr>
          <w:sz w:val="24"/>
          <w:szCs w:val="24"/>
        </w:rPr>
        <w:t xml:space="preserve">bikonvekse </w:t>
      </w:r>
      <w:bookmarkEnd w:id="3"/>
      <w:r w:rsidRPr="00DA1655">
        <w:rPr>
          <w:sz w:val="24"/>
          <w:szCs w:val="24"/>
        </w:rPr>
        <w:t>præget med ”E2” på den ene side. Diameter 6 mm.</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DA1655" w:rsidRPr="00DA1655" w:rsidRDefault="00DA1655" w:rsidP="00DA1655">
      <w:pPr>
        <w:tabs>
          <w:tab w:val="left" w:pos="1134"/>
        </w:tabs>
        <w:ind w:left="1134" w:hanging="283"/>
        <w:rPr>
          <w:sz w:val="24"/>
          <w:szCs w:val="24"/>
        </w:rPr>
      </w:pPr>
      <w:r w:rsidRPr="00DA1655">
        <w:rPr>
          <w:sz w:val="24"/>
          <w:szCs w:val="24"/>
        </w:rPr>
        <w:t>•</w:t>
      </w:r>
      <w:r w:rsidRPr="00DA1655">
        <w:rPr>
          <w:sz w:val="24"/>
          <w:szCs w:val="24"/>
        </w:rPr>
        <w:tab/>
        <w:t>Hormonsubstitutionsbehandling (HRT) mod symptomer på østrogenmangel hos postmenopausale kvinder.</w:t>
      </w:r>
    </w:p>
    <w:p w:rsidR="00DA1655" w:rsidRPr="00DA1655" w:rsidRDefault="00DA1655" w:rsidP="00DA1655">
      <w:pPr>
        <w:tabs>
          <w:tab w:val="left" w:pos="1134"/>
        </w:tabs>
        <w:ind w:left="1134" w:hanging="283"/>
        <w:rPr>
          <w:sz w:val="24"/>
          <w:szCs w:val="24"/>
        </w:rPr>
      </w:pPr>
      <w:r w:rsidRPr="00DA1655">
        <w:rPr>
          <w:sz w:val="24"/>
          <w:szCs w:val="24"/>
        </w:rPr>
        <w:t>•</w:t>
      </w:r>
      <w:r w:rsidRPr="00DA1655">
        <w:rPr>
          <w:sz w:val="24"/>
          <w:szCs w:val="24"/>
        </w:rPr>
        <w:tab/>
        <w:t>Forebyggelse af osteoporose hos postmenopausale kvinder med øget risiko for fremtidige frakturer, som er intolerante over for eller kontraindiceret for andre lægemidler, der er godkendt til forebyggelse af osteoporose.</w:t>
      </w:r>
    </w:p>
    <w:p w:rsidR="00DA1655" w:rsidRPr="00DA1655" w:rsidRDefault="00DA1655" w:rsidP="00DA1655">
      <w:pPr>
        <w:tabs>
          <w:tab w:val="left" w:pos="851"/>
        </w:tabs>
        <w:ind w:left="851"/>
        <w:rPr>
          <w:sz w:val="24"/>
          <w:szCs w:val="24"/>
        </w:rPr>
      </w:pPr>
    </w:p>
    <w:p w:rsidR="00DA1655" w:rsidRDefault="00DA1655" w:rsidP="00DA1655">
      <w:pPr>
        <w:tabs>
          <w:tab w:val="left" w:pos="851"/>
        </w:tabs>
        <w:ind w:left="851"/>
        <w:rPr>
          <w:sz w:val="24"/>
          <w:szCs w:val="24"/>
        </w:rPr>
      </w:pPr>
      <w:r w:rsidRPr="00DA1655">
        <w:rPr>
          <w:sz w:val="24"/>
          <w:szCs w:val="24"/>
        </w:rPr>
        <w:t xml:space="preserve">Oestablet er specielt beregnet til hysterektomerede kvinder, som derfor ikke behøver </w:t>
      </w:r>
      <w:bookmarkStart w:id="4" w:name="_Hlk185413678"/>
      <w:r w:rsidRPr="00DA1655">
        <w:rPr>
          <w:sz w:val="24"/>
          <w:szCs w:val="24"/>
        </w:rPr>
        <w:t xml:space="preserve">kombineret </w:t>
      </w:r>
      <w:bookmarkEnd w:id="4"/>
      <w:r w:rsidRPr="00DA1655">
        <w:rPr>
          <w:sz w:val="24"/>
          <w:szCs w:val="24"/>
        </w:rPr>
        <w:t>østrogen/gestagen behandling. Hos kvinder med en intakt uterus skal dette lægemiddel kombineres med et passende gestagen.</w:t>
      </w:r>
    </w:p>
    <w:p w:rsidR="00DA1655" w:rsidRDefault="00DA1655" w:rsidP="00DA1655">
      <w:pPr>
        <w:tabs>
          <w:tab w:val="left" w:pos="851"/>
        </w:tabs>
        <w:ind w:left="851"/>
        <w:rPr>
          <w:sz w:val="24"/>
          <w:szCs w:val="24"/>
        </w:rPr>
      </w:pPr>
    </w:p>
    <w:p w:rsidR="00DA1655" w:rsidRPr="00DA1655" w:rsidRDefault="00DA1655" w:rsidP="00DA1655">
      <w:pPr>
        <w:tabs>
          <w:tab w:val="left" w:pos="851"/>
        </w:tabs>
        <w:ind w:left="851"/>
        <w:rPr>
          <w:sz w:val="24"/>
          <w:szCs w:val="24"/>
        </w:rPr>
      </w:pPr>
      <w:r w:rsidRPr="00DA1655">
        <w:rPr>
          <w:sz w:val="24"/>
          <w:szCs w:val="24"/>
        </w:rPr>
        <w:t>Erfaring med behandling af kvinder over 65 år er begrænset.</w:t>
      </w:r>
    </w:p>
    <w:p w:rsidR="00DA1655" w:rsidRPr="00DA1655" w:rsidRDefault="00DA1655" w:rsidP="00DA1655">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rsidR="00DA1655" w:rsidRPr="00DA1655" w:rsidRDefault="00DA1655" w:rsidP="00DA1655">
      <w:pPr>
        <w:tabs>
          <w:tab w:val="left" w:pos="851"/>
        </w:tabs>
        <w:ind w:left="851"/>
        <w:rPr>
          <w:sz w:val="24"/>
          <w:szCs w:val="24"/>
        </w:rPr>
      </w:pPr>
    </w:p>
    <w:p w:rsidR="00DA1655" w:rsidRPr="00DA1655" w:rsidRDefault="00DA1655" w:rsidP="00DA1655">
      <w:pPr>
        <w:tabs>
          <w:tab w:val="left" w:pos="851"/>
        </w:tabs>
        <w:ind w:left="851"/>
        <w:rPr>
          <w:sz w:val="24"/>
          <w:szCs w:val="24"/>
          <w:u w:val="single"/>
        </w:rPr>
      </w:pPr>
      <w:r w:rsidRPr="00DA1655">
        <w:rPr>
          <w:sz w:val="24"/>
          <w:szCs w:val="24"/>
          <w:u w:val="single"/>
        </w:rPr>
        <w:t>Dosering</w:t>
      </w:r>
    </w:p>
    <w:p w:rsidR="00DA1655" w:rsidRPr="00DA1655" w:rsidRDefault="00DA1655" w:rsidP="00DA1655">
      <w:pPr>
        <w:tabs>
          <w:tab w:val="left" w:pos="851"/>
        </w:tabs>
        <w:ind w:left="851"/>
        <w:rPr>
          <w:sz w:val="24"/>
          <w:szCs w:val="24"/>
        </w:rPr>
      </w:pPr>
      <w:r w:rsidRPr="00DA1655">
        <w:rPr>
          <w:sz w:val="24"/>
          <w:szCs w:val="24"/>
        </w:rPr>
        <w:t>Dette er et rent østrogen produkt til hormonsubstitutionsbehandling.</w:t>
      </w:r>
    </w:p>
    <w:p w:rsidR="00DA1655" w:rsidRPr="00DA1655" w:rsidRDefault="00DA1655" w:rsidP="00DA1655">
      <w:pPr>
        <w:tabs>
          <w:tab w:val="left" w:pos="851"/>
        </w:tabs>
        <w:ind w:left="851"/>
        <w:rPr>
          <w:sz w:val="24"/>
          <w:szCs w:val="24"/>
        </w:rPr>
      </w:pPr>
    </w:p>
    <w:p w:rsidR="00DA1655" w:rsidRPr="00DA1655" w:rsidRDefault="00DA1655" w:rsidP="00DA1655">
      <w:pPr>
        <w:tabs>
          <w:tab w:val="left" w:pos="851"/>
        </w:tabs>
        <w:ind w:left="851"/>
        <w:rPr>
          <w:sz w:val="24"/>
          <w:szCs w:val="24"/>
        </w:rPr>
      </w:pPr>
      <w:r w:rsidRPr="00DA1655">
        <w:rPr>
          <w:sz w:val="24"/>
          <w:szCs w:val="24"/>
        </w:rPr>
        <w:t>Tabletterne administreres oralt, en tablet dagligt uden afbrydelse. Ved initiel og kontinuert behandling af menopausale symptomer, bør den laveste effektive dosis og det korteste tidsrum anvendes (se også pkt. 4.4).</w:t>
      </w:r>
    </w:p>
    <w:p w:rsidR="00DA1655" w:rsidRPr="00DA1655" w:rsidRDefault="00DA1655" w:rsidP="00DA1655">
      <w:pPr>
        <w:tabs>
          <w:tab w:val="left" w:pos="851"/>
        </w:tabs>
        <w:ind w:left="851"/>
        <w:rPr>
          <w:sz w:val="24"/>
          <w:szCs w:val="24"/>
        </w:rPr>
      </w:pPr>
    </w:p>
    <w:p w:rsidR="00DA1655" w:rsidRPr="00DA1655" w:rsidRDefault="00DA1655" w:rsidP="00DA1655">
      <w:pPr>
        <w:tabs>
          <w:tab w:val="left" w:pos="851"/>
        </w:tabs>
        <w:ind w:left="851"/>
        <w:rPr>
          <w:sz w:val="24"/>
          <w:szCs w:val="24"/>
        </w:rPr>
      </w:pPr>
      <w:r w:rsidRPr="00DA1655">
        <w:rPr>
          <w:sz w:val="24"/>
          <w:szCs w:val="24"/>
        </w:rPr>
        <w:t>Hvis tolerancen ikke er tilfredsstillende, kan et skifte til en lavere dosis af estradiol være indiceret. En daglig dosis på 1-2 mg estradiol tillader sædvanligvis forebyggelse af knoglemineraltab; højere doser anvendes derfor generelt ikke til langsigtet forebyggelse af osteoporose.</w:t>
      </w:r>
    </w:p>
    <w:p w:rsidR="00DA1655" w:rsidRPr="00DA1655" w:rsidRDefault="00DA1655" w:rsidP="00DA1655">
      <w:pPr>
        <w:tabs>
          <w:tab w:val="left" w:pos="851"/>
        </w:tabs>
        <w:ind w:left="851"/>
        <w:rPr>
          <w:sz w:val="24"/>
          <w:szCs w:val="24"/>
        </w:rPr>
      </w:pPr>
    </w:p>
    <w:p w:rsidR="00DA1655" w:rsidRPr="00DA1655" w:rsidRDefault="00DA1655" w:rsidP="00DA1655">
      <w:pPr>
        <w:tabs>
          <w:tab w:val="left" w:pos="851"/>
        </w:tabs>
        <w:ind w:left="851"/>
        <w:rPr>
          <w:bCs/>
          <w:i/>
          <w:iCs/>
          <w:sz w:val="24"/>
          <w:szCs w:val="24"/>
        </w:rPr>
      </w:pPr>
      <w:r w:rsidRPr="00DA1655">
        <w:rPr>
          <w:bCs/>
          <w:i/>
          <w:iCs/>
          <w:sz w:val="24"/>
          <w:szCs w:val="24"/>
        </w:rPr>
        <w:t>Kvinder med uterus</w:t>
      </w:r>
    </w:p>
    <w:p w:rsidR="00DA1655" w:rsidRPr="00DA1655" w:rsidRDefault="00DA1655" w:rsidP="00DA1655">
      <w:pPr>
        <w:tabs>
          <w:tab w:val="left" w:pos="851"/>
        </w:tabs>
        <w:ind w:left="851"/>
        <w:rPr>
          <w:sz w:val="24"/>
          <w:szCs w:val="24"/>
        </w:rPr>
      </w:pPr>
      <w:r w:rsidRPr="00DA1655">
        <w:rPr>
          <w:sz w:val="24"/>
          <w:szCs w:val="24"/>
        </w:rPr>
        <w:t>Hos kvinder med intakt uterus som har amenorrhoea og som skal skifte fra sekventielt HRT, kan behandling påbegyndes på femte menstruationsdag og kun kombineret med et gestagen i mindst 12</w:t>
      </w:r>
      <w:r w:rsidRPr="00DA1655">
        <w:rPr>
          <w:sz w:val="24"/>
          <w:szCs w:val="24"/>
        </w:rPr>
        <w:noBreakHyphen/>
        <w:t xml:space="preserve">14 dage </w:t>
      </w:r>
      <w:bookmarkStart w:id="5" w:name="_Hlk185413706"/>
      <w:r w:rsidRPr="00DA1655">
        <w:rPr>
          <w:sz w:val="24"/>
          <w:szCs w:val="24"/>
        </w:rPr>
        <w:t xml:space="preserve">per </w:t>
      </w:r>
      <w:bookmarkEnd w:id="5"/>
      <w:r w:rsidRPr="00DA1655">
        <w:rPr>
          <w:sz w:val="24"/>
          <w:szCs w:val="24"/>
        </w:rPr>
        <w:t>måned/28-dages cyklus. Hvis der er skiftet fra en kontinuerlig-kombinations HRT, kan denne behandlingen, kombineret med et gestagen, påbegyndes en hvilken som helst dag. Typen og dosis af gestagen skulle forebygge en østrogeninduceret endometrie-hyperplasi (se også pkt. 4.4).</w:t>
      </w:r>
    </w:p>
    <w:p w:rsidR="00DA1655" w:rsidRPr="00DA1655" w:rsidRDefault="00DA1655" w:rsidP="00DA1655">
      <w:pPr>
        <w:tabs>
          <w:tab w:val="left" w:pos="851"/>
        </w:tabs>
        <w:ind w:left="851"/>
        <w:rPr>
          <w:sz w:val="24"/>
          <w:szCs w:val="24"/>
        </w:rPr>
      </w:pPr>
    </w:p>
    <w:p w:rsidR="00DA1655" w:rsidRPr="00DA1655" w:rsidRDefault="00DA1655" w:rsidP="00DA1655">
      <w:pPr>
        <w:tabs>
          <w:tab w:val="left" w:pos="851"/>
        </w:tabs>
        <w:ind w:left="851"/>
        <w:rPr>
          <w:bCs/>
          <w:i/>
          <w:iCs/>
          <w:sz w:val="24"/>
          <w:szCs w:val="24"/>
        </w:rPr>
      </w:pPr>
      <w:r w:rsidRPr="00DA1655">
        <w:rPr>
          <w:bCs/>
          <w:i/>
          <w:iCs/>
          <w:sz w:val="24"/>
          <w:szCs w:val="24"/>
        </w:rPr>
        <w:t>Kvinder uden uterus</w:t>
      </w:r>
    </w:p>
    <w:p w:rsidR="00DA1655" w:rsidRPr="00DA1655" w:rsidRDefault="00DA1655" w:rsidP="00DA1655">
      <w:pPr>
        <w:tabs>
          <w:tab w:val="left" w:pos="851"/>
        </w:tabs>
        <w:ind w:left="851"/>
        <w:rPr>
          <w:sz w:val="24"/>
          <w:szCs w:val="24"/>
        </w:rPr>
      </w:pPr>
      <w:r w:rsidRPr="00DA1655">
        <w:rPr>
          <w:sz w:val="24"/>
          <w:szCs w:val="24"/>
        </w:rPr>
        <w:t>Med mindre der foreligger en tidligere diagnose på endometriose, er det ikke anbefalet at give gestagen til hysterektomerede kvinder. Hos kvinder uden intakt uterus, kan behandling påbegyndes en hvilken som helst dag.</w:t>
      </w:r>
    </w:p>
    <w:p w:rsidR="00DA1655" w:rsidRPr="00DA1655" w:rsidRDefault="00DA1655" w:rsidP="00DA1655">
      <w:pPr>
        <w:tabs>
          <w:tab w:val="left" w:pos="851"/>
        </w:tabs>
        <w:ind w:left="851"/>
        <w:rPr>
          <w:sz w:val="24"/>
          <w:szCs w:val="24"/>
        </w:rPr>
      </w:pPr>
    </w:p>
    <w:p w:rsidR="00DA1655" w:rsidRPr="00DA1655" w:rsidRDefault="00DA1655" w:rsidP="00DA1655">
      <w:pPr>
        <w:tabs>
          <w:tab w:val="left" w:pos="851"/>
        </w:tabs>
        <w:ind w:left="851"/>
        <w:rPr>
          <w:sz w:val="24"/>
          <w:szCs w:val="24"/>
        </w:rPr>
      </w:pPr>
      <w:r w:rsidRPr="00DA1655">
        <w:rPr>
          <w:sz w:val="24"/>
          <w:szCs w:val="24"/>
        </w:rPr>
        <w:t>Hvis patienten har glemt at tage en tablet, skal tabletten tages så hurtigt som muligt inden der er gået 12 timer. Hvis der er gået mere end 12 timer, skal den glemte tablet kasseres. Det at glemme en dosis kan forøge risikoen for gennembrudsblødning eller pletblødning.</w:t>
      </w:r>
    </w:p>
    <w:p w:rsidR="00DA1655" w:rsidRPr="00DA1655" w:rsidRDefault="00DA1655" w:rsidP="00DA1655">
      <w:pPr>
        <w:tabs>
          <w:tab w:val="left" w:pos="851"/>
        </w:tabs>
        <w:ind w:left="851"/>
        <w:rPr>
          <w:sz w:val="24"/>
          <w:szCs w:val="24"/>
        </w:rPr>
      </w:pPr>
    </w:p>
    <w:p w:rsidR="00DA1655" w:rsidRPr="00DA1655" w:rsidRDefault="00DA1655" w:rsidP="00DA1655">
      <w:pPr>
        <w:tabs>
          <w:tab w:val="left" w:pos="851"/>
        </w:tabs>
        <w:ind w:left="851"/>
        <w:rPr>
          <w:sz w:val="24"/>
          <w:szCs w:val="24"/>
          <w:u w:val="single"/>
        </w:rPr>
      </w:pPr>
      <w:r w:rsidRPr="00DA1655">
        <w:rPr>
          <w:sz w:val="24"/>
          <w:szCs w:val="24"/>
          <w:u w:val="single"/>
        </w:rPr>
        <w:t>Administration</w:t>
      </w:r>
    </w:p>
    <w:p w:rsidR="00DA1655" w:rsidRPr="00DA1655" w:rsidRDefault="00DA1655" w:rsidP="00DA1655">
      <w:pPr>
        <w:tabs>
          <w:tab w:val="left" w:pos="851"/>
        </w:tabs>
        <w:ind w:left="851"/>
        <w:rPr>
          <w:iCs/>
          <w:sz w:val="24"/>
          <w:szCs w:val="24"/>
        </w:rPr>
      </w:pPr>
      <w:r w:rsidRPr="00DA1655">
        <w:rPr>
          <w:iCs/>
          <w:sz w:val="24"/>
          <w:szCs w:val="24"/>
        </w:rPr>
        <w:t>Oral anvendelse.</w:t>
      </w:r>
    </w:p>
    <w:p w:rsidR="00DA1655" w:rsidRPr="00DA1655" w:rsidRDefault="00DA1655" w:rsidP="00DA1655">
      <w:pPr>
        <w:tabs>
          <w:tab w:val="left" w:pos="851"/>
        </w:tabs>
        <w:ind w:left="851"/>
        <w:rPr>
          <w:iCs/>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EC3AFC" w:rsidRPr="00EC3AFC" w:rsidRDefault="00EC3AFC" w:rsidP="00EC3AFC">
      <w:pPr>
        <w:numPr>
          <w:ilvl w:val="0"/>
          <w:numId w:val="6"/>
        </w:numPr>
        <w:tabs>
          <w:tab w:val="left" w:pos="851"/>
        </w:tabs>
        <w:ind w:left="1134" w:hanging="283"/>
        <w:rPr>
          <w:sz w:val="24"/>
          <w:szCs w:val="24"/>
        </w:rPr>
      </w:pPr>
      <w:r w:rsidRPr="00EC3AFC">
        <w:rPr>
          <w:sz w:val="24"/>
          <w:szCs w:val="24"/>
        </w:rPr>
        <w:t>Kendt, tidligere eller mistanke om brystcancer</w:t>
      </w:r>
    </w:p>
    <w:p w:rsidR="00EC3AFC" w:rsidRPr="00EC3AFC" w:rsidRDefault="00EC3AFC" w:rsidP="00EC3AFC">
      <w:pPr>
        <w:numPr>
          <w:ilvl w:val="0"/>
          <w:numId w:val="6"/>
        </w:numPr>
        <w:tabs>
          <w:tab w:val="left" w:pos="851"/>
        </w:tabs>
        <w:ind w:left="1134" w:hanging="283"/>
        <w:rPr>
          <w:sz w:val="24"/>
          <w:szCs w:val="24"/>
        </w:rPr>
      </w:pPr>
      <w:r w:rsidRPr="00EC3AFC">
        <w:rPr>
          <w:sz w:val="24"/>
          <w:szCs w:val="24"/>
        </w:rPr>
        <w:t>Kendt, tidligere eller mistanke om østrogenafhængige tumorer (f.eks. endometriecancer)</w:t>
      </w:r>
    </w:p>
    <w:p w:rsidR="00EC3AFC" w:rsidRPr="00EC3AFC" w:rsidRDefault="00EC3AFC" w:rsidP="00EC3AFC">
      <w:pPr>
        <w:numPr>
          <w:ilvl w:val="0"/>
          <w:numId w:val="6"/>
        </w:numPr>
        <w:tabs>
          <w:tab w:val="left" w:pos="851"/>
        </w:tabs>
        <w:ind w:left="1134" w:hanging="283"/>
        <w:rPr>
          <w:sz w:val="24"/>
          <w:szCs w:val="24"/>
        </w:rPr>
      </w:pPr>
      <w:r w:rsidRPr="00EC3AFC">
        <w:rPr>
          <w:sz w:val="24"/>
          <w:szCs w:val="24"/>
        </w:rPr>
        <w:t>Udiagnosticeret genitalblødning</w:t>
      </w:r>
    </w:p>
    <w:p w:rsidR="00EC3AFC" w:rsidRPr="00EC3AFC" w:rsidRDefault="00EC3AFC" w:rsidP="00EC3AFC">
      <w:pPr>
        <w:numPr>
          <w:ilvl w:val="0"/>
          <w:numId w:val="6"/>
        </w:numPr>
        <w:tabs>
          <w:tab w:val="left" w:pos="851"/>
        </w:tabs>
        <w:ind w:left="1134" w:hanging="283"/>
        <w:rPr>
          <w:sz w:val="24"/>
          <w:szCs w:val="24"/>
        </w:rPr>
      </w:pPr>
      <w:r w:rsidRPr="00EC3AFC">
        <w:rPr>
          <w:sz w:val="24"/>
          <w:szCs w:val="24"/>
        </w:rPr>
        <w:t>Ubehandlet endometriehyperplasi</w:t>
      </w:r>
    </w:p>
    <w:p w:rsidR="00EC3AFC" w:rsidRPr="00EC3AFC" w:rsidRDefault="00EC3AFC" w:rsidP="00EC3AFC">
      <w:pPr>
        <w:numPr>
          <w:ilvl w:val="0"/>
          <w:numId w:val="6"/>
        </w:numPr>
        <w:tabs>
          <w:tab w:val="left" w:pos="851"/>
        </w:tabs>
        <w:ind w:left="1134" w:hanging="283"/>
        <w:rPr>
          <w:sz w:val="24"/>
          <w:szCs w:val="24"/>
        </w:rPr>
      </w:pPr>
      <w:r w:rsidRPr="00EC3AFC">
        <w:rPr>
          <w:sz w:val="24"/>
          <w:szCs w:val="24"/>
        </w:rPr>
        <w:t>Aktuel eller tidligere venøs tromboemboli (dyb venetrombose, lungeemboli)</w:t>
      </w:r>
    </w:p>
    <w:p w:rsidR="00EC3AFC" w:rsidRPr="00EC3AFC" w:rsidRDefault="00EC3AFC" w:rsidP="00EC3AFC">
      <w:pPr>
        <w:numPr>
          <w:ilvl w:val="0"/>
          <w:numId w:val="6"/>
        </w:numPr>
        <w:tabs>
          <w:tab w:val="left" w:pos="851"/>
        </w:tabs>
        <w:ind w:left="1134" w:hanging="283"/>
        <w:rPr>
          <w:sz w:val="24"/>
          <w:szCs w:val="24"/>
        </w:rPr>
      </w:pPr>
      <w:r w:rsidRPr="00EC3AFC">
        <w:rPr>
          <w:sz w:val="24"/>
          <w:szCs w:val="24"/>
        </w:rPr>
        <w:t>Kendt trombofilisk sygdom (f.eks. protein C, protein S eller antitrombin insufficiens (se pkt. 4.4))</w:t>
      </w:r>
    </w:p>
    <w:p w:rsidR="00EC3AFC" w:rsidRPr="00EC3AFC" w:rsidRDefault="00EC3AFC" w:rsidP="00EC3AFC">
      <w:pPr>
        <w:numPr>
          <w:ilvl w:val="0"/>
          <w:numId w:val="6"/>
        </w:numPr>
        <w:tabs>
          <w:tab w:val="left" w:pos="851"/>
        </w:tabs>
        <w:ind w:left="1134" w:hanging="283"/>
        <w:rPr>
          <w:sz w:val="24"/>
          <w:szCs w:val="24"/>
        </w:rPr>
      </w:pPr>
      <w:r w:rsidRPr="00EC3AFC">
        <w:rPr>
          <w:sz w:val="24"/>
          <w:szCs w:val="24"/>
        </w:rPr>
        <w:t>Aktiv eller nyligt overstået arteriel tromboembolisk sygdom (f.eks. angina, myokardieinfarkt)</w:t>
      </w:r>
    </w:p>
    <w:p w:rsidR="00EC3AFC" w:rsidRPr="00EC3AFC" w:rsidRDefault="00EC3AFC" w:rsidP="00EC3AFC">
      <w:pPr>
        <w:numPr>
          <w:ilvl w:val="0"/>
          <w:numId w:val="6"/>
        </w:numPr>
        <w:tabs>
          <w:tab w:val="left" w:pos="851"/>
        </w:tabs>
        <w:ind w:left="1134" w:hanging="283"/>
        <w:rPr>
          <w:sz w:val="24"/>
          <w:szCs w:val="24"/>
        </w:rPr>
      </w:pPr>
      <w:r w:rsidRPr="00EC3AFC">
        <w:rPr>
          <w:sz w:val="24"/>
          <w:szCs w:val="24"/>
        </w:rPr>
        <w:t>Akut eller tidligere leversygdom, hvor levertal endnu ikke er normaliserede</w:t>
      </w:r>
    </w:p>
    <w:p w:rsidR="00EC3AFC" w:rsidRPr="00EC3AFC" w:rsidRDefault="00EC3AFC" w:rsidP="00EC3AFC">
      <w:pPr>
        <w:numPr>
          <w:ilvl w:val="0"/>
          <w:numId w:val="6"/>
        </w:numPr>
        <w:tabs>
          <w:tab w:val="left" w:pos="851"/>
        </w:tabs>
        <w:ind w:left="1134" w:hanging="283"/>
        <w:rPr>
          <w:sz w:val="24"/>
          <w:szCs w:val="24"/>
        </w:rPr>
      </w:pPr>
      <w:r w:rsidRPr="00EC3AFC">
        <w:rPr>
          <w:sz w:val="24"/>
          <w:szCs w:val="24"/>
        </w:rPr>
        <w:t>Overfølsomhed over for det aktive stof eller over for et eller flere af hjælpestofferne anført i pkt. 6.1</w:t>
      </w:r>
    </w:p>
    <w:p w:rsidR="00EC3AFC" w:rsidRPr="00EC3AFC" w:rsidRDefault="00EC3AFC" w:rsidP="00EC3AFC">
      <w:pPr>
        <w:numPr>
          <w:ilvl w:val="0"/>
          <w:numId w:val="6"/>
        </w:numPr>
        <w:tabs>
          <w:tab w:val="left" w:pos="851"/>
        </w:tabs>
        <w:ind w:left="1134" w:hanging="283"/>
        <w:rPr>
          <w:sz w:val="24"/>
          <w:szCs w:val="24"/>
        </w:rPr>
      </w:pPr>
      <w:r w:rsidRPr="00EC3AFC">
        <w:rPr>
          <w:sz w:val="24"/>
          <w:szCs w:val="24"/>
        </w:rPr>
        <w:t>Porfyri.</w:t>
      </w:r>
    </w:p>
    <w:p w:rsidR="00EC3AFC" w:rsidRDefault="00EC3AFC">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AF4918" w:rsidRPr="00AF4918" w:rsidRDefault="00AF4918" w:rsidP="00AF4918">
      <w:pPr>
        <w:tabs>
          <w:tab w:val="left" w:pos="851"/>
        </w:tabs>
        <w:ind w:left="851"/>
        <w:rPr>
          <w:sz w:val="24"/>
          <w:szCs w:val="24"/>
        </w:rPr>
      </w:pPr>
      <w:r w:rsidRPr="00AF4918">
        <w:rPr>
          <w:sz w:val="24"/>
          <w:szCs w:val="24"/>
        </w:rPr>
        <w:t>Til behandling af postmenopausale symptomer bør HRT kun initieres for at lindre symptomer, som påvirker livskvaliteten negativt. I alle tilfælde bør der foretages en nøje vurdering af fordele og risici mindst en gang om året, og HRT bør kun fortsættes, så længe fordelen opvejer risikoen.</w:t>
      </w:r>
    </w:p>
    <w:p w:rsidR="00AF4918" w:rsidRPr="00AF4918" w:rsidRDefault="00AF4918" w:rsidP="00AF4918">
      <w:pPr>
        <w:tabs>
          <w:tab w:val="left" w:pos="851"/>
        </w:tabs>
        <w:ind w:left="851"/>
        <w:rPr>
          <w:sz w:val="24"/>
          <w:szCs w:val="24"/>
        </w:rPr>
      </w:pPr>
    </w:p>
    <w:p w:rsidR="00AF4918" w:rsidRPr="00AF4918" w:rsidRDefault="00AF4918" w:rsidP="00AF4918">
      <w:pPr>
        <w:tabs>
          <w:tab w:val="left" w:pos="851"/>
        </w:tabs>
        <w:ind w:left="851"/>
        <w:rPr>
          <w:sz w:val="24"/>
          <w:szCs w:val="24"/>
        </w:rPr>
      </w:pPr>
      <w:r w:rsidRPr="00AF4918">
        <w:rPr>
          <w:sz w:val="24"/>
          <w:szCs w:val="24"/>
        </w:rPr>
        <w:t>Da erfaring med behandling af kvinder med tidlig menopause (grundet ovarial skade eller ved kirurgi) er begrænset, er evidensen for risici associerede med HRT ved behandling af for tidlig menopause også begrænset. Imidlertid er niveauet af absolut risiko hos yngre kvinder dog så lavt, at balancen mellem fordele og risici muligvis vil være mere favorabel for disse kvinder end hos ældre kvinder.</w:t>
      </w:r>
    </w:p>
    <w:p w:rsidR="00AF4918" w:rsidRPr="00AF4918" w:rsidRDefault="00AF4918" w:rsidP="00AF4918">
      <w:pPr>
        <w:tabs>
          <w:tab w:val="left" w:pos="851"/>
        </w:tabs>
        <w:ind w:left="851"/>
        <w:rPr>
          <w:sz w:val="24"/>
          <w:szCs w:val="24"/>
        </w:rPr>
      </w:pPr>
    </w:p>
    <w:p w:rsidR="00AF4918" w:rsidRPr="00AF4918" w:rsidRDefault="00AF4918" w:rsidP="00AF4918">
      <w:pPr>
        <w:tabs>
          <w:tab w:val="left" w:pos="851"/>
        </w:tabs>
        <w:ind w:left="851"/>
        <w:rPr>
          <w:sz w:val="24"/>
          <w:szCs w:val="24"/>
          <w:u w:val="single"/>
        </w:rPr>
      </w:pPr>
      <w:r w:rsidRPr="00AF4918">
        <w:rPr>
          <w:sz w:val="24"/>
          <w:szCs w:val="24"/>
          <w:u w:val="single"/>
        </w:rPr>
        <w:t>Medicinsk undersøgelse/opfølgning</w:t>
      </w:r>
    </w:p>
    <w:p w:rsidR="00AF4918" w:rsidRPr="00AF4918" w:rsidRDefault="00AF4918" w:rsidP="00AF4918">
      <w:pPr>
        <w:tabs>
          <w:tab w:val="left" w:pos="851"/>
        </w:tabs>
        <w:ind w:left="851"/>
        <w:rPr>
          <w:sz w:val="24"/>
          <w:szCs w:val="24"/>
        </w:rPr>
      </w:pPr>
      <w:r w:rsidRPr="00AF4918">
        <w:rPr>
          <w:sz w:val="24"/>
          <w:szCs w:val="24"/>
        </w:rPr>
        <w:t>Før behandlingen med HRT startes eller genoptages bør der optages en komplet anamnese og indhentes oplysninger om familiær disposition. En fysisk undersøgelse (inklusive bækken og bryst) bør sammenholdes med dette og med kontraindikationer og advarsler for brug. Rutinemæssig kontrol anbefales under behandlingen; hvor ofte og hvordan afhænger af den enkelte kvinde. Kvinden bør lære hvilken slags forandringer i brysterne, som skal rapporteres til lægen eller sygeplejersken (se "Brystcancer" nedenfor). Undersøgelser, inklusiv relevante billeddannelses redskaber, f.eks. mammografi, bør foretages i henhold til gældende screening-praksis, og tilpasset den enkeltes behov.</w:t>
      </w:r>
    </w:p>
    <w:p w:rsidR="00AF4918" w:rsidRPr="00AF4918" w:rsidRDefault="00AF4918" w:rsidP="00AF4918">
      <w:pPr>
        <w:tabs>
          <w:tab w:val="left" w:pos="851"/>
        </w:tabs>
        <w:ind w:left="851"/>
        <w:rPr>
          <w:sz w:val="24"/>
          <w:szCs w:val="24"/>
        </w:rPr>
      </w:pPr>
    </w:p>
    <w:p w:rsidR="00AF4918" w:rsidRPr="00AF4918" w:rsidRDefault="00AF4918" w:rsidP="00AF4918">
      <w:pPr>
        <w:tabs>
          <w:tab w:val="left" w:pos="851"/>
        </w:tabs>
        <w:ind w:left="851"/>
        <w:rPr>
          <w:sz w:val="24"/>
          <w:szCs w:val="24"/>
          <w:u w:val="single"/>
        </w:rPr>
      </w:pPr>
      <w:r w:rsidRPr="00AF4918">
        <w:rPr>
          <w:sz w:val="24"/>
          <w:szCs w:val="24"/>
          <w:u w:val="single"/>
        </w:rPr>
        <w:t>Forhold som kræver overvågning</w:t>
      </w:r>
    </w:p>
    <w:p w:rsidR="00AF4918" w:rsidRPr="00AF4918" w:rsidRDefault="00AF4918" w:rsidP="00AF4918">
      <w:pPr>
        <w:tabs>
          <w:tab w:val="left" w:pos="851"/>
        </w:tabs>
        <w:ind w:left="851"/>
        <w:rPr>
          <w:sz w:val="24"/>
          <w:szCs w:val="24"/>
        </w:rPr>
      </w:pPr>
      <w:r w:rsidRPr="00AF4918">
        <w:rPr>
          <w:sz w:val="24"/>
          <w:szCs w:val="24"/>
        </w:rPr>
        <w:t>Hvis nogen af følgende tilstande er til stede, er forekommet for nylig og/eller er blevet forværret under graviditet eller tidligere hormonbehandling, skal patienten overvåges nøje. Der skal tages specielt hensyn til, at især følgende tilstande kan vende tilbage eller forværres under estradiolbehandling:</w:t>
      </w:r>
    </w:p>
    <w:p w:rsidR="00AF4918" w:rsidRPr="00AF4918" w:rsidRDefault="00AF4918" w:rsidP="00AF4918">
      <w:pPr>
        <w:numPr>
          <w:ilvl w:val="0"/>
          <w:numId w:val="7"/>
        </w:numPr>
        <w:tabs>
          <w:tab w:val="left" w:pos="851"/>
        </w:tabs>
        <w:ind w:left="1134" w:hanging="283"/>
        <w:rPr>
          <w:sz w:val="24"/>
          <w:szCs w:val="24"/>
        </w:rPr>
      </w:pPr>
      <w:r w:rsidRPr="00AF4918">
        <w:rPr>
          <w:sz w:val="24"/>
          <w:szCs w:val="24"/>
        </w:rPr>
        <w:t>Leiomyom (uterine fibroser) eller endometriose</w:t>
      </w:r>
    </w:p>
    <w:p w:rsidR="00AF4918" w:rsidRPr="00AF4918" w:rsidRDefault="00AF4918" w:rsidP="00AF4918">
      <w:pPr>
        <w:numPr>
          <w:ilvl w:val="0"/>
          <w:numId w:val="7"/>
        </w:numPr>
        <w:tabs>
          <w:tab w:val="left" w:pos="851"/>
        </w:tabs>
        <w:ind w:left="1134" w:hanging="283"/>
        <w:rPr>
          <w:sz w:val="24"/>
          <w:szCs w:val="24"/>
        </w:rPr>
      </w:pPr>
      <w:r w:rsidRPr="00AF4918">
        <w:rPr>
          <w:sz w:val="24"/>
          <w:szCs w:val="24"/>
        </w:rPr>
        <w:t>Risikofaktorer for tromboembolisk sygdom (se nedenfor)</w:t>
      </w:r>
    </w:p>
    <w:p w:rsidR="00AF4918" w:rsidRPr="00AF4918" w:rsidRDefault="00AF4918" w:rsidP="00AF4918">
      <w:pPr>
        <w:numPr>
          <w:ilvl w:val="0"/>
          <w:numId w:val="7"/>
        </w:numPr>
        <w:tabs>
          <w:tab w:val="left" w:pos="851"/>
        </w:tabs>
        <w:ind w:left="1134" w:hanging="283"/>
        <w:rPr>
          <w:sz w:val="24"/>
          <w:szCs w:val="24"/>
        </w:rPr>
      </w:pPr>
      <w:r w:rsidRPr="00AF4918">
        <w:rPr>
          <w:sz w:val="24"/>
          <w:szCs w:val="24"/>
        </w:rPr>
        <w:t>Risikofaktorer for østrogenafhængige tumorer, f.eks. forekomst af brystcancer i nær familie</w:t>
      </w:r>
    </w:p>
    <w:p w:rsidR="00AF4918" w:rsidRPr="00AF4918" w:rsidRDefault="00AF4918" w:rsidP="00AF4918">
      <w:pPr>
        <w:numPr>
          <w:ilvl w:val="0"/>
          <w:numId w:val="7"/>
        </w:numPr>
        <w:tabs>
          <w:tab w:val="left" w:pos="851"/>
        </w:tabs>
        <w:ind w:left="1134" w:hanging="283"/>
        <w:rPr>
          <w:sz w:val="24"/>
          <w:szCs w:val="24"/>
        </w:rPr>
      </w:pPr>
      <w:r w:rsidRPr="00AF4918">
        <w:rPr>
          <w:sz w:val="24"/>
          <w:szCs w:val="24"/>
        </w:rPr>
        <w:t>Hypertension</w:t>
      </w:r>
    </w:p>
    <w:p w:rsidR="00AF4918" w:rsidRPr="00AF4918" w:rsidRDefault="00AF4918" w:rsidP="00AF4918">
      <w:pPr>
        <w:numPr>
          <w:ilvl w:val="0"/>
          <w:numId w:val="7"/>
        </w:numPr>
        <w:tabs>
          <w:tab w:val="left" w:pos="851"/>
        </w:tabs>
        <w:ind w:left="1134" w:hanging="283"/>
        <w:rPr>
          <w:sz w:val="24"/>
          <w:szCs w:val="24"/>
        </w:rPr>
      </w:pPr>
      <w:r w:rsidRPr="00AF4918">
        <w:rPr>
          <w:sz w:val="24"/>
          <w:szCs w:val="24"/>
        </w:rPr>
        <w:t>Leversygdomme (f.eks. leveradenom)</w:t>
      </w:r>
    </w:p>
    <w:p w:rsidR="00AF4918" w:rsidRPr="00AF4918" w:rsidRDefault="00AF4918" w:rsidP="00AF4918">
      <w:pPr>
        <w:numPr>
          <w:ilvl w:val="0"/>
          <w:numId w:val="7"/>
        </w:numPr>
        <w:tabs>
          <w:tab w:val="left" w:pos="851"/>
        </w:tabs>
        <w:ind w:left="1134" w:hanging="283"/>
        <w:rPr>
          <w:sz w:val="24"/>
          <w:szCs w:val="24"/>
        </w:rPr>
      </w:pPr>
      <w:r w:rsidRPr="00AF4918">
        <w:rPr>
          <w:sz w:val="24"/>
          <w:szCs w:val="24"/>
        </w:rPr>
        <w:t>Sukkersyge med eller uden vaskulære komplikationer</w:t>
      </w:r>
    </w:p>
    <w:p w:rsidR="00AF4918" w:rsidRPr="00AF4918" w:rsidRDefault="00AF4918" w:rsidP="00AF4918">
      <w:pPr>
        <w:numPr>
          <w:ilvl w:val="0"/>
          <w:numId w:val="7"/>
        </w:numPr>
        <w:tabs>
          <w:tab w:val="left" w:pos="851"/>
        </w:tabs>
        <w:ind w:left="1134" w:hanging="283"/>
        <w:rPr>
          <w:sz w:val="24"/>
          <w:szCs w:val="24"/>
        </w:rPr>
      </w:pPr>
      <w:r w:rsidRPr="00AF4918">
        <w:rPr>
          <w:sz w:val="24"/>
          <w:szCs w:val="24"/>
        </w:rPr>
        <w:t>Galdestenslidelser</w:t>
      </w:r>
    </w:p>
    <w:p w:rsidR="00AF4918" w:rsidRPr="00AF4918" w:rsidRDefault="00AF4918" w:rsidP="00AF4918">
      <w:pPr>
        <w:numPr>
          <w:ilvl w:val="0"/>
          <w:numId w:val="7"/>
        </w:numPr>
        <w:tabs>
          <w:tab w:val="left" w:pos="851"/>
        </w:tabs>
        <w:ind w:left="1134" w:hanging="283"/>
        <w:rPr>
          <w:sz w:val="24"/>
          <w:szCs w:val="24"/>
        </w:rPr>
      </w:pPr>
      <w:r w:rsidRPr="00AF4918">
        <w:rPr>
          <w:sz w:val="24"/>
          <w:szCs w:val="24"/>
        </w:rPr>
        <w:t>Migræne eller (stærk) hovedpine</w:t>
      </w:r>
    </w:p>
    <w:p w:rsidR="00AF4918" w:rsidRPr="00AF4918" w:rsidRDefault="00AF4918" w:rsidP="00AF4918">
      <w:pPr>
        <w:numPr>
          <w:ilvl w:val="0"/>
          <w:numId w:val="7"/>
        </w:numPr>
        <w:tabs>
          <w:tab w:val="left" w:pos="851"/>
        </w:tabs>
        <w:ind w:left="1134" w:hanging="283"/>
        <w:rPr>
          <w:sz w:val="24"/>
          <w:szCs w:val="24"/>
        </w:rPr>
      </w:pPr>
      <w:r w:rsidRPr="00AF4918">
        <w:rPr>
          <w:sz w:val="24"/>
          <w:szCs w:val="24"/>
        </w:rPr>
        <w:t>Systemisk lupus erythematosus</w:t>
      </w:r>
    </w:p>
    <w:p w:rsidR="00AF4918" w:rsidRPr="00AF4918" w:rsidRDefault="00AF4918" w:rsidP="00AF4918">
      <w:pPr>
        <w:numPr>
          <w:ilvl w:val="0"/>
          <w:numId w:val="7"/>
        </w:numPr>
        <w:tabs>
          <w:tab w:val="left" w:pos="851"/>
        </w:tabs>
        <w:ind w:left="1134" w:hanging="283"/>
        <w:rPr>
          <w:sz w:val="24"/>
          <w:szCs w:val="24"/>
        </w:rPr>
      </w:pPr>
      <w:r w:rsidRPr="00AF4918">
        <w:rPr>
          <w:sz w:val="24"/>
          <w:szCs w:val="24"/>
        </w:rPr>
        <w:t>Tidligere endometriehyperplasi (se nedenfor)</w:t>
      </w:r>
    </w:p>
    <w:p w:rsidR="00AF4918" w:rsidRPr="00AF4918" w:rsidRDefault="00AF4918" w:rsidP="00AF4918">
      <w:pPr>
        <w:numPr>
          <w:ilvl w:val="0"/>
          <w:numId w:val="7"/>
        </w:numPr>
        <w:tabs>
          <w:tab w:val="left" w:pos="851"/>
        </w:tabs>
        <w:ind w:left="1134" w:hanging="283"/>
        <w:rPr>
          <w:sz w:val="24"/>
          <w:szCs w:val="24"/>
        </w:rPr>
      </w:pPr>
      <w:r w:rsidRPr="00AF4918">
        <w:rPr>
          <w:sz w:val="24"/>
          <w:szCs w:val="24"/>
        </w:rPr>
        <w:t>Epilepsi</w:t>
      </w:r>
    </w:p>
    <w:p w:rsidR="00AF4918" w:rsidRPr="00AF4918" w:rsidRDefault="00AF4918" w:rsidP="00AF4918">
      <w:pPr>
        <w:numPr>
          <w:ilvl w:val="0"/>
          <w:numId w:val="7"/>
        </w:numPr>
        <w:tabs>
          <w:tab w:val="left" w:pos="851"/>
        </w:tabs>
        <w:ind w:left="1134" w:hanging="283"/>
        <w:rPr>
          <w:sz w:val="24"/>
          <w:szCs w:val="24"/>
        </w:rPr>
      </w:pPr>
      <w:r w:rsidRPr="00AF4918">
        <w:rPr>
          <w:sz w:val="24"/>
          <w:szCs w:val="24"/>
        </w:rPr>
        <w:t>Astma</w:t>
      </w:r>
    </w:p>
    <w:p w:rsidR="00AF4918" w:rsidRPr="00AF4918" w:rsidRDefault="00AF4918" w:rsidP="00AF4918">
      <w:pPr>
        <w:numPr>
          <w:ilvl w:val="0"/>
          <w:numId w:val="7"/>
        </w:numPr>
        <w:tabs>
          <w:tab w:val="left" w:pos="851"/>
        </w:tabs>
        <w:ind w:left="1134" w:hanging="283"/>
        <w:rPr>
          <w:sz w:val="24"/>
          <w:szCs w:val="24"/>
        </w:rPr>
      </w:pPr>
      <w:r w:rsidRPr="00AF4918">
        <w:rPr>
          <w:sz w:val="24"/>
          <w:szCs w:val="24"/>
        </w:rPr>
        <w:t>Otosclerose.</w:t>
      </w:r>
    </w:p>
    <w:p w:rsidR="00AF4918" w:rsidRPr="00AF4918" w:rsidRDefault="00AF4918" w:rsidP="00AF4918">
      <w:pPr>
        <w:tabs>
          <w:tab w:val="left" w:pos="851"/>
        </w:tabs>
        <w:ind w:left="851"/>
        <w:rPr>
          <w:sz w:val="24"/>
          <w:szCs w:val="24"/>
        </w:rPr>
      </w:pPr>
    </w:p>
    <w:p w:rsidR="00AF4918" w:rsidRPr="00AF4918" w:rsidRDefault="00AF4918" w:rsidP="00AF4918">
      <w:pPr>
        <w:tabs>
          <w:tab w:val="left" w:pos="851"/>
        </w:tabs>
        <w:ind w:left="851"/>
        <w:rPr>
          <w:sz w:val="24"/>
          <w:szCs w:val="24"/>
          <w:u w:val="single"/>
        </w:rPr>
      </w:pPr>
      <w:r w:rsidRPr="00AF4918">
        <w:rPr>
          <w:sz w:val="24"/>
          <w:szCs w:val="24"/>
          <w:u w:val="single"/>
        </w:rPr>
        <w:t>Årsager til øjeblikkeligt ophør af behandlingen</w:t>
      </w:r>
    </w:p>
    <w:p w:rsidR="00AF4918" w:rsidRPr="00AF4918" w:rsidRDefault="00AF4918" w:rsidP="00AF4918">
      <w:pPr>
        <w:tabs>
          <w:tab w:val="left" w:pos="851"/>
        </w:tabs>
        <w:ind w:left="851"/>
        <w:rPr>
          <w:sz w:val="24"/>
          <w:szCs w:val="24"/>
        </w:rPr>
      </w:pPr>
    </w:p>
    <w:p w:rsidR="00AF4918" w:rsidRPr="00AF4918" w:rsidRDefault="00AF4918" w:rsidP="00AF4918">
      <w:pPr>
        <w:tabs>
          <w:tab w:val="left" w:pos="851"/>
        </w:tabs>
        <w:ind w:left="851"/>
        <w:rPr>
          <w:sz w:val="24"/>
          <w:szCs w:val="24"/>
        </w:rPr>
      </w:pPr>
      <w:r w:rsidRPr="00AF4918">
        <w:rPr>
          <w:sz w:val="24"/>
          <w:szCs w:val="24"/>
        </w:rPr>
        <w:t>Behandlingen bør ophøre såfremt en kontraindikation opdages eller i følgende tilfælde:</w:t>
      </w:r>
    </w:p>
    <w:p w:rsidR="00AF4918" w:rsidRPr="00AF4918" w:rsidRDefault="00AF4918" w:rsidP="00AF4918">
      <w:pPr>
        <w:numPr>
          <w:ilvl w:val="0"/>
          <w:numId w:val="8"/>
        </w:numPr>
        <w:tabs>
          <w:tab w:val="left" w:pos="851"/>
        </w:tabs>
        <w:ind w:left="1134" w:hanging="283"/>
        <w:rPr>
          <w:sz w:val="24"/>
          <w:szCs w:val="24"/>
        </w:rPr>
      </w:pPr>
      <w:r w:rsidRPr="00AF4918">
        <w:rPr>
          <w:sz w:val="24"/>
          <w:szCs w:val="24"/>
        </w:rPr>
        <w:t>Icterus eller nedsat leverfunktion</w:t>
      </w:r>
    </w:p>
    <w:p w:rsidR="00AF4918" w:rsidRPr="00AF4918" w:rsidRDefault="00AF4918" w:rsidP="00AF4918">
      <w:pPr>
        <w:numPr>
          <w:ilvl w:val="0"/>
          <w:numId w:val="8"/>
        </w:numPr>
        <w:tabs>
          <w:tab w:val="left" w:pos="851"/>
        </w:tabs>
        <w:ind w:left="1134" w:hanging="283"/>
        <w:rPr>
          <w:sz w:val="24"/>
          <w:szCs w:val="24"/>
        </w:rPr>
      </w:pPr>
      <w:r w:rsidRPr="00AF4918">
        <w:rPr>
          <w:sz w:val="24"/>
          <w:szCs w:val="24"/>
        </w:rPr>
        <w:t>Signifikant blodtryksforhøjelse</w:t>
      </w:r>
    </w:p>
    <w:p w:rsidR="00AF4918" w:rsidRPr="00AF4918" w:rsidRDefault="00AF4918" w:rsidP="00AF4918">
      <w:pPr>
        <w:numPr>
          <w:ilvl w:val="0"/>
          <w:numId w:val="8"/>
        </w:numPr>
        <w:tabs>
          <w:tab w:val="left" w:pos="851"/>
        </w:tabs>
        <w:ind w:left="1134" w:hanging="283"/>
        <w:rPr>
          <w:sz w:val="24"/>
          <w:szCs w:val="24"/>
        </w:rPr>
      </w:pPr>
      <w:r w:rsidRPr="00AF4918">
        <w:rPr>
          <w:sz w:val="24"/>
          <w:szCs w:val="24"/>
        </w:rPr>
        <w:t>Nye anfald af migrænelignende hovedpine</w:t>
      </w:r>
    </w:p>
    <w:p w:rsidR="00AF4918" w:rsidRPr="00AF4918" w:rsidRDefault="00AF4918" w:rsidP="00AF4918">
      <w:pPr>
        <w:numPr>
          <w:ilvl w:val="0"/>
          <w:numId w:val="8"/>
        </w:numPr>
        <w:tabs>
          <w:tab w:val="left" w:pos="851"/>
        </w:tabs>
        <w:ind w:left="1134" w:hanging="283"/>
        <w:rPr>
          <w:sz w:val="24"/>
          <w:szCs w:val="24"/>
        </w:rPr>
      </w:pPr>
      <w:r w:rsidRPr="00AF4918">
        <w:rPr>
          <w:sz w:val="24"/>
          <w:szCs w:val="24"/>
        </w:rPr>
        <w:t>Graviditet.</w:t>
      </w:r>
    </w:p>
    <w:p w:rsidR="00AF4918" w:rsidRPr="00AF4918" w:rsidRDefault="00AF4918" w:rsidP="00AF4918">
      <w:pPr>
        <w:tabs>
          <w:tab w:val="left" w:pos="851"/>
        </w:tabs>
        <w:ind w:left="851"/>
        <w:rPr>
          <w:sz w:val="24"/>
          <w:szCs w:val="24"/>
        </w:rPr>
      </w:pPr>
    </w:p>
    <w:p w:rsidR="00AF4918" w:rsidRPr="00AF4918" w:rsidRDefault="00AF4918" w:rsidP="00AF4918">
      <w:pPr>
        <w:tabs>
          <w:tab w:val="left" w:pos="851"/>
        </w:tabs>
        <w:ind w:left="851"/>
        <w:rPr>
          <w:sz w:val="24"/>
          <w:szCs w:val="24"/>
          <w:u w:val="single"/>
        </w:rPr>
      </w:pPr>
      <w:r w:rsidRPr="00AF4918">
        <w:rPr>
          <w:sz w:val="24"/>
          <w:szCs w:val="24"/>
          <w:u w:val="single"/>
        </w:rPr>
        <w:lastRenderedPageBreak/>
        <w:t>Endometriehyperplasi og karcinom</w:t>
      </w:r>
    </w:p>
    <w:p w:rsidR="00AF4918" w:rsidRPr="00AF4918" w:rsidRDefault="00AF4918" w:rsidP="00AF4918">
      <w:pPr>
        <w:tabs>
          <w:tab w:val="left" w:pos="851"/>
        </w:tabs>
        <w:ind w:left="851"/>
        <w:rPr>
          <w:sz w:val="24"/>
          <w:szCs w:val="24"/>
        </w:rPr>
      </w:pPr>
      <w:r w:rsidRPr="00AF4918">
        <w:rPr>
          <w:sz w:val="24"/>
          <w:szCs w:val="24"/>
        </w:rPr>
        <w:t>Hos kvinder med intakt uterus, øger langvarig behandling med østrogen alene risikoen for endometriehyperplasi og karcinom. Den rapporterede øgede risiko for endometriecancer hos brugere, der tager østrogen alene, varierer fra 2 til 12 gange større sammenlignet med ikke-brugere afhængigt af behandlingsvarighed og østrogendosis (se pkt. 4.8). Efter ophørt behandling kan risikoen forblive forhøjet i mere end 10 år.</w:t>
      </w:r>
    </w:p>
    <w:p w:rsidR="00AF4918" w:rsidRPr="00AF4918" w:rsidRDefault="00AF4918" w:rsidP="00AF4918">
      <w:pPr>
        <w:tabs>
          <w:tab w:val="left" w:pos="851"/>
        </w:tabs>
        <w:ind w:left="851"/>
        <w:rPr>
          <w:sz w:val="24"/>
          <w:szCs w:val="24"/>
        </w:rPr>
      </w:pPr>
    </w:p>
    <w:p w:rsidR="00AF4918" w:rsidRPr="00AF4918" w:rsidRDefault="00AF4918" w:rsidP="00AF4918">
      <w:pPr>
        <w:tabs>
          <w:tab w:val="left" w:pos="851"/>
        </w:tabs>
        <w:ind w:left="851"/>
        <w:rPr>
          <w:sz w:val="24"/>
          <w:szCs w:val="24"/>
        </w:rPr>
      </w:pPr>
      <w:r w:rsidRPr="00AF4918">
        <w:rPr>
          <w:sz w:val="24"/>
          <w:szCs w:val="24"/>
        </w:rPr>
        <w:t>Kombination med gestagen i mindst 12 cyklusdage forhindrer den ekstra risiko, der er associeret med HRT med østrogen alene hos ikke-hysterektomerede kvinder.</w:t>
      </w:r>
    </w:p>
    <w:p w:rsidR="00AF4918" w:rsidRPr="00AF4918" w:rsidRDefault="00AF4918" w:rsidP="00AF4918">
      <w:pPr>
        <w:tabs>
          <w:tab w:val="left" w:pos="851"/>
        </w:tabs>
        <w:ind w:left="851"/>
        <w:rPr>
          <w:sz w:val="24"/>
          <w:szCs w:val="24"/>
        </w:rPr>
      </w:pPr>
    </w:p>
    <w:p w:rsidR="00AF4918" w:rsidRPr="00AF4918" w:rsidRDefault="00AF4918" w:rsidP="00AF4918">
      <w:pPr>
        <w:tabs>
          <w:tab w:val="left" w:pos="851"/>
        </w:tabs>
        <w:ind w:left="851"/>
        <w:rPr>
          <w:sz w:val="24"/>
          <w:szCs w:val="24"/>
        </w:rPr>
      </w:pPr>
      <w:r w:rsidRPr="00AF4918">
        <w:rPr>
          <w:sz w:val="24"/>
          <w:szCs w:val="24"/>
        </w:rPr>
        <w:t>Gennembrudsblødning og pletblødning kan forekomme i løbet af de første måneder ved behandlingen af kvinder med intakt uterus. Hvis gennembrudsblødningen eller pletblødningen optræder under behandlingen eller vedvarer efter ophør af behandlingen, bør årsagen hertil undersøges. Dette kan inkludere endometriebiopsi for at udelukke malign endometriose.</w:t>
      </w:r>
    </w:p>
    <w:p w:rsidR="00AF4918" w:rsidRPr="00AF4918" w:rsidRDefault="00AF4918" w:rsidP="00AF4918">
      <w:pPr>
        <w:tabs>
          <w:tab w:val="left" w:pos="851"/>
        </w:tabs>
        <w:ind w:left="851"/>
        <w:rPr>
          <w:sz w:val="24"/>
          <w:szCs w:val="24"/>
        </w:rPr>
      </w:pPr>
    </w:p>
    <w:p w:rsidR="00AF4918" w:rsidRPr="00AF4918" w:rsidRDefault="00AF4918" w:rsidP="00AF4918">
      <w:pPr>
        <w:tabs>
          <w:tab w:val="left" w:pos="851"/>
        </w:tabs>
        <w:ind w:left="851"/>
        <w:rPr>
          <w:sz w:val="24"/>
          <w:szCs w:val="24"/>
        </w:rPr>
      </w:pPr>
      <w:r w:rsidRPr="00AF4918">
        <w:rPr>
          <w:sz w:val="24"/>
          <w:szCs w:val="24"/>
        </w:rPr>
        <w:t>Stimulation med østrogen alene kan medføre præmalign eller malign ændring af den resterende endometriose. Der skal overvejes et tilskud af gestagen til kvinder, som har fået hysterektomi pga. endometriose, hvis de har rester af endometriose-væv.</w:t>
      </w:r>
    </w:p>
    <w:p w:rsidR="00AF4918" w:rsidRPr="00AF4918" w:rsidRDefault="00AF4918" w:rsidP="00AF4918">
      <w:pPr>
        <w:tabs>
          <w:tab w:val="left" w:pos="851"/>
        </w:tabs>
        <w:ind w:left="851"/>
        <w:rPr>
          <w:sz w:val="24"/>
          <w:szCs w:val="24"/>
        </w:rPr>
      </w:pPr>
    </w:p>
    <w:p w:rsidR="00AF4918" w:rsidRPr="00AF4918" w:rsidRDefault="00AF4918" w:rsidP="00AF4918">
      <w:pPr>
        <w:tabs>
          <w:tab w:val="left" w:pos="851"/>
        </w:tabs>
        <w:ind w:left="851"/>
        <w:rPr>
          <w:sz w:val="24"/>
          <w:szCs w:val="24"/>
          <w:u w:val="single"/>
        </w:rPr>
      </w:pPr>
      <w:r w:rsidRPr="00AF4918">
        <w:rPr>
          <w:sz w:val="24"/>
          <w:szCs w:val="24"/>
          <w:u w:val="single"/>
        </w:rPr>
        <w:t>Brystcancer</w:t>
      </w:r>
    </w:p>
    <w:p w:rsidR="00AF4918" w:rsidRPr="00AF4918" w:rsidRDefault="00AF4918" w:rsidP="00AF4918">
      <w:pPr>
        <w:tabs>
          <w:tab w:val="left" w:pos="851"/>
        </w:tabs>
        <w:ind w:left="851"/>
        <w:rPr>
          <w:sz w:val="24"/>
          <w:szCs w:val="24"/>
        </w:rPr>
      </w:pPr>
      <w:r w:rsidRPr="00AF4918">
        <w:rPr>
          <w:sz w:val="24"/>
          <w:szCs w:val="24"/>
        </w:rPr>
        <w:t>Den overordnede evidens viser en øget risiko for brystcancer hos kvinder, der får HRT med en kombination af østrogen og gestagen eller med østrogen alene. Denne risiko er afhængig af varigheden af HRT behandlingen.</w:t>
      </w:r>
    </w:p>
    <w:p w:rsidR="00AF4918" w:rsidRPr="00AF4918" w:rsidRDefault="00AF4918" w:rsidP="00AF4918">
      <w:pPr>
        <w:tabs>
          <w:tab w:val="left" w:pos="851"/>
        </w:tabs>
        <w:ind w:left="851"/>
        <w:rPr>
          <w:sz w:val="24"/>
          <w:szCs w:val="24"/>
        </w:rPr>
      </w:pPr>
    </w:p>
    <w:p w:rsidR="00AF4918" w:rsidRPr="00AF4918" w:rsidRDefault="00AF4918" w:rsidP="00AF4918">
      <w:pPr>
        <w:tabs>
          <w:tab w:val="left" w:pos="851"/>
        </w:tabs>
        <w:ind w:left="851"/>
        <w:rPr>
          <w:sz w:val="24"/>
          <w:szCs w:val="24"/>
        </w:rPr>
      </w:pPr>
      <w:r w:rsidRPr="00AF4918">
        <w:rPr>
          <w:sz w:val="24"/>
          <w:szCs w:val="24"/>
        </w:rPr>
        <w:t>WHI-studiet (the Women’s Health Initiative study) viste ingen forøgelse af risiko for brystcancer hos hysterektomerede kvinder der bruger østrogen alene HRT. Observations studier har hovedsaligt rapporteret en lille forøgelse af risikoen for at få diagnosticeret brystcancer som er lavere end hos dem der bruger østrogen-gestagen kombinationer (se pkt. 4.8).</w:t>
      </w:r>
    </w:p>
    <w:p w:rsidR="00AF4918" w:rsidRPr="00AF4918" w:rsidRDefault="00AF4918" w:rsidP="00AF4918">
      <w:pPr>
        <w:tabs>
          <w:tab w:val="left" w:pos="851"/>
        </w:tabs>
        <w:ind w:left="851"/>
        <w:rPr>
          <w:sz w:val="24"/>
          <w:szCs w:val="24"/>
        </w:rPr>
      </w:pPr>
      <w:r w:rsidRPr="00AF4918">
        <w:rPr>
          <w:sz w:val="24"/>
          <w:szCs w:val="24"/>
        </w:rPr>
        <w:t xml:space="preserve"> </w:t>
      </w:r>
    </w:p>
    <w:p w:rsidR="00AF4918" w:rsidRPr="00AF4918" w:rsidRDefault="00AF4918" w:rsidP="00AF4918">
      <w:pPr>
        <w:tabs>
          <w:tab w:val="left" w:pos="851"/>
        </w:tabs>
        <w:ind w:left="851"/>
        <w:rPr>
          <w:sz w:val="24"/>
          <w:szCs w:val="24"/>
        </w:rPr>
      </w:pPr>
      <w:r w:rsidRPr="00AF4918">
        <w:rPr>
          <w:sz w:val="24"/>
          <w:szCs w:val="24"/>
        </w:rPr>
        <w:t>Resultaterne af en stor metaanalyse viste, at den øgede risiko vil falde over tid efter behandlingsophør, og den tid, det vil tage, før den øgede risiko er vendt tilbage til baseline, afhænger af varigheden af den tidligere HRT-behandling. Hvis HRT-behandlingen blev taget i mere end 5 år, kan risikoen vare ved i 10 år eller derover.</w:t>
      </w:r>
    </w:p>
    <w:p w:rsidR="00AF4918" w:rsidRPr="00AF4918" w:rsidRDefault="00AF4918" w:rsidP="00AF4918">
      <w:pPr>
        <w:tabs>
          <w:tab w:val="left" w:pos="851"/>
        </w:tabs>
        <w:ind w:left="851"/>
        <w:rPr>
          <w:sz w:val="24"/>
          <w:szCs w:val="24"/>
        </w:rPr>
      </w:pPr>
    </w:p>
    <w:p w:rsidR="00AF4918" w:rsidRPr="00AF4918" w:rsidRDefault="00AF4918" w:rsidP="00AF4918">
      <w:pPr>
        <w:tabs>
          <w:tab w:val="left" w:pos="851"/>
        </w:tabs>
        <w:ind w:left="851"/>
        <w:rPr>
          <w:sz w:val="24"/>
          <w:szCs w:val="24"/>
        </w:rPr>
      </w:pPr>
      <w:r w:rsidRPr="00AF4918">
        <w:rPr>
          <w:sz w:val="24"/>
          <w:szCs w:val="24"/>
        </w:rPr>
        <w:t>HRT, specielt kombineret østrogen-gestagen behandling, øger densiteten af brystvævet på mammografibilleder, hvilket vanskeliggør den radiologiske diagnostik af brystcancer.</w:t>
      </w:r>
    </w:p>
    <w:p w:rsidR="00AF4918" w:rsidRPr="00AF4918" w:rsidRDefault="00AF4918" w:rsidP="00AF4918">
      <w:pPr>
        <w:tabs>
          <w:tab w:val="left" w:pos="851"/>
        </w:tabs>
        <w:ind w:left="851"/>
        <w:rPr>
          <w:sz w:val="24"/>
          <w:szCs w:val="24"/>
        </w:rPr>
      </w:pPr>
    </w:p>
    <w:p w:rsidR="00AF4918" w:rsidRPr="00AF4918" w:rsidRDefault="00AF4918" w:rsidP="00AF4918">
      <w:pPr>
        <w:tabs>
          <w:tab w:val="left" w:pos="851"/>
        </w:tabs>
        <w:ind w:left="851"/>
        <w:rPr>
          <w:sz w:val="24"/>
          <w:szCs w:val="24"/>
          <w:u w:val="single"/>
        </w:rPr>
      </w:pPr>
      <w:r w:rsidRPr="00AF4918">
        <w:rPr>
          <w:sz w:val="24"/>
          <w:szCs w:val="24"/>
          <w:u w:val="single"/>
        </w:rPr>
        <w:t>Ovariecancer</w:t>
      </w:r>
    </w:p>
    <w:p w:rsidR="00AF4918" w:rsidRPr="00AF4918" w:rsidRDefault="00AF4918" w:rsidP="00AF4918">
      <w:pPr>
        <w:tabs>
          <w:tab w:val="left" w:pos="851"/>
        </w:tabs>
        <w:ind w:left="851"/>
        <w:rPr>
          <w:sz w:val="24"/>
          <w:szCs w:val="24"/>
        </w:rPr>
      </w:pPr>
      <w:r w:rsidRPr="00AF4918">
        <w:rPr>
          <w:sz w:val="24"/>
          <w:szCs w:val="24"/>
        </w:rPr>
        <w:t xml:space="preserve">Ovariecancer forekommer langt sjældnere end brystcancer. Epidemiologisk evidens fra en omfattende metaanalyse tyder på, at risikoen er let forhøjet hos kvinder, der tager HRT med østrogen alene eller med kombineret østrogen og gestagen. Den let forhøjede risiko ses inden for 5 års behandling og aftager gradvist efter seponering. Visse andre studier, herunder WHI-studiet, tyder på, at langvarig brug af </w:t>
      </w:r>
      <w:bookmarkStart w:id="6" w:name="_Hlk185413988"/>
      <w:r w:rsidRPr="00AF4918">
        <w:rPr>
          <w:sz w:val="24"/>
          <w:szCs w:val="24"/>
        </w:rPr>
        <w:t xml:space="preserve">kombinations </w:t>
      </w:r>
      <w:bookmarkEnd w:id="6"/>
      <w:r w:rsidRPr="00AF4918">
        <w:rPr>
          <w:sz w:val="24"/>
          <w:szCs w:val="24"/>
        </w:rPr>
        <w:t>HRT-præparater kan være forbundet med en lignende eller lidt mindre risiko (se pkt. 4.8).</w:t>
      </w:r>
    </w:p>
    <w:p w:rsidR="00AF4918" w:rsidRPr="00AF4918" w:rsidRDefault="00AF4918" w:rsidP="00AF4918">
      <w:pPr>
        <w:tabs>
          <w:tab w:val="left" w:pos="851"/>
        </w:tabs>
        <w:ind w:left="851"/>
        <w:rPr>
          <w:sz w:val="24"/>
          <w:szCs w:val="24"/>
        </w:rPr>
      </w:pPr>
    </w:p>
    <w:p w:rsidR="00AF4918" w:rsidRPr="00AF4918" w:rsidRDefault="00AF4918" w:rsidP="00AF4918">
      <w:pPr>
        <w:tabs>
          <w:tab w:val="left" w:pos="851"/>
        </w:tabs>
        <w:ind w:left="851"/>
        <w:rPr>
          <w:sz w:val="24"/>
          <w:szCs w:val="24"/>
          <w:u w:val="single"/>
        </w:rPr>
      </w:pPr>
      <w:r w:rsidRPr="00AF4918">
        <w:rPr>
          <w:sz w:val="24"/>
          <w:szCs w:val="24"/>
          <w:u w:val="single"/>
        </w:rPr>
        <w:t>Venøs tromboemboli</w:t>
      </w:r>
    </w:p>
    <w:p w:rsidR="00AF4918" w:rsidRPr="00AF4918" w:rsidRDefault="00AF4918" w:rsidP="00AF4918">
      <w:pPr>
        <w:tabs>
          <w:tab w:val="left" w:pos="851"/>
        </w:tabs>
        <w:ind w:left="851"/>
        <w:rPr>
          <w:sz w:val="24"/>
          <w:szCs w:val="24"/>
        </w:rPr>
      </w:pPr>
      <w:r w:rsidRPr="00AF4918">
        <w:rPr>
          <w:sz w:val="24"/>
          <w:szCs w:val="24"/>
        </w:rPr>
        <w:t>HRT forbindes med en 1,3 til 3 gange forøget risiko for at udvikle venøs tromboemboli (VTE) f.eks. dyb venetrombose eller lungeemboli. Forekomsten af sådanne tilfælde er mere sandsynlig i det første år af HRT behandlingen end senere (se pkt. 4.8).</w:t>
      </w:r>
    </w:p>
    <w:p w:rsidR="00AF4918" w:rsidRPr="00AF4918" w:rsidRDefault="00AF4918" w:rsidP="00AF4918">
      <w:pPr>
        <w:tabs>
          <w:tab w:val="left" w:pos="851"/>
        </w:tabs>
        <w:ind w:left="851"/>
        <w:rPr>
          <w:sz w:val="24"/>
          <w:szCs w:val="24"/>
        </w:rPr>
      </w:pPr>
    </w:p>
    <w:p w:rsidR="00AF4918" w:rsidRPr="00AF4918" w:rsidRDefault="00AF4918" w:rsidP="00AF4918">
      <w:pPr>
        <w:tabs>
          <w:tab w:val="left" w:pos="851"/>
        </w:tabs>
        <w:ind w:left="851"/>
        <w:rPr>
          <w:sz w:val="24"/>
          <w:szCs w:val="24"/>
        </w:rPr>
      </w:pPr>
      <w:r w:rsidRPr="00AF4918">
        <w:rPr>
          <w:sz w:val="24"/>
          <w:szCs w:val="24"/>
        </w:rPr>
        <w:t>Patienter med kendte trombofile tilstande har en øget risiko for VTE, og HRT kan forøge denne risiko yderligere. HRT er derfor kontraindiceret hos disse patienter (se pkt. 4.3).</w:t>
      </w:r>
    </w:p>
    <w:p w:rsidR="00AF4918" w:rsidRPr="00AF4918" w:rsidRDefault="00AF4918" w:rsidP="00AF4918">
      <w:pPr>
        <w:tabs>
          <w:tab w:val="left" w:pos="851"/>
        </w:tabs>
        <w:ind w:left="851"/>
        <w:rPr>
          <w:sz w:val="24"/>
          <w:szCs w:val="24"/>
        </w:rPr>
      </w:pPr>
    </w:p>
    <w:p w:rsidR="00AF4918" w:rsidRPr="00AF4918" w:rsidRDefault="00AF4918" w:rsidP="00AF4918">
      <w:pPr>
        <w:tabs>
          <w:tab w:val="left" w:pos="851"/>
        </w:tabs>
        <w:ind w:left="851"/>
        <w:rPr>
          <w:sz w:val="24"/>
          <w:szCs w:val="24"/>
        </w:rPr>
      </w:pPr>
      <w:r w:rsidRPr="00AF4918">
        <w:rPr>
          <w:sz w:val="24"/>
          <w:szCs w:val="24"/>
        </w:rPr>
        <w:t>Almindeligt anerkendte risikofaktorer for VTE omfatter brug af østrogener, høj alder, omfattende kirurgi, vedvarende immobilisering, overvægt (BMI &gt;30 kg/m</w:t>
      </w:r>
      <w:r w:rsidRPr="00AF4918">
        <w:rPr>
          <w:sz w:val="24"/>
          <w:szCs w:val="24"/>
          <w:vertAlign w:val="superscript"/>
        </w:rPr>
        <w:t>2</w:t>
      </w:r>
      <w:r w:rsidRPr="00AF4918">
        <w:rPr>
          <w:sz w:val="24"/>
          <w:szCs w:val="24"/>
        </w:rPr>
        <w:t>), graviditet/postpartum periode, systemisk lupus erythematosus (SLE) og cancer. Der er ingen concensus omkring sammenhængen mellem åreknuder og VTE.</w:t>
      </w:r>
    </w:p>
    <w:p w:rsidR="00AF4918" w:rsidRPr="00AF4918" w:rsidRDefault="00AF4918" w:rsidP="00AF4918">
      <w:pPr>
        <w:tabs>
          <w:tab w:val="left" w:pos="851"/>
        </w:tabs>
        <w:ind w:left="851"/>
        <w:rPr>
          <w:sz w:val="24"/>
          <w:szCs w:val="24"/>
        </w:rPr>
      </w:pPr>
    </w:p>
    <w:p w:rsidR="00AF4918" w:rsidRPr="00AF4918" w:rsidRDefault="00AF4918" w:rsidP="00AF4918">
      <w:pPr>
        <w:tabs>
          <w:tab w:val="left" w:pos="851"/>
        </w:tabs>
        <w:ind w:left="851"/>
        <w:rPr>
          <w:sz w:val="24"/>
          <w:szCs w:val="24"/>
        </w:rPr>
      </w:pPr>
      <w:r w:rsidRPr="00AF4918">
        <w:rPr>
          <w:sz w:val="24"/>
          <w:szCs w:val="24"/>
        </w:rPr>
        <w:t>Som for alle postoperative patienter bør omhyggelige profylaktiske forholdsregler tages i betragtning for at forhindre venøs trombose efter operation. Hvis patienten skal immobiliseres i længere tid efter elektiv kirurgi, anbefales det at stoppe HRT behandlingen midlertidigt 4 til 6 uger før operationen. Hormonbehandlingen bør ikke genoptages, før kvinden igen er helt mobil.</w:t>
      </w:r>
    </w:p>
    <w:p w:rsidR="00AF4918" w:rsidRPr="00AF4918" w:rsidRDefault="00AF4918" w:rsidP="00AF4918">
      <w:pPr>
        <w:tabs>
          <w:tab w:val="left" w:pos="851"/>
        </w:tabs>
        <w:ind w:left="851"/>
        <w:rPr>
          <w:sz w:val="24"/>
          <w:szCs w:val="24"/>
        </w:rPr>
      </w:pPr>
    </w:p>
    <w:p w:rsidR="00AF4918" w:rsidRPr="00AF4918" w:rsidRDefault="00AF4918" w:rsidP="00AF4918">
      <w:pPr>
        <w:tabs>
          <w:tab w:val="left" w:pos="851"/>
        </w:tabs>
        <w:ind w:left="851"/>
        <w:rPr>
          <w:sz w:val="24"/>
          <w:szCs w:val="24"/>
        </w:rPr>
      </w:pPr>
      <w:r w:rsidRPr="00AF4918">
        <w:rPr>
          <w:sz w:val="24"/>
          <w:szCs w:val="24"/>
        </w:rPr>
        <w:t>Hos kvinder uden anamnestisk VTE, men med et nært familiemedlem, som har haft tromboemboli i en tidlig alder, kan screening tilbydes efter grundig rådgivning omkring dens begrænsninger (kun en del trombofile defekter identificeres ved screening). Hvis der identificeres en trombofilidefekt, der segregerer med trombose hos familiemedlemmer, eller hvis defekten er alvorlig (f.eks. antitrombin, protein S, eller protein C insufficiens eller en kombination af disse), er HRT kontraindiceret.</w:t>
      </w:r>
    </w:p>
    <w:p w:rsidR="00AF4918" w:rsidRPr="00AF4918" w:rsidRDefault="00AF4918" w:rsidP="00AF4918">
      <w:pPr>
        <w:tabs>
          <w:tab w:val="left" w:pos="851"/>
        </w:tabs>
        <w:ind w:left="851"/>
        <w:rPr>
          <w:sz w:val="24"/>
          <w:szCs w:val="24"/>
        </w:rPr>
      </w:pPr>
    </w:p>
    <w:p w:rsidR="00AF4918" w:rsidRPr="00AF4918" w:rsidRDefault="00AF4918" w:rsidP="00AF4918">
      <w:pPr>
        <w:tabs>
          <w:tab w:val="left" w:pos="851"/>
        </w:tabs>
        <w:ind w:left="851"/>
        <w:rPr>
          <w:sz w:val="24"/>
          <w:szCs w:val="24"/>
        </w:rPr>
      </w:pPr>
      <w:r w:rsidRPr="00AF4918">
        <w:rPr>
          <w:sz w:val="24"/>
          <w:szCs w:val="24"/>
        </w:rPr>
        <w:t>For kvinder, der allerede er i kronisk antikoagulations-behandling, skal fordelene ved en HRT behandling nøje afvejes mod risikoen.</w:t>
      </w:r>
    </w:p>
    <w:p w:rsidR="00AF4918" w:rsidRPr="00AF4918" w:rsidRDefault="00AF4918" w:rsidP="00AF4918">
      <w:pPr>
        <w:tabs>
          <w:tab w:val="left" w:pos="851"/>
        </w:tabs>
        <w:ind w:left="851"/>
        <w:rPr>
          <w:sz w:val="24"/>
          <w:szCs w:val="24"/>
        </w:rPr>
      </w:pPr>
    </w:p>
    <w:p w:rsidR="00AF4918" w:rsidRPr="00AF4918" w:rsidRDefault="00AF4918" w:rsidP="00AF4918">
      <w:pPr>
        <w:tabs>
          <w:tab w:val="left" w:pos="851"/>
        </w:tabs>
        <w:ind w:left="851"/>
        <w:rPr>
          <w:sz w:val="24"/>
          <w:szCs w:val="24"/>
        </w:rPr>
      </w:pPr>
      <w:r w:rsidRPr="00AF4918">
        <w:rPr>
          <w:sz w:val="24"/>
          <w:szCs w:val="24"/>
        </w:rPr>
        <w:t>Hvis der opstår VTE efter start af behandlingen bør lægemidlet seponeres. Patienter skal opfordres til straks at søge læge ved mulige symptomer på tromboemboli (f.eks. smertefuld hævelse af et ben, pludselige brystsmerter, dyspnoea).</w:t>
      </w:r>
    </w:p>
    <w:p w:rsidR="00AF4918" w:rsidRPr="00AF4918" w:rsidRDefault="00AF4918" w:rsidP="00AF4918">
      <w:pPr>
        <w:tabs>
          <w:tab w:val="left" w:pos="851"/>
        </w:tabs>
        <w:ind w:left="851"/>
        <w:rPr>
          <w:sz w:val="24"/>
          <w:szCs w:val="24"/>
        </w:rPr>
      </w:pPr>
    </w:p>
    <w:p w:rsidR="00AF4918" w:rsidRPr="00AF4918" w:rsidRDefault="00AF4918" w:rsidP="00AF4918">
      <w:pPr>
        <w:tabs>
          <w:tab w:val="left" w:pos="851"/>
        </w:tabs>
        <w:ind w:left="851"/>
        <w:rPr>
          <w:sz w:val="24"/>
          <w:szCs w:val="24"/>
          <w:u w:val="single"/>
        </w:rPr>
      </w:pPr>
      <w:r w:rsidRPr="00AF4918">
        <w:rPr>
          <w:sz w:val="24"/>
          <w:szCs w:val="24"/>
          <w:u w:val="single"/>
        </w:rPr>
        <w:t>Lidelser i kranspulsåren (CAD)</w:t>
      </w:r>
    </w:p>
    <w:p w:rsidR="00AF4918" w:rsidRPr="00AF4918" w:rsidRDefault="00AF4918" w:rsidP="00AF4918">
      <w:pPr>
        <w:tabs>
          <w:tab w:val="left" w:pos="851"/>
        </w:tabs>
        <w:ind w:left="851"/>
        <w:rPr>
          <w:sz w:val="24"/>
          <w:szCs w:val="24"/>
        </w:rPr>
      </w:pPr>
      <w:r w:rsidRPr="00AF4918">
        <w:rPr>
          <w:sz w:val="24"/>
          <w:szCs w:val="24"/>
        </w:rPr>
        <w:t>Der er ingen evidens fra randomiserede, kontrollerede forsøg om beskyttelse mod myokardieinfarkt hos kvinder med eller uden eksisterende CAD, som modtog kombineret østrogen-gestagen eller HRT med østrogen alene.</w:t>
      </w:r>
    </w:p>
    <w:p w:rsidR="00AF4918" w:rsidRPr="00AF4918" w:rsidRDefault="00AF4918" w:rsidP="00AF4918">
      <w:pPr>
        <w:tabs>
          <w:tab w:val="left" w:pos="851"/>
        </w:tabs>
        <w:ind w:left="851"/>
        <w:rPr>
          <w:sz w:val="24"/>
          <w:szCs w:val="24"/>
        </w:rPr>
      </w:pPr>
    </w:p>
    <w:p w:rsidR="00AF4918" w:rsidRPr="00AF4918" w:rsidRDefault="00AF4918" w:rsidP="00AF4918">
      <w:pPr>
        <w:tabs>
          <w:tab w:val="left" w:pos="851"/>
        </w:tabs>
        <w:ind w:left="851"/>
        <w:rPr>
          <w:sz w:val="24"/>
          <w:szCs w:val="24"/>
        </w:rPr>
      </w:pPr>
      <w:r w:rsidRPr="00AF4918">
        <w:rPr>
          <w:sz w:val="24"/>
          <w:szCs w:val="24"/>
        </w:rPr>
        <w:t>Randomiserede kontrollerede data har ikke vist nogen forøget risiko af CAD hos hysterektomerede kvinder der behandles med østrogen alene.</w:t>
      </w:r>
    </w:p>
    <w:p w:rsidR="00AF4918" w:rsidRPr="00AF4918" w:rsidRDefault="00AF4918" w:rsidP="00AF4918">
      <w:pPr>
        <w:tabs>
          <w:tab w:val="left" w:pos="851"/>
        </w:tabs>
        <w:ind w:left="851"/>
        <w:rPr>
          <w:sz w:val="24"/>
          <w:szCs w:val="24"/>
        </w:rPr>
      </w:pPr>
    </w:p>
    <w:p w:rsidR="00AF4918" w:rsidRPr="00AF4918" w:rsidRDefault="00AF4918" w:rsidP="00AF4918">
      <w:pPr>
        <w:tabs>
          <w:tab w:val="left" w:pos="851"/>
        </w:tabs>
        <w:ind w:left="851"/>
        <w:rPr>
          <w:sz w:val="24"/>
          <w:szCs w:val="24"/>
          <w:u w:val="single"/>
        </w:rPr>
      </w:pPr>
      <w:r w:rsidRPr="00AF4918">
        <w:rPr>
          <w:sz w:val="24"/>
          <w:szCs w:val="24"/>
          <w:u w:val="single"/>
        </w:rPr>
        <w:t>Iskæmisk slagtilfælde</w:t>
      </w:r>
    </w:p>
    <w:p w:rsidR="00AF4918" w:rsidRPr="00AF4918" w:rsidRDefault="00AF4918" w:rsidP="00AF4918">
      <w:pPr>
        <w:tabs>
          <w:tab w:val="left" w:pos="851"/>
        </w:tabs>
        <w:ind w:left="851"/>
        <w:rPr>
          <w:sz w:val="24"/>
          <w:szCs w:val="24"/>
        </w:rPr>
      </w:pPr>
      <w:r w:rsidRPr="00AF4918">
        <w:rPr>
          <w:sz w:val="24"/>
          <w:szCs w:val="24"/>
        </w:rPr>
        <w:t>Behandling med kombineret østrogen-gestagen og østrogen alene er associeret med en op til 1,5 gange forøgelse af risikoen for iskæmisk slagtilfælde. Den relative risiko ændres ikke med alderen eller tid siden menopause. Dog er den basale risiko for slagtilfælde stærkt aldersafhængig. Den samlede risiko for at få slagtilfælde hos kvinder, der bruger HRT, vil derfor forøges med alderen (se pkt. 4.8).</w:t>
      </w:r>
    </w:p>
    <w:p w:rsidR="00AF4918" w:rsidRPr="00AF4918" w:rsidRDefault="00AF4918" w:rsidP="00AF4918">
      <w:pPr>
        <w:tabs>
          <w:tab w:val="left" w:pos="851"/>
        </w:tabs>
        <w:ind w:left="851"/>
        <w:rPr>
          <w:sz w:val="24"/>
          <w:szCs w:val="24"/>
        </w:rPr>
      </w:pPr>
    </w:p>
    <w:p w:rsidR="00AF4918" w:rsidRPr="00AF4918" w:rsidRDefault="00AF4918" w:rsidP="00AF4918">
      <w:pPr>
        <w:tabs>
          <w:tab w:val="left" w:pos="851"/>
        </w:tabs>
        <w:ind w:left="851"/>
        <w:rPr>
          <w:sz w:val="24"/>
          <w:szCs w:val="24"/>
          <w:u w:val="single"/>
        </w:rPr>
      </w:pPr>
      <w:r w:rsidRPr="00AF4918">
        <w:rPr>
          <w:sz w:val="24"/>
          <w:szCs w:val="24"/>
          <w:u w:val="single"/>
        </w:rPr>
        <w:t>Andre forhold</w:t>
      </w:r>
    </w:p>
    <w:p w:rsidR="00AF4918" w:rsidRPr="00AF4918" w:rsidRDefault="00AF4918" w:rsidP="00AF4918">
      <w:pPr>
        <w:tabs>
          <w:tab w:val="left" w:pos="851"/>
        </w:tabs>
        <w:ind w:left="851"/>
        <w:rPr>
          <w:sz w:val="24"/>
          <w:szCs w:val="24"/>
        </w:rPr>
      </w:pPr>
      <w:r w:rsidRPr="00AF4918">
        <w:rPr>
          <w:sz w:val="24"/>
          <w:szCs w:val="24"/>
        </w:rPr>
        <w:t>Østrogen kan forårsage væskeophobning, og patienter med kardial eller renal dysfunktion bør derfor overvåges nøje.</w:t>
      </w:r>
    </w:p>
    <w:p w:rsidR="00AF4918" w:rsidRPr="00AF4918" w:rsidRDefault="00AF4918" w:rsidP="00AF4918">
      <w:pPr>
        <w:tabs>
          <w:tab w:val="left" w:pos="851"/>
        </w:tabs>
        <w:ind w:left="851"/>
        <w:rPr>
          <w:sz w:val="24"/>
          <w:szCs w:val="24"/>
        </w:rPr>
      </w:pPr>
    </w:p>
    <w:p w:rsidR="00AF4918" w:rsidRPr="00AF4918" w:rsidRDefault="00AF4918" w:rsidP="00AF4918">
      <w:pPr>
        <w:tabs>
          <w:tab w:val="left" w:pos="851"/>
        </w:tabs>
        <w:ind w:left="851"/>
        <w:rPr>
          <w:sz w:val="24"/>
          <w:szCs w:val="24"/>
        </w:rPr>
      </w:pPr>
      <w:r w:rsidRPr="00AF4918">
        <w:rPr>
          <w:sz w:val="24"/>
          <w:szCs w:val="24"/>
        </w:rPr>
        <w:t>Kvinder med tidligere hypertriglyceridæmi bør følges nøje under østrogen- eller hormonsubstitutionsbehandling, da der er set sjældne tilfælde af massiv forhøjelse af plasma</w:t>
      </w:r>
      <w:r w:rsidRPr="00AF4918">
        <w:rPr>
          <w:sz w:val="24"/>
          <w:szCs w:val="24"/>
        </w:rPr>
        <w:softHyphen/>
        <w:t>triglycerider, som har medført pankreatitis i forbindelse med østrogenbehandling.</w:t>
      </w:r>
    </w:p>
    <w:p w:rsidR="00AF4918" w:rsidRPr="00AF4918" w:rsidRDefault="00AF4918" w:rsidP="00AF4918">
      <w:pPr>
        <w:tabs>
          <w:tab w:val="left" w:pos="851"/>
        </w:tabs>
        <w:ind w:left="851"/>
        <w:rPr>
          <w:sz w:val="24"/>
          <w:szCs w:val="24"/>
        </w:rPr>
      </w:pPr>
    </w:p>
    <w:p w:rsidR="00AF4918" w:rsidRPr="00AF4918" w:rsidRDefault="00AF4918" w:rsidP="00AF4918">
      <w:pPr>
        <w:tabs>
          <w:tab w:val="left" w:pos="851"/>
        </w:tabs>
        <w:ind w:left="851"/>
        <w:rPr>
          <w:sz w:val="24"/>
          <w:szCs w:val="24"/>
        </w:rPr>
      </w:pPr>
      <w:r w:rsidRPr="00AF4918">
        <w:rPr>
          <w:sz w:val="24"/>
          <w:szCs w:val="24"/>
        </w:rPr>
        <w:t>Eksogene østrogener kan fremkalde eller forværre symptomer på arveligt og erhvervet angioødem.</w:t>
      </w:r>
    </w:p>
    <w:p w:rsidR="00AF4918" w:rsidRPr="00AF4918" w:rsidRDefault="00AF4918" w:rsidP="00AF4918">
      <w:pPr>
        <w:tabs>
          <w:tab w:val="left" w:pos="851"/>
        </w:tabs>
        <w:ind w:left="851"/>
        <w:rPr>
          <w:sz w:val="24"/>
          <w:szCs w:val="24"/>
        </w:rPr>
      </w:pPr>
    </w:p>
    <w:p w:rsidR="00AF4918" w:rsidRPr="00AF4918" w:rsidRDefault="00AF4918" w:rsidP="00AF4918">
      <w:pPr>
        <w:tabs>
          <w:tab w:val="left" w:pos="851"/>
        </w:tabs>
        <w:ind w:left="851"/>
        <w:rPr>
          <w:sz w:val="24"/>
          <w:szCs w:val="24"/>
        </w:rPr>
      </w:pPr>
      <w:r w:rsidRPr="00AF4918">
        <w:rPr>
          <w:sz w:val="24"/>
          <w:szCs w:val="24"/>
        </w:rPr>
        <w:t>Østrogener øger thyroxinbindende globulin (TBG), hvilket medfører en øget totalmængde thyreoideahormon målt ved protein-bundet jodid (PBI), T4 niveauer (ved kolonne- eller radio</w:t>
      </w:r>
      <w:r w:rsidRPr="00AF4918">
        <w:rPr>
          <w:sz w:val="24"/>
          <w:szCs w:val="24"/>
        </w:rPr>
        <w:noBreakHyphen/>
        <w:t>immunanalyse) eller T3 niveauer (radio-immunanalyse). T3-optagelsen er nedsat, hvilket ses i det forhøjede TBG. Frie T4 og T3 koncentrationer er uforandrede. Andre bundne proteiner kan være forhøjet i serum, f.eks. korticosteroidbindende globulin (CBG), sexhormonbindende globulin (SHBG), hvilket medfører henholdsvis en forøgelse af cirkulerende kortikosteroider og af kønshormoner. Frie eller biologiske aktive hormonkoncentrationer er uforandret. Andre plasmaproteiner kan være forhøjet (angiotensinogen/renin substrat, alpha-I-antitrypsin, ceruloplasmin).</w:t>
      </w:r>
    </w:p>
    <w:p w:rsidR="00AF4918" w:rsidRPr="00AF4918" w:rsidRDefault="00AF4918" w:rsidP="00AF4918">
      <w:pPr>
        <w:tabs>
          <w:tab w:val="left" w:pos="851"/>
        </w:tabs>
        <w:ind w:left="851"/>
        <w:rPr>
          <w:sz w:val="24"/>
          <w:szCs w:val="24"/>
        </w:rPr>
      </w:pPr>
    </w:p>
    <w:p w:rsidR="00AF4918" w:rsidRPr="00AF4918" w:rsidRDefault="00AF4918" w:rsidP="00AF4918">
      <w:pPr>
        <w:tabs>
          <w:tab w:val="left" w:pos="851"/>
        </w:tabs>
        <w:ind w:left="851"/>
        <w:rPr>
          <w:sz w:val="24"/>
          <w:szCs w:val="24"/>
        </w:rPr>
      </w:pPr>
      <w:r w:rsidRPr="00AF4918">
        <w:rPr>
          <w:sz w:val="24"/>
          <w:szCs w:val="24"/>
        </w:rPr>
        <w:t>Brug af HRT forbedrer ikke den kognitive funktion. Der er nogen evidens for en øget risiko for mulig demens hos kvinder, som påbegyndte kontinuerlig behandling med HRT, kombineret eller med østrogen alene, efter de var fyldt 65 år.</w:t>
      </w:r>
    </w:p>
    <w:p w:rsidR="00AF4918" w:rsidRPr="00AF4918" w:rsidRDefault="00AF4918" w:rsidP="00AF4918">
      <w:pPr>
        <w:tabs>
          <w:tab w:val="left" w:pos="851"/>
        </w:tabs>
        <w:ind w:left="851"/>
        <w:rPr>
          <w:sz w:val="24"/>
          <w:szCs w:val="24"/>
        </w:rPr>
      </w:pPr>
    </w:p>
    <w:p w:rsidR="00AF4918" w:rsidRPr="00AF4918" w:rsidRDefault="00AF4918" w:rsidP="00AF4918">
      <w:pPr>
        <w:tabs>
          <w:tab w:val="left" w:pos="851"/>
        </w:tabs>
        <w:ind w:left="851"/>
        <w:rPr>
          <w:sz w:val="24"/>
          <w:szCs w:val="24"/>
          <w:u w:val="single"/>
        </w:rPr>
      </w:pPr>
      <w:r w:rsidRPr="00AF4918">
        <w:rPr>
          <w:sz w:val="24"/>
          <w:szCs w:val="24"/>
          <w:u w:val="single"/>
        </w:rPr>
        <w:t>Forhøjet ALAT</w:t>
      </w:r>
    </w:p>
    <w:p w:rsidR="00AF4918" w:rsidRPr="00AF4918" w:rsidRDefault="00AF4918" w:rsidP="00AF4918">
      <w:pPr>
        <w:tabs>
          <w:tab w:val="left" w:pos="851"/>
        </w:tabs>
        <w:ind w:left="851"/>
        <w:rPr>
          <w:sz w:val="24"/>
          <w:szCs w:val="24"/>
        </w:rPr>
      </w:pPr>
      <w:r w:rsidRPr="00AF4918">
        <w:rPr>
          <w:sz w:val="24"/>
          <w:szCs w:val="24"/>
        </w:rPr>
        <w:t>Under kliniske studier med patienter i behandling for hepatitis C-virus (HCV) infektioner, med det kombinerede regimen ombitasvir/paritaprevir/ritonavir med og uden dasabuvir, forekom forhøjet ALAT-niveau over 5 gange den øvre normalgrænse (ULN) signifikant hyppigere hos kvinder der tog ethinylestradiol-holdige lægemidler, som for eksempel kombinerede hormonelle præventionsmidler.</w:t>
      </w:r>
    </w:p>
    <w:p w:rsidR="00AF4918" w:rsidRPr="00AF4918" w:rsidRDefault="00AF4918" w:rsidP="00AF4918">
      <w:pPr>
        <w:tabs>
          <w:tab w:val="left" w:pos="851"/>
        </w:tabs>
        <w:ind w:left="851"/>
        <w:rPr>
          <w:sz w:val="24"/>
          <w:szCs w:val="24"/>
        </w:rPr>
      </w:pPr>
    </w:p>
    <w:p w:rsidR="00AF4918" w:rsidRPr="00AF4918" w:rsidRDefault="00AF4918" w:rsidP="00AF4918">
      <w:pPr>
        <w:tabs>
          <w:tab w:val="left" w:pos="851"/>
        </w:tabs>
        <w:ind w:left="851"/>
        <w:rPr>
          <w:sz w:val="24"/>
          <w:szCs w:val="24"/>
        </w:rPr>
      </w:pPr>
      <w:r w:rsidRPr="00AF4918">
        <w:rPr>
          <w:sz w:val="24"/>
          <w:szCs w:val="24"/>
        </w:rPr>
        <w:t>Derudover blev der også, hos patienter behandlet med glecaprevir/pibrentasvir, observeret forhøjet ALAT hos de kvinder, der tog lægemidler indeholdende ethinylestradiol, som for eksempel kombinerede hormonelle præventionsmidler. Kvinder, der tager andre østrogenholdige lægemidler end ethinylestradiol, som for eksempel estradiol, havde en forekomst af forhøjet ALAT svarende til den hos kvinder, der ikke fik østrogener. Men på grund af det begrænsede antal kvinder, der tager disse andre østrogener, er forsigtighed imidlertid påkrævet ved samtidig administration af det kombinerede behandlingsregimen ombitasvir/paritaprevir/ritonavir med eller uden dasabuvir, samt regimet glecaprevir/pibrentasvir. Se pkt. 4.5.</w:t>
      </w:r>
    </w:p>
    <w:p w:rsidR="00AF4918" w:rsidRPr="00AF4918" w:rsidRDefault="00AF4918" w:rsidP="00AF4918">
      <w:pPr>
        <w:tabs>
          <w:tab w:val="left" w:pos="851"/>
        </w:tabs>
        <w:ind w:left="851"/>
        <w:rPr>
          <w:sz w:val="24"/>
          <w:szCs w:val="24"/>
        </w:rPr>
      </w:pPr>
    </w:p>
    <w:p w:rsidR="00AF4918" w:rsidRPr="00AF4918" w:rsidRDefault="00AF4918" w:rsidP="00AF4918">
      <w:pPr>
        <w:tabs>
          <w:tab w:val="left" w:pos="851"/>
        </w:tabs>
        <w:ind w:left="851"/>
        <w:rPr>
          <w:sz w:val="24"/>
          <w:szCs w:val="24"/>
          <w:u w:val="single"/>
        </w:rPr>
      </w:pPr>
      <w:r w:rsidRPr="00AF4918">
        <w:rPr>
          <w:sz w:val="24"/>
          <w:szCs w:val="24"/>
          <w:u w:val="single"/>
        </w:rPr>
        <w:t>Hjælpestoffer</w:t>
      </w:r>
    </w:p>
    <w:p w:rsidR="00AF4918" w:rsidRPr="00AF4918" w:rsidRDefault="00AF4918" w:rsidP="00AF4918">
      <w:pPr>
        <w:tabs>
          <w:tab w:val="left" w:pos="851"/>
        </w:tabs>
        <w:ind w:left="851"/>
        <w:rPr>
          <w:sz w:val="24"/>
          <w:szCs w:val="24"/>
        </w:rPr>
      </w:pPr>
      <w:r w:rsidRPr="00AF4918">
        <w:rPr>
          <w:sz w:val="24"/>
          <w:szCs w:val="24"/>
        </w:rPr>
        <w:t>Oestablet tabletter indeholder lactose.</w:t>
      </w:r>
    </w:p>
    <w:p w:rsidR="00AF4918" w:rsidRPr="00AF4918" w:rsidRDefault="00AF4918" w:rsidP="00AF4918">
      <w:pPr>
        <w:tabs>
          <w:tab w:val="left" w:pos="851"/>
        </w:tabs>
        <w:ind w:left="851"/>
        <w:rPr>
          <w:sz w:val="24"/>
          <w:szCs w:val="24"/>
        </w:rPr>
      </w:pPr>
      <w:r w:rsidRPr="00AF4918">
        <w:rPr>
          <w:sz w:val="24"/>
          <w:szCs w:val="24"/>
        </w:rPr>
        <w:t>Dette lægemiddel bør ikke anvendes til patienter med hereditær galactoseintolerans, total lactasemangel eller glucose/galactosemalabsorption.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273BA4" w:rsidRPr="00273BA4" w:rsidRDefault="00273BA4" w:rsidP="00273BA4">
      <w:pPr>
        <w:tabs>
          <w:tab w:val="left" w:pos="851"/>
        </w:tabs>
        <w:ind w:left="851"/>
        <w:rPr>
          <w:sz w:val="24"/>
          <w:szCs w:val="24"/>
        </w:rPr>
      </w:pPr>
      <w:r w:rsidRPr="00273BA4">
        <w:rPr>
          <w:sz w:val="24"/>
          <w:szCs w:val="24"/>
        </w:rPr>
        <w:t>Østrogenmetabolismen kan blive forøget ved samtidig indtagelse af stoffer, som er kendt for at påvirke lægemiddelmetaboliserende enzymer, specielt cytochrom P450 enzymer såsom antiepileptika (f.eks. barbiturater, phenytoin, carbamazepin), eller bredspektrede antibiotika (rifampicin, rifabutin, nevirapin og efavirenz).</w:t>
      </w:r>
    </w:p>
    <w:p w:rsidR="00273BA4" w:rsidRPr="00273BA4" w:rsidRDefault="00273BA4" w:rsidP="00273BA4">
      <w:pPr>
        <w:tabs>
          <w:tab w:val="left" w:pos="851"/>
        </w:tabs>
        <w:ind w:left="851"/>
        <w:rPr>
          <w:sz w:val="24"/>
          <w:szCs w:val="24"/>
        </w:rPr>
      </w:pPr>
    </w:p>
    <w:p w:rsidR="00273BA4" w:rsidRPr="00273BA4" w:rsidRDefault="00273BA4" w:rsidP="00273BA4">
      <w:pPr>
        <w:tabs>
          <w:tab w:val="left" w:pos="851"/>
        </w:tabs>
        <w:ind w:left="851"/>
        <w:rPr>
          <w:sz w:val="24"/>
          <w:szCs w:val="24"/>
        </w:rPr>
      </w:pPr>
      <w:r w:rsidRPr="00273BA4">
        <w:rPr>
          <w:sz w:val="24"/>
          <w:szCs w:val="24"/>
        </w:rPr>
        <w:t>Ritonavir og nelfinavir kan, selvom de er kendt som stærke inhibitorer, tværtimod udøve forstærkende egenskaber, når de anvendes sideløbende med steroidhormoner. Naturmedicin, der indeholder perikum (</w:t>
      </w:r>
      <w:r w:rsidRPr="00273BA4">
        <w:rPr>
          <w:i/>
          <w:iCs/>
          <w:sz w:val="24"/>
          <w:szCs w:val="24"/>
        </w:rPr>
        <w:t>Hypericum Perforatum</w:t>
      </w:r>
      <w:r w:rsidRPr="00273BA4">
        <w:rPr>
          <w:sz w:val="24"/>
          <w:szCs w:val="24"/>
        </w:rPr>
        <w:t>), kan forøge østrogen-metabolismen.</w:t>
      </w:r>
    </w:p>
    <w:p w:rsidR="00273BA4" w:rsidRPr="00273BA4" w:rsidRDefault="00273BA4" w:rsidP="00273BA4">
      <w:pPr>
        <w:tabs>
          <w:tab w:val="left" w:pos="851"/>
        </w:tabs>
        <w:ind w:left="851"/>
        <w:rPr>
          <w:sz w:val="24"/>
          <w:szCs w:val="24"/>
        </w:rPr>
      </w:pPr>
    </w:p>
    <w:p w:rsidR="00273BA4" w:rsidRPr="00273BA4" w:rsidRDefault="00273BA4" w:rsidP="00273BA4">
      <w:pPr>
        <w:tabs>
          <w:tab w:val="left" w:pos="851"/>
        </w:tabs>
        <w:ind w:left="851"/>
        <w:rPr>
          <w:sz w:val="24"/>
          <w:szCs w:val="24"/>
        </w:rPr>
      </w:pPr>
      <w:r w:rsidRPr="00273BA4">
        <w:rPr>
          <w:sz w:val="24"/>
          <w:szCs w:val="24"/>
        </w:rPr>
        <w:lastRenderedPageBreak/>
        <w:t>Forøget østrogen-metabolisme kan klinisk medføre en nedsat virkning og ændringer i blødningsprofilen.</w:t>
      </w:r>
    </w:p>
    <w:p w:rsidR="00273BA4" w:rsidRPr="00273BA4" w:rsidRDefault="00273BA4" w:rsidP="00273BA4">
      <w:pPr>
        <w:tabs>
          <w:tab w:val="left" w:pos="851"/>
        </w:tabs>
        <w:ind w:left="851"/>
        <w:rPr>
          <w:sz w:val="24"/>
          <w:szCs w:val="24"/>
        </w:rPr>
      </w:pPr>
    </w:p>
    <w:p w:rsidR="00273BA4" w:rsidRPr="00273BA4" w:rsidRDefault="00273BA4" w:rsidP="00273BA4">
      <w:pPr>
        <w:tabs>
          <w:tab w:val="left" w:pos="851"/>
        </w:tabs>
        <w:ind w:left="851"/>
        <w:rPr>
          <w:sz w:val="24"/>
          <w:szCs w:val="24"/>
          <w:u w:val="single"/>
        </w:rPr>
      </w:pPr>
      <w:r w:rsidRPr="00273BA4">
        <w:rPr>
          <w:sz w:val="24"/>
          <w:szCs w:val="24"/>
          <w:u w:val="single"/>
        </w:rPr>
        <w:t>Indvirkning af HRT med østrogener på andre lægemidler</w:t>
      </w:r>
    </w:p>
    <w:p w:rsidR="00273BA4" w:rsidRPr="00273BA4" w:rsidRDefault="00273BA4" w:rsidP="00273BA4">
      <w:pPr>
        <w:tabs>
          <w:tab w:val="left" w:pos="851"/>
        </w:tabs>
        <w:ind w:left="851"/>
        <w:rPr>
          <w:sz w:val="24"/>
          <w:szCs w:val="24"/>
        </w:rPr>
      </w:pPr>
      <w:r w:rsidRPr="00273BA4">
        <w:rPr>
          <w:sz w:val="24"/>
          <w:szCs w:val="24"/>
        </w:rPr>
        <w:t>Hormonkontraceptiva, der indeholder østrogener, har vist sig at reducere plasmakoncentrationerne af lamotrigin signifikant ved samtidig administration på grund af induktion af lamotriginglukuronidering. Dette kan reducere kontrollen af anfald. Selvom den potentielle interaktion mellem hormonsubstitutionsbehandling og lamotrigin ikke er blevet undersøgt, forventes det, at der sker en lignende interaktion, som kan medføre en reduktion i kontrollen af anfald hos kvinder, der tager begge lægemidler sammen.</w:t>
      </w:r>
    </w:p>
    <w:p w:rsidR="00273BA4" w:rsidRPr="00273BA4" w:rsidRDefault="00273BA4" w:rsidP="00273BA4">
      <w:pPr>
        <w:tabs>
          <w:tab w:val="left" w:pos="851"/>
        </w:tabs>
        <w:ind w:left="851"/>
        <w:rPr>
          <w:sz w:val="24"/>
          <w:szCs w:val="24"/>
        </w:rPr>
      </w:pPr>
    </w:p>
    <w:p w:rsidR="00273BA4" w:rsidRPr="00273BA4" w:rsidRDefault="00273BA4" w:rsidP="00273BA4">
      <w:pPr>
        <w:tabs>
          <w:tab w:val="left" w:pos="851"/>
        </w:tabs>
        <w:ind w:left="851"/>
        <w:rPr>
          <w:sz w:val="24"/>
          <w:szCs w:val="24"/>
          <w:u w:val="single"/>
        </w:rPr>
      </w:pPr>
      <w:r w:rsidRPr="00273BA4">
        <w:rPr>
          <w:sz w:val="24"/>
          <w:szCs w:val="24"/>
          <w:u w:val="single"/>
        </w:rPr>
        <w:t>Farmakodynamiske interaktioner</w:t>
      </w:r>
    </w:p>
    <w:p w:rsidR="00273BA4" w:rsidRPr="00273BA4" w:rsidRDefault="00273BA4" w:rsidP="00273BA4">
      <w:pPr>
        <w:tabs>
          <w:tab w:val="left" w:pos="851"/>
        </w:tabs>
        <w:ind w:left="851"/>
        <w:rPr>
          <w:sz w:val="24"/>
          <w:szCs w:val="24"/>
        </w:rPr>
      </w:pPr>
      <w:r w:rsidRPr="00273BA4">
        <w:rPr>
          <w:sz w:val="24"/>
          <w:szCs w:val="24"/>
        </w:rPr>
        <w:t>Under kliniske studier med det kombinerede HCV-behandlingsregimen ombitasvir/paritaprevir/ritonavir med og uden dasabuvir, var forhøjede ALAT-niveauer over 5 gange den øvre normalgrænse (ULN) signifikant hyppigere hos kvinder, der tog ethinylestradiolholdige lægemidler som for eksempel kombinerede hormonelle præventionsmidler. Kvinder, der tager andre østrogenholdige lægemidler end ethinylestradiol, som for eksempel estradiol, havde en forekomst af forhøjet ALAT svarende til den hos kvinder, der ikke fik østrogener. Men på grund af det begrænsede antal kvinder, der tager disse andre østrogener, er forsigtighed imidlertid påkrævet ved samtidig administration af det kombinerede behandlingsregimen ombitasvir/paritaprevir/ritonavir med eller uden dasabuvir, samt regimet glecaprevir/pibrentasvir (se pkt. 4.4).</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rsidR="00273BA4" w:rsidRPr="00273BA4" w:rsidRDefault="00273BA4" w:rsidP="00273BA4">
      <w:pPr>
        <w:tabs>
          <w:tab w:val="left" w:pos="851"/>
        </w:tabs>
        <w:ind w:left="851"/>
        <w:rPr>
          <w:sz w:val="24"/>
          <w:szCs w:val="24"/>
        </w:rPr>
      </w:pPr>
    </w:p>
    <w:p w:rsidR="00273BA4" w:rsidRPr="00273BA4" w:rsidRDefault="00273BA4" w:rsidP="00273BA4">
      <w:pPr>
        <w:tabs>
          <w:tab w:val="left" w:pos="851"/>
        </w:tabs>
        <w:ind w:left="851"/>
        <w:rPr>
          <w:sz w:val="24"/>
          <w:szCs w:val="24"/>
          <w:u w:val="single"/>
        </w:rPr>
      </w:pPr>
      <w:r w:rsidRPr="00273BA4">
        <w:rPr>
          <w:sz w:val="24"/>
          <w:szCs w:val="24"/>
          <w:u w:val="single"/>
        </w:rPr>
        <w:t>Graviditet</w:t>
      </w:r>
    </w:p>
    <w:p w:rsidR="00273BA4" w:rsidRPr="00273BA4" w:rsidRDefault="00273BA4" w:rsidP="00273BA4">
      <w:pPr>
        <w:tabs>
          <w:tab w:val="left" w:pos="851"/>
        </w:tabs>
        <w:ind w:left="851"/>
        <w:rPr>
          <w:sz w:val="24"/>
          <w:szCs w:val="24"/>
        </w:rPr>
      </w:pPr>
      <w:r w:rsidRPr="00273BA4">
        <w:rPr>
          <w:sz w:val="24"/>
          <w:szCs w:val="24"/>
        </w:rPr>
        <w:t>Dette lægemiddel er kontraindiceret ved graviditet. Hvis graviditet konstateres under estradiolbehandling, skal hormonbehandlingen straks seponeres. Til dato har de fleste epidemiologiske studier ikke indikeret en teratogen eller foetotoksisk effekt ved utilsigtet østrogenpåvirkning af fostre.</w:t>
      </w:r>
    </w:p>
    <w:p w:rsidR="00273BA4" w:rsidRPr="00273BA4" w:rsidRDefault="00273BA4" w:rsidP="00273BA4">
      <w:pPr>
        <w:tabs>
          <w:tab w:val="left" w:pos="851"/>
        </w:tabs>
        <w:ind w:left="851"/>
        <w:rPr>
          <w:sz w:val="24"/>
          <w:szCs w:val="24"/>
        </w:rPr>
      </w:pPr>
    </w:p>
    <w:p w:rsidR="00273BA4" w:rsidRPr="00273BA4" w:rsidRDefault="00273BA4" w:rsidP="00273BA4">
      <w:pPr>
        <w:tabs>
          <w:tab w:val="left" w:pos="851"/>
        </w:tabs>
        <w:ind w:left="851"/>
        <w:rPr>
          <w:sz w:val="24"/>
          <w:szCs w:val="24"/>
          <w:u w:val="single"/>
        </w:rPr>
      </w:pPr>
      <w:r w:rsidRPr="00273BA4">
        <w:rPr>
          <w:sz w:val="24"/>
          <w:szCs w:val="24"/>
          <w:u w:val="single"/>
        </w:rPr>
        <w:t>Amning</w:t>
      </w:r>
    </w:p>
    <w:p w:rsidR="00273BA4" w:rsidRPr="00273BA4" w:rsidRDefault="00273BA4" w:rsidP="00273BA4">
      <w:pPr>
        <w:tabs>
          <w:tab w:val="left" w:pos="851"/>
        </w:tabs>
        <w:ind w:left="851"/>
        <w:rPr>
          <w:sz w:val="24"/>
          <w:szCs w:val="24"/>
        </w:rPr>
      </w:pPr>
      <w:r w:rsidRPr="00273BA4">
        <w:rPr>
          <w:sz w:val="24"/>
          <w:szCs w:val="24"/>
        </w:rPr>
        <w:t>Oestablet er kontraindiceret ved amning.</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rsidR="002D29AD" w:rsidRPr="002D29AD" w:rsidRDefault="002D29AD" w:rsidP="002D29AD">
      <w:pPr>
        <w:tabs>
          <w:tab w:val="left" w:pos="851"/>
        </w:tabs>
        <w:ind w:left="851"/>
        <w:rPr>
          <w:sz w:val="24"/>
          <w:szCs w:val="24"/>
        </w:rPr>
      </w:pPr>
      <w:r w:rsidRPr="002D29AD">
        <w:rPr>
          <w:sz w:val="24"/>
          <w:szCs w:val="24"/>
        </w:rPr>
        <w:t>Ikke mærkning</w:t>
      </w:r>
      <w:r>
        <w:rPr>
          <w:sz w:val="24"/>
          <w:szCs w:val="24"/>
        </w:rPr>
        <w:t>.</w:t>
      </w:r>
    </w:p>
    <w:p w:rsidR="002D29AD" w:rsidRPr="002D29AD" w:rsidRDefault="002D29AD" w:rsidP="002D29AD">
      <w:pPr>
        <w:tabs>
          <w:tab w:val="left" w:pos="851"/>
        </w:tabs>
        <w:ind w:left="851"/>
        <w:rPr>
          <w:sz w:val="24"/>
          <w:szCs w:val="24"/>
        </w:rPr>
      </w:pPr>
      <w:r w:rsidRPr="002D29AD">
        <w:rPr>
          <w:sz w:val="24"/>
          <w:szCs w:val="24"/>
        </w:rPr>
        <w:t>Oestablet har ingen kendt effekt på evnen til at føre motorkøretøj og betjene maskiner.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6E25FF" w:rsidRPr="004121D5" w:rsidRDefault="006E25FF" w:rsidP="004121D5">
      <w:pPr>
        <w:ind w:left="851"/>
        <w:rPr>
          <w:sz w:val="24"/>
          <w:szCs w:val="24"/>
        </w:rPr>
      </w:pPr>
    </w:p>
    <w:p w:rsidR="006E25FF" w:rsidRPr="004121D5" w:rsidRDefault="006E25FF" w:rsidP="004121D5">
      <w:pPr>
        <w:ind w:left="851"/>
        <w:rPr>
          <w:sz w:val="24"/>
          <w:szCs w:val="24"/>
          <w:u w:val="single"/>
        </w:rPr>
      </w:pPr>
      <w:r w:rsidRPr="004121D5">
        <w:rPr>
          <w:sz w:val="24"/>
          <w:szCs w:val="24"/>
          <w:u w:val="single"/>
        </w:rPr>
        <w:t>Klinisk erfaring</w:t>
      </w:r>
    </w:p>
    <w:p w:rsidR="006E25FF" w:rsidRPr="004121D5" w:rsidRDefault="006E25FF" w:rsidP="004121D5">
      <w:pPr>
        <w:ind w:left="851"/>
        <w:rPr>
          <w:iCs/>
          <w:sz w:val="24"/>
          <w:szCs w:val="24"/>
        </w:rPr>
      </w:pPr>
      <w:r w:rsidRPr="004121D5">
        <w:rPr>
          <w:iCs/>
          <w:sz w:val="24"/>
          <w:szCs w:val="24"/>
        </w:rPr>
        <w:t>I kliniske undersøgelser har mindre end 10% af patienterne haft bivirkninger. De hyppigst rapporterede bivirkninger er brystspænding/brystsmerter, ømhed i abdomen, ødemer og hovedpine. Følgende bivirkninger kan forekomme ved Oestablet behandling.</w:t>
      </w:r>
    </w:p>
    <w:p w:rsidR="006E25FF" w:rsidRDefault="006E25FF" w:rsidP="006E25FF">
      <w:pPr>
        <w:rPr>
          <w:iCs/>
          <w:szCs w:val="22"/>
        </w:rPr>
      </w:pPr>
    </w:p>
    <w:tbl>
      <w:tblPr>
        <w:tblStyle w:val="Tabel-Gitter"/>
        <w:tblW w:w="5000" w:type="pct"/>
        <w:tblInd w:w="0" w:type="dxa"/>
        <w:tblLook w:val="04A0" w:firstRow="1" w:lastRow="0" w:firstColumn="1" w:lastColumn="0" w:noHBand="0" w:noVBand="1"/>
      </w:tblPr>
      <w:tblGrid>
        <w:gridCol w:w="2658"/>
        <w:gridCol w:w="1252"/>
        <w:gridCol w:w="2061"/>
        <w:gridCol w:w="2212"/>
        <w:gridCol w:w="1445"/>
      </w:tblGrid>
      <w:tr w:rsidR="006E25FF" w:rsidTr="006E25FF">
        <w:tc>
          <w:tcPr>
            <w:tcW w:w="1406" w:type="pct"/>
            <w:tcBorders>
              <w:top w:val="single" w:sz="4" w:space="0" w:color="auto"/>
              <w:left w:val="single" w:sz="4" w:space="0" w:color="auto"/>
              <w:bottom w:val="single" w:sz="4" w:space="0" w:color="auto"/>
              <w:right w:val="single" w:sz="4" w:space="0" w:color="auto"/>
            </w:tcBorders>
            <w:hideMark/>
          </w:tcPr>
          <w:p w:rsidR="006E25FF" w:rsidRDefault="006E25FF">
            <w:pPr>
              <w:keepNext/>
              <w:autoSpaceDE w:val="0"/>
              <w:autoSpaceDN w:val="0"/>
              <w:adjustRightInd w:val="0"/>
              <w:ind w:left="33"/>
              <w:rPr>
                <w:b/>
                <w:bCs/>
                <w:szCs w:val="22"/>
              </w:rPr>
            </w:pPr>
            <w:r>
              <w:rPr>
                <w:b/>
                <w:bCs/>
                <w:szCs w:val="22"/>
              </w:rPr>
              <w:lastRenderedPageBreak/>
              <w:t>Systemorganklasser</w:t>
            </w:r>
          </w:p>
        </w:tc>
        <w:tc>
          <w:tcPr>
            <w:tcW w:w="548" w:type="pct"/>
            <w:tcBorders>
              <w:top w:val="single" w:sz="4" w:space="0" w:color="auto"/>
              <w:left w:val="single" w:sz="4" w:space="0" w:color="auto"/>
              <w:bottom w:val="single" w:sz="4" w:space="0" w:color="auto"/>
              <w:right w:val="single" w:sz="4" w:space="0" w:color="auto"/>
            </w:tcBorders>
            <w:hideMark/>
          </w:tcPr>
          <w:p w:rsidR="006E25FF" w:rsidRDefault="006E25FF">
            <w:pPr>
              <w:keepNext/>
              <w:autoSpaceDE w:val="0"/>
              <w:autoSpaceDN w:val="0"/>
              <w:adjustRightInd w:val="0"/>
              <w:ind w:firstLine="22"/>
              <w:rPr>
                <w:b/>
                <w:bCs/>
                <w:szCs w:val="22"/>
              </w:rPr>
            </w:pPr>
            <w:r>
              <w:rPr>
                <w:b/>
                <w:bCs/>
                <w:szCs w:val="22"/>
              </w:rPr>
              <w:t>Meget almindelig ≥ 1/10</w:t>
            </w:r>
          </w:p>
        </w:tc>
        <w:tc>
          <w:tcPr>
            <w:tcW w:w="1096" w:type="pct"/>
            <w:tcBorders>
              <w:top w:val="single" w:sz="4" w:space="0" w:color="auto"/>
              <w:left w:val="single" w:sz="4" w:space="0" w:color="auto"/>
              <w:bottom w:val="single" w:sz="4" w:space="0" w:color="auto"/>
              <w:right w:val="single" w:sz="4" w:space="0" w:color="auto"/>
            </w:tcBorders>
            <w:hideMark/>
          </w:tcPr>
          <w:p w:rsidR="006E25FF" w:rsidRDefault="006E25FF">
            <w:pPr>
              <w:keepNext/>
              <w:autoSpaceDE w:val="0"/>
              <w:autoSpaceDN w:val="0"/>
              <w:adjustRightInd w:val="0"/>
              <w:ind w:left="44" w:hanging="1"/>
              <w:rPr>
                <w:b/>
                <w:bCs/>
                <w:szCs w:val="22"/>
              </w:rPr>
            </w:pPr>
            <w:r>
              <w:rPr>
                <w:b/>
                <w:bCs/>
                <w:szCs w:val="22"/>
              </w:rPr>
              <w:t>Almindelig</w:t>
            </w:r>
          </w:p>
          <w:p w:rsidR="006E25FF" w:rsidRDefault="006E25FF">
            <w:pPr>
              <w:keepNext/>
              <w:autoSpaceDE w:val="0"/>
              <w:autoSpaceDN w:val="0"/>
              <w:adjustRightInd w:val="0"/>
              <w:ind w:left="44" w:hanging="1"/>
              <w:rPr>
                <w:b/>
                <w:bCs/>
                <w:szCs w:val="22"/>
              </w:rPr>
            </w:pPr>
            <w:r>
              <w:rPr>
                <w:b/>
                <w:bCs/>
                <w:szCs w:val="22"/>
              </w:rPr>
              <w:t>≥ 1/100 til &lt; 1/10</w:t>
            </w:r>
          </w:p>
        </w:tc>
        <w:tc>
          <w:tcPr>
            <w:tcW w:w="1174" w:type="pct"/>
            <w:tcBorders>
              <w:top w:val="single" w:sz="4" w:space="0" w:color="auto"/>
              <w:left w:val="single" w:sz="4" w:space="0" w:color="auto"/>
              <w:bottom w:val="single" w:sz="4" w:space="0" w:color="auto"/>
              <w:right w:val="single" w:sz="4" w:space="0" w:color="auto"/>
            </w:tcBorders>
            <w:hideMark/>
          </w:tcPr>
          <w:p w:rsidR="006E25FF" w:rsidRDefault="006E25FF">
            <w:pPr>
              <w:keepNext/>
              <w:autoSpaceDE w:val="0"/>
              <w:autoSpaceDN w:val="0"/>
              <w:adjustRightInd w:val="0"/>
              <w:ind w:firstLine="9"/>
              <w:rPr>
                <w:b/>
                <w:bCs/>
                <w:szCs w:val="22"/>
              </w:rPr>
            </w:pPr>
            <w:r>
              <w:rPr>
                <w:b/>
                <w:bCs/>
                <w:szCs w:val="22"/>
              </w:rPr>
              <w:t>Ikke almindelig</w:t>
            </w:r>
          </w:p>
          <w:p w:rsidR="006E25FF" w:rsidRDefault="006E25FF">
            <w:pPr>
              <w:keepNext/>
              <w:autoSpaceDE w:val="0"/>
              <w:autoSpaceDN w:val="0"/>
              <w:adjustRightInd w:val="0"/>
              <w:ind w:firstLine="9"/>
              <w:rPr>
                <w:b/>
                <w:bCs/>
                <w:szCs w:val="22"/>
              </w:rPr>
            </w:pPr>
            <w:r>
              <w:rPr>
                <w:b/>
                <w:bCs/>
                <w:szCs w:val="22"/>
              </w:rPr>
              <w:t>≥ 1/1.000 til &lt; 1/100</w:t>
            </w:r>
          </w:p>
        </w:tc>
        <w:tc>
          <w:tcPr>
            <w:tcW w:w="776" w:type="pct"/>
            <w:tcBorders>
              <w:top w:val="single" w:sz="4" w:space="0" w:color="auto"/>
              <w:left w:val="single" w:sz="4" w:space="0" w:color="auto"/>
              <w:bottom w:val="single" w:sz="4" w:space="0" w:color="auto"/>
              <w:right w:val="single" w:sz="4" w:space="0" w:color="auto"/>
            </w:tcBorders>
            <w:hideMark/>
          </w:tcPr>
          <w:p w:rsidR="006E25FF" w:rsidRDefault="006E25FF">
            <w:pPr>
              <w:keepNext/>
              <w:autoSpaceDE w:val="0"/>
              <w:autoSpaceDN w:val="0"/>
              <w:adjustRightInd w:val="0"/>
              <w:ind w:firstLine="19"/>
              <w:rPr>
                <w:b/>
                <w:bCs/>
                <w:szCs w:val="22"/>
              </w:rPr>
            </w:pPr>
            <w:r>
              <w:rPr>
                <w:b/>
                <w:bCs/>
                <w:szCs w:val="22"/>
              </w:rPr>
              <w:t>Sjælden</w:t>
            </w:r>
          </w:p>
          <w:p w:rsidR="006E25FF" w:rsidRDefault="006E25FF">
            <w:pPr>
              <w:keepNext/>
              <w:autoSpaceDE w:val="0"/>
              <w:autoSpaceDN w:val="0"/>
              <w:adjustRightInd w:val="0"/>
              <w:ind w:firstLine="19"/>
              <w:rPr>
                <w:b/>
                <w:bCs/>
                <w:szCs w:val="22"/>
              </w:rPr>
            </w:pPr>
            <w:r>
              <w:rPr>
                <w:b/>
                <w:bCs/>
                <w:szCs w:val="22"/>
              </w:rPr>
              <w:t>≥ 1/10.000 til &lt; 1/1.000</w:t>
            </w:r>
          </w:p>
        </w:tc>
      </w:tr>
      <w:tr w:rsidR="006E25FF" w:rsidTr="006E25FF">
        <w:tc>
          <w:tcPr>
            <w:tcW w:w="1406" w:type="pct"/>
            <w:tcBorders>
              <w:top w:val="single" w:sz="4" w:space="0" w:color="auto"/>
              <w:left w:val="single" w:sz="4" w:space="0" w:color="auto"/>
              <w:bottom w:val="single" w:sz="4" w:space="0" w:color="auto"/>
              <w:right w:val="single" w:sz="4" w:space="0" w:color="auto"/>
            </w:tcBorders>
            <w:hideMark/>
          </w:tcPr>
          <w:p w:rsidR="006E25FF" w:rsidRDefault="006E25FF">
            <w:pPr>
              <w:keepNext/>
              <w:autoSpaceDE w:val="0"/>
              <w:autoSpaceDN w:val="0"/>
              <w:adjustRightInd w:val="0"/>
              <w:rPr>
                <w:b/>
                <w:bCs/>
                <w:szCs w:val="22"/>
              </w:rPr>
            </w:pPr>
            <w:r>
              <w:rPr>
                <w:b/>
                <w:bCs/>
                <w:szCs w:val="22"/>
              </w:rPr>
              <w:t>Psykiske forstyrrelser</w:t>
            </w:r>
          </w:p>
        </w:tc>
        <w:tc>
          <w:tcPr>
            <w:tcW w:w="548" w:type="pct"/>
            <w:tcBorders>
              <w:top w:val="single" w:sz="4" w:space="0" w:color="auto"/>
              <w:left w:val="single" w:sz="4" w:space="0" w:color="auto"/>
              <w:bottom w:val="single" w:sz="4" w:space="0" w:color="auto"/>
              <w:right w:val="single" w:sz="4" w:space="0" w:color="auto"/>
            </w:tcBorders>
          </w:tcPr>
          <w:p w:rsidR="006E25FF" w:rsidRDefault="006E25FF">
            <w:pPr>
              <w:keepNext/>
              <w:autoSpaceDE w:val="0"/>
              <w:autoSpaceDN w:val="0"/>
              <w:adjustRightInd w:val="0"/>
              <w:rPr>
                <w:szCs w:val="22"/>
              </w:rPr>
            </w:pPr>
          </w:p>
        </w:tc>
        <w:tc>
          <w:tcPr>
            <w:tcW w:w="1096" w:type="pct"/>
            <w:tcBorders>
              <w:top w:val="single" w:sz="4" w:space="0" w:color="auto"/>
              <w:left w:val="single" w:sz="4" w:space="0" w:color="auto"/>
              <w:bottom w:val="single" w:sz="4" w:space="0" w:color="auto"/>
              <w:right w:val="single" w:sz="4" w:space="0" w:color="auto"/>
            </w:tcBorders>
            <w:hideMark/>
          </w:tcPr>
          <w:p w:rsidR="006E25FF" w:rsidRDefault="006E25FF">
            <w:pPr>
              <w:keepNext/>
              <w:autoSpaceDE w:val="0"/>
              <w:autoSpaceDN w:val="0"/>
              <w:adjustRightInd w:val="0"/>
              <w:ind w:left="44" w:hanging="1"/>
              <w:rPr>
                <w:szCs w:val="22"/>
              </w:rPr>
            </w:pPr>
            <w:r>
              <w:rPr>
                <w:szCs w:val="22"/>
              </w:rPr>
              <w:t>Depression</w:t>
            </w:r>
          </w:p>
        </w:tc>
        <w:tc>
          <w:tcPr>
            <w:tcW w:w="1174" w:type="pct"/>
            <w:tcBorders>
              <w:top w:val="single" w:sz="4" w:space="0" w:color="auto"/>
              <w:left w:val="single" w:sz="4" w:space="0" w:color="auto"/>
              <w:bottom w:val="single" w:sz="4" w:space="0" w:color="auto"/>
              <w:right w:val="single" w:sz="4" w:space="0" w:color="auto"/>
            </w:tcBorders>
          </w:tcPr>
          <w:p w:rsidR="006E25FF" w:rsidRDefault="006E25FF">
            <w:pPr>
              <w:keepNext/>
              <w:autoSpaceDE w:val="0"/>
              <w:autoSpaceDN w:val="0"/>
              <w:adjustRightInd w:val="0"/>
              <w:ind w:firstLine="9"/>
              <w:rPr>
                <w:szCs w:val="22"/>
              </w:rPr>
            </w:pPr>
          </w:p>
        </w:tc>
        <w:tc>
          <w:tcPr>
            <w:tcW w:w="776" w:type="pct"/>
            <w:tcBorders>
              <w:top w:val="single" w:sz="4" w:space="0" w:color="auto"/>
              <w:left w:val="single" w:sz="4" w:space="0" w:color="auto"/>
              <w:bottom w:val="single" w:sz="4" w:space="0" w:color="auto"/>
              <w:right w:val="single" w:sz="4" w:space="0" w:color="auto"/>
            </w:tcBorders>
          </w:tcPr>
          <w:p w:rsidR="006E25FF" w:rsidRDefault="006E25FF">
            <w:pPr>
              <w:keepNext/>
              <w:autoSpaceDE w:val="0"/>
              <w:autoSpaceDN w:val="0"/>
              <w:adjustRightInd w:val="0"/>
              <w:rPr>
                <w:szCs w:val="22"/>
              </w:rPr>
            </w:pPr>
          </w:p>
        </w:tc>
      </w:tr>
      <w:tr w:rsidR="006E25FF" w:rsidTr="006E25FF">
        <w:tc>
          <w:tcPr>
            <w:tcW w:w="1406" w:type="pct"/>
            <w:tcBorders>
              <w:top w:val="single" w:sz="4" w:space="0" w:color="auto"/>
              <w:left w:val="single" w:sz="4" w:space="0" w:color="auto"/>
              <w:bottom w:val="single" w:sz="4" w:space="0" w:color="auto"/>
              <w:right w:val="single" w:sz="4" w:space="0" w:color="auto"/>
            </w:tcBorders>
            <w:hideMark/>
          </w:tcPr>
          <w:p w:rsidR="006E25FF" w:rsidRDefault="006E25FF">
            <w:pPr>
              <w:keepNext/>
              <w:autoSpaceDE w:val="0"/>
              <w:autoSpaceDN w:val="0"/>
              <w:adjustRightInd w:val="0"/>
              <w:rPr>
                <w:b/>
                <w:bCs/>
                <w:szCs w:val="22"/>
              </w:rPr>
            </w:pPr>
            <w:r>
              <w:rPr>
                <w:b/>
                <w:bCs/>
                <w:szCs w:val="22"/>
              </w:rPr>
              <w:t>Nervesystemet</w:t>
            </w:r>
          </w:p>
        </w:tc>
        <w:tc>
          <w:tcPr>
            <w:tcW w:w="548" w:type="pct"/>
            <w:tcBorders>
              <w:top w:val="single" w:sz="4" w:space="0" w:color="auto"/>
              <w:left w:val="single" w:sz="4" w:space="0" w:color="auto"/>
              <w:bottom w:val="single" w:sz="4" w:space="0" w:color="auto"/>
              <w:right w:val="single" w:sz="4" w:space="0" w:color="auto"/>
            </w:tcBorders>
          </w:tcPr>
          <w:p w:rsidR="006E25FF" w:rsidRDefault="006E25FF">
            <w:pPr>
              <w:keepNext/>
              <w:autoSpaceDE w:val="0"/>
              <w:autoSpaceDN w:val="0"/>
              <w:adjustRightInd w:val="0"/>
              <w:rPr>
                <w:szCs w:val="22"/>
              </w:rPr>
            </w:pPr>
          </w:p>
        </w:tc>
        <w:tc>
          <w:tcPr>
            <w:tcW w:w="1096" w:type="pct"/>
            <w:tcBorders>
              <w:top w:val="single" w:sz="4" w:space="0" w:color="auto"/>
              <w:left w:val="single" w:sz="4" w:space="0" w:color="auto"/>
              <w:bottom w:val="single" w:sz="4" w:space="0" w:color="auto"/>
              <w:right w:val="single" w:sz="4" w:space="0" w:color="auto"/>
            </w:tcBorders>
            <w:hideMark/>
          </w:tcPr>
          <w:p w:rsidR="006E25FF" w:rsidRDefault="006E25FF">
            <w:pPr>
              <w:keepNext/>
              <w:autoSpaceDE w:val="0"/>
              <w:autoSpaceDN w:val="0"/>
              <w:adjustRightInd w:val="0"/>
              <w:ind w:left="44" w:hanging="1"/>
              <w:rPr>
                <w:szCs w:val="22"/>
              </w:rPr>
            </w:pPr>
            <w:r>
              <w:rPr>
                <w:szCs w:val="22"/>
              </w:rPr>
              <w:t>Hovedpine</w:t>
            </w:r>
          </w:p>
        </w:tc>
        <w:tc>
          <w:tcPr>
            <w:tcW w:w="1174" w:type="pct"/>
            <w:tcBorders>
              <w:top w:val="single" w:sz="4" w:space="0" w:color="auto"/>
              <w:left w:val="single" w:sz="4" w:space="0" w:color="auto"/>
              <w:bottom w:val="single" w:sz="4" w:space="0" w:color="auto"/>
              <w:right w:val="single" w:sz="4" w:space="0" w:color="auto"/>
            </w:tcBorders>
          </w:tcPr>
          <w:p w:rsidR="006E25FF" w:rsidRDefault="006E25FF">
            <w:pPr>
              <w:keepNext/>
              <w:autoSpaceDE w:val="0"/>
              <w:autoSpaceDN w:val="0"/>
              <w:adjustRightInd w:val="0"/>
              <w:ind w:firstLine="9"/>
              <w:jc w:val="center"/>
              <w:rPr>
                <w:szCs w:val="22"/>
              </w:rPr>
            </w:pPr>
          </w:p>
        </w:tc>
        <w:tc>
          <w:tcPr>
            <w:tcW w:w="776" w:type="pct"/>
            <w:tcBorders>
              <w:top w:val="single" w:sz="4" w:space="0" w:color="auto"/>
              <w:left w:val="single" w:sz="4" w:space="0" w:color="auto"/>
              <w:bottom w:val="single" w:sz="4" w:space="0" w:color="auto"/>
              <w:right w:val="single" w:sz="4" w:space="0" w:color="auto"/>
            </w:tcBorders>
          </w:tcPr>
          <w:p w:rsidR="006E25FF" w:rsidRDefault="006E25FF">
            <w:pPr>
              <w:keepNext/>
              <w:autoSpaceDE w:val="0"/>
              <w:autoSpaceDN w:val="0"/>
              <w:adjustRightInd w:val="0"/>
              <w:rPr>
                <w:szCs w:val="22"/>
              </w:rPr>
            </w:pPr>
          </w:p>
        </w:tc>
      </w:tr>
      <w:tr w:rsidR="006E25FF" w:rsidTr="006E25FF">
        <w:tc>
          <w:tcPr>
            <w:tcW w:w="1406" w:type="pct"/>
            <w:tcBorders>
              <w:top w:val="single" w:sz="4" w:space="0" w:color="auto"/>
              <w:left w:val="single" w:sz="4" w:space="0" w:color="auto"/>
              <w:bottom w:val="single" w:sz="4" w:space="0" w:color="auto"/>
              <w:right w:val="single" w:sz="4" w:space="0" w:color="auto"/>
            </w:tcBorders>
            <w:hideMark/>
          </w:tcPr>
          <w:p w:rsidR="006E25FF" w:rsidRDefault="006E25FF">
            <w:pPr>
              <w:keepNext/>
              <w:autoSpaceDE w:val="0"/>
              <w:autoSpaceDN w:val="0"/>
              <w:adjustRightInd w:val="0"/>
              <w:rPr>
                <w:b/>
                <w:bCs/>
                <w:szCs w:val="22"/>
              </w:rPr>
            </w:pPr>
            <w:r>
              <w:rPr>
                <w:b/>
                <w:bCs/>
                <w:szCs w:val="22"/>
              </w:rPr>
              <w:t>Øjne</w:t>
            </w:r>
          </w:p>
        </w:tc>
        <w:tc>
          <w:tcPr>
            <w:tcW w:w="548" w:type="pct"/>
            <w:tcBorders>
              <w:top w:val="single" w:sz="4" w:space="0" w:color="auto"/>
              <w:left w:val="single" w:sz="4" w:space="0" w:color="auto"/>
              <w:bottom w:val="single" w:sz="4" w:space="0" w:color="auto"/>
              <w:right w:val="single" w:sz="4" w:space="0" w:color="auto"/>
            </w:tcBorders>
          </w:tcPr>
          <w:p w:rsidR="006E25FF" w:rsidRDefault="006E25FF">
            <w:pPr>
              <w:keepNext/>
              <w:autoSpaceDE w:val="0"/>
              <w:autoSpaceDN w:val="0"/>
              <w:adjustRightInd w:val="0"/>
              <w:rPr>
                <w:szCs w:val="22"/>
              </w:rPr>
            </w:pPr>
          </w:p>
        </w:tc>
        <w:tc>
          <w:tcPr>
            <w:tcW w:w="1096" w:type="pct"/>
            <w:tcBorders>
              <w:top w:val="single" w:sz="4" w:space="0" w:color="auto"/>
              <w:left w:val="single" w:sz="4" w:space="0" w:color="auto"/>
              <w:bottom w:val="single" w:sz="4" w:space="0" w:color="auto"/>
              <w:right w:val="single" w:sz="4" w:space="0" w:color="auto"/>
            </w:tcBorders>
          </w:tcPr>
          <w:p w:rsidR="006E25FF" w:rsidRDefault="006E25FF">
            <w:pPr>
              <w:keepNext/>
              <w:autoSpaceDE w:val="0"/>
              <w:autoSpaceDN w:val="0"/>
              <w:adjustRightInd w:val="0"/>
              <w:ind w:left="44" w:hanging="1"/>
              <w:rPr>
                <w:szCs w:val="22"/>
              </w:rPr>
            </w:pPr>
          </w:p>
        </w:tc>
        <w:tc>
          <w:tcPr>
            <w:tcW w:w="1174" w:type="pct"/>
            <w:tcBorders>
              <w:top w:val="single" w:sz="4" w:space="0" w:color="auto"/>
              <w:left w:val="single" w:sz="4" w:space="0" w:color="auto"/>
              <w:bottom w:val="single" w:sz="4" w:space="0" w:color="auto"/>
              <w:right w:val="single" w:sz="4" w:space="0" w:color="auto"/>
            </w:tcBorders>
            <w:hideMark/>
          </w:tcPr>
          <w:p w:rsidR="006E25FF" w:rsidRDefault="006E25FF">
            <w:pPr>
              <w:keepNext/>
              <w:autoSpaceDE w:val="0"/>
              <w:autoSpaceDN w:val="0"/>
              <w:adjustRightInd w:val="0"/>
              <w:ind w:firstLine="9"/>
              <w:rPr>
                <w:szCs w:val="22"/>
              </w:rPr>
            </w:pPr>
            <w:r>
              <w:rPr>
                <w:szCs w:val="22"/>
              </w:rPr>
              <w:t>Synsforstyrrelser</w:t>
            </w:r>
          </w:p>
        </w:tc>
        <w:tc>
          <w:tcPr>
            <w:tcW w:w="776" w:type="pct"/>
            <w:tcBorders>
              <w:top w:val="single" w:sz="4" w:space="0" w:color="auto"/>
              <w:left w:val="single" w:sz="4" w:space="0" w:color="auto"/>
              <w:bottom w:val="single" w:sz="4" w:space="0" w:color="auto"/>
              <w:right w:val="single" w:sz="4" w:space="0" w:color="auto"/>
            </w:tcBorders>
          </w:tcPr>
          <w:p w:rsidR="006E25FF" w:rsidRDefault="006E25FF">
            <w:pPr>
              <w:keepNext/>
              <w:autoSpaceDE w:val="0"/>
              <w:autoSpaceDN w:val="0"/>
              <w:adjustRightInd w:val="0"/>
              <w:rPr>
                <w:szCs w:val="22"/>
              </w:rPr>
            </w:pPr>
          </w:p>
        </w:tc>
      </w:tr>
      <w:tr w:rsidR="006E25FF" w:rsidTr="006E25FF">
        <w:tc>
          <w:tcPr>
            <w:tcW w:w="1406" w:type="pct"/>
            <w:tcBorders>
              <w:top w:val="single" w:sz="4" w:space="0" w:color="auto"/>
              <w:left w:val="single" w:sz="4" w:space="0" w:color="auto"/>
              <w:bottom w:val="single" w:sz="4" w:space="0" w:color="auto"/>
              <w:right w:val="single" w:sz="4" w:space="0" w:color="auto"/>
            </w:tcBorders>
            <w:hideMark/>
          </w:tcPr>
          <w:p w:rsidR="006E25FF" w:rsidRDefault="006E25FF">
            <w:pPr>
              <w:keepNext/>
              <w:autoSpaceDE w:val="0"/>
              <w:autoSpaceDN w:val="0"/>
              <w:adjustRightInd w:val="0"/>
              <w:rPr>
                <w:b/>
                <w:bCs/>
                <w:szCs w:val="22"/>
              </w:rPr>
            </w:pPr>
            <w:r>
              <w:rPr>
                <w:b/>
                <w:bCs/>
                <w:szCs w:val="22"/>
              </w:rPr>
              <w:t>Vaskulære sygdomme</w:t>
            </w:r>
          </w:p>
        </w:tc>
        <w:tc>
          <w:tcPr>
            <w:tcW w:w="548" w:type="pct"/>
            <w:tcBorders>
              <w:top w:val="single" w:sz="4" w:space="0" w:color="auto"/>
              <w:left w:val="single" w:sz="4" w:space="0" w:color="auto"/>
              <w:bottom w:val="single" w:sz="4" w:space="0" w:color="auto"/>
              <w:right w:val="single" w:sz="4" w:space="0" w:color="auto"/>
            </w:tcBorders>
          </w:tcPr>
          <w:p w:rsidR="006E25FF" w:rsidRDefault="006E25FF">
            <w:pPr>
              <w:keepNext/>
              <w:autoSpaceDE w:val="0"/>
              <w:autoSpaceDN w:val="0"/>
              <w:adjustRightInd w:val="0"/>
              <w:rPr>
                <w:szCs w:val="22"/>
              </w:rPr>
            </w:pPr>
          </w:p>
        </w:tc>
        <w:tc>
          <w:tcPr>
            <w:tcW w:w="1096" w:type="pct"/>
            <w:tcBorders>
              <w:top w:val="single" w:sz="4" w:space="0" w:color="auto"/>
              <w:left w:val="single" w:sz="4" w:space="0" w:color="auto"/>
              <w:bottom w:val="single" w:sz="4" w:space="0" w:color="auto"/>
              <w:right w:val="single" w:sz="4" w:space="0" w:color="auto"/>
            </w:tcBorders>
          </w:tcPr>
          <w:p w:rsidR="006E25FF" w:rsidRDefault="006E25FF">
            <w:pPr>
              <w:keepNext/>
              <w:autoSpaceDE w:val="0"/>
              <w:autoSpaceDN w:val="0"/>
              <w:adjustRightInd w:val="0"/>
              <w:ind w:left="44" w:hanging="1"/>
              <w:rPr>
                <w:szCs w:val="22"/>
              </w:rPr>
            </w:pPr>
          </w:p>
        </w:tc>
        <w:tc>
          <w:tcPr>
            <w:tcW w:w="1174" w:type="pct"/>
            <w:tcBorders>
              <w:top w:val="single" w:sz="4" w:space="0" w:color="auto"/>
              <w:left w:val="single" w:sz="4" w:space="0" w:color="auto"/>
              <w:bottom w:val="single" w:sz="4" w:space="0" w:color="auto"/>
              <w:right w:val="single" w:sz="4" w:space="0" w:color="auto"/>
            </w:tcBorders>
            <w:hideMark/>
          </w:tcPr>
          <w:p w:rsidR="006E25FF" w:rsidRDefault="006E25FF">
            <w:pPr>
              <w:keepNext/>
              <w:autoSpaceDE w:val="0"/>
              <w:autoSpaceDN w:val="0"/>
              <w:adjustRightInd w:val="0"/>
              <w:ind w:firstLine="9"/>
              <w:rPr>
                <w:szCs w:val="22"/>
              </w:rPr>
            </w:pPr>
            <w:r>
              <w:rPr>
                <w:szCs w:val="24"/>
              </w:rPr>
              <w:t>Venøs embolisme</w:t>
            </w:r>
          </w:p>
        </w:tc>
        <w:tc>
          <w:tcPr>
            <w:tcW w:w="776" w:type="pct"/>
            <w:tcBorders>
              <w:top w:val="single" w:sz="4" w:space="0" w:color="auto"/>
              <w:left w:val="single" w:sz="4" w:space="0" w:color="auto"/>
              <w:bottom w:val="single" w:sz="4" w:space="0" w:color="auto"/>
              <w:right w:val="single" w:sz="4" w:space="0" w:color="auto"/>
            </w:tcBorders>
          </w:tcPr>
          <w:p w:rsidR="006E25FF" w:rsidRDefault="006E25FF">
            <w:pPr>
              <w:keepNext/>
              <w:autoSpaceDE w:val="0"/>
              <w:autoSpaceDN w:val="0"/>
              <w:adjustRightInd w:val="0"/>
              <w:rPr>
                <w:szCs w:val="22"/>
              </w:rPr>
            </w:pPr>
          </w:p>
        </w:tc>
      </w:tr>
      <w:tr w:rsidR="006E25FF" w:rsidTr="006E25FF">
        <w:tc>
          <w:tcPr>
            <w:tcW w:w="1406" w:type="pct"/>
            <w:tcBorders>
              <w:top w:val="single" w:sz="4" w:space="0" w:color="auto"/>
              <w:left w:val="single" w:sz="4" w:space="0" w:color="auto"/>
              <w:bottom w:val="single" w:sz="4" w:space="0" w:color="auto"/>
              <w:right w:val="single" w:sz="4" w:space="0" w:color="auto"/>
            </w:tcBorders>
            <w:hideMark/>
          </w:tcPr>
          <w:p w:rsidR="006E25FF" w:rsidRDefault="006E25FF">
            <w:pPr>
              <w:keepNext/>
              <w:autoSpaceDE w:val="0"/>
              <w:autoSpaceDN w:val="0"/>
              <w:adjustRightInd w:val="0"/>
              <w:rPr>
                <w:b/>
                <w:bCs/>
                <w:szCs w:val="22"/>
              </w:rPr>
            </w:pPr>
            <w:r>
              <w:rPr>
                <w:b/>
                <w:bCs/>
                <w:szCs w:val="22"/>
              </w:rPr>
              <w:t>Mave-tarm-kanalen</w:t>
            </w:r>
          </w:p>
        </w:tc>
        <w:tc>
          <w:tcPr>
            <w:tcW w:w="548" w:type="pct"/>
            <w:tcBorders>
              <w:top w:val="single" w:sz="4" w:space="0" w:color="auto"/>
              <w:left w:val="single" w:sz="4" w:space="0" w:color="auto"/>
              <w:bottom w:val="single" w:sz="4" w:space="0" w:color="auto"/>
              <w:right w:val="single" w:sz="4" w:space="0" w:color="auto"/>
            </w:tcBorders>
          </w:tcPr>
          <w:p w:rsidR="006E25FF" w:rsidRDefault="006E25FF">
            <w:pPr>
              <w:keepNext/>
              <w:autoSpaceDE w:val="0"/>
              <w:autoSpaceDN w:val="0"/>
              <w:adjustRightInd w:val="0"/>
              <w:rPr>
                <w:szCs w:val="22"/>
              </w:rPr>
            </w:pPr>
          </w:p>
        </w:tc>
        <w:tc>
          <w:tcPr>
            <w:tcW w:w="1096" w:type="pct"/>
            <w:tcBorders>
              <w:top w:val="single" w:sz="4" w:space="0" w:color="auto"/>
              <w:left w:val="single" w:sz="4" w:space="0" w:color="auto"/>
              <w:bottom w:val="single" w:sz="4" w:space="0" w:color="auto"/>
              <w:right w:val="single" w:sz="4" w:space="0" w:color="auto"/>
            </w:tcBorders>
            <w:hideMark/>
          </w:tcPr>
          <w:p w:rsidR="006E25FF" w:rsidRDefault="006E25FF">
            <w:pPr>
              <w:keepNext/>
              <w:autoSpaceDE w:val="0"/>
              <w:autoSpaceDN w:val="0"/>
              <w:adjustRightInd w:val="0"/>
              <w:ind w:left="44" w:hanging="1"/>
              <w:rPr>
                <w:szCs w:val="22"/>
              </w:rPr>
            </w:pPr>
            <w:r>
              <w:rPr>
                <w:spacing w:val="-3"/>
                <w:szCs w:val="24"/>
              </w:rPr>
              <w:t xml:space="preserve">Mavesmerter eller kvalme </w:t>
            </w:r>
          </w:p>
        </w:tc>
        <w:tc>
          <w:tcPr>
            <w:tcW w:w="1174" w:type="pct"/>
            <w:tcBorders>
              <w:top w:val="single" w:sz="4" w:space="0" w:color="auto"/>
              <w:left w:val="single" w:sz="4" w:space="0" w:color="auto"/>
              <w:bottom w:val="single" w:sz="4" w:space="0" w:color="auto"/>
              <w:right w:val="single" w:sz="4" w:space="0" w:color="auto"/>
            </w:tcBorders>
            <w:hideMark/>
          </w:tcPr>
          <w:p w:rsidR="006E25FF" w:rsidRPr="006E25FF" w:rsidRDefault="006E25FF">
            <w:pPr>
              <w:keepNext/>
              <w:autoSpaceDE w:val="0"/>
              <w:autoSpaceDN w:val="0"/>
              <w:adjustRightInd w:val="0"/>
              <w:ind w:firstLine="9"/>
              <w:rPr>
                <w:szCs w:val="22"/>
                <w:lang w:val="da-DK"/>
              </w:rPr>
            </w:pPr>
            <w:r w:rsidRPr="006E25FF">
              <w:rPr>
                <w:spacing w:val="-3"/>
                <w:szCs w:val="24"/>
                <w:lang w:val="da-DK"/>
              </w:rPr>
              <w:t>Dyspepsi, opkastning, flatulens eller oppustethed</w:t>
            </w:r>
          </w:p>
        </w:tc>
        <w:tc>
          <w:tcPr>
            <w:tcW w:w="776" w:type="pct"/>
            <w:tcBorders>
              <w:top w:val="single" w:sz="4" w:space="0" w:color="auto"/>
              <w:left w:val="single" w:sz="4" w:space="0" w:color="auto"/>
              <w:bottom w:val="single" w:sz="4" w:space="0" w:color="auto"/>
              <w:right w:val="single" w:sz="4" w:space="0" w:color="auto"/>
            </w:tcBorders>
          </w:tcPr>
          <w:p w:rsidR="006E25FF" w:rsidRPr="006E25FF" w:rsidRDefault="006E25FF">
            <w:pPr>
              <w:keepNext/>
              <w:autoSpaceDE w:val="0"/>
              <w:autoSpaceDN w:val="0"/>
              <w:adjustRightInd w:val="0"/>
              <w:rPr>
                <w:szCs w:val="22"/>
                <w:lang w:val="da-DK"/>
              </w:rPr>
            </w:pPr>
          </w:p>
        </w:tc>
      </w:tr>
      <w:tr w:rsidR="006E25FF" w:rsidTr="006E25FF">
        <w:tc>
          <w:tcPr>
            <w:tcW w:w="1406" w:type="pct"/>
            <w:tcBorders>
              <w:top w:val="single" w:sz="4" w:space="0" w:color="auto"/>
              <w:left w:val="single" w:sz="4" w:space="0" w:color="auto"/>
              <w:bottom w:val="single" w:sz="4" w:space="0" w:color="auto"/>
              <w:right w:val="single" w:sz="4" w:space="0" w:color="auto"/>
            </w:tcBorders>
            <w:hideMark/>
          </w:tcPr>
          <w:p w:rsidR="006E25FF" w:rsidRDefault="006E25FF">
            <w:pPr>
              <w:keepNext/>
              <w:autoSpaceDE w:val="0"/>
              <w:autoSpaceDN w:val="0"/>
              <w:adjustRightInd w:val="0"/>
              <w:rPr>
                <w:b/>
                <w:bCs/>
                <w:szCs w:val="22"/>
              </w:rPr>
            </w:pPr>
            <w:r>
              <w:rPr>
                <w:b/>
                <w:bCs/>
                <w:szCs w:val="22"/>
              </w:rPr>
              <w:t>Lever og galdeveje</w:t>
            </w:r>
          </w:p>
        </w:tc>
        <w:tc>
          <w:tcPr>
            <w:tcW w:w="548" w:type="pct"/>
            <w:tcBorders>
              <w:top w:val="single" w:sz="4" w:space="0" w:color="auto"/>
              <w:left w:val="single" w:sz="4" w:space="0" w:color="auto"/>
              <w:bottom w:val="single" w:sz="4" w:space="0" w:color="auto"/>
              <w:right w:val="single" w:sz="4" w:space="0" w:color="auto"/>
            </w:tcBorders>
          </w:tcPr>
          <w:p w:rsidR="006E25FF" w:rsidRDefault="006E25FF">
            <w:pPr>
              <w:keepNext/>
              <w:autoSpaceDE w:val="0"/>
              <w:autoSpaceDN w:val="0"/>
              <w:adjustRightInd w:val="0"/>
              <w:rPr>
                <w:szCs w:val="22"/>
              </w:rPr>
            </w:pPr>
          </w:p>
        </w:tc>
        <w:tc>
          <w:tcPr>
            <w:tcW w:w="1096" w:type="pct"/>
            <w:tcBorders>
              <w:top w:val="single" w:sz="4" w:space="0" w:color="auto"/>
              <w:left w:val="single" w:sz="4" w:space="0" w:color="auto"/>
              <w:bottom w:val="single" w:sz="4" w:space="0" w:color="auto"/>
              <w:right w:val="single" w:sz="4" w:space="0" w:color="auto"/>
            </w:tcBorders>
          </w:tcPr>
          <w:p w:rsidR="006E25FF" w:rsidRDefault="006E25FF">
            <w:pPr>
              <w:keepNext/>
              <w:autoSpaceDE w:val="0"/>
              <w:autoSpaceDN w:val="0"/>
              <w:adjustRightInd w:val="0"/>
              <w:ind w:left="44" w:hanging="1"/>
              <w:rPr>
                <w:szCs w:val="22"/>
              </w:rPr>
            </w:pPr>
          </w:p>
        </w:tc>
        <w:tc>
          <w:tcPr>
            <w:tcW w:w="1174" w:type="pct"/>
            <w:tcBorders>
              <w:top w:val="single" w:sz="4" w:space="0" w:color="auto"/>
              <w:left w:val="single" w:sz="4" w:space="0" w:color="auto"/>
              <w:bottom w:val="single" w:sz="4" w:space="0" w:color="auto"/>
              <w:right w:val="single" w:sz="4" w:space="0" w:color="auto"/>
            </w:tcBorders>
            <w:hideMark/>
          </w:tcPr>
          <w:p w:rsidR="006E25FF" w:rsidRDefault="006E25FF">
            <w:pPr>
              <w:keepNext/>
              <w:autoSpaceDE w:val="0"/>
              <w:autoSpaceDN w:val="0"/>
              <w:adjustRightInd w:val="0"/>
              <w:ind w:firstLine="9"/>
              <w:rPr>
                <w:szCs w:val="22"/>
              </w:rPr>
            </w:pPr>
            <w:r>
              <w:rPr>
                <w:szCs w:val="22"/>
              </w:rPr>
              <w:t>Galdesten</w:t>
            </w:r>
          </w:p>
        </w:tc>
        <w:tc>
          <w:tcPr>
            <w:tcW w:w="776" w:type="pct"/>
            <w:tcBorders>
              <w:top w:val="single" w:sz="4" w:space="0" w:color="auto"/>
              <w:left w:val="single" w:sz="4" w:space="0" w:color="auto"/>
              <w:bottom w:val="single" w:sz="4" w:space="0" w:color="auto"/>
              <w:right w:val="single" w:sz="4" w:space="0" w:color="auto"/>
            </w:tcBorders>
          </w:tcPr>
          <w:p w:rsidR="006E25FF" w:rsidRDefault="006E25FF">
            <w:pPr>
              <w:keepNext/>
              <w:autoSpaceDE w:val="0"/>
              <w:autoSpaceDN w:val="0"/>
              <w:adjustRightInd w:val="0"/>
              <w:rPr>
                <w:szCs w:val="22"/>
              </w:rPr>
            </w:pPr>
          </w:p>
        </w:tc>
      </w:tr>
      <w:tr w:rsidR="006E25FF" w:rsidTr="006E25FF">
        <w:tc>
          <w:tcPr>
            <w:tcW w:w="1406" w:type="pct"/>
            <w:tcBorders>
              <w:top w:val="single" w:sz="4" w:space="0" w:color="auto"/>
              <w:left w:val="single" w:sz="4" w:space="0" w:color="auto"/>
              <w:bottom w:val="single" w:sz="4" w:space="0" w:color="auto"/>
              <w:right w:val="single" w:sz="4" w:space="0" w:color="auto"/>
            </w:tcBorders>
            <w:hideMark/>
          </w:tcPr>
          <w:p w:rsidR="006E25FF" w:rsidRDefault="006E25FF">
            <w:pPr>
              <w:keepNext/>
              <w:autoSpaceDE w:val="0"/>
              <w:autoSpaceDN w:val="0"/>
              <w:adjustRightInd w:val="0"/>
              <w:rPr>
                <w:b/>
                <w:bCs/>
                <w:szCs w:val="22"/>
              </w:rPr>
            </w:pPr>
            <w:r>
              <w:rPr>
                <w:b/>
                <w:bCs/>
                <w:szCs w:val="22"/>
              </w:rPr>
              <w:t>Hud og subkutane væv</w:t>
            </w:r>
          </w:p>
        </w:tc>
        <w:tc>
          <w:tcPr>
            <w:tcW w:w="548" w:type="pct"/>
            <w:tcBorders>
              <w:top w:val="single" w:sz="4" w:space="0" w:color="auto"/>
              <w:left w:val="single" w:sz="4" w:space="0" w:color="auto"/>
              <w:bottom w:val="single" w:sz="4" w:space="0" w:color="auto"/>
              <w:right w:val="single" w:sz="4" w:space="0" w:color="auto"/>
            </w:tcBorders>
          </w:tcPr>
          <w:p w:rsidR="006E25FF" w:rsidRDefault="006E25FF">
            <w:pPr>
              <w:keepNext/>
              <w:autoSpaceDE w:val="0"/>
              <w:autoSpaceDN w:val="0"/>
              <w:adjustRightInd w:val="0"/>
              <w:rPr>
                <w:szCs w:val="22"/>
              </w:rPr>
            </w:pPr>
          </w:p>
        </w:tc>
        <w:tc>
          <w:tcPr>
            <w:tcW w:w="1096" w:type="pct"/>
            <w:tcBorders>
              <w:top w:val="single" w:sz="4" w:space="0" w:color="auto"/>
              <w:left w:val="single" w:sz="4" w:space="0" w:color="auto"/>
              <w:bottom w:val="single" w:sz="4" w:space="0" w:color="auto"/>
              <w:right w:val="single" w:sz="4" w:space="0" w:color="auto"/>
            </w:tcBorders>
          </w:tcPr>
          <w:p w:rsidR="006E25FF" w:rsidRDefault="006E25FF">
            <w:pPr>
              <w:keepNext/>
              <w:autoSpaceDE w:val="0"/>
              <w:autoSpaceDN w:val="0"/>
              <w:adjustRightInd w:val="0"/>
              <w:ind w:left="44" w:hanging="1"/>
              <w:rPr>
                <w:szCs w:val="22"/>
              </w:rPr>
            </w:pPr>
          </w:p>
        </w:tc>
        <w:tc>
          <w:tcPr>
            <w:tcW w:w="1174" w:type="pct"/>
            <w:tcBorders>
              <w:top w:val="single" w:sz="4" w:space="0" w:color="auto"/>
              <w:left w:val="single" w:sz="4" w:space="0" w:color="auto"/>
              <w:bottom w:val="single" w:sz="4" w:space="0" w:color="auto"/>
              <w:right w:val="single" w:sz="4" w:space="0" w:color="auto"/>
            </w:tcBorders>
            <w:hideMark/>
          </w:tcPr>
          <w:p w:rsidR="006E25FF" w:rsidRDefault="006E25FF">
            <w:pPr>
              <w:keepNext/>
              <w:autoSpaceDE w:val="0"/>
              <w:autoSpaceDN w:val="0"/>
              <w:adjustRightInd w:val="0"/>
              <w:ind w:firstLine="9"/>
              <w:rPr>
                <w:szCs w:val="22"/>
              </w:rPr>
            </w:pPr>
            <w:r>
              <w:rPr>
                <w:spacing w:val="-3"/>
                <w:szCs w:val="24"/>
              </w:rPr>
              <w:t>Udslæt og urticaria</w:t>
            </w:r>
          </w:p>
        </w:tc>
        <w:tc>
          <w:tcPr>
            <w:tcW w:w="776" w:type="pct"/>
            <w:tcBorders>
              <w:top w:val="single" w:sz="4" w:space="0" w:color="auto"/>
              <w:left w:val="single" w:sz="4" w:space="0" w:color="auto"/>
              <w:bottom w:val="single" w:sz="4" w:space="0" w:color="auto"/>
              <w:right w:val="single" w:sz="4" w:space="0" w:color="auto"/>
            </w:tcBorders>
          </w:tcPr>
          <w:p w:rsidR="006E25FF" w:rsidRDefault="006E25FF">
            <w:pPr>
              <w:keepNext/>
              <w:autoSpaceDE w:val="0"/>
              <w:autoSpaceDN w:val="0"/>
              <w:adjustRightInd w:val="0"/>
              <w:rPr>
                <w:szCs w:val="22"/>
              </w:rPr>
            </w:pPr>
          </w:p>
        </w:tc>
      </w:tr>
      <w:tr w:rsidR="006E25FF" w:rsidTr="006E25FF">
        <w:tc>
          <w:tcPr>
            <w:tcW w:w="1406" w:type="pct"/>
            <w:tcBorders>
              <w:top w:val="single" w:sz="4" w:space="0" w:color="auto"/>
              <w:left w:val="single" w:sz="4" w:space="0" w:color="auto"/>
              <w:bottom w:val="single" w:sz="4" w:space="0" w:color="auto"/>
              <w:right w:val="single" w:sz="4" w:space="0" w:color="auto"/>
            </w:tcBorders>
            <w:hideMark/>
          </w:tcPr>
          <w:p w:rsidR="006E25FF" w:rsidRPr="006E25FF" w:rsidRDefault="006E25FF">
            <w:pPr>
              <w:keepNext/>
              <w:autoSpaceDE w:val="0"/>
              <w:autoSpaceDN w:val="0"/>
              <w:adjustRightInd w:val="0"/>
              <w:rPr>
                <w:b/>
                <w:bCs/>
                <w:szCs w:val="22"/>
                <w:lang w:val="da-DK"/>
              </w:rPr>
            </w:pPr>
            <w:r w:rsidRPr="006E25FF">
              <w:rPr>
                <w:b/>
                <w:bCs/>
                <w:szCs w:val="22"/>
                <w:lang w:val="da-DK"/>
              </w:rPr>
              <w:t>Knogler, led, muskler og bindevæv</w:t>
            </w:r>
          </w:p>
        </w:tc>
        <w:tc>
          <w:tcPr>
            <w:tcW w:w="548" w:type="pct"/>
            <w:tcBorders>
              <w:top w:val="single" w:sz="4" w:space="0" w:color="auto"/>
              <w:left w:val="single" w:sz="4" w:space="0" w:color="auto"/>
              <w:bottom w:val="single" w:sz="4" w:space="0" w:color="auto"/>
              <w:right w:val="single" w:sz="4" w:space="0" w:color="auto"/>
            </w:tcBorders>
          </w:tcPr>
          <w:p w:rsidR="006E25FF" w:rsidRPr="006E25FF" w:rsidRDefault="006E25FF">
            <w:pPr>
              <w:keepNext/>
              <w:autoSpaceDE w:val="0"/>
              <w:autoSpaceDN w:val="0"/>
              <w:adjustRightInd w:val="0"/>
              <w:rPr>
                <w:szCs w:val="22"/>
                <w:lang w:val="da-DK"/>
              </w:rPr>
            </w:pPr>
          </w:p>
        </w:tc>
        <w:tc>
          <w:tcPr>
            <w:tcW w:w="1096" w:type="pct"/>
            <w:tcBorders>
              <w:top w:val="single" w:sz="4" w:space="0" w:color="auto"/>
              <w:left w:val="single" w:sz="4" w:space="0" w:color="auto"/>
              <w:bottom w:val="single" w:sz="4" w:space="0" w:color="auto"/>
              <w:right w:val="single" w:sz="4" w:space="0" w:color="auto"/>
            </w:tcBorders>
            <w:hideMark/>
          </w:tcPr>
          <w:p w:rsidR="006E25FF" w:rsidRDefault="006E25FF">
            <w:pPr>
              <w:keepNext/>
              <w:autoSpaceDE w:val="0"/>
              <w:autoSpaceDN w:val="0"/>
              <w:adjustRightInd w:val="0"/>
              <w:ind w:left="44" w:hanging="1"/>
              <w:rPr>
                <w:szCs w:val="22"/>
              </w:rPr>
            </w:pPr>
            <w:r>
              <w:rPr>
                <w:spacing w:val="-3"/>
                <w:szCs w:val="24"/>
              </w:rPr>
              <w:t>Ben kramper</w:t>
            </w:r>
          </w:p>
        </w:tc>
        <w:tc>
          <w:tcPr>
            <w:tcW w:w="1174" w:type="pct"/>
            <w:tcBorders>
              <w:top w:val="single" w:sz="4" w:space="0" w:color="auto"/>
              <w:left w:val="single" w:sz="4" w:space="0" w:color="auto"/>
              <w:bottom w:val="single" w:sz="4" w:space="0" w:color="auto"/>
              <w:right w:val="single" w:sz="4" w:space="0" w:color="auto"/>
            </w:tcBorders>
          </w:tcPr>
          <w:p w:rsidR="006E25FF" w:rsidRDefault="006E25FF">
            <w:pPr>
              <w:keepNext/>
              <w:autoSpaceDE w:val="0"/>
              <w:autoSpaceDN w:val="0"/>
              <w:adjustRightInd w:val="0"/>
              <w:ind w:firstLine="9"/>
              <w:rPr>
                <w:szCs w:val="22"/>
              </w:rPr>
            </w:pPr>
          </w:p>
        </w:tc>
        <w:tc>
          <w:tcPr>
            <w:tcW w:w="776" w:type="pct"/>
            <w:tcBorders>
              <w:top w:val="single" w:sz="4" w:space="0" w:color="auto"/>
              <w:left w:val="single" w:sz="4" w:space="0" w:color="auto"/>
              <w:bottom w:val="single" w:sz="4" w:space="0" w:color="auto"/>
              <w:right w:val="single" w:sz="4" w:space="0" w:color="auto"/>
            </w:tcBorders>
          </w:tcPr>
          <w:p w:rsidR="006E25FF" w:rsidRDefault="006E25FF">
            <w:pPr>
              <w:keepNext/>
              <w:autoSpaceDE w:val="0"/>
              <w:autoSpaceDN w:val="0"/>
              <w:adjustRightInd w:val="0"/>
              <w:rPr>
                <w:szCs w:val="22"/>
              </w:rPr>
            </w:pPr>
          </w:p>
        </w:tc>
      </w:tr>
      <w:tr w:rsidR="006E25FF" w:rsidTr="006E25FF">
        <w:tc>
          <w:tcPr>
            <w:tcW w:w="1406" w:type="pct"/>
            <w:tcBorders>
              <w:top w:val="single" w:sz="4" w:space="0" w:color="auto"/>
              <w:left w:val="single" w:sz="4" w:space="0" w:color="auto"/>
              <w:bottom w:val="single" w:sz="4" w:space="0" w:color="auto"/>
              <w:right w:val="single" w:sz="4" w:space="0" w:color="auto"/>
            </w:tcBorders>
            <w:hideMark/>
          </w:tcPr>
          <w:p w:rsidR="006E25FF" w:rsidRPr="006E25FF" w:rsidRDefault="006E25FF">
            <w:pPr>
              <w:keepNext/>
              <w:autoSpaceDE w:val="0"/>
              <w:autoSpaceDN w:val="0"/>
              <w:adjustRightInd w:val="0"/>
              <w:rPr>
                <w:b/>
                <w:bCs/>
                <w:szCs w:val="22"/>
                <w:lang w:val="da-DK"/>
              </w:rPr>
            </w:pPr>
            <w:r w:rsidRPr="006E25FF">
              <w:rPr>
                <w:b/>
                <w:bCs/>
                <w:szCs w:val="22"/>
                <w:lang w:val="da-DK"/>
              </w:rPr>
              <w:t>Det reproduktive system og mammae</w:t>
            </w:r>
          </w:p>
        </w:tc>
        <w:tc>
          <w:tcPr>
            <w:tcW w:w="548" w:type="pct"/>
            <w:tcBorders>
              <w:top w:val="single" w:sz="4" w:space="0" w:color="auto"/>
              <w:left w:val="single" w:sz="4" w:space="0" w:color="auto"/>
              <w:bottom w:val="single" w:sz="4" w:space="0" w:color="auto"/>
              <w:right w:val="single" w:sz="4" w:space="0" w:color="auto"/>
            </w:tcBorders>
          </w:tcPr>
          <w:p w:rsidR="006E25FF" w:rsidRPr="006E25FF" w:rsidRDefault="006E25FF">
            <w:pPr>
              <w:keepNext/>
              <w:autoSpaceDE w:val="0"/>
              <w:autoSpaceDN w:val="0"/>
              <w:adjustRightInd w:val="0"/>
              <w:rPr>
                <w:szCs w:val="22"/>
                <w:lang w:val="da-DK"/>
              </w:rPr>
            </w:pPr>
          </w:p>
        </w:tc>
        <w:tc>
          <w:tcPr>
            <w:tcW w:w="1096" w:type="pct"/>
            <w:tcBorders>
              <w:top w:val="single" w:sz="4" w:space="0" w:color="auto"/>
              <w:left w:val="single" w:sz="4" w:space="0" w:color="auto"/>
              <w:bottom w:val="single" w:sz="4" w:space="0" w:color="auto"/>
              <w:right w:val="single" w:sz="4" w:space="0" w:color="auto"/>
            </w:tcBorders>
            <w:hideMark/>
          </w:tcPr>
          <w:p w:rsidR="006E25FF" w:rsidRPr="006E25FF" w:rsidRDefault="006E25FF">
            <w:pPr>
              <w:keepNext/>
              <w:autoSpaceDE w:val="0"/>
              <w:autoSpaceDN w:val="0"/>
              <w:adjustRightInd w:val="0"/>
              <w:ind w:left="44" w:hanging="1"/>
              <w:rPr>
                <w:szCs w:val="22"/>
                <w:lang w:val="da-DK"/>
              </w:rPr>
            </w:pPr>
            <w:r w:rsidRPr="006E25FF">
              <w:rPr>
                <w:spacing w:val="-3"/>
                <w:szCs w:val="24"/>
                <w:lang w:val="da-DK"/>
              </w:rPr>
              <w:t xml:space="preserve">Brystspænding, større bryster og smerter i brysterne </w:t>
            </w:r>
          </w:p>
        </w:tc>
        <w:tc>
          <w:tcPr>
            <w:tcW w:w="1174" w:type="pct"/>
            <w:tcBorders>
              <w:top w:val="single" w:sz="4" w:space="0" w:color="auto"/>
              <w:left w:val="single" w:sz="4" w:space="0" w:color="auto"/>
              <w:bottom w:val="single" w:sz="4" w:space="0" w:color="auto"/>
              <w:right w:val="single" w:sz="4" w:space="0" w:color="auto"/>
            </w:tcBorders>
          </w:tcPr>
          <w:p w:rsidR="006E25FF" w:rsidRPr="006E25FF" w:rsidRDefault="006E25FF">
            <w:pPr>
              <w:keepNext/>
              <w:autoSpaceDE w:val="0"/>
              <w:autoSpaceDN w:val="0"/>
              <w:adjustRightInd w:val="0"/>
              <w:ind w:firstLine="9"/>
              <w:rPr>
                <w:szCs w:val="22"/>
                <w:lang w:val="da-DK"/>
              </w:rPr>
            </w:pPr>
          </w:p>
        </w:tc>
        <w:tc>
          <w:tcPr>
            <w:tcW w:w="776" w:type="pct"/>
            <w:tcBorders>
              <w:top w:val="single" w:sz="4" w:space="0" w:color="auto"/>
              <w:left w:val="single" w:sz="4" w:space="0" w:color="auto"/>
              <w:bottom w:val="single" w:sz="4" w:space="0" w:color="auto"/>
              <w:right w:val="single" w:sz="4" w:space="0" w:color="auto"/>
            </w:tcBorders>
          </w:tcPr>
          <w:p w:rsidR="006E25FF" w:rsidRPr="006E25FF" w:rsidRDefault="006E25FF">
            <w:pPr>
              <w:keepNext/>
              <w:autoSpaceDE w:val="0"/>
              <w:autoSpaceDN w:val="0"/>
              <w:adjustRightInd w:val="0"/>
              <w:rPr>
                <w:szCs w:val="22"/>
                <w:lang w:val="da-DK"/>
              </w:rPr>
            </w:pPr>
          </w:p>
        </w:tc>
      </w:tr>
      <w:tr w:rsidR="006E25FF" w:rsidTr="006E25FF">
        <w:tc>
          <w:tcPr>
            <w:tcW w:w="1406" w:type="pct"/>
            <w:tcBorders>
              <w:top w:val="single" w:sz="4" w:space="0" w:color="auto"/>
              <w:left w:val="single" w:sz="4" w:space="0" w:color="auto"/>
              <w:bottom w:val="single" w:sz="4" w:space="0" w:color="auto"/>
              <w:right w:val="single" w:sz="4" w:space="0" w:color="auto"/>
            </w:tcBorders>
            <w:hideMark/>
          </w:tcPr>
          <w:p w:rsidR="006E25FF" w:rsidRPr="006E25FF" w:rsidRDefault="006E25FF">
            <w:pPr>
              <w:keepNext/>
              <w:autoSpaceDE w:val="0"/>
              <w:autoSpaceDN w:val="0"/>
              <w:adjustRightInd w:val="0"/>
              <w:rPr>
                <w:b/>
                <w:bCs/>
                <w:szCs w:val="22"/>
                <w:lang w:val="da-DK"/>
              </w:rPr>
            </w:pPr>
            <w:r w:rsidRPr="006E25FF">
              <w:rPr>
                <w:b/>
                <w:bCs/>
                <w:szCs w:val="22"/>
                <w:lang w:val="da-DK"/>
              </w:rPr>
              <w:t>Almene symptomer og reaktioner på administrationsstedet</w:t>
            </w:r>
          </w:p>
        </w:tc>
        <w:tc>
          <w:tcPr>
            <w:tcW w:w="548" w:type="pct"/>
            <w:tcBorders>
              <w:top w:val="single" w:sz="4" w:space="0" w:color="auto"/>
              <w:left w:val="single" w:sz="4" w:space="0" w:color="auto"/>
              <w:bottom w:val="single" w:sz="4" w:space="0" w:color="auto"/>
              <w:right w:val="single" w:sz="4" w:space="0" w:color="auto"/>
            </w:tcBorders>
          </w:tcPr>
          <w:p w:rsidR="006E25FF" w:rsidRPr="006E25FF" w:rsidRDefault="006E25FF">
            <w:pPr>
              <w:keepNext/>
              <w:autoSpaceDE w:val="0"/>
              <w:autoSpaceDN w:val="0"/>
              <w:adjustRightInd w:val="0"/>
              <w:rPr>
                <w:szCs w:val="22"/>
                <w:lang w:val="da-DK"/>
              </w:rPr>
            </w:pPr>
          </w:p>
        </w:tc>
        <w:tc>
          <w:tcPr>
            <w:tcW w:w="1096" w:type="pct"/>
            <w:tcBorders>
              <w:top w:val="single" w:sz="4" w:space="0" w:color="auto"/>
              <w:left w:val="single" w:sz="4" w:space="0" w:color="auto"/>
              <w:bottom w:val="single" w:sz="4" w:space="0" w:color="auto"/>
              <w:right w:val="single" w:sz="4" w:space="0" w:color="auto"/>
            </w:tcBorders>
            <w:hideMark/>
          </w:tcPr>
          <w:p w:rsidR="006E25FF" w:rsidRDefault="006E25FF">
            <w:pPr>
              <w:keepNext/>
              <w:autoSpaceDE w:val="0"/>
              <w:autoSpaceDN w:val="0"/>
              <w:adjustRightInd w:val="0"/>
              <w:ind w:left="44" w:hanging="1"/>
              <w:rPr>
                <w:szCs w:val="22"/>
              </w:rPr>
            </w:pPr>
            <w:r>
              <w:rPr>
                <w:szCs w:val="22"/>
              </w:rPr>
              <w:t>Ødemer</w:t>
            </w:r>
          </w:p>
        </w:tc>
        <w:tc>
          <w:tcPr>
            <w:tcW w:w="1174" w:type="pct"/>
            <w:tcBorders>
              <w:top w:val="single" w:sz="4" w:space="0" w:color="auto"/>
              <w:left w:val="single" w:sz="4" w:space="0" w:color="auto"/>
              <w:bottom w:val="single" w:sz="4" w:space="0" w:color="auto"/>
              <w:right w:val="single" w:sz="4" w:space="0" w:color="auto"/>
            </w:tcBorders>
          </w:tcPr>
          <w:p w:rsidR="006E25FF" w:rsidRDefault="006E25FF">
            <w:pPr>
              <w:keepNext/>
              <w:autoSpaceDE w:val="0"/>
              <w:autoSpaceDN w:val="0"/>
              <w:adjustRightInd w:val="0"/>
              <w:ind w:firstLine="9"/>
              <w:rPr>
                <w:szCs w:val="22"/>
              </w:rPr>
            </w:pPr>
          </w:p>
        </w:tc>
        <w:tc>
          <w:tcPr>
            <w:tcW w:w="776" w:type="pct"/>
            <w:tcBorders>
              <w:top w:val="single" w:sz="4" w:space="0" w:color="auto"/>
              <w:left w:val="single" w:sz="4" w:space="0" w:color="auto"/>
              <w:bottom w:val="single" w:sz="4" w:space="0" w:color="auto"/>
              <w:right w:val="single" w:sz="4" w:space="0" w:color="auto"/>
            </w:tcBorders>
          </w:tcPr>
          <w:p w:rsidR="006E25FF" w:rsidRDefault="006E25FF">
            <w:pPr>
              <w:keepNext/>
              <w:autoSpaceDE w:val="0"/>
              <w:autoSpaceDN w:val="0"/>
              <w:adjustRightInd w:val="0"/>
              <w:rPr>
                <w:szCs w:val="22"/>
              </w:rPr>
            </w:pPr>
          </w:p>
        </w:tc>
      </w:tr>
      <w:tr w:rsidR="006E25FF" w:rsidTr="006E25FF">
        <w:tc>
          <w:tcPr>
            <w:tcW w:w="1406" w:type="pct"/>
            <w:tcBorders>
              <w:top w:val="single" w:sz="4" w:space="0" w:color="auto"/>
              <w:left w:val="single" w:sz="4" w:space="0" w:color="auto"/>
              <w:bottom w:val="single" w:sz="4" w:space="0" w:color="auto"/>
              <w:right w:val="single" w:sz="4" w:space="0" w:color="auto"/>
            </w:tcBorders>
            <w:hideMark/>
          </w:tcPr>
          <w:p w:rsidR="006E25FF" w:rsidRDefault="006E25FF">
            <w:pPr>
              <w:autoSpaceDE w:val="0"/>
              <w:autoSpaceDN w:val="0"/>
              <w:adjustRightInd w:val="0"/>
              <w:rPr>
                <w:b/>
                <w:bCs/>
                <w:szCs w:val="22"/>
              </w:rPr>
            </w:pPr>
            <w:r>
              <w:rPr>
                <w:b/>
                <w:bCs/>
                <w:szCs w:val="22"/>
              </w:rPr>
              <w:t>Undersøgelser</w:t>
            </w:r>
          </w:p>
        </w:tc>
        <w:tc>
          <w:tcPr>
            <w:tcW w:w="548" w:type="pct"/>
            <w:tcBorders>
              <w:top w:val="single" w:sz="4" w:space="0" w:color="auto"/>
              <w:left w:val="single" w:sz="4" w:space="0" w:color="auto"/>
              <w:bottom w:val="single" w:sz="4" w:space="0" w:color="auto"/>
              <w:right w:val="single" w:sz="4" w:space="0" w:color="auto"/>
            </w:tcBorders>
          </w:tcPr>
          <w:p w:rsidR="006E25FF" w:rsidRDefault="006E25FF">
            <w:pPr>
              <w:autoSpaceDE w:val="0"/>
              <w:autoSpaceDN w:val="0"/>
              <w:adjustRightInd w:val="0"/>
              <w:rPr>
                <w:szCs w:val="22"/>
              </w:rPr>
            </w:pPr>
          </w:p>
        </w:tc>
        <w:tc>
          <w:tcPr>
            <w:tcW w:w="1096" w:type="pct"/>
            <w:tcBorders>
              <w:top w:val="single" w:sz="4" w:space="0" w:color="auto"/>
              <w:left w:val="single" w:sz="4" w:space="0" w:color="auto"/>
              <w:bottom w:val="single" w:sz="4" w:space="0" w:color="auto"/>
              <w:right w:val="single" w:sz="4" w:space="0" w:color="auto"/>
            </w:tcBorders>
            <w:hideMark/>
          </w:tcPr>
          <w:p w:rsidR="006E25FF" w:rsidRDefault="006E25FF">
            <w:pPr>
              <w:autoSpaceDE w:val="0"/>
              <w:autoSpaceDN w:val="0"/>
              <w:adjustRightInd w:val="0"/>
              <w:ind w:left="44" w:hanging="1"/>
              <w:rPr>
                <w:szCs w:val="22"/>
              </w:rPr>
            </w:pPr>
            <w:r>
              <w:rPr>
                <w:szCs w:val="22"/>
              </w:rPr>
              <w:t>Vægtstigning</w:t>
            </w:r>
          </w:p>
        </w:tc>
        <w:tc>
          <w:tcPr>
            <w:tcW w:w="1174" w:type="pct"/>
            <w:tcBorders>
              <w:top w:val="single" w:sz="4" w:space="0" w:color="auto"/>
              <w:left w:val="single" w:sz="4" w:space="0" w:color="auto"/>
              <w:bottom w:val="single" w:sz="4" w:space="0" w:color="auto"/>
              <w:right w:val="single" w:sz="4" w:space="0" w:color="auto"/>
            </w:tcBorders>
          </w:tcPr>
          <w:p w:rsidR="006E25FF" w:rsidRDefault="006E25FF">
            <w:pPr>
              <w:autoSpaceDE w:val="0"/>
              <w:autoSpaceDN w:val="0"/>
              <w:adjustRightInd w:val="0"/>
              <w:ind w:firstLine="9"/>
              <w:rPr>
                <w:szCs w:val="22"/>
              </w:rPr>
            </w:pPr>
          </w:p>
        </w:tc>
        <w:tc>
          <w:tcPr>
            <w:tcW w:w="776" w:type="pct"/>
            <w:tcBorders>
              <w:top w:val="single" w:sz="4" w:space="0" w:color="auto"/>
              <w:left w:val="single" w:sz="4" w:space="0" w:color="auto"/>
              <w:bottom w:val="single" w:sz="4" w:space="0" w:color="auto"/>
              <w:right w:val="single" w:sz="4" w:space="0" w:color="auto"/>
            </w:tcBorders>
          </w:tcPr>
          <w:p w:rsidR="006E25FF" w:rsidRDefault="006E25FF">
            <w:pPr>
              <w:autoSpaceDE w:val="0"/>
              <w:autoSpaceDN w:val="0"/>
              <w:adjustRightInd w:val="0"/>
              <w:rPr>
                <w:szCs w:val="22"/>
              </w:rPr>
            </w:pPr>
          </w:p>
        </w:tc>
      </w:tr>
    </w:tbl>
    <w:p w:rsidR="006E25FF" w:rsidRPr="004121D5" w:rsidRDefault="006E25FF" w:rsidP="004121D5">
      <w:pPr>
        <w:ind w:left="851"/>
        <w:rPr>
          <w:iCs/>
          <w:sz w:val="24"/>
          <w:szCs w:val="24"/>
        </w:rPr>
      </w:pPr>
    </w:p>
    <w:p w:rsidR="006E25FF" w:rsidRPr="004121D5" w:rsidRDefault="006E25FF" w:rsidP="004121D5">
      <w:pPr>
        <w:ind w:left="851"/>
        <w:rPr>
          <w:iCs/>
          <w:sz w:val="24"/>
          <w:szCs w:val="24"/>
          <w:u w:val="single"/>
        </w:rPr>
      </w:pPr>
      <w:r w:rsidRPr="004121D5">
        <w:rPr>
          <w:iCs/>
          <w:sz w:val="24"/>
          <w:szCs w:val="24"/>
          <w:u w:val="single"/>
        </w:rPr>
        <w:t>Post-marketing erfaring</w:t>
      </w:r>
    </w:p>
    <w:p w:rsidR="006E25FF" w:rsidRPr="004121D5" w:rsidRDefault="006E25FF" w:rsidP="004121D5">
      <w:pPr>
        <w:ind w:left="851"/>
        <w:rPr>
          <w:iCs/>
          <w:sz w:val="24"/>
          <w:szCs w:val="24"/>
        </w:rPr>
      </w:pPr>
      <w:r w:rsidRPr="004121D5">
        <w:rPr>
          <w:iCs/>
          <w:sz w:val="24"/>
          <w:szCs w:val="24"/>
        </w:rPr>
        <w:t>I tillæg til de ovennævnte bivirkninger er følgende bivirkninger rapporteret spontant og vurderet til at have en sandsynlig sammenhæng med Oestablet behandlingen. Disse spontant rapporterede bivirkninger er meget sjældne (&lt; 1/10.000, ikke kendt (kan ikke vurderes ud fra tilgængeligt data)). Post-marketing erfaring viser en underrapportering specielt hvad angår trivielle og velkendte bivirkninger. Frekvenserne skal derfor vurderes i det lys:</w:t>
      </w:r>
    </w:p>
    <w:p w:rsidR="006E25FF" w:rsidRPr="004121D5" w:rsidRDefault="006E25FF" w:rsidP="004121D5">
      <w:pPr>
        <w:pStyle w:val="Listeafsnit"/>
        <w:numPr>
          <w:ilvl w:val="0"/>
          <w:numId w:val="9"/>
        </w:numPr>
        <w:ind w:left="1134" w:hanging="283"/>
        <w:rPr>
          <w:iCs/>
          <w:sz w:val="24"/>
          <w:szCs w:val="24"/>
        </w:rPr>
      </w:pPr>
      <w:r w:rsidRPr="004121D5">
        <w:rPr>
          <w:iCs/>
          <w:sz w:val="24"/>
          <w:szCs w:val="24"/>
        </w:rPr>
        <w:t>Immunsystemet: Generelle hypersensitive reaktioner (f.eks. anafylaktisk reaktion/chok)</w:t>
      </w:r>
    </w:p>
    <w:p w:rsidR="006E25FF" w:rsidRPr="004121D5" w:rsidRDefault="006E25FF" w:rsidP="004121D5">
      <w:pPr>
        <w:pStyle w:val="Listeafsnit"/>
        <w:numPr>
          <w:ilvl w:val="0"/>
          <w:numId w:val="9"/>
        </w:numPr>
        <w:ind w:left="1134" w:hanging="283"/>
        <w:rPr>
          <w:iCs/>
          <w:sz w:val="24"/>
          <w:szCs w:val="24"/>
        </w:rPr>
      </w:pPr>
      <w:r w:rsidRPr="004121D5">
        <w:rPr>
          <w:iCs/>
          <w:sz w:val="24"/>
          <w:szCs w:val="24"/>
        </w:rPr>
        <w:t>Nervesystemet: Forværring af migræne, slagtilfælde, svimmelhed og depression</w:t>
      </w:r>
    </w:p>
    <w:p w:rsidR="006E25FF" w:rsidRPr="004121D5" w:rsidRDefault="006E25FF" w:rsidP="004121D5">
      <w:pPr>
        <w:pStyle w:val="Listeafsnit"/>
        <w:numPr>
          <w:ilvl w:val="0"/>
          <w:numId w:val="9"/>
        </w:numPr>
        <w:ind w:left="1134" w:hanging="283"/>
        <w:rPr>
          <w:iCs/>
          <w:sz w:val="24"/>
          <w:szCs w:val="24"/>
        </w:rPr>
      </w:pPr>
      <w:r w:rsidRPr="004121D5">
        <w:rPr>
          <w:iCs/>
          <w:sz w:val="24"/>
          <w:szCs w:val="24"/>
        </w:rPr>
        <w:t>Mave-tarm-kanalen: Diarré</w:t>
      </w:r>
    </w:p>
    <w:p w:rsidR="006E25FF" w:rsidRPr="004121D5" w:rsidRDefault="006E25FF" w:rsidP="004121D5">
      <w:pPr>
        <w:pStyle w:val="Listeafsnit"/>
        <w:numPr>
          <w:ilvl w:val="0"/>
          <w:numId w:val="9"/>
        </w:numPr>
        <w:ind w:left="1134" w:hanging="283"/>
        <w:rPr>
          <w:iCs/>
          <w:sz w:val="24"/>
          <w:szCs w:val="24"/>
        </w:rPr>
      </w:pPr>
      <w:r w:rsidRPr="004121D5">
        <w:rPr>
          <w:iCs/>
          <w:sz w:val="24"/>
          <w:szCs w:val="24"/>
        </w:rPr>
        <w:t>Hud og subkutane væv: Alopecia</w:t>
      </w:r>
    </w:p>
    <w:p w:rsidR="006E25FF" w:rsidRPr="004121D5" w:rsidRDefault="006E25FF" w:rsidP="004121D5">
      <w:pPr>
        <w:pStyle w:val="Listeafsnit"/>
        <w:numPr>
          <w:ilvl w:val="0"/>
          <w:numId w:val="9"/>
        </w:numPr>
        <w:ind w:left="1134" w:hanging="283"/>
        <w:rPr>
          <w:iCs/>
          <w:sz w:val="24"/>
          <w:szCs w:val="24"/>
        </w:rPr>
      </w:pPr>
      <w:r w:rsidRPr="004121D5">
        <w:rPr>
          <w:iCs/>
          <w:sz w:val="24"/>
          <w:szCs w:val="24"/>
        </w:rPr>
        <w:t>Det reproduktive system og mammae: Uregelmæssig vaginalblødning*</w:t>
      </w:r>
    </w:p>
    <w:p w:rsidR="006E25FF" w:rsidRPr="004121D5" w:rsidRDefault="006E25FF" w:rsidP="004121D5">
      <w:pPr>
        <w:pStyle w:val="Listeafsnit"/>
        <w:numPr>
          <w:ilvl w:val="0"/>
          <w:numId w:val="9"/>
        </w:numPr>
        <w:ind w:left="1134" w:hanging="283"/>
        <w:rPr>
          <w:iCs/>
          <w:sz w:val="24"/>
          <w:szCs w:val="24"/>
        </w:rPr>
      </w:pPr>
      <w:r w:rsidRPr="004121D5">
        <w:rPr>
          <w:iCs/>
          <w:sz w:val="24"/>
          <w:szCs w:val="24"/>
        </w:rPr>
        <w:t>Undersøgelser: Blodtryksforhøjelse.</w:t>
      </w:r>
    </w:p>
    <w:p w:rsidR="006E25FF" w:rsidRPr="004121D5" w:rsidRDefault="006E25FF" w:rsidP="004121D5">
      <w:pPr>
        <w:ind w:left="851"/>
        <w:rPr>
          <w:iCs/>
          <w:sz w:val="24"/>
          <w:szCs w:val="24"/>
        </w:rPr>
      </w:pPr>
    </w:p>
    <w:p w:rsidR="006E25FF" w:rsidRPr="004121D5" w:rsidRDefault="006E25FF" w:rsidP="004121D5">
      <w:pPr>
        <w:ind w:left="851"/>
        <w:rPr>
          <w:iCs/>
          <w:sz w:val="24"/>
          <w:szCs w:val="24"/>
        </w:rPr>
      </w:pPr>
      <w:r w:rsidRPr="004121D5">
        <w:rPr>
          <w:iCs/>
          <w:sz w:val="24"/>
          <w:szCs w:val="24"/>
        </w:rPr>
        <w:t>Følgende bivirkninger er rapporteret i forbindelse med andre østrogenbehandlinger:</w:t>
      </w:r>
    </w:p>
    <w:p w:rsidR="006E25FF" w:rsidRPr="004121D5" w:rsidRDefault="006E25FF" w:rsidP="004121D5">
      <w:pPr>
        <w:pStyle w:val="Listeafsnit"/>
        <w:numPr>
          <w:ilvl w:val="0"/>
          <w:numId w:val="10"/>
        </w:numPr>
        <w:ind w:left="1134" w:hanging="283"/>
        <w:rPr>
          <w:iCs/>
          <w:sz w:val="24"/>
          <w:szCs w:val="24"/>
        </w:rPr>
      </w:pPr>
      <w:r w:rsidRPr="004121D5">
        <w:rPr>
          <w:iCs/>
          <w:sz w:val="24"/>
          <w:szCs w:val="24"/>
        </w:rPr>
        <w:t>Myokardieinfarkt, kongestive hjertelidelser</w:t>
      </w:r>
    </w:p>
    <w:p w:rsidR="006E25FF" w:rsidRPr="004121D5" w:rsidRDefault="006E25FF" w:rsidP="004121D5">
      <w:pPr>
        <w:pStyle w:val="Listeafsnit"/>
        <w:numPr>
          <w:ilvl w:val="0"/>
          <w:numId w:val="10"/>
        </w:numPr>
        <w:ind w:left="1134" w:hanging="283"/>
        <w:rPr>
          <w:iCs/>
          <w:sz w:val="24"/>
          <w:szCs w:val="24"/>
        </w:rPr>
      </w:pPr>
      <w:r w:rsidRPr="004121D5">
        <w:rPr>
          <w:iCs/>
          <w:sz w:val="24"/>
          <w:szCs w:val="24"/>
        </w:rPr>
        <w:t>Venøs tromboemboli, dvs. dyb venetrombose lokaliseret i ben eller bækken og lungeemboli</w:t>
      </w:r>
    </w:p>
    <w:p w:rsidR="006E25FF" w:rsidRPr="004121D5" w:rsidRDefault="006E25FF" w:rsidP="004121D5">
      <w:pPr>
        <w:pStyle w:val="Listeafsnit"/>
        <w:numPr>
          <w:ilvl w:val="0"/>
          <w:numId w:val="10"/>
        </w:numPr>
        <w:ind w:left="1134" w:hanging="283"/>
        <w:rPr>
          <w:iCs/>
          <w:sz w:val="24"/>
          <w:szCs w:val="24"/>
        </w:rPr>
      </w:pPr>
      <w:r w:rsidRPr="004121D5">
        <w:rPr>
          <w:iCs/>
          <w:sz w:val="24"/>
          <w:szCs w:val="24"/>
        </w:rPr>
        <w:t>Galdelidelser</w:t>
      </w:r>
    </w:p>
    <w:p w:rsidR="006E25FF" w:rsidRPr="004121D5" w:rsidRDefault="006E25FF" w:rsidP="004121D5">
      <w:pPr>
        <w:pStyle w:val="Listeafsnit"/>
        <w:numPr>
          <w:ilvl w:val="0"/>
          <w:numId w:val="10"/>
        </w:numPr>
        <w:ind w:left="1134" w:hanging="283"/>
        <w:rPr>
          <w:iCs/>
          <w:sz w:val="24"/>
          <w:szCs w:val="24"/>
        </w:rPr>
      </w:pPr>
      <w:r w:rsidRPr="004121D5">
        <w:rPr>
          <w:iCs/>
          <w:sz w:val="24"/>
          <w:szCs w:val="24"/>
        </w:rPr>
        <w:t>Hud og subkutane væv: Cloasma, erythema multiforme, erythema nodosum, vaskulær purpura, pruritus</w:t>
      </w:r>
    </w:p>
    <w:p w:rsidR="006E25FF" w:rsidRPr="004121D5" w:rsidRDefault="006E25FF" w:rsidP="004121D5">
      <w:pPr>
        <w:pStyle w:val="Listeafsnit"/>
        <w:numPr>
          <w:ilvl w:val="0"/>
          <w:numId w:val="10"/>
        </w:numPr>
        <w:ind w:left="1134" w:hanging="283"/>
        <w:rPr>
          <w:iCs/>
          <w:sz w:val="24"/>
          <w:szCs w:val="24"/>
        </w:rPr>
      </w:pPr>
      <w:r w:rsidRPr="004121D5">
        <w:rPr>
          <w:iCs/>
          <w:sz w:val="24"/>
          <w:szCs w:val="24"/>
        </w:rPr>
        <w:t>Vaginal candidiasis</w:t>
      </w:r>
    </w:p>
    <w:p w:rsidR="006E25FF" w:rsidRPr="004121D5" w:rsidRDefault="006E25FF" w:rsidP="004121D5">
      <w:pPr>
        <w:pStyle w:val="Listeafsnit"/>
        <w:numPr>
          <w:ilvl w:val="0"/>
          <w:numId w:val="10"/>
        </w:numPr>
        <w:ind w:left="1134" w:hanging="283"/>
        <w:rPr>
          <w:iCs/>
          <w:sz w:val="24"/>
          <w:szCs w:val="24"/>
        </w:rPr>
      </w:pPr>
      <w:r w:rsidRPr="004121D5">
        <w:rPr>
          <w:iCs/>
          <w:sz w:val="24"/>
          <w:szCs w:val="24"/>
        </w:rPr>
        <w:t>Østrogenafhængige neoplasmer benigne og maligne f.eks. endometriecancer (se pkt. 4.4), endometriehyperplasi og forstørrede uterusfibromer*</w:t>
      </w:r>
    </w:p>
    <w:p w:rsidR="006E25FF" w:rsidRPr="004121D5" w:rsidRDefault="006E25FF" w:rsidP="004121D5">
      <w:pPr>
        <w:pStyle w:val="Listeafsnit"/>
        <w:numPr>
          <w:ilvl w:val="0"/>
          <w:numId w:val="10"/>
        </w:numPr>
        <w:ind w:left="1134" w:hanging="283"/>
        <w:rPr>
          <w:iCs/>
          <w:sz w:val="24"/>
          <w:szCs w:val="24"/>
        </w:rPr>
      </w:pPr>
      <w:r w:rsidRPr="004121D5">
        <w:rPr>
          <w:iCs/>
          <w:sz w:val="24"/>
          <w:szCs w:val="24"/>
        </w:rPr>
        <w:t>Søvnløshed</w:t>
      </w:r>
    </w:p>
    <w:p w:rsidR="006E25FF" w:rsidRPr="004121D5" w:rsidRDefault="006E25FF" w:rsidP="004121D5">
      <w:pPr>
        <w:pStyle w:val="Listeafsnit"/>
        <w:numPr>
          <w:ilvl w:val="0"/>
          <w:numId w:val="10"/>
        </w:numPr>
        <w:ind w:left="1134" w:hanging="283"/>
        <w:rPr>
          <w:iCs/>
          <w:sz w:val="24"/>
          <w:szCs w:val="24"/>
        </w:rPr>
      </w:pPr>
      <w:r w:rsidRPr="004121D5">
        <w:rPr>
          <w:iCs/>
          <w:sz w:val="24"/>
          <w:szCs w:val="24"/>
        </w:rPr>
        <w:t>Epilepsi</w:t>
      </w:r>
    </w:p>
    <w:p w:rsidR="006E25FF" w:rsidRPr="004121D5" w:rsidRDefault="006E25FF" w:rsidP="004121D5">
      <w:pPr>
        <w:pStyle w:val="Listeafsnit"/>
        <w:numPr>
          <w:ilvl w:val="0"/>
          <w:numId w:val="10"/>
        </w:numPr>
        <w:ind w:left="1134" w:hanging="283"/>
        <w:rPr>
          <w:iCs/>
          <w:sz w:val="24"/>
          <w:szCs w:val="24"/>
        </w:rPr>
      </w:pPr>
      <w:r w:rsidRPr="004121D5">
        <w:rPr>
          <w:iCs/>
          <w:sz w:val="24"/>
          <w:szCs w:val="24"/>
        </w:rPr>
        <w:t>Forstyrrelser i libido</w:t>
      </w:r>
    </w:p>
    <w:p w:rsidR="006E25FF" w:rsidRPr="004121D5" w:rsidRDefault="006E25FF" w:rsidP="004121D5">
      <w:pPr>
        <w:pStyle w:val="Listeafsnit"/>
        <w:numPr>
          <w:ilvl w:val="0"/>
          <w:numId w:val="10"/>
        </w:numPr>
        <w:ind w:left="1134" w:hanging="283"/>
        <w:rPr>
          <w:iCs/>
          <w:sz w:val="24"/>
          <w:szCs w:val="24"/>
        </w:rPr>
      </w:pPr>
      <w:r w:rsidRPr="004121D5">
        <w:rPr>
          <w:iCs/>
          <w:sz w:val="24"/>
          <w:szCs w:val="24"/>
        </w:rPr>
        <w:t>Forværring af astma</w:t>
      </w:r>
    </w:p>
    <w:p w:rsidR="006E25FF" w:rsidRPr="004121D5" w:rsidRDefault="006E25FF" w:rsidP="004121D5">
      <w:pPr>
        <w:pStyle w:val="Listeafsnit"/>
        <w:numPr>
          <w:ilvl w:val="0"/>
          <w:numId w:val="10"/>
        </w:numPr>
        <w:ind w:left="1134" w:hanging="283"/>
        <w:rPr>
          <w:iCs/>
          <w:sz w:val="24"/>
          <w:szCs w:val="24"/>
        </w:rPr>
      </w:pPr>
      <w:r w:rsidRPr="004121D5">
        <w:rPr>
          <w:iCs/>
          <w:sz w:val="24"/>
          <w:szCs w:val="24"/>
        </w:rPr>
        <w:t>Mulig demens (se pkt. 4.4).</w:t>
      </w:r>
    </w:p>
    <w:p w:rsidR="006E25FF" w:rsidRPr="004121D5" w:rsidRDefault="006E25FF" w:rsidP="004121D5">
      <w:pPr>
        <w:ind w:left="851"/>
        <w:rPr>
          <w:iCs/>
          <w:sz w:val="24"/>
          <w:szCs w:val="24"/>
        </w:rPr>
      </w:pPr>
    </w:p>
    <w:p w:rsidR="006E25FF" w:rsidRPr="004121D5" w:rsidRDefault="006E25FF" w:rsidP="004121D5">
      <w:pPr>
        <w:ind w:left="851"/>
        <w:rPr>
          <w:iCs/>
          <w:sz w:val="20"/>
        </w:rPr>
      </w:pPr>
      <w:r w:rsidRPr="004121D5">
        <w:rPr>
          <w:iCs/>
          <w:sz w:val="20"/>
        </w:rPr>
        <w:lastRenderedPageBreak/>
        <w:t>*) Hos ikke-hysterektomerede kvinder.</w:t>
      </w:r>
    </w:p>
    <w:p w:rsidR="006E25FF" w:rsidRPr="004121D5" w:rsidRDefault="006E25FF" w:rsidP="004121D5">
      <w:pPr>
        <w:ind w:left="851"/>
        <w:rPr>
          <w:iCs/>
          <w:sz w:val="24"/>
          <w:szCs w:val="24"/>
        </w:rPr>
      </w:pPr>
    </w:p>
    <w:p w:rsidR="006E25FF" w:rsidRPr="004121D5" w:rsidRDefault="006E25FF" w:rsidP="004121D5">
      <w:pPr>
        <w:ind w:left="851"/>
        <w:rPr>
          <w:iCs/>
          <w:sz w:val="24"/>
          <w:szCs w:val="24"/>
          <w:u w:val="single"/>
        </w:rPr>
      </w:pPr>
      <w:r w:rsidRPr="004121D5">
        <w:rPr>
          <w:iCs/>
          <w:sz w:val="24"/>
          <w:szCs w:val="24"/>
          <w:u w:val="single"/>
        </w:rPr>
        <w:t>Risiko for brystcancer</w:t>
      </w:r>
    </w:p>
    <w:p w:rsidR="006E25FF" w:rsidRPr="006E25FF" w:rsidRDefault="006E25FF" w:rsidP="006E25FF">
      <w:pPr>
        <w:ind w:left="851"/>
        <w:rPr>
          <w:iCs/>
          <w:sz w:val="24"/>
          <w:szCs w:val="24"/>
        </w:rPr>
      </w:pPr>
      <w:r w:rsidRPr="006E25FF">
        <w:rPr>
          <w:iCs/>
          <w:sz w:val="24"/>
          <w:szCs w:val="24"/>
        </w:rPr>
        <w:t>For brugere behandlet med østrogen alene er den øgede risiko ved behandling med østrogen alene lavere end for brugere af østrogen/gestagenkombinationer.</w:t>
      </w:r>
    </w:p>
    <w:p w:rsidR="006E25FF" w:rsidRPr="006E25FF" w:rsidRDefault="006E25FF" w:rsidP="006E25FF">
      <w:pPr>
        <w:ind w:left="851"/>
        <w:rPr>
          <w:iCs/>
          <w:sz w:val="24"/>
          <w:szCs w:val="24"/>
        </w:rPr>
      </w:pPr>
    </w:p>
    <w:p w:rsidR="006E25FF" w:rsidRPr="006E25FF" w:rsidRDefault="006E25FF" w:rsidP="006E25FF">
      <w:pPr>
        <w:ind w:left="851"/>
        <w:rPr>
          <w:iCs/>
          <w:sz w:val="24"/>
          <w:szCs w:val="24"/>
        </w:rPr>
      </w:pPr>
      <w:r w:rsidRPr="006E25FF">
        <w:rPr>
          <w:iCs/>
          <w:sz w:val="24"/>
          <w:szCs w:val="24"/>
        </w:rPr>
        <w:t>Risikoniveauet er afhængigt af behandlingsvarigheden (se pkt. 4.4).</w:t>
      </w:r>
    </w:p>
    <w:p w:rsidR="006E25FF" w:rsidRPr="006E25FF" w:rsidRDefault="006E25FF" w:rsidP="006E25FF">
      <w:pPr>
        <w:ind w:left="851"/>
        <w:rPr>
          <w:iCs/>
          <w:sz w:val="24"/>
          <w:szCs w:val="24"/>
        </w:rPr>
      </w:pPr>
    </w:p>
    <w:p w:rsidR="006E25FF" w:rsidRPr="006E25FF" w:rsidRDefault="006E25FF" w:rsidP="006E25FF">
      <w:pPr>
        <w:ind w:left="851"/>
        <w:rPr>
          <w:iCs/>
          <w:sz w:val="24"/>
          <w:szCs w:val="24"/>
        </w:rPr>
      </w:pPr>
      <w:r w:rsidRPr="006E25FF">
        <w:rPr>
          <w:iCs/>
          <w:sz w:val="24"/>
          <w:szCs w:val="24"/>
        </w:rPr>
        <w:t>Nedenfor vises de absolutte risikoestimater baseret på resultaterne fra det største randomiserede placebo-kontrollerede studie (WHI-studiet) og den største metaanalyse af prospektive epidemiologiske studier.</w:t>
      </w:r>
    </w:p>
    <w:p w:rsidR="006E25FF" w:rsidRPr="006E25FF" w:rsidRDefault="006E25FF" w:rsidP="006E25FF">
      <w:pPr>
        <w:ind w:left="851"/>
        <w:rPr>
          <w:iCs/>
          <w:sz w:val="24"/>
          <w:szCs w:val="24"/>
        </w:rPr>
      </w:pPr>
    </w:p>
    <w:p w:rsidR="006E25FF" w:rsidRDefault="006E25FF" w:rsidP="006E25FF">
      <w:pPr>
        <w:rPr>
          <w:b/>
          <w:bCs/>
          <w:iCs/>
          <w:szCs w:val="22"/>
        </w:rPr>
      </w:pPr>
      <w:r>
        <w:rPr>
          <w:b/>
          <w:bCs/>
          <w:iCs/>
          <w:szCs w:val="22"/>
        </w:rPr>
        <w:t>Største metaanalyse af prospektive epidemiologiske studier</w:t>
      </w:r>
    </w:p>
    <w:p w:rsidR="006E25FF" w:rsidRDefault="006E25FF" w:rsidP="006E25FF">
      <w:pPr>
        <w:rPr>
          <w:b/>
          <w:bCs/>
          <w:iCs/>
          <w:szCs w:val="22"/>
        </w:rPr>
      </w:pPr>
      <w:r>
        <w:rPr>
          <w:b/>
          <w:bCs/>
          <w:iCs/>
          <w:szCs w:val="22"/>
        </w:rPr>
        <w:t>Estimeret yderligere risiko for brystcancer efter 5 års brug hos kvinder med et BMI på 27 (kg/m</w:t>
      </w:r>
      <w:r>
        <w:rPr>
          <w:b/>
          <w:bCs/>
          <w:iCs/>
          <w:szCs w:val="22"/>
          <w:vertAlign w:val="superscript"/>
        </w:rPr>
        <w:t>2</w:t>
      </w:r>
      <w:r>
        <w:rPr>
          <w:b/>
          <w:bCs/>
          <w:iCs/>
          <w:szCs w:val="22"/>
        </w:rPr>
        <w:t>)</w:t>
      </w:r>
    </w:p>
    <w:tbl>
      <w:tblPr>
        <w:tblStyle w:val="Tabel-Gitter"/>
        <w:tblW w:w="5000" w:type="pct"/>
        <w:tblInd w:w="0" w:type="dxa"/>
        <w:tblLook w:val="04A0" w:firstRow="1" w:lastRow="0" w:firstColumn="1" w:lastColumn="0" w:noHBand="0" w:noVBand="1"/>
      </w:tblPr>
      <w:tblGrid>
        <w:gridCol w:w="2407"/>
        <w:gridCol w:w="2407"/>
        <w:gridCol w:w="2407"/>
        <w:gridCol w:w="2407"/>
      </w:tblGrid>
      <w:tr w:rsidR="006E25FF" w:rsidTr="006E25FF">
        <w:trPr>
          <w:trHeight w:val="20"/>
        </w:trPr>
        <w:tc>
          <w:tcPr>
            <w:tcW w:w="1250" w:type="pct"/>
            <w:tcBorders>
              <w:top w:val="single" w:sz="4" w:space="0" w:color="auto"/>
              <w:left w:val="single" w:sz="4" w:space="0" w:color="auto"/>
              <w:bottom w:val="single" w:sz="4" w:space="0" w:color="auto"/>
              <w:right w:val="single" w:sz="4" w:space="0" w:color="auto"/>
            </w:tcBorders>
            <w:hideMark/>
          </w:tcPr>
          <w:p w:rsidR="006E25FF" w:rsidRPr="006E25FF" w:rsidRDefault="006E25FF">
            <w:pPr>
              <w:rPr>
                <w:b/>
                <w:bCs/>
                <w:iCs/>
                <w:szCs w:val="22"/>
                <w:lang w:val="da-DK"/>
              </w:rPr>
            </w:pPr>
            <w:r w:rsidRPr="006E25FF">
              <w:rPr>
                <w:b/>
                <w:szCs w:val="24"/>
                <w:lang w:val="da-DK"/>
              </w:rPr>
              <w:t>Alder ved HRT-start (år)</w:t>
            </w:r>
          </w:p>
        </w:tc>
        <w:tc>
          <w:tcPr>
            <w:tcW w:w="1250" w:type="pct"/>
            <w:tcBorders>
              <w:top w:val="single" w:sz="4" w:space="0" w:color="auto"/>
              <w:left w:val="single" w:sz="4" w:space="0" w:color="auto"/>
              <w:bottom w:val="single" w:sz="4" w:space="0" w:color="auto"/>
              <w:right w:val="single" w:sz="4" w:space="0" w:color="auto"/>
            </w:tcBorders>
            <w:hideMark/>
          </w:tcPr>
          <w:p w:rsidR="006E25FF" w:rsidRPr="006E25FF" w:rsidRDefault="006E25FF">
            <w:pPr>
              <w:rPr>
                <w:b/>
                <w:bCs/>
                <w:iCs/>
                <w:szCs w:val="22"/>
                <w:lang w:val="da-DK"/>
              </w:rPr>
            </w:pPr>
            <w:r w:rsidRPr="006E25FF">
              <w:rPr>
                <w:b/>
                <w:szCs w:val="24"/>
                <w:lang w:val="da-DK"/>
              </w:rPr>
              <w:t>Incidens per 1.000 der aldrig har brugt HRT over en 5 års periode (50</w:t>
            </w:r>
            <w:r w:rsidRPr="006E25FF">
              <w:rPr>
                <w:b/>
                <w:szCs w:val="24"/>
                <w:lang w:val="da-DK"/>
              </w:rPr>
              <w:noBreakHyphen/>
              <w:t>54 år)*</w:t>
            </w:r>
          </w:p>
        </w:tc>
        <w:tc>
          <w:tcPr>
            <w:tcW w:w="1250" w:type="pct"/>
            <w:tcBorders>
              <w:top w:val="single" w:sz="4" w:space="0" w:color="auto"/>
              <w:left w:val="single" w:sz="4" w:space="0" w:color="auto"/>
              <w:bottom w:val="single" w:sz="4" w:space="0" w:color="auto"/>
              <w:right w:val="single" w:sz="4" w:space="0" w:color="auto"/>
            </w:tcBorders>
            <w:hideMark/>
          </w:tcPr>
          <w:p w:rsidR="006E25FF" w:rsidRDefault="006E25FF">
            <w:pPr>
              <w:rPr>
                <w:b/>
                <w:bCs/>
                <w:iCs/>
                <w:szCs w:val="22"/>
              </w:rPr>
            </w:pPr>
            <w:r>
              <w:rPr>
                <w:b/>
                <w:szCs w:val="24"/>
              </w:rPr>
              <w:t>Risikoratio</w:t>
            </w:r>
          </w:p>
        </w:tc>
        <w:tc>
          <w:tcPr>
            <w:tcW w:w="1250" w:type="pct"/>
            <w:tcBorders>
              <w:top w:val="single" w:sz="4" w:space="0" w:color="auto"/>
              <w:left w:val="single" w:sz="4" w:space="0" w:color="auto"/>
              <w:bottom w:val="single" w:sz="4" w:space="0" w:color="auto"/>
              <w:right w:val="single" w:sz="4" w:space="0" w:color="auto"/>
            </w:tcBorders>
            <w:hideMark/>
          </w:tcPr>
          <w:p w:rsidR="006E25FF" w:rsidRPr="006E25FF" w:rsidRDefault="006E25FF">
            <w:pPr>
              <w:rPr>
                <w:b/>
                <w:bCs/>
                <w:iCs/>
                <w:szCs w:val="22"/>
                <w:lang w:val="da-DK"/>
              </w:rPr>
            </w:pPr>
            <w:r w:rsidRPr="006E25FF">
              <w:rPr>
                <w:b/>
                <w:szCs w:val="24"/>
                <w:lang w:val="da-DK"/>
              </w:rPr>
              <w:t>Yderligere tilfælde per 1.000 HRT brugere efter 5 år</w:t>
            </w:r>
          </w:p>
        </w:tc>
      </w:tr>
      <w:tr w:rsidR="006E25FF" w:rsidTr="006E25FF">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E7E6E6" w:themeFill="background2"/>
            <w:hideMark/>
          </w:tcPr>
          <w:p w:rsidR="006E25FF" w:rsidRDefault="006E25FF">
            <w:pPr>
              <w:jc w:val="center"/>
              <w:rPr>
                <w:b/>
                <w:bCs/>
                <w:iCs/>
                <w:szCs w:val="22"/>
              </w:rPr>
            </w:pPr>
            <w:r>
              <w:rPr>
                <w:b/>
                <w:szCs w:val="24"/>
              </w:rPr>
              <w:t>HRT med østrogen alene</w:t>
            </w:r>
          </w:p>
        </w:tc>
      </w:tr>
      <w:tr w:rsidR="006E25FF" w:rsidTr="006E25FF">
        <w:trPr>
          <w:trHeight w:val="20"/>
        </w:trPr>
        <w:tc>
          <w:tcPr>
            <w:tcW w:w="1250" w:type="pct"/>
            <w:tcBorders>
              <w:top w:val="single" w:sz="4" w:space="0" w:color="auto"/>
              <w:left w:val="single" w:sz="4" w:space="0" w:color="auto"/>
              <w:bottom w:val="single" w:sz="4" w:space="0" w:color="auto"/>
              <w:right w:val="single" w:sz="4" w:space="0" w:color="auto"/>
            </w:tcBorders>
            <w:hideMark/>
          </w:tcPr>
          <w:p w:rsidR="006E25FF" w:rsidRDefault="006E25FF">
            <w:pPr>
              <w:rPr>
                <w:iCs/>
                <w:szCs w:val="22"/>
              </w:rPr>
            </w:pPr>
            <w:r>
              <w:rPr>
                <w:iCs/>
                <w:szCs w:val="22"/>
              </w:rPr>
              <w:t>50</w:t>
            </w:r>
          </w:p>
        </w:tc>
        <w:tc>
          <w:tcPr>
            <w:tcW w:w="1250" w:type="pct"/>
            <w:tcBorders>
              <w:top w:val="single" w:sz="4" w:space="0" w:color="auto"/>
              <w:left w:val="single" w:sz="4" w:space="0" w:color="auto"/>
              <w:bottom w:val="single" w:sz="4" w:space="0" w:color="auto"/>
              <w:right w:val="single" w:sz="4" w:space="0" w:color="auto"/>
            </w:tcBorders>
            <w:hideMark/>
          </w:tcPr>
          <w:p w:rsidR="006E25FF" w:rsidRDefault="006E25FF">
            <w:pPr>
              <w:rPr>
                <w:iCs/>
                <w:szCs w:val="22"/>
              </w:rPr>
            </w:pPr>
            <w:r>
              <w:rPr>
                <w:iCs/>
                <w:szCs w:val="22"/>
              </w:rPr>
              <w:t xml:space="preserve">13,3 </w:t>
            </w:r>
          </w:p>
        </w:tc>
        <w:tc>
          <w:tcPr>
            <w:tcW w:w="1250" w:type="pct"/>
            <w:tcBorders>
              <w:top w:val="single" w:sz="4" w:space="0" w:color="auto"/>
              <w:left w:val="single" w:sz="4" w:space="0" w:color="auto"/>
              <w:bottom w:val="single" w:sz="4" w:space="0" w:color="auto"/>
              <w:right w:val="single" w:sz="4" w:space="0" w:color="auto"/>
            </w:tcBorders>
            <w:hideMark/>
          </w:tcPr>
          <w:p w:rsidR="006E25FF" w:rsidRDefault="006E25FF">
            <w:pPr>
              <w:rPr>
                <w:iCs/>
                <w:szCs w:val="22"/>
              </w:rPr>
            </w:pPr>
            <w:r>
              <w:rPr>
                <w:iCs/>
                <w:szCs w:val="22"/>
              </w:rPr>
              <w:t>1,2</w:t>
            </w:r>
          </w:p>
        </w:tc>
        <w:tc>
          <w:tcPr>
            <w:tcW w:w="1250" w:type="pct"/>
            <w:tcBorders>
              <w:top w:val="single" w:sz="4" w:space="0" w:color="auto"/>
              <w:left w:val="single" w:sz="4" w:space="0" w:color="auto"/>
              <w:bottom w:val="single" w:sz="4" w:space="0" w:color="auto"/>
              <w:right w:val="single" w:sz="4" w:space="0" w:color="auto"/>
            </w:tcBorders>
            <w:hideMark/>
          </w:tcPr>
          <w:p w:rsidR="006E25FF" w:rsidRDefault="006E25FF">
            <w:pPr>
              <w:rPr>
                <w:iCs/>
                <w:szCs w:val="22"/>
              </w:rPr>
            </w:pPr>
            <w:r>
              <w:rPr>
                <w:iCs/>
                <w:szCs w:val="22"/>
              </w:rPr>
              <w:t xml:space="preserve">2,7 </w:t>
            </w:r>
          </w:p>
        </w:tc>
      </w:tr>
      <w:tr w:rsidR="006E25FF" w:rsidTr="006E25FF">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E7E6E6" w:themeFill="background2"/>
            <w:hideMark/>
          </w:tcPr>
          <w:p w:rsidR="006E25FF" w:rsidRDefault="006E25FF">
            <w:pPr>
              <w:jc w:val="center"/>
              <w:rPr>
                <w:b/>
                <w:bCs/>
                <w:iCs/>
                <w:szCs w:val="22"/>
              </w:rPr>
            </w:pPr>
            <w:r>
              <w:rPr>
                <w:b/>
                <w:szCs w:val="24"/>
              </w:rPr>
              <w:t>Kombineret østrogen-gestagen</w:t>
            </w:r>
          </w:p>
        </w:tc>
      </w:tr>
      <w:tr w:rsidR="006E25FF" w:rsidTr="006E25FF">
        <w:trPr>
          <w:trHeight w:val="20"/>
        </w:trPr>
        <w:tc>
          <w:tcPr>
            <w:tcW w:w="1250" w:type="pct"/>
            <w:tcBorders>
              <w:top w:val="single" w:sz="4" w:space="0" w:color="auto"/>
              <w:left w:val="single" w:sz="4" w:space="0" w:color="auto"/>
              <w:bottom w:val="single" w:sz="4" w:space="0" w:color="auto"/>
              <w:right w:val="single" w:sz="4" w:space="0" w:color="auto"/>
            </w:tcBorders>
            <w:hideMark/>
          </w:tcPr>
          <w:p w:rsidR="006E25FF" w:rsidRDefault="006E25FF">
            <w:pPr>
              <w:rPr>
                <w:iCs/>
                <w:szCs w:val="22"/>
              </w:rPr>
            </w:pPr>
            <w:r>
              <w:rPr>
                <w:iCs/>
                <w:szCs w:val="22"/>
              </w:rPr>
              <w:t>50</w:t>
            </w:r>
          </w:p>
        </w:tc>
        <w:tc>
          <w:tcPr>
            <w:tcW w:w="1250" w:type="pct"/>
            <w:tcBorders>
              <w:top w:val="single" w:sz="4" w:space="0" w:color="auto"/>
              <w:left w:val="single" w:sz="4" w:space="0" w:color="auto"/>
              <w:bottom w:val="single" w:sz="4" w:space="0" w:color="auto"/>
              <w:right w:val="single" w:sz="4" w:space="0" w:color="auto"/>
            </w:tcBorders>
            <w:hideMark/>
          </w:tcPr>
          <w:p w:rsidR="006E25FF" w:rsidRDefault="006E25FF">
            <w:pPr>
              <w:rPr>
                <w:iCs/>
                <w:szCs w:val="22"/>
              </w:rPr>
            </w:pPr>
            <w:r>
              <w:rPr>
                <w:iCs/>
                <w:szCs w:val="22"/>
              </w:rPr>
              <w:t xml:space="preserve">13,3 </w:t>
            </w:r>
          </w:p>
        </w:tc>
        <w:tc>
          <w:tcPr>
            <w:tcW w:w="1250" w:type="pct"/>
            <w:tcBorders>
              <w:top w:val="single" w:sz="4" w:space="0" w:color="auto"/>
              <w:left w:val="single" w:sz="4" w:space="0" w:color="auto"/>
              <w:bottom w:val="single" w:sz="4" w:space="0" w:color="auto"/>
              <w:right w:val="single" w:sz="4" w:space="0" w:color="auto"/>
            </w:tcBorders>
            <w:hideMark/>
          </w:tcPr>
          <w:p w:rsidR="006E25FF" w:rsidRDefault="006E25FF">
            <w:pPr>
              <w:rPr>
                <w:iCs/>
                <w:szCs w:val="22"/>
              </w:rPr>
            </w:pPr>
            <w:r>
              <w:rPr>
                <w:iCs/>
                <w:szCs w:val="22"/>
              </w:rPr>
              <w:t>1,6</w:t>
            </w:r>
          </w:p>
        </w:tc>
        <w:tc>
          <w:tcPr>
            <w:tcW w:w="1250" w:type="pct"/>
            <w:tcBorders>
              <w:top w:val="single" w:sz="4" w:space="0" w:color="auto"/>
              <w:left w:val="single" w:sz="4" w:space="0" w:color="auto"/>
              <w:bottom w:val="single" w:sz="4" w:space="0" w:color="auto"/>
              <w:right w:val="single" w:sz="4" w:space="0" w:color="auto"/>
            </w:tcBorders>
            <w:hideMark/>
          </w:tcPr>
          <w:p w:rsidR="006E25FF" w:rsidRDefault="006E25FF">
            <w:pPr>
              <w:rPr>
                <w:iCs/>
                <w:szCs w:val="22"/>
              </w:rPr>
            </w:pPr>
            <w:r>
              <w:rPr>
                <w:iCs/>
                <w:szCs w:val="22"/>
              </w:rPr>
              <w:t xml:space="preserve">8,0 </w:t>
            </w:r>
          </w:p>
        </w:tc>
      </w:tr>
      <w:tr w:rsidR="006E25FF" w:rsidTr="006E25FF">
        <w:tc>
          <w:tcPr>
            <w:tcW w:w="5000" w:type="pct"/>
            <w:gridSpan w:val="4"/>
            <w:tcBorders>
              <w:top w:val="single" w:sz="4" w:space="0" w:color="auto"/>
              <w:left w:val="single" w:sz="4" w:space="0" w:color="auto"/>
              <w:bottom w:val="single" w:sz="4" w:space="0" w:color="auto"/>
              <w:right w:val="single" w:sz="4" w:space="0" w:color="auto"/>
            </w:tcBorders>
          </w:tcPr>
          <w:p w:rsidR="006E25FF" w:rsidRPr="006E25FF" w:rsidRDefault="006E25FF">
            <w:pPr>
              <w:rPr>
                <w:iCs/>
                <w:szCs w:val="22"/>
                <w:lang w:val="da-DK"/>
              </w:rPr>
            </w:pPr>
            <w:r w:rsidRPr="006E25FF">
              <w:rPr>
                <w:iCs/>
                <w:szCs w:val="22"/>
                <w:lang w:val="da-DK"/>
              </w:rPr>
              <w:t>* Fra incidens-rater ved baseline i England i 2015 hos kvinder med et BMI på 27 (kg/m</w:t>
            </w:r>
            <w:r w:rsidRPr="006E25FF">
              <w:rPr>
                <w:iCs/>
                <w:szCs w:val="22"/>
                <w:vertAlign w:val="superscript"/>
                <w:lang w:val="da-DK"/>
              </w:rPr>
              <w:t>2</w:t>
            </w:r>
            <w:r w:rsidRPr="006E25FF">
              <w:rPr>
                <w:iCs/>
                <w:szCs w:val="22"/>
                <w:lang w:val="da-DK"/>
              </w:rPr>
              <w:t>)</w:t>
            </w:r>
          </w:p>
          <w:p w:rsidR="006E25FF" w:rsidRPr="006E25FF" w:rsidRDefault="006E25FF">
            <w:pPr>
              <w:rPr>
                <w:iCs/>
                <w:szCs w:val="22"/>
                <w:lang w:val="da-DK"/>
              </w:rPr>
            </w:pPr>
          </w:p>
          <w:p w:rsidR="006E25FF" w:rsidRPr="006E25FF" w:rsidRDefault="006E25FF">
            <w:pPr>
              <w:rPr>
                <w:iCs/>
                <w:szCs w:val="22"/>
                <w:lang w:val="da-DK"/>
              </w:rPr>
            </w:pPr>
            <w:r w:rsidRPr="006E25FF">
              <w:rPr>
                <w:iCs/>
                <w:szCs w:val="22"/>
                <w:lang w:val="da-DK"/>
              </w:rPr>
              <w:t>Bemærk: Da baggrundsincidensen for brystcancer varierer fra land til land i EU, vil antallet af yderligere tilfælde af brystcancer også ændres proportionalt.</w:t>
            </w:r>
          </w:p>
        </w:tc>
      </w:tr>
    </w:tbl>
    <w:p w:rsidR="006E25FF" w:rsidRDefault="006E25FF" w:rsidP="006E25FF">
      <w:pPr>
        <w:rPr>
          <w:iCs/>
          <w:sz w:val="22"/>
          <w:szCs w:val="22"/>
        </w:rPr>
      </w:pPr>
    </w:p>
    <w:p w:rsidR="006E25FF" w:rsidRDefault="006E25FF" w:rsidP="006E25FF">
      <w:pPr>
        <w:rPr>
          <w:b/>
          <w:bCs/>
          <w:iCs/>
          <w:szCs w:val="22"/>
        </w:rPr>
      </w:pPr>
      <w:r>
        <w:rPr>
          <w:b/>
          <w:bCs/>
          <w:iCs/>
          <w:szCs w:val="22"/>
        </w:rPr>
        <w:t>Estimeret yderligere risiko for brystcancer efter 10 års brug hos kvinder med et BMI på 27 (kg/m</w:t>
      </w:r>
      <w:r>
        <w:rPr>
          <w:b/>
          <w:bCs/>
          <w:iCs/>
          <w:szCs w:val="22"/>
          <w:vertAlign w:val="superscript"/>
        </w:rPr>
        <w:t>2</w:t>
      </w:r>
      <w:r>
        <w:rPr>
          <w:b/>
          <w:bCs/>
          <w:iCs/>
          <w:szCs w:val="22"/>
        </w:rPr>
        <w:t>)</w:t>
      </w:r>
    </w:p>
    <w:tbl>
      <w:tblPr>
        <w:tblStyle w:val="Tabel-Gitter"/>
        <w:tblW w:w="0" w:type="auto"/>
        <w:tblInd w:w="0" w:type="dxa"/>
        <w:tblLook w:val="04A0" w:firstRow="1" w:lastRow="0" w:firstColumn="1" w:lastColumn="0" w:noHBand="0" w:noVBand="1"/>
      </w:tblPr>
      <w:tblGrid>
        <w:gridCol w:w="2263"/>
        <w:gridCol w:w="2264"/>
        <w:gridCol w:w="2264"/>
        <w:gridCol w:w="2264"/>
      </w:tblGrid>
      <w:tr w:rsidR="006E25FF" w:rsidTr="006E25FF">
        <w:trPr>
          <w:trHeight w:val="20"/>
        </w:trPr>
        <w:tc>
          <w:tcPr>
            <w:tcW w:w="2263" w:type="dxa"/>
            <w:tcBorders>
              <w:top w:val="single" w:sz="4" w:space="0" w:color="auto"/>
              <w:left w:val="single" w:sz="4" w:space="0" w:color="auto"/>
              <w:bottom w:val="single" w:sz="4" w:space="0" w:color="auto"/>
              <w:right w:val="single" w:sz="4" w:space="0" w:color="auto"/>
            </w:tcBorders>
            <w:hideMark/>
          </w:tcPr>
          <w:p w:rsidR="006E25FF" w:rsidRPr="006E25FF" w:rsidRDefault="006E25FF">
            <w:pPr>
              <w:rPr>
                <w:b/>
                <w:bCs/>
                <w:iCs/>
                <w:szCs w:val="22"/>
                <w:lang w:val="da-DK"/>
              </w:rPr>
            </w:pPr>
            <w:r w:rsidRPr="006E25FF">
              <w:rPr>
                <w:b/>
                <w:szCs w:val="24"/>
                <w:lang w:val="da-DK"/>
              </w:rPr>
              <w:t>Alder ved HRT-start (år)</w:t>
            </w:r>
          </w:p>
        </w:tc>
        <w:tc>
          <w:tcPr>
            <w:tcW w:w="2264" w:type="dxa"/>
            <w:tcBorders>
              <w:top w:val="single" w:sz="4" w:space="0" w:color="auto"/>
              <w:left w:val="single" w:sz="4" w:space="0" w:color="auto"/>
              <w:bottom w:val="single" w:sz="4" w:space="0" w:color="auto"/>
              <w:right w:val="single" w:sz="4" w:space="0" w:color="auto"/>
            </w:tcBorders>
            <w:hideMark/>
          </w:tcPr>
          <w:p w:rsidR="006E25FF" w:rsidRPr="006E25FF" w:rsidRDefault="006E25FF">
            <w:pPr>
              <w:rPr>
                <w:b/>
                <w:bCs/>
                <w:iCs/>
                <w:szCs w:val="22"/>
                <w:lang w:val="da-DK"/>
              </w:rPr>
            </w:pPr>
            <w:r w:rsidRPr="006E25FF">
              <w:rPr>
                <w:b/>
                <w:szCs w:val="24"/>
                <w:lang w:val="da-DK"/>
              </w:rPr>
              <w:t>Incidens per 1.000 der aldrig har brugt HRT over en 10 års periode (50</w:t>
            </w:r>
            <w:r w:rsidRPr="006E25FF">
              <w:rPr>
                <w:b/>
                <w:szCs w:val="24"/>
                <w:lang w:val="da-DK"/>
              </w:rPr>
              <w:noBreakHyphen/>
              <w:t>59 år)*</w:t>
            </w:r>
          </w:p>
        </w:tc>
        <w:tc>
          <w:tcPr>
            <w:tcW w:w="2264" w:type="dxa"/>
            <w:tcBorders>
              <w:top w:val="single" w:sz="4" w:space="0" w:color="auto"/>
              <w:left w:val="single" w:sz="4" w:space="0" w:color="auto"/>
              <w:bottom w:val="single" w:sz="4" w:space="0" w:color="auto"/>
              <w:right w:val="single" w:sz="4" w:space="0" w:color="auto"/>
            </w:tcBorders>
            <w:hideMark/>
          </w:tcPr>
          <w:p w:rsidR="006E25FF" w:rsidRDefault="006E25FF">
            <w:pPr>
              <w:rPr>
                <w:b/>
                <w:bCs/>
                <w:iCs/>
                <w:szCs w:val="22"/>
              </w:rPr>
            </w:pPr>
            <w:r>
              <w:rPr>
                <w:b/>
                <w:szCs w:val="24"/>
              </w:rPr>
              <w:t>Risikoratio</w:t>
            </w:r>
          </w:p>
        </w:tc>
        <w:tc>
          <w:tcPr>
            <w:tcW w:w="2264" w:type="dxa"/>
            <w:tcBorders>
              <w:top w:val="single" w:sz="4" w:space="0" w:color="auto"/>
              <w:left w:val="single" w:sz="4" w:space="0" w:color="auto"/>
              <w:bottom w:val="single" w:sz="4" w:space="0" w:color="auto"/>
              <w:right w:val="single" w:sz="4" w:space="0" w:color="auto"/>
            </w:tcBorders>
            <w:hideMark/>
          </w:tcPr>
          <w:p w:rsidR="006E25FF" w:rsidRPr="006E25FF" w:rsidRDefault="006E25FF">
            <w:pPr>
              <w:rPr>
                <w:b/>
                <w:bCs/>
                <w:iCs/>
                <w:szCs w:val="22"/>
                <w:lang w:val="da-DK"/>
              </w:rPr>
            </w:pPr>
            <w:r w:rsidRPr="006E25FF">
              <w:rPr>
                <w:b/>
                <w:szCs w:val="24"/>
                <w:lang w:val="da-DK"/>
              </w:rPr>
              <w:t>Yderligere tilfælde per 1.000 HRT brugere efter 10 år</w:t>
            </w:r>
          </w:p>
        </w:tc>
      </w:tr>
      <w:tr w:rsidR="006E25FF" w:rsidTr="006E25FF">
        <w:trPr>
          <w:trHeight w:val="20"/>
        </w:trPr>
        <w:tc>
          <w:tcPr>
            <w:tcW w:w="9055" w:type="dxa"/>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6E25FF" w:rsidRDefault="006E25FF">
            <w:pPr>
              <w:jc w:val="center"/>
              <w:rPr>
                <w:b/>
                <w:bCs/>
                <w:iCs/>
                <w:szCs w:val="22"/>
              </w:rPr>
            </w:pPr>
            <w:r>
              <w:rPr>
                <w:b/>
                <w:szCs w:val="24"/>
              </w:rPr>
              <w:t>HRT med østrogen alene</w:t>
            </w:r>
          </w:p>
        </w:tc>
      </w:tr>
      <w:tr w:rsidR="006E25FF" w:rsidTr="006E25FF">
        <w:trPr>
          <w:trHeight w:val="20"/>
        </w:trPr>
        <w:tc>
          <w:tcPr>
            <w:tcW w:w="2263" w:type="dxa"/>
            <w:tcBorders>
              <w:top w:val="single" w:sz="4" w:space="0" w:color="auto"/>
              <w:left w:val="single" w:sz="4" w:space="0" w:color="auto"/>
              <w:bottom w:val="single" w:sz="4" w:space="0" w:color="auto"/>
              <w:right w:val="single" w:sz="4" w:space="0" w:color="auto"/>
            </w:tcBorders>
            <w:hideMark/>
          </w:tcPr>
          <w:p w:rsidR="006E25FF" w:rsidRDefault="006E25FF">
            <w:pPr>
              <w:rPr>
                <w:iCs/>
                <w:szCs w:val="22"/>
              </w:rPr>
            </w:pPr>
            <w:r>
              <w:rPr>
                <w:iCs/>
                <w:szCs w:val="22"/>
              </w:rPr>
              <w:t>50</w:t>
            </w:r>
          </w:p>
        </w:tc>
        <w:tc>
          <w:tcPr>
            <w:tcW w:w="2264" w:type="dxa"/>
            <w:tcBorders>
              <w:top w:val="single" w:sz="4" w:space="0" w:color="auto"/>
              <w:left w:val="single" w:sz="4" w:space="0" w:color="auto"/>
              <w:bottom w:val="single" w:sz="4" w:space="0" w:color="auto"/>
              <w:right w:val="single" w:sz="4" w:space="0" w:color="auto"/>
            </w:tcBorders>
            <w:hideMark/>
          </w:tcPr>
          <w:p w:rsidR="006E25FF" w:rsidRDefault="006E25FF">
            <w:pPr>
              <w:rPr>
                <w:iCs/>
                <w:szCs w:val="22"/>
              </w:rPr>
            </w:pPr>
            <w:r>
              <w:rPr>
                <w:iCs/>
                <w:szCs w:val="22"/>
              </w:rPr>
              <w:t xml:space="preserve">26,6 </w:t>
            </w:r>
          </w:p>
        </w:tc>
        <w:tc>
          <w:tcPr>
            <w:tcW w:w="2264" w:type="dxa"/>
            <w:tcBorders>
              <w:top w:val="single" w:sz="4" w:space="0" w:color="auto"/>
              <w:left w:val="single" w:sz="4" w:space="0" w:color="auto"/>
              <w:bottom w:val="single" w:sz="4" w:space="0" w:color="auto"/>
              <w:right w:val="single" w:sz="4" w:space="0" w:color="auto"/>
            </w:tcBorders>
            <w:hideMark/>
          </w:tcPr>
          <w:p w:rsidR="006E25FF" w:rsidRDefault="006E25FF">
            <w:pPr>
              <w:rPr>
                <w:iCs/>
                <w:szCs w:val="22"/>
              </w:rPr>
            </w:pPr>
            <w:r>
              <w:rPr>
                <w:iCs/>
                <w:szCs w:val="22"/>
              </w:rPr>
              <w:t>1,3</w:t>
            </w:r>
          </w:p>
        </w:tc>
        <w:tc>
          <w:tcPr>
            <w:tcW w:w="2264" w:type="dxa"/>
            <w:tcBorders>
              <w:top w:val="single" w:sz="4" w:space="0" w:color="auto"/>
              <w:left w:val="single" w:sz="4" w:space="0" w:color="auto"/>
              <w:bottom w:val="single" w:sz="4" w:space="0" w:color="auto"/>
              <w:right w:val="single" w:sz="4" w:space="0" w:color="auto"/>
            </w:tcBorders>
            <w:hideMark/>
          </w:tcPr>
          <w:p w:rsidR="006E25FF" w:rsidRDefault="006E25FF">
            <w:pPr>
              <w:rPr>
                <w:iCs/>
                <w:szCs w:val="22"/>
              </w:rPr>
            </w:pPr>
            <w:r>
              <w:rPr>
                <w:iCs/>
                <w:szCs w:val="22"/>
              </w:rPr>
              <w:t>7,1</w:t>
            </w:r>
          </w:p>
        </w:tc>
      </w:tr>
      <w:tr w:rsidR="006E25FF" w:rsidTr="006E25FF">
        <w:trPr>
          <w:trHeight w:val="20"/>
        </w:trPr>
        <w:tc>
          <w:tcPr>
            <w:tcW w:w="9055" w:type="dxa"/>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6E25FF" w:rsidRDefault="006E25FF">
            <w:pPr>
              <w:jc w:val="center"/>
              <w:rPr>
                <w:b/>
                <w:bCs/>
                <w:iCs/>
                <w:szCs w:val="22"/>
              </w:rPr>
            </w:pPr>
            <w:r>
              <w:rPr>
                <w:b/>
                <w:szCs w:val="24"/>
              </w:rPr>
              <w:t>Kombineret østrogen-gestagen</w:t>
            </w:r>
          </w:p>
        </w:tc>
      </w:tr>
      <w:tr w:rsidR="006E25FF" w:rsidTr="006E25FF">
        <w:trPr>
          <w:trHeight w:val="20"/>
        </w:trPr>
        <w:tc>
          <w:tcPr>
            <w:tcW w:w="2263" w:type="dxa"/>
            <w:tcBorders>
              <w:top w:val="single" w:sz="4" w:space="0" w:color="auto"/>
              <w:left w:val="single" w:sz="4" w:space="0" w:color="auto"/>
              <w:bottom w:val="single" w:sz="4" w:space="0" w:color="auto"/>
              <w:right w:val="single" w:sz="4" w:space="0" w:color="auto"/>
            </w:tcBorders>
            <w:hideMark/>
          </w:tcPr>
          <w:p w:rsidR="006E25FF" w:rsidRDefault="006E25FF">
            <w:pPr>
              <w:rPr>
                <w:iCs/>
                <w:szCs w:val="22"/>
              </w:rPr>
            </w:pPr>
            <w:r>
              <w:rPr>
                <w:iCs/>
                <w:szCs w:val="22"/>
              </w:rPr>
              <w:t>50</w:t>
            </w:r>
          </w:p>
        </w:tc>
        <w:tc>
          <w:tcPr>
            <w:tcW w:w="2264" w:type="dxa"/>
            <w:tcBorders>
              <w:top w:val="single" w:sz="4" w:space="0" w:color="auto"/>
              <w:left w:val="single" w:sz="4" w:space="0" w:color="auto"/>
              <w:bottom w:val="single" w:sz="4" w:space="0" w:color="auto"/>
              <w:right w:val="single" w:sz="4" w:space="0" w:color="auto"/>
            </w:tcBorders>
            <w:hideMark/>
          </w:tcPr>
          <w:p w:rsidR="006E25FF" w:rsidRDefault="006E25FF">
            <w:pPr>
              <w:rPr>
                <w:iCs/>
                <w:szCs w:val="22"/>
              </w:rPr>
            </w:pPr>
            <w:r>
              <w:rPr>
                <w:iCs/>
                <w:szCs w:val="22"/>
              </w:rPr>
              <w:t>26,6</w:t>
            </w:r>
          </w:p>
        </w:tc>
        <w:tc>
          <w:tcPr>
            <w:tcW w:w="2264" w:type="dxa"/>
            <w:tcBorders>
              <w:top w:val="single" w:sz="4" w:space="0" w:color="auto"/>
              <w:left w:val="single" w:sz="4" w:space="0" w:color="auto"/>
              <w:bottom w:val="single" w:sz="4" w:space="0" w:color="auto"/>
              <w:right w:val="single" w:sz="4" w:space="0" w:color="auto"/>
            </w:tcBorders>
            <w:hideMark/>
          </w:tcPr>
          <w:p w:rsidR="006E25FF" w:rsidRDefault="006E25FF">
            <w:pPr>
              <w:rPr>
                <w:iCs/>
                <w:szCs w:val="22"/>
              </w:rPr>
            </w:pPr>
            <w:r>
              <w:rPr>
                <w:iCs/>
                <w:szCs w:val="22"/>
              </w:rPr>
              <w:t>1,8</w:t>
            </w:r>
          </w:p>
        </w:tc>
        <w:tc>
          <w:tcPr>
            <w:tcW w:w="2264" w:type="dxa"/>
            <w:tcBorders>
              <w:top w:val="single" w:sz="4" w:space="0" w:color="auto"/>
              <w:left w:val="single" w:sz="4" w:space="0" w:color="auto"/>
              <w:bottom w:val="single" w:sz="4" w:space="0" w:color="auto"/>
              <w:right w:val="single" w:sz="4" w:space="0" w:color="auto"/>
            </w:tcBorders>
            <w:hideMark/>
          </w:tcPr>
          <w:p w:rsidR="006E25FF" w:rsidRDefault="006E25FF">
            <w:pPr>
              <w:rPr>
                <w:iCs/>
                <w:szCs w:val="22"/>
              </w:rPr>
            </w:pPr>
            <w:r>
              <w:rPr>
                <w:iCs/>
                <w:szCs w:val="22"/>
              </w:rPr>
              <w:t>20,8</w:t>
            </w:r>
          </w:p>
        </w:tc>
      </w:tr>
      <w:tr w:rsidR="006E25FF" w:rsidTr="006E25FF">
        <w:tc>
          <w:tcPr>
            <w:tcW w:w="9055" w:type="dxa"/>
            <w:gridSpan w:val="4"/>
            <w:tcBorders>
              <w:top w:val="single" w:sz="4" w:space="0" w:color="auto"/>
              <w:left w:val="single" w:sz="4" w:space="0" w:color="auto"/>
              <w:bottom w:val="single" w:sz="4" w:space="0" w:color="auto"/>
              <w:right w:val="single" w:sz="4" w:space="0" w:color="auto"/>
            </w:tcBorders>
          </w:tcPr>
          <w:p w:rsidR="006E25FF" w:rsidRPr="006E25FF" w:rsidRDefault="006E25FF">
            <w:pPr>
              <w:rPr>
                <w:iCs/>
                <w:szCs w:val="22"/>
                <w:lang w:val="da-DK"/>
              </w:rPr>
            </w:pPr>
            <w:r w:rsidRPr="006E25FF">
              <w:rPr>
                <w:iCs/>
                <w:szCs w:val="22"/>
                <w:lang w:val="da-DK"/>
              </w:rPr>
              <w:t>* Fra incidens-rater ved baseline i England i 2015 hos kvinder med et BMI på 27 (kg/m</w:t>
            </w:r>
            <w:r w:rsidRPr="006E25FF">
              <w:rPr>
                <w:iCs/>
                <w:szCs w:val="22"/>
                <w:vertAlign w:val="superscript"/>
                <w:lang w:val="da-DK"/>
              </w:rPr>
              <w:t>2</w:t>
            </w:r>
            <w:r w:rsidRPr="006E25FF">
              <w:rPr>
                <w:iCs/>
                <w:szCs w:val="22"/>
                <w:lang w:val="da-DK"/>
              </w:rPr>
              <w:t>).</w:t>
            </w:r>
          </w:p>
          <w:p w:rsidR="006E25FF" w:rsidRPr="006E25FF" w:rsidRDefault="006E25FF">
            <w:pPr>
              <w:rPr>
                <w:iCs/>
                <w:szCs w:val="22"/>
                <w:lang w:val="da-DK"/>
              </w:rPr>
            </w:pPr>
          </w:p>
          <w:p w:rsidR="006E25FF" w:rsidRPr="006E25FF" w:rsidRDefault="006E25FF">
            <w:pPr>
              <w:rPr>
                <w:iCs/>
                <w:szCs w:val="22"/>
                <w:lang w:val="da-DK"/>
              </w:rPr>
            </w:pPr>
            <w:r w:rsidRPr="006E25FF">
              <w:rPr>
                <w:iCs/>
                <w:szCs w:val="22"/>
                <w:lang w:val="da-DK"/>
              </w:rPr>
              <w:t>Bemærk: Da baggrundsincidensen for brystcancer varierer fra land til land i EU, vil antallet af yderligere tilfælde af brystcancer også ændres proportionalt.</w:t>
            </w:r>
          </w:p>
        </w:tc>
      </w:tr>
    </w:tbl>
    <w:p w:rsidR="006E25FF" w:rsidRDefault="006E25FF" w:rsidP="006E25FF">
      <w:pPr>
        <w:rPr>
          <w:iCs/>
          <w:sz w:val="22"/>
          <w:szCs w:val="22"/>
        </w:rPr>
      </w:pPr>
    </w:p>
    <w:p w:rsidR="006E25FF" w:rsidRDefault="006E25FF" w:rsidP="006E25FF">
      <w:pPr>
        <w:rPr>
          <w:b/>
          <w:bCs/>
          <w:iCs/>
          <w:szCs w:val="22"/>
        </w:rPr>
      </w:pPr>
      <w:r>
        <w:rPr>
          <w:b/>
          <w:bCs/>
          <w:iCs/>
          <w:szCs w:val="22"/>
        </w:rPr>
        <w:t>USA WHI-studier – Yderligere risiko for brystcancer efter 5 års behandling</w:t>
      </w:r>
    </w:p>
    <w:tbl>
      <w:tblPr>
        <w:tblStyle w:val="Tabel-Gitter"/>
        <w:tblW w:w="0" w:type="auto"/>
        <w:tblInd w:w="0" w:type="dxa"/>
        <w:tblLook w:val="04A0" w:firstRow="1" w:lastRow="0" w:firstColumn="1" w:lastColumn="0" w:noHBand="0" w:noVBand="1"/>
      </w:tblPr>
      <w:tblGrid>
        <w:gridCol w:w="2263"/>
        <w:gridCol w:w="2264"/>
        <w:gridCol w:w="2264"/>
        <w:gridCol w:w="2264"/>
      </w:tblGrid>
      <w:tr w:rsidR="006E25FF" w:rsidTr="006E25FF">
        <w:tc>
          <w:tcPr>
            <w:tcW w:w="2263" w:type="dxa"/>
            <w:tcBorders>
              <w:top w:val="single" w:sz="4" w:space="0" w:color="auto"/>
              <w:left w:val="single" w:sz="4" w:space="0" w:color="auto"/>
              <w:bottom w:val="single" w:sz="4" w:space="0" w:color="auto"/>
              <w:right w:val="single" w:sz="4" w:space="0" w:color="auto"/>
            </w:tcBorders>
            <w:hideMark/>
          </w:tcPr>
          <w:p w:rsidR="006E25FF" w:rsidRDefault="006E25FF">
            <w:pPr>
              <w:rPr>
                <w:b/>
                <w:bCs/>
                <w:iCs/>
                <w:szCs w:val="22"/>
              </w:rPr>
            </w:pPr>
            <w:r>
              <w:rPr>
                <w:b/>
                <w:szCs w:val="24"/>
              </w:rPr>
              <w:t>Alders-interval (år)</w:t>
            </w:r>
          </w:p>
        </w:tc>
        <w:tc>
          <w:tcPr>
            <w:tcW w:w="2264" w:type="dxa"/>
            <w:tcBorders>
              <w:top w:val="single" w:sz="4" w:space="0" w:color="auto"/>
              <w:left w:val="single" w:sz="4" w:space="0" w:color="auto"/>
              <w:bottom w:val="single" w:sz="4" w:space="0" w:color="auto"/>
              <w:right w:val="single" w:sz="4" w:space="0" w:color="auto"/>
            </w:tcBorders>
            <w:hideMark/>
          </w:tcPr>
          <w:p w:rsidR="006E25FF" w:rsidRPr="006E25FF" w:rsidRDefault="006E25FF">
            <w:pPr>
              <w:rPr>
                <w:b/>
                <w:bCs/>
                <w:iCs/>
                <w:szCs w:val="22"/>
                <w:lang w:val="da-DK"/>
              </w:rPr>
            </w:pPr>
            <w:r w:rsidRPr="006E25FF">
              <w:rPr>
                <w:b/>
                <w:szCs w:val="24"/>
                <w:lang w:val="da-DK"/>
              </w:rPr>
              <w:t>Tilfælde per 1.000 kvinder i placebo arm over en 5 års periode</w:t>
            </w:r>
          </w:p>
        </w:tc>
        <w:tc>
          <w:tcPr>
            <w:tcW w:w="2264" w:type="dxa"/>
            <w:tcBorders>
              <w:top w:val="single" w:sz="4" w:space="0" w:color="auto"/>
              <w:left w:val="single" w:sz="4" w:space="0" w:color="auto"/>
              <w:bottom w:val="single" w:sz="4" w:space="0" w:color="auto"/>
              <w:right w:val="single" w:sz="4" w:space="0" w:color="auto"/>
            </w:tcBorders>
            <w:hideMark/>
          </w:tcPr>
          <w:p w:rsidR="006E25FF" w:rsidRDefault="006E25FF">
            <w:pPr>
              <w:rPr>
                <w:b/>
                <w:bCs/>
                <w:iCs/>
                <w:szCs w:val="22"/>
              </w:rPr>
            </w:pPr>
            <w:r>
              <w:rPr>
                <w:b/>
                <w:szCs w:val="24"/>
              </w:rPr>
              <w:t>Risikoratio og 95% CI</w:t>
            </w:r>
          </w:p>
        </w:tc>
        <w:tc>
          <w:tcPr>
            <w:tcW w:w="2264" w:type="dxa"/>
            <w:tcBorders>
              <w:top w:val="single" w:sz="4" w:space="0" w:color="auto"/>
              <w:left w:val="single" w:sz="4" w:space="0" w:color="auto"/>
              <w:bottom w:val="single" w:sz="4" w:space="0" w:color="auto"/>
              <w:right w:val="single" w:sz="4" w:space="0" w:color="auto"/>
            </w:tcBorders>
            <w:hideMark/>
          </w:tcPr>
          <w:p w:rsidR="006E25FF" w:rsidRPr="006E25FF" w:rsidRDefault="006E25FF">
            <w:pPr>
              <w:rPr>
                <w:b/>
                <w:bCs/>
                <w:iCs/>
                <w:szCs w:val="22"/>
                <w:lang w:val="da-DK"/>
              </w:rPr>
            </w:pPr>
            <w:r w:rsidRPr="006E25FF">
              <w:rPr>
                <w:b/>
                <w:szCs w:val="24"/>
                <w:lang w:val="da-DK"/>
              </w:rPr>
              <w:t>Yderligere tilfælde per 1.000 HRT brugere over en 5 års periode (95% CI)</w:t>
            </w:r>
          </w:p>
        </w:tc>
      </w:tr>
      <w:tr w:rsidR="006E25FF" w:rsidTr="006E25FF">
        <w:tc>
          <w:tcPr>
            <w:tcW w:w="9055" w:type="dxa"/>
            <w:gridSpan w:val="4"/>
            <w:tcBorders>
              <w:top w:val="single" w:sz="4" w:space="0" w:color="auto"/>
              <w:left w:val="single" w:sz="4" w:space="0" w:color="auto"/>
              <w:bottom w:val="single" w:sz="4" w:space="0" w:color="auto"/>
              <w:right w:val="single" w:sz="4" w:space="0" w:color="auto"/>
            </w:tcBorders>
            <w:shd w:val="clear" w:color="auto" w:fill="E7E6E6" w:themeFill="background2"/>
            <w:hideMark/>
          </w:tcPr>
          <w:p w:rsidR="006E25FF" w:rsidRDefault="006E25FF">
            <w:pPr>
              <w:jc w:val="center"/>
              <w:rPr>
                <w:b/>
                <w:bCs/>
                <w:iCs/>
                <w:szCs w:val="22"/>
              </w:rPr>
            </w:pPr>
            <w:r>
              <w:rPr>
                <w:b/>
                <w:szCs w:val="24"/>
              </w:rPr>
              <w:t>CEE østrogen-alene</w:t>
            </w:r>
          </w:p>
        </w:tc>
      </w:tr>
      <w:tr w:rsidR="006E25FF" w:rsidTr="006E25FF">
        <w:tc>
          <w:tcPr>
            <w:tcW w:w="2263" w:type="dxa"/>
            <w:tcBorders>
              <w:top w:val="single" w:sz="4" w:space="0" w:color="auto"/>
              <w:left w:val="single" w:sz="4" w:space="0" w:color="auto"/>
              <w:bottom w:val="single" w:sz="4" w:space="0" w:color="auto"/>
              <w:right w:val="single" w:sz="4" w:space="0" w:color="auto"/>
            </w:tcBorders>
            <w:hideMark/>
          </w:tcPr>
          <w:p w:rsidR="006E25FF" w:rsidRDefault="006E25FF">
            <w:pPr>
              <w:rPr>
                <w:iCs/>
                <w:szCs w:val="22"/>
              </w:rPr>
            </w:pPr>
            <w:r>
              <w:rPr>
                <w:iCs/>
                <w:szCs w:val="22"/>
              </w:rPr>
              <w:t>50-79</w:t>
            </w:r>
          </w:p>
        </w:tc>
        <w:tc>
          <w:tcPr>
            <w:tcW w:w="2264" w:type="dxa"/>
            <w:tcBorders>
              <w:top w:val="single" w:sz="4" w:space="0" w:color="auto"/>
              <w:left w:val="single" w:sz="4" w:space="0" w:color="auto"/>
              <w:bottom w:val="single" w:sz="4" w:space="0" w:color="auto"/>
              <w:right w:val="single" w:sz="4" w:space="0" w:color="auto"/>
            </w:tcBorders>
            <w:hideMark/>
          </w:tcPr>
          <w:p w:rsidR="006E25FF" w:rsidRDefault="006E25FF">
            <w:pPr>
              <w:rPr>
                <w:iCs/>
                <w:szCs w:val="22"/>
              </w:rPr>
            </w:pPr>
            <w:r>
              <w:rPr>
                <w:iCs/>
                <w:szCs w:val="22"/>
              </w:rPr>
              <w:t>21</w:t>
            </w:r>
          </w:p>
        </w:tc>
        <w:tc>
          <w:tcPr>
            <w:tcW w:w="2264" w:type="dxa"/>
            <w:tcBorders>
              <w:top w:val="single" w:sz="4" w:space="0" w:color="auto"/>
              <w:left w:val="single" w:sz="4" w:space="0" w:color="auto"/>
              <w:bottom w:val="single" w:sz="4" w:space="0" w:color="auto"/>
              <w:right w:val="single" w:sz="4" w:space="0" w:color="auto"/>
            </w:tcBorders>
            <w:hideMark/>
          </w:tcPr>
          <w:p w:rsidR="006E25FF" w:rsidRDefault="006E25FF">
            <w:pPr>
              <w:rPr>
                <w:iCs/>
                <w:szCs w:val="22"/>
              </w:rPr>
            </w:pPr>
            <w:r>
              <w:rPr>
                <w:iCs/>
                <w:szCs w:val="22"/>
              </w:rPr>
              <w:t>0,8 (0,7-1,0)</w:t>
            </w:r>
          </w:p>
        </w:tc>
        <w:tc>
          <w:tcPr>
            <w:tcW w:w="2264" w:type="dxa"/>
            <w:tcBorders>
              <w:top w:val="single" w:sz="4" w:space="0" w:color="auto"/>
              <w:left w:val="single" w:sz="4" w:space="0" w:color="auto"/>
              <w:bottom w:val="single" w:sz="4" w:space="0" w:color="auto"/>
              <w:right w:val="single" w:sz="4" w:space="0" w:color="auto"/>
            </w:tcBorders>
            <w:hideMark/>
          </w:tcPr>
          <w:p w:rsidR="006E25FF" w:rsidRDefault="006E25FF">
            <w:pPr>
              <w:rPr>
                <w:iCs/>
                <w:szCs w:val="22"/>
              </w:rPr>
            </w:pPr>
            <w:r>
              <w:rPr>
                <w:iCs/>
                <w:szCs w:val="22"/>
              </w:rPr>
              <w:t>-4 (-6-0)*</w:t>
            </w:r>
          </w:p>
        </w:tc>
      </w:tr>
      <w:tr w:rsidR="006E25FF" w:rsidTr="006E25FF">
        <w:tc>
          <w:tcPr>
            <w:tcW w:w="9055" w:type="dxa"/>
            <w:gridSpan w:val="4"/>
            <w:tcBorders>
              <w:top w:val="single" w:sz="4" w:space="0" w:color="auto"/>
              <w:left w:val="single" w:sz="4" w:space="0" w:color="auto"/>
              <w:bottom w:val="single" w:sz="4" w:space="0" w:color="auto"/>
              <w:right w:val="single" w:sz="4" w:space="0" w:color="auto"/>
            </w:tcBorders>
            <w:shd w:val="clear" w:color="auto" w:fill="E7E6E6" w:themeFill="background2"/>
            <w:hideMark/>
          </w:tcPr>
          <w:p w:rsidR="006E25FF" w:rsidRDefault="006E25FF">
            <w:pPr>
              <w:jc w:val="center"/>
              <w:rPr>
                <w:b/>
                <w:bCs/>
                <w:iCs/>
                <w:szCs w:val="22"/>
              </w:rPr>
            </w:pPr>
            <w:r>
              <w:rPr>
                <w:b/>
                <w:szCs w:val="24"/>
              </w:rPr>
              <w:t>CEE + MPA østrogen &amp; gestagen**</w:t>
            </w:r>
          </w:p>
        </w:tc>
      </w:tr>
      <w:tr w:rsidR="006E25FF" w:rsidTr="006E25FF">
        <w:tc>
          <w:tcPr>
            <w:tcW w:w="2263" w:type="dxa"/>
            <w:tcBorders>
              <w:top w:val="single" w:sz="4" w:space="0" w:color="auto"/>
              <w:left w:val="single" w:sz="4" w:space="0" w:color="auto"/>
              <w:bottom w:val="single" w:sz="4" w:space="0" w:color="auto"/>
              <w:right w:val="single" w:sz="4" w:space="0" w:color="auto"/>
            </w:tcBorders>
            <w:hideMark/>
          </w:tcPr>
          <w:p w:rsidR="006E25FF" w:rsidRDefault="006E25FF">
            <w:pPr>
              <w:rPr>
                <w:iCs/>
                <w:szCs w:val="22"/>
              </w:rPr>
            </w:pPr>
            <w:r>
              <w:rPr>
                <w:iCs/>
                <w:szCs w:val="22"/>
              </w:rPr>
              <w:t>50-79</w:t>
            </w:r>
          </w:p>
        </w:tc>
        <w:tc>
          <w:tcPr>
            <w:tcW w:w="2264" w:type="dxa"/>
            <w:tcBorders>
              <w:top w:val="single" w:sz="4" w:space="0" w:color="auto"/>
              <w:left w:val="single" w:sz="4" w:space="0" w:color="auto"/>
              <w:bottom w:val="single" w:sz="4" w:space="0" w:color="auto"/>
              <w:right w:val="single" w:sz="4" w:space="0" w:color="auto"/>
            </w:tcBorders>
            <w:hideMark/>
          </w:tcPr>
          <w:p w:rsidR="006E25FF" w:rsidRDefault="006E25FF">
            <w:pPr>
              <w:rPr>
                <w:iCs/>
                <w:szCs w:val="22"/>
              </w:rPr>
            </w:pPr>
            <w:r>
              <w:rPr>
                <w:iCs/>
                <w:szCs w:val="22"/>
              </w:rPr>
              <w:t>17</w:t>
            </w:r>
          </w:p>
        </w:tc>
        <w:tc>
          <w:tcPr>
            <w:tcW w:w="2264" w:type="dxa"/>
            <w:tcBorders>
              <w:top w:val="single" w:sz="4" w:space="0" w:color="auto"/>
              <w:left w:val="single" w:sz="4" w:space="0" w:color="auto"/>
              <w:bottom w:val="single" w:sz="4" w:space="0" w:color="auto"/>
              <w:right w:val="single" w:sz="4" w:space="0" w:color="auto"/>
            </w:tcBorders>
            <w:hideMark/>
          </w:tcPr>
          <w:p w:rsidR="006E25FF" w:rsidRDefault="006E25FF">
            <w:pPr>
              <w:rPr>
                <w:iCs/>
                <w:szCs w:val="22"/>
              </w:rPr>
            </w:pPr>
            <w:r>
              <w:rPr>
                <w:iCs/>
                <w:szCs w:val="22"/>
              </w:rPr>
              <w:t>1,2 (1,0-1,5)</w:t>
            </w:r>
          </w:p>
        </w:tc>
        <w:tc>
          <w:tcPr>
            <w:tcW w:w="2264" w:type="dxa"/>
            <w:tcBorders>
              <w:top w:val="single" w:sz="4" w:space="0" w:color="auto"/>
              <w:left w:val="single" w:sz="4" w:space="0" w:color="auto"/>
              <w:bottom w:val="single" w:sz="4" w:space="0" w:color="auto"/>
              <w:right w:val="single" w:sz="4" w:space="0" w:color="auto"/>
            </w:tcBorders>
            <w:hideMark/>
          </w:tcPr>
          <w:p w:rsidR="006E25FF" w:rsidRDefault="006E25FF">
            <w:pPr>
              <w:rPr>
                <w:iCs/>
                <w:szCs w:val="22"/>
              </w:rPr>
            </w:pPr>
            <w:r>
              <w:rPr>
                <w:iCs/>
                <w:szCs w:val="22"/>
              </w:rPr>
              <w:t>+4 (0-9)</w:t>
            </w:r>
          </w:p>
        </w:tc>
      </w:tr>
      <w:tr w:rsidR="006E25FF" w:rsidTr="006E25FF">
        <w:tc>
          <w:tcPr>
            <w:tcW w:w="9055" w:type="dxa"/>
            <w:gridSpan w:val="4"/>
            <w:tcBorders>
              <w:top w:val="single" w:sz="4" w:space="0" w:color="auto"/>
              <w:left w:val="single" w:sz="4" w:space="0" w:color="auto"/>
              <w:bottom w:val="single" w:sz="4" w:space="0" w:color="auto"/>
              <w:right w:val="single" w:sz="4" w:space="0" w:color="auto"/>
            </w:tcBorders>
            <w:hideMark/>
          </w:tcPr>
          <w:p w:rsidR="006E25FF" w:rsidRPr="006E25FF" w:rsidRDefault="006E25FF">
            <w:pPr>
              <w:rPr>
                <w:rFonts w:eastAsia="Times New Roman"/>
                <w:iCs/>
                <w:szCs w:val="22"/>
                <w:lang w:val="da-DK"/>
              </w:rPr>
            </w:pPr>
            <w:r w:rsidRPr="006E25FF">
              <w:rPr>
                <w:rFonts w:eastAsia="Times New Roman"/>
                <w:iCs/>
                <w:szCs w:val="22"/>
                <w:lang w:val="da-DK"/>
              </w:rPr>
              <w:lastRenderedPageBreak/>
              <w:t>* WHI-studie med kvinder uden livmoder, der ikke viste en forøgelse i risikoen for brystkræft.</w:t>
            </w:r>
          </w:p>
          <w:p w:rsidR="006E25FF" w:rsidRDefault="006E25FF">
            <w:pPr>
              <w:rPr>
                <w:rFonts w:eastAsia="Times New Roman"/>
                <w:iCs/>
                <w:szCs w:val="22"/>
              </w:rPr>
            </w:pPr>
            <w:r w:rsidRPr="006E25FF">
              <w:rPr>
                <w:rFonts w:eastAsia="Times New Roman"/>
                <w:iCs/>
                <w:szCs w:val="22"/>
                <w:lang w:val="da-DK"/>
              </w:rPr>
              <w:t xml:space="preserve">** Når analysen var begrænset til kvinder, der ikke havde brugt HRT inden studiet, var der ingen forøget risiko i løbet af de første 5 år i behandling. </w:t>
            </w:r>
            <w:r>
              <w:rPr>
                <w:rFonts w:eastAsia="Times New Roman"/>
                <w:iCs/>
                <w:szCs w:val="22"/>
              </w:rPr>
              <w:t>Efter 5 år var risikoen højere end for ikke</w:t>
            </w:r>
            <w:r>
              <w:rPr>
                <w:rFonts w:eastAsia="Times New Roman"/>
                <w:iCs/>
                <w:szCs w:val="22"/>
              </w:rPr>
              <w:noBreakHyphen/>
              <w:t>brugere.</w:t>
            </w:r>
          </w:p>
        </w:tc>
      </w:tr>
    </w:tbl>
    <w:p w:rsidR="006E25FF" w:rsidRPr="006E25FF" w:rsidRDefault="006E25FF" w:rsidP="006E25FF">
      <w:pPr>
        <w:ind w:left="851"/>
        <w:rPr>
          <w:iCs/>
          <w:sz w:val="24"/>
          <w:szCs w:val="24"/>
        </w:rPr>
      </w:pPr>
    </w:p>
    <w:p w:rsidR="006E25FF" w:rsidRPr="006E25FF" w:rsidRDefault="006E25FF" w:rsidP="006E25FF">
      <w:pPr>
        <w:keepNext/>
        <w:ind w:left="851"/>
        <w:rPr>
          <w:iCs/>
          <w:sz w:val="24"/>
          <w:szCs w:val="24"/>
          <w:u w:val="single"/>
        </w:rPr>
      </w:pPr>
      <w:r w:rsidRPr="006E25FF">
        <w:rPr>
          <w:iCs/>
          <w:sz w:val="24"/>
          <w:szCs w:val="24"/>
          <w:u w:val="single"/>
        </w:rPr>
        <w:t>Risiko for endometriecancer</w:t>
      </w:r>
    </w:p>
    <w:p w:rsidR="006E25FF" w:rsidRPr="006E25FF" w:rsidRDefault="006E25FF" w:rsidP="006E25FF">
      <w:pPr>
        <w:keepNext/>
        <w:ind w:left="851"/>
        <w:rPr>
          <w:iCs/>
          <w:sz w:val="24"/>
          <w:szCs w:val="24"/>
        </w:rPr>
      </w:pPr>
    </w:p>
    <w:p w:rsidR="004121D5" w:rsidRPr="006E25FF" w:rsidRDefault="006E25FF" w:rsidP="004121D5">
      <w:pPr>
        <w:keepNext/>
        <w:ind w:left="851"/>
        <w:rPr>
          <w:i/>
          <w:sz w:val="24"/>
          <w:szCs w:val="24"/>
        </w:rPr>
      </w:pPr>
      <w:r w:rsidRPr="006E25FF">
        <w:rPr>
          <w:i/>
          <w:sz w:val="24"/>
          <w:szCs w:val="24"/>
        </w:rPr>
        <w:t>Postmenopausale kvinder med intakt uterus</w:t>
      </w:r>
    </w:p>
    <w:p w:rsidR="006E25FF" w:rsidRPr="006E25FF" w:rsidRDefault="006E25FF" w:rsidP="006E25FF">
      <w:pPr>
        <w:ind w:left="851"/>
        <w:rPr>
          <w:iCs/>
          <w:sz w:val="24"/>
          <w:szCs w:val="24"/>
        </w:rPr>
      </w:pPr>
      <w:r w:rsidRPr="006E25FF">
        <w:rPr>
          <w:iCs/>
          <w:sz w:val="24"/>
          <w:szCs w:val="24"/>
        </w:rPr>
        <w:t>Risikoen for endometriecancer er omkring 5 ud af 1.000 kvinder med en uterus, som ikke bruger HRT.</w:t>
      </w:r>
    </w:p>
    <w:p w:rsidR="006E25FF" w:rsidRPr="006E25FF" w:rsidRDefault="006E25FF" w:rsidP="006E25FF">
      <w:pPr>
        <w:ind w:left="851"/>
        <w:rPr>
          <w:iCs/>
          <w:sz w:val="24"/>
          <w:szCs w:val="24"/>
        </w:rPr>
      </w:pPr>
    </w:p>
    <w:p w:rsidR="006E25FF" w:rsidRPr="006E25FF" w:rsidRDefault="006E25FF" w:rsidP="006E25FF">
      <w:pPr>
        <w:ind w:left="851"/>
        <w:rPr>
          <w:iCs/>
          <w:sz w:val="24"/>
          <w:szCs w:val="24"/>
        </w:rPr>
      </w:pPr>
      <w:r w:rsidRPr="006E25FF">
        <w:rPr>
          <w:iCs/>
          <w:sz w:val="24"/>
          <w:szCs w:val="24"/>
        </w:rPr>
        <w:t>Hos kvinder med intakt uterus anbefales ikke behandling med østrogen alene da risikoen for endometriecancer forøges (se pkt. 4.4).</w:t>
      </w:r>
    </w:p>
    <w:p w:rsidR="006E25FF" w:rsidRPr="006E25FF" w:rsidRDefault="006E25FF" w:rsidP="006E25FF">
      <w:pPr>
        <w:ind w:left="851"/>
        <w:rPr>
          <w:iCs/>
          <w:sz w:val="24"/>
          <w:szCs w:val="24"/>
        </w:rPr>
      </w:pPr>
    </w:p>
    <w:p w:rsidR="006E25FF" w:rsidRPr="006E25FF" w:rsidRDefault="006E25FF" w:rsidP="006E25FF">
      <w:pPr>
        <w:ind w:left="851"/>
        <w:rPr>
          <w:iCs/>
          <w:sz w:val="24"/>
          <w:szCs w:val="24"/>
        </w:rPr>
      </w:pPr>
      <w:r w:rsidRPr="006E25FF">
        <w:rPr>
          <w:iCs/>
          <w:sz w:val="24"/>
          <w:szCs w:val="24"/>
        </w:rPr>
        <w:t>Afhængig af behandlingsvarigheden af østrogen alene og østrogendosis varierer stigningen af risikoen for endometriecancer i epidemiologiske studier mellem 5 og 55 ekstra tilfælde diagnosticeret hos hver 1.000 kvinde i alderen 50 og 65.</w:t>
      </w:r>
    </w:p>
    <w:p w:rsidR="006E25FF" w:rsidRPr="006E25FF" w:rsidRDefault="006E25FF" w:rsidP="006E25FF">
      <w:pPr>
        <w:ind w:left="851"/>
        <w:rPr>
          <w:iCs/>
          <w:sz w:val="24"/>
          <w:szCs w:val="24"/>
        </w:rPr>
      </w:pPr>
    </w:p>
    <w:p w:rsidR="006E25FF" w:rsidRPr="006E25FF" w:rsidRDefault="006E25FF" w:rsidP="006E25FF">
      <w:pPr>
        <w:ind w:left="851"/>
        <w:rPr>
          <w:iCs/>
          <w:sz w:val="24"/>
          <w:szCs w:val="24"/>
        </w:rPr>
      </w:pPr>
      <w:r w:rsidRPr="006E25FF">
        <w:rPr>
          <w:iCs/>
          <w:sz w:val="24"/>
          <w:szCs w:val="24"/>
        </w:rPr>
        <w:t>Ved at tilføje gestagen til behandling med østrogen alene i minimum 12 dage per cyklus kan stigning af risikoen forebygges. I Million Women Study (MWS) med behandling med 5 års kombinations HRT (sekventiel eller kontinuerlig) steg risikoen for endometriecancer ikke (RR af 1,0 (0,8-1,2)).</w:t>
      </w:r>
    </w:p>
    <w:p w:rsidR="006E25FF" w:rsidRPr="006E25FF" w:rsidRDefault="006E25FF" w:rsidP="006E25FF">
      <w:pPr>
        <w:ind w:left="851"/>
        <w:rPr>
          <w:iCs/>
          <w:sz w:val="24"/>
          <w:szCs w:val="24"/>
        </w:rPr>
      </w:pPr>
    </w:p>
    <w:p w:rsidR="006E25FF" w:rsidRPr="006E25FF" w:rsidRDefault="006E25FF" w:rsidP="006E25FF">
      <w:pPr>
        <w:ind w:left="851"/>
        <w:rPr>
          <w:iCs/>
          <w:sz w:val="24"/>
          <w:szCs w:val="24"/>
          <w:u w:val="single"/>
        </w:rPr>
      </w:pPr>
      <w:r w:rsidRPr="006E25FF">
        <w:rPr>
          <w:iCs/>
          <w:sz w:val="24"/>
          <w:szCs w:val="24"/>
          <w:u w:val="single"/>
        </w:rPr>
        <w:t>Risiko for ovariecancer</w:t>
      </w:r>
    </w:p>
    <w:p w:rsidR="006E25FF" w:rsidRPr="006E25FF" w:rsidRDefault="006E25FF" w:rsidP="006E25FF">
      <w:pPr>
        <w:ind w:left="851"/>
        <w:rPr>
          <w:iCs/>
          <w:sz w:val="24"/>
          <w:szCs w:val="24"/>
        </w:rPr>
      </w:pPr>
      <w:r w:rsidRPr="006E25FF">
        <w:rPr>
          <w:iCs/>
          <w:sz w:val="24"/>
          <w:szCs w:val="24"/>
        </w:rPr>
        <w:t>HRT-behandling med østrogen alene eller med kombineret østrogen og gestagen har været associeret med en let forhøjet risiko for at få ovariecancer (se pkt. 4.4).</w:t>
      </w:r>
    </w:p>
    <w:p w:rsidR="006E25FF" w:rsidRPr="006E25FF" w:rsidRDefault="006E25FF" w:rsidP="006E25FF">
      <w:pPr>
        <w:ind w:left="851"/>
        <w:rPr>
          <w:iCs/>
          <w:sz w:val="24"/>
          <w:szCs w:val="24"/>
        </w:rPr>
      </w:pPr>
    </w:p>
    <w:p w:rsidR="006E25FF" w:rsidRPr="006E25FF" w:rsidRDefault="006E25FF" w:rsidP="006E25FF">
      <w:pPr>
        <w:ind w:left="851"/>
        <w:rPr>
          <w:iCs/>
          <w:sz w:val="24"/>
          <w:szCs w:val="24"/>
        </w:rPr>
      </w:pPr>
      <w:r w:rsidRPr="006E25FF">
        <w:rPr>
          <w:iCs/>
          <w:sz w:val="24"/>
          <w:szCs w:val="24"/>
        </w:rPr>
        <w:t>En meta-analyse fra 52 epidemiologiske studier viste en forhøjet risiko for ovariecancer hos kvinder, der er i hormonsubstitutionsbehandling, sammenlignet med kvinder, der aldrig har brugt HRT (RR 1,43, 95%-KI 1,31-1,56). For kvinder i alderen 50-54 år, der har taget HRT i 5 år, svarer det til ca. 1 yderligere tilfælde pr. 2.000 brugere. Blandt kvinder i alderen 50-54 år, som ikke tager HRT, diagnosticeres ovariecancer hos ca. 2 ud af 2.000 kvinder i løbet af en periode på 5 år.</w:t>
      </w:r>
    </w:p>
    <w:p w:rsidR="006E25FF" w:rsidRPr="006E25FF" w:rsidRDefault="006E25FF" w:rsidP="006E25FF">
      <w:pPr>
        <w:ind w:left="851"/>
        <w:rPr>
          <w:iCs/>
          <w:sz w:val="24"/>
          <w:szCs w:val="24"/>
        </w:rPr>
      </w:pPr>
    </w:p>
    <w:p w:rsidR="006E25FF" w:rsidRPr="006E25FF" w:rsidRDefault="006E25FF" w:rsidP="006E25FF">
      <w:pPr>
        <w:ind w:left="851"/>
        <w:rPr>
          <w:iCs/>
          <w:sz w:val="24"/>
          <w:szCs w:val="24"/>
          <w:u w:val="single"/>
        </w:rPr>
      </w:pPr>
      <w:r w:rsidRPr="006E25FF">
        <w:rPr>
          <w:iCs/>
          <w:sz w:val="24"/>
          <w:szCs w:val="24"/>
          <w:u w:val="single"/>
        </w:rPr>
        <w:t>Risiko for venøs tromboemboli</w:t>
      </w:r>
    </w:p>
    <w:p w:rsidR="006E25FF" w:rsidRPr="006E25FF" w:rsidRDefault="006E25FF" w:rsidP="006E25FF">
      <w:pPr>
        <w:ind w:left="851"/>
        <w:rPr>
          <w:iCs/>
          <w:sz w:val="24"/>
          <w:szCs w:val="24"/>
        </w:rPr>
      </w:pPr>
      <w:r w:rsidRPr="006E25FF">
        <w:rPr>
          <w:iCs/>
          <w:sz w:val="24"/>
          <w:szCs w:val="24"/>
        </w:rPr>
        <w:t>HRT er associeret med en 1,3 til 3 gange forøget relativ risiko for udvikling af venøs tromboemboli (VTE), dvs. dyb venetrombose eller pulmonal embolisme. Forekomsten af en sådan begivenhed er mere sandsynlig i det første år af behandling med HRT (se pkt. 4.4). Resultater fra WHI-studiet er fremstillet nedenfor.</w:t>
      </w:r>
    </w:p>
    <w:p w:rsidR="006E25FF" w:rsidRPr="006E25FF" w:rsidRDefault="006E25FF" w:rsidP="006E25FF">
      <w:pPr>
        <w:ind w:left="851"/>
        <w:rPr>
          <w:iCs/>
          <w:sz w:val="24"/>
          <w:szCs w:val="24"/>
        </w:rPr>
      </w:pPr>
    </w:p>
    <w:p w:rsidR="006E25FF" w:rsidRDefault="006E25FF" w:rsidP="006E25FF">
      <w:pPr>
        <w:rPr>
          <w:b/>
          <w:bCs/>
          <w:iCs/>
          <w:szCs w:val="22"/>
        </w:rPr>
      </w:pPr>
      <w:r>
        <w:rPr>
          <w:b/>
          <w:bCs/>
          <w:iCs/>
          <w:szCs w:val="22"/>
        </w:rPr>
        <w:t>WHI-studier – Yderligere risiko for VTE over 5 års behandling</w:t>
      </w:r>
    </w:p>
    <w:tbl>
      <w:tblPr>
        <w:tblStyle w:val="Tabel-Gitter"/>
        <w:tblW w:w="0" w:type="auto"/>
        <w:tblInd w:w="0" w:type="dxa"/>
        <w:tblLook w:val="04A0" w:firstRow="1" w:lastRow="0" w:firstColumn="1" w:lastColumn="0" w:noHBand="0" w:noVBand="1"/>
      </w:tblPr>
      <w:tblGrid>
        <w:gridCol w:w="2263"/>
        <w:gridCol w:w="2264"/>
        <w:gridCol w:w="2264"/>
        <w:gridCol w:w="2264"/>
      </w:tblGrid>
      <w:tr w:rsidR="006E25FF" w:rsidTr="006E25FF">
        <w:tc>
          <w:tcPr>
            <w:tcW w:w="2263" w:type="dxa"/>
            <w:tcBorders>
              <w:top w:val="single" w:sz="4" w:space="0" w:color="auto"/>
              <w:left w:val="single" w:sz="4" w:space="0" w:color="auto"/>
              <w:bottom w:val="single" w:sz="4" w:space="0" w:color="auto"/>
              <w:right w:val="single" w:sz="4" w:space="0" w:color="auto"/>
            </w:tcBorders>
            <w:hideMark/>
          </w:tcPr>
          <w:p w:rsidR="006E25FF" w:rsidRDefault="006E25FF">
            <w:pPr>
              <w:rPr>
                <w:b/>
                <w:bCs/>
                <w:iCs/>
                <w:szCs w:val="22"/>
              </w:rPr>
            </w:pPr>
            <w:r>
              <w:rPr>
                <w:b/>
                <w:szCs w:val="24"/>
              </w:rPr>
              <w:t>Aldersinterval (år)</w:t>
            </w:r>
          </w:p>
        </w:tc>
        <w:tc>
          <w:tcPr>
            <w:tcW w:w="2264" w:type="dxa"/>
            <w:tcBorders>
              <w:top w:val="single" w:sz="4" w:space="0" w:color="auto"/>
              <w:left w:val="single" w:sz="4" w:space="0" w:color="auto"/>
              <w:bottom w:val="single" w:sz="4" w:space="0" w:color="auto"/>
              <w:right w:val="single" w:sz="4" w:space="0" w:color="auto"/>
            </w:tcBorders>
            <w:hideMark/>
          </w:tcPr>
          <w:p w:rsidR="006E25FF" w:rsidRPr="006E25FF" w:rsidRDefault="006E25FF">
            <w:pPr>
              <w:rPr>
                <w:b/>
                <w:bCs/>
                <w:iCs/>
                <w:szCs w:val="22"/>
                <w:lang w:val="da-DK"/>
              </w:rPr>
            </w:pPr>
            <w:r w:rsidRPr="006E25FF">
              <w:rPr>
                <w:b/>
                <w:szCs w:val="24"/>
                <w:lang w:val="da-DK"/>
              </w:rPr>
              <w:t>Tilfælde per 1.000 kvinder i placebo arm over en 5 års periode</w:t>
            </w:r>
          </w:p>
        </w:tc>
        <w:tc>
          <w:tcPr>
            <w:tcW w:w="2264" w:type="dxa"/>
            <w:tcBorders>
              <w:top w:val="single" w:sz="4" w:space="0" w:color="auto"/>
              <w:left w:val="single" w:sz="4" w:space="0" w:color="auto"/>
              <w:bottom w:val="single" w:sz="4" w:space="0" w:color="auto"/>
              <w:right w:val="single" w:sz="4" w:space="0" w:color="auto"/>
            </w:tcBorders>
            <w:hideMark/>
          </w:tcPr>
          <w:p w:rsidR="006E25FF" w:rsidRDefault="006E25FF">
            <w:pPr>
              <w:rPr>
                <w:b/>
                <w:bCs/>
                <w:iCs/>
                <w:szCs w:val="22"/>
              </w:rPr>
            </w:pPr>
            <w:r>
              <w:rPr>
                <w:b/>
                <w:szCs w:val="24"/>
              </w:rPr>
              <w:t>Risikoratio og 95% CI</w:t>
            </w:r>
          </w:p>
        </w:tc>
        <w:tc>
          <w:tcPr>
            <w:tcW w:w="2264" w:type="dxa"/>
            <w:tcBorders>
              <w:top w:val="single" w:sz="4" w:space="0" w:color="auto"/>
              <w:left w:val="single" w:sz="4" w:space="0" w:color="auto"/>
              <w:bottom w:val="single" w:sz="4" w:space="0" w:color="auto"/>
              <w:right w:val="single" w:sz="4" w:space="0" w:color="auto"/>
            </w:tcBorders>
            <w:hideMark/>
          </w:tcPr>
          <w:p w:rsidR="006E25FF" w:rsidRPr="006E25FF" w:rsidRDefault="006E25FF">
            <w:pPr>
              <w:rPr>
                <w:b/>
                <w:bCs/>
                <w:iCs/>
                <w:szCs w:val="22"/>
                <w:lang w:val="da-DK"/>
              </w:rPr>
            </w:pPr>
            <w:r w:rsidRPr="006E25FF">
              <w:rPr>
                <w:b/>
                <w:szCs w:val="24"/>
                <w:lang w:val="da-DK"/>
              </w:rPr>
              <w:t>Yderligere tilfælde per 1.000 HRT brugere over en 5 års periode (95% CI)</w:t>
            </w:r>
          </w:p>
        </w:tc>
      </w:tr>
      <w:tr w:rsidR="006E25FF" w:rsidTr="006E25FF">
        <w:tc>
          <w:tcPr>
            <w:tcW w:w="9055" w:type="dxa"/>
            <w:gridSpan w:val="4"/>
            <w:tcBorders>
              <w:top w:val="single" w:sz="4" w:space="0" w:color="auto"/>
              <w:left w:val="single" w:sz="4" w:space="0" w:color="auto"/>
              <w:bottom w:val="single" w:sz="4" w:space="0" w:color="auto"/>
              <w:right w:val="single" w:sz="4" w:space="0" w:color="auto"/>
            </w:tcBorders>
            <w:shd w:val="clear" w:color="auto" w:fill="E7E6E6" w:themeFill="background2"/>
            <w:hideMark/>
          </w:tcPr>
          <w:p w:rsidR="006E25FF" w:rsidRDefault="006E25FF">
            <w:pPr>
              <w:jc w:val="center"/>
              <w:rPr>
                <w:b/>
                <w:bCs/>
                <w:iCs/>
                <w:szCs w:val="22"/>
              </w:rPr>
            </w:pPr>
            <w:r>
              <w:rPr>
                <w:b/>
                <w:szCs w:val="24"/>
              </w:rPr>
              <w:t>Oral østrogen-alene*</w:t>
            </w:r>
          </w:p>
        </w:tc>
      </w:tr>
      <w:tr w:rsidR="006E25FF" w:rsidTr="006E25FF">
        <w:tc>
          <w:tcPr>
            <w:tcW w:w="2263" w:type="dxa"/>
            <w:tcBorders>
              <w:top w:val="single" w:sz="4" w:space="0" w:color="auto"/>
              <w:left w:val="single" w:sz="4" w:space="0" w:color="auto"/>
              <w:bottom w:val="single" w:sz="4" w:space="0" w:color="auto"/>
              <w:right w:val="single" w:sz="4" w:space="0" w:color="auto"/>
            </w:tcBorders>
            <w:hideMark/>
          </w:tcPr>
          <w:p w:rsidR="006E25FF" w:rsidRDefault="006E25FF">
            <w:pPr>
              <w:rPr>
                <w:iCs/>
                <w:szCs w:val="22"/>
              </w:rPr>
            </w:pPr>
            <w:r>
              <w:rPr>
                <w:iCs/>
                <w:szCs w:val="22"/>
              </w:rPr>
              <w:t>50-59</w:t>
            </w:r>
          </w:p>
        </w:tc>
        <w:tc>
          <w:tcPr>
            <w:tcW w:w="2264" w:type="dxa"/>
            <w:tcBorders>
              <w:top w:val="single" w:sz="4" w:space="0" w:color="auto"/>
              <w:left w:val="single" w:sz="4" w:space="0" w:color="auto"/>
              <w:bottom w:val="single" w:sz="4" w:space="0" w:color="auto"/>
              <w:right w:val="single" w:sz="4" w:space="0" w:color="auto"/>
            </w:tcBorders>
            <w:hideMark/>
          </w:tcPr>
          <w:p w:rsidR="006E25FF" w:rsidRDefault="006E25FF">
            <w:pPr>
              <w:rPr>
                <w:iCs/>
                <w:szCs w:val="22"/>
              </w:rPr>
            </w:pPr>
            <w:r>
              <w:rPr>
                <w:iCs/>
                <w:szCs w:val="22"/>
              </w:rPr>
              <w:t>7</w:t>
            </w:r>
          </w:p>
        </w:tc>
        <w:tc>
          <w:tcPr>
            <w:tcW w:w="2264" w:type="dxa"/>
            <w:tcBorders>
              <w:top w:val="single" w:sz="4" w:space="0" w:color="auto"/>
              <w:left w:val="single" w:sz="4" w:space="0" w:color="auto"/>
              <w:bottom w:val="single" w:sz="4" w:space="0" w:color="auto"/>
              <w:right w:val="single" w:sz="4" w:space="0" w:color="auto"/>
            </w:tcBorders>
            <w:hideMark/>
          </w:tcPr>
          <w:p w:rsidR="006E25FF" w:rsidRDefault="006E25FF">
            <w:pPr>
              <w:rPr>
                <w:iCs/>
                <w:szCs w:val="22"/>
              </w:rPr>
            </w:pPr>
            <w:r>
              <w:rPr>
                <w:iCs/>
                <w:szCs w:val="22"/>
              </w:rPr>
              <w:t>1,2 (0,6-2,4)</w:t>
            </w:r>
          </w:p>
        </w:tc>
        <w:tc>
          <w:tcPr>
            <w:tcW w:w="2264" w:type="dxa"/>
            <w:tcBorders>
              <w:top w:val="single" w:sz="4" w:space="0" w:color="auto"/>
              <w:left w:val="single" w:sz="4" w:space="0" w:color="auto"/>
              <w:bottom w:val="single" w:sz="4" w:space="0" w:color="auto"/>
              <w:right w:val="single" w:sz="4" w:space="0" w:color="auto"/>
            </w:tcBorders>
            <w:hideMark/>
          </w:tcPr>
          <w:p w:rsidR="006E25FF" w:rsidRDefault="006E25FF">
            <w:pPr>
              <w:rPr>
                <w:iCs/>
                <w:szCs w:val="22"/>
              </w:rPr>
            </w:pPr>
            <w:r>
              <w:rPr>
                <w:iCs/>
                <w:szCs w:val="22"/>
              </w:rPr>
              <w:t>1 (-3-10)</w:t>
            </w:r>
          </w:p>
        </w:tc>
      </w:tr>
      <w:tr w:rsidR="006E25FF" w:rsidTr="006E25FF">
        <w:tc>
          <w:tcPr>
            <w:tcW w:w="9055" w:type="dxa"/>
            <w:gridSpan w:val="4"/>
            <w:tcBorders>
              <w:top w:val="single" w:sz="4" w:space="0" w:color="auto"/>
              <w:left w:val="single" w:sz="4" w:space="0" w:color="auto"/>
              <w:bottom w:val="single" w:sz="4" w:space="0" w:color="auto"/>
              <w:right w:val="single" w:sz="4" w:space="0" w:color="auto"/>
            </w:tcBorders>
            <w:shd w:val="clear" w:color="auto" w:fill="E7E6E6" w:themeFill="background2"/>
            <w:hideMark/>
          </w:tcPr>
          <w:p w:rsidR="006E25FF" w:rsidRDefault="006E25FF">
            <w:pPr>
              <w:jc w:val="center"/>
              <w:rPr>
                <w:b/>
                <w:bCs/>
                <w:iCs/>
                <w:szCs w:val="22"/>
              </w:rPr>
            </w:pPr>
            <w:r>
              <w:rPr>
                <w:b/>
                <w:szCs w:val="24"/>
              </w:rPr>
              <w:t>Oral kombineret østrogen-gestagen</w:t>
            </w:r>
          </w:p>
        </w:tc>
      </w:tr>
      <w:tr w:rsidR="006E25FF" w:rsidTr="006E25FF">
        <w:tc>
          <w:tcPr>
            <w:tcW w:w="2263" w:type="dxa"/>
            <w:tcBorders>
              <w:top w:val="single" w:sz="4" w:space="0" w:color="auto"/>
              <w:left w:val="single" w:sz="4" w:space="0" w:color="auto"/>
              <w:bottom w:val="single" w:sz="4" w:space="0" w:color="auto"/>
              <w:right w:val="single" w:sz="4" w:space="0" w:color="auto"/>
            </w:tcBorders>
            <w:hideMark/>
          </w:tcPr>
          <w:p w:rsidR="006E25FF" w:rsidRDefault="006E25FF">
            <w:pPr>
              <w:rPr>
                <w:iCs/>
                <w:szCs w:val="22"/>
              </w:rPr>
            </w:pPr>
            <w:r>
              <w:rPr>
                <w:iCs/>
                <w:szCs w:val="22"/>
              </w:rPr>
              <w:t>50-59</w:t>
            </w:r>
          </w:p>
        </w:tc>
        <w:tc>
          <w:tcPr>
            <w:tcW w:w="2264" w:type="dxa"/>
            <w:tcBorders>
              <w:top w:val="single" w:sz="4" w:space="0" w:color="auto"/>
              <w:left w:val="single" w:sz="4" w:space="0" w:color="auto"/>
              <w:bottom w:val="single" w:sz="4" w:space="0" w:color="auto"/>
              <w:right w:val="single" w:sz="4" w:space="0" w:color="auto"/>
            </w:tcBorders>
            <w:hideMark/>
          </w:tcPr>
          <w:p w:rsidR="006E25FF" w:rsidRDefault="006E25FF">
            <w:pPr>
              <w:rPr>
                <w:iCs/>
                <w:szCs w:val="22"/>
              </w:rPr>
            </w:pPr>
            <w:r>
              <w:rPr>
                <w:iCs/>
                <w:szCs w:val="22"/>
              </w:rPr>
              <w:t>4</w:t>
            </w:r>
          </w:p>
        </w:tc>
        <w:tc>
          <w:tcPr>
            <w:tcW w:w="2264" w:type="dxa"/>
            <w:tcBorders>
              <w:top w:val="single" w:sz="4" w:space="0" w:color="auto"/>
              <w:left w:val="single" w:sz="4" w:space="0" w:color="auto"/>
              <w:bottom w:val="single" w:sz="4" w:space="0" w:color="auto"/>
              <w:right w:val="single" w:sz="4" w:space="0" w:color="auto"/>
            </w:tcBorders>
            <w:hideMark/>
          </w:tcPr>
          <w:p w:rsidR="006E25FF" w:rsidRDefault="006E25FF">
            <w:pPr>
              <w:rPr>
                <w:iCs/>
                <w:szCs w:val="22"/>
              </w:rPr>
            </w:pPr>
            <w:r>
              <w:rPr>
                <w:iCs/>
                <w:szCs w:val="22"/>
              </w:rPr>
              <w:t>2,3 (1,2-4,3)</w:t>
            </w:r>
          </w:p>
        </w:tc>
        <w:tc>
          <w:tcPr>
            <w:tcW w:w="2264" w:type="dxa"/>
            <w:tcBorders>
              <w:top w:val="single" w:sz="4" w:space="0" w:color="auto"/>
              <w:left w:val="single" w:sz="4" w:space="0" w:color="auto"/>
              <w:bottom w:val="single" w:sz="4" w:space="0" w:color="auto"/>
              <w:right w:val="single" w:sz="4" w:space="0" w:color="auto"/>
            </w:tcBorders>
            <w:hideMark/>
          </w:tcPr>
          <w:p w:rsidR="006E25FF" w:rsidRDefault="006E25FF">
            <w:pPr>
              <w:rPr>
                <w:iCs/>
                <w:szCs w:val="22"/>
              </w:rPr>
            </w:pPr>
            <w:r>
              <w:rPr>
                <w:iCs/>
                <w:szCs w:val="22"/>
              </w:rPr>
              <w:t>5 (1-13)</w:t>
            </w:r>
          </w:p>
        </w:tc>
      </w:tr>
    </w:tbl>
    <w:p w:rsidR="006E25FF" w:rsidRDefault="006E25FF" w:rsidP="006E25FF">
      <w:pPr>
        <w:rPr>
          <w:iCs/>
          <w:sz w:val="22"/>
          <w:szCs w:val="22"/>
        </w:rPr>
      </w:pPr>
    </w:p>
    <w:p w:rsidR="006E25FF" w:rsidRDefault="006E25FF" w:rsidP="006E25FF">
      <w:pPr>
        <w:rPr>
          <w:iCs/>
          <w:szCs w:val="22"/>
        </w:rPr>
      </w:pPr>
      <w:r>
        <w:rPr>
          <w:iCs/>
          <w:szCs w:val="22"/>
        </w:rPr>
        <w:t>* Studie med kvinder uden livmoder</w:t>
      </w:r>
    </w:p>
    <w:p w:rsidR="006E25FF" w:rsidRPr="006E25FF" w:rsidRDefault="006E25FF" w:rsidP="006E25FF">
      <w:pPr>
        <w:ind w:left="851"/>
        <w:rPr>
          <w:iCs/>
          <w:sz w:val="24"/>
          <w:szCs w:val="24"/>
        </w:rPr>
      </w:pPr>
    </w:p>
    <w:p w:rsidR="006E25FF" w:rsidRPr="006E25FF" w:rsidRDefault="006E25FF" w:rsidP="006E25FF">
      <w:pPr>
        <w:ind w:left="851"/>
        <w:rPr>
          <w:iCs/>
          <w:sz w:val="24"/>
          <w:szCs w:val="24"/>
          <w:u w:val="single"/>
        </w:rPr>
      </w:pPr>
      <w:r w:rsidRPr="006E25FF">
        <w:rPr>
          <w:iCs/>
          <w:sz w:val="24"/>
          <w:szCs w:val="24"/>
          <w:u w:val="single"/>
        </w:rPr>
        <w:t>Risiko for lidelser i koronarterierne</w:t>
      </w:r>
    </w:p>
    <w:p w:rsidR="006E25FF" w:rsidRPr="006E25FF" w:rsidRDefault="006E25FF" w:rsidP="006E25FF">
      <w:pPr>
        <w:ind w:left="851"/>
        <w:rPr>
          <w:iCs/>
          <w:sz w:val="24"/>
          <w:szCs w:val="24"/>
        </w:rPr>
      </w:pPr>
      <w:r w:rsidRPr="006E25FF">
        <w:rPr>
          <w:iCs/>
          <w:sz w:val="24"/>
          <w:szCs w:val="24"/>
        </w:rPr>
        <w:t>Risikoen for lidelser i koronararterierne er let forøget hos brugere af kombineret østrogen-gestagen HRT, der er over 60 år (se pkt. 4.4).</w:t>
      </w:r>
    </w:p>
    <w:p w:rsidR="006E25FF" w:rsidRPr="006E25FF" w:rsidRDefault="006E25FF" w:rsidP="006E25FF">
      <w:pPr>
        <w:ind w:left="851"/>
        <w:rPr>
          <w:iCs/>
          <w:sz w:val="24"/>
          <w:szCs w:val="24"/>
        </w:rPr>
      </w:pPr>
    </w:p>
    <w:p w:rsidR="006E25FF" w:rsidRPr="006E25FF" w:rsidRDefault="006E25FF" w:rsidP="006E25FF">
      <w:pPr>
        <w:ind w:left="851"/>
        <w:rPr>
          <w:iCs/>
          <w:sz w:val="24"/>
          <w:szCs w:val="24"/>
          <w:u w:val="single"/>
        </w:rPr>
      </w:pPr>
      <w:r w:rsidRPr="006E25FF">
        <w:rPr>
          <w:iCs/>
          <w:sz w:val="24"/>
          <w:szCs w:val="24"/>
          <w:u w:val="single"/>
        </w:rPr>
        <w:t>Risiko for iskæmisk slagtilfælde</w:t>
      </w:r>
    </w:p>
    <w:p w:rsidR="006E25FF" w:rsidRPr="006E25FF" w:rsidRDefault="006E25FF" w:rsidP="006E25FF">
      <w:pPr>
        <w:ind w:left="851"/>
        <w:rPr>
          <w:iCs/>
          <w:sz w:val="24"/>
          <w:szCs w:val="24"/>
        </w:rPr>
      </w:pPr>
      <w:r w:rsidRPr="006E25FF">
        <w:rPr>
          <w:iCs/>
          <w:sz w:val="24"/>
          <w:szCs w:val="24"/>
        </w:rPr>
        <w:t>Behandling med østrogen alene og østrogen-gestagen er associeret med en op til 1,5 gange forøget relativ risiko for iskæmisk slagtilfælde. Risikoen for hæmoragisk slagtilfælde er ikke forøget ved brug af HRT.</w:t>
      </w:r>
    </w:p>
    <w:p w:rsidR="006E25FF" w:rsidRPr="006E25FF" w:rsidRDefault="006E25FF" w:rsidP="006E25FF">
      <w:pPr>
        <w:ind w:left="851"/>
        <w:rPr>
          <w:iCs/>
          <w:sz w:val="24"/>
          <w:szCs w:val="24"/>
        </w:rPr>
      </w:pPr>
    </w:p>
    <w:p w:rsidR="006E25FF" w:rsidRPr="006E25FF" w:rsidRDefault="006E25FF" w:rsidP="006E25FF">
      <w:pPr>
        <w:ind w:left="851"/>
        <w:rPr>
          <w:iCs/>
          <w:sz w:val="24"/>
          <w:szCs w:val="24"/>
        </w:rPr>
      </w:pPr>
      <w:r w:rsidRPr="006E25FF">
        <w:rPr>
          <w:iCs/>
          <w:sz w:val="24"/>
          <w:szCs w:val="24"/>
        </w:rPr>
        <w:t>Den relative risiko er ikke afhængig af alder eller behandlingsvarighed, men den basale risiko er stærkt aldersafhængig. Den generelle risiko for slagtilfælde hos kvinder, som bruger HRT, vil stige med alderen (se pkt. 4.4).</w:t>
      </w:r>
    </w:p>
    <w:p w:rsidR="006E25FF" w:rsidRPr="006E25FF" w:rsidRDefault="006E25FF" w:rsidP="006E25FF">
      <w:pPr>
        <w:ind w:left="851"/>
        <w:rPr>
          <w:iCs/>
          <w:sz w:val="24"/>
          <w:szCs w:val="24"/>
        </w:rPr>
      </w:pPr>
    </w:p>
    <w:p w:rsidR="006E25FF" w:rsidRDefault="006E25FF" w:rsidP="006E25FF">
      <w:pPr>
        <w:keepNext/>
        <w:rPr>
          <w:b/>
          <w:bCs/>
          <w:iCs/>
          <w:szCs w:val="22"/>
        </w:rPr>
      </w:pPr>
      <w:r>
        <w:rPr>
          <w:b/>
          <w:bCs/>
          <w:iCs/>
          <w:szCs w:val="22"/>
        </w:rPr>
        <w:t>WHI kombinerede studier – Yderligere risiko for iskæmisk slagtilfælde* over 5 års behandling</w:t>
      </w:r>
    </w:p>
    <w:tbl>
      <w:tblPr>
        <w:tblStyle w:val="Tabel-Gitter"/>
        <w:tblW w:w="0" w:type="auto"/>
        <w:tblInd w:w="0" w:type="dxa"/>
        <w:tblLook w:val="04A0" w:firstRow="1" w:lastRow="0" w:firstColumn="1" w:lastColumn="0" w:noHBand="0" w:noVBand="1"/>
      </w:tblPr>
      <w:tblGrid>
        <w:gridCol w:w="2263"/>
        <w:gridCol w:w="2264"/>
        <w:gridCol w:w="2264"/>
        <w:gridCol w:w="2264"/>
      </w:tblGrid>
      <w:tr w:rsidR="006E25FF" w:rsidTr="006E25FF">
        <w:tc>
          <w:tcPr>
            <w:tcW w:w="2263" w:type="dxa"/>
            <w:tcBorders>
              <w:top w:val="single" w:sz="4" w:space="0" w:color="auto"/>
              <w:left w:val="single" w:sz="4" w:space="0" w:color="auto"/>
              <w:bottom w:val="single" w:sz="4" w:space="0" w:color="auto"/>
              <w:right w:val="single" w:sz="4" w:space="0" w:color="auto"/>
            </w:tcBorders>
            <w:hideMark/>
          </w:tcPr>
          <w:p w:rsidR="006E25FF" w:rsidRDefault="006E25FF">
            <w:pPr>
              <w:keepNext/>
              <w:rPr>
                <w:b/>
                <w:bCs/>
                <w:iCs/>
                <w:szCs w:val="22"/>
              </w:rPr>
            </w:pPr>
            <w:r>
              <w:rPr>
                <w:b/>
                <w:szCs w:val="24"/>
              </w:rPr>
              <w:t>Aldersinterval (år)</w:t>
            </w:r>
          </w:p>
        </w:tc>
        <w:tc>
          <w:tcPr>
            <w:tcW w:w="2264" w:type="dxa"/>
            <w:tcBorders>
              <w:top w:val="single" w:sz="4" w:space="0" w:color="auto"/>
              <w:left w:val="single" w:sz="4" w:space="0" w:color="auto"/>
              <w:bottom w:val="single" w:sz="4" w:space="0" w:color="auto"/>
              <w:right w:val="single" w:sz="4" w:space="0" w:color="auto"/>
            </w:tcBorders>
            <w:hideMark/>
          </w:tcPr>
          <w:p w:rsidR="006E25FF" w:rsidRPr="006E25FF" w:rsidRDefault="006E25FF">
            <w:pPr>
              <w:keepNext/>
              <w:rPr>
                <w:b/>
                <w:bCs/>
                <w:iCs/>
                <w:szCs w:val="22"/>
                <w:lang w:val="da-DK"/>
              </w:rPr>
            </w:pPr>
            <w:r w:rsidRPr="006E25FF">
              <w:rPr>
                <w:b/>
                <w:szCs w:val="24"/>
                <w:lang w:val="da-DK"/>
              </w:rPr>
              <w:t>Tilfælde per 1.000 kvinder i placebo arm over en 5 års periode</w:t>
            </w:r>
          </w:p>
        </w:tc>
        <w:tc>
          <w:tcPr>
            <w:tcW w:w="2264" w:type="dxa"/>
            <w:tcBorders>
              <w:top w:val="single" w:sz="4" w:space="0" w:color="auto"/>
              <w:left w:val="single" w:sz="4" w:space="0" w:color="auto"/>
              <w:bottom w:val="single" w:sz="4" w:space="0" w:color="auto"/>
              <w:right w:val="single" w:sz="4" w:space="0" w:color="auto"/>
            </w:tcBorders>
            <w:hideMark/>
          </w:tcPr>
          <w:p w:rsidR="006E25FF" w:rsidRDefault="006E25FF">
            <w:pPr>
              <w:keepNext/>
              <w:rPr>
                <w:b/>
                <w:bCs/>
                <w:iCs/>
                <w:szCs w:val="22"/>
              </w:rPr>
            </w:pPr>
            <w:r>
              <w:rPr>
                <w:b/>
                <w:szCs w:val="24"/>
              </w:rPr>
              <w:t>Risikoratio og 95% CI</w:t>
            </w:r>
          </w:p>
        </w:tc>
        <w:tc>
          <w:tcPr>
            <w:tcW w:w="2264" w:type="dxa"/>
            <w:tcBorders>
              <w:top w:val="single" w:sz="4" w:space="0" w:color="auto"/>
              <w:left w:val="single" w:sz="4" w:space="0" w:color="auto"/>
              <w:bottom w:val="single" w:sz="4" w:space="0" w:color="auto"/>
              <w:right w:val="single" w:sz="4" w:space="0" w:color="auto"/>
            </w:tcBorders>
            <w:hideMark/>
          </w:tcPr>
          <w:p w:rsidR="006E25FF" w:rsidRPr="006E25FF" w:rsidRDefault="006E25FF">
            <w:pPr>
              <w:keepNext/>
              <w:rPr>
                <w:b/>
                <w:bCs/>
                <w:iCs/>
                <w:szCs w:val="22"/>
                <w:lang w:val="da-DK"/>
              </w:rPr>
            </w:pPr>
            <w:r w:rsidRPr="006E25FF">
              <w:rPr>
                <w:b/>
                <w:szCs w:val="24"/>
                <w:lang w:val="da-DK"/>
              </w:rPr>
              <w:t>Yderligere tilfælde per 1.000 HRT brugere over en 5 års periode (95% CI)</w:t>
            </w:r>
          </w:p>
        </w:tc>
      </w:tr>
      <w:tr w:rsidR="006E25FF" w:rsidTr="006E25FF">
        <w:tc>
          <w:tcPr>
            <w:tcW w:w="2263" w:type="dxa"/>
            <w:tcBorders>
              <w:top w:val="single" w:sz="4" w:space="0" w:color="auto"/>
              <w:left w:val="single" w:sz="4" w:space="0" w:color="auto"/>
              <w:bottom w:val="single" w:sz="4" w:space="0" w:color="auto"/>
              <w:right w:val="single" w:sz="4" w:space="0" w:color="auto"/>
            </w:tcBorders>
            <w:hideMark/>
          </w:tcPr>
          <w:p w:rsidR="006E25FF" w:rsidRDefault="006E25FF">
            <w:pPr>
              <w:keepNext/>
              <w:rPr>
                <w:iCs/>
                <w:szCs w:val="22"/>
              </w:rPr>
            </w:pPr>
            <w:r>
              <w:rPr>
                <w:iCs/>
                <w:szCs w:val="22"/>
              </w:rPr>
              <w:t>50-59</w:t>
            </w:r>
          </w:p>
        </w:tc>
        <w:tc>
          <w:tcPr>
            <w:tcW w:w="2264" w:type="dxa"/>
            <w:tcBorders>
              <w:top w:val="single" w:sz="4" w:space="0" w:color="auto"/>
              <w:left w:val="single" w:sz="4" w:space="0" w:color="auto"/>
              <w:bottom w:val="single" w:sz="4" w:space="0" w:color="auto"/>
              <w:right w:val="single" w:sz="4" w:space="0" w:color="auto"/>
            </w:tcBorders>
            <w:hideMark/>
          </w:tcPr>
          <w:p w:rsidR="006E25FF" w:rsidRDefault="006E25FF">
            <w:pPr>
              <w:keepNext/>
              <w:rPr>
                <w:iCs/>
                <w:szCs w:val="22"/>
              </w:rPr>
            </w:pPr>
            <w:r>
              <w:rPr>
                <w:iCs/>
                <w:szCs w:val="22"/>
              </w:rPr>
              <w:t>8</w:t>
            </w:r>
          </w:p>
        </w:tc>
        <w:tc>
          <w:tcPr>
            <w:tcW w:w="2264" w:type="dxa"/>
            <w:tcBorders>
              <w:top w:val="single" w:sz="4" w:space="0" w:color="auto"/>
              <w:left w:val="single" w:sz="4" w:space="0" w:color="auto"/>
              <w:bottom w:val="single" w:sz="4" w:space="0" w:color="auto"/>
              <w:right w:val="single" w:sz="4" w:space="0" w:color="auto"/>
            </w:tcBorders>
            <w:hideMark/>
          </w:tcPr>
          <w:p w:rsidR="006E25FF" w:rsidRDefault="006E25FF">
            <w:pPr>
              <w:keepNext/>
              <w:rPr>
                <w:iCs/>
                <w:szCs w:val="22"/>
              </w:rPr>
            </w:pPr>
            <w:r>
              <w:rPr>
                <w:iCs/>
                <w:szCs w:val="22"/>
              </w:rPr>
              <w:t>1,3 (1,1-1,6)</w:t>
            </w:r>
          </w:p>
        </w:tc>
        <w:tc>
          <w:tcPr>
            <w:tcW w:w="2264" w:type="dxa"/>
            <w:tcBorders>
              <w:top w:val="single" w:sz="4" w:space="0" w:color="auto"/>
              <w:left w:val="single" w:sz="4" w:space="0" w:color="auto"/>
              <w:bottom w:val="single" w:sz="4" w:space="0" w:color="auto"/>
              <w:right w:val="single" w:sz="4" w:space="0" w:color="auto"/>
            </w:tcBorders>
            <w:hideMark/>
          </w:tcPr>
          <w:p w:rsidR="006E25FF" w:rsidRDefault="006E25FF">
            <w:pPr>
              <w:keepNext/>
              <w:rPr>
                <w:iCs/>
                <w:szCs w:val="22"/>
              </w:rPr>
            </w:pPr>
            <w:r>
              <w:rPr>
                <w:iCs/>
                <w:szCs w:val="22"/>
              </w:rPr>
              <w:t>3 (1-5)</w:t>
            </w:r>
          </w:p>
        </w:tc>
      </w:tr>
    </w:tbl>
    <w:p w:rsidR="006E25FF" w:rsidRDefault="006E25FF" w:rsidP="006E25FF">
      <w:pPr>
        <w:rPr>
          <w:iCs/>
          <w:sz w:val="22"/>
          <w:szCs w:val="22"/>
        </w:rPr>
      </w:pPr>
      <w:r>
        <w:rPr>
          <w:iCs/>
          <w:szCs w:val="22"/>
        </w:rPr>
        <w:t>* Der er ikke skelnet mellem iskæmisk og hæmoragisk slagtilfælde.</w:t>
      </w:r>
    </w:p>
    <w:p w:rsidR="006E25FF" w:rsidRPr="006E25FF" w:rsidRDefault="006E25FF" w:rsidP="006E25FF">
      <w:pPr>
        <w:ind w:left="851"/>
        <w:rPr>
          <w:iCs/>
          <w:sz w:val="24"/>
          <w:szCs w:val="24"/>
        </w:rPr>
      </w:pPr>
    </w:p>
    <w:p w:rsidR="006E25FF" w:rsidRPr="006E25FF" w:rsidRDefault="006E25FF" w:rsidP="006E25FF">
      <w:pPr>
        <w:autoSpaceDE w:val="0"/>
        <w:autoSpaceDN w:val="0"/>
        <w:adjustRightInd w:val="0"/>
        <w:ind w:left="851"/>
        <w:rPr>
          <w:sz w:val="24"/>
          <w:szCs w:val="24"/>
          <w:u w:val="single"/>
        </w:rPr>
      </w:pPr>
      <w:r w:rsidRPr="006E25FF">
        <w:rPr>
          <w:sz w:val="24"/>
          <w:szCs w:val="24"/>
          <w:u w:val="single"/>
        </w:rPr>
        <w:t>Indberetning af formodede bivirkninger</w:t>
      </w:r>
    </w:p>
    <w:p w:rsidR="006E25FF" w:rsidRPr="006E25FF" w:rsidRDefault="006E25FF" w:rsidP="006E25FF">
      <w:pPr>
        <w:autoSpaceDE w:val="0"/>
        <w:autoSpaceDN w:val="0"/>
        <w:adjustRightInd w:val="0"/>
        <w:ind w:left="851"/>
        <w:rPr>
          <w:sz w:val="24"/>
          <w:szCs w:val="24"/>
        </w:rPr>
      </w:pPr>
      <w:r w:rsidRPr="006E25FF">
        <w:rPr>
          <w:sz w:val="24"/>
          <w:szCs w:val="24"/>
        </w:rPr>
        <w:t>Når lægemidlet er godkendt, er indberetning af formodede bivirkninger vigtig. Det muliggør løbende overvågning af benefit/risk-forholdet for lægemidlet. Sundhedspersoner anmodes om at indberette alle formodede bivirkninger via:</w:t>
      </w:r>
    </w:p>
    <w:p w:rsidR="006E25FF" w:rsidRPr="006E25FF" w:rsidRDefault="006E25FF" w:rsidP="006E25FF">
      <w:pPr>
        <w:ind w:left="851"/>
        <w:rPr>
          <w:sz w:val="24"/>
          <w:szCs w:val="24"/>
        </w:rPr>
      </w:pPr>
    </w:p>
    <w:p w:rsidR="006E25FF" w:rsidRPr="006E25FF" w:rsidRDefault="006E25FF" w:rsidP="006E25FF">
      <w:pPr>
        <w:ind w:left="851"/>
        <w:rPr>
          <w:sz w:val="24"/>
          <w:szCs w:val="24"/>
        </w:rPr>
      </w:pPr>
      <w:r w:rsidRPr="006E25FF">
        <w:rPr>
          <w:sz w:val="24"/>
          <w:szCs w:val="24"/>
        </w:rPr>
        <w:t>Lægemiddelstyrelsen</w:t>
      </w:r>
    </w:p>
    <w:p w:rsidR="006E25FF" w:rsidRPr="006E25FF" w:rsidRDefault="006E25FF" w:rsidP="006E25FF">
      <w:pPr>
        <w:ind w:left="851"/>
        <w:rPr>
          <w:sz w:val="24"/>
          <w:szCs w:val="24"/>
        </w:rPr>
      </w:pPr>
      <w:r w:rsidRPr="006E25FF">
        <w:rPr>
          <w:sz w:val="24"/>
          <w:szCs w:val="24"/>
        </w:rPr>
        <w:t>Axel Heides Gade 1</w:t>
      </w:r>
    </w:p>
    <w:p w:rsidR="006E25FF" w:rsidRPr="006E25FF" w:rsidRDefault="006E25FF" w:rsidP="006E25FF">
      <w:pPr>
        <w:ind w:left="851"/>
        <w:rPr>
          <w:sz w:val="24"/>
          <w:szCs w:val="24"/>
        </w:rPr>
      </w:pPr>
      <w:r w:rsidRPr="006E25FF">
        <w:rPr>
          <w:sz w:val="24"/>
          <w:szCs w:val="24"/>
        </w:rPr>
        <w:t>DK-2300 København S</w:t>
      </w:r>
    </w:p>
    <w:p w:rsidR="006E25FF" w:rsidRPr="006E25FF" w:rsidRDefault="006E25FF" w:rsidP="006E25FF">
      <w:pPr>
        <w:ind w:left="851"/>
        <w:rPr>
          <w:sz w:val="24"/>
          <w:szCs w:val="24"/>
        </w:rPr>
      </w:pPr>
      <w:r w:rsidRPr="006E25FF">
        <w:rPr>
          <w:sz w:val="24"/>
          <w:szCs w:val="24"/>
        </w:rPr>
        <w:t>Websted: www.meldenbivirkning.dk</w:t>
      </w:r>
    </w:p>
    <w:p w:rsidR="009260DE" w:rsidRPr="00A10294" w:rsidRDefault="009260DE" w:rsidP="00A10294">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rsidR="00204D3A" w:rsidRPr="00204D3A" w:rsidRDefault="00204D3A" w:rsidP="00204D3A">
      <w:pPr>
        <w:tabs>
          <w:tab w:val="left" w:pos="851"/>
        </w:tabs>
        <w:ind w:left="851"/>
        <w:rPr>
          <w:sz w:val="24"/>
          <w:szCs w:val="24"/>
        </w:rPr>
      </w:pPr>
      <w:r w:rsidRPr="00204D3A">
        <w:rPr>
          <w:sz w:val="24"/>
          <w:szCs w:val="24"/>
        </w:rPr>
        <w:t>Ved overdosering kan der opstå kvalme og opkastning. Behandling bør være symptomatisk.</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204D3A" w:rsidP="009260DE">
      <w:pPr>
        <w:tabs>
          <w:tab w:val="left" w:pos="851"/>
        </w:tabs>
        <w:ind w:left="851"/>
        <w:rPr>
          <w:sz w:val="24"/>
          <w:szCs w:val="24"/>
        </w:rPr>
      </w:pPr>
      <w:r>
        <w:rPr>
          <w:sz w:val="24"/>
          <w:szCs w:val="24"/>
        </w:rPr>
        <w:t>B</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B04010" w:rsidRPr="00B04010" w:rsidRDefault="00B04010" w:rsidP="00B04010">
      <w:pPr>
        <w:tabs>
          <w:tab w:val="left" w:pos="851"/>
        </w:tabs>
        <w:ind w:left="851"/>
        <w:rPr>
          <w:sz w:val="24"/>
          <w:szCs w:val="24"/>
        </w:rPr>
      </w:pPr>
      <w:r w:rsidRPr="00B04010">
        <w:rPr>
          <w:sz w:val="24"/>
          <w:szCs w:val="24"/>
        </w:rPr>
        <w:t>Farmakoterapeutisk klassifikation: Naturlige og semisyntetiske estrogener, usammensatte, ATC</w:t>
      </w:r>
      <w:r w:rsidRPr="00B04010">
        <w:rPr>
          <w:sz w:val="24"/>
          <w:szCs w:val="24"/>
        </w:rPr>
        <w:noBreakHyphen/>
        <w:t>kode: G03CA03.</w:t>
      </w:r>
    </w:p>
    <w:p w:rsidR="00B04010" w:rsidRPr="00B04010" w:rsidRDefault="00B04010" w:rsidP="00B04010">
      <w:pPr>
        <w:tabs>
          <w:tab w:val="left" w:pos="851"/>
        </w:tabs>
        <w:ind w:left="851"/>
        <w:rPr>
          <w:sz w:val="24"/>
          <w:szCs w:val="24"/>
        </w:rPr>
      </w:pPr>
    </w:p>
    <w:p w:rsidR="00B04010" w:rsidRPr="00B04010" w:rsidRDefault="00B04010" w:rsidP="00B04010">
      <w:pPr>
        <w:tabs>
          <w:tab w:val="left" w:pos="851"/>
        </w:tabs>
        <w:ind w:left="851"/>
        <w:rPr>
          <w:sz w:val="24"/>
          <w:szCs w:val="24"/>
        </w:rPr>
      </w:pPr>
      <w:r w:rsidRPr="00B04010">
        <w:rPr>
          <w:sz w:val="24"/>
          <w:szCs w:val="24"/>
        </w:rPr>
        <w:t>Det aktive indholdsstof, syntetisk 17β</w:t>
      </w:r>
      <w:r w:rsidRPr="00B04010">
        <w:rPr>
          <w:sz w:val="24"/>
          <w:szCs w:val="24"/>
        </w:rPr>
        <w:noBreakHyphen/>
        <w:t>estradiol, er kemisk og biologisk identisk med det endogene humane estradiol. Det substituerer den manglende østrogen-produktion hos menopausale kvinder og lindrer de menopausale gener.</w:t>
      </w:r>
    </w:p>
    <w:p w:rsidR="00B04010" w:rsidRPr="00B04010" w:rsidRDefault="00B04010" w:rsidP="00B04010">
      <w:pPr>
        <w:tabs>
          <w:tab w:val="left" w:pos="851"/>
        </w:tabs>
        <w:ind w:left="851"/>
        <w:rPr>
          <w:sz w:val="24"/>
          <w:szCs w:val="24"/>
        </w:rPr>
      </w:pPr>
    </w:p>
    <w:p w:rsidR="00B04010" w:rsidRPr="00B04010" w:rsidRDefault="00B04010" w:rsidP="00B04010">
      <w:pPr>
        <w:tabs>
          <w:tab w:val="left" w:pos="851"/>
        </w:tabs>
        <w:ind w:left="851"/>
        <w:rPr>
          <w:sz w:val="24"/>
          <w:szCs w:val="24"/>
        </w:rPr>
      </w:pPr>
      <w:r w:rsidRPr="00B04010">
        <w:rPr>
          <w:sz w:val="24"/>
          <w:szCs w:val="24"/>
        </w:rPr>
        <w:lastRenderedPageBreak/>
        <w:t>Lettelse af menopausale symptomer opnås i løbet af de første få ugers behandling.</w:t>
      </w:r>
    </w:p>
    <w:p w:rsidR="00B04010" w:rsidRPr="00B04010" w:rsidRDefault="00B04010" w:rsidP="00B04010">
      <w:pPr>
        <w:tabs>
          <w:tab w:val="left" w:pos="851"/>
        </w:tabs>
        <w:ind w:left="851"/>
        <w:rPr>
          <w:sz w:val="24"/>
          <w:szCs w:val="24"/>
        </w:rPr>
      </w:pPr>
    </w:p>
    <w:p w:rsidR="00B04010" w:rsidRPr="00B04010" w:rsidRDefault="00B04010" w:rsidP="00B04010">
      <w:pPr>
        <w:tabs>
          <w:tab w:val="left" w:pos="851"/>
        </w:tabs>
        <w:ind w:left="851"/>
        <w:rPr>
          <w:sz w:val="24"/>
          <w:szCs w:val="24"/>
        </w:rPr>
      </w:pPr>
      <w:r w:rsidRPr="00B04010">
        <w:rPr>
          <w:sz w:val="24"/>
          <w:szCs w:val="24"/>
        </w:rPr>
        <w:t>Østrogener forhindrer knogletab efter overgangsalderen eller oophorektomi.</w:t>
      </w:r>
    </w:p>
    <w:p w:rsidR="00B04010" w:rsidRPr="00B04010" w:rsidRDefault="00B04010" w:rsidP="00B04010">
      <w:pPr>
        <w:tabs>
          <w:tab w:val="left" w:pos="851"/>
        </w:tabs>
        <w:ind w:left="851"/>
        <w:rPr>
          <w:sz w:val="24"/>
          <w:szCs w:val="24"/>
        </w:rPr>
      </w:pPr>
    </w:p>
    <w:p w:rsidR="00B04010" w:rsidRPr="00B04010" w:rsidRDefault="00B04010" w:rsidP="00B04010">
      <w:pPr>
        <w:tabs>
          <w:tab w:val="left" w:pos="851"/>
        </w:tabs>
        <w:ind w:left="851"/>
        <w:rPr>
          <w:sz w:val="24"/>
          <w:szCs w:val="24"/>
        </w:rPr>
      </w:pPr>
      <w:r w:rsidRPr="00B04010">
        <w:rPr>
          <w:sz w:val="24"/>
          <w:szCs w:val="24"/>
        </w:rPr>
        <w:t>Østrogenmangel i overgangsalderen er forbundet med en stigende knogleomsætning og et fald i knoglemassen. Effekten af østrogener på knoglemineraltætheden er dosisafhængig.</w:t>
      </w:r>
    </w:p>
    <w:p w:rsidR="00B04010" w:rsidRPr="00B04010" w:rsidRDefault="00B04010" w:rsidP="00B04010">
      <w:pPr>
        <w:tabs>
          <w:tab w:val="left" w:pos="851"/>
        </w:tabs>
        <w:ind w:left="851"/>
        <w:rPr>
          <w:sz w:val="24"/>
          <w:szCs w:val="24"/>
        </w:rPr>
      </w:pPr>
    </w:p>
    <w:p w:rsidR="00B04010" w:rsidRPr="00B04010" w:rsidRDefault="00B04010" w:rsidP="00B04010">
      <w:pPr>
        <w:tabs>
          <w:tab w:val="left" w:pos="851"/>
        </w:tabs>
        <w:ind w:left="851"/>
        <w:rPr>
          <w:sz w:val="24"/>
          <w:szCs w:val="24"/>
        </w:rPr>
      </w:pPr>
      <w:r w:rsidRPr="00B04010">
        <w:rPr>
          <w:sz w:val="24"/>
          <w:szCs w:val="24"/>
        </w:rPr>
        <w:t>Beskyttelsen ser ud til at være effektiv, så længe behandlingen fortsættes. Efter seponering af HRT tabes knoglemasse i en hastighed, der ligner den hos ubehandlede kvinder.</w:t>
      </w:r>
    </w:p>
    <w:p w:rsidR="00B04010" w:rsidRPr="00B04010" w:rsidRDefault="00B04010" w:rsidP="00B04010">
      <w:pPr>
        <w:tabs>
          <w:tab w:val="left" w:pos="851"/>
        </w:tabs>
        <w:ind w:left="851"/>
        <w:rPr>
          <w:sz w:val="24"/>
          <w:szCs w:val="24"/>
        </w:rPr>
      </w:pPr>
    </w:p>
    <w:p w:rsidR="00B04010" w:rsidRPr="00B04010" w:rsidRDefault="00B04010" w:rsidP="00B04010">
      <w:pPr>
        <w:tabs>
          <w:tab w:val="left" w:pos="851"/>
        </w:tabs>
        <w:ind w:left="851"/>
        <w:rPr>
          <w:sz w:val="24"/>
          <w:szCs w:val="24"/>
        </w:rPr>
      </w:pPr>
      <w:r w:rsidRPr="00B04010">
        <w:rPr>
          <w:sz w:val="24"/>
          <w:szCs w:val="24"/>
        </w:rPr>
        <w:t>Evidens fra WHI- studiet og meta-analyse af forsøg viser, at aktuel brug af HRT, alene eller i kombination med et gestagen – givet til overvejende sunde kvinder – reducerer risikoen for hofte-, rygsøjle- og andre osteoporotiske frakturer. HRT kan også forebygge frakturer hos kvinder med lav knoglemineraltæthed og/eller etableret osteoporose, men evidensen for dette er begrænset.</w:t>
      </w:r>
    </w:p>
    <w:p w:rsidR="00B04010" w:rsidRPr="00B04010" w:rsidRDefault="00B04010" w:rsidP="00B04010">
      <w:pPr>
        <w:tabs>
          <w:tab w:val="left" w:pos="851"/>
        </w:tabs>
        <w:ind w:left="851"/>
        <w:rPr>
          <w:sz w:val="24"/>
          <w:szCs w:val="24"/>
        </w:rPr>
      </w:pPr>
    </w:p>
    <w:p w:rsidR="00B04010" w:rsidRPr="00B04010" w:rsidRDefault="00B04010" w:rsidP="00B04010">
      <w:pPr>
        <w:tabs>
          <w:tab w:val="left" w:pos="851"/>
        </w:tabs>
        <w:ind w:left="851"/>
        <w:rPr>
          <w:sz w:val="24"/>
          <w:szCs w:val="24"/>
        </w:rPr>
      </w:pPr>
      <w:r w:rsidRPr="00B04010">
        <w:rPr>
          <w:sz w:val="24"/>
          <w:szCs w:val="24"/>
        </w:rPr>
        <w:t>Effekten af oral 17β-estradiol på knoglemineraltæthed blev undersøgt i en 2-årig randomiseret, dobbeltblind, placebokontrolleret forsøg hos tidlige postmenopausale kvinder (n=166, inklusive på 17β-estradiol 2 mg). 17β-estradiol 2 mg forhindrede signifikant knogletab i lændehvirvelsøjlen og den samlede hofte i forhold til placebobehandlede kvinder. Den samlede forskel i gennemsnitlig procentændring i knoglemineraltæthed versus placebo var for 2 mg 5,3% ved lændehvirvelsøjlen, 3,9% ved lårbenshalsen. De tilsvarende tal for trochanter var 3,2% efter 2 års behandling.</w:t>
      </w:r>
    </w:p>
    <w:p w:rsidR="00B04010" w:rsidRPr="00B04010" w:rsidRDefault="00B04010" w:rsidP="00B04010">
      <w:pPr>
        <w:tabs>
          <w:tab w:val="left" w:pos="851"/>
        </w:tabs>
        <w:ind w:left="851"/>
        <w:rPr>
          <w:sz w:val="24"/>
          <w:szCs w:val="24"/>
        </w:rPr>
      </w:pPr>
    </w:p>
    <w:p w:rsidR="00B04010" w:rsidRPr="00B04010" w:rsidRDefault="00B04010" w:rsidP="00B04010">
      <w:pPr>
        <w:tabs>
          <w:tab w:val="left" w:pos="851"/>
        </w:tabs>
        <w:ind w:left="851"/>
        <w:rPr>
          <w:sz w:val="24"/>
          <w:szCs w:val="24"/>
        </w:rPr>
      </w:pPr>
      <w:r w:rsidRPr="00B04010">
        <w:rPr>
          <w:sz w:val="24"/>
          <w:szCs w:val="24"/>
        </w:rPr>
        <w:t>Procentdelen af kvinder, der opretholdt eller øgede knoglemineraltætheden (BMD) i lumbalområdet under behandlingen, var 68% hos kvinder behandlet med 2 mg oral 17β-estradiol.</w:t>
      </w:r>
    </w:p>
    <w:p w:rsidR="00B04010" w:rsidRPr="00B04010" w:rsidRDefault="00B04010" w:rsidP="00B04010">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rsidR="00B04010" w:rsidRPr="00B04010" w:rsidRDefault="00B04010" w:rsidP="00B04010">
      <w:pPr>
        <w:tabs>
          <w:tab w:val="left" w:pos="851"/>
        </w:tabs>
        <w:ind w:left="851"/>
        <w:rPr>
          <w:sz w:val="24"/>
          <w:szCs w:val="24"/>
        </w:rPr>
      </w:pPr>
      <w:r w:rsidRPr="00B04010">
        <w:rPr>
          <w:sz w:val="24"/>
          <w:szCs w:val="24"/>
        </w:rPr>
        <w:t>Oestablet indeholder mikroniserede 17β</w:t>
      </w:r>
      <w:r w:rsidRPr="00B04010">
        <w:rPr>
          <w:sz w:val="24"/>
          <w:szCs w:val="24"/>
        </w:rPr>
        <w:noBreakHyphen/>
        <w:t>estradiol, administreres peroralt og absorberes hurtigt og effektivt fra mavetarmkanalen, og når en maksimal plasmakoncentration på omtrent 44 pg/ml (interval på 30</w:t>
      </w:r>
      <w:r w:rsidRPr="00B04010">
        <w:rPr>
          <w:sz w:val="24"/>
          <w:szCs w:val="24"/>
        </w:rPr>
        <w:noBreakHyphen/>
        <w:t>53 pg/ml) inden for 4-6 timer efter administrering af 2 mg. 17β</w:t>
      </w:r>
      <w:r w:rsidRPr="00B04010">
        <w:rPr>
          <w:sz w:val="24"/>
          <w:szCs w:val="24"/>
        </w:rPr>
        <w:noBreakHyphen/>
        <w:t>estradiol har en halveringstid på omtrent 14-16 timer. Mere end 90% af 17β</w:t>
      </w:r>
      <w:r w:rsidRPr="00B04010">
        <w:rPr>
          <w:sz w:val="24"/>
          <w:szCs w:val="24"/>
        </w:rPr>
        <w:noBreakHyphen/>
        <w:t>estradiol er bundet til plasmaproteiner.</w:t>
      </w:r>
    </w:p>
    <w:p w:rsidR="00B04010" w:rsidRPr="00B04010" w:rsidRDefault="00B04010" w:rsidP="00B04010">
      <w:pPr>
        <w:tabs>
          <w:tab w:val="left" w:pos="851"/>
        </w:tabs>
        <w:ind w:left="851"/>
        <w:rPr>
          <w:sz w:val="24"/>
          <w:szCs w:val="24"/>
        </w:rPr>
      </w:pPr>
    </w:p>
    <w:p w:rsidR="00B04010" w:rsidRPr="00B04010" w:rsidRDefault="00B04010" w:rsidP="00B04010">
      <w:pPr>
        <w:tabs>
          <w:tab w:val="left" w:pos="851"/>
        </w:tabs>
        <w:ind w:left="851"/>
        <w:rPr>
          <w:sz w:val="24"/>
          <w:szCs w:val="24"/>
        </w:rPr>
      </w:pPr>
      <w:r w:rsidRPr="00B04010">
        <w:rPr>
          <w:sz w:val="24"/>
          <w:szCs w:val="24"/>
        </w:rPr>
        <w:t>17β</w:t>
      </w:r>
      <w:r w:rsidRPr="00B04010">
        <w:rPr>
          <w:sz w:val="24"/>
          <w:szCs w:val="24"/>
        </w:rPr>
        <w:noBreakHyphen/>
        <w:t>estradiol bliver oxideret til estron, som derpå gradvist omdannes til estronsulfat. Begge omdannelser sker hovedsagelig i leveren. Østrogener udskilles i galden og reabsorberes fra tarmen. Under denne enterohepatiske cirkulation finder nedbrydning sted. 17β</w:t>
      </w:r>
      <w:r w:rsidRPr="00B04010">
        <w:rPr>
          <w:sz w:val="24"/>
          <w:szCs w:val="24"/>
        </w:rPr>
        <w:noBreakHyphen/>
        <w:t>estradiol og dets metabolitter udskilles via urinen (90</w:t>
      </w:r>
      <w:r w:rsidRPr="00B04010">
        <w:rPr>
          <w:sz w:val="24"/>
          <w:szCs w:val="24"/>
        </w:rPr>
        <w:noBreakHyphen/>
        <w:t>95%) som biologisk inaktiv glukocoronid og sulfatkonjugater eller via fæces (5</w:t>
      </w:r>
      <w:r w:rsidRPr="00B04010">
        <w:rPr>
          <w:sz w:val="24"/>
          <w:szCs w:val="24"/>
        </w:rPr>
        <w:noBreakHyphen/>
        <w:t>10%) hovedsagelig ukonjugeret.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rsidR="00B04010" w:rsidRPr="00B04010" w:rsidRDefault="00B04010" w:rsidP="00B04010">
      <w:pPr>
        <w:tabs>
          <w:tab w:val="left" w:pos="851"/>
        </w:tabs>
        <w:ind w:left="851"/>
        <w:rPr>
          <w:sz w:val="24"/>
          <w:szCs w:val="24"/>
        </w:rPr>
      </w:pPr>
      <w:r w:rsidRPr="00B04010">
        <w:rPr>
          <w:sz w:val="24"/>
          <w:szCs w:val="24"/>
        </w:rPr>
        <w:t>Akut toxicitet af østrogen er lav. På grund af den udprægede forskel mellem østrogen i forskellige dyr og mennesker udviser prækliniske resultater en begrænset forudsigelse for østrogenbehandling af mennesker.</w:t>
      </w:r>
    </w:p>
    <w:p w:rsidR="00B04010" w:rsidRPr="00B04010" w:rsidRDefault="00B04010" w:rsidP="00B04010">
      <w:pPr>
        <w:tabs>
          <w:tab w:val="left" w:pos="851"/>
        </w:tabs>
        <w:ind w:left="851"/>
        <w:rPr>
          <w:sz w:val="24"/>
          <w:szCs w:val="24"/>
        </w:rPr>
      </w:pPr>
    </w:p>
    <w:p w:rsidR="00B04010" w:rsidRPr="00B04010" w:rsidRDefault="00B04010" w:rsidP="00B04010">
      <w:pPr>
        <w:tabs>
          <w:tab w:val="left" w:pos="851"/>
        </w:tabs>
        <w:ind w:left="851"/>
        <w:rPr>
          <w:sz w:val="24"/>
          <w:szCs w:val="24"/>
        </w:rPr>
      </w:pPr>
      <w:r w:rsidRPr="00B04010">
        <w:rPr>
          <w:sz w:val="24"/>
          <w:szCs w:val="24"/>
        </w:rPr>
        <w:t>Hos forsøgsdyr viser estradiol og estradiolvalerat en embryologisk effekt allerede ved relativt lave doser, det drejer sig om misdannelser af urogenitiale veje og feminisering af mandlige fostre.</w:t>
      </w:r>
    </w:p>
    <w:p w:rsidR="00B04010" w:rsidRPr="00B04010" w:rsidRDefault="00B04010" w:rsidP="00B04010">
      <w:pPr>
        <w:tabs>
          <w:tab w:val="left" w:pos="851"/>
        </w:tabs>
        <w:ind w:left="851"/>
        <w:rPr>
          <w:sz w:val="24"/>
          <w:szCs w:val="24"/>
        </w:rPr>
      </w:pPr>
    </w:p>
    <w:p w:rsidR="00B04010" w:rsidRPr="00B04010" w:rsidRDefault="00B04010" w:rsidP="00B04010">
      <w:pPr>
        <w:tabs>
          <w:tab w:val="left" w:pos="851"/>
        </w:tabs>
        <w:ind w:left="851"/>
        <w:rPr>
          <w:sz w:val="24"/>
          <w:szCs w:val="24"/>
        </w:rPr>
      </w:pPr>
      <w:r w:rsidRPr="00B04010">
        <w:rPr>
          <w:sz w:val="24"/>
          <w:szCs w:val="24"/>
        </w:rPr>
        <w:lastRenderedPageBreak/>
        <w:t>Prækliniske data baseret på konventionelle studier af toxicitet, genotoxicitet og carcinogenitet viser ingen specielle humane risici ud over dem, der er diskuteret i andre dele af dette produktresumé.</w:t>
      </w:r>
    </w:p>
    <w:p w:rsidR="00B04010" w:rsidRPr="00B04010" w:rsidRDefault="00B04010" w:rsidP="00B04010">
      <w:pPr>
        <w:tabs>
          <w:tab w:val="left" w:pos="851"/>
        </w:tabs>
        <w:ind w:left="851"/>
        <w:rPr>
          <w:sz w:val="24"/>
          <w:szCs w:val="24"/>
        </w:rPr>
      </w:pPr>
    </w:p>
    <w:p w:rsidR="00B04010" w:rsidRPr="00B04010" w:rsidRDefault="00B04010" w:rsidP="00B04010">
      <w:pPr>
        <w:tabs>
          <w:tab w:val="left" w:pos="851"/>
        </w:tabs>
        <w:ind w:left="851"/>
        <w:rPr>
          <w:sz w:val="24"/>
          <w:szCs w:val="24"/>
        </w:rPr>
      </w:pPr>
      <w:r w:rsidRPr="00B04010">
        <w:rPr>
          <w:sz w:val="24"/>
          <w:szCs w:val="24"/>
        </w:rPr>
        <w:t>Miljørisikovurderingsundersøgelser har vist, at estradiol kan udgøre en risiko for vandmiljøet (se pkt. 6.6).</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B04010" w:rsidRDefault="00B04010" w:rsidP="00B04010">
      <w:pPr>
        <w:tabs>
          <w:tab w:val="left" w:pos="851"/>
        </w:tabs>
        <w:ind w:left="851"/>
        <w:rPr>
          <w:sz w:val="24"/>
          <w:szCs w:val="24"/>
        </w:rPr>
      </w:pPr>
    </w:p>
    <w:p w:rsidR="00B04010" w:rsidRPr="00B04010" w:rsidRDefault="00B04010" w:rsidP="00B04010">
      <w:pPr>
        <w:tabs>
          <w:tab w:val="left" w:pos="851"/>
        </w:tabs>
        <w:ind w:left="851"/>
        <w:rPr>
          <w:sz w:val="24"/>
          <w:szCs w:val="24"/>
          <w:u w:val="single"/>
        </w:rPr>
      </w:pPr>
      <w:r w:rsidRPr="00B04010">
        <w:rPr>
          <w:sz w:val="24"/>
          <w:szCs w:val="24"/>
          <w:u w:val="single"/>
        </w:rPr>
        <w:t>Tabletkerne</w:t>
      </w:r>
    </w:p>
    <w:p w:rsidR="00B04010" w:rsidRPr="00B04010" w:rsidRDefault="00B04010" w:rsidP="00B04010">
      <w:pPr>
        <w:tabs>
          <w:tab w:val="left" w:pos="851"/>
        </w:tabs>
        <w:ind w:left="851"/>
        <w:rPr>
          <w:sz w:val="24"/>
          <w:szCs w:val="24"/>
        </w:rPr>
      </w:pPr>
      <w:r w:rsidRPr="00B04010">
        <w:rPr>
          <w:sz w:val="24"/>
          <w:szCs w:val="24"/>
        </w:rPr>
        <w:t>Lactosemonohydrat</w:t>
      </w:r>
    </w:p>
    <w:p w:rsidR="00B04010" w:rsidRPr="00B04010" w:rsidRDefault="00B04010" w:rsidP="00B04010">
      <w:pPr>
        <w:tabs>
          <w:tab w:val="left" w:pos="851"/>
        </w:tabs>
        <w:ind w:left="851"/>
        <w:rPr>
          <w:sz w:val="24"/>
          <w:szCs w:val="24"/>
        </w:rPr>
      </w:pPr>
      <w:r w:rsidRPr="00B04010">
        <w:rPr>
          <w:sz w:val="24"/>
          <w:szCs w:val="24"/>
        </w:rPr>
        <w:t xml:space="preserve">Majsstivelse </w:t>
      </w:r>
    </w:p>
    <w:p w:rsidR="00B04010" w:rsidRPr="00B04010" w:rsidRDefault="00B04010" w:rsidP="00B04010">
      <w:pPr>
        <w:tabs>
          <w:tab w:val="left" w:pos="851"/>
        </w:tabs>
        <w:ind w:left="851"/>
        <w:rPr>
          <w:sz w:val="24"/>
          <w:szCs w:val="24"/>
        </w:rPr>
      </w:pPr>
      <w:r w:rsidRPr="00B04010">
        <w:rPr>
          <w:sz w:val="24"/>
          <w:szCs w:val="24"/>
        </w:rPr>
        <w:t>Hypromellose</w:t>
      </w:r>
    </w:p>
    <w:p w:rsidR="00B04010" w:rsidRPr="00B04010" w:rsidRDefault="00B04010" w:rsidP="00B04010">
      <w:pPr>
        <w:tabs>
          <w:tab w:val="left" w:pos="851"/>
        </w:tabs>
        <w:ind w:left="851"/>
        <w:rPr>
          <w:sz w:val="24"/>
          <w:szCs w:val="24"/>
        </w:rPr>
      </w:pPr>
      <w:r w:rsidRPr="00B04010">
        <w:rPr>
          <w:sz w:val="24"/>
          <w:szCs w:val="24"/>
        </w:rPr>
        <w:t xml:space="preserve">Magnesiumstearat </w:t>
      </w:r>
    </w:p>
    <w:p w:rsidR="00B04010" w:rsidRPr="00B04010" w:rsidRDefault="00B04010" w:rsidP="00B04010">
      <w:pPr>
        <w:tabs>
          <w:tab w:val="left" w:pos="851"/>
        </w:tabs>
        <w:ind w:left="851"/>
        <w:rPr>
          <w:sz w:val="24"/>
          <w:szCs w:val="24"/>
        </w:rPr>
      </w:pPr>
    </w:p>
    <w:p w:rsidR="00B04010" w:rsidRPr="00B04010" w:rsidRDefault="00B04010" w:rsidP="00B04010">
      <w:pPr>
        <w:tabs>
          <w:tab w:val="left" w:pos="851"/>
        </w:tabs>
        <w:ind w:left="851"/>
        <w:rPr>
          <w:sz w:val="24"/>
          <w:szCs w:val="24"/>
          <w:u w:val="single"/>
        </w:rPr>
      </w:pPr>
      <w:r w:rsidRPr="00B04010">
        <w:rPr>
          <w:sz w:val="24"/>
          <w:szCs w:val="24"/>
          <w:u w:val="single"/>
        </w:rPr>
        <w:t>Filmovertræk</w:t>
      </w:r>
    </w:p>
    <w:p w:rsidR="00B04010" w:rsidRPr="00B04010" w:rsidRDefault="00B04010" w:rsidP="00B04010">
      <w:pPr>
        <w:tabs>
          <w:tab w:val="left" w:pos="851"/>
        </w:tabs>
        <w:ind w:left="851"/>
        <w:rPr>
          <w:sz w:val="24"/>
          <w:szCs w:val="24"/>
        </w:rPr>
      </w:pPr>
      <w:r w:rsidRPr="00B04010">
        <w:rPr>
          <w:sz w:val="24"/>
          <w:szCs w:val="24"/>
        </w:rPr>
        <w:t>Polyvinylalkohol (E1203)</w:t>
      </w:r>
    </w:p>
    <w:p w:rsidR="00B04010" w:rsidRPr="00A0613C" w:rsidRDefault="00B04010" w:rsidP="00B04010">
      <w:pPr>
        <w:tabs>
          <w:tab w:val="left" w:pos="851"/>
        </w:tabs>
        <w:ind w:left="851"/>
        <w:rPr>
          <w:sz w:val="24"/>
          <w:szCs w:val="24"/>
          <w:lang w:val="en-US"/>
        </w:rPr>
      </w:pPr>
      <w:r w:rsidRPr="00A0613C">
        <w:rPr>
          <w:sz w:val="24"/>
          <w:szCs w:val="24"/>
          <w:lang w:val="en-US"/>
        </w:rPr>
        <w:t>Macrogol 4000 (E1521)</w:t>
      </w:r>
    </w:p>
    <w:p w:rsidR="00B04010" w:rsidRPr="00A0613C" w:rsidRDefault="00B04010" w:rsidP="00B04010">
      <w:pPr>
        <w:tabs>
          <w:tab w:val="left" w:pos="851"/>
        </w:tabs>
        <w:ind w:left="851"/>
        <w:rPr>
          <w:sz w:val="24"/>
          <w:szCs w:val="24"/>
          <w:lang w:val="en-US"/>
        </w:rPr>
      </w:pPr>
      <w:r w:rsidRPr="00A0613C">
        <w:rPr>
          <w:sz w:val="24"/>
          <w:szCs w:val="24"/>
          <w:lang w:val="en-US"/>
        </w:rPr>
        <w:t>Titandioxid (E171)</w:t>
      </w:r>
    </w:p>
    <w:p w:rsidR="00B04010" w:rsidRPr="00A0613C" w:rsidRDefault="00B04010" w:rsidP="00B04010">
      <w:pPr>
        <w:tabs>
          <w:tab w:val="left" w:pos="851"/>
        </w:tabs>
        <w:ind w:left="851"/>
        <w:rPr>
          <w:sz w:val="24"/>
          <w:szCs w:val="24"/>
          <w:lang w:val="en-US"/>
        </w:rPr>
      </w:pPr>
      <w:r w:rsidRPr="00A0613C">
        <w:rPr>
          <w:sz w:val="24"/>
          <w:szCs w:val="24"/>
          <w:lang w:val="en-US"/>
        </w:rPr>
        <w:t>Talcum (E553b)</w:t>
      </w:r>
    </w:p>
    <w:p w:rsidR="00B04010" w:rsidRPr="00B04010" w:rsidRDefault="00B04010" w:rsidP="00B04010">
      <w:pPr>
        <w:tabs>
          <w:tab w:val="left" w:pos="851"/>
        </w:tabs>
        <w:ind w:left="851"/>
        <w:rPr>
          <w:sz w:val="24"/>
          <w:szCs w:val="24"/>
        </w:rPr>
      </w:pPr>
      <w:r w:rsidRPr="00B04010">
        <w:rPr>
          <w:sz w:val="24"/>
          <w:szCs w:val="24"/>
        </w:rPr>
        <w:t>Indigotin (blå) (E132)</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B04010" w:rsidRPr="00B04010" w:rsidRDefault="00B04010" w:rsidP="00B04010">
      <w:pPr>
        <w:tabs>
          <w:tab w:val="left" w:pos="851"/>
        </w:tabs>
        <w:ind w:left="851"/>
        <w:rPr>
          <w:sz w:val="24"/>
          <w:szCs w:val="24"/>
        </w:rPr>
      </w:pPr>
      <w:r w:rsidRPr="00B04010">
        <w:rPr>
          <w:sz w:val="24"/>
          <w:szCs w:val="24"/>
        </w:rPr>
        <w:t>Ikke relevant.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B04010" w:rsidRPr="00B04010" w:rsidRDefault="00B04010" w:rsidP="00B04010">
      <w:pPr>
        <w:tabs>
          <w:tab w:val="left" w:pos="851"/>
        </w:tabs>
        <w:ind w:left="851"/>
        <w:rPr>
          <w:sz w:val="24"/>
          <w:szCs w:val="24"/>
        </w:rPr>
      </w:pPr>
      <w:r w:rsidRPr="00B04010">
        <w:rPr>
          <w:sz w:val="24"/>
          <w:szCs w:val="24"/>
        </w:rPr>
        <w:t>2 år.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B04010" w:rsidRPr="00B04010" w:rsidRDefault="00B04010" w:rsidP="00B04010">
      <w:pPr>
        <w:tabs>
          <w:tab w:val="left" w:pos="851"/>
        </w:tabs>
        <w:ind w:left="851"/>
        <w:rPr>
          <w:sz w:val="24"/>
          <w:szCs w:val="24"/>
        </w:rPr>
      </w:pPr>
      <w:r w:rsidRPr="00B04010">
        <w:rPr>
          <w:sz w:val="24"/>
          <w:szCs w:val="24"/>
        </w:rPr>
        <w:t>Dette lægemiddel kræver ingen særlige forholdsregler vedrørende opbevaringen.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B04010" w:rsidRDefault="00B04010" w:rsidP="00B04010">
      <w:pPr>
        <w:tabs>
          <w:tab w:val="left" w:pos="851"/>
        </w:tabs>
        <w:ind w:left="851"/>
        <w:rPr>
          <w:sz w:val="24"/>
          <w:szCs w:val="24"/>
        </w:rPr>
      </w:pPr>
      <w:r>
        <w:rPr>
          <w:sz w:val="24"/>
          <w:szCs w:val="24"/>
        </w:rPr>
        <w:t>Blisterpakning bestående af polyvinylchlorid (PVC) belagt med polyvinylidenchlorid (PVDC) blisterpakning varmeforseglet med aluminium (Alu) folie.</w:t>
      </w:r>
    </w:p>
    <w:p w:rsidR="000922E5" w:rsidRDefault="000922E5" w:rsidP="00B04010">
      <w:pPr>
        <w:tabs>
          <w:tab w:val="left" w:pos="851"/>
        </w:tabs>
        <w:ind w:left="851"/>
        <w:rPr>
          <w:sz w:val="24"/>
          <w:szCs w:val="24"/>
        </w:rPr>
      </w:pPr>
    </w:p>
    <w:p w:rsidR="000922E5" w:rsidRPr="000922E5" w:rsidRDefault="000922E5" w:rsidP="000922E5">
      <w:pPr>
        <w:tabs>
          <w:tab w:val="left" w:pos="851"/>
        </w:tabs>
        <w:ind w:left="851"/>
        <w:rPr>
          <w:sz w:val="24"/>
          <w:szCs w:val="24"/>
        </w:rPr>
      </w:pPr>
      <w:r>
        <w:rPr>
          <w:sz w:val="24"/>
          <w:szCs w:val="24"/>
        </w:rPr>
        <w:t>P</w:t>
      </w:r>
      <w:r w:rsidRPr="000922E5">
        <w:rPr>
          <w:sz w:val="24"/>
          <w:szCs w:val="24"/>
        </w:rPr>
        <w:t>akningsstørrelser: 28 og 3</w:t>
      </w:r>
      <w:r>
        <w:rPr>
          <w:sz w:val="24"/>
          <w:szCs w:val="24"/>
        </w:rPr>
        <w:t>×</w:t>
      </w:r>
      <w:r w:rsidRPr="000922E5">
        <w:rPr>
          <w:sz w:val="24"/>
          <w:szCs w:val="24"/>
        </w:rPr>
        <w:t>28 filmovertrukne tabletter.</w:t>
      </w:r>
    </w:p>
    <w:p w:rsidR="000922E5" w:rsidRPr="000922E5" w:rsidRDefault="000922E5" w:rsidP="000922E5">
      <w:pPr>
        <w:tabs>
          <w:tab w:val="left" w:pos="851"/>
        </w:tabs>
        <w:ind w:left="851"/>
        <w:rPr>
          <w:sz w:val="24"/>
          <w:szCs w:val="24"/>
        </w:rPr>
      </w:pPr>
    </w:p>
    <w:p w:rsidR="000922E5" w:rsidRPr="000922E5" w:rsidRDefault="000922E5" w:rsidP="000922E5">
      <w:pPr>
        <w:tabs>
          <w:tab w:val="left" w:pos="851"/>
        </w:tabs>
        <w:ind w:left="851"/>
        <w:rPr>
          <w:sz w:val="24"/>
          <w:szCs w:val="24"/>
        </w:rPr>
      </w:pPr>
      <w:r w:rsidRPr="000922E5">
        <w:rPr>
          <w:sz w:val="24"/>
          <w:szCs w:val="24"/>
        </w:rPr>
        <w:t>Ikke alle pakningsstørrelser er nødvendigvis markedsført.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rsidR="000922E5" w:rsidRDefault="000922E5" w:rsidP="000922E5">
      <w:pPr>
        <w:tabs>
          <w:tab w:val="left" w:pos="851"/>
        </w:tabs>
        <w:ind w:left="851"/>
        <w:rPr>
          <w:sz w:val="24"/>
          <w:szCs w:val="24"/>
        </w:rPr>
      </w:pPr>
      <w:r w:rsidRPr="000922E5">
        <w:rPr>
          <w:sz w:val="24"/>
          <w:szCs w:val="24"/>
        </w:rPr>
        <w:t>Dette lægemiddel kan udgøre en risiko for miljøet (se pkt. 5.3).</w:t>
      </w:r>
    </w:p>
    <w:p w:rsidR="000922E5" w:rsidRDefault="000922E5" w:rsidP="000922E5">
      <w:pPr>
        <w:tabs>
          <w:tab w:val="left" w:pos="851"/>
        </w:tabs>
        <w:ind w:left="851"/>
        <w:rPr>
          <w:sz w:val="24"/>
          <w:szCs w:val="24"/>
        </w:rPr>
      </w:pPr>
    </w:p>
    <w:p w:rsidR="000922E5" w:rsidRPr="000922E5" w:rsidRDefault="000922E5" w:rsidP="000922E5">
      <w:pPr>
        <w:tabs>
          <w:tab w:val="left" w:pos="851"/>
        </w:tabs>
        <w:ind w:left="851"/>
        <w:rPr>
          <w:sz w:val="24"/>
          <w:szCs w:val="24"/>
        </w:rPr>
      </w:pPr>
      <w:r w:rsidRPr="000922E5">
        <w:rPr>
          <w:sz w:val="24"/>
          <w:szCs w:val="24"/>
        </w:rPr>
        <w:t>Ikke anvendt lægemiddel samt affald heraf skal bortskaffes i henhold til lokale retningslinjer.</w:t>
      </w:r>
    </w:p>
    <w:p w:rsidR="000922E5" w:rsidRDefault="000922E5">
      <w:pPr>
        <w:rPr>
          <w:sz w:val="24"/>
          <w:szCs w:val="24"/>
        </w:rPr>
      </w:pPr>
      <w:r>
        <w:rPr>
          <w:sz w:val="24"/>
          <w:szCs w:val="24"/>
        </w:rPr>
        <w:br w:type="page"/>
      </w:r>
    </w:p>
    <w:p w:rsidR="000922E5" w:rsidRPr="000922E5" w:rsidRDefault="000922E5" w:rsidP="000922E5">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906275" w:rsidRPr="00906275" w:rsidRDefault="00906275" w:rsidP="00906275">
      <w:pPr>
        <w:tabs>
          <w:tab w:val="left" w:pos="851"/>
        </w:tabs>
        <w:ind w:left="851"/>
        <w:rPr>
          <w:sz w:val="24"/>
          <w:szCs w:val="24"/>
        </w:rPr>
      </w:pPr>
      <w:r w:rsidRPr="00906275">
        <w:rPr>
          <w:sz w:val="24"/>
          <w:szCs w:val="24"/>
        </w:rPr>
        <w:t>Besins Healthcare Ireland Limited</w:t>
      </w:r>
    </w:p>
    <w:p w:rsidR="00906275" w:rsidRDefault="00906275" w:rsidP="00906275">
      <w:pPr>
        <w:tabs>
          <w:tab w:val="left" w:pos="851"/>
        </w:tabs>
        <w:ind w:left="851"/>
        <w:rPr>
          <w:sz w:val="24"/>
          <w:szCs w:val="24"/>
          <w:lang w:val="en-GB"/>
        </w:rPr>
      </w:pPr>
      <w:r>
        <w:rPr>
          <w:sz w:val="24"/>
          <w:szCs w:val="24"/>
          <w:lang w:val="en-GB"/>
        </w:rPr>
        <w:t>16 Pembroke Street Upper</w:t>
      </w:r>
    </w:p>
    <w:p w:rsidR="00906275" w:rsidRPr="00906275" w:rsidRDefault="00906275" w:rsidP="00906275">
      <w:pPr>
        <w:tabs>
          <w:tab w:val="left" w:pos="851"/>
        </w:tabs>
        <w:ind w:left="851"/>
        <w:rPr>
          <w:sz w:val="24"/>
          <w:szCs w:val="24"/>
          <w:lang w:val="en-US"/>
        </w:rPr>
      </w:pPr>
      <w:r w:rsidRPr="00906275">
        <w:rPr>
          <w:sz w:val="24"/>
          <w:szCs w:val="24"/>
          <w:lang w:val="en-US"/>
        </w:rPr>
        <w:t>D02 HE63 Dublin 2</w:t>
      </w:r>
    </w:p>
    <w:p w:rsidR="00906275" w:rsidRDefault="00906275" w:rsidP="00906275">
      <w:pPr>
        <w:tabs>
          <w:tab w:val="left" w:pos="851"/>
        </w:tabs>
        <w:ind w:left="851"/>
        <w:rPr>
          <w:sz w:val="24"/>
          <w:szCs w:val="24"/>
        </w:rPr>
      </w:pPr>
      <w:r>
        <w:rPr>
          <w:sz w:val="24"/>
          <w:szCs w:val="24"/>
        </w:rPr>
        <w:t>Irland</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rsidR="009260DE" w:rsidRPr="00C84483" w:rsidRDefault="00906275" w:rsidP="009260DE">
      <w:pPr>
        <w:tabs>
          <w:tab w:val="left" w:pos="851"/>
        </w:tabs>
        <w:ind w:left="851"/>
        <w:rPr>
          <w:sz w:val="24"/>
          <w:szCs w:val="24"/>
        </w:rPr>
      </w:pPr>
      <w:r>
        <w:rPr>
          <w:sz w:val="24"/>
          <w:szCs w:val="24"/>
        </w:rPr>
        <w:t>70652</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A0613C" w:rsidP="009260DE">
      <w:pPr>
        <w:tabs>
          <w:tab w:val="left" w:pos="851"/>
        </w:tabs>
        <w:ind w:left="851"/>
        <w:rPr>
          <w:sz w:val="24"/>
          <w:szCs w:val="24"/>
        </w:rPr>
      </w:pPr>
      <w:r>
        <w:rPr>
          <w:sz w:val="24"/>
          <w:szCs w:val="24"/>
        </w:rPr>
        <w:t>7. februar 2025</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DA1655" w:rsidP="009260DE">
      <w:pPr>
        <w:tabs>
          <w:tab w:val="left" w:pos="851"/>
        </w:tabs>
        <w:ind w:left="851"/>
        <w:rPr>
          <w:sz w:val="24"/>
          <w:szCs w:val="24"/>
        </w:rPr>
      </w:pPr>
      <w:r>
        <w:rPr>
          <w:sz w:val="24"/>
          <w:szCs w:val="24"/>
        </w:rPr>
        <w:t>-</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6275" w:rsidRDefault="00906275">
      <w:r>
        <w:separator/>
      </w:r>
    </w:p>
  </w:endnote>
  <w:endnote w:type="continuationSeparator" w:id="0">
    <w:p w:rsidR="00906275" w:rsidRDefault="00906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DA1655">
      <w:rPr>
        <w:i/>
        <w:noProof/>
        <w:sz w:val="18"/>
        <w:szCs w:val="18"/>
      </w:rPr>
      <w:t>Oestablet, filmovertrukne tabletter 2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6275" w:rsidRDefault="00906275">
      <w:r>
        <w:separator/>
      </w:r>
    </w:p>
  </w:footnote>
  <w:footnote w:type="continuationSeparator" w:id="0">
    <w:p w:rsidR="00906275" w:rsidRDefault="009062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6367A"/>
    <w:multiLevelType w:val="hybridMultilevel"/>
    <w:tmpl w:val="2DEE6BDC"/>
    <w:lvl w:ilvl="0" w:tplc="E28EF6D0">
      <w:start w:val="1"/>
      <w:numFmt w:val="bullet"/>
      <w:lvlText w:val="-"/>
      <w:lvlJc w:val="left"/>
      <w:pPr>
        <w:ind w:left="567" w:hanging="567"/>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56C22AA"/>
    <w:multiLevelType w:val="hybridMultilevel"/>
    <w:tmpl w:val="F5E0219E"/>
    <w:lvl w:ilvl="0" w:tplc="E28EF6D0">
      <w:start w:val="1"/>
      <w:numFmt w:val="bullet"/>
      <w:lvlText w:val="-"/>
      <w:lvlJc w:val="left"/>
      <w:pPr>
        <w:ind w:left="567" w:hanging="567"/>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2C600F80"/>
    <w:multiLevelType w:val="hybridMultilevel"/>
    <w:tmpl w:val="D724211C"/>
    <w:lvl w:ilvl="0" w:tplc="E28EF6D0">
      <w:start w:val="1"/>
      <w:numFmt w:val="bullet"/>
      <w:lvlText w:val="-"/>
      <w:lvlJc w:val="left"/>
      <w:pPr>
        <w:ind w:left="567" w:hanging="567"/>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9D71456"/>
    <w:multiLevelType w:val="hybridMultilevel"/>
    <w:tmpl w:val="C86432EE"/>
    <w:lvl w:ilvl="0" w:tplc="E28EF6D0">
      <w:start w:val="1"/>
      <w:numFmt w:val="bullet"/>
      <w:lvlText w:val="-"/>
      <w:lvlJc w:val="left"/>
      <w:pPr>
        <w:ind w:left="567" w:hanging="567"/>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56E9625A"/>
    <w:multiLevelType w:val="hybridMultilevel"/>
    <w:tmpl w:val="A40C0CF6"/>
    <w:lvl w:ilvl="0" w:tplc="816EC822">
      <w:start w:val="1"/>
      <w:numFmt w:val="bullet"/>
      <w:lvlText w:val="-"/>
      <w:lvlJc w:val="left"/>
      <w:pPr>
        <w:ind w:left="567" w:hanging="567"/>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3"/>
  </w:num>
  <w:num w:numId="8">
    <w:abstractNumId w:val="7"/>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275"/>
    <w:rsid w:val="000259B9"/>
    <w:rsid w:val="00041491"/>
    <w:rsid w:val="00050D16"/>
    <w:rsid w:val="000730CA"/>
    <w:rsid w:val="00074F2A"/>
    <w:rsid w:val="000922E5"/>
    <w:rsid w:val="000A1CA8"/>
    <w:rsid w:val="000A466B"/>
    <w:rsid w:val="000B058C"/>
    <w:rsid w:val="000D68B0"/>
    <w:rsid w:val="000E4EE6"/>
    <w:rsid w:val="001454E2"/>
    <w:rsid w:val="00204D3A"/>
    <w:rsid w:val="00206CE8"/>
    <w:rsid w:val="0021526C"/>
    <w:rsid w:val="00273BA4"/>
    <w:rsid w:val="00283A2B"/>
    <w:rsid w:val="002B30AD"/>
    <w:rsid w:val="002C1EC0"/>
    <w:rsid w:val="002C2C01"/>
    <w:rsid w:val="002D29AD"/>
    <w:rsid w:val="003A29AE"/>
    <w:rsid w:val="003A32D7"/>
    <w:rsid w:val="003B4074"/>
    <w:rsid w:val="003C769A"/>
    <w:rsid w:val="003D3A90"/>
    <w:rsid w:val="003F1838"/>
    <w:rsid w:val="004121D5"/>
    <w:rsid w:val="004251C1"/>
    <w:rsid w:val="0045746C"/>
    <w:rsid w:val="0049104B"/>
    <w:rsid w:val="004E3B12"/>
    <w:rsid w:val="00532310"/>
    <w:rsid w:val="00565F0F"/>
    <w:rsid w:val="00594A86"/>
    <w:rsid w:val="00596D86"/>
    <w:rsid w:val="00637F5A"/>
    <w:rsid w:val="00641C65"/>
    <w:rsid w:val="006560B1"/>
    <w:rsid w:val="006756DD"/>
    <w:rsid w:val="006E25FF"/>
    <w:rsid w:val="0071241E"/>
    <w:rsid w:val="00737275"/>
    <w:rsid w:val="00740EEC"/>
    <w:rsid w:val="0078011A"/>
    <w:rsid w:val="00782AF4"/>
    <w:rsid w:val="00790EE7"/>
    <w:rsid w:val="007B6649"/>
    <w:rsid w:val="0082576E"/>
    <w:rsid w:val="0089346F"/>
    <w:rsid w:val="00906275"/>
    <w:rsid w:val="00907F75"/>
    <w:rsid w:val="009260DE"/>
    <w:rsid w:val="0093258A"/>
    <w:rsid w:val="009C7BA3"/>
    <w:rsid w:val="009D1F5A"/>
    <w:rsid w:val="00A0613C"/>
    <w:rsid w:val="00A10294"/>
    <w:rsid w:val="00AF4918"/>
    <w:rsid w:val="00B003BF"/>
    <w:rsid w:val="00B04010"/>
    <w:rsid w:val="00B373D7"/>
    <w:rsid w:val="00B55271"/>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93992"/>
    <w:rsid w:val="00DA1655"/>
    <w:rsid w:val="00E108AA"/>
    <w:rsid w:val="00E26D2E"/>
    <w:rsid w:val="00E3749A"/>
    <w:rsid w:val="00E7437F"/>
    <w:rsid w:val="00E865B8"/>
    <w:rsid w:val="00EC0B9B"/>
    <w:rsid w:val="00EC3AFC"/>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7AB2DD"/>
  <w15:chartTrackingRefBased/>
  <w15:docId w15:val="{5A7E9F8E-7E08-4C3E-9EDA-179A40861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6E25FF"/>
    <w:pPr>
      <w:ind w:left="720"/>
      <w:contextualSpacing/>
    </w:pPr>
    <w:rPr>
      <w:sz w:val="22"/>
    </w:rPr>
  </w:style>
  <w:style w:type="table" w:styleId="Tabel-Gitter">
    <w:name w:val="Table Grid"/>
    <w:basedOn w:val="Tabel-Normal"/>
    <w:rsid w:val="006E25FF"/>
    <w:rPr>
      <w:rFonts w:eastAsia="SimSu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82930">
      <w:bodyDiv w:val="1"/>
      <w:marLeft w:val="0"/>
      <w:marRight w:val="0"/>
      <w:marTop w:val="0"/>
      <w:marBottom w:val="0"/>
      <w:divBdr>
        <w:top w:val="none" w:sz="0" w:space="0" w:color="auto"/>
        <w:left w:val="none" w:sz="0" w:space="0" w:color="auto"/>
        <w:bottom w:val="none" w:sz="0" w:space="0" w:color="auto"/>
        <w:right w:val="none" w:sz="0" w:space="0" w:color="auto"/>
      </w:divBdr>
    </w:div>
    <w:div w:id="51656424">
      <w:bodyDiv w:val="1"/>
      <w:marLeft w:val="0"/>
      <w:marRight w:val="0"/>
      <w:marTop w:val="0"/>
      <w:marBottom w:val="0"/>
      <w:divBdr>
        <w:top w:val="none" w:sz="0" w:space="0" w:color="auto"/>
        <w:left w:val="none" w:sz="0" w:space="0" w:color="auto"/>
        <w:bottom w:val="none" w:sz="0" w:space="0" w:color="auto"/>
        <w:right w:val="none" w:sz="0" w:space="0" w:color="auto"/>
      </w:divBdr>
    </w:div>
    <w:div w:id="57024866">
      <w:bodyDiv w:val="1"/>
      <w:marLeft w:val="0"/>
      <w:marRight w:val="0"/>
      <w:marTop w:val="0"/>
      <w:marBottom w:val="0"/>
      <w:divBdr>
        <w:top w:val="none" w:sz="0" w:space="0" w:color="auto"/>
        <w:left w:val="none" w:sz="0" w:space="0" w:color="auto"/>
        <w:bottom w:val="none" w:sz="0" w:space="0" w:color="auto"/>
        <w:right w:val="none" w:sz="0" w:space="0" w:color="auto"/>
      </w:divBdr>
    </w:div>
    <w:div w:id="82730599">
      <w:bodyDiv w:val="1"/>
      <w:marLeft w:val="0"/>
      <w:marRight w:val="0"/>
      <w:marTop w:val="0"/>
      <w:marBottom w:val="0"/>
      <w:divBdr>
        <w:top w:val="none" w:sz="0" w:space="0" w:color="auto"/>
        <w:left w:val="none" w:sz="0" w:space="0" w:color="auto"/>
        <w:bottom w:val="none" w:sz="0" w:space="0" w:color="auto"/>
        <w:right w:val="none" w:sz="0" w:space="0" w:color="auto"/>
      </w:divBdr>
    </w:div>
    <w:div w:id="89547622">
      <w:bodyDiv w:val="1"/>
      <w:marLeft w:val="0"/>
      <w:marRight w:val="0"/>
      <w:marTop w:val="0"/>
      <w:marBottom w:val="0"/>
      <w:divBdr>
        <w:top w:val="none" w:sz="0" w:space="0" w:color="auto"/>
        <w:left w:val="none" w:sz="0" w:space="0" w:color="auto"/>
        <w:bottom w:val="none" w:sz="0" w:space="0" w:color="auto"/>
        <w:right w:val="none" w:sz="0" w:space="0" w:color="auto"/>
      </w:divBdr>
    </w:div>
    <w:div w:id="131480507">
      <w:bodyDiv w:val="1"/>
      <w:marLeft w:val="0"/>
      <w:marRight w:val="0"/>
      <w:marTop w:val="0"/>
      <w:marBottom w:val="0"/>
      <w:divBdr>
        <w:top w:val="none" w:sz="0" w:space="0" w:color="auto"/>
        <w:left w:val="none" w:sz="0" w:space="0" w:color="auto"/>
        <w:bottom w:val="none" w:sz="0" w:space="0" w:color="auto"/>
        <w:right w:val="none" w:sz="0" w:space="0" w:color="auto"/>
      </w:divBdr>
    </w:div>
    <w:div w:id="135799802">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7935676">
      <w:bodyDiv w:val="1"/>
      <w:marLeft w:val="0"/>
      <w:marRight w:val="0"/>
      <w:marTop w:val="0"/>
      <w:marBottom w:val="0"/>
      <w:divBdr>
        <w:top w:val="none" w:sz="0" w:space="0" w:color="auto"/>
        <w:left w:val="none" w:sz="0" w:space="0" w:color="auto"/>
        <w:bottom w:val="none" w:sz="0" w:space="0" w:color="auto"/>
        <w:right w:val="none" w:sz="0" w:space="0" w:color="auto"/>
      </w:divBdr>
    </w:div>
    <w:div w:id="214782285">
      <w:bodyDiv w:val="1"/>
      <w:marLeft w:val="0"/>
      <w:marRight w:val="0"/>
      <w:marTop w:val="0"/>
      <w:marBottom w:val="0"/>
      <w:divBdr>
        <w:top w:val="none" w:sz="0" w:space="0" w:color="auto"/>
        <w:left w:val="none" w:sz="0" w:space="0" w:color="auto"/>
        <w:bottom w:val="none" w:sz="0" w:space="0" w:color="auto"/>
        <w:right w:val="none" w:sz="0" w:space="0" w:color="auto"/>
      </w:divBdr>
    </w:div>
    <w:div w:id="221602838">
      <w:bodyDiv w:val="1"/>
      <w:marLeft w:val="0"/>
      <w:marRight w:val="0"/>
      <w:marTop w:val="0"/>
      <w:marBottom w:val="0"/>
      <w:divBdr>
        <w:top w:val="none" w:sz="0" w:space="0" w:color="auto"/>
        <w:left w:val="none" w:sz="0" w:space="0" w:color="auto"/>
        <w:bottom w:val="none" w:sz="0" w:space="0" w:color="auto"/>
        <w:right w:val="none" w:sz="0" w:space="0" w:color="auto"/>
      </w:divBdr>
    </w:div>
    <w:div w:id="244340815">
      <w:bodyDiv w:val="1"/>
      <w:marLeft w:val="0"/>
      <w:marRight w:val="0"/>
      <w:marTop w:val="0"/>
      <w:marBottom w:val="0"/>
      <w:divBdr>
        <w:top w:val="none" w:sz="0" w:space="0" w:color="auto"/>
        <w:left w:val="none" w:sz="0" w:space="0" w:color="auto"/>
        <w:bottom w:val="none" w:sz="0" w:space="0" w:color="auto"/>
        <w:right w:val="none" w:sz="0" w:space="0" w:color="auto"/>
      </w:divBdr>
    </w:div>
    <w:div w:id="343944645">
      <w:bodyDiv w:val="1"/>
      <w:marLeft w:val="0"/>
      <w:marRight w:val="0"/>
      <w:marTop w:val="0"/>
      <w:marBottom w:val="0"/>
      <w:divBdr>
        <w:top w:val="none" w:sz="0" w:space="0" w:color="auto"/>
        <w:left w:val="none" w:sz="0" w:space="0" w:color="auto"/>
        <w:bottom w:val="none" w:sz="0" w:space="0" w:color="auto"/>
        <w:right w:val="none" w:sz="0" w:space="0" w:color="auto"/>
      </w:divBdr>
    </w:div>
    <w:div w:id="534002190">
      <w:bodyDiv w:val="1"/>
      <w:marLeft w:val="0"/>
      <w:marRight w:val="0"/>
      <w:marTop w:val="0"/>
      <w:marBottom w:val="0"/>
      <w:divBdr>
        <w:top w:val="none" w:sz="0" w:space="0" w:color="auto"/>
        <w:left w:val="none" w:sz="0" w:space="0" w:color="auto"/>
        <w:bottom w:val="none" w:sz="0" w:space="0" w:color="auto"/>
        <w:right w:val="none" w:sz="0" w:space="0" w:color="auto"/>
      </w:divBdr>
    </w:div>
    <w:div w:id="595097187">
      <w:bodyDiv w:val="1"/>
      <w:marLeft w:val="0"/>
      <w:marRight w:val="0"/>
      <w:marTop w:val="0"/>
      <w:marBottom w:val="0"/>
      <w:divBdr>
        <w:top w:val="none" w:sz="0" w:space="0" w:color="auto"/>
        <w:left w:val="none" w:sz="0" w:space="0" w:color="auto"/>
        <w:bottom w:val="none" w:sz="0" w:space="0" w:color="auto"/>
        <w:right w:val="none" w:sz="0" w:space="0" w:color="auto"/>
      </w:divBdr>
    </w:div>
    <w:div w:id="653684413">
      <w:bodyDiv w:val="1"/>
      <w:marLeft w:val="0"/>
      <w:marRight w:val="0"/>
      <w:marTop w:val="0"/>
      <w:marBottom w:val="0"/>
      <w:divBdr>
        <w:top w:val="none" w:sz="0" w:space="0" w:color="auto"/>
        <w:left w:val="none" w:sz="0" w:space="0" w:color="auto"/>
        <w:bottom w:val="none" w:sz="0" w:space="0" w:color="auto"/>
        <w:right w:val="none" w:sz="0" w:space="0" w:color="auto"/>
      </w:divBdr>
    </w:div>
    <w:div w:id="784033868">
      <w:bodyDiv w:val="1"/>
      <w:marLeft w:val="0"/>
      <w:marRight w:val="0"/>
      <w:marTop w:val="0"/>
      <w:marBottom w:val="0"/>
      <w:divBdr>
        <w:top w:val="none" w:sz="0" w:space="0" w:color="auto"/>
        <w:left w:val="none" w:sz="0" w:space="0" w:color="auto"/>
        <w:bottom w:val="none" w:sz="0" w:space="0" w:color="auto"/>
        <w:right w:val="none" w:sz="0" w:space="0" w:color="auto"/>
      </w:divBdr>
    </w:div>
    <w:div w:id="816797808">
      <w:bodyDiv w:val="1"/>
      <w:marLeft w:val="0"/>
      <w:marRight w:val="0"/>
      <w:marTop w:val="0"/>
      <w:marBottom w:val="0"/>
      <w:divBdr>
        <w:top w:val="none" w:sz="0" w:space="0" w:color="auto"/>
        <w:left w:val="none" w:sz="0" w:space="0" w:color="auto"/>
        <w:bottom w:val="none" w:sz="0" w:space="0" w:color="auto"/>
        <w:right w:val="none" w:sz="0" w:space="0" w:color="auto"/>
      </w:divBdr>
    </w:div>
    <w:div w:id="818305800">
      <w:bodyDiv w:val="1"/>
      <w:marLeft w:val="0"/>
      <w:marRight w:val="0"/>
      <w:marTop w:val="0"/>
      <w:marBottom w:val="0"/>
      <w:divBdr>
        <w:top w:val="none" w:sz="0" w:space="0" w:color="auto"/>
        <w:left w:val="none" w:sz="0" w:space="0" w:color="auto"/>
        <w:bottom w:val="none" w:sz="0" w:space="0" w:color="auto"/>
        <w:right w:val="none" w:sz="0" w:space="0" w:color="auto"/>
      </w:divBdr>
    </w:div>
    <w:div w:id="894125388">
      <w:bodyDiv w:val="1"/>
      <w:marLeft w:val="0"/>
      <w:marRight w:val="0"/>
      <w:marTop w:val="0"/>
      <w:marBottom w:val="0"/>
      <w:divBdr>
        <w:top w:val="none" w:sz="0" w:space="0" w:color="auto"/>
        <w:left w:val="none" w:sz="0" w:space="0" w:color="auto"/>
        <w:bottom w:val="none" w:sz="0" w:space="0" w:color="auto"/>
        <w:right w:val="none" w:sz="0" w:space="0" w:color="auto"/>
      </w:divBdr>
    </w:div>
    <w:div w:id="995452500">
      <w:bodyDiv w:val="1"/>
      <w:marLeft w:val="0"/>
      <w:marRight w:val="0"/>
      <w:marTop w:val="0"/>
      <w:marBottom w:val="0"/>
      <w:divBdr>
        <w:top w:val="none" w:sz="0" w:space="0" w:color="auto"/>
        <w:left w:val="none" w:sz="0" w:space="0" w:color="auto"/>
        <w:bottom w:val="none" w:sz="0" w:space="0" w:color="auto"/>
        <w:right w:val="none" w:sz="0" w:space="0" w:color="auto"/>
      </w:divBdr>
    </w:div>
    <w:div w:id="1044409082">
      <w:bodyDiv w:val="1"/>
      <w:marLeft w:val="0"/>
      <w:marRight w:val="0"/>
      <w:marTop w:val="0"/>
      <w:marBottom w:val="0"/>
      <w:divBdr>
        <w:top w:val="none" w:sz="0" w:space="0" w:color="auto"/>
        <w:left w:val="none" w:sz="0" w:space="0" w:color="auto"/>
        <w:bottom w:val="none" w:sz="0" w:space="0" w:color="auto"/>
        <w:right w:val="none" w:sz="0" w:space="0" w:color="auto"/>
      </w:divBdr>
    </w:div>
    <w:div w:id="1164248909">
      <w:bodyDiv w:val="1"/>
      <w:marLeft w:val="0"/>
      <w:marRight w:val="0"/>
      <w:marTop w:val="0"/>
      <w:marBottom w:val="0"/>
      <w:divBdr>
        <w:top w:val="none" w:sz="0" w:space="0" w:color="auto"/>
        <w:left w:val="none" w:sz="0" w:space="0" w:color="auto"/>
        <w:bottom w:val="none" w:sz="0" w:space="0" w:color="auto"/>
        <w:right w:val="none" w:sz="0" w:space="0" w:color="auto"/>
      </w:divBdr>
    </w:div>
    <w:div w:id="1241524389">
      <w:bodyDiv w:val="1"/>
      <w:marLeft w:val="0"/>
      <w:marRight w:val="0"/>
      <w:marTop w:val="0"/>
      <w:marBottom w:val="0"/>
      <w:divBdr>
        <w:top w:val="none" w:sz="0" w:space="0" w:color="auto"/>
        <w:left w:val="none" w:sz="0" w:space="0" w:color="auto"/>
        <w:bottom w:val="none" w:sz="0" w:space="0" w:color="auto"/>
        <w:right w:val="none" w:sz="0" w:space="0" w:color="auto"/>
      </w:divBdr>
    </w:div>
    <w:div w:id="1249996588">
      <w:bodyDiv w:val="1"/>
      <w:marLeft w:val="0"/>
      <w:marRight w:val="0"/>
      <w:marTop w:val="0"/>
      <w:marBottom w:val="0"/>
      <w:divBdr>
        <w:top w:val="none" w:sz="0" w:space="0" w:color="auto"/>
        <w:left w:val="none" w:sz="0" w:space="0" w:color="auto"/>
        <w:bottom w:val="none" w:sz="0" w:space="0" w:color="auto"/>
        <w:right w:val="none" w:sz="0" w:space="0" w:color="auto"/>
      </w:divBdr>
    </w:div>
    <w:div w:id="1253397793">
      <w:bodyDiv w:val="1"/>
      <w:marLeft w:val="0"/>
      <w:marRight w:val="0"/>
      <w:marTop w:val="0"/>
      <w:marBottom w:val="0"/>
      <w:divBdr>
        <w:top w:val="none" w:sz="0" w:space="0" w:color="auto"/>
        <w:left w:val="none" w:sz="0" w:space="0" w:color="auto"/>
        <w:bottom w:val="none" w:sz="0" w:space="0" w:color="auto"/>
        <w:right w:val="none" w:sz="0" w:space="0" w:color="auto"/>
      </w:divBdr>
    </w:div>
    <w:div w:id="1262566382">
      <w:bodyDiv w:val="1"/>
      <w:marLeft w:val="0"/>
      <w:marRight w:val="0"/>
      <w:marTop w:val="0"/>
      <w:marBottom w:val="0"/>
      <w:divBdr>
        <w:top w:val="none" w:sz="0" w:space="0" w:color="auto"/>
        <w:left w:val="none" w:sz="0" w:space="0" w:color="auto"/>
        <w:bottom w:val="none" w:sz="0" w:space="0" w:color="auto"/>
        <w:right w:val="none" w:sz="0" w:space="0" w:color="auto"/>
      </w:divBdr>
    </w:div>
    <w:div w:id="1292860339">
      <w:bodyDiv w:val="1"/>
      <w:marLeft w:val="0"/>
      <w:marRight w:val="0"/>
      <w:marTop w:val="0"/>
      <w:marBottom w:val="0"/>
      <w:divBdr>
        <w:top w:val="none" w:sz="0" w:space="0" w:color="auto"/>
        <w:left w:val="none" w:sz="0" w:space="0" w:color="auto"/>
        <w:bottom w:val="none" w:sz="0" w:space="0" w:color="auto"/>
        <w:right w:val="none" w:sz="0" w:space="0" w:color="auto"/>
      </w:divBdr>
    </w:div>
    <w:div w:id="1313220142">
      <w:bodyDiv w:val="1"/>
      <w:marLeft w:val="0"/>
      <w:marRight w:val="0"/>
      <w:marTop w:val="0"/>
      <w:marBottom w:val="0"/>
      <w:divBdr>
        <w:top w:val="none" w:sz="0" w:space="0" w:color="auto"/>
        <w:left w:val="none" w:sz="0" w:space="0" w:color="auto"/>
        <w:bottom w:val="none" w:sz="0" w:space="0" w:color="auto"/>
        <w:right w:val="none" w:sz="0" w:space="0" w:color="auto"/>
      </w:divBdr>
    </w:div>
    <w:div w:id="1366364240">
      <w:bodyDiv w:val="1"/>
      <w:marLeft w:val="0"/>
      <w:marRight w:val="0"/>
      <w:marTop w:val="0"/>
      <w:marBottom w:val="0"/>
      <w:divBdr>
        <w:top w:val="none" w:sz="0" w:space="0" w:color="auto"/>
        <w:left w:val="none" w:sz="0" w:space="0" w:color="auto"/>
        <w:bottom w:val="none" w:sz="0" w:space="0" w:color="auto"/>
        <w:right w:val="none" w:sz="0" w:space="0" w:color="auto"/>
      </w:divBdr>
    </w:div>
    <w:div w:id="1368872064">
      <w:bodyDiv w:val="1"/>
      <w:marLeft w:val="0"/>
      <w:marRight w:val="0"/>
      <w:marTop w:val="0"/>
      <w:marBottom w:val="0"/>
      <w:divBdr>
        <w:top w:val="none" w:sz="0" w:space="0" w:color="auto"/>
        <w:left w:val="none" w:sz="0" w:space="0" w:color="auto"/>
        <w:bottom w:val="none" w:sz="0" w:space="0" w:color="auto"/>
        <w:right w:val="none" w:sz="0" w:space="0" w:color="auto"/>
      </w:divBdr>
    </w:div>
    <w:div w:id="1402368285">
      <w:bodyDiv w:val="1"/>
      <w:marLeft w:val="0"/>
      <w:marRight w:val="0"/>
      <w:marTop w:val="0"/>
      <w:marBottom w:val="0"/>
      <w:divBdr>
        <w:top w:val="none" w:sz="0" w:space="0" w:color="auto"/>
        <w:left w:val="none" w:sz="0" w:space="0" w:color="auto"/>
        <w:bottom w:val="none" w:sz="0" w:space="0" w:color="auto"/>
        <w:right w:val="none" w:sz="0" w:space="0" w:color="auto"/>
      </w:divBdr>
    </w:div>
    <w:div w:id="1414475087">
      <w:bodyDiv w:val="1"/>
      <w:marLeft w:val="0"/>
      <w:marRight w:val="0"/>
      <w:marTop w:val="0"/>
      <w:marBottom w:val="0"/>
      <w:divBdr>
        <w:top w:val="none" w:sz="0" w:space="0" w:color="auto"/>
        <w:left w:val="none" w:sz="0" w:space="0" w:color="auto"/>
        <w:bottom w:val="none" w:sz="0" w:space="0" w:color="auto"/>
        <w:right w:val="none" w:sz="0" w:space="0" w:color="auto"/>
      </w:divBdr>
    </w:div>
    <w:div w:id="1420906316">
      <w:bodyDiv w:val="1"/>
      <w:marLeft w:val="0"/>
      <w:marRight w:val="0"/>
      <w:marTop w:val="0"/>
      <w:marBottom w:val="0"/>
      <w:divBdr>
        <w:top w:val="none" w:sz="0" w:space="0" w:color="auto"/>
        <w:left w:val="none" w:sz="0" w:space="0" w:color="auto"/>
        <w:bottom w:val="none" w:sz="0" w:space="0" w:color="auto"/>
        <w:right w:val="none" w:sz="0" w:space="0" w:color="auto"/>
      </w:divBdr>
    </w:div>
    <w:div w:id="1484589933">
      <w:bodyDiv w:val="1"/>
      <w:marLeft w:val="0"/>
      <w:marRight w:val="0"/>
      <w:marTop w:val="0"/>
      <w:marBottom w:val="0"/>
      <w:divBdr>
        <w:top w:val="none" w:sz="0" w:space="0" w:color="auto"/>
        <w:left w:val="none" w:sz="0" w:space="0" w:color="auto"/>
        <w:bottom w:val="none" w:sz="0" w:space="0" w:color="auto"/>
        <w:right w:val="none" w:sz="0" w:space="0" w:color="auto"/>
      </w:divBdr>
    </w:div>
    <w:div w:id="1586568230">
      <w:bodyDiv w:val="1"/>
      <w:marLeft w:val="0"/>
      <w:marRight w:val="0"/>
      <w:marTop w:val="0"/>
      <w:marBottom w:val="0"/>
      <w:divBdr>
        <w:top w:val="none" w:sz="0" w:space="0" w:color="auto"/>
        <w:left w:val="none" w:sz="0" w:space="0" w:color="auto"/>
        <w:bottom w:val="none" w:sz="0" w:space="0" w:color="auto"/>
        <w:right w:val="none" w:sz="0" w:space="0" w:color="auto"/>
      </w:divBdr>
    </w:div>
    <w:div w:id="1665626880">
      <w:bodyDiv w:val="1"/>
      <w:marLeft w:val="0"/>
      <w:marRight w:val="0"/>
      <w:marTop w:val="0"/>
      <w:marBottom w:val="0"/>
      <w:divBdr>
        <w:top w:val="none" w:sz="0" w:space="0" w:color="auto"/>
        <w:left w:val="none" w:sz="0" w:space="0" w:color="auto"/>
        <w:bottom w:val="none" w:sz="0" w:space="0" w:color="auto"/>
        <w:right w:val="none" w:sz="0" w:space="0" w:color="auto"/>
      </w:divBdr>
    </w:div>
    <w:div w:id="1844314771">
      <w:bodyDiv w:val="1"/>
      <w:marLeft w:val="0"/>
      <w:marRight w:val="0"/>
      <w:marTop w:val="0"/>
      <w:marBottom w:val="0"/>
      <w:divBdr>
        <w:top w:val="none" w:sz="0" w:space="0" w:color="auto"/>
        <w:left w:val="none" w:sz="0" w:space="0" w:color="auto"/>
        <w:bottom w:val="none" w:sz="0" w:space="0" w:color="auto"/>
        <w:right w:val="none" w:sz="0" w:space="0" w:color="auto"/>
      </w:divBdr>
    </w:div>
    <w:div w:id="1863546196">
      <w:bodyDiv w:val="1"/>
      <w:marLeft w:val="0"/>
      <w:marRight w:val="0"/>
      <w:marTop w:val="0"/>
      <w:marBottom w:val="0"/>
      <w:divBdr>
        <w:top w:val="none" w:sz="0" w:space="0" w:color="auto"/>
        <w:left w:val="none" w:sz="0" w:space="0" w:color="auto"/>
        <w:bottom w:val="none" w:sz="0" w:space="0" w:color="auto"/>
        <w:right w:val="none" w:sz="0" w:space="0" w:color="auto"/>
      </w:divBdr>
    </w:div>
    <w:div w:id="1871145869">
      <w:bodyDiv w:val="1"/>
      <w:marLeft w:val="0"/>
      <w:marRight w:val="0"/>
      <w:marTop w:val="0"/>
      <w:marBottom w:val="0"/>
      <w:divBdr>
        <w:top w:val="none" w:sz="0" w:space="0" w:color="auto"/>
        <w:left w:val="none" w:sz="0" w:space="0" w:color="auto"/>
        <w:bottom w:val="none" w:sz="0" w:space="0" w:color="auto"/>
        <w:right w:val="none" w:sz="0" w:space="0" w:color="auto"/>
      </w:divBdr>
    </w:div>
    <w:div w:id="1962107156">
      <w:bodyDiv w:val="1"/>
      <w:marLeft w:val="0"/>
      <w:marRight w:val="0"/>
      <w:marTop w:val="0"/>
      <w:marBottom w:val="0"/>
      <w:divBdr>
        <w:top w:val="none" w:sz="0" w:space="0" w:color="auto"/>
        <w:left w:val="none" w:sz="0" w:space="0" w:color="auto"/>
        <w:bottom w:val="none" w:sz="0" w:space="0" w:color="auto"/>
        <w:right w:val="none" w:sz="0" w:space="0" w:color="auto"/>
      </w:divBdr>
    </w:div>
    <w:div w:id="1969553441">
      <w:bodyDiv w:val="1"/>
      <w:marLeft w:val="0"/>
      <w:marRight w:val="0"/>
      <w:marTop w:val="0"/>
      <w:marBottom w:val="0"/>
      <w:divBdr>
        <w:top w:val="none" w:sz="0" w:space="0" w:color="auto"/>
        <w:left w:val="none" w:sz="0" w:space="0" w:color="auto"/>
        <w:bottom w:val="none" w:sz="0" w:space="0" w:color="auto"/>
        <w:right w:val="none" w:sz="0" w:space="0" w:color="auto"/>
      </w:divBdr>
    </w:div>
    <w:div w:id="2053731258">
      <w:bodyDiv w:val="1"/>
      <w:marLeft w:val="0"/>
      <w:marRight w:val="0"/>
      <w:marTop w:val="0"/>
      <w:marBottom w:val="0"/>
      <w:divBdr>
        <w:top w:val="none" w:sz="0" w:space="0" w:color="auto"/>
        <w:left w:val="none" w:sz="0" w:space="0" w:color="auto"/>
        <w:bottom w:val="none" w:sz="0" w:space="0" w:color="auto"/>
        <w:right w:val="none" w:sz="0" w:space="0" w:color="auto"/>
      </w:divBdr>
    </w:div>
    <w:div w:id="208857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24</TotalTime>
  <Pages>14</Pages>
  <Words>4116</Words>
  <Characters>26461</Characters>
  <Application>Microsoft Office Word</Application>
  <DocSecurity>0</DocSecurity>
  <Lines>220</Lines>
  <Paragraphs>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2023110397 mt</dc:description>
  <cp:lastModifiedBy>Hanne Thy Iversen</cp:lastModifiedBy>
  <cp:revision>11</cp:revision>
  <cp:lastPrinted>2012-08-22T08:53:00Z</cp:lastPrinted>
  <dcterms:created xsi:type="dcterms:W3CDTF">2025-02-06T12:48:00Z</dcterms:created>
  <dcterms:modified xsi:type="dcterms:W3CDTF">2025-02-07T09:28:00Z</dcterms:modified>
</cp:coreProperties>
</file>