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2EE26" w14:textId="77777777" w:rsidR="009260DE" w:rsidRPr="00E27F3C" w:rsidRDefault="0021526C" w:rsidP="009260DE">
      <w:pPr>
        <w:rPr>
          <w:sz w:val="24"/>
          <w:szCs w:val="24"/>
        </w:rPr>
      </w:pPr>
      <w:bookmarkStart w:id="0" w:name="_GoBack"/>
      <w:bookmarkEnd w:id="0"/>
      <w:r w:rsidRPr="00E27F3C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3A0D0749" wp14:editId="20DD5F2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E27F3C">
        <w:rPr>
          <w:sz w:val="24"/>
          <w:szCs w:val="24"/>
        </w:rPr>
        <w:br w:type="textWrapping" w:clear="all"/>
      </w:r>
    </w:p>
    <w:p w14:paraId="0DC61F9F" w14:textId="49F345FD" w:rsidR="009260DE" w:rsidRPr="00E27F3C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E27F3C">
        <w:rPr>
          <w:b w:val="0"/>
          <w:szCs w:val="24"/>
          <w:lang w:eastAsia="en-US"/>
        </w:rPr>
        <w:tab/>
      </w:r>
      <w:r w:rsidR="00E21ACB">
        <w:rPr>
          <w:szCs w:val="24"/>
        </w:rPr>
        <w:t>11. april 2025</w:t>
      </w:r>
    </w:p>
    <w:p w14:paraId="04B7C7C5" w14:textId="77777777" w:rsidR="009260DE" w:rsidRPr="00E27F3C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19777C1A" w14:textId="77777777" w:rsidR="009260DE" w:rsidRPr="00E27F3C" w:rsidRDefault="009260DE" w:rsidP="009260DE">
      <w:pPr>
        <w:pStyle w:val="Titel"/>
        <w:jc w:val="left"/>
        <w:rPr>
          <w:b w:val="0"/>
          <w:szCs w:val="24"/>
        </w:rPr>
      </w:pPr>
    </w:p>
    <w:p w14:paraId="17E0B961" w14:textId="77777777" w:rsidR="009260DE" w:rsidRPr="00E27F3C" w:rsidRDefault="009260DE" w:rsidP="009260DE">
      <w:pPr>
        <w:pStyle w:val="Titel"/>
        <w:jc w:val="left"/>
        <w:rPr>
          <w:b w:val="0"/>
          <w:szCs w:val="24"/>
        </w:rPr>
      </w:pPr>
    </w:p>
    <w:p w14:paraId="2334801A" w14:textId="77777777" w:rsidR="009260DE" w:rsidRPr="00E27F3C" w:rsidRDefault="009260DE" w:rsidP="009260DE">
      <w:pPr>
        <w:jc w:val="center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PRODUKTRESUMÉ</w:t>
      </w:r>
    </w:p>
    <w:p w14:paraId="30233253" w14:textId="77777777" w:rsidR="009260DE" w:rsidRPr="00E27F3C" w:rsidRDefault="009260DE" w:rsidP="009260DE">
      <w:pPr>
        <w:jc w:val="center"/>
        <w:rPr>
          <w:b/>
          <w:sz w:val="24"/>
          <w:szCs w:val="24"/>
        </w:rPr>
      </w:pPr>
    </w:p>
    <w:p w14:paraId="514E5B90" w14:textId="77777777" w:rsidR="009260DE" w:rsidRPr="00E27F3C" w:rsidRDefault="009260DE" w:rsidP="009260DE">
      <w:pPr>
        <w:jc w:val="center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for</w:t>
      </w:r>
    </w:p>
    <w:p w14:paraId="461B931B" w14:textId="77777777" w:rsidR="000B058C" w:rsidRPr="00E27F3C" w:rsidRDefault="000B058C" w:rsidP="009260DE">
      <w:pPr>
        <w:jc w:val="center"/>
        <w:rPr>
          <w:b/>
          <w:sz w:val="24"/>
          <w:szCs w:val="24"/>
        </w:rPr>
      </w:pPr>
    </w:p>
    <w:p w14:paraId="2AE74CF3" w14:textId="05576F89" w:rsidR="009260DE" w:rsidRPr="00E27F3C" w:rsidRDefault="00590008" w:rsidP="009260DE">
      <w:pPr>
        <w:jc w:val="center"/>
        <w:rPr>
          <w:b/>
          <w:sz w:val="24"/>
          <w:szCs w:val="24"/>
        </w:rPr>
      </w:pPr>
      <w:proofErr w:type="spellStart"/>
      <w:r w:rsidRPr="00E27F3C">
        <w:rPr>
          <w:b/>
          <w:sz w:val="24"/>
          <w:szCs w:val="24"/>
        </w:rPr>
        <w:t>Oftasen</w:t>
      </w:r>
      <w:proofErr w:type="spellEnd"/>
      <w:r w:rsidRPr="00E27F3C">
        <w:rPr>
          <w:b/>
          <w:sz w:val="24"/>
          <w:szCs w:val="24"/>
        </w:rPr>
        <w:t>, øjendråber, opløsning i enkeltdosisbeholder</w:t>
      </w:r>
    </w:p>
    <w:p w14:paraId="067FCD77" w14:textId="77777777" w:rsidR="009260DE" w:rsidRPr="00E27F3C" w:rsidRDefault="009260DE" w:rsidP="009260DE">
      <w:pPr>
        <w:jc w:val="both"/>
        <w:rPr>
          <w:sz w:val="24"/>
          <w:szCs w:val="24"/>
        </w:rPr>
      </w:pPr>
    </w:p>
    <w:p w14:paraId="6FF9F0C5" w14:textId="77777777" w:rsidR="009260DE" w:rsidRPr="00E27F3C" w:rsidRDefault="009260DE" w:rsidP="009260DE">
      <w:pPr>
        <w:jc w:val="both"/>
        <w:rPr>
          <w:sz w:val="24"/>
          <w:szCs w:val="24"/>
        </w:rPr>
      </w:pPr>
    </w:p>
    <w:p w14:paraId="6296ABA7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0.</w:t>
      </w:r>
      <w:r w:rsidRPr="00E27F3C">
        <w:rPr>
          <w:b/>
          <w:sz w:val="24"/>
          <w:szCs w:val="24"/>
        </w:rPr>
        <w:tab/>
        <w:t>D.SP.NR.</w:t>
      </w:r>
    </w:p>
    <w:p w14:paraId="494409B2" w14:textId="3E625019" w:rsidR="009260DE" w:rsidRPr="00E27F3C" w:rsidRDefault="00590008" w:rsidP="009260DE">
      <w:pPr>
        <w:tabs>
          <w:tab w:val="left" w:pos="851"/>
        </w:tabs>
        <w:ind w:left="851"/>
        <w:rPr>
          <w:sz w:val="24"/>
          <w:szCs w:val="24"/>
        </w:rPr>
      </w:pPr>
      <w:r w:rsidRPr="00E27F3C">
        <w:rPr>
          <w:sz w:val="24"/>
          <w:szCs w:val="24"/>
        </w:rPr>
        <w:t>32786</w:t>
      </w:r>
    </w:p>
    <w:p w14:paraId="5234DE4F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1416513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1.</w:t>
      </w:r>
      <w:r w:rsidRPr="00E27F3C">
        <w:rPr>
          <w:b/>
          <w:sz w:val="24"/>
          <w:szCs w:val="24"/>
        </w:rPr>
        <w:tab/>
        <w:t>LÆGEMIDLETS NAVN</w:t>
      </w:r>
    </w:p>
    <w:p w14:paraId="54CF64B7" w14:textId="6A4FB0F1" w:rsidR="009260DE" w:rsidRPr="00E27F3C" w:rsidRDefault="00590008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27F3C">
        <w:rPr>
          <w:sz w:val="24"/>
          <w:szCs w:val="24"/>
        </w:rPr>
        <w:t>Oftasen</w:t>
      </w:r>
      <w:proofErr w:type="spellEnd"/>
    </w:p>
    <w:p w14:paraId="3357A004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A283A2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2.</w:t>
      </w:r>
      <w:r w:rsidRPr="00E27F3C">
        <w:rPr>
          <w:b/>
          <w:sz w:val="24"/>
          <w:szCs w:val="24"/>
        </w:rPr>
        <w:tab/>
        <w:t>KVALITATIV OG KVANTITATIV SAMMENSÆTNING</w:t>
      </w:r>
    </w:p>
    <w:p w14:paraId="239203A8" w14:textId="23E64A16" w:rsidR="00B77508" w:rsidRPr="00E27F3C" w:rsidRDefault="00B77508" w:rsidP="00B77508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1 ml opløsning indeholder 4 mg </w:t>
      </w:r>
      <w:bookmarkStart w:id="1" w:name="_Hlk195190222"/>
      <w:proofErr w:type="spellStart"/>
      <w:r w:rsidRPr="00E27F3C">
        <w:rPr>
          <w:sz w:val="24"/>
          <w:szCs w:val="24"/>
        </w:rPr>
        <w:t>oxybuprocainhydrochlorid</w:t>
      </w:r>
      <w:bookmarkEnd w:id="1"/>
      <w:proofErr w:type="spellEnd"/>
      <w:r w:rsidRPr="00E27F3C">
        <w:rPr>
          <w:sz w:val="24"/>
          <w:szCs w:val="24"/>
        </w:rPr>
        <w:t xml:space="preserve">. </w:t>
      </w:r>
    </w:p>
    <w:p w14:paraId="33A3163B" w14:textId="77777777" w:rsidR="00B77508" w:rsidRPr="00E27F3C" w:rsidRDefault="00B77508" w:rsidP="00B77508">
      <w:pPr>
        <w:ind w:left="851"/>
        <w:rPr>
          <w:sz w:val="24"/>
          <w:szCs w:val="24"/>
        </w:rPr>
      </w:pPr>
    </w:p>
    <w:p w14:paraId="129892E1" w14:textId="77777777" w:rsidR="00B77508" w:rsidRPr="00E27F3C" w:rsidRDefault="00B77508" w:rsidP="00B77508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1 dråbe indeholder ca. 0,168 mg </w:t>
      </w:r>
      <w:proofErr w:type="spellStart"/>
      <w:r w:rsidRPr="00E27F3C">
        <w:rPr>
          <w:sz w:val="24"/>
          <w:szCs w:val="24"/>
        </w:rPr>
        <w:t>oxybuprocainhydrochlorid</w:t>
      </w:r>
      <w:proofErr w:type="spellEnd"/>
      <w:r w:rsidRPr="00E27F3C">
        <w:rPr>
          <w:sz w:val="24"/>
          <w:szCs w:val="24"/>
        </w:rPr>
        <w:t>.</w:t>
      </w:r>
    </w:p>
    <w:p w14:paraId="0247731F" w14:textId="77777777" w:rsidR="00B77508" w:rsidRPr="00E27F3C" w:rsidRDefault="00B77508" w:rsidP="00B77508">
      <w:pPr>
        <w:ind w:left="851"/>
        <w:rPr>
          <w:sz w:val="24"/>
          <w:szCs w:val="24"/>
        </w:rPr>
      </w:pPr>
    </w:p>
    <w:p w14:paraId="0A181447" w14:textId="77777777" w:rsidR="00B77508" w:rsidRPr="00E27F3C" w:rsidRDefault="00B77508" w:rsidP="00B77508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>Alle hjælpestoffer er anført under pkt. 6.1.</w:t>
      </w:r>
    </w:p>
    <w:p w14:paraId="4BB11E9D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F039AF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3.</w:t>
      </w:r>
      <w:r w:rsidRPr="00E27F3C">
        <w:rPr>
          <w:b/>
          <w:sz w:val="24"/>
          <w:szCs w:val="24"/>
        </w:rPr>
        <w:tab/>
        <w:t>LÆGEMIDDELFORM</w:t>
      </w:r>
    </w:p>
    <w:p w14:paraId="6326302E" w14:textId="023C10D6" w:rsidR="00B77508" w:rsidRPr="00E27F3C" w:rsidRDefault="00B77508" w:rsidP="00B77508">
      <w:pPr>
        <w:ind w:left="851"/>
        <w:rPr>
          <w:sz w:val="24"/>
          <w:szCs w:val="24"/>
          <w:lang w:eastAsia="da-DK"/>
        </w:rPr>
      </w:pPr>
      <w:r w:rsidRPr="00E27F3C">
        <w:rPr>
          <w:sz w:val="24"/>
          <w:szCs w:val="24"/>
        </w:rPr>
        <w:t>Øjendråber, opløsning i enkeltdosisbeholder</w:t>
      </w:r>
    </w:p>
    <w:p w14:paraId="4B134793" w14:textId="77777777" w:rsidR="00B77508" w:rsidRPr="00E27F3C" w:rsidRDefault="00B77508" w:rsidP="00B77508">
      <w:pPr>
        <w:ind w:left="851"/>
        <w:rPr>
          <w:sz w:val="24"/>
          <w:szCs w:val="24"/>
        </w:rPr>
      </w:pPr>
    </w:p>
    <w:p w14:paraId="3DADBDB3" w14:textId="77777777" w:rsidR="00B77508" w:rsidRPr="00E27F3C" w:rsidRDefault="00B77508" w:rsidP="00B77508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>Klar, farveløs opløsning.</w:t>
      </w:r>
    </w:p>
    <w:p w14:paraId="6B86C5FD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667A5D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711A93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4.</w:t>
      </w:r>
      <w:r w:rsidRPr="00E27F3C">
        <w:rPr>
          <w:b/>
          <w:sz w:val="24"/>
          <w:szCs w:val="24"/>
        </w:rPr>
        <w:tab/>
        <w:t>KLINISKE OPLYSNINGER</w:t>
      </w:r>
    </w:p>
    <w:p w14:paraId="78155C9B" w14:textId="77777777" w:rsidR="009260DE" w:rsidRPr="00E27F3C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668E9307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E27F3C">
        <w:rPr>
          <w:b/>
          <w:sz w:val="24"/>
          <w:szCs w:val="24"/>
        </w:rPr>
        <w:t>4.1</w:t>
      </w:r>
      <w:r w:rsidRPr="00E27F3C">
        <w:rPr>
          <w:b/>
          <w:sz w:val="24"/>
          <w:szCs w:val="24"/>
        </w:rPr>
        <w:tab/>
        <w:t>Terapeutiske indikationer</w:t>
      </w:r>
    </w:p>
    <w:p w14:paraId="00936316" w14:textId="77777777" w:rsidR="00B77508" w:rsidRPr="00E27F3C" w:rsidRDefault="00B77508" w:rsidP="00B77508">
      <w:pPr>
        <w:ind w:left="1702" w:hanging="851"/>
        <w:rPr>
          <w:color w:val="000000"/>
          <w:sz w:val="24"/>
          <w:szCs w:val="24"/>
          <w:lang w:eastAsia="da-DK"/>
        </w:rPr>
      </w:pPr>
      <w:proofErr w:type="spellStart"/>
      <w:r w:rsidRPr="00E27F3C">
        <w:rPr>
          <w:color w:val="000000"/>
          <w:sz w:val="24"/>
          <w:szCs w:val="24"/>
        </w:rPr>
        <w:t>Oftasen</w:t>
      </w:r>
      <w:proofErr w:type="spellEnd"/>
      <w:r w:rsidRPr="00E27F3C">
        <w:rPr>
          <w:color w:val="000000"/>
          <w:sz w:val="24"/>
          <w:szCs w:val="24"/>
        </w:rPr>
        <w:t xml:space="preserve"> er indiceret hos voksne:</w:t>
      </w:r>
    </w:p>
    <w:p w14:paraId="314CE828" w14:textId="77777777" w:rsidR="00B77508" w:rsidRPr="00E27F3C" w:rsidRDefault="00B77508" w:rsidP="00E27F3C">
      <w:pPr>
        <w:pStyle w:val="Brdtekst3"/>
        <w:numPr>
          <w:ilvl w:val="0"/>
          <w:numId w:val="6"/>
        </w:numPr>
        <w:spacing w:after="0"/>
        <w:ind w:left="1276" w:hanging="425"/>
        <w:rPr>
          <w:rFonts w:ascii="Times New Roman" w:hAnsi="Times New Roman"/>
          <w:iCs/>
          <w:sz w:val="24"/>
          <w:szCs w:val="24"/>
          <w:lang w:val="da-DK"/>
        </w:rPr>
      </w:pPr>
      <w:r w:rsidRPr="00E27F3C">
        <w:rPr>
          <w:rFonts w:ascii="Times New Roman" w:hAnsi="Times New Roman"/>
          <w:color w:val="000000"/>
          <w:sz w:val="24"/>
          <w:szCs w:val="24"/>
          <w:lang w:val="da-DK"/>
        </w:rPr>
        <w:t>til at fremkalde lokalbedøvelse i øjet til korte oftalmologiske procedurer.</w:t>
      </w:r>
    </w:p>
    <w:p w14:paraId="78005506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FCAC955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4.2</w:t>
      </w:r>
      <w:r w:rsidRPr="00E27F3C">
        <w:rPr>
          <w:b/>
          <w:sz w:val="24"/>
          <w:szCs w:val="24"/>
        </w:rPr>
        <w:tab/>
        <w:t xml:space="preserve">Dosering og </w:t>
      </w:r>
      <w:r w:rsidR="002C1EC0" w:rsidRPr="00E27F3C">
        <w:rPr>
          <w:b/>
          <w:sz w:val="24"/>
          <w:szCs w:val="24"/>
        </w:rPr>
        <w:t>administration</w:t>
      </w:r>
    </w:p>
    <w:p w14:paraId="73AFCEA9" w14:textId="77777777" w:rsidR="00E27F3C" w:rsidRPr="00E27F3C" w:rsidRDefault="00E27F3C" w:rsidP="00B77508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14:paraId="568DBE9A" w14:textId="7A1ADD7C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E27F3C">
        <w:rPr>
          <w:sz w:val="24"/>
          <w:szCs w:val="24"/>
          <w:u w:val="single"/>
        </w:rPr>
        <w:t>Dosering</w:t>
      </w:r>
    </w:p>
    <w:p w14:paraId="16D60A0A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1 dråbe er tilstrækkeligt til at bedøve øjets overflade for at tillade </w:t>
      </w:r>
      <w:proofErr w:type="spellStart"/>
      <w:r w:rsidRPr="00E27F3C">
        <w:rPr>
          <w:sz w:val="24"/>
          <w:szCs w:val="24"/>
        </w:rPr>
        <w:t>tonometri</w:t>
      </w:r>
      <w:proofErr w:type="spellEnd"/>
      <w:r w:rsidRPr="00E27F3C">
        <w:rPr>
          <w:sz w:val="24"/>
          <w:szCs w:val="24"/>
        </w:rPr>
        <w:t xml:space="preserve"> efter 1 minut. Yderligere 1 dråbe efter 90 sekunder giver tilstrækkelig bedøvelse til tilpasning af kontaktlinser.</w:t>
      </w:r>
    </w:p>
    <w:p w14:paraId="2C4BF148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</w:p>
    <w:p w14:paraId="78743437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3 dråber med 90 sekunders intervaller giver tilstrækkelig bedøvelse til at et fremmedlegeme kan fjernes fra hornhindeepitelet eller til f.eks. indsnit af en </w:t>
      </w:r>
      <w:proofErr w:type="spellStart"/>
      <w:r w:rsidRPr="00E27F3C">
        <w:rPr>
          <w:sz w:val="24"/>
          <w:szCs w:val="24"/>
        </w:rPr>
        <w:t>meibomisk</w:t>
      </w:r>
      <w:proofErr w:type="spellEnd"/>
      <w:r w:rsidRPr="00E27F3C">
        <w:rPr>
          <w:sz w:val="24"/>
          <w:szCs w:val="24"/>
        </w:rPr>
        <w:t xml:space="preserve"> cyste gennem </w:t>
      </w:r>
      <w:proofErr w:type="spellStart"/>
      <w:r w:rsidRPr="00E27F3C">
        <w:rPr>
          <w:sz w:val="24"/>
          <w:szCs w:val="24"/>
        </w:rPr>
        <w:t>k</w:t>
      </w:r>
      <w:r w:rsidRPr="00E27F3C">
        <w:rPr>
          <w:iCs/>
          <w:sz w:val="24"/>
          <w:szCs w:val="24"/>
        </w:rPr>
        <w:t>onjunktiva</w:t>
      </w:r>
      <w:proofErr w:type="spellEnd"/>
      <w:r w:rsidRPr="00E27F3C">
        <w:rPr>
          <w:sz w:val="24"/>
          <w:szCs w:val="24"/>
        </w:rPr>
        <w:t>.</w:t>
      </w:r>
    </w:p>
    <w:p w14:paraId="1D0412C0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</w:p>
    <w:p w14:paraId="40501176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  <w:r w:rsidRPr="00E27F3C">
        <w:rPr>
          <w:sz w:val="24"/>
          <w:szCs w:val="24"/>
        </w:rPr>
        <w:t>Hornhindefølsomheden er normal igen efter ca. 1 time.</w:t>
      </w:r>
    </w:p>
    <w:p w14:paraId="5ABAC12B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</w:p>
    <w:p w14:paraId="49917EA3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Da </w:t>
      </w:r>
      <w:proofErr w:type="spellStart"/>
      <w:r w:rsidRPr="00E27F3C">
        <w:rPr>
          <w:sz w:val="24"/>
          <w:szCs w:val="24"/>
        </w:rPr>
        <w:t>oxybuprocainhydrochlorid</w:t>
      </w:r>
      <w:proofErr w:type="spellEnd"/>
      <w:r w:rsidRPr="00E27F3C">
        <w:rPr>
          <w:sz w:val="24"/>
          <w:szCs w:val="24"/>
        </w:rPr>
        <w:t xml:space="preserve"> er en hurtigtvirkende lokalbedøvelse, bør det påtænkte indgreb udføres inden for 10 til 15 minutter efter den sidste anvendelse af </w:t>
      </w:r>
      <w:proofErr w:type="spellStart"/>
      <w:r w:rsidRPr="00E27F3C">
        <w:rPr>
          <w:iCs/>
          <w:sz w:val="24"/>
          <w:szCs w:val="24"/>
        </w:rPr>
        <w:t>Oftasen</w:t>
      </w:r>
      <w:proofErr w:type="spellEnd"/>
      <w:r w:rsidRPr="00E27F3C">
        <w:rPr>
          <w:sz w:val="24"/>
          <w:szCs w:val="24"/>
        </w:rPr>
        <w:t>.</w:t>
      </w:r>
    </w:p>
    <w:p w14:paraId="6DB42242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</w:p>
    <w:p w14:paraId="32931F29" w14:textId="77777777" w:rsidR="00B77508" w:rsidRPr="00E27F3C" w:rsidRDefault="00B77508" w:rsidP="00B77508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E27F3C">
        <w:rPr>
          <w:sz w:val="24"/>
          <w:szCs w:val="24"/>
          <w:lang w:eastAsia="en-GB"/>
        </w:rPr>
        <w:t>Overskrid ikke den anbefalede dosis på 3 dråber.</w:t>
      </w:r>
    </w:p>
    <w:p w14:paraId="511F31FF" w14:textId="77777777" w:rsidR="00B77508" w:rsidRPr="00E27F3C" w:rsidRDefault="00B77508" w:rsidP="00B77508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E27F3C">
        <w:rPr>
          <w:sz w:val="24"/>
          <w:szCs w:val="24"/>
          <w:lang w:eastAsia="en-GB"/>
        </w:rPr>
        <w:t xml:space="preserve">1 dråbe svarer til 0,168 mg </w:t>
      </w:r>
      <w:proofErr w:type="spellStart"/>
      <w:r w:rsidRPr="00E27F3C">
        <w:rPr>
          <w:sz w:val="24"/>
          <w:szCs w:val="24"/>
          <w:lang w:eastAsia="en-GB"/>
        </w:rPr>
        <w:t>oxybuprocainhydrochlorid</w:t>
      </w:r>
      <w:proofErr w:type="spellEnd"/>
      <w:r w:rsidRPr="00E27F3C">
        <w:rPr>
          <w:sz w:val="24"/>
          <w:szCs w:val="24"/>
          <w:lang w:eastAsia="en-GB"/>
        </w:rPr>
        <w:t>.</w:t>
      </w:r>
    </w:p>
    <w:p w14:paraId="5C681871" w14:textId="2B1A59FF" w:rsidR="00B77508" w:rsidRPr="00E27F3C" w:rsidRDefault="00B77508" w:rsidP="00B77508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E27F3C">
        <w:rPr>
          <w:sz w:val="24"/>
          <w:szCs w:val="24"/>
          <w:lang w:eastAsia="en-GB"/>
        </w:rPr>
        <w:t xml:space="preserve">Se pkt. 4.4 for information om systemisk toksicitet. </w:t>
      </w:r>
    </w:p>
    <w:p w14:paraId="207E99B1" w14:textId="77777777" w:rsidR="00B77508" w:rsidRPr="00E27F3C" w:rsidRDefault="00B77508" w:rsidP="00B77508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0FAE3A36" w14:textId="77777777" w:rsidR="00B77508" w:rsidRPr="00E27F3C" w:rsidRDefault="00B77508" w:rsidP="00E27F3C">
      <w:pPr>
        <w:ind w:left="851"/>
        <w:rPr>
          <w:i/>
          <w:sz w:val="24"/>
          <w:szCs w:val="24"/>
        </w:rPr>
      </w:pPr>
      <w:r w:rsidRPr="00E27F3C">
        <w:rPr>
          <w:i/>
          <w:sz w:val="24"/>
          <w:szCs w:val="24"/>
          <w:lang w:eastAsia="da-DK"/>
        </w:rPr>
        <w:t>Pædiatrisk population</w:t>
      </w:r>
    </w:p>
    <w:p w14:paraId="29FBF36D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Sikkerheden og effekten af </w:t>
      </w:r>
      <w:proofErr w:type="spellStart"/>
      <w:r w:rsidRPr="00E27F3C">
        <w:rPr>
          <w:iCs/>
          <w:sz w:val="24"/>
          <w:szCs w:val="24"/>
        </w:rPr>
        <w:t>Oftasen</w:t>
      </w:r>
      <w:proofErr w:type="spellEnd"/>
      <w:r w:rsidRPr="00E27F3C">
        <w:rPr>
          <w:sz w:val="24"/>
          <w:szCs w:val="24"/>
        </w:rPr>
        <w:t xml:space="preserve"> hos børn og unge er ikke fastlagt.</w:t>
      </w:r>
    </w:p>
    <w:p w14:paraId="41B663DB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</w:p>
    <w:p w14:paraId="0D219870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27F3C">
        <w:rPr>
          <w:sz w:val="24"/>
          <w:szCs w:val="24"/>
          <w:u w:val="single"/>
        </w:rPr>
        <w:t>Administration</w:t>
      </w:r>
    </w:p>
    <w:p w14:paraId="5CE1A5ED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Til brug i øjet. </w:t>
      </w:r>
    </w:p>
    <w:p w14:paraId="57A75980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</w:p>
    <w:p w14:paraId="4A216CA0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27F3C">
        <w:rPr>
          <w:sz w:val="24"/>
          <w:szCs w:val="24"/>
        </w:rPr>
        <w:t>Inddryppes</w:t>
      </w:r>
      <w:proofErr w:type="spellEnd"/>
      <w:r w:rsidRPr="00E27F3C">
        <w:rPr>
          <w:sz w:val="24"/>
          <w:szCs w:val="24"/>
        </w:rPr>
        <w:t xml:space="preserve"> dråbevis i øjet, der skal undersøges.</w:t>
      </w:r>
    </w:p>
    <w:p w14:paraId="7F5109E4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</w:p>
    <w:p w14:paraId="62F572E0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  <w:r w:rsidRPr="00E27F3C">
        <w:rPr>
          <w:sz w:val="24"/>
          <w:szCs w:val="24"/>
        </w:rPr>
        <w:t>Undgå at spidsen af dråbeindsatsen berøres med fingrene, eller kommer i direkte kontakt med øjet.</w:t>
      </w:r>
    </w:p>
    <w:p w14:paraId="7D44EFBC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</w:p>
    <w:p w14:paraId="58AE02DF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27F3C">
        <w:rPr>
          <w:sz w:val="24"/>
          <w:szCs w:val="24"/>
        </w:rPr>
        <w:t>Lacrimalsækken</w:t>
      </w:r>
      <w:proofErr w:type="spellEnd"/>
      <w:r w:rsidRPr="00E27F3C">
        <w:rPr>
          <w:sz w:val="24"/>
          <w:szCs w:val="24"/>
        </w:rPr>
        <w:t xml:space="preserve"> ved den </w:t>
      </w:r>
      <w:proofErr w:type="spellStart"/>
      <w:r w:rsidRPr="00E27F3C">
        <w:rPr>
          <w:sz w:val="24"/>
          <w:szCs w:val="24"/>
        </w:rPr>
        <w:t>mediale</w:t>
      </w:r>
      <w:proofErr w:type="spellEnd"/>
      <w:r w:rsidRPr="00E27F3C">
        <w:rPr>
          <w:sz w:val="24"/>
          <w:szCs w:val="24"/>
        </w:rPr>
        <w:t xml:space="preserve"> </w:t>
      </w:r>
      <w:proofErr w:type="spellStart"/>
      <w:r w:rsidRPr="00E27F3C">
        <w:rPr>
          <w:sz w:val="24"/>
          <w:szCs w:val="24"/>
        </w:rPr>
        <w:t>canthus</w:t>
      </w:r>
      <w:proofErr w:type="spellEnd"/>
      <w:r w:rsidRPr="00E27F3C">
        <w:rPr>
          <w:sz w:val="24"/>
          <w:szCs w:val="24"/>
        </w:rPr>
        <w:t xml:space="preserve"> bør trykkes på i 1-2 minutter for at undgå en potentiel systemisk virkning.</w:t>
      </w:r>
    </w:p>
    <w:p w14:paraId="26B0FD5B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</w:p>
    <w:p w14:paraId="6EF44573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  <w:r w:rsidRPr="00E27F3C">
        <w:rPr>
          <w:sz w:val="24"/>
          <w:szCs w:val="24"/>
        </w:rPr>
        <w:t>For andre gældende foranstaltninger henvises til afsnit 4.4.</w:t>
      </w:r>
    </w:p>
    <w:p w14:paraId="2C19523A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</w:p>
    <w:p w14:paraId="627441E0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27F3C">
        <w:rPr>
          <w:sz w:val="24"/>
          <w:szCs w:val="24"/>
          <w:u w:val="single"/>
        </w:rPr>
        <w:t>Varighed af brug</w:t>
      </w:r>
    </w:p>
    <w:p w14:paraId="2110212B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  <w:r w:rsidRPr="00E27F3C">
        <w:rPr>
          <w:sz w:val="24"/>
          <w:szCs w:val="24"/>
        </w:rPr>
        <w:t>Varigheden af brugen skal begrænses til indgrebet.</w:t>
      </w:r>
    </w:p>
    <w:p w14:paraId="008613DA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B43FAE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4.3</w:t>
      </w:r>
      <w:r w:rsidRPr="00E27F3C">
        <w:rPr>
          <w:b/>
          <w:sz w:val="24"/>
          <w:szCs w:val="24"/>
        </w:rPr>
        <w:tab/>
        <w:t>Kontraindikationer</w:t>
      </w:r>
    </w:p>
    <w:p w14:paraId="09843913" w14:textId="77777777" w:rsidR="00B77508" w:rsidRPr="00E27F3C" w:rsidRDefault="00B77508" w:rsidP="00B77508">
      <w:pPr>
        <w:numPr>
          <w:ilvl w:val="0"/>
          <w:numId w:val="7"/>
        </w:numPr>
        <w:ind w:left="1276" w:hanging="425"/>
        <w:rPr>
          <w:sz w:val="24"/>
          <w:szCs w:val="24"/>
          <w:lang w:eastAsia="da-DK"/>
        </w:rPr>
      </w:pPr>
      <w:r w:rsidRPr="00E27F3C">
        <w:rPr>
          <w:sz w:val="24"/>
          <w:szCs w:val="24"/>
        </w:rPr>
        <w:t>Overfølsomhed over for det aktive stof eller over for et eller flere af hjælpestofferne anført i pkt. 6.1.</w:t>
      </w:r>
    </w:p>
    <w:p w14:paraId="308E401B" w14:textId="77777777" w:rsidR="00B77508" w:rsidRPr="00E27F3C" w:rsidRDefault="00B77508" w:rsidP="00B77508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E27F3C">
        <w:rPr>
          <w:sz w:val="24"/>
          <w:szCs w:val="24"/>
        </w:rPr>
        <w:t xml:space="preserve">Kendt overfølsomhed over for topiske </w:t>
      </w:r>
      <w:proofErr w:type="spellStart"/>
      <w:r w:rsidRPr="00E27F3C">
        <w:rPr>
          <w:sz w:val="24"/>
          <w:szCs w:val="24"/>
        </w:rPr>
        <w:t>anæstetika</w:t>
      </w:r>
      <w:proofErr w:type="spellEnd"/>
      <w:r w:rsidRPr="00E27F3C">
        <w:rPr>
          <w:sz w:val="24"/>
          <w:szCs w:val="24"/>
        </w:rPr>
        <w:t>, som tilhører gruppen af aktive stoffer, kaldet p-aminobenzoesyre</w:t>
      </w:r>
    </w:p>
    <w:p w14:paraId="1E22312C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C523ED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4.4</w:t>
      </w:r>
      <w:r w:rsidRPr="00E27F3C">
        <w:rPr>
          <w:b/>
          <w:sz w:val="24"/>
          <w:szCs w:val="24"/>
        </w:rPr>
        <w:tab/>
        <w:t>Særlige advarsler og forsigtighedsregler vedrørende brugen</w:t>
      </w:r>
    </w:p>
    <w:p w14:paraId="053C7C90" w14:textId="7D2979E8" w:rsidR="00B77508" w:rsidRPr="00E27F3C" w:rsidRDefault="00B77508" w:rsidP="00B77508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E27F3C">
        <w:rPr>
          <w:sz w:val="24"/>
          <w:szCs w:val="24"/>
          <w:lang w:eastAsia="en-GB"/>
        </w:rPr>
        <w:t>Lægemidlet bør kun administreres af en læge og kun, når det er nødvendigt. Gentagen og ukontrolleret anvendelse kan forårsage hornhindeskade.</w:t>
      </w:r>
    </w:p>
    <w:p w14:paraId="7C836219" w14:textId="77777777" w:rsidR="00B77508" w:rsidRPr="00E27F3C" w:rsidRDefault="00B77508" w:rsidP="00B77508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5757455A" w14:textId="3B36A51B" w:rsidR="00B77508" w:rsidRPr="00E27F3C" w:rsidRDefault="00B77508" w:rsidP="00B77508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E27F3C">
        <w:rPr>
          <w:sz w:val="24"/>
          <w:szCs w:val="24"/>
          <w:lang w:eastAsia="en-GB"/>
        </w:rPr>
        <w:t xml:space="preserve">Andre rapporterede bivirkninger omfatter svie og ubehag, punktformet hornhindeepitelerosion, </w:t>
      </w:r>
      <w:proofErr w:type="spellStart"/>
      <w:r w:rsidRPr="00E27F3C">
        <w:rPr>
          <w:sz w:val="24"/>
          <w:szCs w:val="24"/>
          <w:lang w:eastAsia="en-GB"/>
        </w:rPr>
        <w:t>keratopati</w:t>
      </w:r>
      <w:proofErr w:type="spellEnd"/>
      <w:r w:rsidRPr="00E27F3C">
        <w:rPr>
          <w:sz w:val="24"/>
          <w:szCs w:val="24"/>
          <w:lang w:eastAsia="en-GB"/>
        </w:rPr>
        <w:t xml:space="preserve">, risiko for anæstesimisbrug og toksisk </w:t>
      </w:r>
      <w:proofErr w:type="spellStart"/>
      <w:r w:rsidRPr="00E27F3C">
        <w:rPr>
          <w:sz w:val="24"/>
          <w:szCs w:val="24"/>
          <w:lang w:eastAsia="en-GB"/>
        </w:rPr>
        <w:t>keratitis</w:t>
      </w:r>
      <w:proofErr w:type="spellEnd"/>
      <w:r w:rsidRPr="00E27F3C">
        <w:rPr>
          <w:sz w:val="24"/>
          <w:szCs w:val="24"/>
          <w:lang w:eastAsia="en-GB"/>
        </w:rPr>
        <w:t xml:space="preserve">, </w:t>
      </w:r>
      <w:proofErr w:type="spellStart"/>
      <w:r w:rsidRPr="00E27F3C">
        <w:rPr>
          <w:sz w:val="24"/>
          <w:szCs w:val="24"/>
          <w:lang w:eastAsia="en-GB"/>
        </w:rPr>
        <w:t>hornhindeulceration</w:t>
      </w:r>
      <w:proofErr w:type="spellEnd"/>
      <w:r w:rsidRPr="00E27F3C">
        <w:rPr>
          <w:sz w:val="24"/>
          <w:szCs w:val="24"/>
          <w:lang w:eastAsia="en-GB"/>
        </w:rPr>
        <w:t xml:space="preserve"> og </w:t>
      </w:r>
      <w:proofErr w:type="spellStart"/>
      <w:r w:rsidRPr="00E27F3C">
        <w:rPr>
          <w:sz w:val="24"/>
          <w:szCs w:val="24"/>
          <w:lang w:eastAsia="en-GB"/>
        </w:rPr>
        <w:t>stromal</w:t>
      </w:r>
      <w:proofErr w:type="spellEnd"/>
      <w:r w:rsidRPr="00E27F3C">
        <w:rPr>
          <w:sz w:val="24"/>
          <w:szCs w:val="24"/>
          <w:lang w:eastAsia="en-GB"/>
        </w:rPr>
        <w:t xml:space="preserve"> nekrose, kompromitteret tårefunktion, </w:t>
      </w:r>
      <w:proofErr w:type="spellStart"/>
      <w:r w:rsidRPr="00E27F3C">
        <w:rPr>
          <w:sz w:val="24"/>
          <w:szCs w:val="24"/>
          <w:lang w:eastAsia="en-GB"/>
        </w:rPr>
        <w:t>iritis</w:t>
      </w:r>
      <w:proofErr w:type="spellEnd"/>
      <w:r w:rsidRPr="00E27F3C">
        <w:rPr>
          <w:sz w:val="24"/>
          <w:szCs w:val="24"/>
          <w:lang w:eastAsia="en-GB"/>
        </w:rPr>
        <w:t xml:space="preserve"> og hornhindehævelse ved </w:t>
      </w:r>
      <w:proofErr w:type="spellStart"/>
      <w:r w:rsidRPr="00E27F3C">
        <w:rPr>
          <w:sz w:val="24"/>
          <w:szCs w:val="24"/>
          <w:lang w:eastAsia="en-GB"/>
        </w:rPr>
        <w:t>intraokulær</w:t>
      </w:r>
      <w:proofErr w:type="spellEnd"/>
      <w:r w:rsidRPr="00E27F3C">
        <w:rPr>
          <w:sz w:val="24"/>
          <w:szCs w:val="24"/>
          <w:lang w:eastAsia="en-GB"/>
        </w:rPr>
        <w:t xml:space="preserve"> kirurgi, stigning i hornhindens tykkelse.</w:t>
      </w:r>
    </w:p>
    <w:p w14:paraId="4A0C79AB" w14:textId="77777777" w:rsidR="00B77508" w:rsidRPr="00E27F3C" w:rsidRDefault="00B77508" w:rsidP="00B77508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5BA46525" w14:textId="77777777" w:rsidR="00B77508" w:rsidRPr="00E27F3C" w:rsidRDefault="00B77508" w:rsidP="00B77508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proofErr w:type="spellStart"/>
      <w:r w:rsidRPr="00E27F3C">
        <w:rPr>
          <w:sz w:val="24"/>
          <w:szCs w:val="24"/>
          <w:lang w:eastAsia="en-GB"/>
        </w:rPr>
        <w:t>Oftasen</w:t>
      </w:r>
      <w:proofErr w:type="spellEnd"/>
      <w:r w:rsidRPr="00E27F3C">
        <w:rPr>
          <w:sz w:val="24"/>
          <w:szCs w:val="24"/>
          <w:lang w:eastAsia="en-GB"/>
        </w:rPr>
        <w:t xml:space="preserve"> er ikke beregnet til langtidsbrug, da dette kan medføre risiko for alvorlig hornhindeskade.</w:t>
      </w:r>
    </w:p>
    <w:p w14:paraId="4CC915FB" w14:textId="77777777" w:rsidR="00B77508" w:rsidRPr="00E27F3C" w:rsidRDefault="00B77508" w:rsidP="00B77508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595D1A58" w14:textId="77777777" w:rsidR="00B77508" w:rsidRPr="00E27F3C" w:rsidRDefault="00B77508" w:rsidP="00B77508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proofErr w:type="spellStart"/>
      <w:r w:rsidRPr="00E27F3C">
        <w:rPr>
          <w:sz w:val="24"/>
          <w:szCs w:val="24"/>
          <w:lang w:eastAsia="en-GB"/>
        </w:rPr>
        <w:t>Oftasen</w:t>
      </w:r>
      <w:proofErr w:type="spellEnd"/>
      <w:r w:rsidRPr="00E27F3C">
        <w:rPr>
          <w:sz w:val="24"/>
          <w:szCs w:val="24"/>
          <w:lang w:eastAsia="en-GB"/>
        </w:rPr>
        <w:t xml:space="preserve"> er beregnet til ekstern brug, ikke til injektion.</w:t>
      </w:r>
    </w:p>
    <w:p w14:paraId="63C88BD7" w14:textId="77777777" w:rsidR="00B77508" w:rsidRPr="00E27F3C" w:rsidRDefault="00B77508" w:rsidP="00B77508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1FA9AA33" w14:textId="77777777" w:rsidR="00B77508" w:rsidRPr="00E27F3C" w:rsidRDefault="00B77508" w:rsidP="00B77508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proofErr w:type="spellStart"/>
      <w:r w:rsidRPr="00E27F3C">
        <w:rPr>
          <w:sz w:val="24"/>
          <w:szCs w:val="24"/>
          <w:lang w:eastAsia="en-GB"/>
        </w:rPr>
        <w:t>Oftasen</w:t>
      </w:r>
      <w:proofErr w:type="spellEnd"/>
      <w:r w:rsidRPr="00E27F3C">
        <w:rPr>
          <w:sz w:val="24"/>
          <w:szCs w:val="24"/>
          <w:lang w:eastAsia="en-GB"/>
        </w:rPr>
        <w:t xml:space="preserve"> er kun beregnet til kortvarig brug i </w:t>
      </w:r>
      <w:r w:rsidRPr="00E27F3C">
        <w:rPr>
          <w:color w:val="000000"/>
          <w:sz w:val="24"/>
          <w:szCs w:val="24"/>
        </w:rPr>
        <w:t xml:space="preserve">oftalmologiske </w:t>
      </w:r>
      <w:r w:rsidRPr="00E27F3C">
        <w:rPr>
          <w:sz w:val="24"/>
          <w:szCs w:val="24"/>
          <w:lang w:eastAsia="en-GB"/>
        </w:rPr>
        <w:t xml:space="preserve">procedurer udført af en læge. </w:t>
      </w:r>
    </w:p>
    <w:p w14:paraId="4AF31A01" w14:textId="77777777" w:rsidR="00B77508" w:rsidRPr="00E27F3C" w:rsidRDefault="00B77508" w:rsidP="00B77508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</w:p>
    <w:p w14:paraId="6B396A08" w14:textId="77777777" w:rsidR="00B77508" w:rsidRPr="00E27F3C" w:rsidRDefault="00B77508" w:rsidP="00B77508">
      <w:pPr>
        <w:ind w:left="851"/>
        <w:rPr>
          <w:sz w:val="24"/>
          <w:szCs w:val="24"/>
          <w:lang w:eastAsia="da-DK"/>
        </w:rPr>
      </w:pPr>
      <w:r w:rsidRPr="00E27F3C">
        <w:rPr>
          <w:sz w:val="24"/>
          <w:szCs w:val="24"/>
        </w:rPr>
        <w:lastRenderedPageBreak/>
        <w:t xml:space="preserve">Der bør udvises særlig forsigtighed hos patienter med tidligere allergi, hjertesygdomme, astma, </w:t>
      </w:r>
      <w:proofErr w:type="spellStart"/>
      <w:r w:rsidRPr="00E27F3C">
        <w:rPr>
          <w:sz w:val="24"/>
          <w:szCs w:val="24"/>
        </w:rPr>
        <w:t>hyperthyroidisme</w:t>
      </w:r>
      <w:proofErr w:type="spellEnd"/>
      <w:r w:rsidRPr="00E27F3C">
        <w:rPr>
          <w:sz w:val="24"/>
          <w:szCs w:val="24"/>
        </w:rPr>
        <w:t xml:space="preserve"> og leversygdomme, samt hos ældre.</w:t>
      </w:r>
    </w:p>
    <w:p w14:paraId="14A5B4A9" w14:textId="77777777" w:rsidR="00B77508" w:rsidRPr="00E27F3C" w:rsidRDefault="00B77508" w:rsidP="00B77508">
      <w:pPr>
        <w:ind w:left="851"/>
        <w:rPr>
          <w:sz w:val="24"/>
          <w:szCs w:val="24"/>
        </w:rPr>
      </w:pPr>
    </w:p>
    <w:p w14:paraId="341085B2" w14:textId="77777777" w:rsidR="00B77508" w:rsidRPr="00E27F3C" w:rsidRDefault="00B77508" w:rsidP="00B77508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>Mens bedøvelsen varer ved, skal øjet beskyttes mod støv og fremmedlegemer. Da spontan øjenlågslukning er begrænset på grund af sensorisk følelsesløshed, indtil bedøvelsen træder helt i kraft, skal patienten holde øjnene lukkede indtil indgrebet for at modvirke enhver svækkelse som følge af tørhed i øjnene.</w:t>
      </w:r>
    </w:p>
    <w:p w14:paraId="78E5D062" w14:textId="77777777" w:rsidR="00B77508" w:rsidRPr="00E27F3C" w:rsidRDefault="00B77508" w:rsidP="00B77508">
      <w:pPr>
        <w:ind w:left="851"/>
        <w:rPr>
          <w:sz w:val="24"/>
          <w:szCs w:val="24"/>
        </w:rPr>
      </w:pPr>
    </w:p>
    <w:p w14:paraId="23782DD3" w14:textId="77777777" w:rsidR="00B77508" w:rsidRPr="00E27F3C" w:rsidRDefault="00B77508" w:rsidP="00B77508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>Umiddelbart efter det medicinske indgreb bør eventuelle bivirkninger som følge af manglende normal blinkefrekvens, mens bedøvelsen varer ved, imødegås ved hjælp af specifikke foranstaltninger, såsom topisk indgivelse af kunstig tårevæske.</w:t>
      </w:r>
    </w:p>
    <w:p w14:paraId="5482B29F" w14:textId="77777777" w:rsidR="00B77508" w:rsidRPr="00E27F3C" w:rsidRDefault="00B77508" w:rsidP="00B77508">
      <w:pPr>
        <w:ind w:left="851"/>
        <w:rPr>
          <w:sz w:val="24"/>
          <w:szCs w:val="24"/>
        </w:rPr>
      </w:pPr>
    </w:p>
    <w:p w14:paraId="350B55BB" w14:textId="77777777" w:rsidR="00B77508" w:rsidRPr="00E27F3C" w:rsidRDefault="00B77508" w:rsidP="00B77508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Systemisk absorption kan reduceres ved at trykke på </w:t>
      </w:r>
      <w:proofErr w:type="spellStart"/>
      <w:r w:rsidRPr="00E27F3C">
        <w:rPr>
          <w:sz w:val="24"/>
          <w:szCs w:val="24"/>
        </w:rPr>
        <w:t>lacrimalsækken</w:t>
      </w:r>
      <w:proofErr w:type="spellEnd"/>
      <w:r w:rsidRPr="00E27F3C">
        <w:rPr>
          <w:sz w:val="24"/>
          <w:szCs w:val="24"/>
        </w:rPr>
        <w:t xml:space="preserve"> ved den </w:t>
      </w:r>
      <w:proofErr w:type="spellStart"/>
      <w:r w:rsidRPr="00E27F3C">
        <w:rPr>
          <w:sz w:val="24"/>
          <w:szCs w:val="24"/>
        </w:rPr>
        <w:t>mediale</w:t>
      </w:r>
      <w:proofErr w:type="spellEnd"/>
      <w:r w:rsidRPr="00E27F3C">
        <w:rPr>
          <w:sz w:val="24"/>
          <w:szCs w:val="24"/>
        </w:rPr>
        <w:t xml:space="preserve"> </w:t>
      </w:r>
      <w:proofErr w:type="spellStart"/>
      <w:r w:rsidRPr="00E27F3C">
        <w:rPr>
          <w:sz w:val="24"/>
          <w:szCs w:val="24"/>
        </w:rPr>
        <w:t>canthus</w:t>
      </w:r>
      <w:proofErr w:type="spellEnd"/>
      <w:r w:rsidRPr="00E27F3C">
        <w:rPr>
          <w:sz w:val="24"/>
          <w:szCs w:val="24"/>
        </w:rPr>
        <w:t xml:space="preserve"> i 1-2 minutters under og efter </w:t>
      </w:r>
      <w:proofErr w:type="spellStart"/>
      <w:r w:rsidRPr="00E27F3C">
        <w:rPr>
          <w:sz w:val="24"/>
          <w:szCs w:val="24"/>
        </w:rPr>
        <w:t>inddrypning</w:t>
      </w:r>
      <w:proofErr w:type="spellEnd"/>
      <w:r w:rsidRPr="00E27F3C">
        <w:rPr>
          <w:sz w:val="24"/>
          <w:szCs w:val="24"/>
        </w:rPr>
        <w:t xml:space="preserve"> af dråberne. Dette blokerer passagen af dråberne via </w:t>
      </w:r>
      <w:proofErr w:type="spellStart"/>
      <w:r w:rsidRPr="00E27F3C">
        <w:rPr>
          <w:sz w:val="24"/>
          <w:szCs w:val="24"/>
        </w:rPr>
        <w:t>naso</w:t>
      </w:r>
      <w:proofErr w:type="spellEnd"/>
      <w:r w:rsidRPr="00E27F3C">
        <w:rPr>
          <w:sz w:val="24"/>
          <w:szCs w:val="24"/>
        </w:rPr>
        <w:t xml:space="preserve"> </w:t>
      </w:r>
      <w:proofErr w:type="spellStart"/>
      <w:r w:rsidRPr="00E27F3C">
        <w:rPr>
          <w:sz w:val="24"/>
          <w:szCs w:val="24"/>
        </w:rPr>
        <w:t>lacrimalkanalen</w:t>
      </w:r>
      <w:proofErr w:type="spellEnd"/>
      <w:r w:rsidRPr="00E27F3C">
        <w:rPr>
          <w:sz w:val="24"/>
          <w:szCs w:val="24"/>
        </w:rPr>
        <w:t xml:space="preserve"> til det store absorberende område af næse- og svælgslimhinden.</w:t>
      </w:r>
    </w:p>
    <w:p w14:paraId="0EE4A3DB" w14:textId="77777777" w:rsidR="00B77508" w:rsidRPr="00E27F3C" w:rsidRDefault="00B77508" w:rsidP="00B77508">
      <w:pPr>
        <w:ind w:left="851"/>
        <w:rPr>
          <w:sz w:val="24"/>
          <w:szCs w:val="24"/>
        </w:rPr>
      </w:pPr>
    </w:p>
    <w:p w14:paraId="746EAF85" w14:textId="43DFABA5" w:rsidR="00B77508" w:rsidRPr="00E27F3C" w:rsidRDefault="00B77508" w:rsidP="00B77508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Forkert anvendelse, såsom gentagen brug i tilfælde af smerte, kan resultere i alvorlig hornhindeskade, nedsat syn og tab af hornhindefølsomhed. Hvis administrationen straks afbrydes, kan hornhindevævet i nogle tilfælde regenerere. I andre tilfælde skal der udføres en </w:t>
      </w:r>
      <w:proofErr w:type="spellStart"/>
      <w:r w:rsidRPr="00E27F3C">
        <w:rPr>
          <w:sz w:val="24"/>
          <w:szCs w:val="24"/>
        </w:rPr>
        <w:t>keratoplastik</w:t>
      </w:r>
      <w:proofErr w:type="spellEnd"/>
      <w:r w:rsidRPr="00E27F3C">
        <w:rPr>
          <w:sz w:val="24"/>
          <w:szCs w:val="24"/>
        </w:rPr>
        <w:t xml:space="preserve">. </w:t>
      </w:r>
    </w:p>
    <w:p w14:paraId="55506C8A" w14:textId="77777777" w:rsidR="00B77508" w:rsidRPr="00E27F3C" w:rsidRDefault="00B77508" w:rsidP="00B77508">
      <w:pPr>
        <w:ind w:left="851"/>
        <w:rPr>
          <w:sz w:val="24"/>
          <w:szCs w:val="24"/>
        </w:rPr>
      </w:pPr>
    </w:p>
    <w:p w14:paraId="0960C147" w14:textId="77777777" w:rsidR="00B77508" w:rsidRPr="00E27F3C" w:rsidRDefault="00B77508" w:rsidP="00B77508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Brug med forsigtighed i et betændt øje, da </w:t>
      </w:r>
      <w:proofErr w:type="spellStart"/>
      <w:r w:rsidRPr="00E27F3C">
        <w:rPr>
          <w:sz w:val="24"/>
          <w:szCs w:val="24"/>
        </w:rPr>
        <w:t>hyperæmi</w:t>
      </w:r>
      <w:proofErr w:type="spellEnd"/>
      <w:r w:rsidRPr="00E27F3C">
        <w:rPr>
          <w:sz w:val="24"/>
          <w:szCs w:val="24"/>
        </w:rPr>
        <w:t xml:space="preserve"> i høj grad øger hastigheden af systemisk absorption gennem bindehinden.</w:t>
      </w:r>
    </w:p>
    <w:p w14:paraId="5FE37DC8" w14:textId="77777777" w:rsidR="00B77508" w:rsidRPr="00E27F3C" w:rsidRDefault="00B77508" w:rsidP="00B77508">
      <w:pPr>
        <w:ind w:left="851"/>
        <w:rPr>
          <w:sz w:val="24"/>
          <w:szCs w:val="24"/>
        </w:rPr>
      </w:pPr>
    </w:p>
    <w:p w14:paraId="66BCA1EB" w14:textId="77777777" w:rsidR="00B77508" w:rsidRPr="00E27F3C" w:rsidRDefault="00B77508" w:rsidP="00B77508">
      <w:pPr>
        <w:autoSpaceDE w:val="0"/>
        <w:autoSpaceDN w:val="0"/>
        <w:adjustRightInd w:val="0"/>
        <w:ind w:left="851"/>
        <w:rPr>
          <w:sz w:val="24"/>
          <w:szCs w:val="24"/>
          <w:lang w:eastAsia="en-GB"/>
        </w:rPr>
      </w:pPr>
      <w:r w:rsidRPr="00E27F3C">
        <w:rPr>
          <w:sz w:val="24"/>
          <w:szCs w:val="24"/>
          <w:lang w:eastAsia="en-GB"/>
        </w:rPr>
        <w:t>Ved utilsigtet indtagelse eller ved langvarig overdosering kan lægemidlet forårsage toksiske fænomener såsom kramper, åndedrætsstop, fald i hjertefrekvens og blodtryk.</w:t>
      </w:r>
    </w:p>
    <w:p w14:paraId="6D9C9E9E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14:paraId="2C7E02F8" w14:textId="77777777" w:rsidR="00B77508" w:rsidRPr="00E27F3C" w:rsidRDefault="00B77508" w:rsidP="00B77508">
      <w:pPr>
        <w:ind w:left="851"/>
        <w:rPr>
          <w:sz w:val="24"/>
          <w:szCs w:val="24"/>
        </w:rPr>
      </w:pPr>
      <w:r w:rsidRPr="00E27F3C">
        <w:rPr>
          <w:sz w:val="24"/>
          <w:szCs w:val="24"/>
          <w:u w:val="single"/>
        </w:rPr>
        <w:t>Kontaktlinser</w:t>
      </w:r>
    </w:p>
    <w:p w14:paraId="7944A966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  <w:lang w:eastAsia="en-GB"/>
        </w:rPr>
      </w:pPr>
      <w:r w:rsidRPr="00E27F3C">
        <w:rPr>
          <w:sz w:val="24"/>
          <w:szCs w:val="24"/>
        </w:rPr>
        <w:t xml:space="preserve">Kontaktlinser skal fjernes, før dråberne </w:t>
      </w:r>
      <w:proofErr w:type="spellStart"/>
      <w:r w:rsidRPr="00E27F3C">
        <w:rPr>
          <w:sz w:val="24"/>
          <w:szCs w:val="24"/>
        </w:rPr>
        <w:t>inddryppes</w:t>
      </w:r>
      <w:proofErr w:type="spellEnd"/>
      <w:r w:rsidRPr="00E27F3C">
        <w:rPr>
          <w:sz w:val="24"/>
          <w:szCs w:val="24"/>
        </w:rPr>
        <w:t xml:space="preserve"> i øjet, og først sættes tilbage på øjet, når bedøvelsesvirkningen er helt aftaget (mindst en time efter </w:t>
      </w:r>
      <w:proofErr w:type="spellStart"/>
      <w:r w:rsidRPr="00E27F3C">
        <w:rPr>
          <w:sz w:val="24"/>
          <w:szCs w:val="24"/>
        </w:rPr>
        <w:t>inddrypning</w:t>
      </w:r>
      <w:proofErr w:type="spellEnd"/>
      <w:r w:rsidRPr="00E27F3C">
        <w:rPr>
          <w:sz w:val="24"/>
          <w:szCs w:val="24"/>
        </w:rPr>
        <w:t>). Manglende overholdelse af dette kan føre til hornhindeskader.</w:t>
      </w:r>
    </w:p>
    <w:p w14:paraId="09C328CC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00D4EE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4.5</w:t>
      </w:r>
      <w:r w:rsidRPr="00E27F3C">
        <w:rPr>
          <w:b/>
          <w:sz w:val="24"/>
          <w:szCs w:val="24"/>
        </w:rPr>
        <w:tab/>
        <w:t>Interaktion med andre lægemidler og andre former for interaktion</w:t>
      </w:r>
    </w:p>
    <w:p w14:paraId="0414AB0E" w14:textId="77777777" w:rsidR="00B77508" w:rsidRPr="00E27F3C" w:rsidRDefault="00B77508" w:rsidP="00E27F3C">
      <w:pPr>
        <w:ind w:left="851"/>
        <w:rPr>
          <w:sz w:val="24"/>
          <w:szCs w:val="24"/>
          <w:lang w:eastAsia="da-DK"/>
        </w:rPr>
      </w:pPr>
      <w:proofErr w:type="spellStart"/>
      <w:r w:rsidRPr="00E27F3C">
        <w:rPr>
          <w:sz w:val="24"/>
          <w:szCs w:val="24"/>
        </w:rPr>
        <w:t>Oxybuprocain</w:t>
      </w:r>
      <w:proofErr w:type="spellEnd"/>
      <w:r w:rsidRPr="00E27F3C">
        <w:rPr>
          <w:sz w:val="24"/>
          <w:szCs w:val="24"/>
        </w:rPr>
        <w:t xml:space="preserve"> kan reducere den antimikrobielle virkning af sulfonamider.</w:t>
      </w:r>
    </w:p>
    <w:p w14:paraId="27F2F4DB" w14:textId="77777777" w:rsidR="00B77508" w:rsidRPr="00E27F3C" w:rsidRDefault="00B77508" w:rsidP="00E27F3C">
      <w:pPr>
        <w:ind w:left="851"/>
        <w:rPr>
          <w:sz w:val="24"/>
          <w:szCs w:val="24"/>
        </w:rPr>
      </w:pPr>
    </w:p>
    <w:p w14:paraId="7DF5787D" w14:textId="2F438F2A" w:rsidR="009260DE" w:rsidRPr="00E27F3C" w:rsidRDefault="00B77508" w:rsidP="00E27F3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27F3C">
        <w:rPr>
          <w:sz w:val="24"/>
          <w:szCs w:val="24"/>
        </w:rPr>
        <w:t>Oxybuprocain</w:t>
      </w:r>
      <w:proofErr w:type="spellEnd"/>
      <w:r w:rsidRPr="00E27F3C">
        <w:rPr>
          <w:sz w:val="24"/>
          <w:szCs w:val="24"/>
        </w:rPr>
        <w:t xml:space="preserve"> kan hæmme væksten af flere bakteriestammer. Dette kan føre til falsk negative kulturer fra bakterieprøver af bakteriel </w:t>
      </w:r>
      <w:proofErr w:type="spellStart"/>
      <w:r w:rsidRPr="00E27F3C">
        <w:rPr>
          <w:sz w:val="24"/>
          <w:szCs w:val="24"/>
        </w:rPr>
        <w:t>keratitis</w:t>
      </w:r>
      <w:proofErr w:type="spellEnd"/>
      <w:r w:rsidRPr="00E27F3C">
        <w:rPr>
          <w:sz w:val="24"/>
          <w:szCs w:val="24"/>
        </w:rPr>
        <w:t xml:space="preserve">. Før hornhindeprøvetagning skal </w:t>
      </w:r>
      <w:proofErr w:type="spellStart"/>
      <w:r w:rsidRPr="00E27F3C">
        <w:rPr>
          <w:sz w:val="24"/>
          <w:szCs w:val="24"/>
        </w:rPr>
        <w:t>oxybuprocain</w:t>
      </w:r>
      <w:proofErr w:type="spellEnd"/>
      <w:r w:rsidRPr="00E27F3C">
        <w:rPr>
          <w:sz w:val="24"/>
          <w:szCs w:val="24"/>
        </w:rPr>
        <w:t xml:space="preserve"> derfor fortyndes mere end 1:2 for at forhindre dets antibakterielle virkning på </w:t>
      </w:r>
      <w:r w:rsidRPr="00E27F3C">
        <w:rPr>
          <w:i/>
          <w:iCs/>
          <w:sz w:val="24"/>
          <w:szCs w:val="24"/>
        </w:rPr>
        <w:t>S. aureus</w:t>
      </w:r>
      <w:r w:rsidRPr="00E27F3C">
        <w:rPr>
          <w:sz w:val="24"/>
          <w:szCs w:val="24"/>
        </w:rPr>
        <w:t xml:space="preserve">, </w:t>
      </w:r>
      <w:r w:rsidRPr="00E27F3C">
        <w:rPr>
          <w:i/>
          <w:iCs/>
          <w:sz w:val="24"/>
          <w:szCs w:val="24"/>
        </w:rPr>
        <w:t xml:space="preserve">P. </w:t>
      </w:r>
      <w:proofErr w:type="spellStart"/>
      <w:r w:rsidRPr="00E27F3C">
        <w:rPr>
          <w:i/>
          <w:iCs/>
          <w:sz w:val="24"/>
          <w:szCs w:val="24"/>
        </w:rPr>
        <w:t>aeruginosa</w:t>
      </w:r>
      <w:proofErr w:type="spellEnd"/>
      <w:r w:rsidRPr="00E27F3C">
        <w:rPr>
          <w:sz w:val="24"/>
          <w:szCs w:val="24"/>
        </w:rPr>
        <w:t xml:space="preserve"> og </w:t>
      </w:r>
      <w:r w:rsidRPr="00E27F3C">
        <w:rPr>
          <w:i/>
          <w:iCs/>
          <w:sz w:val="24"/>
          <w:szCs w:val="24"/>
        </w:rPr>
        <w:t xml:space="preserve">S. </w:t>
      </w:r>
      <w:proofErr w:type="spellStart"/>
      <w:r w:rsidRPr="00E27F3C">
        <w:rPr>
          <w:i/>
          <w:iCs/>
          <w:sz w:val="24"/>
          <w:szCs w:val="24"/>
        </w:rPr>
        <w:t>pneumoniae</w:t>
      </w:r>
      <w:proofErr w:type="spellEnd"/>
      <w:r w:rsidRPr="00E27F3C">
        <w:rPr>
          <w:sz w:val="24"/>
          <w:szCs w:val="24"/>
        </w:rPr>
        <w:t xml:space="preserve">, og mere end 1:4 for at forhindre dets antibakterielle virkning på </w:t>
      </w:r>
      <w:r w:rsidRPr="00E27F3C">
        <w:rPr>
          <w:i/>
          <w:iCs/>
          <w:sz w:val="24"/>
          <w:szCs w:val="24"/>
        </w:rPr>
        <w:t xml:space="preserve">S. </w:t>
      </w:r>
      <w:proofErr w:type="spellStart"/>
      <w:r w:rsidRPr="00E27F3C">
        <w:rPr>
          <w:i/>
          <w:iCs/>
          <w:sz w:val="24"/>
          <w:szCs w:val="24"/>
        </w:rPr>
        <w:t>epidermidis</w:t>
      </w:r>
      <w:proofErr w:type="spellEnd"/>
      <w:r w:rsidRPr="00E27F3C">
        <w:rPr>
          <w:sz w:val="24"/>
          <w:szCs w:val="24"/>
        </w:rPr>
        <w:t xml:space="preserve"> til reduktion af falsk negative kulturer fra hornhindeprøver af bakteriel </w:t>
      </w:r>
      <w:proofErr w:type="spellStart"/>
      <w:r w:rsidRPr="00E27F3C">
        <w:rPr>
          <w:sz w:val="24"/>
          <w:szCs w:val="24"/>
        </w:rPr>
        <w:t>keratitis</w:t>
      </w:r>
      <w:proofErr w:type="spellEnd"/>
      <w:r w:rsidRPr="00E27F3C">
        <w:rPr>
          <w:sz w:val="24"/>
          <w:szCs w:val="24"/>
        </w:rPr>
        <w:t>.</w:t>
      </w:r>
    </w:p>
    <w:p w14:paraId="4D1C3EEF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A7237A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4.6</w:t>
      </w:r>
      <w:r w:rsidRPr="00E27F3C">
        <w:rPr>
          <w:b/>
          <w:sz w:val="24"/>
          <w:szCs w:val="24"/>
        </w:rPr>
        <w:tab/>
      </w:r>
      <w:r w:rsidR="0071241E" w:rsidRPr="00E27F3C">
        <w:rPr>
          <w:b/>
          <w:sz w:val="24"/>
          <w:szCs w:val="24"/>
        </w:rPr>
        <w:t>Fertilitet, g</w:t>
      </w:r>
      <w:r w:rsidRPr="00E27F3C">
        <w:rPr>
          <w:b/>
          <w:sz w:val="24"/>
          <w:szCs w:val="24"/>
        </w:rPr>
        <w:t>raviditet og amning</w:t>
      </w:r>
    </w:p>
    <w:p w14:paraId="26A498CA" w14:textId="3AC942CD" w:rsidR="00B77508" w:rsidRPr="00E27F3C" w:rsidRDefault="00B77508" w:rsidP="00B77508">
      <w:pPr>
        <w:pStyle w:val="Brdtekstindrykning"/>
        <w:spacing w:after="0"/>
        <w:ind w:left="851"/>
        <w:rPr>
          <w:sz w:val="24"/>
          <w:szCs w:val="24"/>
          <w:lang w:eastAsia="da-DK"/>
        </w:rPr>
      </w:pPr>
      <w:r w:rsidRPr="00E27F3C">
        <w:rPr>
          <w:sz w:val="24"/>
          <w:szCs w:val="24"/>
        </w:rPr>
        <w:t xml:space="preserve">Der foreligger ingen </w:t>
      </w:r>
      <w:r w:rsidRPr="00E27F3C">
        <w:rPr>
          <w:rStyle w:val="trns-org-res"/>
          <w:sz w:val="24"/>
          <w:szCs w:val="24"/>
        </w:rPr>
        <w:t xml:space="preserve">tilstrækkelige og velkontrollerede studier vedrørende brugen af dette lægemiddel under graviditet eller amning. </w:t>
      </w:r>
      <w:r w:rsidRPr="00E27F3C">
        <w:rPr>
          <w:sz w:val="24"/>
          <w:szCs w:val="24"/>
        </w:rPr>
        <w:t xml:space="preserve">Lægemidlet må derfor kun anvendes, når lægen anser det for nødvendigt og efter en vurdering af </w:t>
      </w:r>
      <w:r w:rsidRPr="00E27F3C">
        <w:rPr>
          <w:rStyle w:val="trns-org-res"/>
          <w:sz w:val="24"/>
          <w:szCs w:val="24"/>
        </w:rPr>
        <w:t xml:space="preserve">den forventede fordel for moderen i forhold til den mulige risiko for fosteret eller den nyfødte. </w:t>
      </w:r>
    </w:p>
    <w:p w14:paraId="1F747799" w14:textId="2B386F8E" w:rsidR="00E27F3C" w:rsidRDefault="00E27F3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F1C6CEF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21CDB3C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4.7</w:t>
      </w:r>
      <w:r w:rsidRPr="00E27F3C">
        <w:rPr>
          <w:b/>
          <w:sz w:val="24"/>
          <w:szCs w:val="24"/>
        </w:rPr>
        <w:tab/>
        <w:t xml:space="preserve">Virkning på evnen til at føre motorkøretøj </w:t>
      </w:r>
      <w:r w:rsidR="0071241E" w:rsidRPr="00E27F3C">
        <w:rPr>
          <w:b/>
          <w:sz w:val="24"/>
          <w:szCs w:val="24"/>
        </w:rPr>
        <w:t>og</w:t>
      </w:r>
      <w:r w:rsidRPr="00E27F3C">
        <w:rPr>
          <w:b/>
          <w:sz w:val="24"/>
          <w:szCs w:val="24"/>
        </w:rPr>
        <w:t xml:space="preserve"> betjene maskiner</w:t>
      </w:r>
    </w:p>
    <w:p w14:paraId="7B43400B" w14:textId="77777777" w:rsidR="00E27F3C" w:rsidRPr="00E27F3C" w:rsidRDefault="00E27F3C" w:rsidP="00B77508">
      <w:pPr>
        <w:tabs>
          <w:tab w:val="left" w:pos="851"/>
        </w:tabs>
        <w:ind w:left="851"/>
        <w:rPr>
          <w:sz w:val="24"/>
          <w:szCs w:val="24"/>
        </w:rPr>
      </w:pPr>
      <w:r w:rsidRPr="00E27F3C">
        <w:rPr>
          <w:sz w:val="24"/>
          <w:szCs w:val="24"/>
        </w:rPr>
        <w:t>Ikke mærkning.</w:t>
      </w:r>
    </w:p>
    <w:p w14:paraId="1E58CB84" w14:textId="66A5A1F6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E27F3C">
        <w:rPr>
          <w:sz w:val="24"/>
          <w:szCs w:val="24"/>
        </w:rPr>
        <w:t>Oftasen</w:t>
      </w:r>
      <w:proofErr w:type="spellEnd"/>
      <w:r w:rsidRPr="00E27F3C">
        <w:rPr>
          <w:sz w:val="24"/>
          <w:szCs w:val="24"/>
        </w:rPr>
        <w:t xml:space="preserve"> har stor indflydelse på evnen til at føre motorkøretøj og betjene maskiner. Patienter bør ikke køre eller betjene maskiner, før synet er normalt igen.</w:t>
      </w:r>
    </w:p>
    <w:p w14:paraId="5A1EDADA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BECDA9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4.8</w:t>
      </w:r>
      <w:r w:rsidRPr="00E27F3C">
        <w:rPr>
          <w:b/>
          <w:sz w:val="24"/>
          <w:szCs w:val="24"/>
        </w:rPr>
        <w:tab/>
        <w:t>Bivirkninger</w:t>
      </w:r>
    </w:p>
    <w:p w14:paraId="657097EE" w14:textId="77777777" w:rsidR="00B77508" w:rsidRPr="00E27F3C" w:rsidRDefault="00B77508" w:rsidP="00B77508">
      <w:pPr>
        <w:ind w:left="851"/>
        <w:rPr>
          <w:sz w:val="24"/>
          <w:szCs w:val="24"/>
          <w:lang w:eastAsia="da-DK"/>
        </w:rPr>
      </w:pPr>
      <w:r w:rsidRPr="00E27F3C">
        <w:rPr>
          <w:sz w:val="24"/>
          <w:szCs w:val="24"/>
        </w:rPr>
        <w:t>Den mest almindelige bivirkning er lokal irritation.</w:t>
      </w:r>
    </w:p>
    <w:p w14:paraId="2B817D0C" w14:textId="77777777" w:rsidR="00B77508" w:rsidRPr="00E27F3C" w:rsidRDefault="00B77508" w:rsidP="00B77508">
      <w:pPr>
        <w:ind w:left="851"/>
        <w:rPr>
          <w:sz w:val="24"/>
          <w:szCs w:val="24"/>
        </w:rPr>
      </w:pPr>
    </w:p>
    <w:p w14:paraId="21A70B4E" w14:textId="77777777" w:rsidR="00B77508" w:rsidRPr="00E27F3C" w:rsidRDefault="00B77508" w:rsidP="00B77508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>På grund af den lave systemiske absorption er systemiske bivirkninger meget sjældne.</w:t>
      </w:r>
    </w:p>
    <w:p w14:paraId="20696FED" w14:textId="77777777" w:rsidR="00B77508" w:rsidRPr="00E27F3C" w:rsidRDefault="00B77508" w:rsidP="00B77508">
      <w:pPr>
        <w:ind w:left="851"/>
        <w:rPr>
          <w:sz w:val="24"/>
          <w:szCs w:val="24"/>
        </w:rPr>
      </w:pPr>
    </w:p>
    <w:p w14:paraId="07F7A09B" w14:textId="77777777" w:rsidR="00B77508" w:rsidRPr="00E27F3C" w:rsidRDefault="00B77508" w:rsidP="00B77508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Bivirkningerne er anført nedenfor i henhold til </w:t>
      </w:r>
      <w:proofErr w:type="spellStart"/>
      <w:r w:rsidRPr="00E27F3C">
        <w:rPr>
          <w:sz w:val="24"/>
          <w:szCs w:val="24"/>
        </w:rPr>
        <w:t>MedDRA</w:t>
      </w:r>
      <w:proofErr w:type="spellEnd"/>
      <w:r w:rsidRPr="00E27F3C">
        <w:rPr>
          <w:sz w:val="24"/>
          <w:szCs w:val="24"/>
        </w:rPr>
        <w:t xml:space="preserve"> systemorganklasser. Hyppighed defineres som: Meget almindelig (≥1/10), almindelig (≥1/100 til &lt;1/10), ikke almindelig (≥1/1 000 til &lt;1/100), sjælden (≥1/10 000 til &lt;1/1 000), meget sjælden (&lt;1/10 000), ikke kendt (kan ikke estimeres ud fra forhåndenværende data).</w:t>
      </w:r>
    </w:p>
    <w:p w14:paraId="41D9150D" w14:textId="77777777" w:rsidR="00B77508" w:rsidRPr="00E27F3C" w:rsidRDefault="00B77508" w:rsidP="00B77508">
      <w:pPr>
        <w:ind w:left="851"/>
        <w:rPr>
          <w:sz w:val="24"/>
          <w:szCs w:val="24"/>
        </w:rPr>
      </w:pPr>
    </w:p>
    <w:tbl>
      <w:tblPr>
        <w:tblW w:w="9063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2"/>
      </w:tblGrid>
      <w:tr w:rsidR="00B77508" w:rsidRPr="00E27F3C" w14:paraId="2FA60997" w14:textId="77777777" w:rsidTr="00B77508">
        <w:trPr>
          <w:trHeight w:val="397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E416" w14:textId="77777777" w:rsidR="00B77508" w:rsidRPr="00E27F3C" w:rsidRDefault="00B77508">
            <w:pPr>
              <w:pStyle w:val="Opstilling-forts2"/>
              <w:spacing w:after="0"/>
              <w:ind w:left="0"/>
              <w:rPr>
                <w:b/>
                <w:szCs w:val="24"/>
                <w:lang w:eastAsia="en-GB"/>
              </w:rPr>
            </w:pPr>
            <w:bookmarkStart w:id="2" w:name="_Hlk159851005"/>
            <w:r w:rsidRPr="00E27F3C">
              <w:rPr>
                <w:b/>
                <w:szCs w:val="24"/>
                <w:lang w:eastAsia="en-GB"/>
              </w:rPr>
              <w:t>Systemorganklasse/hyppighed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EC32" w14:textId="77777777" w:rsidR="00B77508" w:rsidRPr="00E27F3C" w:rsidRDefault="00B77508">
            <w:pPr>
              <w:pStyle w:val="Opstilling-forts2"/>
              <w:spacing w:after="0"/>
              <w:ind w:left="0"/>
              <w:rPr>
                <w:b/>
                <w:szCs w:val="24"/>
                <w:lang w:eastAsia="en-GB"/>
              </w:rPr>
            </w:pPr>
            <w:proofErr w:type="spellStart"/>
            <w:r w:rsidRPr="00E27F3C">
              <w:rPr>
                <w:b/>
                <w:szCs w:val="24"/>
                <w:lang w:eastAsia="en-GB"/>
              </w:rPr>
              <w:t>MedDRA</w:t>
            </w:r>
            <w:proofErr w:type="spellEnd"/>
            <w:r w:rsidRPr="00E27F3C">
              <w:rPr>
                <w:b/>
                <w:szCs w:val="24"/>
                <w:lang w:eastAsia="en-GB"/>
              </w:rPr>
              <w:t xml:space="preserve"> foretrukken term</w:t>
            </w:r>
          </w:p>
        </w:tc>
      </w:tr>
      <w:tr w:rsidR="00B77508" w:rsidRPr="00E27F3C" w14:paraId="426FDB6F" w14:textId="77777777" w:rsidTr="00B77508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CAAE04" w14:textId="77777777" w:rsidR="00B77508" w:rsidRPr="00E27F3C" w:rsidRDefault="00B77508">
            <w:pPr>
              <w:pStyle w:val="Opstilling-forts2"/>
              <w:spacing w:after="0"/>
              <w:ind w:left="0"/>
              <w:rPr>
                <w:b/>
                <w:szCs w:val="24"/>
                <w:lang w:eastAsia="en-GB"/>
              </w:rPr>
            </w:pPr>
            <w:r w:rsidRPr="00E27F3C">
              <w:rPr>
                <w:b/>
                <w:szCs w:val="24"/>
                <w:lang w:eastAsia="en-GB"/>
              </w:rPr>
              <w:t>Immunsystemet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827FDB" w14:textId="77777777" w:rsidR="00B77508" w:rsidRPr="00E27F3C" w:rsidRDefault="00B77508">
            <w:pPr>
              <w:pStyle w:val="Opstilling-forts2"/>
              <w:spacing w:after="0"/>
              <w:ind w:left="0"/>
              <w:rPr>
                <w:bCs/>
                <w:szCs w:val="24"/>
                <w:lang w:eastAsia="en-GB"/>
              </w:rPr>
            </w:pPr>
          </w:p>
        </w:tc>
      </w:tr>
      <w:tr w:rsidR="00B77508" w:rsidRPr="00E27F3C" w14:paraId="65EA2265" w14:textId="77777777" w:rsidTr="00B77508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21A4C" w14:textId="77777777" w:rsidR="00B77508" w:rsidRPr="00E27F3C" w:rsidRDefault="00B77508">
            <w:pPr>
              <w:pStyle w:val="Opstilling-forts2"/>
              <w:spacing w:after="0"/>
              <w:ind w:left="0"/>
              <w:rPr>
                <w:bCs/>
                <w:i/>
                <w:iCs/>
                <w:szCs w:val="24"/>
                <w:lang w:eastAsia="en-GB"/>
              </w:rPr>
            </w:pPr>
            <w:r w:rsidRPr="00E27F3C">
              <w:rPr>
                <w:i/>
                <w:iCs/>
                <w:szCs w:val="24"/>
                <w:lang w:eastAsia="en-GB"/>
              </w:rPr>
              <w:t>Ikke kendt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C1CD" w14:textId="77777777" w:rsidR="00B77508" w:rsidRPr="00E27F3C" w:rsidRDefault="00B77508">
            <w:pPr>
              <w:pStyle w:val="Opstilling-forts2"/>
              <w:spacing w:after="0"/>
              <w:ind w:left="0"/>
              <w:rPr>
                <w:bCs/>
                <w:szCs w:val="24"/>
                <w:lang w:eastAsia="en-GB"/>
              </w:rPr>
            </w:pPr>
            <w:r w:rsidRPr="00E27F3C">
              <w:rPr>
                <w:bCs/>
                <w:szCs w:val="24"/>
                <w:lang w:eastAsia="en-GB"/>
              </w:rPr>
              <w:t xml:space="preserve">Hypersensitivitetsreaktion. </w:t>
            </w:r>
          </w:p>
          <w:p w14:paraId="0DD2E0C5" w14:textId="77777777" w:rsidR="00B77508" w:rsidRPr="00E27F3C" w:rsidRDefault="00B77508">
            <w:pPr>
              <w:pStyle w:val="Opstilling-forts2"/>
              <w:spacing w:after="0"/>
              <w:ind w:left="0"/>
              <w:rPr>
                <w:bCs/>
                <w:szCs w:val="24"/>
                <w:lang w:eastAsia="en-GB"/>
              </w:rPr>
            </w:pPr>
            <w:proofErr w:type="spellStart"/>
            <w:r w:rsidRPr="00E27F3C">
              <w:rPr>
                <w:bCs/>
                <w:szCs w:val="24"/>
                <w:lang w:eastAsia="en-GB"/>
              </w:rPr>
              <w:t>Anafylaktisk</w:t>
            </w:r>
            <w:proofErr w:type="spellEnd"/>
            <w:r w:rsidRPr="00E27F3C">
              <w:rPr>
                <w:bCs/>
                <w:szCs w:val="24"/>
                <w:lang w:eastAsia="en-GB"/>
              </w:rPr>
              <w:t xml:space="preserve"> reaktion/</w:t>
            </w:r>
            <w:proofErr w:type="spellStart"/>
            <w:r w:rsidRPr="00E27F3C">
              <w:rPr>
                <w:bCs/>
                <w:szCs w:val="24"/>
                <w:lang w:eastAsia="en-GB"/>
              </w:rPr>
              <w:t>shock</w:t>
            </w:r>
            <w:proofErr w:type="spellEnd"/>
            <w:r w:rsidRPr="00E27F3C">
              <w:rPr>
                <w:bCs/>
                <w:szCs w:val="24"/>
                <w:lang w:eastAsia="en-GB"/>
              </w:rPr>
              <w:t>.</w:t>
            </w:r>
          </w:p>
          <w:p w14:paraId="6E058C74" w14:textId="77777777" w:rsidR="00B77508" w:rsidRPr="00E27F3C" w:rsidRDefault="00B77508">
            <w:pPr>
              <w:pStyle w:val="Opstilling-forts2"/>
              <w:spacing w:after="0"/>
              <w:ind w:left="0"/>
              <w:rPr>
                <w:bCs/>
                <w:szCs w:val="24"/>
                <w:lang w:eastAsia="en-GB"/>
              </w:rPr>
            </w:pPr>
          </w:p>
        </w:tc>
      </w:tr>
      <w:tr w:rsidR="00B77508" w:rsidRPr="00E27F3C" w14:paraId="65592B77" w14:textId="77777777" w:rsidTr="00B77508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365807" w14:textId="77777777" w:rsidR="00B77508" w:rsidRPr="00E27F3C" w:rsidRDefault="00B77508">
            <w:pPr>
              <w:pStyle w:val="Opstilling-forts2"/>
              <w:spacing w:after="0"/>
              <w:ind w:left="0"/>
              <w:rPr>
                <w:b/>
                <w:szCs w:val="24"/>
                <w:lang w:eastAsia="en-GB"/>
              </w:rPr>
            </w:pPr>
            <w:r w:rsidRPr="00E27F3C">
              <w:rPr>
                <w:b/>
                <w:bCs/>
                <w:szCs w:val="24"/>
                <w:lang w:eastAsia="en-GB"/>
              </w:rPr>
              <w:t>Nervesystemet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DBEE7E" w14:textId="77777777" w:rsidR="00B77508" w:rsidRPr="00E27F3C" w:rsidRDefault="00B77508">
            <w:pPr>
              <w:pStyle w:val="Opstilling-forts2"/>
              <w:spacing w:after="0"/>
              <w:ind w:left="0"/>
              <w:rPr>
                <w:bCs/>
                <w:szCs w:val="24"/>
                <w:lang w:eastAsia="en-GB"/>
              </w:rPr>
            </w:pPr>
          </w:p>
        </w:tc>
      </w:tr>
      <w:tr w:rsidR="00B77508" w:rsidRPr="00E27F3C" w14:paraId="5BB6FE9D" w14:textId="77777777" w:rsidTr="00B77508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7050" w14:textId="77777777" w:rsidR="00B77508" w:rsidRPr="00E27F3C" w:rsidRDefault="00B77508">
            <w:pPr>
              <w:pStyle w:val="Opstilling-forts2"/>
              <w:spacing w:after="0"/>
              <w:ind w:left="0"/>
              <w:rPr>
                <w:bCs/>
                <w:i/>
                <w:iCs/>
                <w:szCs w:val="24"/>
                <w:lang w:eastAsia="en-GB"/>
              </w:rPr>
            </w:pPr>
            <w:r w:rsidRPr="00E27F3C">
              <w:rPr>
                <w:i/>
                <w:iCs/>
                <w:szCs w:val="24"/>
                <w:lang w:eastAsia="en-GB"/>
              </w:rPr>
              <w:t>Sjælden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7F1D" w14:textId="77777777" w:rsidR="00B77508" w:rsidRPr="00E27F3C" w:rsidRDefault="00B77508">
            <w:pPr>
              <w:pStyle w:val="Opstilling-forts2"/>
              <w:spacing w:after="0"/>
              <w:ind w:left="0"/>
              <w:rPr>
                <w:bCs/>
                <w:szCs w:val="24"/>
                <w:lang w:eastAsia="en-GB"/>
              </w:rPr>
            </w:pPr>
            <w:proofErr w:type="spellStart"/>
            <w:r w:rsidRPr="00E27F3C">
              <w:rPr>
                <w:bCs/>
                <w:szCs w:val="24"/>
                <w:lang w:eastAsia="en-GB"/>
              </w:rPr>
              <w:t>Tremor</w:t>
            </w:r>
            <w:proofErr w:type="spellEnd"/>
            <w:r w:rsidRPr="00E27F3C">
              <w:rPr>
                <w:bCs/>
                <w:szCs w:val="24"/>
                <w:lang w:eastAsia="en-GB"/>
              </w:rPr>
              <w:t>.</w:t>
            </w:r>
          </w:p>
          <w:p w14:paraId="31A32B0A" w14:textId="77777777" w:rsidR="00B77508" w:rsidRPr="00E27F3C" w:rsidRDefault="00B77508">
            <w:pPr>
              <w:pStyle w:val="Opstilling-forts2"/>
              <w:spacing w:after="0"/>
              <w:ind w:left="0"/>
              <w:rPr>
                <w:bCs/>
                <w:szCs w:val="24"/>
                <w:lang w:eastAsia="en-GB"/>
              </w:rPr>
            </w:pPr>
          </w:p>
        </w:tc>
      </w:tr>
      <w:tr w:rsidR="00B77508" w:rsidRPr="00E27F3C" w14:paraId="190B4E98" w14:textId="77777777" w:rsidTr="00B77508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52C107" w14:textId="77777777" w:rsidR="00B77508" w:rsidRPr="00E27F3C" w:rsidRDefault="00B77508">
            <w:pPr>
              <w:pStyle w:val="Opstilling-forts2"/>
              <w:spacing w:after="0"/>
              <w:ind w:left="0"/>
              <w:rPr>
                <w:b/>
                <w:szCs w:val="24"/>
                <w:lang w:eastAsia="en-GB"/>
              </w:rPr>
            </w:pPr>
            <w:r w:rsidRPr="00E27F3C">
              <w:rPr>
                <w:b/>
                <w:szCs w:val="24"/>
                <w:lang w:eastAsia="en-GB"/>
              </w:rPr>
              <w:t>Øjne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C3E3E9" w14:textId="77777777" w:rsidR="00B77508" w:rsidRPr="00E27F3C" w:rsidRDefault="00B77508">
            <w:pPr>
              <w:pStyle w:val="Opstilling-forts2"/>
              <w:spacing w:after="0"/>
              <w:ind w:left="0"/>
              <w:rPr>
                <w:b/>
                <w:szCs w:val="24"/>
                <w:lang w:eastAsia="en-GB"/>
              </w:rPr>
            </w:pPr>
          </w:p>
        </w:tc>
      </w:tr>
      <w:tr w:rsidR="00B77508" w:rsidRPr="00E27F3C" w14:paraId="05BDEA83" w14:textId="77777777" w:rsidTr="00B77508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D2D4E4" w14:textId="77777777" w:rsidR="00B77508" w:rsidRPr="00E27F3C" w:rsidRDefault="00B77508">
            <w:pPr>
              <w:pStyle w:val="Opstilling-forts2"/>
              <w:spacing w:after="0"/>
              <w:ind w:left="0"/>
              <w:rPr>
                <w:i/>
                <w:iCs/>
                <w:szCs w:val="24"/>
                <w:lang w:eastAsia="en-GB"/>
              </w:rPr>
            </w:pPr>
            <w:r w:rsidRPr="00E27F3C">
              <w:rPr>
                <w:i/>
                <w:iCs/>
                <w:szCs w:val="24"/>
                <w:lang w:eastAsia="en-GB"/>
              </w:rPr>
              <w:t xml:space="preserve">Almindelig 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3E0717" w14:textId="77777777" w:rsidR="00B77508" w:rsidRPr="00E27F3C" w:rsidRDefault="00B77508">
            <w:pPr>
              <w:pStyle w:val="Opstilling-forts2"/>
              <w:spacing w:after="0"/>
              <w:ind w:left="0"/>
              <w:rPr>
                <w:szCs w:val="24"/>
                <w:lang w:eastAsia="en-GB"/>
              </w:rPr>
            </w:pPr>
            <w:r w:rsidRPr="00E27F3C">
              <w:rPr>
                <w:szCs w:val="24"/>
                <w:lang w:eastAsia="en-GB"/>
              </w:rPr>
              <w:t xml:space="preserve">Kortvarig brændende og stikkende fornemmelse kan forekomme ved </w:t>
            </w:r>
            <w:proofErr w:type="spellStart"/>
            <w:r w:rsidRPr="00E27F3C">
              <w:rPr>
                <w:szCs w:val="24"/>
                <w:lang w:eastAsia="en-GB"/>
              </w:rPr>
              <w:t>inddrypning</w:t>
            </w:r>
            <w:proofErr w:type="spellEnd"/>
            <w:r w:rsidRPr="00E27F3C">
              <w:rPr>
                <w:szCs w:val="24"/>
                <w:lang w:eastAsia="en-GB"/>
              </w:rPr>
              <w:t>.</w:t>
            </w:r>
          </w:p>
          <w:p w14:paraId="16A2FC83" w14:textId="77777777" w:rsidR="00B77508" w:rsidRPr="00E27F3C" w:rsidRDefault="00B77508">
            <w:pPr>
              <w:pStyle w:val="Opstilling-forts2"/>
              <w:spacing w:after="0"/>
              <w:ind w:left="0"/>
              <w:rPr>
                <w:szCs w:val="24"/>
                <w:lang w:eastAsia="en-GB"/>
              </w:rPr>
            </w:pPr>
            <w:r w:rsidRPr="00E27F3C">
              <w:rPr>
                <w:szCs w:val="24"/>
                <w:lang w:eastAsia="en-GB"/>
              </w:rPr>
              <w:t>Hornhindeskader ved gentagen brug.</w:t>
            </w:r>
          </w:p>
        </w:tc>
      </w:tr>
      <w:tr w:rsidR="00B77508" w:rsidRPr="00E27F3C" w14:paraId="3BB0E512" w14:textId="77777777" w:rsidTr="00B77508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2105AF" w14:textId="77777777" w:rsidR="00E27F3C" w:rsidRPr="00E27F3C" w:rsidRDefault="00E27F3C">
            <w:pPr>
              <w:pStyle w:val="Opstilling-forts2"/>
              <w:spacing w:after="0"/>
              <w:ind w:left="0"/>
              <w:rPr>
                <w:i/>
                <w:iCs/>
                <w:szCs w:val="24"/>
                <w:lang w:eastAsia="en-GB"/>
              </w:rPr>
            </w:pPr>
          </w:p>
          <w:p w14:paraId="61DA4A8D" w14:textId="1EBC8AAE" w:rsidR="00B77508" w:rsidRPr="00E27F3C" w:rsidRDefault="00B77508">
            <w:pPr>
              <w:pStyle w:val="Opstilling-forts2"/>
              <w:spacing w:after="0"/>
              <w:ind w:left="0"/>
              <w:rPr>
                <w:i/>
                <w:iCs/>
                <w:szCs w:val="24"/>
                <w:lang w:eastAsia="en-GB"/>
              </w:rPr>
            </w:pPr>
            <w:r w:rsidRPr="00E27F3C">
              <w:rPr>
                <w:i/>
                <w:iCs/>
                <w:szCs w:val="24"/>
                <w:lang w:eastAsia="en-GB"/>
              </w:rPr>
              <w:t xml:space="preserve">Sjælden 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25C9D4" w14:textId="77777777" w:rsidR="00E27F3C" w:rsidRPr="00E27F3C" w:rsidRDefault="00E27F3C">
            <w:pPr>
              <w:pStyle w:val="Opstilling-forts2"/>
              <w:spacing w:after="0"/>
              <w:ind w:left="0"/>
              <w:rPr>
                <w:szCs w:val="24"/>
                <w:lang w:eastAsia="en-GB"/>
              </w:rPr>
            </w:pPr>
          </w:p>
          <w:p w14:paraId="0E6AEE73" w14:textId="750D8149" w:rsidR="00B77508" w:rsidRPr="00E27F3C" w:rsidRDefault="00B77508">
            <w:pPr>
              <w:pStyle w:val="Opstilling-forts2"/>
              <w:spacing w:after="0"/>
              <w:ind w:left="0"/>
              <w:rPr>
                <w:szCs w:val="24"/>
                <w:lang w:eastAsia="en-GB"/>
              </w:rPr>
            </w:pPr>
            <w:r w:rsidRPr="00E27F3C">
              <w:rPr>
                <w:szCs w:val="24"/>
                <w:lang w:eastAsia="en-GB"/>
              </w:rPr>
              <w:t>Sløret syn.</w:t>
            </w:r>
          </w:p>
          <w:p w14:paraId="374A627B" w14:textId="77777777" w:rsidR="00B77508" w:rsidRPr="00E27F3C" w:rsidRDefault="00B77508">
            <w:pPr>
              <w:pStyle w:val="Opstilling-forts2"/>
              <w:spacing w:after="0"/>
              <w:ind w:left="0"/>
              <w:rPr>
                <w:szCs w:val="24"/>
                <w:lang w:eastAsia="en-GB"/>
              </w:rPr>
            </w:pPr>
          </w:p>
        </w:tc>
      </w:tr>
      <w:tr w:rsidR="00B77508" w:rsidRPr="00E27F3C" w14:paraId="2120F5E1" w14:textId="77777777" w:rsidTr="00B77508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50BBF5" w14:textId="77777777" w:rsidR="00B77508" w:rsidRPr="00E27F3C" w:rsidRDefault="00B77508">
            <w:pPr>
              <w:pStyle w:val="Opstilling-forts2"/>
              <w:spacing w:after="0"/>
              <w:ind w:left="0"/>
              <w:rPr>
                <w:i/>
                <w:iCs/>
                <w:szCs w:val="24"/>
                <w:lang w:eastAsia="en-GB"/>
              </w:rPr>
            </w:pPr>
            <w:r w:rsidRPr="00E27F3C">
              <w:rPr>
                <w:i/>
                <w:iCs/>
                <w:szCs w:val="24"/>
                <w:lang w:eastAsia="en-GB"/>
              </w:rPr>
              <w:t>Ikke kendt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665F" w14:textId="77777777" w:rsidR="00B77508" w:rsidRPr="00E27F3C" w:rsidRDefault="00B77508">
            <w:pPr>
              <w:pStyle w:val="Opstilling-forts2"/>
              <w:spacing w:after="0"/>
              <w:ind w:left="0"/>
              <w:rPr>
                <w:szCs w:val="24"/>
                <w:lang w:eastAsia="en-GB"/>
              </w:rPr>
            </w:pPr>
            <w:r w:rsidRPr="00E27F3C">
              <w:rPr>
                <w:szCs w:val="24"/>
                <w:lang w:eastAsia="en-GB"/>
              </w:rPr>
              <w:t xml:space="preserve">Øjenallergi. </w:t>
            </w:r>
          </w:p>
          <w:p w14:paraId="1E2EFF1D" w14:textId="77777777" w:rsidR="00B77508" w:rsidRPr="00E27F3C" w:rsidRDefault="00B77508">
            <w:pPr>
              <w:pStyle w:val="Opstilling-forts2"/>
              <w:spacing w:after="0"/>
              <w:ind w:left="0"/>
              <w:rPr>
                <w:szCs w:val="24"/>
                <w:lang w:eastAsia="en-GB"/>
              </w:rPr>
            </w:pPr>
            <w:r w:rsidRPr="00E27F3C">
              <w:rPr>
                <w:szCs w:val="24"/>
                <w:lang w:eastAsia="en-GB"/>
              </w:rPr>
              <w:t xml:space="preserve">Allergisk </w:t>
            </w:r>
            <w:proofErr w:type="spellStart"/>
            <w:r w:rsidRPr="00E27F3C">
              <w:rPr>
                <w:szCs w:val="24"/>
                <w:lang w:eastAsia="en-GB"/>
              </w:rPr>
              <w:t>blefaritis</w:t>
            </w:r>
            <w:proofErr w:type="spellEnd"/>
            <w:r w:rsidRPr="00E27F3C">
              <w:rPr>
                <w:szCs w:val="24"/>
                <w:lang w:eastAsia="en-GB"/>
              </w:rPr>
              <w:t>.</w:t>
            </w:r>
          </w:p>
          <w:p w14:paraId="0BFDC2A5" w14:textId="77777777" w:rsidR="00B77508" w:rsidRPr="00E27F3C" w:rsidRDefault="00B77508">
            <w:pPr>
              <w:pStyle w:val="Opstilling-forts2"/>
              <w:spacing w:after="0"/>
              <w:ind w:left="0"/>
              <w:rPr>
                <w:szCs w:val="24"/>
                <w:lang w:eastAsia="en-GB"/>
              </w:rPr>
            </w:pPr>
          </w:p>
        </w:tc>
      </w:tr>
      <w:tr w:rsidR="00B77508" w:rsidRPr="00E27F3C" w14:paraId="6E56CFD2" w14:textId="77777777" w:rsidTr="00B77508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858C96" w14:textId="77777777" w:rsidR="00B77508" w:rsidRPr="00E27F3C" w:rsidRDefault="00B77508">
            <w:pPr>
              <w:pStyle w:val="Opstilling-forts2"/>
              <w:spacing w:after="0"/>
              <w:ind w:left="0"/>
              <w:rPr>
                <w:b/>
                <w:szCs w:val="24"/>
                <w:lang w:eastAsia="en-GB"/>
              </w:rPr>
            </w:pPr>
            <w:r w:rsidRPr="00E27F3C">
              <w:rPr>
                <w:b/>
                <w:bCs/>
                <w:szCs w:val="24"/>
                <w:lang w:eastAsia="en-GB"/>
              </w:rPr>
              <w:t>Hjerte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F13CA" w14:textId="77777777" w:rsidR="00B77508" w:rsidRPr="00E27F3C" w:rsidRDefault="00B77508">
            <w:pPr>
              <w:pStyle w:val="Opstilling-forts2"/>
              <w:spacing w:after="0"/>
              <w:ind w:left="0"/>
              <w:rPr>
                <w:b/>
                <w:szCs w:val="24"/>
                <w:lang w:eastAsia="en-GB"/>
              </w:rPr>
            </w:pPr>
          </w:p>
        </w:tc>
      </w:tr>
      <w:tr w:rsidR="00B77508" w:rsidRPr="00E27F3C" w14:paraId="285E8C58" w14:textId="77777777" w:rsidTr="00B77508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A846" w14:textId="77777777" w:rsidR="00B77508" w:rsidRPr="00E27F3C" w:rsidRDefault="00B77508">
            <w:pPr>
              <w:pStyle w:val="Opstilling-forts2"/>
              <w:spacing w:after="0"/>
              <w:ind w:left="0"/>
              <w:rPr>
                <w:i/>
                <w:iCs/>
                <w:szCs w:val="24"/>
                <w:lang w:eastAsia="en-GB"/>
              </w:rPr>
            </w:pPr>
            <w:r w:rsidRPr="00E27F3C">
              <w:rPr>
                <w:i/>
                <w:iCs/>
                <w:szCs w:val="24"/>
                <w:lang w:eastAsia="en-GB"/>
              </w:rPr>
              <w:t>Sjælden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3802" w14:textId="77777777" w:rsidR="00B77508" w:rsidRPr="00E27F3C" w:rsidRDefault="00B77508">
            <w:pPr>
              <w:pStyle w:val="Opstilling-forts2"/>
              <w:spacing w:after="0"/>
              <w:ind w:left="0"/>
              <w:rPr>
                <w:szCs w:val="24"/>
                <w:lang w:eastAsia="en-GB"/>
              </w:rPr>
            </w:pPr>
            <w:r w:rsidRPr="00E27F3C">
              <w:rPr>
                <w:szCs w:val="24"/>
                <w:lang w:eastAsia="en-GB"/>
              </w:rPr>
              <w:t>Bradykardi.</w:t>
            </w:r>
          </w:p>
          <w:p w14:paraId="6D4C6F81" w14:textId="77777777" w:rsidR="00B77508" w:rsidRPr="00E27F3C" w:rsidRDefault="00B77508">
            <w:pPr>
              <w:pStyle w:val="Opstilling-forts2"/>
              <w:spacing w:after="0"/>
              <w:ind w:left="0"/>
              <w:rPr>
                <w:szCs w:val="24"/>
                <w:lang w:eastAsia="en-GB"/>
              </w:rPr>
            </w:pPr>
          </w:p>
        </w:tc>
      </w:tr>
      <w:tr w:rsidR="00B77508" w:rsidRPr="00E27F3C" w14:paraId="0F514ACD" w14:textId="77777777" w:rsidTr="00B77508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3AD5C6" w14:textId="77777777" w:rsidR="00B77508" w:rsidRPr="00E27F3C" w:rsidRDefault="00B77508">
            <w:pPr>
              <w:pStyle w:val="Opstilling-forts2"/>
              <w:spacing w:after="0"/>
              <w:ind w:left="0"/>
              <w:rPr>
                <w:b/>
                <w:bCs/>
                <w:szCs w:val="24"/>
                <w:lang w:eastAsia="en-GB"/>
              </w:rPr>
            </w:pPr>
            <w:proofErr w:type="spellStart"/>
            <w:r w:rsidRPr="00E27F3C">
              <w:rPr>
                <w:b/>
                <w:bCs/>
                <w:szCs w:val="24"/>
                <w:lang w:eastAsia="en-GB"/>
              </w:rPr>
              <w:t>Vaskulære</w:t>
            </w:r>
            <w:proofErr w:type="spellEnd"/>
            <w:r w:rsidRPr="00E27F3C">
              <w:rPr>
                <w:b/>
                <w:bCs/>
                <w:szCs w:val="24"/>
                <w:lang w:eastAsia="en-GB"/>
              </w:rPr>
              <w:t xml:space="preserve"> sygdomme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27E38C" w14:textId="77777777" w:rsidR="00B77508" w:rsidRPr="00E27F3C" w:rsidRDefault="00B77508">
            <w:pPr>
              <w:pStyle w:val="Opstilling-forts2"/>
              <w:spacing w:after="0"/>
              <w:ind w:left="0"/>
              <w:rPr>
                <w:szCs w:val="24"/>
                <w:lang w:eastAsia="en-GB"/>
              </w:rPr>
            </w:pPr>
          </w:p>
        </w:tc>
      </w:tr>
      <w:tr w:rsidR="00B77508" w:rsidRPr="00E27F3C" w14:paraId="1F7E0869" w14:textId="77777777" w:rsidTr="00B77508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6540" w14:textId="77777777" w:rsidR="00B77508" w:rsidRPr="00E27F3C" w:rsidRDefault="00B77508">
            <w:pPr>
              <w:pStyle w:val="Opstilling-forts2"/>
              <w:spacing w:after="0"/>
              <w:ind w:left="0"/>
              <w:rPr>
                <w:i/>
                <w:iCs/>
                <w:szCs w:val="24"/>
                <w:lang w:eastAsia="en-GB"/>
              </w:rPr>
            </w:pPr>
            <w:r w:rsidRPr="00E27F3C">
              <w:rPr>
                <w:i/>
                <w:iCs/>
                <w:szCs w:val="24"/>
                <w:lang w:eastAsia="en-GB"/>
              </w:rPr>
              <w:t>Sjælden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2CBB" w14:textId="77777777" w:rsidR="00B77508" w:rsidRPr="00E27F3C" w:rsidRDefault="00B77508">
            <w:pPr>
              <w:pStyle w:val="Opstilling-forts2"/>
              <w:spacing w:after="0"/>
              <w:ind w:left="0"/>
              <w:rPr>
                <w:szCs w:val="24"/>
                <w:lang w:eastAsia="en-GB"/>
              </w:rPr>
            </w:pPr>
            <w:r w:rsidRPr="00E27F3C">
              <w:rPr>
                <w:szCs w:val="24"/>
                <w:lang w:eastAsia="en-GB"/>
              </w:rPr>
              <w:t>Hypotension.</w:t>
            </w:r>
          </w:p>
          <w:p w14:paraId="46DCCBAA" w14:textId="77777777" w:rsidR="00B77508" w:rsidRPr="00E27F3C" w:rsidRDefault="00B77508">
            <w:pPr>
              <w:pStyle w:val="Opstilling-forts2"/>
              <w:spacing w:after="0"/>
              <w:ind w:left="0"/>
              <w:rPr>
                <w:szCs w:val="24"/>
                <w:lang w:eastAsia="en-GB"/>
              </w:rPr>
            </w:pPr>
          </w:p>
        </w:tc>
      </w:tr>
      <w:tr w:rsidR="00B77508" w:rsidRPr="00E27F3C" w14:paraId="31BB8503" w14:textId="77777777" w:rsidTr="00B77508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155AD8" w14:textId="77777777" w:rsidR="00B77508" w:rsidRPr="00E27F3C" w:rsidRDefault="00B77508">
            <w:pPr>
              <w:pStyle w:val="Opstilling-forts2"/>
              <w:spacing w:after="0"/>
              <w:ind w:left="0"/>
              <w:rPr>
                <w:b/>
                <w:bCs/>
                <w:szCs w:val="24"/>
                <w:lang w:eastAsia="en-GB"/>
              </w:rPr>
            </w:pPr>
            <w:r w:rsidRPr="00E27F3C">
              <w:rPr>
                <w:b/>
                <w:bCs/>
                <w:szCs w:val="24"/>
                <w:lang w:eastAsia="en-GB"/>
              </w:rPr>
              <w:t>Almene symptomer og reaktioner på administrationsstedet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4ADADF" w14:textId="77777777" w:rsidR="00B77508" w:rsidRPr="00E27F3C" w:rsidRDefault="00B77508">
            <w:pPr>
              <w:pStyle w:val="Opstilling-forts2"/>
              <w:spacing w:after="0"/>
              <w:ind w:left="0"/>
              <w:rPr>
                <w:szCs w:val="24"/>
                <w:lang w:eastAsia="en-GB"/>
              </w:rPr>
            </w:pPr>
          </w:p>
        </w:tc>
      </w:tr>
      <w:tr w:rsidR="00B77508" w:rsidRPr="00E27F3C" w14:paraId="4431246B" w14:textId="77777777" w:rsidTr="00B77508">
        <w:trPr>
          <w:trHeight w:val="283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A26E" w14:textId="77777777" w:rsidR="00B77508" w:rsidRPr="00E27F3C" w:rsidRDefault="00B77508">
            <w:pPr>
              <w:pStyle w:val="Opstilling-forts2"/>
              <w:spacing w:after="0"/>
              <w:ind w:left="0"/>
              <w:rPr>
                <w:i/>
                <w:iCs/>
                <w:szCs w:val="24"/>
                <w:lang w:eastAsia="en-GB"/>
              </w:rPr>
            </w:pPr>
            <w:r w:rsidRPr="00E27F3C">
              <w:rPr>
                <w:i/>
                <w:iCs/>
                <w:szCs w:val="24"/>
                <w:lang w:eastAsia="en-GB"/>
              </w:rPr>
              <w:t>Sjælden</w:t>
            </w:r>
          </w:p>
        </w:tc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FD60" w14:textId="77777777" w:rsidR="00B77508" w:rsidRPr="00E27F3C" w:rsidRDefault="00B77508">
            <w:pPr>
              <w:pStyle w:val="Opstilling-forts2"/>
              <w:spacing w:after="0"/>
              <w:ind w:left="0"/>
              <w:rPr>
                <w:szCs w:val="24"/>
                <w:lang w:eastAsia="en-GB"/>
              </w:rPr>
            </w:pPr>
            <w:r w:rsidRPr="00E27F3C">
              <w:rPr>
                <w:szCs w:val="24"/>
                <w:lang w:eastAsia="en-GB"/>
              </w:rPr>
              <w:t>Svimmelhed.</w:t>
            </w:r>
          </w:p>
          <w:p w14:paraId="60B6142E" w14:textId="77777777" w:rsidR="00B77508" w:rsidRPr="00E27F3C" w:rsidRDefault="00B77508">
            <w:pPr>
              <w:pStyle w:val="Opstilling-forts2"/>
              <w:spacing w:after="0"/>
              <w:ind w:left="0"/>
              <w:rPr>
                <w:szCs w:val="24"/>
                <w:lang w:eastAsia="en-GB"/>
              </w:rPr>
            </w:pPr>
          </w:p>
        </w:tc>
      </w:tr>
      <w:bookmarkEnd w:id="2"/>
    </w:tbl>
    <w:p w14:paraId="2C4EF271" w14:textId="77777777" w:rsidR="00B77508" w:rsidRPr="00E27F3C" w:rsidRDefault="00B77508" w:rsidP="00B77508">
      <w:pPr>
        <w:ind w:left="851"/>
        <w:rPr>
          <w:sz w:val="24"/>
          <w:szCs w:val="24"/>
          <w:lang w:eastAsia="da-DK"/>
        </w:rPr>
      </w:pPr>
    </w:p>
    <w:p w14:paraId="2695FDB4" w14:textId="77777777" w:rsidR="00B77508" w:rsidRPr="00E27F3C" w:rsidRDefault="00B77508" w:rsidP="00E27F3C">
      <w:pPr>
        <w:ind w:left="851"/>
        <w:rPr>
          <w:sz w:val="24"/>
          <w:szCs w:val="24"/>
          <w:u w:val="single"/>
        </w:rPr>
      </w:pPr>
      <w:r w:rsidRPr="00E27F3C">
        <w:rPr>
          <w:sz w:val="24"/>
          <w:szCs w:val="24"/>
          <w:u w:val="single"/>
        </w:rPr>
        <w:t>Indberetning af formodede bivirkninger</w:t>
      </w:r>
    </w:p>
    <w:p w14:paraId="6332A11B" w14:textId="77777777" w:rsidR="00B77508" w:rsidRPr="00E27F3C" w:rsidRDefault="00B77508" w:rsidP="00E27F3C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E27F3C">
        <w:rPr>
          <w:sz w:val="24"/>
          <w:szCs w:val="24"/>
        </w:rPr>
        <w:t>risk</w:t>
      </w:r>
      <w:proofErr w:type="spellEnd"/>
      <w:r w:rsidRPr="00E27F3C">
        <w:rPr>
          <w:sz w:val="24"/>
          <w:szCs w:val="24"/>
        </w:rPr>
        <w:t xml:space="preserve">-forholdet for lægemidlet. Sundhedspersoner anmodes om at indberette alle formodede bivirkninger via </w:t>
      </w:r>
    </w:p>
    <w:p w14:paraId="285B63EC" w14:textId="77777777" w:rsidR="00B77508" w:rsidRPr="00E27F3C" w:rsidRDefault="00B77508" w:rsidP="00E27F3C">
      <w:pPr>
        <w:ind w:left="851"/>
        <w:rPr>
          <w:sz w:val="24"/>
          <w:szCs w:val="24"/>
        </w:rPr>
      </w:pPr>
    </w:p>
    <w:p w14:paraId="551529C7" w14:textId="77777777" w:rsidR="00B77508" w:rsidRPr="00E27F3C" w:rsidRDefault="00B77508" w:rsidP="00E27F3C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E27F3C">
        <w:rPr>
          <w:sz w:val="24"/>
          <w:szCs w:val="24"/>
        </w:rPr>
        <w:lastRenderedPageBreak/>
        <w:t>Lægemiddelstyrelsen</w:t>
      </w:r>
    </w:p>
    <w:p w14:paraId="27F0975A" w14:textId="77777777" w:rsidR="00B77508" w:rsidRPr="00E27F3C" w:rsidRDefault="00B77508" w:rsidP="00E27F3C">
      <w:pPr>
        <w:ind w:left="851"/>
        <w:rPr>
          <w:rFonts w:eastAsia="Calibri"/>
          <w:sz w:val="24"/>
          <w:szCs w:val="24"/>
          <w:lang w:eastAsia="zh-CN"/>
        </w:rPr>
      </w:pPr>
      <w:r w:rsidRPr="00E27F3C">
        <w:rPr>
          <w:rFonts w:eastAsia="Calibri"/>
          <w:sz w:val="24"/>
          <w:szCs w:val="24"/>
          <w:lang w:eastAsia="zh-CN"/>
        </w:rPr>
        <w:t>Axel Heides Gade 1</w:t>
      </w:r>
    </w:p>
    <w:p w14:paraId="53EB2C4A" w14:textId="77777777" w:rsidR="00B77508" w:rsidRPr="00E27F3C" w:rsidRDefault="00B77508" w:rsidP="00E27F3C">
      <w:pPr>
        <w:ind w:left="851"/>
        <w:rPr>
          <w:rFonts w:eastAsia="Calibri"/>
          <w:sz w:val="24"/>
          <w:szCs w:val="24"/>
          <w:lang w:eastAsia="zh-CN"/>
        </w:rPr>
      </w:pPr>
      <w:r w:rsidRPr="00E27F3C">
        <w:rPr>
          <w:rFonts w:eastAsia="Calibri"/>
          <w:sz w:val="24"/>
          <w:szCs w:val="24"/>
          <w:lang w:eastAsia="zh-CN"/>
        </w:rPr>
        <w:t>DK-2300 København S</w:t>
      </w:r>
    </w:p>
    <w:p w14:paraId="000EEF80" w14:textId="77777777" w:rsidR="00B77508" w:rsidRPr="00E27F3C" w:rsidRDefault="00B77508" w:rsidP="00E27F3C">
      <w:pPr>
        <w:ind w:left="851"/>
        <w:rPr>
          <w:rFonts w:eastAsia="Calibri"/>
          <w:color w:val="0000FF"/>
          <w:sz w:val="24"/>
          <w:szCs w:val="24"/>
          <w:lang w:eastAsia="zh-CN"/>
        </w:rPr>
      </w:pPr>
      <w:r w:rsidRPr="00E27F3C">
        <w:rPr>
          <w:rFonts w:eastAsia="Calibri"/>
          <w:sz w:val="24"/>
          <w:szCs w:val="24"/>
          <w:lang w:eastAsia="zh-CN"/>
        </w:rPr>
        <w:t xml:space="preserve">Websted: </w:t>
      </w:r>
      <w:hyperlink r:id="rId8" w:history="1">
        <w:r w:rsidRPr="00E27F3C">
          <w:rPr>
            <w:rStyle w:val="Hyperlink"/>
            <w:rFonts w:eastAsia="Calibri"/>
            <w:color w:val="0000FF"/>
            <w:sz w:val="24"/>
            <w:szCs w:val="24"/>
            <w:lang w:eastAsia="zh-CN"/>
          </w:rPr>
          <w:t>www.meldenbivirkning.dk</w:t>
        </w:r>
      </w:hyperlink>
    </w:p>
    <w:p w14:paraId="587BD2EB" w14:textId="77777777" w:rsidR="009260DE" w:rsidRPr="00E27F3C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21577417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4.9</w:t>
      </w:r>
      <w:r w:rsidRPr="00E27F3C">
        <w:rPr>
          <w:b/>
          <w:sz w:val="24"/>
          <w:szCs w:val="24"/>
        </w:rPr>
        <w:tab/>
        <w:t>Overdosering</w:t>
      </w:r>
    </w:p>
    <w:p w14:paraId="0382D7F1" w14:textId="1B12924D" w:rsidR="00B77508" w:rsidRPr="00E27F3C" w:rsidRDefault="00B77508" w:rsidP="00B77508">
      <w:pPr>
        <w:pStyle w:val="Brdtekstindrykning"/>
        <w:spacing w:after="0"/>
        <w:ind w:left="851"/>
        <w:rPr>
          <w:sz w:val="24"/>
          <w:szCs w:val="24"/>
          <w:lang w:eastAsia="da-DK"/>
        </w:rPr>
      </w:pPr>
      <w:r w:rsidRPr="00E27F3C">
        <w:rPr>
          <w:sz w:val="24"/>
          <w:szCs w:val="24"/>
        </w:rPr>
        <w:t xml:space="preserve">I tilfælde af overdosering (systemisk) kan følgende systemiske symptomer forekomme: muskelspasmer, krampeanfald, blodtryksfald, besvimelse, </w:t>
      </w:r>
      <w:proofErr w:type="spellStart"/>
      <w:r w:rsidRPr="00E27F3C">
        <w:rPr>
          <w:sz w:val="24"/>
          <w:szCs w:val="24"/>
        </w:rPr>
        <w:t>hjertearytmier</w:t>
      </w:r>
      <w:proofErr w:type="spellEnd"/>
      <w:r w:rsidRPr="00E27F3C">
        <w:rPr>
          <w:sz w:val="24"/>
          <w:szCs w:val="24"/>
        </w:rPr>
        <w:t xml:space="preserve">, hjertestop forårsaget af ledningsforstyrrelser, åndedrætslammelse. Øjeblikkelig respirations- og blodcirkulationsstyring bør gives i form </w:t>
      </w:r>
      <w:proofErr w:type="spellStart"/>
      <w:r w:rsidRPr="00E27F3C">
        <w:rPr>
          <w:sz w:val="24"/>
          <w:szCs w:val="24"/>
        </w:rPr>
        <w:t>afintubation</w:t>
      </w:r>
      <w:proofErr w:type="spellEnd"/>
      <w:r w:rsidRPr="00E27F3C">
        <w:rPr>
          <w:sz w:val="24"/>
          <w:szCs w:val="24"/>
        </w:rPr>
        <w:t xml:space="preserve"> og kunstig ventilation, </w:t>
      </w:r>
      <w:proofErr w:type="spellStart"/>
      <w:r w:rsidRPr="00E27F3C">
        <w:rPr>
          <w:sz w:val="24"/>
          <w:szCs w:val="24"/>
        </w:rPr>
        <w:t>kardiovaskulær</w:t>
      </w:r>
      <w:proofErr w:type="spellEnd"/>
      <w:r w:rsidRPr="00E27F3C">
        <w:rPr>
          <w:sz w:val="24"/>
          <w:szCs w:val="24"/>
        </w:rPr>
        <w:t xml:space="preserve"> stimulering, infusioner. </w:t>
      </w:r>
    </w:p>
    <w:p w14:paraId="4DA2FC36" w14:textId="77777777" w:rsidR="00B77508" w:rsidRPr="00E27F3C" w:rsidRDefault="00B77508" w:rsidP="00B77508">
      <w:pPr>
        <w:pStyle w:val="Brdtekstindrykning"/>
        <w:spacing w:after="0"/>
        <w:ind w:left="851"/>
        <w:rPr>
          <w:sz w:val="24"/>
          <w:szCs w:val="24"/>
        </w:rPr>
      </w:pPr>
    </w:p>
    <w:p w14:paraId="00B27E49" w14:textId="32834A86" w:rsidR="00B77508" w:rsidRPr="00E27F3C" w:rsidRDefault="00B77508" w:rsidP="00B77508">
      <w:pPr>
        <w:pStyle w:val="Brdtekstindrykning"/>
        <w:spacing w:after="0"/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I tilfælde af krampeanfald administrer </w:t>
      </w:r>
      <w:r w:rsidRPr="00E27F3C">
        <w:rPr>
          <w:rStyle w:val="Fremhv"/>
          <w:sz w:val="24"/>
          <w:szCs w:val="24"/>
        </w:rPr>
        <w:t>kortidsvirkende barbiturater</w:t>
      </w:r>
      <w:r w:rsidRPr="00E27F3C">
        <w:rPr>
          <w:sz w:val="24"/>
          <w:szCs w:val="24"/>
        </w:rPr>
        <w:t xml:space="preserve"> eller </w:t>
      </w:r>
      <w:proofErr w:type="spellStart"/>
      <w:r w:rsidRPr="00E27F3C">
        <w:rPr>
          <w:sz w:val="24"/>
          <w:szCs w:val="24"/>
        </w:rPr>
        <w:t>diazepam</w:t>
      </w:r>
      <w:proofErr w:type="spellEnd"/>
      <w:r w:rsidRPr="00E27F3C">
        <w:rPr>
          <w:sz w:val="24"/>
          <w:szCs w:val="24"/>
        </w:rPr>
        <w:t>.</w:t>
      </w:r>
    </w:p>
    <w:p w14:paraId="5AA361C0" w14:textId="31915150" w:rsidR="00B77508" w:rsidRPr="00E27F3C" w:rsidRDefault="00B77508" w:rsidP="00B77508">
      <w:pPr>
        <w:pStyle w:val="Brdtekstindrykning"/>
        <w:spacing w:after="0"/>
        <w:ind w:left="851"/>
        <w:rPr>
          <w:i/>
          <w:iCs/>
          <w:sz w:val="24"/>
          <w:szCs w:val="24"/>
        </w:rPr>
      </w:pPr>
      <w:r w:rsidRPr="00E27F3C">
        <w:rPr>
          <w:sz w:val="24"/>
          <w:szCs w:val="24"/>
        </w:rPr>
        <w:t>Langtidsvirkende barbiturater bør ikke administreres på grund af risikoen for respirationsdepression</w:t>
      </w:r>
      <w:r w:rsidRPr="00E27F3C">
        <w:rPr>
          <w:i/>
          <w:iCs/>
          <w:sz w:val="24"/>
          <w:szCs w:val="24"/>
        </w:rPr>
        <w:t>.</w:t>
      </w:r>
    </w:p>
    <w:p w14:paraId="205D5BFA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9E36F9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4.10</w:t>
      </w:r>
      <w:r w:rsidRPr="00E27F3C">
        <w:rPr>
          <w:b/>
          <w:sz w:val="24"/>
          <w:szCs w:val="24"/>
        </w:rPr>
        <w:tab/>
        <w:t>Udlevering</w:t>
      </w:r>
    </w:p>
    <w:p w14:paraId="28AFCE4B" w14:textId="53639494" w:rsidR="009260DE" w:rsidRPr="00E27F3C" w:rsidRDefault="00B77508" w:rsidP="009260DE">
      <w:pPr>
        <w:tabs>
          <w:tab w:val="left" w:pos="851"/>
        </w:tabs>
        <w:ind w:left="851"/>
        <w:rPr>
          <w:sz w:val="24"/>
          <w:szCs w:val="24"/>
        </w:rPr>
      </w:pPr>
      <w:r w:rsidRPr="00E27F3C">
        <w:rPr>
          <w:sz w:val="24"/>
          <w:szCs w:val="24"/>
        </w:rPr>
        <w:t>B</w:t>
      </w:r>
    </w:p>
    <w:p w14:paraId="7B89D2EF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6E03CC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4949562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5.</w:t>
      </w:r>
      <w:r w:rsidRPr="00E27F3C">
        <w:rPr>
          <w:b/>
          <w:sz w:val="24"/>
          <w:szCs w:val="24"/>
        </w:rPr>
        <w:tab/>
        <w:t>FARMAKOLOGISKE EGENSKABER</w:t>
      </w:r>
    </w:p>
    <w:p w14:paraId="73339635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1665A5" w14:textId="77777777" w:rsidR="009260DE" w:rsidRPr="00E27F3C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5.1</w:t>
      </w:r>
      <w:r w:rsidRPr="00E27F3C">
        <w:rPr>
          <w:b/>
          <w:sz w:val="24"/>
          <w:szCs w:val="24"/>
        </w:rPr>
        <w:tab/>
      </w:r>
      <w:proofErr w:type="spellStart"/>
      <w:r w:rsidRPr="00E27F3C">
        <w:rPr>
          <w:b/>
          <w:sz w:val="24"/>
          <w:szCs w:val="24"/>
        </w:rPr>
        <w:t>Farmakodynamiske</w:t>
      </w:r>
      <w:proofErr w:type="spellEnd"/>
      <w:r w:rsidRPr="00E27F3C">
        <w:rPr>
          <w:b/>
          <w:sz w:val="24"/>
          <w:szCs w:val="24"/>
        </w:rPr>
        <w:t xml:space="preserve"> egenskaber</w:t>
      </w:r>
    </w:p>
    <w:p w14:paraId="1CA29FA6" w14:textId="77777777" w:rsidR="00B77508" w:rsidRPr="00E27F3C" w:rsidRDefault="00B77508" w:rsidP="00B77508">
      <w:pPr>
        <w:pStyle w:val="Brdtekst3"/>
        <w:spacing w:after="0"/>
        <w:ind w:left="851"/>
        <w:rPr>
          <w:rFonts w:ascii="Times New Roman" w:hAnsi="Times New Roman"/>
          <w:sz w:val="24"/>
          <w:szCs w:val="24"/>
          <w:lang w:val="da-DK"/>
        </w:rPr>
      </w:pPr>
      <w:proofErr w:type="spellStart"/>
      <w:r w:rsidRPr="00E27F3C">
        <w:rPr>
          <w:rFonts w:ascii="Times New Roman" w:hAnsi="Times New Roman"/>
          <w:sz w:val="24"/>
          <w:szCs w:val="24"/>
          <w:lang w:val="da-DK"/>
        </w:rPr>
        <w:t>Farmakoterapeutisk</w:t>
      </w:r>
      <w:proofErr w:type="spellEnd"/>
      <w:r w:rsidRPr="00E27F3C">
        <w:rPr>
          <w:rFonts w:ascii="Times New Roman" w:hAnsi="Times New Roman"/>
          <w:sz w:val="24"/>
          <w:szCs w:val="24"/>
          <w:lang w:val="da-DK"/>
        </w:rPr>
        <w:t xml:space="preserve"> klassifikation: Lokalbedøvelse, </w:t>
      </w:r>
      <w:proofErr w:type="spellStart"/>
      <w:r w:rsidRPr="00E27F3C">
        <w:rPr>
          <w:rFonts w:ascii="Times New Roman" w:hAnsi="Times New Roman"/>
          <w:sz w:val="24"/>
          <w:szCs w:val="24"/>
          <w:lang w:val="da-DK"/>
        </w:rPr>
        <w:t>oxybuprocain</w:t>
      </w:r>
      <w:proofErr w:type="spellEnd"/>
      <w:r w:rsidRPr="00E27F3C">
        <w:rPr>
          <w:rFonts w:ascii="Times New Roman" w:hAnsi="Times New Roman"/>
          <w:sz w:val="24"/>
          <w:szCs w:val="24"/>
          <w:lang w:val="da-DK"/>
        </w:rPr>
        <w:t>, ATC-kode: S01HA02</w:t>
      </w:r>
    </w:p>
    <w:p w14:paraId="25D35E46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</w:p>
    <w:p w14:paraId="38D47B65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E27F3C">
        <w:rPr>
          <w:sz w:val="24"/>
          <w:szCs w:val="24"/>
          <w:u w:val="single"/>
        </w:rPr>
        <w:t>Virkningsmekanisme</w:t>
      </w:r>
    </w:p>
    <w:p w14:paraId="4A8EB4F9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27F3C">
        <w:rPr>
          <w:sz w:val="24"/>
          <w:szCs w:val="24"/>
        </w:rPr>
        <w:t>Oxybuprocainhydrochlorid</w:t>
      </w:r>
      <w:proofErr w:type="spellEnd"/>
      <w:r w:rsidRPr="00E27F3C">
        <w:rPr>
          <w:sz w:val="24"/>
          <w:szCs w:val="24"/>
        </w:rPr>
        <w:t xml:space="preserve"> er et lokalbedøvende middel af estertypen og kemisk relateret til </w:t>
      </w:r>
      <w:proofErr w:type="spellStart"/>
      <w:r w:rsidRPr="00E27F3C">
        <w:rPr>
          <w:sz w:val="24"/>
          <w:szCs w:val="24"/>
        </w:rPr>
        <w:t>procain</w:t>
      </w:r>
      <w:proofErr w:type="spellEnd"/>
      <w:r w:rsidRPr="00E27F3C">
        <w:rPr>
          <w:sz w:val="24"/>
          <w:szCs w:val="24"/>
        </w:rPr>
        <w:t xml:space="preserve">. </w:t>
      </w:r>
      <w:proofErr w:type="spellStart"/>
      <w:r w:rsidRPr="00E27F3C">
        <w:rPr>
          <w:sz w:val="24"/>
          <w:szCs w:val="24"/>
        </w:rPr>
        <w:t>Oxybuprocaine</w:t>
      </w:r>
      <w:proofErr w:type="spellEnd"/>
      <w:r w:rsidRPr="00E27F3C">
        <w:rPr>
          <w:sz w:val="24"/>
          <w:szCs w:val="24"/>
        </w:rPr>
        <w:t xml:space="preserve"> blokerer Na+-kanaler og kompromitterer således </w:t>
      </w:r>
      <w:proofErr w:type="spellStart"/>
      <w:r w:rsidRPr="00E27F3C">
        <w:rPr>
          <w:sz w:val="24"/>
          <w:szCs w:val="24"/>
        </w:rPr>
        <w:t>excitabiliteten</w:t>
      </w:r>
      <w:proofErr w:type="spellEnd"/>
      <w:r w:rsidRPr="00E27F3C">
        <w:rPr>
          <w:sz w:val="24"/>
          <w:szCs w:val="24"/>
        </w:rPr>
        <w:t xml:space="preserve"> af </w:t>
      </w:r>
      <w:proofErr w:type="spellStart"/>
      <w:r w:rsidRPr="00E27F3C">
        <w:rPr>
          <w:sz w:val="24"/>
          <w:szCs w:val="24"/>
        </w:rPr>
        <w:t>nociceptorer</w:t>
      </w:r>
      <w:proofErr w:type="spellEnd"/>
      <w:r w:rsidRPr="00E27F3C">
        <w:rPr>
          <w:sz w:val="24"/>
          <w:szCs w:val="24"/>
        </w:rPr>
        <w:t xml:space="preserve"> og ledningsevnen af sensoriske nervefibre på en reversibel og lokalt begrænset måde. Efter at have reduceret følelsen af smerte mindsker den temperatur-, berørings- og trykfølsomheden i faldende rækkefølge. Ved brug af lokalbedøvelse blokeres tynde nervefibre før tykke nervefibre. </w:t>
      </w:r>
      <w:proofErr w:type="spellStart"/>
      <w:r w:rsidRPr="00E27F3C">
        <w:rPr>
          <w:sz w:val="24"/>
          <w:szCs w:val="24"/>
        </w:rPr>
        <w:t>Oxybuprocain</w:t>
      </w:r>
      <w:proofErr w:type="spellEnd"/>
      <w:r w:rsidRPr="00E27F3C">
        <w:rPr>
          <w:sz w:val="24"/>
          <w:szCs w:val="24"/>
        </w:rPr>
        <w:t xml:space="preserve"> reducerer membranpermeabiliteten for kationer, især natrium, og ved højere koncentrationer også for kalium. Nervefibrenes </w:t>
      </w:r>
      <w:proofErr w:type="spellStart"/>
      <w:r w:rsidRPr="00E27F3C">
        <w:rPr>
          <w:sz w:val="24"/>
          <w:szCs w:val="24"/>
        </w:rPr>
        <w:t>excitabilitet</w:t>
      </w:r>
      <w:proofErr w:type="spellEnd"/>
      <w:r w:rsidRPr="00E27F3C">
        <w:rPr>
          <w:sz w:val="24"/>
          <w:szCs w:val="24"/>
        </w:rPr>
        <w:t xml:space="preserve"> reduceres afhængigt af koncentrationen, fordi den pludselige stigning i natriumpermeabilitet, der er nødvendig for at fremkalde en potentiel handling, mindskes.</w:t>
      </w:r>
    </w:p>
    <w:p w14:paraId="5FC181C8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</w:p>
    <w:p w14:paraId="1D9CC0E2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E27F3C">
        <w:rPr>
          <w:sz w:val="24"/>
          <w:szCs w:val="24"/>
          <w:u w:val="single"/>
        </w:rPr>
        <w:t>Farmakodynamiske</w:t>
      </w:r>
      <w:proofErr w:type="spellEnd"/>
      <w:r w:rsidRPr="00E27F3C">
        <w:rPr>
          <w:sz w:val="24"/>
          <w:szCs w:val="24"/>
          <w:u w:val="single"/>
        </w:rPr>
        <w:t xml:space="preserve"> virkninger</w:t>
      </w:r>
    </w:p>
    <w:p w14:paraId="21A04ECF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  <w:r w:rsidRPr="00E27F3C">
        <w:rPr>
          <w:sz w:val="24"/>
          <w:szCs w:val="24"/>
        </w:rPr>
        <w:t>Effekten reduceres i betændt væv på grund af dets lavere pH-værdi.</w:t>
      </w:r>
    </w:p>
    <w:p w14:paraId="1DFC113A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</w:p>
    <w:p w14:paraId="6A2D901F" w14:textId="77777777" w:rsidR="00B77508" w:rsidRPr="00E27F3C" w:rsidRDefault="00B77508" w:rsidP="00B77508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27F3C">
        <w:rPr>
          <w:sz w:val="24"/>
          <w:szCs w:val="24"/>
        </w:rPr>
        <w:t>Oxybuprocain</w:t>
      </w:r>
      <w:proofErr w:type="spellEnd"/>
      <w:r w:rsidRPr="00E27F3C">
        <w:rPr>
          <w:sz w:val="24"/>
          <w:szCs w:val="24"/>
        </w:rPr>
        <w:t xml:space="preserve"> i opløsning (4 mg/ml) er en hurtigtvirkende lokalbedøvelse. Dens virkning sætter ind ca. 30 til 60 sekunder efter applikationen. Inden for de følgende 10-15 minutter er anæstesi tilstrækkelig til forud planlagte medicinske indgreb. Hornhindefølsomheden er som regel normal igen efter ca. en time.</w:t>
      </w:r>
    </w:p>
    <w:p w14:paraId="3FFE4110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812C67A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5.2</w:t>
      </w:r>
      <w:r w:rsidRPr="00E27F3C">
        <w:rPr>
          <w:b/>
          <w:sz w:val="24"/>
          <w:szCs w:val="24"/>
        </w:rPr>
        <w:tab/>
      </w:r>
      <w:proofErr w:type="spellStart"/>
      <w:r w:rsidRPr="00E27F3C">
        <w:rPr>
          <w:b/>
          <w:sz w:val="24"/>
          <w:szCs w:val="24"/>
        </w:rPr>
        <w:t>Farmakokinetiske</w:t>
      </w:r>
      <w:proofErr w:type="spellEnd"/>
      <w:r w:rsidRPr="00E27F3C">
        <w:rPr>
          <w:b/>
          <w:sz w:val="24"/>
          <w:szCs w:val="24"/>
        </w:rPr>
        <w:t xml:space="preserve"> egenskaber</w:t>
      </w:r>
    </w:p>
    <w:p w14:paraId="2D8255FA" w14:textId="77777777" w:rsidR="00E27F3C" w:rsidRPr="00E27F3C" w:rsidRDefault="00E27F3C" w:rsidP="00B77508">
      <w:pPr>
        <w:ind w:left="851"/>
        <w:rPr>
          <w:sz w:val="24"/>
          <w:szCs w:val="24"/>
          <w:u w:val="single"/>
        </w:rPr>
      </w:pPr>
    </w:p>
    <w:p w14:paraId="1F626707" w14:textId="3A2EB92A" w:rsidR="00B77508" w:rsidRPr="00E27F3C" w:rsidRDefault="00B77508" w:rsidP="00B77508">
      <w:pPr>
        <w:ind w:left="851"/>
        <w:rPr>
          <w:sz w:val="24"/>
          <w:szCs w:val="24"/>
          <w:lang w:eastAsia="da-DK"/>
        </w:rPr>
      </w:pPr>
      <w:r w:rsidRPr="00E27F3C">
        <w:rPr>
          <w:sz w:val="24"/>
          <w:szCs w:val="24"/>
          <w:u w:val="single"/>
        </w:rPr>
        <w:t>Absorption og fordeling</w:t>
      </w:r>
    </w:p>
    <w:p w14:paraId="1D173D3B" w14:textId="77777777" w:rsidR="00B77508" w:rsidRPr="00E27F3C" w:rsidRDefault="00B77508" w:rsidP="00B77508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Hastigheden, hvorved lokalbedøvelsesmidler tabes gennem tårestrøm er meget høj, da de inducerer en indledende stikkende reaktion, som stimulerer </w:t>
      </w:r>
      <w:proofErr w:type="spellStart"/>
      <w:r w:rsidRPr="00E27F3C">
        <w:rPr>
          <w:sz w:val="24"/>
          <w:szCs w:val="24"/>
        </w:rPr>
        <w:t>reflekslakrimation</w:t>
      </w:r>
      <w:proofErr w:type="spellEnd"/>
      <w:r w:rsidRPr="00E27F3C">
        <w:rPr>
          <w:sz w:val="24"/>
          <w:szCs w:val="24"/>
        </w:rPr>
        <w:t xml:space="preserve"> og fører til fortynding af lægemidlerne. Det menes, at dette er årsagen til den meget korte varighed af lokalbedøvelsesmidlers maksimale effekt.</w:t>
      </w:r>
    </w:p>
    <w:p w14:paraId="1F94B110" w14:textId="77777777" w:rsidR="00B77508" w:rsidRPr="00E27F3C" w:rsidRDefault="00B77508" w:rsidP="00B77508">
      <w:pPr>
        <w:ind w:left="851"/>
        <w:rPr>
          <w:sz w:val="24"/>
          <w:szCs w:val="24"/>
        </w:rPr>
      </w:pPr>
    </w:p>
    <w:p w14:paraId="2659883C" w14:textId="77777777" w:rsidR="00B77508" w:rsidRPr="00E27F3C" w:rsidRDefault="00B77508" w:rsidP="00B77508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Den ikke-ioniserede base af </w:t>
      </w:r>
      <w:proofErr w:type="spellStart"/>
      <w:r w:rsidRPr="00E27F3C">
        <w:rPr>
          <w:sz w:val="24"/>
          <w:szCs w:val="24"/>
        </w:rPr>
        <w:t>oxybuprocain</w:t>
      </w:r>
      <w:proofErr w:type="spellEnd"/>
      <w:r w:rsidRPr="00E27F3C">
        <w:rPr>
          <w:sz w:val="24"/>
          <w:szCs w:val="24"/>
        </w:rPr>
        <w:t xml:space="preserve"> absorberes hurtigt fra den præ-korneale tårefilm af det </w:t>
      </w:r>
      <w:proofErr w:type="spellStart"/>
      <w:r w:rsidRPr="00E27F3C">
        <w:rPr>
          <w:sz w:val="24"/>
          <w:szCs w:val="24"/>
        </w:rPr>
        <w:t>lipofile</w:t>
      </w:r>
      <w:proofErr w:type="spellEnd"/>
      <w:r w:rsidRPr="00E27F3C">
        <w:rPr>
          <w:sz w:val="24"/>
          <w:szCs w:val="24"/>
        </w:rPr>
        <w:t xml:space="preserve"> </w:t>
      </w:r>
      <w:r w:rsidRPr="00E27F3C">
        <w:rPr>
          <w:sz w:val="24"/>
          <w:szCs w:val="24"/>
          <w:lang w:eastAsia="en-GB"/>
        </w:rPr>
        <w:t>hornhinde</w:t>
      </w:r>
      <w:r w:rsidRPr="00E27F3C">
        <w:rPr>
          <w:sz w:val="24"/>
          <w:szCs w:val="24"/>
        </w:rPr>
        <w:t xml:space="preserve">epitel. Lægemidlet passerer derefter ind i </w:t>
      </w:r>
      <w:proofErr w:type="spellStart"/>
      <w:r w:rsidRPr="00E27F3C">
        <w:rPr>
          <w:sz w:val="24"/>
          <w:szCs w:val="24"/>
        </w:rPr>
        <w:t>hornhindestroma</w:t>
      </w:r>
      <w:proofErr w:type="spellEnd"/>
      <w:r w:rsidRPr="00E27F3C">
        <w:rPr>
          <w:sz w:val="24"/>
          <w:szCs w:val="24"/>
        </w:rPr>
        <w:t xml:space="preserve"> og derfra ind i det forreste kammer, hvor det transporteres væk af den vandige strøm og diffunderer ind i blodcirkulationen i den forreste </w:t>
      </w:r>
      <w:proofErr w:type="spellStart"/>
      <w:r w:rsidRPr="00E27F3C">
        <w:rPr>
          <w:sz w:val="24"/>
          <w:szCs w:val="24"/>
        </w:rPr>
        <w:t>uvea</w:t>
      </w:r>
      <w:proofErr w:type="spellEnd"/>
      <w:r w:rsidRPr="00E27F3C">
        <w:rPr>
          <w:sz w:val="24"/>
          <w:szCs w:val="24"/>
        </w:rPr>
        <w:t xml:space="preserve">. </w:t>
      </w:r>
    </w:p>
    <w:p w14:paraId="53CC1BF8" w14:textId="77777777" w:rsidR="00B77508" w:rsidRPr="00E27F3C" w:rsidRDefault="00B77508" w:rsidP="00B77508">
      <w:pPr>
        <w:ind w:left="851"/>
        <w:rPr>
          <w:sz w:val="24"/>
          <w:szCs w:val="24"/>
        </w:rPr>
      </w:pPr>
    </w:p>
    <w:p w14:paraId="5859DF72" w14:textId="77777777" w:rsidR="00B77508" w:rsidRPr="00E27F3C" w:rsidRDefault="00B77508" w:rsidP="00B77508">
      <w:pPr>
        <w:ind w:left="851"/>
        <w:rPr>
          <w:sz w:val="24"/>
          <w:szCs w:val="24"/>
          <w:u w:val="single"/>
        </w:rPr>
      </w:pPr>
      <w:r w:rsidRPr="00E27F3C">
        <w:rPr>
          <w:sz w:val="24"/>
          <w:szCs w:val="24"/>
          <w:u w:val="single"/>
        </w:rPr>
        <w:t>Biotransformation</w:t>
      </w:r>
    </w:p>
    <w:p w14:paraId="0ADDF6E7" w14:textId="77777777" w:rsidR="00B77508" w:rsidRPr="00E27F3C" w:rsidRDefault="00B77508" w:rsidP="00B77508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Lokalbedøvelsesmidler af estertypen nedbrydes af </w:t>
      </w:r>
      <w:proofErr w:type="spellStart"/>
      <w:r w:rsidRPr="00E27F3C">
        <w:rPr>
          <w:sz w:val="24"/>
          <w:szCs w:val="24"/>
        </w:rPr>
        <w:t>cholinesteraseaktivitet</w:t>
      </w:r>
      <w:proofErr w:type="spellEnd"/>
      <w:r w:rsidRPr="00E27F3C">
        <w:rPr>
          <w:sz w:val="24"/>
          <w:szCs w:val="24"/>
        </w:rPr>
        <w:t xml:space="preserve"> i plasmaet. Nedbrudte produkter er ineffektive som lokalbedøvelsesmidler. </w:t>
      </w:r>
    </w:p>
    <w:p w14:paraId="0055B145" w14:textId="77777777" w:rsidR="00B77508" w:rsidRPr="00E27F3C" w:rsidRDefault="00B77508" w:rsidP="00B77508">
      <w:pPr>
        <w:ind w:left="851"/>
        <w:rPr>
          <w:sz w:val="24"/>
          <w:szCs w:val="24"/>
        </w:rPr>
      </w:pPr>
    </w:p>
    <w:p w14:paraId="727E6421" w14:textId="77777777" w:rsidR="00B77508" w:rsidRPr="00E27F3C" w:rsidRDefault="00B77508" w:rsidP="00B77508">
      <w:pPr>
        <w:ind w:left="851"/>
        <w:rPr>
          <w:sz w:val="24"/>
          <w:szCs w:val="24"/>
          <w:u w:val="single"/>
        </w:rPr>
      </w:pPr>
      <w:r w:rsidRPr="00E27F3C">
        <w:rPr>
          <w:sz w:val="24"/>
          <w:szCs w:val="24"/>
          <w:u w:val="single"/>
        </w:rPr>
        <w:t>Elimination</w:t>
      </w:r>
    </w:p>
    <w:p w14:paraId="75D42B71" w14:textId="77777777" w:rsidR="00B77508" w:rsidRPr="00E27F3C" w:rsidRDefault="00B77508" w:rsidP="00B77508">
      <w:pPr>
        <w:ind w:left="851"/>
        <w:rPr>
          <w:sz w:val="24"/>
          <w:szCs w:val="24"/>
        </w:rPr>
      </w:pPr>
      <w:proofErr w:type="spellStart"/>
      <w:r w:rsidRPr="00E27F3C">
        <w:rPr>
          <w:sz w:val="24"/>
          <w:szCs w:val="24"/>
        </w:rPr>
        <w:t>Oxybuprocain</w:t>
      </w:r>
      <w:proofErr w:type="spellEnd"/>
      <w:r w:rsidRPr="00E27F3C">
        <w:rPr>
          <w:sz w:val="24"/>
          <w:szCs w:val="24"/>
        </w:rPr>
        <w:t xml:space="preserve"> og dets metabolitter elimineres hurtigt gennem nyrerne.</w:t>
      </w:r>
    </w:p>
    <w:p w14:paraId="0BB9A75D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5646D7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5.3</w:t>
      </w:r>
      <w:r w:rsidRPr="00E27F3C">
        <w:rPr>
          <w:b/>
          <w:sz w:val="24"/>
          <w:szCs w:val="24"/>
        </w:rPr>
        <w:tab/>
      </w:r>
      <w:r w:rsidR="00BD7931" w:rsidRPr="00E27F3C">
        <w:rPr>
          <w:b/>
          <w:sz w:val="24"/>
          <w:szCs w:val="24"/>
        </w:rPr>
        <w:t>Non-</w:t>
      </w:r>
      <w:r w:rsidRPr="00E27F3C">
        <w:rPr>
          <w:b/>
          <w:sz w:val="24"/>
          <w:szCs w:val="24"/>
        </w:rPr>
        <w:t>kliniske sikkerhedsdata</w:t>
      </w:r>
    </w:p>
    <w:p w14:paraId="55F4A112" w14:textId="6EB5F5A8" w:rsidR="00B77508" w:rsidRPr="00E27F3C" w:rsidRDefault="00B77508" w:rsidP="00E27F3C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Der er ikke udført studier for at vurdere </w:t>
      </w:r>
      <w:proofErr w:type="spellStart"/>
      <w:r w:rsidRPr="00E27F3C">
        <w:rPr>
          <w:sz w:val="24"/>
          <w:szCs w:val="24"/>
        </w:rPr>
        <w:t>oxybuprocainhydrochlorids</w:t>
      </w:r>
      <w:proofErr w:type="spellEnd"/>
      <w:r w:rsidRPr="00E27F3C">
        <w:rPr>
          <w:sz w:val="24"/>
          <w:szCs w:val="24"/>
        </w:rPr>
        <w:t xml:space="preserve"> mutagene eller reproduktionstoksiske potentiale. Akutte lokale effekter (som øjendråber) og effekter observeret efter systemisk administration hos dyr er også observeret hos mennesker, se pkt. 4.4</w:t>
      </w:r>
      <w:r w:rsidR="00E27F3C">
        <w:rPr>
          <w:sz w:val="24"/>
          <w:szCs w:val="24"/>
        </w:rPr>
        <w:t>,</w:t>
      </w:r>
      <w:r w:rsidRPr="00E27F3C">
        <w:rPr>
          <w:sz w:val="24"/>
          <w:szCs w:val="24"/>
        </w:rPr>
        <w:t xml:space="preserve"> 4.8 og 4.9. </w:t>
      </w:r>
    </w:p>
    <w:p w14:paraId="2B218361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FB9F6B5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3A48C1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6.</w:t>
      </w:r>
      <w:r w:rsidRPr="00E27F3C">
        <w:rPr>
          <w:b/>
          <w:sz w:val="24"/>
          <w:szCs w:val="24"/>
        </w:rPr>
        <w:tab/>
        <w:t>FARMACEUTISKE OPLYSNINGER</w:t>
      </w:r>
    </w:p>
    <w:p w14:paraId="43060D7F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40A4DD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6.1</w:t>
      </w:r>
      <w:r w:rsidRPr="00E27F3C">
        <w:rPr>
          <w:b/>
          <w:sz w:val="24"/>
          <w:szCs w:val="24"/>
        </w:rPr>
        <w:tab/>
        <w:t>Hjælpestoffer</w:t>
      </w:r>
    </w:p>
    <w:p w14:paraId="2135E4FE" w14:textId="0D707C62" w:rsidR="00B77508" w:rsidRPr="00E27F3C" w:rsidRDefault="00B77508" w:rsidP="00B77508">
      <w:pPr>
        <w:ind w:firstLine="851"/>
        <w:rPr>
          <w:sz w:val="24"/>
          <w:szCs w:val="24"/>
          <w:lang w:eastAsia="da-DK"/>
        </w:rPr>
      </w:pPr>
      <w:r w:rsidRPr="00E27F3C">
        <w:rPr>
          <w:sz w:val="24"/>
          <w:szCs w:val="24"/>
        </w:rPr>
        <w:t xml:space="preserve">Borsyre </w:t>
      </w:r>
    </w:p>
    <w:p w14:paraId="2B9EAE74" w14:textId="1BB672CB" w:rsidR="00B77508" w:rsidRPr="00E27F3C" w:rsidRDefault="00B77508" w:rsidP="00B77508">
      <w:pPr>
        <w:ind w:firstLine="851"/>
        <w:rPr>
          <w:sz w:val="24"/>
          <w:szCs w:val="24"/>
        </w:rPr>
      </w:pPr>
      <w:r w:rsidRPr="00E27F3C">
        <w:rPr>
          <w:sz w:val="24"/>
          <w:szCs w:val="24"/>
        </w:rPr>
        <w:t xml:space="preserve">Renset vand </w:t>
      </w:r>
    </w:p>
    <w:p w14:paraId="43CD66BB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9EAED53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6.2</w:t>
      </w:r>
      <w:r w:rsidRPr="00E27F3C">
        <w:rPr>
          <w:b/>
          <w:sz w:val="24"/>
          <w:szCs w:val="24"/>
        </w:rPr>
        <w:tab/>
        <w:t>Uforligeligheder</w:t>
      </w:r>
    </w:p>
    <w:p w14:paraId="109812EB" w14:textId="1FE5D736" w:rsidR="00B77508" w:rsidRPr="00E27F3C" w:rsidRDefault="00B77508" w:rsidP="00B77508">
      <w:pPr>
        <w:ind w:left="851"/>
        <w:rPr>
          <w:sz w:val="24"/>
          <w:szCs w:val="24"/>
          <w:lang w:eastAsia="da-DK"/>
        </w:rPr>
      </w:pPr>
      <w:proofErr w:type="spellStart"/>
      <w:r w:rsidRPr="00E27F3C">
        <w:rPr>
          <w:sz w:val="24"/>
          <w:szCs w:val="24"/>
        </w:rPr>
        <w:t>Oftasen</w:t>
      </w:r>
      <w:proofErr w:type="spellEnd"/>
      <w:r w:rsidRPr="00E27F3C">
        <w:rPr>
          <w:sz w:val="24"/>
          <w:szCs w:val="24"/>
        </w:rPr>
        <w:t xml:space="preserve"> er ikke kompatibel med sølvnitrat, kviksølvsalte, </w:t>
      </w:r>
      <w:proofErr w:type="spellStart"/>
      <w:r w:rsidRPr="00E27F3C">
        <w:rPr>
          <w:sz w:val="24"/>
          <w:szCs w:val="24"/>
        </w:rPr>
        <w:t>fluoresceinnatrium</w:t>
      </w:r>
      <w:proofErr w:type="spellEnd"/>
      <w:r w:rsidRPr="00E27F3C">
        <w:rPr>
          <w:sz w:val="24"/>
          <w:szCs w:val="24"/>
        </w:rPr>
        <w:t xml:space="preserve"> og alkaliske stoffer.</w:t>
      </w:r>
    </w:p>
    <w:p w14:paraId="6FE7EFFD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EEAF41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6.3</w:t>
      </w:r>
      <w:r w:rsidRPr="00E27F3C">
        <w:rPr>
          <w:b/>
          <w:sz w:val="24"/>
          <w:szCs w:val="24"/>
        </w:rPr>
        <w:tab/>
        <w:t>Opbevaringstid</w:t>
      </w:r>
    </w:p>
    <w:p w14:paraId="7CC2B94E" w14:textId="4F7DE5DE" w:rsidR="00B77508" w:rsidRPr="00E27F3C" w:rsidRDefault="00B77508" w:rsidP="00B77508">
      <w:pPr>
        <w:pStyle w:val="Opstilling-forts3"/>
        <w:spacing w:after="0"/>
        <w:ind w:left="0" w:firstLine="851"/>
        <w:rPr>
          <w:sz w:val="24"/>
          <w:szCs w:val="24"/>
        </w:rPr>
      </w:pPr>
      <w:r w:rsidRPr="00E27F3C">
        <w:rPr>
          <w:sz w:val="24"/>
          <w:szCs w:val="24"/>
        </w:rPr>
        <w:t>2 år.</w:t>
      </w:r>
    </w:p>
    <w:p w14:paraId="554BD068" w14:textId="77777777" w:rsidR="00B77508" w:rsidRPr="00E27F3C" w:rsidRDefault="00B77508" w:rsidP="00B77508">
      <w:pPr>
        <w:pStyle w:val="Opstilling-forts3"/>
        <w:ind w:left="851"/>
        <w:rPr>
          <w:sz w:val="24"/>
          <w:szCs w:val="24"/>
        </w:rPr>
      </w:pPr>
    </w:p>
    <w:p w14:paraId="58871559" w14:textId="2BE858C8" w:rsidR="00B77508" w:rsidRPr="00E27F3C" w:rsidRDefault="00B77508" w:rsidP="00B77508">
      <w:pPr>
        <w:pStyle w:val="Opstilling-forts3"/>
        <w:spacing w:after="0"/>
        <w:ind w:left="0" w:firstLine="851"/>
        <w:rPr>
          <w:sz w:val="24"/>
          <w:szCs w:val="24"/>
        </w:rPr>
      </w:pPr>
      <w:r w:rsidRPr="00E27F3C">
        <w:rPr>
          <w:sz w:val="24"/>
          <w:szCs w:val="24"/>
        </w:rPr>
        <w:t>Efter åbning af brevet: Enkeltdosisbeholderen skal anvendes inden for 3 måneder.</w:t>
      </w:r>
    </w:p>
    <w:p w14:paraId="40F09802" w14:textId="28CE4A30" w:rsidR="00B77508" w:rsidRPr="00E27F3C" w:rsidRDefault="00B77508" w:rsidP="00B77508">
      <w:pPr>
        <w:pStyle w:val="Opstilling-forts3"/>
        <w:spacing w:after="0"/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Efter åbning af enkeltdosisbeholderen: Lægemidlet skal anvendes straks. </w:t>
      </w:r>
    </w:p>
    <w:p w14:paraId="69044C81" w14:textId="0D00D082" w:rsidR="00B77508" w:rsidRPr="00E27F3C" w:rsidRDefault="00B77508" w:rsidP="00B77508">
      <w:pPr>
        <w:pStyle w:val="Opstilling-forts3"/>
        <w:spacing w:after="0"/>
        <w:ind w:left="851"/>
        <w:rPr>
          <w:sz w:val="24"/>
          <w:szCs w:val="24"/>
        </w:rPr>
      </w:pPr>
      <w:proofErr w:type="spellStart"/>
      <w:r w:rsidRPr="00E27F3C">
        <w:rPr>
          <w:sz w:val="24"/>
          <w:szCs w:val="24"/>
        </w:rPr>
        <w:t>Oftasen</w:t>
      </w:r>
      <w:proofErr w:type="spellEnd"/>
      <w:r w:rsidRPr="00E27F3C">
        <w:rPr>
          <w:sz w:val="24"/>
          <w:szCs w:val="24"/>
        </w:rPr>
        <w:t xml:space="preserve"> er kun til engangsbrug, og evt. ubrugt opløsning skal kasseres umiddelbart efter brug.</w:t>
      </w:r>
    </w:p>
    <w:p w14:paraId="32ABAB9D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EE37395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6.4</w:t>
      </w:r>
      <w:r w:rsidRPr="00E27F3C">
        <w:rPr>
          <w:b/>
          <w:sz w:val="24"/>
          <w:szCs w:val="24"/>
        </w:rPr>
        <w:tab/>
        <w:t>Særlige opbevaringsforhold</w:t>
      </w:r>
    </w:p>
    <w:p w14:paraId="7E64004B" w14:textId="3C166E9B" w:rsidR="00B77508" w:rsidRPr="00E27F3C" w:rsidRDefault="00B77508" w:rsidP="00B77508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 xml:space="preserve">Dette lægemiddel kræver ingen særlige forholdsregler vedrørende opbevaringen. </w:t>
      </w:r>
    </w:p>
    <w:p w14:paraId="5D6C4B29" w14:textId="77777777" w:rsidR="00B77508" w:rsidRPr="00E27F3C" w:rsidRDefault="00B77508" w:rsidP="00B77508">
      <w:pPr>
        <w:ind w:firstLine="851"/>
        <w:rPr>
          <w:sz w:val="24"/>
          <w:szCs w:val="24"/>
        </w:rPr>
      </w:pPr>
    </w:p>
    <w:p w14:paraId="1E8C3EEF" w14:textId="77777777" w:rsidR="00B77508" w:rsidRPr="00E27F3C" w:rsidRDefault="00B77508" w:rsidP="00B77508">
      <w:pPr>
        <w:ind w:firstLine="851"/>
        <w:rPr>
          <w:sz w:val="24"/>
          <w:szCs w:val="24"/>
          <w:highlight w:val="yellow"/>
        </w:rPr>
      </w:pPr>
      <w:r w:rsidRPr="00E27F3C">
        <w:rPr>
          <w:sz w:val="24"/>
          <w:szCs w:val="24"/>
        </w:rPr>
        <w:t>Opbevaringsforhold efter anbrud af lægemidlet, se pkt. 6.3.</w:t>
      </w:r>
    </w:p>
    <w:p w14:paraId="0EE07DD5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481989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6.5</w:t>
      </w:r>
      <w:r w:rsidRPr="00E27F3C">
        <w:rPr>
          <w:b/>
          <w:sz w:val="24"/>
          <w:szCs w:val="24"/>
        </w:rPr>
        <w:tab/>
        <w:t>Emballagetype og pakningsstørrelser</w:t>
      </w:r>
    </w:p>
    <w:p w14:paraId="68FB9AFB" w14:textId="3C2641D0" w:rsidR="00B77508" w:rsidRPr="00E27F3C" w:rsidRDefault="00B77508" w:rsidP="00B77508">
      <w:pPr>
        <w:pStyle w:val="Liste3"/>
        <w:ind w:left="851" w:firstLine="0"/>
        <w:rPr>
          <w:sz w:val="24"/>
          <w:szCs w:val="24"/>
        </w:rPr>
      </w:pPr>
      <w:r w:rsidRPr="00E27F3C">
        <w:rPr>
          <w:sz w:val="24"/>
          <w:szCs w:val="24"/>
        </w:rPr>
        <w:t xml:space="preserve">10 enkeltdosisbeholdere af </w:t>
      </w:r>
      <w:proofErr w:type="spellStart"/>
      <w:r w:rsidRPr="00E27F3C">
        <w:rPr>
          <w:sz w:val="24"/>
          <w:szCs w:val="24"/>
        </w:rPr>
        <w:t>polyethylen</w:t>
      </w:r>
      <w:proofErr w:type="spellEnd"/>
      <w:r w:rsidRPr="00E27F3C">
        <w:rPr>
          <w:sz w:val="24"/>
          <w:szCs w:val="24"/>
        </w:rPr>
        <w:t xml:space="preserve"> hver indeholdende 0,5 ml opløsning pakket i PET/ALU/PE-breve.</w:t>
      </w:r>
    </w:p>
    <w:p w14:paraId="17757520" w14:textId="77777777" w:rsidR="00B77508" w:rsidRPr="00E27F3C" w:rsidRDefault="00B77508" w:rsidP="00B77508">
      <w:pPr>
        <w:pStyle w:val="Liste3"/>
        <w:ind w:left="851" w:firstLine="0"/>
        <w:rPr>
          <w:sz w:val="24"/>
          <w:szCs w:val="24"/>
        </w:rPr>
      </w:pPr>
    </w:p>
    <w:p w14:paraId="101B1802" w14:textId="77777777" w:rsidR="00B77508" w:rsidRPr="00E27F3C" w:rsidRDefault="00B77508" w:rsidP="00B77508">
      <w:pPr>
        <w:pStyle w:val="Liste3"/>
        <w:ind w:left="0" w:firstLine="851"/>
        <w:rPr>
          <w:sz w:val="24"/>
          <w:szCs w:val="24"/>
        </w:rPr>
      </w:pPr>
      <w:r w:rsidRPr="00E27F3C">
        <w:rPr>
          <w:sz w:val="24"/>
          <w:szCs w:val="24"/>
        </w:rPr>
        <w:t>Pakningsstørrelse: Æske med 30 enkeltdosisbeholdere (3 breve).</w:t>
      </w:r>
    </w:p>
    <w:p w14:paraId="4A088FB6" w14:textId="415E9ECD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09D8C5E" w14:textId="77777777" w:rsidR="00E27F3C" w:rsidRPr="00E27F3C" w:rsidRDefault="00E27F3C" w:rsidP="00E27F3C">
      <w:pPr>
        <w:pStyle w:val="NormalWeb"/>
        <w:spacing w:before="0" w:beforeAutospacing="0" w:after="0" w:afterAutospacing="0"/>
        <w:ind w:left="851"/>
      </w:pPr>
      <w:r w:rsidRPr="00E27F3C">
        <w:t>Ikke alle pakningsstørrelser er nødvendigvis markedsført.</w:t>
      </w:r>
    </w:p>
    <w:p w14:paraId="457E0505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936ABC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lastRenderedPageBreak/>
        <w:t>6.6</w:t>
      </w:r>
      <w:r w:rsidRPr="00E27F3C">
        <w:rPr>
          <w:b/>
          <w:sz w:val="24"/>
          <w:szCs w:val="24"/>
        </w:rPr>
        <w:tab/>
        <w:t xml:space="preserve">Regler for </w:t>
      </w:r>
      <w:r w:rsidR="00BD7931" w:rsidRPr="00E27F3C">
        <w:rPr>
          <w:b/>
          <w:sz w:val="24"/>
          <w:szCs w:val="24"/>
        </w:rPr>
        <w:t>bortskaffelse</w:t>
      </w:r>
      <w:r w:rsidRPr="00E27F3C">
        <w:rPr>
          <w:b/>
          <w:sz w:val="24"/>
          <w:szCs w:val="24"/>
        </w:rPr>
        <w:t xml:space="preserve"> og anden håndtering</w:t>
      </w:r>
    </w:p>
    <w:p w14:paraId="20DE9D07" w14:textId="77777777" w:rsidR="00B77508" w:rsidRPr="00E27F3C" w:rsidRDefault="00B77508" w:rsidP="00B77508">
      <w:pPr>
        <w:ind w:firstLine="851"/>
        <w:rPr>
          <w:sz w:val="24"/>
          <w:szCs w:val="24"/>
          <w:lang w:eastAsia="da-DK"/>
        </w:rPr>
      </w:pPr>
      <w:r w:rsidRPr="00E27F3C">
        <w:rPr>
          <w:sz w:val="24"/>
          <w:szCs w:val="24"/>
        </w:rPr>
        <w:t>Ingen særlige forholdsregler.</w:t>
      </w:r>
    </w:p>
    <w:p w14:paraId="52CAA726" w14:textId="77777777" w:rsidR="00E27F3C" w:rsidRPr="00E27F3C" w:rsidRDefault="00E27F3C" w:rsidP="00B77508">
      <w:pPr>
        <w:ind w:left="851"/>
        <w:rPr>
          <w:sz w:val="24"/>
          <w:szCs w:val="24"/>
        </w:rPr>
      </w:pPr>
    </w:p>
    <w:p w14:paraId="4A8E3951" w14:textId="2FE0813C" w:rsidR="00B77508" w:rsidRPr="00E27F3C" w:rsidRDefault="00B77508" w:rsidP="00B77508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>Ikke anvendt lægemiddel samt affald heraf skal bortskaffes i henhold til lokale retningslinjer.</w:t>
      </w:r>
    </w:p>
    <w:p w14:paraId="66EFBCAB" w14:textId="77777777" w:rsidR="009260DE" w:rsidRPr="00E27F3C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1625E116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7.</w:t>
      </w:r>
      <w:r w:rsidRPr="00E27F3C">
        <w:rPr>
          <w:b/>
          <w:sz w:val="24"/>
          <w:szCs w:val="24"/>
        </w:rPr>
        <w:tab/>
        <w:t>INDEHAVER AF MARKEDSFØRINGSTILLADELSEN</w:t>
      </w:r>
    </w:p>
    <w:p w14:paraId="63F30B0C" w14:textId="22B7966A" w:rsidR="00B77508" w:rsidRPr="00E27F3C" w:rsidRDefault="00B77508" w:rsidP="00E27F3C">
      <w:pPr>
        <w:ind w:left="851"/>
        <w:rPr>
          <w:sz w:val="24"/>
          <w:szCs w:val="24"/>
          <w:lang w:eastAsia="da-DK"/>
        </w:rPr>
      </w:pPr>
      <w:r w:rsidRPr="00E27F3C">
        <w:rPr>
          <w:sz w:val="24"/>
          <w:szCs w:val="24"/>
        </w:rPr>
        <w:t>XGX Pharma ApS</w:t>
      </w:r>
    </w:p>
    <w:p w14:paraId="7DFBC617" w14:textId="78122FC7" w:rsidR="00B77508" w:rsidRPr="00E27F3C" w:rsidRDefault="00B77508" w:rsidP="00E27F3C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>Frederiksgade 11, st.th</w:t>
      </w:r>
    </w:p>
    <w:p w14:paraId="3EEB4E6D" w14:textId="6CBFEC3D" w:rsidR="00B77508" w:rsidRPr="00E27F3C" w:rsidRDefault="00B77508" w:rsidP="00E27F3C">
      <w:pPr>
        <w:ind w:left="851"/>
        <w:rPr>
          <w:sz w:val="24"/>
          <w:szCs w:val="24"/>
        </w:rPr>
      </w:pPr>
      <w:r w:rsidRPr="00E27F3C">
        <w:rPr>
          <w:sz w:val="24"/>
          <w:szCs w:val="24"/>
        </w:rPr>
        <w:t>1265 København K</w:t>
      </w:r>
    </w:p>
    <w:p w14:paraId="4638D139" w14:textId="3124984A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80F52E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8.</w:t>
      </w:r>
      <w:r w:rsidRPr="00E27F3C">
        <w:rPr>
          <w:b/>
          <w:sz w:val="24"/>
          <w:szCs w:val="24"/>
        </w:rPr>
        <w:tab/>
        <w:t>MARKEDSFØRINGSTILLADELSESNUMMER (</w:t>
      </w:r>
      <w:r w:rsidR="00BF6243" w:rsidRPr="00E27F3C">
        <w:rPr>
          <w:b/>
          <w:sz w:val="24"/>
          <w:szCs w:val="24"/>
        </w:rPr>
        <w:t>-</w:t>
      </w:r>
      <w:r w:rsidRPr="00E27F3C">
        <w:rPr>
          <w:b/>
          <w:sz w:val="24"/>
          <w:szCs w:val="24"/>
        </w:rPr>
        <w:t>NUMRE)</w:t>
      </w:r>
    </w:p>
    <w:p w14:paraId="584ADAD3" w14:textId="435BFD40" w:rsidR="009260DE" w:rsidRPr="00E27F3C" w:rsidRDefault="00B77508" w:rsidP="009260DE">
      <w:pPr>
        <w:tabs>
          <w:tab w:val="left" w:pos="851"/>
        </w:tabs>
        <w:ind w:left="851"/>
        <w:rPr>
          <w:sz w:val="24"/>
          <w:szCs w:val="24"/>
        </w:rPr>
      </w:pPr>
      <w:r w:rsidRPr="00E27F3C">
        <w:rPr>
          <w:sz w:val="24"/>
          <w:szCs w:val="24"/>
        </w:rPr>
        <w:t>67095</w:t>
      </w:r>
    </w:p>
    <w:p w14:paraId="4AB9A6E5" w14:textId="77777777" w:rsidR="009260DE" w:rsidRPr="00E27F3C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4F447BA7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9.</w:t>
      </w:r>
      <w:r w:rsidRPr="00E27F3C">
        <w:rPr>
          <w:b/>
          <w:sz w:val="24"/>
          <w:szCs w:val="24"/>
        </w:rPr>
        <w:tab/>
        <w:t>DATO FOR FØRSTE MARKEDSFØRINGSTILLADELSE</w:t>
      </w:r>
    </w:p>
    <w:p w14:paraId="1148950E" w14:textId="4778383C" w:rsidR="009260DE" w:rsidRPr="00E27F3C" w:rsidRDefault="00E21ACB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11. april 2025</w:t>
      </w:r>
    </w:p>
    <w:p w14:paraId="288AF654" w14:textId="77777777" w:rsidR="009260DE" w:rsidRPr="00E27F3C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618CFDA" w14:textId="77777777" w:rsidR="009260DE" w:rsidRPr="00E27F3C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27F3C">
        <w:rPr>
          <w:b/>
          <w:sz w:val="24"/>
          <w:szCs w:val="24"/>
        </w:rPr>
        <w:t>10.</w:t>
      </w:r>
      <w:r w:rsidRPr="00E27F3C">
        <w:rPr>
          <w:b/>
          <w:sz w:val="24"/>
          <w:szCs w:val="24"/>
        </w:rPr>
        <w:tab/>
        <w:t>DATO FOR ÆNDRING AF TEKSTEN</w:t>
      </w:r>
    </w:p>
    <w:p w14:paraId="30EAC825" w14:textId="01383435" w:rsidR="009260DE" w:rsidRPr="00E27F3C" w:rsidRDefault="00B77508" w:rsidP="009260DE">
      <w:pPr>
        <w:tabs>
          <w:tab w:val="left" w:pos="851"/>
        </w:tabs>
        <w:ind w:left="851"/>
        <w:rPr>
          <w:sz w:val="24"/>
          <w:szCs w:val="24"/>
        </w:rPr>
      </w:pPr>
      <w:r w:rsidRPr="00E27F3C">
        <w:rPr>
          <w:sz w:val="24"/>
          <w:szCs w:val="24"/>
        </w:rPr>
        <w:t>-</w:t>
      </w:r>
    </w:p>
    <w:sectPr w:rsidR="009260DE" w:rsidRPr="00E27F3C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59D23" w14:textId="77777777" w:rsidR="00F02833" w:rsidRDefault="00F02833">
      <w:r>
        <w:separator/>
      </w:r>
    </w:p>
  </w:endnote>
  <w:endnote w:type="continuationSeparator" w:id="0">
    <w:p w14:paraId="45B9FF71" w14:textId="77777777" w:rsidR="00F02833" w:rsidRDefault="00F0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94FA" w14:textId="77777777" w:rsidR="000259B9" w:rsidRDefault="000259B9">
    <w:pPr>
      <w:pStyle w:val="Sidefod"/>
      <w:pBdr>
        <w:bottom w:val="single" w:sz="6" w:space="1" w:color="auto"/>
      </w:pBdr>
    </w:pPr>
  </w:p>
  <w:p w14:paraId="704E1A6D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F58BF1B" w14:textId="3FF21264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E27F3C">
      <w:rPr>
        <w:i/>
        <w:noProof/>
        <w:sz w:val="18"/>
        <w:szCs w:val="18"/>
      </w:rPr>
      <w:t>Oftasen, øjendråber, opløsning i enkeltdosisbeholder 4 mg-ml.docx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9822C" w14:textId="77777777" w:rsidR="00F02833" w:rsidRDefault="00F02833">
      <w:r>
        <w:separator/>
      </w:r>
    </w:p>
  </w:footnote>
  <w:footnote w:type="continuationSeparator" w:id="0">
    <w:p w14:paraId="6C6CED87" w14:textId="77777777" w:rsidR="00F02833" w:rsidRDefault="00F02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C506A33"/>
    <w:multiLevelType w:val="hybridMultilevel"/>
    <w:tmpl w:val="EF7C0574"/>
    <w:lvl w:ilvl="0" w:tplc="0EE02BA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B5E1BA8"/>
    <w:multiLevelType w:val="hybridMultilevel"/>
    <w:tmpl w:val="59D0D3F2"/>
    <w:lvl w:ilvl="0" w:tplc="0EE02BA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33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206CE8"/>
    <w:rsid w:val="0021526C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251C1"/>
    <w:rsid w:val="0045746C"/>
    <w:rsid w:val="0049104B"/>
    <w:rsid w:val="004E3B12"/>
    <w:rsid w:val="00532310"/>
    <w:rsid w:val="00565F0F"/>
    <w:rsid w:val="00590008"/>
    <w:rsid w:val="00594A86"/>
    <w:rsid w:val="00596D86"/>
    <w:rsid w:val="00637F5A"/>
    <w:rsid w:val="00641C65"/>
    <w:rsid w:val="006560B1"/>
    <w:rsid w:val="006756DD"/>
    <w:rsid w:val="0071241E"/>
    <w:rsid w:val="00737275"/>
    <w:rsid w:val="00740EEC"/>
    <w:rsid w:val="0078011A"/>
    <w:rsid w:val="00782AF4"/>
    <w:rsid w:val="00790EE7"/>
    <w:rsid w:val="007B6649"/>
    <w:rsid w:val="0082576E"/>
    <w:rsid w:val="0089346F"/>
    <w:rsid w:val="00907F75"/>
    <w:rsid w:val="009260DE"/>
    <w:rsid w:val="0093258A"/>
    <w:rsid w:val="009C7BA3"/>
    <w:rsid w:val="009D1F5A"/>
    <w:rsid w:val="00A10294"/>
    <w:rsid w:val="00B003BF"/>
    <w:rsid w:val="00B373D7"/>
    <w:rsid w:val="00B55271"/>
    <w:rsid w:val="00B77508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E108AA"/>
    <w:rsid w:val="00E21ACB"/>
    <w:rsid w:val="00E27F3C"/>
    <w:rsid w:val="00E3749A"/>
    <w:rsid w:val="00E7437F"/>
    <w:rsid w:val="00E865B8"/>
    <w:rsid w:val="00EC0B9B"/>
    <w:rsid w:val="00ED5E9F"/>
    <w:rsid w:val="00F02833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40B80"/>
  <w15:chartTrackingRefBased/>
  <w15:docId w15:val="{B2B313D5-707D-45FC-A54B-BC89711E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3">
    <w:name w:val="Body Text 3"/>
    <w:basedOn w:val="Brdtekstindrykning"/>
    <w:link w:val="Brdtekst3Tegn"/>
    <w:unhideWhenUsed/>
    <w:rsid w:val="00B77508"/>
    <w:rPr>
      <w:rFonts w:ascii="CG Times" w:hAnsi="CG Times"/>
      <w:sz w:val="20"/>
      <w:lang w:val="en-GB" w:eastAsia="it-IT"/>
    </w:rPr>
  </w:style>
  <w:style w:type="character" w:customStyle="1" w:styleId="Brdtekst3Tegn">
    <w:name w:val="Brødtekst 3 Tegn"/>
    <w:basedOn w:val="Standardskrifttypeiafsnit"/>
    <w:link w:val="Brdtekst3"/>
    <w:rsid w:val="00B77508"/>
    <w:rPr>
      <w:rFonts w:ascii="CG Times" w:hAnsi="CG Times"/>
      <w:lang w:val="en-GB" w:eastAsia="it-IT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B77508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B77508"/>
    <w:rPr>
      <w:sz w:val="23"/>
      <w:lang w:eastAsia="en-US"/>
    </w:rPr>
  </w:style>
  <w:style w:type="character" w:customStyle="1" w:styleId="trns-org-res">
    <w:name w:val="trns-org-res"/>
    <w:basedOn w:val="Standardskrifttypeiafsnit"/>
    <w:rsid w:val="00B77508"/>
  </w:style>
  <w:style w:type="character" w:styleId="Fremhv">
    <w:name w:val="Emphasis"/>
    <w:basedOn w:val="Standardskrifttypeiafsnit"/>
    <w:uiPriority w:val="20"/>
    <w:qFormat/>
    <w:rsid w:val="00B77508"/>
    <w:rPr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B77508"/>
    <w:rPr>
      <w:color w:val="0563C1" w:themeColor="hyperlink"/>
      <w:u w:val="single"/>
    </w:rPr>
  </w:style>
  <w:style w:type="paragraph" w:styleId="Opstilling-forts2">
    <w:name w:val="List Continue 2"/>
    <w:basedOn w:val="Normal"/>
    <w:uiPriority w:val="99"/>
    <w:unhideWhenUsed/>
    <w:rsid w:val="00B77508"/>
    <w:pPr>
      <w:spacing w:after="120"/>
      <w:ind w:left="566"/>
      <w:contextualSpacing/>
    </w:pPr>
    <w:rPr>
      <w:sz w:val="24"/>
      <w:lang w:eastAsia="da-DK"/>
    </w:rPr>
  </w:style>
  <w:style w:type="paragraph" w:styleId="Opstilling-forts3">
    <w:name w:val="List Continue 3"/>
    <w:basedOn w:val="Normal"/>
    <w:uiPriority w:val="99"/>
    <w:semiHidden/>
    <w:unhideWhenUsed/>
    <w:rsid w:val="00B77508"/>
    <w:pPr>
      <w:spacing w:after="120"/>
      <w:ind w:left="849"/>
      <w:contextualSpacing/>
    </w:pPr>
  </w:style>
  <w:style w:type="paragraph" w:styleId="Liste3">
    <w:name w:val="List 3"/>
    <w:basedOn w:val="Normal"/>
    <w:uiPriority w:val="99"/>
    <w:semiHidden/>
    <w:unhideWhenUsed/>
    <w:rsid w:val="00B7750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B77508"/>
    <w:pPr>
      <w:ind w:left="1132" w:hanging="283"/>
      <w:contextualSpacing/>
    </w:pPr>
  </w:style>
  <w:style w:type="paragraph" w:styleId="NormalWeb">
    <w:name w:val="Normal (Web)"/>
    <w:basedOn w:val="Normal"/>
    <w:uiPriority w:val="99"/>
    <w:semiHidden/>
    <w:unhideWhenUsed/>
    <w:rsid w:val="00E27F3C"/>
    <w:pPr>
      <w:spacing w:before="100" w:beforeAutospacing="1" w:after="100" w:afterAutospacing="1"/>
    </w:pPr>
    <w:rPr>
      <w:rFonts w:eastAsiaTheme="minorHAnsi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28</TotalTime>
  <Pages>7</Pages>
  <Words>1513</Words>
  <Characters>10418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2021120243; MT</dc:description>
  <cp:lastModifiedBy>Gitte Jørgensen</cp:lastModifiedBy>
  <cp:revision>5</cp:revision>
  <cp:lastPrinted>2012-08-22T08:53:00Z</cp:lastPrinted>
  <dcterms:created xsi:type="dcterms:W3CDTF">2025-04-10T12:50:00Z</dcterms:created>
  <dcterms:modified xsi:type="dcterms:W3CDTF">2025-04-11T06:33:00Z</dcterms:modified>
</cp:coreProperties>
</file>