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45BF4" w:rsidRPr="008F49E1" w:rsidRDefault="00145BF4" w:rsidP="00145BF4">
      <w:pPr>
        <w:rPr>
          <w:sz w:val="24"/>
          <w:szCs w:val="24"/>
        </w:rPr>
      </w:pPr>
      <w:bookmarkStart w:id="0" w:name="_GoBack"/>
      <w:bookmarkEnd w:id="0"/>
      <w:r w:rsidRPr="009260DE">
        <w:rPr>
          <w:noProof/>
          <w:sz w:val="24"/>
          <w:szCs w:val="24"/>
          <w:lang w:eastAsia="da-DK"/>
        </w:rPr>
        <w:drawing>
          <wp:anchor distT="0" distB="0" distL="114300" distR="114300" simplePos="0" relativeHeight="251659264" behindDoc="0" locked="0" layoutInCell="1" allowOverlap="1" wp14:anchorId="727A11FE" wp14:editId="50112652">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Pr>
          <w:sz w:val="24"/>
          <w:szCs w:val="24"/>
        </w:rPr>
        <w:br w:type="textWrapping" w:clear="all"/>
      </w:r>
    </w:p>
    <w:p w:rsidR="00145BF4" w:rsidRPr="00C84483" w:rsidRDefault="00145BF4" w:rsidP="00145BF4">
      <w:pPr>
        <w:pStyle w:val="Titel"/>
        <w:tabs>
          <w:tab w:val="right" w:pos="9356"/>
        </w:tabs>
        <w:jc w:val="left"/>
        <w:rPr>
          <w:b w:val="0"/>
          <w:szCs w:val="24"/>
          <w:lang w:eastAsia="en-US"/>
        </w:rPr>
      </w:pPr>
      <w:r w:rsidRPr="00C84483">
        <w:rPr>
          <w:b w:val="0"/>
          <w:szCs w:val="24"/>
          <w:lang w:eastAsia="en-US"/>
        </w:rPr>
        <w:tab/>
      </w:r>
      <w:r w:rsidR="00BF57C2">
        <w:rPr>
          <w:szCs w:val="24"/>
        </w:rPr>
        <w:t>11</w:t>
      </w:r>
      <w:r w:rsidR="00136A1C">
        <w:rPr>
          <w:szCs w:val="24"/>
        </w:rPr>
        <w:t xml:space="preserve">. </w:t>
      </w:r>
      <w:r w:rsidR="00BF57C2">
        <w:rPr>
          <w:szCs w:val="24"/>
        </w:rPr>
        <w:t>april</w:t>
      </w:r>
      <w:r w:rsidR="00136A1C">
        <w:rPr>
          <w:szCs w:val="24"/>
        </w:rPr>
        <w:t xml:space="preserve"> 202</w:t>
      </w:r>
      <w:r w:rsidR="00BF57C2">
        <w:rPr>
          <w:szCs w:val="24"/>
        </w:rPr>
        <w:t>3</w:t>
      </w:r>
    </w:p>
    <w:p w:rsidR="00145BF4" w:rsidRPr="00C84483" w:rsidRDefault="00145BF4" w:rsidP="00145BF4">
      <w:pPr>
        <w:pStyle w:val="Titel"/>
        <w:tabs>
          <w:tab w:val="left" w:pos="8222"/>
        </w:tabs>
        <w:jc w:val="left"/>
        <w:rPr>
          <w:b w:val="0"/>
          <w:szCs w:val="24"/>
        </w:rPr>
      </w:pPr>
    </w:p>
    <w:p w:rsidR="00145BF4" w:rsidRPr="00C84483" w:rsidRDefault="00145BF4" w:rsidP="00145BF4">
      <w:pPr>
        <w:pStyle w:val="Titel"/>
        <w:jc w:val="left"/>
        <w:rPr>
          <w:b w:val="0"/>
          <w:szCs w:val="24"/>
        </w:rPr>
      </w:pPr>
    </w:p>
    <w:p w:rsidR="00145BF4" w:rsidRPr="00C84483" w:rsidRDefault="00145BF4" w:rsidP="00145BF4">
      <w:pPr>
        <w:pStyle w:val="Titel"/>
        <w:jc w:val="left"/>
        <w:rPr>
          <w:b w:val="0"/>
          <w:szCs w:val="24"/>
        </w:rPr>
      </w:pPr>
    </w:p>
    <w:p w:rsidR="00145BF4" w:rsidRPr="00C84483" w:rsidRDefault="00145BF4" w:rsidP="00145BF4">
      <w:pPr>
        <w:jc w:val="center"/>
        <w:rPr>
          <w:b/>
          <w:sz w:val="24"/>
          <w:szCs w:val="24"/>
        </w:rPr>
      </w:pPr>
      <w:r w:rsidRPr="00C84483">
        <w:rPr>
          <w:b/>
          <w:sz w:val="24"/>
          <w:szCs w:val="24"/>
        </w:rPr>
        <w:t>PRODUKTRESUMÉ</w:t>
      </w:r>
    </w:p>
    <w:p w:rsidR="00145BF4" w:rsidRPr="00C84483" w:rsidRDefault="00145BF4" w:rsidP="00145BF4">
      <w:pPr>
        <w:jc w:val="center"/>
        <w:rPr>
          <w:b/>
          <w:sz w:val="24"/>
          <w:szCs w:val="24"/>
        </w:rPr>
      </w:pPr>
    </w:p>
    <w:p w:rsidR="00145BF4" w:rsidRDefault="00145BF4" w:rsidP="00145BF4">
      <w:pPr>
        <w:jc w:val="center"/>
        <w:rPr>
          <w:b/>
          <w:sz w:val="24"/>
          <w:szCs w:val="24"/>
        </w:rPr>
      </w:pPr>
      <w:r w:rsidRPr="00C84483">
        <w:rPr>
          <w:b/>
          <w:sz w:val="24"/>
          <w:szCs w:val="24"/>
        </w:rPr>
        <w:t>for</w:t>
      </w:r>
    </w:p>
    <w:p w:rsidR="00145BF4" w:rsidRPr="00C84483" w:rsidRDefault="00145BF4" w:rsidP="00145BF4">
      <w:pPr>
        <w:jc w:val="center"/>
        <w:rPr>
          <w:b/>
          <w:sz w:val="24"/>
          <w:szCs w:val="24"/>
        </w:rPr>
      </w:pPr>
    </w:p>
    <w:p w:rsidR="00145BF4" w:rsidRPr="00C84483" w:rsidRDefault="00145BF4" w:rsidP="00145BF4">
      <w:pPr>
        <w:jc w:val="center"/>
        <w:rPr>
          <w:b/>
          <w:sz w:val="24"/>
          <w:szCs w:val="24"/>
        </w:rPr>
      </w:pPr>
      <w:proofErr w:type="spellStart"/>
      <w:r>
        <w:rPr>
          <w:b/>
          <w:sz w:val="24"/>
          <w:szCs w:val="24"/>
        </w:rPr>
        <w:t>Olimel</w:t>
      </w:r>
      <w:proofErr w:type="spellEnd"/>
      <w:r>
        <w:rPr>
          <w:b/>
          <w:sz w:val="24"/>
          <w:szCs w:val="24"/>
        </w:rPr>
        <w:t xml:space="preserve"> N12, infusionsvæske, emulsion</w:t>
      </w:r>
    </w:p>
    <w:p w:rsidR="00145BF4" w:rsidRPr="00C84483" w:rsidRDefault="00145BF4" w:rsidP="00145BF4">
      <w:pPr>
        <w:jc w:val="both"/>
        <w:rPr>
          <w:sz w:val="24"/>
          <w:szCs w:val="24"/>
        </w:rPr>
      </w:pPr>
    </w:p>
    <w:p w:rsidR="00145BF4" w:rsidRPr="00732305" w:rsidRDefault="00145BF4" w:rsidP="00145BF4">
      <w:pPr>
        <w:jc w:val="both"/>
        <w:rPr>
          <w:sz w:val="24"/>
          <w:szCs w:val="24"/>
        </w:rPr>
      </w:pPr>
    </w:p>
    <w:p w:rsidR="00145BF4" w:rsidRPr="00732305" w:rsidRDefault="00145BF4" w:rsidP="00145BF4">
      <w:pPr>
        <w:tabs>
          <w:tab w:val="left" w:pos="851"/>
        </w:tabs>
        <w:ind w:left="851" w:hanging="851"/>
        <w:rPr>
          <w:b/>
          <w:sz w:val="24"/>
          <w:szCs w:val="24"/>
        </w:rPr>
      </w:pPr>
      <w:r w:rsidRPr="00732305">
        <w:rPr>
          <w:b/>
          <w:sz w:val="24"/>
          <w:szCs w:val="24"/>
        </w:rPr>
        <w:t>0.</w:t>
      </w:r>
      <w:r w:rsidRPr="00732305">
        <w:rPr>
          <w:b/>
          <w:sz w:val="24"/>
          <w:szCs w:val="24"/>
        </w:rPr>
        <w:tab/>
        <w:t>D.SP.NR.</w:t>
      </w:r>
    </w:p>
    <w:p w:rsidR="00145BF4" w:rsidRPr="00732305" w:rsidRDefault="00145BF4" w:rsidP="00145BF4">
      <w:pPr>
        <w:tabs>
          <w:tab w:val="left" w:pos="851"/>
        </w:tabs>
        <w:ind w:left="851"/>
        <w:rPr>
          <w:sz w:val="24"/>
          <w:szCs w:val="24"/>
        </w:rPr>
      </w:pPr>
      <w:r w:rsidRPr="00732305">
        <w:rPr>
          <w:sz w:val="24"/>
          <w:szCs w:val="24"/>
        </w:rPr>
        <w:t>26748</w:t>
      </w:r>
    </w:p>
    <w:p w:rsidR="00145BF4" w:rsidRPr="00732305" w:rsidRDefault="00145BF4" w:rsidP="00145BF4">
      <w:pPr>
        <w:tabs>
          <w:tab w:val="left" w:pos="851"/>
        </w:tabs>
        <w:ind w:left="851"/>
        <w:rPr>
          <w:sz w:val="24"/>
          <w:szCs w:val="24"/>
        </w:rPr>
      </w:pPr>
    </w:p>
    <w:p w:rsidR="00145BF4" w:rsidRPr="00732305" w:rsidRDefault="00145BF4" w:rsidP="00145BF4">
      <w:pPr>
        <w:tabs>
          <w:tab w:val="left" w:pos="851"/>
        </w:tabs>
        <w:ind w:left="851" w:hanging="851"/>
        <w:rPr>
          <w:b/>
          <w:sz w:val="24"/>
          <w:szCs w:val="24"/>
        </w:rPr>
      </w:pPr>
      <w:r w:rsidRPr="00732305">
        <w:rPr>
          <w:b/>
          <w:sz w:val="24"/>
          <w:szCs w:val="24"/>
        </w:rPr>
        <w:t>1.</w:t>
      </w:r>
      <w:r w:rsidRPr="00732305">
        <w:rPr>
          <w:b/>
          <w:sz w:val="24"/>
          <w:szCs w:val="24"/>
        </w:rPr>
        <w:tab/>
        <w:t>LÆGEMIDLETS NAVN</w:t>
      </w:r>
    </w:p>
    <w:p w:rsidR="00145BF4" w:rsidRPr="00732305" w:rsidRDefault="00145BF4" w:rsidP="00145BF4">
      <w:pPr>
        <w:tabs>
          <w:tab w:val="left" w:pos="851"/>
        </w:tabs>
        <w:ind w:left="851"/>
        <w:rPr>
          <w:sz w:val="24"/>
          <w:szCs w:val="24"/>
        </w:rPr>
      </w:pPr>
      <w:proofErr w:type="spellStart"/>
      <w:r w:rsidRPr="00732305">
        <w:rPr>
          <w:sz w:val="24"/>
          <w:szCs w:val="24"/>
        </w:rPr>
        <w:t>Olimel</w:t>
      </w:r>
      <w:proofErr w:type="spellEnd"/>
      <w:r w:rsidRPr="00732305">
        <w:rPr>
          <w:sz w:val="24"/>
          <w:szCs w:val="24"/>
        </w:rPr>
        <w:t xml:space="preserve"> N12</w:t>
      </w:r>
    </w:p>
    <w:p w:rsidR="00145BF4" w:rsidRPr="00732305" w:rsidRDefault="00145BF4" w:rsidP="00145BF4">
      <w:pPr>
        <w:tabs>
          <w:tab w:val="left" w:pos="851"/>
        </w:tabs>
        <w:ind w:left="851"/>
        <w:rPr>
          <w:sz w:val="24"/>
          <w:szCs w:val="24"/>
        </w:rPr>
      </w:pPr>
    </w:p>
    <w:p w:rsidR="00145BF4" w:rsidRPr="00732305" w:rsidRDefault="00145BF4" w:rsidP="00145BF4">
      <w:pPr>
        <w:tabs>
          <w:tab w:val="left" w:pos="851"/>
        </w:tabs>
        <w:ind w:left="851" w:hanging="851"/>
        <w:rPr>
          <w:b/>
          <w:sz w:val="24"/>
          <w:szCs w:val="24"/>
        </w:rPr>
      </w:pPr>
      <w:r w:rsidRPr="00732305">
        <w:rPr>
          <w:b/>
          <w:sz w:val="24"/>
          <w:szCs w:val="24"/>
        </w:rPr>
        <w:t>2.</w:t>
      </w:r>
      <w:r w:rsidRPr="00732305">
        <w:rPr>
          <w:b/>
          <w:sz w:val="24"/>
          <w:szCs w:val="24"/>
        </w:rPr>
        <w:tab/>
        <w:t>KVALITATIV OG KVANTITATIV SAMMENSÆTNING</w:t>
      </w:r>
    </w:p>
    <w:p w:rsidR="00145BF4" w:rsidRPr="00732305" w:rsidRDefault="00145BF4" w:rsidP="00145BF4">
      <w:pPr>
        <w:ind w:left="851"/>
        <w:rPr>
          <w:rFonts w:eastAsia="MS Mincho"/>
          <w:sz w:val="24"/>
          <w:szCs w:val="24"/>
          <w:lang w:eastAsia="ja-JP"/>
        </w:rPr>
      </w:pPr>
      <w:proofErr w:type="spellStart"/>
      <w:r w:rsidRPr="00732305">
        <w:rPr>
          <w:rFonts w:eastAsia="MS Mincho"/>
          <w:sz w:val="24"/>
          <w:szCs w:val="24"/>
          <w:lang w:eastAsia="ja-JP"/>
        </w:rPr>
        <w:t>Olimel</w:t>
      </w:r>
      <w:proofErr w:type="spellEnd"/>
      <w:r w:rsidRPr="00732305">
        <w:rPr>
          <w:rFonts w:eastAsia="MS Mincho"/>
          <w:sz w:val="24"/>
          <w:szCs w:val="24"/>
          <w:lang w:eastAsia="ja-JP"/>
        </w:rPr>
        <w:t xml:space="preserve"> N12 leveres i en trekammerpose. </w:t>
      </w:r>
    </w:p>
    <w:p w:rsidR="00145BF4" w:rsidRPr="00732305" w:rsidRDefault="00145BF4" w:rsidP="00145BF4">
      <w:pPr>
        <w:ind w:left="851"/>
        <w:rPr>
          <w:rFonts w:eastAsia="MS Mincho"/>
          <w:sz w:val="24"/>
          <w:szCs w:val="24"/>
          <w:lang w:eastAsia="ja-JP"/>
        </w:rPr>
      </w:pPr>
    </w:p>
    <w:p w:rsidR="00145BF4" w:rsidRPr="00732305" w:rsidRDefault="00145BF4" w:rsidP="00145BF4">
      <w:pPr>
        <w:ind w:left="851"/>
        <w:rPr>
          <w:rFonts w:eastAsia="MS Mincho"/>
          <w:sz w:val="24"/>
          <w:szCs w:val="24"/>
          <w:lang w:eastAsia="ja-JP"/>
        </w:rPr>
      </w:pPr>
      <w:r w:rsidRPr="00732305">
        <w:rPr>
          <w:rFonts w:eastAsia="MS Mincho"/>
          <w:sz w:val="24"/>
          <w:szCs w:val="24"/>
          <w:lang w:eastAsia="ja-JP"/>
        </w:rPr>
        <w:t xml:space="preserve">Hver pose indeholder en </w:t>
      </w:r>
      <w:proofErr w:type="spellStart"/>
      <w:r w:rsidRPr="00732305">
        <w:rPr>
          <w:rFonts w:eastAsia="MS Mincho"/>
          <w:sz w:val="24"/>
          <w:szCs w:val="24"/>
          <w:lang w:eastAsia="ja-JP"/>
        </w:rPr>
        <w:t>glucoseopløsning</w:t>
      </w:r>
      <w:proofErr w:type="spellEnd"/>
      <w:r w:rsidRPr="00732305">
        <w:rPr>
          <w:rFonts w:eastAsia="MS Mincho"/>
          <w:sz w:val="24"/>
          <w:szCs w:val="24"/>
          <w:lang w:eastAsia="ja-JP"/>
        </w:rPr>
        <w:t>, en fedtemulsion og en aminosyreopløsning.</w:t>
      </w:r>
    </w:p>
    <w:p w:rsidR="00145BF4" w:rsidRPr="00732305" w:rsidRDefault="00145BF4" w:rsidP="00145BF4">
      <w:pPr>
        <w:ind w:left="851"/>
        <w:rPr>
          <w:rFonts w:eastAsia="MS Mincho"/>
          <w:sz w:val="24"/>
          <w:szCs w:val="24"/>
          <w:lang w:eastAsia="ja-JP"/>
        </w:rPr>
      </w:pPr>
    </w:p>
    <w:tbl>
      <w:tblPr>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11"/>
        <w:gridCol w:w="1276"/>
        <w:gridCol w:w="1321"/>
        <w:gridCol w:w="1276"/>
        <w:gridCol w:w="1276"/>
      </w:tblGrid>
      <w:tr w:rsidR="00145BF4" w:rsidRPr="00732305" w:rsidTr="00573E4B">
        <w:trPr>
          <w:cantSplit/>
        </w:trPr>
        <w:tc>
          <w:tcPr>
            <w:tcW w:w="3011" w:type="dxa"/>
            <w:tcBorders>
              <w:top w:val="nil"/>
              <w:left w:val="nil"/>
              <w:bottom w:val="nil"/>
            </w:tcBorders>
          </w:tcPr>
          <w:p w:rsidR="00145BF4" w:rsidRPr="00732305" w:rsidRDefault="00145BF4" w:rsidP="00573E4B">
            <w:pPr>
              <w:spacing w:before="60" w:after="60"/>
              <w:jc w:val="center"/>
              <w:rPr>
                <w:sz w:val="20"/>
                <w:highlight w:val="yellow"/>
                <w:lang w:eastAsia="ja-JP"/>
              </w:rPr>
            </w:pPr>
          </w:p>
        </w:tc>
        <w:tc>
          <w:tcPr>
            <w:tcW w:w="5149" w:type="dxa"/>
            <w:gridSpan w:val="4"/>
          </w:tcPr>
          <w:p w:rsidR="00145BF4" w:rsidRPr="00732305" w:rsidRDefault="00145BF4" w:rsidP="00573E4B">
            <w:pPr>
              <w:spacing w:before="60" w:after="60"/>
              <w:jc w:val="center"/>
              <w:rPr>
                <w:b/>
                <w:sz w:val="20"/>
                <w:lang w:eastAsia="ja-JP"/>
              </w:rPr>
            </w:pPr>
            <w:r w:rsidRPr="00732305">
              <w:rPr>
                <w:b/>
                <w:sz w:val="20"/>
                <w:lang w:eastAsia="ja-JP"/>
              </w:rPr>
              <w:t>Indhold pr. pose</w:t>
            </w:r>
          </w:p>
        </w:tc>
      </w:tr>
      <w:tr w:rsidR="00145BF4" w:rsidRPr="00732305" w:rsidTr="00573E4B">
        <w:tc>
          <w:tcPr>
            <w:tcW w:w="3011" w:type="dxa"/>
            <w:tcBorders>
              <w:top w:val="nil"/>
              <w:left w:val="nil"/>
            </w:tcBorders>
          </w:tcPr>
          <w:p w:rsidR="00145BF4" w:rsidRPr="00732305" w:rsidRDefault="00145BF4" w:rsidP="00573E4B">
            <w:pPr>
              <w:spacing w:before="60" w:after="60"/>
              <w:jc w:val="center"/>
              <w:rPr>
                <w:sz w:val="20"/>
                <w:highlight w:val="yellow"/>
                <w:lang w:eastAsia="ja-JP"/>
              </w:rPr>
            </w:pPr>
          </w:p>
        </w:tc>
        <w:tc>
          <w:tcPr>
            <w:tcW w:w="1276" w:type="dxa"/>
          </w:tcPr>
          <w:p w:rsidR="00145BF4" w:rsidRPr="00732305" w:rsidRDefault="00145BF4" w:rsidP="00573E4B">
            <w:pPr>
              <w:spacing w:before="60" w:after="60"/>
              <w:jc w:val="center"/>
              <w:rPr>
                <w:b/>
                <w:sz w:val="20"/>
                <w:lang w:eastAsia="ja-JP"/>
              </w:rPr>
            </w:pPr>
            <w:r w:rsidRPr="00732305">
              <w:rPr>
                <w:b/>
                <w:sz w:val="20"/>
                <w:lang w:eastAsia="ja-JP"/>
              </w:rPr>
              <w:t>650 ml</w:t>
            </w:r>
          </w:p>
        </w:tc>
        <w:tc>
          <w:tcPr>
            <w:tcW w:w="1321" w:type="dxa"/>
          </w:tcPr>
          <w:p w:rsidR="00145BF4" w:rsidRPr="00732305" w:rsidRDefault="00145BF4" w:rsidP="00573E4B">
            <w:pPr>
              <w:spacing w:before="60" w:after="60"/>
              <w:jc w:val="center"/>
              <w:rPr>
                <w:b/>
                <w:sz w:val="20"/>
                <w:lang w:eastAsia="ja-JP"/>
              </w:rPr>
            </w:pPr>
            <w:r w:rsidRPr="00732305">
              <w:rPr>
                <w:b/>
                <w:sz w:val="20"/>
                <w:lang w:eastAsia="ja-JP"/>
              </w:rPr>
              <w:t>1000 ml</w:t>
            </w:r>
          </w:p>
        </w:tc>
        <w:tc>
          <w:tcPr>
            <w:tcW w:w="1276" w:type="dxa"/>
          </w:tcPr>
          <w:p w:rsidR="00145BF4" w:rsidRPr="00732305" w:rsidRDefault="00145BF4" w:rsidP="00573E4B">
            <w:pPr>
              <w:spacing w:before="60" w:after="60"/>
              <w:jc w:val="center"/>
              <w:rPr>
                <w:b/>
                <w:sz w:val="20"/>
                <w:lang w:eastAsia="ja-JP"/>
              </w:rPr>
            </w:pPr>
            <w:r w:rsidRPr="00732305">
              <w:rPr>
                <w:b/>
                <w:sz w:val="20"/>
                <w:lang w:eastAsia="ja-JP"/>
              </w:rPr>
              <w:t>1500 ml</w:t>
            </w:r>
          </w:p>
        </w:tc>
        <w:tc>
          <w:tcPr>
            <w:tcW w:w="1276" w:type="dxa"/>
          </w:tcPr>
          <w:p w:rsidR="00145BF4" w:rsidRPr="00732305" w:rsidRDefault="00145BF4" w:rsidP="00573E4B">
            <w:pPr>
              <w:spacing w:before="60" w:after="60"/>
              <w:jc w:val="center"/>
              <w:rPr>
                <w:b/>
                <w:sz w:val="20"/>
                <w:lang w:eastAsia="ja-JP"/>
              </w:rPr>
            </w:pPr>
            <w:r w:rsidRPr="00732305">
              <w:rPr>
                <w:b/>
                <w:sz w:val="20"/>
                <w:lang w:eastAsia="ja-JP"/>
              </w:rPr>
              <w:t>2000 ml</w:t>
            </w:r>
          </w:p>
        </w:tc>
      </w:tr>
      <w:tr w:rsidR="00145BF4" w:rsidRPr="00732305" w:rsidTr="00573E4B">
        <w:tc>
          <w:tcPr>
            <w:tcW w:w="3011" w:type="dxa"/>
          </w:tcPr>
          <w:p w:rsidR="00145BF4" w:rsidRPr="00732305" w:rsidRDefault="00145BF4" w:rsidP="00573E4B">
            <w:pPr>
              <w:spacing w:before="60" w:after="60"/>
              <w:jc w:val="center"/>
              <w:rPr>
                <w:sz w:val="20"/>
                <w:lang w:eastAsia="ja-JP"/>
              </w:rPr>
            </w:pPr>
            <w:r w:rsidRPr="00732305">
              <w:rPr>
                <w:sz w:val="20"/>
                <w:lang w:eastAsia="ja-JP"/>
              </w:rPr>
              <w:t xml:space="preserve">27,5 % </w:t>
            </w:r>
            <w:proofErr w:type="spellStart"/>
            <w:r w:rsidRPr="00732305">
              <w:rPr>
                <w:sz w:val="20"/>
                <w:lang w:eastAsia="ja-JP"/>
              </w:rPr>
              <w:t>glucoseopløsning</w:t>
            </w:r>
            <w:proofErr w:type="spellEnd"/>
            <w:r w:rsidRPr="00732305">
              <w:rPr>
                <w:sz w:val="20"/>
                <w:lang w:eastAsia="ja-JP"/>
              </w:rPr>
              <w:t xml:space="preserve"> (svarende til 27,5 g/100 ml)</w:t>
            </w:r>
          </w:p>
        </w:tc>
        <w:tc>
          <w:tcPr>
            <w:tcW w:w="1276" w:type="dxa"/>
          </w:tcPr>
          <w:p w:rsidR="00145BF4" w:rsidRPr="00732305" w:rsidRDefault="00145BF4" w:rsidP="00573E4B">
            <w:pPr>
              <w:spacing w:before="60" w:after="60"/>
              <w:jc w:val="center"/>
              <w:rPr>
                <w:sz w:val="20"/>
                <w:lang w:eastAsia="ja-JP"/>
              </w:rPr>
            </w:pPr>
            <w:r w:rsidRPr="00732305">
              <w:rPr>
                <w:sz w:val="20"/>
                <w:lang w:eastAsia="ja-JP"/>
              </w:rPr>
              <w:t>173 ml</w:t>
            </w:r>
          </w:p>
        </w:tc>
        <w:tc>
          <w:tcPr>
            <w:tcW w:w="1321" w:type="dxa"/>
          </w:tcPr>
          <w:p w:rsidR="00145BF4" w:rsidRPr="00732305" w:rsidRDefault="00145BF4" w:rsidP="00573E4B">
            <w:pPr>
              <w:spacing w:before="60" w:after="60"/>
              <w:jc w:val="center"/>
              <w:rPr>
                <w:sz w:val="20"/>
                <w:lang w:eastAsia="ja-JP"/>
              </w:rPr>
            </w:pPr>
            <w:r w:rsidRPr="00732305">
              <w:rPr>
                <w:sz w:val="20"/>
                <w:lang w:eastAsia="ja-JP"/>
              </w:rPr>
              <w:t xml:space="preserve">267 ml </w:t>
            </w:r>
          </w:p>
        </w:tc>
        <w:tc>
          <w:tcPr>
            <w:tcW w:w="1276" w:type="dxa"/>
          </w:tcPr>
          <w:p w:rsidR="00145BF4" w:rsidRPr="00732305" w:rsidRDefault="00145BF4" w:rsidP="00573E4B">
            <w:pPr>
              <w:spacing w:before="60" w:after="60"/>
              <w:jc w:val="center"/>
              <w:rPr>
                <w:sz w:val="20"/>
                <w:lang w:eastAsia="ja-JP"/>
              </w:rPr>
            </w:pPr>
            <w:r w:rsidRPr="00732305">
              <w:rPr>
                <w:sz w:val="20"/>
                <w:lang w:eastAsia="ja-JP"/>
              </w:rPr>
              <w:t>400 ml</w:t>
            </w:r>
          </w:p>
        </w:tc>
        <w:tc>
          <w:tcPr>
            <w:tcW w:w="1276" w:type="dxa"/>
          </w:tcPr>
          <w:p w:rsidR="00145BF4" w:rsidRPr="00732305" w:rsidRDefault="00145BF4" w:rsidP="00573E4B">
            <w:pPr>
              <w:spacing w:before="60" w:after="60"/>
              <w:jc w:val="center"/>
              <w:rPr>
                <w:sz w:val="20"/>
                <w:lang w:eastAsia="ja-JP"/>
              </w:rPr>
            </w:pPr>
            <w:r w:rsidRPr="00732305">
              <w:rPr>
                <w:sz w:val="20"/>
                <w:lang w:eastAsia="ja-JP"/>
              </w:rPr>
              <w:t>533 ml</w:t>
            </w:r>
          </w:p>
        </w:tc>
      </w:tr>
      <w:tr w:rsidR="00145BF4" w:rsidRPr="00732305" w:rsidTr="00573E4B">
        <w:tc>
          <w:tcPr>
            <w:tcW w:w="3011" w:type="dxa"/>
          </w:tcPr>
          <w:p w:rsidR="00145BF4" w:rsidRPr="00732305" w:rsidRDefault="00145BF4" w:rsidP="00573E4B">
            <w:pPr>
              <w:spacing w:before="60" w:after="60"/>
              <w:jc w:val="center"/>
              <w:rPr>
                <w:sz w:val="20"/>
                <w:lang w:eastAsia="ja-JP"/>
              </w:rPr>
            </w:pPr>
            <w:r w:rsidRPr="00732305">
              <w:rPr>
                <w:sz w:val="20"/>
                <w:lang w:eastAsia="ja-JP"/>
              </w:rPr>
              <w:t>14,2 % aminosyreopløsning (svarende til 14,2 g/100 ml)</w:t>
            </w:r>
          </w:p>
        </w:tc>
        <w:tc>
          <w:tcPr>
            <w:tcW w:w="1276" w:type="dxa"/>
          </w:tcPr>
          <w:p w:rsidR="00145BF4" w:rsidRPr="00732305" w:rsidRDefault="00145BF4" w:rsidP="00573E4B">
            <w:pPr>
              <w:spacing w:before="60" w:after="60"/>
              <w:jc w:val="center"/>
              <w:rPr>
                <w:sz w:val="20"/>
                <w:lang w:eastAsia="ja-JP"/>
              </w:rPr>
            </w:pPr>
            <w:r w:rsidRPr="00732305">
              <w:rPr>
                <w:sz w:val="20"/>
                <w:lang w:eastAsia="ja-JP"/>
              </w:rPr>
              <w:t>347 ml</w:t>
            </w:r>
          </w:p>
        </w:tc>
        <w:tc>
          <w:tcPr>
            <w:tcW w:w="1321" w:type="dxa"/>
          </w:tcPr>
          <w:p w:rsidR="00145BF4" w:rsidRPr="00732305" w:rsidRDefault="00145BF4" w:rsidP="00573E4B">
            <w:pPr>
              <w:spacing w:before="60" w:after="60"/>
              <w:jc w:val="center"/>
              <w:rPr>
                <w:sz w:val="20"/>
                <w:lang w:eastAsia="ja-JP"/>
              </w:rPr>
            </w:pPr>
            <w:r w:rsidRPr="00732305">
              <w:rPr>
                <w:sz w:val="20"/>
                <w:lang w:eastAsia="ja-JP"/>
              </w:rPr>
              <w:t>533 ml</w:t>
            </w:r>
          </w:p>
        </w:tc>
        <w:tc>
          <w:tcPr>
            <w:tcW w:w="1276" w:type="dxa"/>
          </w:tcPr>
          <w:p w:rsidR="00145BF4" w:rsidRPr="00732305" w:rsidRDefault="00145BF4" w:rsidP="00573E4B">
            <w:pPr>
              <w:spacing w:before="60" w:after="60"/>
              <w:jc w:val="center"/>
              <w:rPr>
                <w:sz w:val="20"/>
                <w:lang w:eastAsia="ja-JP"/>
              </w:rPr>
            </w:pPr>
            <w:r w:rsidRPr="00732305">
              <w:rPr>
                <w:sz w:val="20"/>
                <w:lang w:eastAsia="ja-JP"/>
              </w:rPr>
              <w:t>800 ml</w:t>
            </w:r>
          </w:p>
        </w:tc>
        <w:tc>
          <w:tcPr>
            <w:tcW w:w="1276" w:type="dxa"/>
          </w:tcPr>
          <w:p w:rsidR="00145BF4" w:rsidRPr="00732305" w:rsidRDefault="00145BF4" w:rsidP="00573E4B">
            <w:pPr>
              <w:spacing w:before="60" w:after="60"/>
              <w:jc w:val="center"/>
              <w:rPr>
                <w:sz w:val="20"/>
                <w:lang w:eastAsia="ja-JP"/>
              </w:rPr>
            </w:pPr>
            <w:r w:rsidRPr="00732305">
              <w:rPr>
                <w:sz w:val="20"/>
                <w:lang w:eastAsia="ja-JP"/>
              </w:rPr>
              <w:t>1067 ml</w:t>
            </w:r>
          </w:p>
        </w:tc>
      </w:tr>
      <w:tr w:rsidR="00145BF4" w:rsidRPr="00732305" w:rsidTr="00573E4B">
        <w:tc>
          <w:tcPr>
            <w:tcW w:w="3011" w:type="dxa"/>
          </w:tcPr>
          <w:p w:rsidR="00145BF4" w:rsidRPr="00732305" w:rsidRDefault="00145BF4" w:rsidP="00573E4B">
            <w:pPr>
              <w:spacing w:before="60" w:after="60"/>
              <w:jc w:val="center"/>
              <w:rPr>
                <w:sz w:val="20"/>
                <w:lang w:eastAsia="ja-JP"/>
              </w:rPr>
            </w:pPr>
            <w:r w:rsidRPr="00732305">
              <w:rPr>
                <w:sz w:val="20"/>
                <w:lang w:eastAsia="ja-JP"/>
              </w:rPr>
              <w:t>17,5 % fedtemulsion (svarende til 17,5 g/100 ml)</w:t>
            </w:r>
          </w:p>
        </w:tc>
        <w:tc>
          <w:tcPr>
            <w:tcW w:w="1276" w:type="dxa"/>
          </w:tcPr>
          <w:p w:rsidR="00145BF4" w:rsidRPr="00732305" w:rsidRDefault="00145BF4" w:rsidP="00573E4B">
            <w:pPr>
              <w:spacing w:before="60" w:after="60"/>
              <w:jc w:val="center"/>
              <w:rPr>
                <w:sz w:val="20"/>
                <w:lang w:eastAsia="ja-JP"/>
              </w:rPr>
            </w:pPr>
            <w:r w:rsidRPr="00732305">
              <w:rPr>
                <w:sz w:val="20"/>
                <w:lang w:eastAsia="ja-JP"/>
              </w:rPr>
              <w:t>130 ml</w:t>
            </w:r>
          </w:p>
        </w:tc>
        <w:tc>
          <w:tcPr>
            <w:tcW w:w="1321" w:type="dxa"/>
          </w:tcPr>
          <w:p w:rsidR="00145BF4" w:rsidRPr="00732305" w:rsidRDefault="00145BF4" w:rsidP="00573E4B">
            <w:pPr>
              <w:spacing w:before="60" w:after="60"/>
              <w:jc w:val="center"/>
              <w:rPr>
                <w:sz w:val="20"/>
                <w:lang w:eastAsia="ja-JP"/>
              </w:rPr>
            </w:pPr>
            <w:r w:rsidRPr="00732305">
              <w:rPr>
                <w:sz w:val="20"/>
                <w:lang w:eastAsia="ja-JP"/>
              </w:rPr>
              <w:t>200 ml</w:t>
            </w:r>
          </w:p>
        </w:tc>
        <w:tc>
          <w:tcPr>
            <w:tcW w:w="1276" w:type="dxa"/>
          </w:tcPr>
          <w:p w:rsidR="00145BF4" w:rsidRPr="00732305" w:rsidRDefault="00145BF4" w:rsidP="00573E4B">
            <w:pPr>
              <w:spacing w:before="60" w:after="60"/>
              <w:jc w:val="center"/>
              <w:rPr>
                <w:sz w:val="20"/>
                <w:lang w:eastAsia="ja-JP"/>
              </w:rPr>
            </w:pPr>
            <w:r w:rsidRPr="00732305">
              <w:rPr>
                <w:sz w:val="20"/>
                <w:lang w:eastAsia="ja-JP"/>
              </w:rPr>
              <w:t>300 ml</w:t>
            </w:r>
          </w:p>
        </w:tc>
        <w:tc>
          <w:tcPr>
            <w:tcW w:w="1276" w:type="dxa"/>
          </w:tcPr>
          <w:p w:rsidR="00145BF4" w:rsidRPr="00732305" w:rsidRDefault="00145BF4" w:rsidP="00573E4B">
            <w:pPr>
              <w:spacing w:before="60" w:after="60"/>
              <w:jc w:val="center"/>
              <w:rPr>
                <w:sz w:val="20"/>
                <w:lang w:eastAsia="ja-JP"/>
              </w:rPr>
            </w:pPr>
            <w:r w:rsidRPr="00732305">
              <w:rPr>
                <w:sz w:val="20"/>
                <w:lang w:eastAsia="ja-JP"/>
              </w:rPr>
              <w:t>400 ml</w:t>
            </w:r>
          </w:p>
        </w:tc>
      </w:tr>
    </w:tbl>
    <w:p w:rsidR="00145BF4" w:rsidRPr="00732305" w:rsidRDefault="00145BF4" w:rsidP="00145BF4">
      <w:pPr>
        <w:rPr>
          <w:rFonts w:eastAsia="MS Mincho"/>
          <w:sz w:val="24"/>
          <w:szCs w:val="24"/>
          <w:lang w:eastAsia="ja-JP"/>
        </w:rPr>
      </w:pPr>
    </w:p>
    <w:p w:rsidR="00145BF4" w:rsidRPr="00732305" w:rsidRDefault="00145BF4" w:rsidP="00145BF4">
      <w:pPr>
        <w:ind w:left="851"/>
        <w:rPr>
          <w:rFonts w:eastAsia="MS Mincho"/>
          <w:sz w:val="24"/>
          <w:szCs w:val="24"/>
          <w:lang w:eastAsia="ja-JP"/>
        </w:rPr>
      </w:pPr>
      <w:r w:rsidRPr="00732305">
        <w:rPr>
          <w:rFonts w:eastAsia="MS Mincho"/>
          <w:sz w:val="24"/>
          <w:szCs w:val="24"/>
          <w:lang w:eastAsia="ja-JP"/>
        </w:rPr>
        <w:t xml:space="preserve">Når de 3 kamres indhold er blandet, er sammensætningen af den </w:t>
      </w:r>
      <w:proofErr w:type="spellStart"/>
      <w:r w:rsidRPr="00732305">
        <w:rPr>
          <w:rFonts w:eastAsia="MS Mincho"/>
          <w:sz w:val="24"/>
          <w:szCs w:val="24"/>
          <w:lang w:eastAsia="ja-JP"/>
        </w:rPr>
        <w:t>rekonstituerede</w:t>
      </w:r>
      <w:proofErr w:type="spellEnd"/>
      <w:r w:rsidRPr="00732305">
        <w:rPr>
          <w:rFonts w:eastAsia="MS Mincho"/>
          <w:sz w:val="24"/>
          <w:szCs w:val="24"/>
          <w:lang w:eastAsia="ja-JP"/>
        </w:rPr>
        <w:t xml:space="preserve"> emulsion angivet for hver posestørrelse i følgende tabel:</w:t>
      </w:r>
    </w:p>
    <w:p w:rsidR="00145BF4" w:rsidRPr="00732305" w:rsidRDefault="00145BF4" w:rsidP="00145BF4">
      <w:pPr>
        <w:rPr>
          <w:rFonts w:eastAsia="MS Mincho"/>
          <w:sz w:val="24"/>
          <w:szCs w:val="24"/>
          <w:lang w:eastAsia="ja-JP"/>
        </w:rPr>
      </w:pPr>
    </w:p>
    <w:tbl>
      <w:tblPr>
        <w:tblW w:w="416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096"/>
        <w:gridCol w:w="1203"/>
        <w:gridCol w:w="1175"/>
        <w:gridCol w:w="1271"/>
        <w:gridCol w:w="1271"/>
      </w:tblGrid>
      <w:tr w:rsidR="00145BF4" w:rsidRPr="00732305" w:rsidTr="00573E4B">
        <w:trPr>
          <w:trHeight w:val="255"/>
          <w:tblHeader/>
          <w:jc w:val="center"/>
        </w:trPr>
        <w:tc>
          <w:tcPr>
            <w:tcW w:w="3096" w:type="dxa"/>
            <w:shd w:val="clear" w:color="auto" w:fill="auto"/>
            <w:tcMar>
              <w:top w:w="13" w:type="dxa"/>
              <w:left w:w="13" w:type="dxa"/>
              <w:bottom w:w="0" w:type="dxa"/>
              <w:right w:w="13" w:type="dxa"/>
            </w:tcMar>
            <w:vAlign w:val="bottom"/>
          </w:tcPr>
          <w:p w:rsidR="00145BF4" w:rsidRPr="00732305" w:rsidRDefault="00145BF4" w:rsidP="00573E4B">
            <w:pPr>
              <w:keepNext/>
              <w:spacing w:before="60" w:after="60"/>
              <w:jc w:val="center"/>
              <w:rPr>
                <w:rFonts w:eastAsia="MS Mincho"/>
                <w:b/>
                <w:sz w:val="20"/>
                <w:lang w:eastAsia="ja-JP"/>
              </w:rPr>
            </w:pPr>
            <w:r w:rsidRPr="00732305">
              <w:rPr>
                <w:rFonts w:eastAsia="MS Mincho"/>
                <w:b/>
                <w:sz w:val="20"/>
                <w:lang w:eastAsia="ja-JP"/>
              </w:rPr>
              <w:t>Aktive stoffer</w:t>
            </w:r>
          </w:p>
        </w:tc>
        <w:tc>
          <w:tcPr>
            <w:tcW w:w="1203" w:type="dxa"/>
            <w:shd w:val="clear" w:color="auto" w:fill="auto"/>
          </w:tcPr>
          <w:p w:rsidR="00145BF4" w:rsidRPr="00732305" w:rsidRDefault="00145BF4" w:rsidP="00573E4B">
            <w:pPr>
              <w:keepNext/>
              <w:spacing w:before="60" w:after="60"/>
              <w:jc w:val="center"/>
              <w:rPr>
                <w:rFonts w:eastAsia="MS Mincho"/>
                <w:b/>
                <w:sz w:val="20"/>
                <w:lang w:eastAsia="ja-JP"/>
              </w:rPr>
            </w:pPr>
            <w:r w:rsidRPr="00732305">
              <w:rPr>
                <w:rFonts w:eastAsia="MS Mincho"/>
                <w:b/>
                <w:sz w:val="20"/>
                <w:lang w:eastAsia="ja-JP"/>
              </w:rPr>
              <w:t>650 ml</w:t>
            </w:r>
          </w:p>
        </w:tc>
        <w:tc>
          <w:tcPr>
            <w:tcW w:w="1175" w:type="dxa"/>
            <w:shd w:val="clear" w:color="auto" w:fill="auto"/>
            <w:noWrap/>
            <w:tcMar>
              <w:top w:w="13" w:type="dxa"/>
              <w:left w:w="13" w:type="dxa"/>
              <w:bottom w:w="0" w:type="dxa"/>
              <w:right w:w="13" w:type="dxa"/>
            </w:tcMar>
          </w:tcPr>
          <w:p w:rsidR="00145BF4" w:rsidRPr="00732305" w:rsidRDefault="00145BF4" w:rsidP="00573E4B">
            <w:pPr>
              <w:keepNext/>
              <w:spacing w:before="60" w:after="60"/>
              <w:jc w:val="center"/>
              <w:rPr>
                <w:rFonts w:eastAsia="MS Mincho"/>
                <w:b/>
                <w:sz w:val="20"/>
                <w:lang w:eastAsia="ja-JP"/>
              </w:rPr>
            </w:pPr>
            <w:r w:rsidRPr="00732305">
              <w:rPr>
                <w:rFonts w:eastAsia="MS Mincho"/>
                <w:b/>
                <w:sz w:val="20"/>
                <w:lang w:eastAsia="ja-JP"/>
              </w:rPr>
              <w:t>1000 ml</w:t>
            </w:r>
          </w:p>
        </w:tc>
        <w:tc>
          <w:tcPr>
            <w:tcW w:w="1271" w:type="dxa"/>
            <w:shd w:val="clear" w:color="auto" w:fill="auto"/>
            <w:noWrap/>
            <w:tcMar>
              <w:top w:w="13" w:type="dxa"/>
              <w:left w:w="13" w:type="dxa"/>
              <w:bottom w:w="0" w:type="dxa"/>
              <w:right w:w="13" w:type="dxa"/>
            </w:tcMar>
          </w:tcPr>
          <w:p w:rsidR="00145BF4" w:rsidRPr="00732305" w:rsidRDefault="00145BF4" w:rsidP="00573E4B">
            <w:pPr>
              <w:keepNext/>
              <w:spacing w:before="60" w:after="60"/>
              <w:jc w:val="center"/>
              <w:rPr>
                <w:rFonts w:eastAsia="MS Mincho"/>
                <w:b/>
                <w:sz w:val="20"/>
                <w:lang w:eastAsia="ja-JP"/>
              </w:rPr>
            </w:pPr>
            <w:r w:rsidRPr="00732305">
              <w:rPr>
                <w:rFonts w:eastAsia="MS Mincho"/>
                <w:b/>
                <w:sz w:val="20"/>
                <w:lang w:eastAsia="ja-JP"/>
              </w:rPr>
              <w:t>1500 ml</w:t>
            </w:r>
          </w:p>
        </w:tc>
        <w:tc>
          <w:tcPr>
            <w:tcW w:w="1271" w:type="dxa"/>
            <w:shd w:val="clear" w:color="auto" w:fill="auto"/>
            <w:noWrap/>
            <w:tcMar>
              <w:top w:w="13" w:type="dxa"/>
              <w:left w:w="13" w:type="dxa"/>
              <w:bottom w:w="0" w:type="dxa"/>
              <w:right w:w="13" w:type="dxa"/>
            </w:tcMar>
          </w:tcPr>
          <w:p w:rsidR="00145BF4" w:rsidRPr="00732305" w:rsidRDefault="00145BF4" w:rsidP="00573E4B">
            <w:pPr>
              <w:keepNext/>
              <w:spacing w:before="60" w:after="60"/>
              <w:jc w:val="center"/>
              <w:rPr>
                <w:rFonts w:eastAsia="MS Mincho"/>
                <w:b/>
                <w:sz w:val="20"/>
                <w:lang w:eastAsia="ja-JP"/>
              </w:rPr>
            </w:pPr>
            <w:r w:rsidRPr="00732305">
              <w:rPr>
                <w:rFonts w:eastAsia="MS Mincho"/>
                <w:b/>
                <w:sz w:val="20"/>
                <w:lang w:eastAsia="ja-JP"/>
              </w:rPr>
              <w:t>2000 ml</w:t>
            </w:r>
          </w:p>
        </w:tc>
      </w:tr>
      <w:tr w:rsidR="00145BF4" w:rsidRPr="00732305" w:rsidTr="00573E4B">
        <w:trPr>
          <w:trHeight w:val="255"/>
          <w:jc w:val="center"/>
        </w:trPr>
        <w:tc>
          <w:tcPr>
            <w:tcW w:w="3096" w:type="dxa"/>
            <w:tcMar>
              <w:top w:w="13" w:type="dxa"/>
              <w:left w:w="13" w:type="dxa"/>
              <w:bottom w:w="0" w:type="dxa"/>
              <w:right w:w="13" w:type="dxa"/>
            </w:tcMar>
            <w:vAlign w:val="bottom"/>
          </w:tcPr>
          <w:p w:rsidR="00145BF4" w:rsidRPr="00732305" w:rsidRDefault="00145BF4" w:rsidP="00573E4B">
            <w:pPr>
              <w:spacing w:before="60" w:after="60"/>
              <w:jc w:val="center"/>
              <w:rPr>
                <w:rFonts w:eastAsia="Arial Unicode MS"/>
                <w:sz w:val="20"/>
                <w:lang w:eastAsia="ja-JP"/>
              </w:rPr>
            </w:pPr>
            <w:r w:rsidRPr="00732305">
              <w:rPr>
                <w:sz w:val="20"/>
                <w:lang w:eastAsia="ja-JP"/>
              </w:rPr>
              <w:t xml:space="preserve">Olivenolie, renset + sojaolie, </w:t>
            </w:r>
            <w:proofErr w:type="spellStart"/>
            <w:r w:rsidRPr="00732305">
              <w:rPr>
                <w:sz w:val="20"/>
                <w:lang w:eastAsia="ja-JP"/>
              </w:rPr>
              <w:t>renset</w:t>
            </w:r>
            <w:r w:rsidRPr="00732305">
              <w:rPr>
                <w:sz w:val="20"/>
                <w:vertAlign w:val="superscript"/>
                <w:lang w:eastAsia="ja-JP"/>
              </w:rPr>
              <w:t>a</w:t>
            </w:r>
            <w:proofErr w:type="spellEnd"/>
          </w:p>
        </w:tc>
        <w:tc>
          <w:tcPr>
            <w:tcW w:w="1203" w:type="dxa"/>
            <w:vAlign w:val="center"/>
          </w:tcPr>
          <w:p w:rsidR="00145BF4" w:rsidRPr="00732305" w:rsidRDefault="00145BF4" w:rsidP="00573E4B">
            <w:pPr>
              <w:spacing w:before="60" w:after="60"/>
              <w:jc w:val="center"/>
              <w:rPr>
                <w:rFonts w:eastAsia="Arial Unicode MS"/>
                <w:sz w:val="20"/>
                <w:lang w:eastAsia="ja-JP"/>
              </w:rPr>
            </w:pPr>
            <w:r w:rsidRPr="00732305">
              <w:rPr>
                <w:sz w:val="20"/>
                <w:lang w:eastAsia="ja-JP"/>
              </w:rPr>
              <w:t>22,75 g</w:t>
            </w:r>
          </w:p>
        </w:tc>
        <w:tc>
          <w:tcPr>
            <w:tcW w:w="1175" w:type="dxa"/>
            <w:noWrap/>
            <w:tcMar>
              <w:top w:w="13" w:type="dxa"/>
              <w:left w:w="13" w:type="dxa"/>
              <w:bottom w:w="0" w:type="dxa"/>
              <w:right w:w="13" w:type="dxa"/>
            </w:tcMar>
            <w:vAlign w:val="center"/>
          </w:tcPr>
          <w:p w:rsidR="00145BF4" w:rsidRPr="00732305" w:rsidRDefault="00145BF4" w:rsidP="00573E4B">
            <w:pPr>
              <w:spacing w:before="60" w:after="60"/>
              <w:jc w:val="center"/>
              <w:rPr>
                <w:rFonts w:eastAsia="Arial Unicode MS"/>
                <w:sz w:val="20"/>
                <w:lang w:eastAsia="ja-JP"/>
              </w:rPr>
            </w:pPr>
            <w:r w:rsidRPr="00732305">
              <w:rPr>
                <w:sz w:val="20"/>
                <w:lang w:eastAsia="ja-JP"/>
              </w:rPr>
              <w:t>35,00 g</w:t>
            </w:r>
          </w:p>
        </w:tc>
        <w:tc>
          <w:tcPr>
            <w:tcW w:w="1271" w:type="dxa"/>
            <w:noWrap/>
            <w:tcMar>
              <w:top w:w="13" w:type="dxa"/>
              <w:left w:w="13" w:type="dxa"/>
              <w:bottom w:w="0" w:type="dxa"/>
              <w:right w:w="13" w:type="dxa"/>
            </w:tcMar>
            <w:vAlign w:val="center"/>
          </w:tcPr>
          <w:p w:rsidR="00145BF4" w:rsidRPr="00732305" w:rsidRDefault="00145BF4" w:rsidP="00573E4B">
            <w:pPr>
              <w:spacing w:before="60" w:after="60"/>
              <w:jc w:val="center"/>
              <w:rPr>
                <w:rFonts w:eastAsia="Arial Unicode MS"/>
                <w:sz w:val="20"/>
                <w:lang w:eastAsia="ja-JP"/>
              </w:rPr>
            </w:pPr>
            <w:r w:rsidRPr="00732305">
              <w:rPr>
                <w:sz w:val="20"/>
                <w:lang w:eastAsia="ja-JP"/>
              </w:rPr>
              <w:t>52,50 g</w:t>
            </w:r>
          </w:p>
        </w:tc>
        <w:tc>
          <w:tcPr>
            <w:tcW w:w="1271" w:type="dxa"/>
            <w:noWrap/>
            <w:tcMar>
              <w:top w:w="13" w:type="dxa"/>
              <w:left w:w="13" w:type="dxa"/>
              <w:bottom w:w="0" w:type="dxa"/>
              <w:right w:w="13" w:type="dxa"/>
            </w:tcMar>
            <w:vAlign w:val="center"/>
          </w:tcPr>
          <w:p w:rsidR="00145BF4" w:rsidRPr="00732305" w:rsidRDefault="00145BF4" w:rsidP="00573E4B">
            <w:pPr>
              <w:spacing w:before="60" w:after="60"/>
              <w:jc w:val="center"/>
              <w:rPr>
                <w:sz w:val="20"/>
                <w:lang w:eastAsia="ja-JP"/>
              </w:rPr>
            </w:pPr>
            <w:r w:rsidRPr="00732305">
              <w:rPr>
                <w:sz w:val="20"/>
                <w:lang w:eastAsia="ja-JP"/>
              </w:rPr>
              <w:t>70,00 g</w:t>
            </w:r>
          </w:p>
        </w:tc>
      </w:tr>
      <w:tr w:rsidR="00145BF4" w:rsidRPr="00732305" w:rsidTr="00573E4B">
        <w:trPr>
          <w:trHeight w:val="255"/>
          <w:jc w:val="center"/>
        </w:trPr>
        <w:tc>
          <w:tcPr>
            <w:tcW w:w="3096" w:type="dxa"/>
            <w:tcMar>
              <w:top w:w="13" w:type="dxa"/>
              <w:left w:w="13" w:type="dxa"/>
              <w:bottom w:w="0" w:type="dxa"/>
              <w:right w:w="13" w:type="dxa"/>
            </w:tcMar>
            <w:vAlign w:val="bottom"/>
          </w:tcPr>
          <w:p w:rsidR="00145BF4" w:rsidRPr="00732305" w:rsidRDefault="00145BF4" w:rsidP="00573E4B">
            <w:pPr>
              <w:spacing w:before="60" w:after="60"/>
              <w:jc w:val="center"/>
              <w:rPr>
                <w:rFonts w:eastAsia="Arial Unicode MS"/>
                <w:sz w:val="20"/>
                <w:lang w:eastAsia="ja-JP"/>
              </w:rPr>
            </w:pPr>
            <w:proofErr w:type="spellStart"/>
            <w:r w:rsidRPr="00732305">
              <w:rPr>
                <w:sz w:val="20"/>
                <w:lang w:eastAsia="ja-JP"/>
              </w:rPr>
              <w:t>Alanin</w:t>
            </w:r>
            <w:proofErr w:type="spellEnd"/>
          </w:p>
        </w:tc>
        <w:tc>
          <w:tcPr>
            <w:tcW w:w="1203" w:type="dxa"/>
            <w:vAlign w:val="center"/>
          </w:tcPr>
          <w:p w:rsidR="00145BF4" w:rsidRPr="00732305" w:rsidRDefault="00145BF4" w:rsidP="00573E4B">
            <w:pPr>
              <w:spacing w:before="60" w:after="60"/>
              <w:jc w:val="center"/>
              <w:rPr>
                <w:rFonts w:eastAsia="Arial Unicode MS"/>
                <w:sz w:val="20"/>
                <w:lang w:eastAsia="ja-JP"/>
              </w:rPr>
            </w:pPr>
            <w:r w:rsidRPr="00732305">
              <w:rPr>
                <w:sz w:val="20"/>
                <w:lang w:eastAsia="ja-JP"/>
              </w:rPr>
              <w:t>7,14 g</w:t>
            </w:r>
          </w:p>
        </w:tc>
        <w:tc>
          <w:tcPr>
            <w:tcW w:w="1175" w:type="dxa"/>
            <w:noWrap/>
            <w:tcMar>
              <w:top w:w="13" w:type="dxa"/>
              <w:left w:w="13" w:type="dxa"/>
              <w:bottom w:w="0" w:type="dxa"/>
              <w:right w:w="13" w:type="dxa"/>
            </w:tcMar>
            <w:vAlign w:val="center"/>
          </w:tcPr>
          <w:p w:rsidR="00145BF4" w:rsidRPr="00732305" w:rsidRDefault="00145BF4" w:rsidP="00573E4B">
            <w:pPr>
              <w:spacing w:before="60" w:after="60"/>
              <w:jc w:val="center"/>
              <w:rPr>
                <w:rFonts w:eastAsia="Arial Unicode MS"/>
                <w:sz w:val="20"/>
                <w:lang w:eastAsia="ja-JP"/>
              </w:rPr>
            </w:pPr>
            <w:r w:rsidRPr="00732305">
              <w:rPr>
                <w:sz w:val="20"/>
                <w:lang w:eastAsia="ja-JP"/>
              </w:rPr>
              <w:t>10,99 g</w:t>
            </w:r>
          </w:p>
        </w:tc>
        <w:tc>
          <w:tcPr>
            <w:tcW w:w="1271" w:type="dxa"/>
            <w:noWrap/>
            <w:tcMar>
              <w:top w:w="13" w:type="dxa"/>
              <w:left w:w="13" w:type="dxa"/>
              <w:bottom w:w="0" w:type="dxa"/>
              <w:right w:w="13" w:type="dxa"/>
            </w:tcMar>
            <w:vAlign w:val="center"/>
          </w:tcPr>
          <w:p w:rsidR="00145BF4" w:rsidRPr="00732305" w:rsidRDefault="00145BF4" w:rsidP="00573E4B">
            <w:pPr>
              <w:spacing w:before="60" w:after="60"/>
              <w:jc w:val="center"/>
              <w:rPr>
                <w:rFonts w:eastAsia="Arial Unicode MS"/>
                <w:sz w:val="20"/>
                <w:lang w:eastAsia="ja-JP"/>
              </w:rPr>
            </w:pPr>
            <w:r w:rsidRPr="00732305">
              <w:rPr>
                <w:sz w:val="20"/>
                <w:lang w:eastAsia="ja-JP"/>
              </w:rPr>
              <w:t>16,48 g</w:t>
            </w:r>
          </w:p>
        </w:tc>
        <w:tc>
          <w:tcPr>
            <w:tcW w:w="1271" w:type="dxa"/>
            <w:noWrap/>
            <w:tcMar>
              <w:top w:w="13" w:type="dxa"/>
              <w:left w:w="13" w:type="dxa"/>
              <w:bottom w:w="0" w:type="dxa"/>
              <w:right w:w="13" w:type="dxa"/>
            </w:tcMar>
            <w:vAlign w:val="center"/>
          </w:tcPr>
          <w:p w:rsidR="00145BF4" w:rsidRPr="00732305" w:rsidRDefault="00145BF4" w:rsidP="00573E4B">
            <w:pPr>
              <w:spacing w:before="60" w:after="60"/>
              <w:jc w:val="center"/>
              <w:rPr>
                <w:sz w:val="20"/>
                <w:lang w:eastAsia="ja-JP"/>
              </w:rPr>
            </w:pPr>
            <w:r w:rsidRPr="00732305">
              <w:rPr>
                <w:sz w:val="20"/>
                <w:lang w:eastAsia="ja-JP"/>
              </w:rPr>
              <w:t>21,97 g</w:t>
            </w:r>
          </w:p>
        </w:tc>
      </w:tr>
      <w:tr w:rsidR="00145BF4" w:rsidRPr="00732305" w:rsidTr="00573E4B">
        <w:trPr>
          <w:trHeight w:val="255"/>
          <w:jc w:val="center"/>
        </w:trPr>
        <w:tc>
          <w:tcPr>
            <w:tcW w:w="3096" w:type="dxa"/>
            <w:tcMar>
              <w:top w:w="13" w:type="dxa"/>
              <w:left w:w="13" w:type="dxa"/>
              <w:bottom w:w="0" w:type="dxa"/>
              <w:right w:w="13" w:type="dxa"/>
            </w:tcMar>
            <w:vAlign w:val="bottom"/>
          </w:tcPr>
          <w:p w:rsidR="00145BF4" w:rsidRPr="00732305" w:rsidRDefault="00145BF4" w:rsidP="00573E4B">
            <w:pPr>
              <w:spacing w:before="60" w:after="60"/>
              <w:jc w:val="center"/>
              <w:rPr>
                <w:rFonts w:eastAsia="Arial Unicode MS"/>
                <w:sz w:val="20"/>
                <w:lang w:eastAsia="ja-JP"/>
              </w:rPr>
            </w:pPr>
            <w:proofErr w:type="spellStart"/>
            <w:r w:rsidRPr="00732305">
              <w:rPr>
                <w:sz w:val="20"/>
                <w:lang w:eastAsia="ja-JP"/>
              </w:rPr>
              <w:t>Arginin</w:t>
            </w:r>
            <w:proofErr w:type="spellEnd"/>
          </w:p>
        </w:tc>
        <w:tc>
          <w:tcPr>
            <w:tcW w:w="1203" w:type="dxa"/>
            <w:vAlign w:val="center"/>
          </w:tcPr>
          <w:p w:rsidR="00145BF4" w:rsidRPr="00732305" w:rsidRDefault="00145BF4" w:rsidP="00573E4B">
            <w:pPr>
              <w:spacing w:before="60" w:after="60"/>
              <w:jc w:val="center"/>
              <w:rPr>
                <w:rFonts w:eastAsia="Arial Unicode MS"/>
                <w:sz w:val="20"/>
                <w:lang w:eastAsia="ja-JP"/>
              </w:rPr>
            </w:pPr>
            <w:r w:rsidRPr="00732305">
              <w:rPr>
                <w:sz w:val="20"/>
                <w:lang w:eastAsia="ja-JP"/>
              </w:rPr>
              <w:t>4,84 g</w:t>
            </w:r>
          </w:p>
        </w:tc>
        <w:tc>
          <w:tcPr>
            <w:tcW w:w="1175" w:type="dxa"/>
            <w:noWrap/>
            <w:tcMar>
              <w:top w:w="13" w:type="dxa"/>
              <w:left w:w="13" w:type="dxa"/>
              <w:bottom w:w="0" w:type="dxa"/>
              <w:right w:w="13" w:type="dxa"/>
            </w:tcMar>
            <w:vAlign w:val="center"/>
          </w:tcPr>
          <w:p w:rsidR="00145BF4" w:rsidRPr="00732305" w:rsidRDefault="00145BF4" w:rsidP="00573E4B">
            <w:pPr>
              <w:spacing w:before="60" w:after="60"/>
              <w:jc w:val="center"/>
              <w:rPr>
                <w:rFonts w:eastAsia="Arial Unicode MS"/>
                <w:sz w:val="20"/>
                <w:lang w:eastAsia="ja-JP"/>
              </w:rPr>
            </w:pPr>
            <w:r w:rsidRPr="00732305">
              <w:rPr>
                <w:sz w:val="20"/>
                <w:lang w:eastAsia="ja-JP"/>
              </w:rPr>
              <w:t>7,44 g</w:t>
            </w:r>
          </w:p>
        </w:tc>
        <w:tc>
          <w:tcPr>
            <w:tcW w:w="1271" w:type="dxa"/>
            <w:noWrap/>
            <w:tcMar>
              <w:top w:w="13" w:type="dxa"/>
              <w:left w:w="13" w:type="dxa"/>
              <w:bottom w:w="0" w:type="dxa"/>
              <w:right w:w="13" w:type="dxa"/>
            </w:tcMar>
            <w:vAlign w:val="center"/>
          </w:tcPr>
          <w:p w:rsidR="00145BF4" w:rsidRPr="00732305" w:rsidRDefault="00145BF4" w:rsidP="00573E4B">
            <w:pPr>
              <w:spacing w:before="60" w:after="60"/>
              <w:jc w:val="center"/>
              <w:rPr>
                <w:rFonts w:eastAsia="Arial Unicode MS"/>
                <w:sz w:val="20"/>
                <w:lang w:eastAsia="ja-JP"/>
              </w:rPr>
            </w:pPr>
            <w:r w:rsidRPr="00732305">
              <w:rPr>
                <w:sz w:val="20"/>
                <w:lang w:eastAsia="ja-JP"/>
              </w:rPr>
              <w:t>11,16 g</w:t>
            </w:r>
          </w:p>
        </w:tc>
        <w:tc>
          <w:tcPr>
            <w:tcW w:w="1271" w:type="dxa"/>
            <w:noWrap/>
            <w:tcMar>
              <w:top w:w="13" w:type="dxa"/>
              <w:left w:w="13" w:type="dxa"/>
              <w:bottom w:w="0" w:type="dxa"/>
              <w:right w:w="13" w:type="dxa"/>
            </w:tcMar>
            <w:vAlign w:val="center"/>
          </w:tcPr>
          <w:p w:rsidR="00145BF4" w:rsidRPr="00732305" w:rsidRDefault="00145BF4" w:rsidP="00573E4B">
            <w:pPr>
              <w:spacing w:before="60" w:after="60"/>
              <w:jc w:val="center"/>
              <w:rPr>
                <w:sz w:val="20"/>
                <w:lang w:eastAsia="ja-JP"/>
              </w:rPr>
            </w:pPr>
            <w:r w:rsidRPr="00732305">
              <w:rPr>
                <w:sz w:val="20"/>
                <w:lang w:eastAsia="ja-JP"/>
              </w:rPr>
              <w:t>14,88 g</w:t>
            </w:r>
          </w:p>
        </w:tc>
      </w:tr>
      <w:tr w:rsidR="00145BF4" w:rsidRPr="00732305" w:rsidTr="00573E4B">
        <w:trPr>
          <w:trHeight w:val="255"/>
          <w:jc w:val="center"/>
        </w:trPr>
        <w:tc>
          <w:tcPr>
            <w:tcW w:w="3096" w:type="dxa"/>
            <w:tcMar>
              <w:top w:w="13" w:type="dxa"/>
              <w:left w:w="13" w:type="dxa"/>
              <w:bottom w:w="0" w:type="dxa"/>
              <w:right w:w="13" w:type="dxa"/>
            </w:tcMar>
            <w:vAlign w:val="bottom"/>
          </w:tcPr>
          <w:p w:rsidR="00145BF4" w:rsidRPr="00732305" w:rsidRDefault="00145BF4" w:rsidP="00573E4B">
            <w:pPr>
              <w:spacing w:before="60" w:after="60"/>
              <w:jc w:val="center"/>
              <w:rPr>
                <w:rFonts w:eastAsia="Arial Unicode MS"/>
                <w:sz w:val="20"/>
                <w:lang w:eastAsia="ja-JP"/>
              </w:rPr>
            </w:pPr>
            <w:proofErr w:type="spellStart"/>
            <w:r w:rsidRPr="00732305">
              <w:rPr>
                <w:sz w:val="20"/>
                <w:lang w:eastAsia="ja-JP"/>
              </w:rPr>
              <w:t>Asparaginsyre</w:t>
            </w:r>
            <w:proofErr w:type="spellEnd"/>
          </w:p>
        </w:tc>
        <w:tc>
          <w:tcPr>
            <w:tcW w:w="1203" w:type="dxa"/>
            <w:vAlign w:val="center"/>
          </w:tcPr>
          <w:p w:rsidR="00145BF4" w:rsidRPr="00732305" w:rsidRDefault="00145BF4" w:rsidP="00573E4B">
            <w:pPr>
              <w:spacing w:before="60" w:after="60"/>
              <w:jc w:val="center"/>
              <w:rPr>
                <w:rFonts w:eastAsia="Arial Unicode MS"/>
                <w:sz w:val="20"/>
                <w:lang w:eastAsia="ja-JP"/>
              </w:rPr>
            </w:pPr>
            <w:r w:rsidRPr="00732305">
              <w:rPr>
                <w:sz w:val="20"/>
                <w:lang w:eastAsia="ja-JP"/>
              </w:rPr>
              <w:t>1,43 g</w:t>
            </w:r>
          </w:p>
        </w:tc>
        <w:tc>
          <w:tcPr>
            <w:tcW w:w="1175" w:type="dxa"/>
            <w:noWrap/>
            <w:tcMar>
              <w:top w:w="13" w:type="dxa"/>
              <w:left w:w="13" w:type="dxa"/>
              <w:bottom w:w="0" w:type="dxa"/>
              <w:right w:w="13" w:type="dxa"/>
            </w:tcMar>
            <w:vAlign w:val="center"/>
          </w:tcPr>
          <w:p w:rsidR="00145BF4" w:rsidRPr="00732305" w:rsidRDefault="00145BF4" w:rsidP="00573E4B">
            <w:pPr>
              <w:spacing w:before="60" w:after="60"/>
              <w:jc w:val="center"/>
              <w:rPr>
                <w:sz w:val="20"/>
                <w:lang w:eastAsia="ja-JP"/>
              </w:rPr>
            </w:pPr>
            <w:r w:rsidRPr="00732305">
              <w:rPr>
                <w:sz w:val="20"/>
                <w:lang w:eastAsia="ja-JP"/>
              </w:rPr>
              <w:t>2,20 g</w:t>
            </w:r>
          </w:p>
        </w:tc>
        <w:tc>
          <w:tcPr>
            <w:tcW w:w="1271" w:type="dxa"/>
            <w:noWrap/>
            <w:tcMar>
              <w:top w:w="13" w:type="dxa"/>
              <w:left w:w="13" w:type="dxa"/>
              <w:bottom w:w="0" w:type="dxa"/>
              <w:right w:w="13" w:type="dxa"/>
            </w:tcMar>
            <w:vAlign w:val="center"/>
          </w:tcPr>
          <w:p w:rsidR="00145BF4" w:rsidRPr="00732305" w:rsidRDefault="00145BF4" w:rsidP="00573E4B">
            <w:pPr>
              <w:spacing w:before="60" w:after="60"/>
              <w:jc w:val="center"/>
              <w:rPr>
                <w:sz w:val="20"/>
                <w:lang w:eastAsia="ja-JP"/>
              </w:rPr>
            </w:pPr>
            <w:r w:rsidRPr="00732305">
              <w:rPr>
                <w:sz w:val="20"/>
                <w:lang w:eastAsia="ja-JP"/>
              </w:rPr>
              <w:t>3,30 g</w:t>
            </w:r>
          </w:p>
        </w:tc>
        <w:tc>
          <w:tcPr>
            <w:tcW w:w="1271" w:type="dxa"/>
            <w:noWrap/>
            <w:tcMar>
              <w:top w:w="13" w:type="dxa"/>
              <w:left w:w="13" w:type="dxa"/>
              <w:bottom w:w="0" w:type="dxa"/>
              <w:right w:w="13" w:type="dxa"/>
            </w:tcMar>
            <w:vAlign w:val="center"/>
          </w:tcPr>
          <w:p w:rsidR="00145BF4" w:rsidRPr="00732305" w:rsidRDefault="00145BF4" w:rsidP="00573E4B">
            <w:pPr>
              <w:spacing w:before="60" w:after="60"/>
              <w:jc w:val="center"/>
              <w:rPr>
                <w:sz w:val="20"/>
                <w:lang w:eastAsia="ja-JP"/>
              </w:rPr>
            </w:pPr>
            <w:r w:rsidRPr="00732305">
              <w:rPr>
                <w:sz w:val="20"/>
                <w:lang w:eastAsia="ja-JP"/>
              </w:rPr>
              <w:t>4,39 g</w:t>
            </w:r>
          </w:p>
        </w:tc>
      </w:tr>
      <w:tr w:rsidR="00145BF4" w:rsidRPr="00732305" w:rsidTr="00573E4B">
        <w:trPr>
          <w:trHeight w:val="255"/>
          <w:jc w:val="center"/>
        </w:trPr>
        <w:tc>
          <w:tcPr>
            <w:tcW w:w="3096" w:type="dxa"/>
            <w:tcMar>
              <w:top w:w="13" w:type="dxa"/>
              <w:left w:w="13" w:type="dxa"/>
              <w:bottom w:w="0" w:type="dxa"/>
              <w:right w:w="13" w:type="dxa"/>
            </w:tcMar>
            <w:vAlign w:val="bottom"/>
          </w:tcPr>
          <w:p w:rsidR="00145BF4" w:rsidRPr="00732305" w:rsidRDefault="00145BF4" w:rsidP="00573E4B">
            <w:pPr>
              <w:spacing w:before="60" w:after="60"/>
              <w:jc w:val="center"/>
              <w:rPr>
                <w:rFonts w:eastAsia="Arial Unicode MS"/>
                <w:sz w:val="20"/>
                <w:lang w:eastAsia="ja-JP"/>
              </w:rPr>
            </w:pPr>
            <w:proofErr w:type="spellStart"/>
            <w:r w:rsidRPr="00732305">
              <w:rPr>
                <w:sz w:val="20"/>
                <w:lang w:eastAsia="ja-JP"/>
              </w:rPr>
              <w:t>Glutaminsyre</w:t>
            </w:r>
            <w:proofErr w:type="spellEnd"/>
          </w:p>
        </w:tc>
        <w:tc>
          <w:tcPr>
            <w:tcW w:w="1203" w:type="dxa"/>
            <w:vAlign w:val="center"/>
          </w:tcPr>
          <w:p w:rsidR="00145BF4" w:rsidRPr="00732305" w:rsidRDefault="00145BF4" w:rsidP="00573E4B">
            <w:pPr>
              <w:spacing w:before="60" w:after="60"/>
              <w:jc w:val="center"/>
              <w:rPr>
                <w:rFonts w:eastAsia="Arial Unicode MS"/>
                <w:sz w:val="20"/>
                <w:lang w:eastAsia="ja-JP"/>
              </w:rPr>
            </w:pPr>
            <w:r w:rsidRPr="00732305">
              <w:rPr>
                <w:sz w:val="20"/>
                <w:lang w:eastAsia="ja-JP"/>
              </w:rPr>
              <w:t>2,46 g</w:t>
            </w:r>
          </w:p>
        </w:tc>
        <w:tc>
          <w:tcPr>
            <w:tcW w:w="1175" w:type="dxa"/>
            <w:noWrap/>
            <w:tcMar>
              <w:top w:w="13" w:type="dxa"/>
              <w:left w:w="13" w:type="dxa"/>
              <w:bottom w:w="0" w:type="dxa"/>
              <w:right w:w="13" w:type="dxa"/>
            </w:tcMar>
            <w:vAlign w:val="center"/>
          </w:tcPr>
          <w:p w:rsidR="00145BF4" w:rsidRPr="00732305" w:rsidRDefault="00145BF4" w:rsidP="00573E4B">
            <w:pPr>
              <w:spacing w:before="60" w:after="60"/>
              <w:jc w:val="center"/>
              <w:rPr>
                <w:sz w:val="20"/>
                <w:lang w:eastAsia="ja-JP"/>
              </w:rPr>
            </w:pPr>
            <w:r w:rsidRPr="00732305">
              <w:rPr>
                <w:sz w:val="20"/>
                <w:lang w:eastAsia="ja-JP"/>
              </w:rPr>
              <w:t>3,79 g</w:t>
            </w:r>
          </w:p>
        </w:tc>
        <w:tc>
          <w:tcPr>
            <w:tcW w:w="1271" w:type="dxa"/>
            <w:noWrap/>
            <w:tcMar>
              <w:top w:w="13" w:type="dxa"/>
              <w:left w:w="13" w:type="dxa"/>
              <w:bottom w:w="0" w:type="dxa"/>
              <w:right w:w="13" w:type="dxa"/>
            </w:tcMar>
            <w:vAlign w:val="center"/>
          </w:tcPr>
          <w:p w:rsidR="00145BF4" w:rsidRPr="00732305" w:rsidRDefault="00145BF4" w:rsidP="00573E4B">
            <w:pPr>
              <w:spacing w:before="60" w:after="60"/>
              <w:jc w:val="center"/>
              <w:rPr>
                <w:sz w:val="20"/>
                <w:lang w:eastAsia="ja-JP"/>
              </w:rPr>
            </w:pPr>
            <w:r w:rsidRPr="00732305">
              <w:rPr>
                <w:sz w:val="20"/>
                <w:lang w:eastAsia="ja-JP"/>
              </w:rPr>
              <w:t>5,69 g</w:t>
            </w:r>
          </w:p>
        </w:tc>
        <w:tc>
          <w:tcPr>
            <w:tcW w:w="1271" w:type="dxa"/>
            <w:noWrap/>
            <w:tcMar>
              <w:top w:w="13" w:type="dxa"/>
              <w:left w:w="13" w:type="dxa"/>
              <w:bottom w:w="0" w:type="dxa"/>
              <w:right w:w="13" w:type="dxa"/>
            </w:tcMar>
            <w:vAlign w:val="center"/>
          </w:tcPr>
          <w:p w:rsidR="00145BF4" w:rsidRPr="00732305" w:rsidRDefault="00145BF4" w:rsidP="00573E4B">
            <w:pPr>
              <w:spacing w:before="60" w:after="60"/>
              <w:jc w:val="center"/>
              <w:rPr>
                <w:sz w:val="20"/>
                <w:lang w:eastAsia="ja-JP"/>
              </w:rPr>
            </w:pPr>
            <w:r w:rsidRPr="00732305">
              <w:rPr>
                <w:sz w:val="20"/>
                <w:lang w:eastAsia="ja-JP"/>
              </w:rPr>
              <w:t>7,58 g</w:t>
            </w:r>
          </w:p>
        </w:tc>
      </w:tr>
      <w:tr w:rsidR="00145BF4" w:rsidRPr="00732305" w:rsidTr="00573E4B">
        <w:trPr>
          <w:trHeight w:val="255"/>
          <w:jc w:val="center"/>
        </w:trPr>
        <w:tc>
          <w:tcPr>
            <w:tcW w:w="3096" w:type="dxa"/>
            <w:tcMar>
              <w:top w:w="13" w:type="dxa"/>
              <w:left w:w="13" w:type="dxa"/>
              <w:bottom w:w="0" w:type="dxa"/>
              <w:right w:w="13" w:type="dxa"/>
            </w:tcMar>
            <w:vAlign w:val="bottom"/>
          </w:tcPr>
          <w:p w:rsidR="00145BF4" w:rsidRPr="00732305" w:rsidRDefault="00145BF4" w:rsidP="00573E4B">
            <w:pPr>
              <w:spacing w:before="60" w:after="60"/>
              <w:jc w:val="center"/>
              <w:rPr>
                <w:rFonts w:eastAsia="Arial Unicode MS"/>
                <w:sz w:val="20"/>
                <w:lang w:eastAsia="ja-JP"/>
              </w:rPr>
            </w:pPr>
            <w:proofErr w:type="spellStart"/>
            <w:r w:rsidRPr="00732305">
              <w:rPr>
                <w:sz w:val="20"/>
                <w:lang w:eastAsia="ja-JP"/>
              </w:rPr>
              <w:t>Glycin</w:t>
            </w:r>
            <w:proofErr w:type="spellEnd"/>
          </w:p>
        </w:tc>
        <w:tc>
          <w:tcPr>
            <w:tcW w:w="1203" w:type="dxa"/>
            <w:vAlign w:val="center"/>
          </w:tcPr>
          <w:p w:rsidR="00145BF4" w:rsidRPr="00732305" w:rsidRDefault="00145BF4" w:rsidP="00573E4B">
            <w:pPr>
              <w:spacing w:before="60" w:after="60"/>
              <w:jc w:val="center"/>
              <w:rPr>
                <w:rFonts w:eastAsia="Arial Unicode MS"/>
                <w:sz w:val="20"/>
                <w:lang w:eastAsia="ja-JP"/>
              </w:rPr>
            </w:pPr>
            <w:r w:rsidRPr="00732305">
              <w:rPr>
                <w:sz w:val="20"/>
                <w:lang w:eastAsia="ja-JP"/>
              </w:rPr>
              <w:t>3,42 g</w:t>
            </w:r>
          </w:p>
        </w:tc>
        <w:tc>
          <w:tcPr>
            <w:tcW w:w="1175" w:type="dxa"/>
            <w:noWrap/>
            <w:tcMar>
              <w:top w:w="13" w:type="dxa"/>
              <w:left w:w="13" w:type="dxa"/>
              <w:bottom w:w="0" w:type="dxa"/>
              <w:right w:w="13" w:type="dxa"/>
            </w:tcMar>
            <w:vAlign w:val="center"/>
          </w:tcPr>
          <w:p w:rsidR="00145BF4" w:rsidRPr="00732305" w:rsidRDefault="00145BF4" w:rsidP="00573E4B">
            <w:pPr>
              <w:spacing w:before="60" w:after="60"/>
              <w:jc w:val="center"/>
              <w:rPr>
                <w:rFonts w:eastAsia="Arial Unicode MS"/>
                <w:sz w:val="20"/>
                <w:lang w:eastAsia="ja-JP"/>
              </w:rPr>
            </w:pPr>
            <w:r w:rsidRPr="00732305">
              <w:rPr>
                <w:sz w:val="20"/>
                <w:lang w:eastAsia="ja-JP"/>
              </w:rPr>
              <w:t>5,26 g</w:t>
            </w:r>
          </w:p>
        </w:tc>
        <w:tc>
          <w:tcPr>
            <w:tcW w:w="1271" w:type="dxa"/>
            <w:noWrap/>
            <w:tcMar>
              <w:top w:w="13" w:type="dxa"/>
              <w:left w:w="13" w:type="dxa"/>
              <w:bottom w:w="0" w:type="dxa"/>
              <w:right w:w="13" w:type="dxa"/>
            </w:tcMar>
            <w:vAlign w:val="center"/>
          </w:tcPr>
          <w:p w:rsidR="00145BF4" w:rsidRPr="00732305" w:rsidRDefault="00145BF4" w:rsidP="00573E4B">
            <w:pPr>
              <w:spacing w:before="60" w:after="60"/>
              <w:jc w:val="center"/>
              <w:rPr>
                <w:rFonts w:eastAsia="Arial Unicode MS"/>
                <w:sz w:val="20"/>
                <w:lang w:eastAsia="ja-JP"/>
              </w:rPr>
            </w:pPr>
            <w:r w:rsidRPr="00732305">
              <w:rPr>
                <w:sz w:val="20"/>
                <w:lang w:eastAsia="ja-JP"/>
              </w:rPr>
              <w:t>7,90 g</w:t>
            </w:r>
          </w:p>
        </w:tc>
        <w:tc>
          <w:tcPr>
            <w:tcW w:w="1271" w:type="dxa"/>
            <w:noWrap/>
            <w:tcMar>
              <w:top w:w="13" w:type="dxa"/>
              <w:left w:w="13" w:type="dxa"/>
              <w:bottom w:w="0" w:type="dxa"/>
              <w:right w:w="13" w:type="dxa"/>
            </w:tcMar>
            <w:vAlign w:val="center"/>
          </w:tcPr>
          <w:p w:rsidR="00145BF4" w:rsidRPr="00732305" w:rsidRDefault="00145BF4" w:rsidP="00573E4B">
            <w:pPr>
              <w:spacing w:before="60" w:after="60"/>
              <w:jc w:val="center"/>
              <w:rPr>
                <w:sz w:val="20"/>
                <w:lang w:eastAsia="ja-JP"/>
              </w:rPr>
            </w:pPr>
            <w:r w:rsidRPr="00732305">
              <w:rPr>
                <w:sz w:val="20"/>
                <w:lang w:eastAsia="ja-JP"/>
              </w:rPr>
              <w:t>10,53 g</w:t>
            </w:r>
          </w:p>
        </w:tc>
      </w:tr>
      <w:tr w:rsidR="00145BF4" w:rsidRPr="00732305" w:rsidTr="00573E4B">
        <w:trPr>
          <w:trHeight w:val="255"/>
          <w:jc w:val="center"/>
        </w:trPr>
        <w:tc>
          <w:tcPr>
            <w:tcW w:w="3096" w:type="dxa"/>
            <w:tcMar>
              <w:top w:w="13" w:type="dxa"/>
              <w:left w:w="13" w:type="dxa"/>
              <w:bottom w:w="0" w:type="dxa"/>
              <w:right w:w="13" w:type="dxa"/>
            </w:tcMar>
            <w:vAlign w:val="bottom"/>
          </w:tcPr>
          <w:p w:rsidR="00145BF4" w:rsidRPr="00732305" w:rsidRDefault="00145BF4" w:rsidP="00573E4B">
            <w:pPr>
              <w:spacing w:before="60" w:after="60"/>
              <w:jc w:val="center"/>
              <w:rPr>
                <w:rFonts w:eastAsia="Arial Unicode MS"/>
                <w:sz w:val="20"/>
                <w:lang w:eastAsia="ja-JP"/>
              </w:rPr>
            </w:pPr>
            <w:proofErr w:type="spellStart"/>
            <w:r w:rsidRPr="00732305">
              <w:rPr>
                <w:sz w:val="20"/>
                <w:lang w:eastAsia="ja-JP"/>
              </w:rPr>
              <w:t>Histidin</w:t>
            </w:r>
            <w:proofErr w:type="spellEnd"/>
          </w:p>
        </w:tc>
        <w:tc>
          <w:tcPr>
            <w:tcW w:w="1203" w:type="dxa"/>
            <w:vAlign w:val="center"/>
          </w:tcPr>
          <w:p w:rsidR="00145BF4" w:rsidRPr="00732305" w:rsidRDefault="00145BF4" w:rsidP="00573E4B">
            <w:pPr>
              <w:spacing w:before="60" w:after="60"/>
              <w:jc w:val="center"/>
              <w:rPr>
                <w:rFonts w:eastAsia="Arial Unicode MS"/>
                <w:sz w:val="20"/>
                <w:lang w:eastAsia="ja-JP"/>
              </w:rPr>
            </w:pPr>
            <w:r w:rsidRPr="00732305">
              <w:rPr>
                <w:sz w:val="20"/>
                <w:lang w:eastAsia="ja-JP"/>
              </w:rPr>
              <w:t>2,94 g</w:t>
            </w:r>
          </w:p>
        </w:tc>
        <w:tc>
          <w:tcPr>
            <w:tcW w:w="1175" w:type="dxa"/>
            <w:noWrap/>
            <w:tcMar>
              <w:top w:w="13" w:type="dxa"/>
              <w:left w:w="13" w:type="dxa"/>
              <w:bottom w:w="0" w:type="dxa"/>
              <w:right w:w="13" w:type="dxa"/>
            </w:tcMar>
            <w:vAlign w:val="center"/>
          </w:tcPr>
          <w:p w:rsidR="00145BF4" w:rsidRPr="00732305" w:rsidRDefault="00145BF4" w:rsidP="00573E4B">
            <w:pPr>
              <w:spacing w:before="60" w:after="60"/>
              <w:jc w:val="center"/>
              <w:rPr>
                <w:rFonts w:eastAsia="Arial Unicode MS"/>
                <w:sz w:val="20"/>
                <w:lang w:eastAsia="ja-JP"/>
              </w:rPr>
            </w:pPr>
            <w:r w:rsidRPr="00732305">
              <w:rPr>
                <w:sz w:val="20"/>
                <w:lang w:eastAsia="ja-JP"/>
              </w:rPr>
              <w:t>4,53 g</w:t>
            </w:r>
          </w:p>
        </w:tc>
        <w:tc>
          <w:tcPr>
            <w:tcW w:w="1271" w:type="dxa"/>
            <w:noWrap/>
            <w:tcMar>
              <w:top w:w="13" w:type="dxa"/>
              <w:left w:w="13" w:type="dxa"/>
              <w:bottom w:w="0" w:type="dxa"/>
              <w:right w:w="13" w:type="dxa"/>
            </w:tcMar>
            <w:vAlign w:val="center"/>
          </w:tcPr>
          <w:p w:rsidR="00145BF4" w:rsidRPr="00732305" w:rsidRDefault="00145BF4" w:rsidP="00573E4B">
            <w:pPr>
              <w:spacing w:before="60" w:after="60"/>
              <w:jc w:val="center"/>
              <w:rPr>
                <w:rFonts w:eastAsia="Arial Unicode MS"/>
                <w:sz w:val="20"/>
                <w:lang w:eastAsia="ja-JP"/>
              </w:rPr>
            </w:pPr>
            <w:r w:rsidRPr="00732305">
              <w:rPr>
                <w:sz w:val="20"/>
                <w:lang w:eastAsia="ja-JP"/>
              </w:rPr>
              <w:t>6,79 g</w:t>
            </w:r>
          </w:p>
        </w:tc>
        <w:tc>
          <w:tcPr>
            <w:tcW w:w="1271" w:type="dxa"/>
            <w:noWrap/>
            <w:tcMar>
              <w:top w:w="13" w:type="dxa"/>
              <w:left w:w="13" w:type="dxa"/>
              <w:bottom w:w="0" w:type="dxa"/>
              <w:right w:w="13" w:type="dxa"/>
            </w:tcMar>
            <w:vAlign w:val="center"/>
          </w:tcPr>
          <w:p w:rsidR="00145BF4" w:rsidRPr="00732305" w:rsidRDefault="00145BF4" w:rsidP="00573E4B">
            <w:pPr>
              <w:spacing w:before="60" w:after="60"/>
              <w:jc w:val="center"/>
              <w:rPr>
                <w:sz w:val="20"/>
                <w:lang w:eastAsia="ja-JP"/>
              </w:rPr>
            </w:pPr>
            <w:r w:rsidRPr="00732305">
              <w:rPr>
                <w:sz w:val="20"/>
                <w:lang w:eastAsia="ja-JP"/>
              </w:rPr>
              <w:t>9,06 g</w:t>
            </w:r>
          </w:p>
        </w:tc>
      </w:tr>
      <w:tr w:rsidR="00145BF4" w:rsidRPr="00732305" w:rsidTr="00573E4B">
        <w:trPr>
          <w:trHeight w:val="255"/>
          <w:jc w:val="center"/>
        </w:trPr>
        <w:tc>
          <w:tcPr>
            <w:tcW w:w="3096" w:type="dxa"/>
            <w:tcMar>
              <w:top w:w="13" w:type="dxa"/>
              <w:left w:w="13" w:type="dxa"/>
              <w:bottom w:w="0" w:type="dxa"/>
              <w:right w:w="13" w:type="dxa"/>
            </w:tcMar>
            <w:vAlign w:val="bottom"/>
          </w:tcPr>
          <w:p w:rsidR="00145BF4" w:rsidRPr="00732305" w:rsidRDefault="00145BF4" w:rsidP="00573E4B">
            <w:pPr>
              <w:spacing w:before="60" w:after="60"/>
              <w:jc w:val="center"/>
              <w:rPr>
                <w:rFonts w:eastAsia="Arial Unicode MS"/>
                <w:sz w:val="20"/>
                <w:lang w:eastAsia="ja-JP"/>
              </w:rPr>
            </w:pPr>
            <w:proofErr w:type="spellStart"/>
            <w:r w:rsidRPr="00732305">
              <w:rPr>
                <w:sz w:val="20"/>
                <w:lang w:eastAsia="ja-JP"/>
              </w:rPr>
              <w:lastRenderedPageBreak/>
              <w:t>Isoleucin</w:t>
            </w:r>
            <w:proofErr w:type="spellEnd"/>
          </w:p>
        </w:tc>
        <w:tc>
          <w:tcPr>
            <w:tcW w:w="1203" w:type="dxa"/>
            <w:vAlign w:val="center"/>
          </w:tcPr>
          <w:p w:rsidR="00145BF4" w:rsidRPr="00732305" w:rsidRDefault="00145BF4" w:rsidP="00573E4B">
            <w:pPr>
              <w:spacing w:before="60" w:after="60"/>
              <w:jc w:val="center"/>
              <w:rPr>
                <w:rFonts w:eastAsia="Arial Unicode MS"/>
                <w:sz w:val="20"/>
                <w:lang w:eastAsia="ja-JP"/>
              </w:rPr>
            </w:pPr>
            <w:r w:rsidRPr="00732305">
              <w:rPr>
                <w:sz w:val="20"/>
                <w:lang w:eastAsia="ja-JP"/>
              </w:rPr>
              <w:t>2,46 g</w:t>
            </w:r>
          </w:p>
        </w:tc>
        <w:tc>
          <w:tcPr>
            <w:tcW w:w="1175" w:type="dxa"/>
            <w:noWrap/>
            <w:tcMar>
              <w:top w:w="13" w:type="dxa"/>
              <w:left w:w="13" w:type="dxa"/>
              <w:bottom w:w="0" w:type="dxa"/>
              <w:right w:w="13" w:type="dxa"/>
            </w:tcMar>
            <w:vAlign w:val="center"/>
          </w:tcPr>
          <w:p w:rsidR="00145BF4" w:rsidRPr="00732305" w:rsidRDefault="00145BF4" w:rsidP="00573E4B">
            <w:pPr>
              <w:spacing w:before="60" w:after="60"/>
              <w:jc w:val="center"/>
              <w:rPr>
                <w:rFonts w:eastAsia="Arial Unicode MS"/>
                <w:sz w:val="20"/>
                <w:lang w:eastAsia="ja-JP"/>
              </w:rPr>
            </w:pPr>
            <w:r w:rsidRPr="00732305">
              <w:rPr>
                <w:sz w:val="20"/>
                <w:lang w:eastAsia="ja-JP"/>
              </w:rPr>
              <w:t>3,79 g</w:t>
            </w:r>
          </w:p>
        </w:tc>
        <w:tc>
          <w:tcPr>
            <w:tcW w:w="1271" w:type="dxa"/>
            <w:noWrap/>
            <w:tcMar>
              <w:top w:w="13" w:type="dxa"/>
              <w:left w:w="13" w:type="dxa"/>
              <w:bottom w:w="0" w:type="dxa"/>
              <w:right w:w="13" w:type="dxa"/>
            </w:tcMar>
            <w:vAlign w:val="center"/>
          </w:tcPr>
          <w:p w:rsidR="00145BF4" w:rsidRPr="00732305" w:rsidRDefault="00145BF4" w:rsidP="00573E4B">
            <w:pPr>
              <w:spacing w:before="60" w:after="60"/>
              <w:jc w:val="center"/>
              <w:rPr>
                <w:rFonts w:eastAsia="Arial Unicode MS"/>
                <w:sz w:val="20"/>
                <w:lang w:eastAsia="ja-JP"/>
              </w:rPr>
            </w:pPr>
            <w:r w:rsidRPr="00732305">
              <w:rPr>
                <w:sz w:val="20"/>
                <w:lang w:eastAsia="ja-JP"/>
              </w:rPr>
              <w:t>5,69 g</w:t>
            </w:r>
          </w:p>
        </w:tc>
        <w:tc>
          <w:tcPr>
            <w:tcW w:w="1271" w:type="dxa"/>
            <w:noWrap/>
            <w:tcMar>
              <w:top w:w="13" w:type="dxa"/>
              <w:left w:w="13" w:type="dxa"/>
              <w:bottom w:w="0" w:type="dxa"/>
              <w:right w:w="13" w:type="dxa"/>
            </w:tcMar>
            <w:vAlign w:val="center"/>
          </w:tcPr>
          <w:p w:rsidR="00145BF4" w:rsidRPr="00732305" w:rsidRDefault="00145BF4" w:rsidP="00573E4B">
            <w:pPr>
              <w:spacing w:before="60" w:after="60"/>
              <w:jc w:val="center"/>
              <w:rPr>
                <w:sz w:val="20"/>
                <w:lang w:eastAsia="ja-JP"/>
              </w:rPr>
            </w:pPr>
            <w:r w:rsidRPr="00732305">
              <w:rPr>
                <w:sz w:val="20"/>
                <w:lang w:eastAsia="ja-JP"/>
              </w:rPr>
              <w:t>7,58 g</w:t>
            </w:r>
          </w:p>
        </w:tc>
      </w:tr>
      <w:tr w:rsidR="00145BF4" w:rsidRPr="00732305" w:rsidTr="00573E4B">
        <w:trPr>
          <w:trHeight w:val="255"/>
          <w:jc w:val="center"/>
        </w:trPr>
        <w:tc>
          <w:tcPr>
            <w:tcW w:w="3096" w:type="dxa"/>
            <w:tcMar>
              <w:top w:w="13" w:type="dxa"/>
              <w:left w:w="13" w:type="dxa"/>
              <w:bottom w:w="0" w:type="dxa"/>
              <w:right w:w="13" w:type="dxa"/>
            </w:tcMar>
            <w:vAlign w:val="bottom"/>
          </w:tcPr>
          <w:p w:rsidR="00145BF4" w:rsidRPr="00732305" w:rsidRDefault="00145BF4" w:rsidP="00573E4B">
            <w:pPr>
              <w:spacing w:before="60" w:after="60"/>
              <w:jc w:val="center"/>
              <w:rPr>
                <w:rFonts w:eastAsia="Arial Unicode MS"/>
                <w:sz w:val="20"/>
                <w:lang w:eastAsia="ja-JP"/>
              </w:rPr>
            </w:pPr>
            <w:r w:rsidRPr="00732305">
              <w:rPr>
                <w:sz w:val="20"/>
                <w:lang w:eastAsia="ja-JP"/>
              </w:rPr>
              <w:t>Leucin</w:t>
            </w:r>
          </w:p>
        </w:tc>
        <w:tc>
          <w:tcPr>
            <w:tcW w:w="1203" w:type="dxa"/>
            <w:vAlign w:val="center"/>
          </w:tcPr>
          <w:p w:rsidR="00145BF4" w:rsidRPr="00732305" w:rsidRDefault="00145BF4" w:rsidP="00573E4B">
            <w:pPr>
              <w:spacing w:before="60" w:after="60"/>
              <w:jc w:val="center"/>
              <w:rPr>
                <w:sz w:val="20"/>
                <w:lang w:eastAsia="ja-JP"/>
              </w:rPr>
            </w:pPr>
            <w:r w:rsidRPr="00732305">
              <w:rPr>
                <w:sz w:val="20"/>
                <w:lang w:eastAsia="ja-JP"/>
              </w:rPr>
              <w:t>3,42 g</w:t>
            </w:r>
          </w:p>
        </w:tc>
        <w:tc>
          <w:tcPr>
            <w:tcW w:w="1175" w:type="dxa"/>
            <w:noWrap/>
            <w:tcMar>
              <w:top w:w="13" w:type="dxa"/>
              <w:left w:w="13" w:type="dxa"/>
              <w:bottom w:w="0" w:type="dxa"/>
              <w:right w:w="13" w:type="dxa"/>
            </w:tcMar>
            <w:vAlign w:val="center"/>
          </w:tcPr>
          <w:p w:rsidR="00145BF4" w:rsidRPr="00732305" w:rsidRDefault="00145BF4" w:rsidP="00573E4B">
            <w:pPr>
              <w:spacing w:before="60" w:after="60"/>
              <w:jc w:val="center"/>
              <w:rPr>
                <w:rFonts w:eastAsia="Arial Unicode MS"/>
                <w:sz w:val="20"/>
                <w:lang w:eastAsia="ja-JP"/>
              </w:rPr>
            </w:pPr>
            <w:r w:rsidRPr="00732305">
              <w:rPr>
                <w:sz w:val="20"/>
                <w:lang w:eastAsia="ja-JP"/>
              </w:rPr>
              <w:t>5,26 g</w:t>
            </w:r>
          </w:p>
        </w:tc>
        <w:tc>
          <w:tcPr>
            <w:tcW w:w="1271" w:type="dxa"/>
            <w:noWrap/>
            <w:tcMar>
              <w:top w:w="13" w:type="dxa"/>
              <w:left w:w="13" w:type="dxa"/>
              <w:bottom w:w="0" w:type="dxa"/>
              <w:right w:w="13" w:type="dxa"/>
            </w:tcMar>
            <w:vAlign w:val="center"/>
          </w:tcPr>
          <w:p w:rsidR="00145BF4" w:rsidRPr="00732305" w:rsidRDefault="00145BF4" w:rsidP="00573E4B">
            <w:pPr>
              <w:spacing w:before="60" w:after="60"/>
              <w:jc w:val="center"/>
              <w:rPr>
                <w:rFonts w:eastAsia="Arial Unicode MS"/>
                <w:sz w:val="20"/>
                <w:lang w:eastAsia="ja-JP"/>
              </w:rPr>
            </w:pPr>
            <w:r w:rsidRPr="00732305">
              <w:rPr>
                <w:sz w:val="20"/>
                <w:lang w:eastAsia="ja-JP"/>
              </w:rPr>
              <w:t>7,90 g</w:t>
            </w:r>
          </w:p>
        </w:tc>
        <w:tc>
          <w:tcPr>
            <w:tcW w:w="1271" w:type="dxa"/>
            <w:noWrap/>
            <w:tcMar>
              <w:top w:w="13" w:type="dxa"/>
              <w:left w:w="13" w:type="dxa"/>
              <w:bottom w:w="0" w:type="dxa"/>
              <w:right w:w="13" w:type="dxa"/>
            </w:tcMar>
            <w:vAlign w:val="center"/>
          </w:tcPr>
          <w:p w:rsidR="00145BF4" w:rsidRPr="00732305" w:rsidRDefault="00145BF4" w:rsidP="00573E4B">
            <w:pPr>
              <w:spacing w:before="60" w:after="60"/>
              <w:jc w:val="center"/>
              <w:rPr>
                <w:sz w:val="20"/>
                <w:lang w:eastAsia="ja-JP"/>
              </w:rPr>
            </w:pPr>
            <w:r w:rsidRPr="00732305">
              <w:rPr>
                <w:sz w:val="20"/>
                <w:lang w:eastAsia="ja-JP"/>
              </w:rPr>
              <w:t>10,53 g</w:t>
            </w:r>
          </w:p>
        </w:tc>
      </w:tr>
      <w:tr w:rsidR="00145BF4" w:rsidRPr="00732305" w:rsidTr="00573E4B">
        <w:trPr>
          <w:trHeight w:val="255"/>
          <w:jc w:val="center"/>
        </w:trPr>
        <w:tc>
          <w:tcPr>
            <w:tcW w:w="3096" w:type="dxa"/>
            <w:tcMar>
              <w:top w:w="13" w:type="dxa"/>
              <w:left w:w="13" w:type="dxa"/>
              <w:bottom w:w="0" w:type="dxa"/>
              <w:right w:w="13" w:type="dxa"/>
            </w:tcMar>
            <w:vAlign w:val="bottom"/>
          </w:tcPr>
          <w:p w:rsidR="00145BF4" w:rsidRPr="00732305" w:rsidRDefault="00145BF4" w:rsidP="00573E4B">
            <w:pPr>
              <w:jc w:val="center"/>
              <w:rPr>
                <w:sz w:val="20"/>
                <w:lang w:eastAsia="ja-JP"/>
              </w:rPr>
            </w:pPr>
            <w:r w:rsidRPr="00732305">
              <w:rPr>
                <w:sz w:val="20"/>
                <w:lang w:eastAsia="ja-JP"/>
              </w:rPr>
              <w:t xml:space="preserve">Lysin </w:t>
            </w:r>
          </w:p>
          <w:p w:rsidR="00145BF4" w:rsidRPr="00732305" w:rsidRDefault="00145BF4" w:rsidP="00573E4B">
            <w:pPr>
              <w:jc w:val="center"/>
              <w:rPr>
                <w:rFonts w:eastAsia="Arial Unicode MS"/>
                <w:sz w:val="20"/>
                <w:lang w:eastAsia="ja-JP"/>
              </w:rPr>
            </w:pPr>
            <w:r w:rsidRPr="00732305">
              <w:rPr>
                <w:sz w:val="20"/>
                <w:lang w:eastAsia="ja-JP"/>
              </w:rPr>
              <w:t xml:space="preserve">(som </w:t>
            </w:r>
            <w:proofErr w:type="spellStart"/>
            <w:r w:rsidRPr="00732305">
              <w:rPr>
                <w:sz w:val="20"/>
                <w:lang w:eastAsia="ja-JP"/>
              </w:rPr>
              <w:t>lysineacetat</w:t>
            </w:r>
            <w:proofErr w:type="spellEnd"/>
            <w:r w:rsidRPr="00732305">
              <w:rPr>
                <w:sz w:val="20"/>
                <w:lang w:eastAsia="ja-JP"/>
              </w:rPr>
              <w:t>)</w:t>
            </w:r>
          </w:p>
        </w:tc>
        <w:tc>
          <w:tcPr>
            <w:tcW w:w="1203" w:type="dxa"/>
            <w:vAlign w:val="center"/>
          </w:tcPr>
          <w:p w:rsidR="00145BF4" w:rsidRPr="00732305" w:rsidRDefault="00145BF4" w:rsidP="00573E4B">
            <w:pPr>
              <w:jc w:val="center"/>
              <w:rPr>
                <w:sz w:val="20"/>
                <w:lang w:eastAsia="ja-JP"/>
              </w:rPr>
            </w:pPr>
            <w:r w:rsidRPr="00732305">
              <w:rPr>
                <w:sz w:val="20"/>
                <w:lang w:eastAsia="ja-JP"/>
              </w:rPr>
              <w:t>3,88 g</w:t>
            </w:r>
            <w:r w:rsidRPr="00732305">
              <w:rPr>
                <w:sz w:val="20"/>
                <w:lang w:eastAsia="ja-JP"/>
              </w:rPr>
              <w:br/>
              <w:t>(5,48 g)</w:t>
            </w:r>
          </w:p>
        </w:tc>
        <w:tc>
          <w:tcPr>
            <w:tcW w:w="1175" w:type="dxa"/>
            <w:noWrap/>
            <w:tcMar>
              <w:top w:w="13" w:type="dxa"/>
              <w:left w:w="13" w:type="dxa"/>
              <w:bottom w:w="0" w:type="dxa"/>
              <w:right w:w="13" w:type="dxa"/>
            </w:tcMar>
            <w:vAlign w:val="center"/>
          </w:tcPr>
          <w:p w:rsidR="00145BF4" w:rsidRPr="00732305" w:rsidRDefault="00145BF4" w:rsidP="00573E4B">
            <w:pPr>
              <w:jc w:val="center"/>
              <w:rPr>
                <w:sz w:val="20"/>
                <w:lang w:eastAsia="ja-JP"/>
              </w:rPr>
            </w:pPr>
            <w:r w:rsidRPr="00732305">
              <w:rPr>
                <w:sz w:val="20"/>
                <w:lang w:eastAsia="ja-JP"/>
              </w:rPr>
              <w:t>5,97 g</w:t>
            </w:r>
            <w:r w:rsidRPr="00732305">
              <w:rPr>
                <w:sz w:val="20"/>
                <w:lang w:eastAsia="ja-JP"/>
              </w:rPr>
              <w:br/>
              <w:t>(8,43 g)</w:t>
            </w:r>
          </w:p>
        </w:tc>
        <w:tc>
          <w:tcPr>
            <w:tcW w:w="1271" w:type="dxa"/>
            <w:noWrap/>
            <w:tcMar>
              <w:top w:w="13" w:type="dxa"/>
              <w:left w:w="13" w:type="dxa"/>
              <w:bottom w:w="0" w:type="dxa"/>
              <w:right w:w="13" w:type="dxa"/>
            </w:tcMar>
            <w:vAlign w:val="center"/>
          </w:tcPr>
          <w:p w:rsidR="00145BF4" w:rsidRPr="00732305" w:rsidRDefault="00145BF4" w:rsidP="00573E4B">
            <w:pPr>
              <w:jc w:val="center"/>
              <w:rPr>
                <w:sz w:val="20"/>
                <w:lang w:eastAsia="ja-JP"/>
              </w:rPr>
            </w:pPr>
            <w:r w:rsidRPr="00732305">
              <w:rPr>
                <w:sz w:val="20"/>
                <w:lang w:eastAsia="ja-JP"/>
              </w:rPr>
              <w:t>8,96 g</w:t>
            </w:r>
            <w:r w:rsidRPr="00732305">
              <w:rPr>
                <w:sz w:val="20"/>
                <w:lang w:eastAsia="ja-JP"/>
              </w:rPr>
              <w:br/>
              <w:t>(12,64 g)</w:t>
            </w:r>
          </w:p>
        </w:tc>
        <w:tc>
          <w:tcPr>
            <w:tcW w:w="1271" w:type="dxa"/>
            <w:noWrap/>
            <w:tcMar>
              <w:top w:w="13" w:type="dxa"/>
              <w:left w:w="13" w:type="dxa"/>
              <w:bottom w:w="0" w:type="dxa"/>
              <w:right w:w="13" w:type="dxa"/>
            </w:tcMar>
            <w:vAlign w:val="center"/>
          </w:tcPr>
          <w:p w:rsidR="00145BF4" w:rsidRPr="00732305" w:rsidRDefault="00145BF4" w:rsidP="00573E4B">
            <w:pPr>
              <w:jc w:val="center"/>
              <w:rPr>
                <w:sz w:val="20"/>
                <w:lang w:eastAsia="ja-JP"/>
              </w:rPr>
            </w:pPr>
            <w:r w:rsidRPr="00732305">
              <w:rPr>
                <w:sz w:val="20"/>
                <w:lang w:eastAsia="ja-JP"/>
              </w:rPr>
              <w:t>11,95 g</w:t>
            </w:r>
            <w:r w:rsidRPr="00732305">
              <w:rPr>
                <w:sz w:val="20"/>
                <w:lang w:eastAsia="ja-JP"/>
              </w:rPr>
              <w:br/>
              <w:t>(16,85 g)</w:t>
            </w:r>
          </w:p>
        </w:tc>
      </w:tr>
      <w:tr w:rsidR="00145BF4" w:rsidRPr="00732305" w:rsidTr="00573E4B">
        <w:trPr>
          <w:trHeight w:val="255"/>
          <w:jc w:val="center"/>
        </w:trPr>
        <w:tc>
          <w:tcPr>
            <w:tcW w:w="3096" w:type="dxa"/>
            <w:tcMar>
              <w:top w:w="13" w:type="dxa"/>
              <w:left w:w="13" w:type="dxa"/>
              <w:bottom w:w="0" w:type="dxa"/>
              <w:right w:w="13" w:type="dxa"/>
            </w:tcMar>
            <w:vAlign w:val="bottom"/>
          </w:tcPr>
          <w:p w:rsidR="00145BF4" w:rsidRPr="00732305" w:rsidRDefault="00145BF4" w:rsidP="00573E4B">
            <w:pPr>
              <w:spacing w:before="60" w:after="60"/>
              <w:jc w:val="center"/>
              <w:rPr>
                <w:rFonts w:eastAsia="Arial Unicode MS"/>
                <w:sz w:val="20"/>
                <w:lang w:eastAsia="ja-JP"/>
              </w:rPr>
            </w:pPr>
            <w:proofErr w:type="spellStart"/>
            <w:r w:rsidRPr="00732305">
              <w:rPr>
                <w:sz w:val="20"/>
                <w:lang w:eastAsia="ja-JP"/>
              </w:rPr>
              <w:t>Methionin</w:t>
            </w:r>
            <w:proofErr w:type="spellEnd"/>
          </w:p>
        </w:tc>
        <w:tc>
          <w:tcPr>
            <w:tcW w:w="1203" w:type="dxa"/>
            <w:vAlign w:val="center"/>
          </w:tcPr>
          <w:p w:rsidR="00145BF4" w:rsidRPr="00732305" w:rsidRDefault="00145BF4" w:rsidP="00573E4B">
            <w:pPr>
              <w:spacing w:before="60" w:after="60"/>
              <w:jc w:val="center"/>
              <w:rPr>
                <w:sz w:val="20"/>
                <w:lang w:eastAsia="ja-JP"/>
              </w:rPr>
            </w:pPr>
            <w:r w:rsidRPr="00732305">
              <w:rPr>
                <w:sz w:val="20"/>
                <w:lang w:eastAsia="ja-JP"/>
              </w:rPr>
              <w:t>2,46 g</w:t>
            </w:r>
          </w:p>
        </w:tc>
        <w:tc>
          <w:tcPr>
            <w:tcW w:w="1175" w:type="dxa"/>
            <w:noWrap/>
            <w:tcMar>
              <w:top w:w="13" w:type="dxa"/>
              <w:left w:w="13" w:type="dxa"/>
              <w:bottom w:w="0" w:type="dxa"/>
              <w:right w:w="13" w:type="dxa"/>
            </w:tcMar>
            <w:vAlign w:val="center"/>
          </w:tcPr>
          <w:p w:rsidR="00145BF4" w:rsidRPr="00732305" w:rsidRDefault="00145BF4" w:rsidP="00573E4B">
            <w:pPr>
              <w:spacing w:before="60" w:after="60"/>
              <w:jc w:val="center"/>
              <w:rPr>
                <w:sz w:val="20"/>
                <w:lang w:eastAsia="ja-JP"/>
              </w:rPr>
            </w:pPr>
            <w:r w:rsidRPr="00732305">
              <w:rPr>
                <w:sz w:val="20"/>
                <w:lang w:eastAsia="ja-JP"/>
              </w:rPr>
              <w:t>3,79 g</w:t>
            </w:r>
          </w:p>
        </w:tc>
        <w:tc>
          <w:tcPr>
            <w:tcW w:w="1271" w:type="dxa"/>
            <w:noWrap/>
            <w:tcMar>
              <w:top w:w="13" w:type="dxa"/>
              <w:left w:w="13" w:type="dxa"/>
              <w:bottom w:w="0" w:type="dxa"/>
              <w:right w:w="13" w:type="dxa"/>
            </w:tcMar>
            <w:vAlign w:val="center"/>
          </w:tcPr>
          <w:p w:rsidR="00145BF4" w:rsidRPr="00732305" w:rsidRDefault="00145BF4" w:rsidP="00573E4B">
            <w:pPr>
              <w:spacing w:before="60" w:after="60"/>
              <w:jc w:val="center"/>
              <w:rPr>
                <w:sz w:val="20"/>
                <w:lang w:eastAsia="ja-JP"/>
              </w:rPr>
            </w:pPr>
            <w:r w:rsidRPr="00732305">
              <w:rPr>
                <w:sz w:val="20"/>
                <w:lang w:eastAsia="ja-JP"/>
              </w:rPr>
              <w:t>5,69 g</w:t>
            </w:r>
          </w:p>
        </w:tc>
        <w:tc>
          <w:tcPr>
            <w:tcW w:w="1271" w:type="dxa"/>
            <w:noWrap/>
            <w:tcMar>
              <w:top w:w="13" w:type="dxa"/>
              <w:left w:w="13" w:type="dxa"/>
              <w:bottom w:w="0" w:type="dxa"/>
              <w:right w:w="13" w:type="dxa"/>
            </w:tcMar>
            <w:vAlign w:val="center"/>
          </w:tcPr>
          <w:p w:rsidR="00145BF4" w:rsidRPr="00732305" w:rsidRDefault="00145BF4" w:rsidP="00573E4B">
            <w:pPr>
              <w:spacing w:before="60" w:after="60"/>
              <w:jc w:val="center"/>
              <w:rPr>
                <w:sz w:val="20"/>
                <w:lang w:eastAsia="ja-JP"/>
              </w:rPr>
            </w:pPr>
            <w:r w:rsidRPr="00732305">
              <w:rPr>
                <w:sz w:val="20"/>
                <w:lang w:eastAsia="ja-JP"/>
              </w:rPr>
              <w:t>7,58 g</w:t>
            </w:r>
          </w:p>
        </w:tc>
      </w:tr>
      <w:tr w:rsidR="00145BF4" w:rsidRPr="00732305" w:rsidTr="00573E4B">
        <w:trPr>
          <w:trHeight w:val="255"/>
          <w:jc w:val="center"/>
        </w:trPr>
        <w:tc>
          <w:tcPr>
            <w:tcW w:w="3096" w:type="dxa"/>
            <w:tcMar>
              <w:top w:w="13" w:type="dxa"/>
              <w:left w:w="13" w:type="dxa"/>
              <w:bottom w:w="0" w:type="dxa"/>
              <w:right w:w="13" w:type="dxa"/>
            </w:tcMar>
            <w:vAlign w:val="bottom"/>
          </w:tcPr>
          <w:p w:rsidR="00145BF4" w:rsidRPr="00732305" w:rsidRDefault="00145BF4" w:rsidP="00573E4B">
            <w:pPr>
              <w:spacing w:before="60" w:after="60"/>
              <w:jc w:val="center"/>
              <w:rPr>
                <w:rFonts w:eastAsia="Arial Unicode MS"/>
                <w:sz w:val="20"/>
                <w:lang w:eastAsia="ja-JP"/>
              </w:rPr>
            </w:pPr>
            <w:proofErr w:type="spellStart"/>
            <w:r w:rsidRPr="00732305">
              <w:rPr>
                <w:sz w:val="20"/>
                <w:lang w:eastAsia="ja-JP"/>
              </w:rPr>
              <w:t>Phenylalanin</w:t>
            </w:r>
            <w:proofErr w:type="spellEnd"/>
          </w:p>
        </w:tc>
        <w:tc>
          <w:tcPr>
            <w:tcW w:w="1203" w:type="dxa"/>
            <w:vAlign w:val="center"/>
          </w:tcPr>
          <w:p w:rsidR="00145BF4" w:rsidRPr="00732305" w:rsidRDefault="00145BF4" w:rsidP="00573E4B">
            <w:pPr>
              <w:spacing w:before="60" w:after="60"/>
              <w:jc w:val="center"/>
              <w:rPr>
                <w:rFonts w:eastAsia="Arial Unicode MS"/>
                <w:sz w:val="20"/>
                <w:lang w:eastAsia="ja-JP"/>
              </w:rPr>
            </w:pPr>
            <w:r w:rsidRPr="00732305">
              <w:rPr>
                <w:sz w:val="20"/>
                <w:lang w:eastAsia="ja-JP"/>
              </w:rPr>
              <w:t>3,42 g</w:t>
            </w:r>
          </w:p>
        </w:tc>
        <w:tc>
          <w:tcPr>
            <w:tcW w:w="1175" w:type="dxa"/>
            <w:noWrap/>
            <w:tcMar>
              <w:top w:w="13" w:type="dxa"/>
              <w:left w:w="13" w:type="dxa"/>
              <w:bottom w:w="0" w:type="dxa"/>
              <w:right w:w="13" w:type="dxa"/>
            </w:tcMar>
            <w:vAlign w:val="center"/>
          </w:tcPr>
          <w:p w:rsidR="00145BF4" w:rsidRPr="00732305" w:rsidRDefault="00145BF4" w:rsidP="00573E4B">
            <w:pPr>
              <w:spacing w:before="60" w:after="60"/>
              <w:jc w:val="center"/>
              <w:rPr>
                <w:sz w:val="20"/>
                <w:lang w:eastAsia="ja-JP"/>
              </w:rPr>
            </w:pPr>
            <w:r w:rsidRPr="00732305">
              <w:rPr>
                <w:sz w:val="20"/>
                <w:lang w:eastAsia="ja-JP"/>
              </w:rPr>
              <w:t>5,26 g</w:t>
            </w:r>
          </w:p>
        </w:tc>
        <w:tc>
          <w:tcPr>
            <w:tcW w:w="1271" w:type="dxa"/>
            <w:noWrap/>
            <w:tcMar>
              <w:top w:w="13" w:type="dxa"/>
              <w:left w:w="13" w:type="dxa"/>
              <w:bottom w:w="0" w:type="dxa"/>
              <w:right w:w="13" w:type="dxa"/>
            </w:tcMar>
            <w:vAlign w:val="center"/>
          </w:tcPr>
          <w:p w:rsidR="00145BF4" w:rsidRPr="00732305" w:rsidRDefault="00145BF4" w:rsidP="00573E4B">
            <w:pPr>
              <w:spacing w:before="60" w:after="60"/>
              <w:jc w:val="center"/>
              <w:rPr>
                <w:sz w:val="20"/>
                <w:lang w:eastAsia="ja-JP"/>
              </w:rPr>
            </w:pPr>
            <w:r w:rsidRPr="00732305">
              <w:rPr>
                <w:sz w:val="20"/>
                <w:lang w:eastAsia="ja-JP"/>
              </w:rPr>
              <w:t>7,90 g</w:t>
            </w:r>
          </w:p>
        </w:tc>
        <w:tc>
          <w:tcPr>
            <w:tcW w:w="1271" w:type="dxa"/>
            <w:noWrap/>
            <w:tcMar>
              <w:top w:w="13" w:type="dxa"/>
              <w:left w:w="13" w:type="dxa"/>
              <w:bottom w:w="0" w:type="dxa"/>
              <w:right w:w="13" w:type="dxa"/>
            </w:tcMar>
            <w:vAlign w:val="center"/>
          </w:tcPr>
          <w:p w:rsidR="00145BF4" w:rsidRPr="00732305" w:rsidRDefault="00145BF4" w:rsidP="00573E4B">
            <w:pPr>
              <w:spacing w:before="60" w:after="60"/>
              <w:jc w:val="center"/>
              <w:rPr>
                <w:sz w:val="20"/>
                <w:lang w:eastAsia="ja-JP"/>
              </w:rPr>
            </w:pPr>
            <w:r w:rsidRPr="00732305">
              <w:rPr>
                <w:sz w:val="20"/>
                <w:lang w:eastAsia="ja-JP"/>
              </w:rPr>
              <w:t>10,53 g</w:t>
            </w:r>
          </w:p>
        </w:tc>
      </w:tr>
      <w:tr w:rsidR="00145BF4" w:rsidRPr="00732305" w:rsidTr="00573E4B">
        <w:trPr>
          <w:trHeight w:val="255"/>
          <w:jc w:val="center"/>
        </w:trPr>
        <w:tc>
          <w:tcPr>
            <w:tcW w:w="3096" w:type="dxa"/>
            <w:tcMar>
              <w:top w:w="13" w:type="dxa"/>
              <w:left w:w="13" w:type="dxa"/>
              <w:bottom w:w="0" w:type="dxa"/>
              <w:right w:w="13" w:type="dxa"/>
            </w:tcMar>
            <w:vAlign w:val="bottom"/>
          </w:tcPr>
          <w:p w:rsidR="00145BF4" w:rsidRPr="00732305" w:rsidRDefault="00145BF4" w:rsidP="00573E4B">
            <w:pPr>
              <w:spacing w:before="60" w:after="60"/>
              <w:jc w:val="center"/>
              <w:rPr>
                <w:rFonts w:eastAsia="Arial Unicode MS"/>
                <w:sz w:val="20"/>
                <w:lang w:eastAsia="ja-JP"/>
              </w:rPr>
            </w:pPr>
            <w:proofErr w:type="spellStart"/>
            <w:r w:rsidRPr="00732305">
              <w:rPr>
                <w:sz w:val="20"/>
                <w:lang w:eastAsia="ja-JP"/>
              </w:rPr>
              <w:t>Prolin</w:t>
            </w:r>
            <w:proofErr w:type="spellEnd"/>
          </w:p>
        </w:tc>
        <w:tc>
          <w:tcPr>
            <w:tcW w:w="1203" w:type="dxa"/>
            <w:vAlign w:val="center"/>
          </w:tcPr>
          <w:p w:rsidR="00145BF4" w:rsidRPr="00732305" w:rsidRDefault="00145BF4" w:rsidP="00573E4B">
            <w:pPr>
              <w:spacing w:before="60" w:after="60"/>
              <w:jc w:val="center"/>
              <w:rPr>
                <w:rFonts w:eastAsia="Arial Unicode MS"/>
                <w:sz w:val="20"/>
                <w:lang w:eastAsia="ja-JP"/>
              </w:rPr>
            </w:pPr>
            <w:r w:rsidRPr="00732305">
              <w:rPr>
                <w:sz w:val="20"/>
                <w:lang w:eastAsia="ja-JP"/>
              </w:rPr>
              <w:t>2,94 g</w:t>
            </w:r>
          </w:p>
        </w:tc>
        <w:tc>
          <w:tcPr>
            <w:tcW w:w="1175" w:type="dxa"/>
            <w:noWrap/>
            <w:tcMar>
              <w:top w:w="13" w:type="dxa"/>
              <w:left w:w="13" w:type="dxa"/>
              <w:bottom w:w="0" w:type="dxa"/>
              <w:right w:w="13" w:type="dxa"/>
            </w:tcMar>
            <w:vAlign w:val="center"/>
          </w:tcPr>
          <w:p w:rsidR="00145BF4" w:rsidRPr="00732305" w:rsidRDefault="00145BF4" w:rsidP="00573E4B">
            <w:pPr>
              <w:spacing w:before="60" w:after="60"/>
              <w:jc w:val="center"/>
              <w:rPr>
                <w:sz w:val="20"/>
                <w:lang w:eastAsia="ja-JP"/>
              </w:rPr>
            </w:pPr>
            <w:r w:rsidRPr="00732305">
              <w:rPr>
                <w:sz w:val="20"/>
                <w:lang w:eastAsia="ja-JP"/>
              </w:rPr>
              <w:t>4,53 g</w:t>
            </w:r>
          </w:p>
        </w:tc>
        <w:tc>
          <w:tcPr>
            <w:tcW w:w="1271" w:type="dxa"/>
            <w:noWrap/>
            <w:tcMar>
              <w:top w:w="13" w:type="dxa"/>
              <w:left w:w="13" w:type="dxa"/>
              <w:bottom w:w="0" w:type="dxa"/>
              <w:right w:w="13" w:type="dxa"/>
            </w:tcMar>
            <w:vAlign w:val="center"/>
          </w:tcPr>
          <w:p w:rsidR="00145BF4" w:rsidRPr="00732305" w:rsidRDefault="00145BF4" w:rsidP="00573E4B">
            <w:pPr>
              <w:spacing w:before="60" w:after="60"/>
              <w:jc w:val="center"/>
              <w:rPr>
                <w:sz w:val="20"/>
                <w:lang w:eastAsia="ja-JP"/>
              </w:rPr>
            </w:pPr>
            <w:r w:rsidRPr="00732305">
              <w:rPr>
                <w:sz w:val="20"/>
                <w:lang w:eastAsia="ja-JP"/>
              </w:rPr>
              <w:t>6,79 g</w:t>
            </w:r>
          </w:p>
        </w:tc>
        <w:tc>
          <w:tcPr>
            <w:tcW w:w="1271" w:type="dxa"/>
            <w:noWrap/>
            <w:tcMar>
              <w:top w:w="13" w:type="dxa"/>
              <w:left w:w="13" w:type="dxa"/>
              <w:bottom w:w="0" w:type="dxa"/>
              <w:right w:w="13" w:type="dxa"/>
            </w:tcMar>
            <w:vAlign w:val="center"/>
          </w:tcPr>
          <w:p w:rsidR="00145BF4" w:rsidRPr="00732305" w:rsidRDefault="00145BF4" w:rsidP="00573E4B">
            <w:pPr>
              <w:spacing w:before="60" w:after="60"/>
              <w:jc w:val="center"/>
              <w:rPr>
                <w:sz w:val="20"/>
                <w:lang w:eastAsia="ja-JP"/>
              </w:rPr>
            </w:pPr>
            <w:r w:rsidRPr="00732305">
              <w:rPr>
                <w:sz w:val="20"/>
                <w:lang w:eastAsia="ja-JP"/>
              </w:rPr>
              <w:t>9,06 g</w:t>
            </w:r>
          </w:p>
        </w:tc>
      </w:tr>
      <w:tr w:rsidR="00145BF4" w:rsidRPr="00732305" w:rsidTr="00573E4B">
        <w:trPr>
          <w:trHeight w:val="255"/>
          <w:jc w:val="center"/>
        </w:trPr>
        <w:tc>
          <w:tcPr>
            <w:tcW w:w="3096" w:type="dxa"/>
            <w:tcMar>
              <w:top w:w="13" w:type="dxa"/>
              <w:left w:w="13" w:type="dxa"/>
              <w:bottom w:w="0" w:type="dxa"/>
              <w:right w:w="13" w:type="dxa"/>
            </w:tcMar>
            <w:vAlign w:val="bottom"/>
          </w:tcPr>
          <w:p w:rsidR="00145BF4" w:rsidRPr="00732305" w:rsidRDefault="00145BF4" w:rsidP="00573E4B">
            <w:pPr>
              <w:spacing w:before="60" w:after="60"/>
              <w:jc w:val="center"/>
              <w:rPr>
                <w:rFonts w:eastAsia="Arial Unicode MS"/>
                <w:sz w:val="20"/>
                <w:lang w:eastAsia="ja-JP"/>
              </w:rPr>
            </w:pPr>
            <w:proofErr w:type="spellStart"/>
            <w:r w:rsidRPr="00732305">
              <w:rPr>
                <w:sz w:val="20"/>
                <w:lang w:eastAsia="ja-JP"/>
              </w:rPr>
              <w:t>Serin</w:t>
            </w:r>
            <w:proofErr w:type="spellEnd"/>
          </w:p>
        </w:tc>
        <w:tc>
          <w:tcPr>
            <w:tcW w:w="1203" w:type="dxa"/>
            <w:vAlign w:val="center"/>
          </w:tcPr>
          <w:p w:rsidR="00145BF4" w:rsidRPr="00732305" w:rsidRDefault="00145BF4" w:rsidP="00573E4B">
            <w:pPr>
              <w:spacing w:before="60" w:after="60"/>
              <w:jc w:val="center"/>
              <w:rPr>
                <w:rFonts w:eastAsia="Arial Unicode MS"/>
                <w:sz w:val="20"/>
                <w:lang w:eastAsia="ja-JP"/>
              </w:rPr>
            </w:pPr>
            <w:r w:rsidRPr="00732305">
              <w:rPr>
                <w:sz w:val="20"/>
                <w:lang w:eastAsia="ja-JP"/>
              </w:rPr>
              <w:t>1,95 g</w:t>
            </w:r>
          </w:p>
        </w:tc>
        <w:tc>
          <w:tcPr>
            <w:tcW w:w="1175" w:type="dxa"/>
            <w:noWrap/>
            <w:tcMar>
              <w:top w:w="13" w:type="dxa"/>
              <w:left w:w="13" w:type="dxa"/>
              <w:bottom w:w="0" w:type="dxa"/>
              <w:right w:w="13" w:type="dxa"/>
            </w:tcMar>
            <w:vAlign w:val="center"/>
          </w:tcPr>
          <w:p w:rsidR="00145BF4" w:rsidRPr="00732305" w:rsidRDefault="00145BF4" w:rsidP="00573E4B">
            <w:pPr>
              <w:spacing w:before="60" w:after="60"/>
              <w:jc w:val="center"/>
              <w:rPr>
                <w:sz w:val="20"/>
                <w:lang w:eastAsia="ja-JP"/>
              </w:rPr>
            </w:pPr>
            <w:r w:rsidRPr="00732305">
              <w:rPr>
                <w:sz w:val="20"/>
                <w:lang w:eastAsia="ja-JP"/>
              </w:rPr>
              <w:t>3,00 g</w:t>
            </w:r>
          </w:p>
        </w:tc>
        <w:tc>
          <w:tcPr>
            <w:tcW w:w="1271" w:type="dxa"/>
            <w:noWrap/>
            <w:tcMar>
              <w:top w:w="13" w:type="dxa"/>
              <w:left w:w="13" w:type="dxa"/>
              <w:bottom w:w="0" w:type="dxa"/>
              <w:right w:w="13" w:type="dxa"/>
            </w:tcMar>
            <w:vAlign w:val="center"/>
          </w:tcPr>
          <w:p w:rsidR="00145BF4" w:rsidRPr="00732305" w:rsidRDefault="00145BF4" w:rsidP="00573E4B">
            <w:pPr>
              <w:spacing w:before="60" w:after="60"/>
              <w:jc w:val="center"/>
              <w:rPr>
                <w:sz w:val="20"/>
                <w:lang w:eastAsia="ja-JP"/>
              </w:rPr>
            </w:pPr>
            <w:r w:rsidRPr="00732305">
              <w:rPr>
                <w:sz w:val="20"/>
                <w:lang w:eastAsia="ja-JP"/>
              </w:rPr>
              <w:t>4,50 g</w:t>
            </w:r>
          </w:p>
        </w:tc>
        <w:tc>
          <w:tcPr>
            <w:tcW w:w="1271" w:type="dxa"/>
            <w:noWrap/>
            <w:tcMar>
              <w:top w:w="13" w:type="dxa"/>
              <w:left w:w="13" w:type="dxa"/>
              <w:bottom w:w="0" w:type="dxa"/>
              <w:right w:w="13" w:type="dxa"/>
            </w:tcMar>
            <w:vAlign w:val="center"/>
          </w:tcPr>
          <w:p w:rsidR="00145BF4" w:rsidRPr="00732305" w:rsidRDefault="00145BF4" w:rsidP="00573E4B">
            <w:pPr>
              <w:spacing w:before="60" w:after="60"/>
              <w:jc w:val="center"/>
              <w:rPr>
                <w:sz w:val="20"/>
                <w:lang w:eastAsia="ja-JP"/>
              </w:rPr>
            </w:pPr>
            <w:r w:rsidRPr="00732305">
              <w:rPr>
                <w:sz w:val="20"/>
                <w:lang w:eastAsia="ja-JP"/>
              </w:rPr>
              <w:t>5,99 g</w:t>
            </w:r>
          </w:p>
        </w:tc>
      </w:tr>
      <w:tr w:rsidR="00145BF4" w:rsidRPr="00732305" w:rsidTr="00573E4B">
        <w:trPr>
          <w:trHeight w:val="255"/>
          <w:jc w:val="center"/>
        </w:trPr>
        <w:tc>
          <w:tcPr>
            <w:tcW w:w="3096" w:type="dxa"/>
            <w:tcMar>
              <w:top w:w="13" w:type="dxa"/>
              <w:left w:w="13" w:type="dxa"/>
              <w:bottom w:w="0" w:type="dxa"/>
              <w:right w:w="13" w:type="dxa"/>
            </w:tcMar>
            <w:vAlign w:val="bottom"/>
          </w:tcPr>
          <w:p w:rsidR="00145BF4" w:rsidRPr="00732305" w:rsidRDefault="00145BF4" w:rsidP="00573E4B">
            <w:pPr>
              <w:spacing w:before="60" w:after="60"/>
              <w:jc w:val="center"/>
              <w:rPr>
                <w:rFonts w:eastAsia="Arial Unicode MS"/>
                <w:sz w:val="20"/>
                <w:lang w:eastAsia="ja-JP"/>
              </w:rPr>
            </w:pPr>
            <w:proofErr w:type="spellStart"/>
            <w:r w:rsidRPr="00732305">
              <w:rPr>
                <w:sz w:val="20"/>
                <w:lang w:eastAsia="ja-JP"/>
              </w:rPr>
              <w:t>Threonin</w:t>
            </w:r>
            <w:proofErr w:type="spellEnd"/>
          </w:p>
        </w:tc>
        <w:tc>
          <w:tcPr>
            <w:tcW w:w="1203" w:type="dxa"/>
            <w:vAlign w:val="center"/>
          </w:tcPr>
          <w:p w:rsidR="00145BF4" w:rsidRPr="00732305" w:rsidRDefault="00145BF4" w:rsidP="00573E4B">
            <w:pPr>
              <w:spacing w:before="60" w:after="60"/>
              <w:jc w:val="center"/>
              <w:rPr>
                <w:rFonts w:eastAsia="Arial Unicode MS"/>
                <w:sz w:val="20"/>
                <w:lang w:eastAsia="ja-JP"/>
              </w:rPr>
            </w:pPr>
            <w:r w:rsidRPr="00732305">
              <w:rPr>
                <w:sz w:val="20"/>
                <w:lang w:eastAsia="ja-JP"/>
              </w:rPr>
              <w:t>2,46 g</w:t>
            </w:r>
          </w:p>
        </w:tc>
        <w:tc>
          <w:tcPr>
            <w:tcW w:w="1175" w:type="dxa"/>
            <w:noWrap/>
            <w:tcMar>
              <w:top w:w="13" w:type="dxa"/>
              <w:left w:w="13" w:type="dxa"/>
              <w:bottom w:w="0" w:type="dxa"/>
              <w:right w:w="13" w:type="dxa"/>
            </w:tcMar>
            <w:vAlign w:val="center"/>
          </w:tcPr>
          <w:p w:rsidR="00145BF4" w:rsidRPr="00732305" w:rsidRDefault="00145BF4" w:rsidP="00573E4B">
            <w:pPr>
              <w:spacing w:before="60" w:after="60"/>
              <w:jc w:val="center"/>
              <w:rPr>
                <w:sz w:val="20"/>
                <w:lang w:eastAsia="ja-JP"/>
              </w:rPr>
            </w:pPr>
            <w:r w:rsidRPr="00732305">
              <w:rPr>
                <w:sz w:val="20"/>
                <w:lang w:eastAsia="ja-JP"/>
              </w:rPr>
              <w:t>3,79 g</w:t>
            </w:r>
          </w:p>
        </w:tc>
        <w:tc>
          <w:tcPr>
            <w:tcW w:w="1271" w:type="dxa"/>
            <w:noWrap/>
            <w:tcMar>
              <w:top w:w="13" w:type="dxa"/>
              <w:left w:w="13" w:type="dxa"/>
              <w:bottom w:w="0" w:type="dxa"/>
              <w:right w:w="13" w:type="dxa"/>
            </w:tcMar>
            <w:vAlign w:val="center"/>
          </w:tcPr>
          <w:p w:rsidR="00145BF4" w:rsidRPr="00732305" w:rsidRDefault="00145BF4" w:rsidP="00573E4B">
            <w:pPr>
              <w:spacing w:before="60" w:after="60"/>
              <w:jc w:val="center"/>
              <w:rPr>
                <w:sz w:val="20"/>
                <w:lang w:eastAsia="ja-JP"/>
              </w:rPr>
            </w:pPr>
            <w:r w:rsidRPr="00732305">
              <w:rPr>
                <w:sz w:val="20"/>
                <w:lang w:eastAsia="ja-JP"/>
              </w:rPr>
              <w:t>5,69 g</w:t>
            </w:r>
          </w:p>
        </w:tc>
        <w:tc>
          <w:tcPr>
            <w:tcW w:w="1271" w:type="dxa"/>
            <w:noWrap/>
            <w:tcMar>
              <w:top w:w="13" w:type="dxa"/>
              <w:left w:w="13" w:type="dxa"/>
              <w:bottom w:w="0" w:type="dxa"/>
              <w:right w:w="13" w:type="dxa"/>
            </w:tcMar>
            <w:vAlign w:val="center"/>
          </w:tcPr>
          <w:p w:rsidR="00145BF4" w:rsidRPr="00732305" w:rsidRDefault="00145BF4" w:rsidP="00573E4B">
            <w:pPr>
              <w:spacing w:before="60" w:after="60"/>
              <w:jc w:val="center"/>
              <w:rPr>
                <w:sz w:val="20"/>
                <w:lang w:eastAsia="ja-JP"/>
              </w:rPr>
            </w:pPr>
            <w:r w:rsidRPr="00732305">
              <w:rPr>
                <w:sz w:val="20"/>
                <w:lang w:eastAsia="ja-JP"/>
              </w:rPr>
              <w:t>7,58 g</w:t>
            </w:r>
          </w:p>
        </w:tc>
      </w:tr>
      <w:tr w:rsidR="00145BF4" w:rsidRPr="00732305" w:rsidTr="00573E4B">
        <w:trPr>
          <w:trHeight w:val="255"/>
          <w:jc w:val="center"/>
        </w:trPr>
        <w:tc>
          <w:tcPr>
            <w:tcW w:w="3096" w:type="dxa"/>
            <w:tcMar>
              <w:top w:w="13" w:type="dxa"/>
              <w:left w:w="13" w:type="dxa"/>
              <w:bottom w:w="0" w:type="dxa"/>
              <w:right w:w="13" w:type="dxa"/>
            </w:tcMar>
            <w:vAlign w:val="bottom"/>
          </w:tcPr>
          <w:p w:rsidR="00145BF4" w:rsidRPr="00732305" w:rsidRDefault="00145BF4" w:rsidP="00573E4B">
            <w:pPr>
              <w:spacing w:before="60" w:after="60"/>
              <w:jc w:val="center"/>
              <w:rPr>
                <w:rFonts w:eastAsia="Arial Unicode MS"/>
                <w:sz w:val="20"/>
                <w:lang w:eastAsia="ja-JP"/>
              </w:rPr>
            </w:pPr>
            <w:r w:rsidRPr="00732305">
              <w:rPr>
                <w:sz w:val="20"/>
                <w:lang w:eastAsia="ja-JP"/>
              </w:rPr>
              <w:t>Tryptophan</w:t>
            </w:r>
          </w:p>
        </w:tc>
        <w:tc>
          <w:tcPr>
            <w:tcW w:w="1203" w:type="dxa"/>
            <w:vAlign w:val="center"/>
          </w:tcPr>
          <w:p w:rsidR="00145BF4" w:rsidRPr="00732305" w:rsidRDefault="00145BF4" w:rsidP="00573E4B">
            <w:pPr>
              <w:spacing w:before="60" w:after="60"/>
              <w:jc w:val="center"/>
              <w:rPr>
                <w:rFonts w:eastAsia="Arial Unicode MS"/>
                <w:sz w:val="20"/>
                <w:lang w:eastAsia="ja-JP"/>
              </w:rPr>
            </w:pPr>
            <w:r w:rsidRPr="00732305">
              <w:rPr>
                <w:sz w:val="20"/>
                <w:lang w:eastAsia="ja-JP"/>
              </w:rPr>
              <w:t>0,82 g</w:t>
            </w:r>
          </w:p>
        </w:tc>
        <w:tc>
          <w:tcPr>
            <w:tcW w:w="1175" w:type="dxa"/>
            <w:noWrap/>
            <w:tcMar>
              <w:top w:w="13" w:type="dxa"/>
              <w:left w:w="13" w:type="dxa"/>
              <w:bottom w:w="0" w:type="dxa"/>
              <w:right w:w="13" w:type="dxa"/>
            </w:tcMar>
            <w:vAlign w:val="center"/>
          </w:tcPr>
          <w:p w:rsidR="00145BF4" w:rsidRPr="00732305" w:rsidRDefault="00145BF4" w:rsidP="00573E4B">
            <w:pPr>
              <w:spacing w:before="60" w:after="60"/>
              <w:jc w:val="center"/>
              <w:rPr>
                <w:sz w:val="20"/>
                <w:lang w:eastAsia="ja-JP"/>
              </w:rPr>
            </w:pPr>
            <w:r w:rsidRPr="00732305">
              <w:rPr>
                <w:sz w:val="20"/>
                <w:lang w:eastAsia="ja-JP"/>
              </w:rPr>
              <w:t>1,26 g</w:t>
            </w:r>
          </w:p>
        </w:tc>
        <w:tc>
          <w:tcPr>
            <w:tcW w:w="1271" w:type="dxa"/>
            <w:noWrap/>
            <w:tcMar>
              <w:top w:w="13" w:type="dxa"/>
              <w:left w:w="13" w:type="dxa"/>
              <w:bottom w:w="0" w:type="dxa"/>
              <w:right w:w="13" w:type="dxa"/>
            </w:tcMar>
            <w:vAlign w:val="center"/>
          </w:tcPr>
          <w:p w:rsidR="00145BF4" w:rsidRPr="00732305" w:rsidRDefault="00145BF4" w:rsidP="00573E4B">
            <w:pPr>
              <w:spacing w:before="60" w:after="60"/>
              <w:jc w:val="center"/>
              <w:rPr>
                <w:sz w:val="20"/>
                <w:lang w:eastAsia="ja-JP"/>
              </w:rPr>
            </w:pPr>
            <w:r w:rsidRPr="00732305">
              <w:rPr>
                <w:sz w:val="20"/>
                <w:lang w:eastAsia="ja-JP"/>
              </w:rPr>
              <w:t>1,90 g</w:t>
            </w:r>
          </w:p>
        </w:tc>
        <w:tc>
          <w:tcPr>
            <w:tcW w:w="1271" w:type="dxa"/>
            <w:noWrap/>
            <w:tcMar>
              <w:top w:w="13" w:type="dxa"/>
              <w:left w:w="13" w:type="dxa"/>
              <w:bottom w:w="0" w:type="dxa"/>
              <w:right w:w="13" w:type="dxa"/>
            </w:tcMar>
            <w:vAlign w:val="center"/>
          </w:tcPr>
          <w:p w:rsidR="00145BF4" w:rsidRPr="00732305" w:rsidRDefault="00145BF4" w:rsidP="00573E4B">
            <w:pPr>
              <w:spacing w:before="60" w:after="60"/>
              <w:jc w:val="center"/>
              <w:rPr>
                <w:sz w:val="20"/>
                <w:lang w:eastAsia="ja-JP"/>
              </w:rPr>
            </w:pPr>
            <w:r w:rsidRPr="00732305">
              <w:rPr>
                <w:sz w:val="20"/>
                <w:lang w:eastAsia="ja-JP"/>
              </w:rPr>
              <w:t>2,53 g</w:t>
            </w:r>
          </w:p>
        </w:tc>
      </w:tr>
      <w:tr w:rsidR="00145BF4" w:rsidRPr="00732305" w:rsidTr="00573E4B">
        <w:trPr>
          <w:trHeight w:val="255"/>
          <w:jc w:val="center"/>
        </w:trPr>
        <w:tc>
          <w:tcPr>
            <w:tcW w:w="3096" w:type="dxa"/>
            <w:tcMar>
              <w:top w:w="13" w:type="dxa"/>
              <w:left w:w="13" w:type="dxa"/>
              <w:bottom w:w="0" w:type="dxa"/>
              <w:right w:w="13" w:type="dxa"/>
            </w:tcMar>
            <w:vAlign w:val="bottom"/>
          </w:tcPr>
          <w:p w:rsidR="00145BF4" w:rsidRPr="00732305" w:rsidRDefault="00145BF4" w:rsidP="00573E4B">
            <w:pPr>
              <w:spacing w:before="60" w:after="60"/>
              <w:jc w:val="center"/>
              <w:rPr>
                <w:rFonts w:eastAsia="Arial Unicode MS"/>
                <w:sz w:val="20"/>
                <w:lang w:eastAsia="ja-JP"/>
              </w:rPr>
            </w:pPr>
            <w:proofErr w:type="spellStart"/>
            <w:r w:rsidRPr="00732305">
              <w:rPr>
                <w:sz w:val="20"/>
                <w:lang w:eastAsia="ja-JP"/>
              </w:rPr>
              <w:t>Tyrosin</w:t>
            </w:r>
            <w:proofErr w:type="spellEnd"/>
          </w:p>
        </w:tc>
        <w:tc>
          <w:tcPr>
            <w:tcW w:w="1203" w:type="dxa"/>
            <w:vAlign w:val="center"/>
          </w:tcPr>
          <w:p w:rsidR="00145BF4" w:rsidRPr="00732305" w:rsidRDefault="00145BF4" w:rsidP="00573E4B">
            <w:pPr>
              <w:spacing w:before="60" w:after="60"/>
              <w:jc w:val="center"/>
              <w:rPr>
                <w:rFonts w:eastAsia="Arial Unicode MS"/>
                <w:sz w:val="20"/>
                <w:lang w:eastAsia="ja-JP"/>
              </w:rPr>
            </w:pPr>
            <w:r w:rsidRPr="00732305">
              <w:rPr>
                <w:sz w:val="20"/>
                <w:lang w:eastAsia="ja-JP"/>
              </w:rPr>
              <w:t>0,13 g</w:t>
            </w:r>
          </w:p>
        </w:tc>
        <w:tc>
          <w:tcPr>
            <w:tcW w:w="1175" w:type="dxa"/>
            <w:noWrap/>
            <w:tcMar>
              <w:top w:w="13" w:type="dxa"/>
              <w:left w:w="13" w:type="dxa"/>
              <w:bottom w:w="0" w:type="dxa"/>
              <w:right w:w="13" w:type="dxa"/>
            </w:tcMar>
            <w:vAlign w:val="center"/>
          </w:tcPr>
          <w:p w:rsidR="00145BF4" w:rsidRPr="00732305" w:rsidRDefault="00145BF4" w:rsidP="00573E4B">
            <w:pPr>
              <w:spacing w:before="60" w:after="60"/>
              <w:jc w:val="center"/>
              <w:rPr>
                <w:sz w:val="20"/>
                <w:lang w:eastAsia="ja-JP"/>
              </w:rPr>
            </w:pPr>
            <w:r w:rsidRPr="00732305">
              <w:rPr>
                <w:sz w:val="20"/>
                <w:lang w:eastAsia="ja-JP"/>
              </w:rPr>
              <w:t>0,20 g</w:t>
            </w:r>
          </w:p>
        </w:tc>
        <w:tc>
          <w:tcPr>
            <w:tcW w:w="1271" w:type="dxa"/>
            <w:noWrap/>
            <w:tcMar>
              <w:top w:w="13" w:type="dxa"/>
              <w:left w:w="13" w:type="dxa"/>
              <w:bottom w:w="0" w:type="dxa"/>
              <w:right w:w="13" w:type="dxa"/>
            </w:tcMar>
            <w:vAlign w:val="center"/>
          </w:tcPr>
          <w:p w:rsidR="00145BF4" w:rsidRPr="00732305" w:rsidRDefault="00145BF4" w:rsidP="00573E4B">
            <w:pPr>
              <w:spacing w:before="60" w:after="60"/>
              <w:jc w:val="center"/>
              <w:rPr>
                <w:sz w:val="20"/>
                <w:lang w:eastAsia="ja-JP"/>
              </w:rPr>
            </w:pPr>
            <w:r w:rsidRPr="00732305">
              <w:rPr>
                <w:sz w:val="20"/>
                <w:lang w:eastAsia="ja-JP"/>
              </w:rPr>
              <w:t>0,30 g</w:t>
            </w:r>
          </w:p>
        </w:tc>
        <w:tc>
          <w:tcPr>
            <w:tcW w:w="1271" w:type="dxa"/>
            <w:noWrap/>
            <w:tcMar>
              <w:top w:w="13" w:type="dxa"/>
              <w:left w:w="13" w:type="dxa"/>
              <w:bottom w:w="0" w:type="dxa"/>
              <w:right w:w="13" w:type="dxa"/>
            </w:tcMar>
            <w:vAlign w:val="center"/>
          </w:tcPr>
          <w:p w:rsidR="00145BF4" w:rsidRPr="00732305" w:rsidRDefault="00145BF4" w:rsidP="00573E4B">
            <w:pPr>
              <w:spacing w:before="60" w:after="60"/>
              <w:jc w:val="center"/>
              <w:rPr>
                <w:sz w:val="20"/>
                <w:lang w:eastAsia="ja-JP"/>
              </w:rPr>
            </w:pPr>
            <w:r w:rsidRPr="00732305">
              <w:rPr>
                <w:sz w:val="20"/>
                <w:lang w:eastAsia="ja-JP"/>
              </w:rPr>
              <w:t>0,39 g</w:t>
            </w:r>
          </w:p>
        </w:tc>
      </w:tr>
      <w:tr w:rsidR="00145BF4" w:rsidRPr="00732305" w:rsidTr="00573E4B">
        <w:trPr>
          <w:trHeight w:val="255"/>
          <w:jc w:val="center"/>
        </w:trPr>
        <w:tc>
          <w:tcPr>
            <w:tcW w:w="3096" w:type="dxa"/>
            <w:tcMar>
              <w:top w:w="13" w:type="dxa"/>
              <w:left w:w="13" w:type="dxa"/>
              <w:bottom w:w="0" w:type="dxa"/>
              <w:right w:w="13" w:type="dxa"/>
            </w:tcMar>
            <w:vAlign w:val="bottom"/>
          </w:tcPr>
          <w:p w:rsidR="00145BF4" w:rsidRPr="00732305" w:rsidRDefault="00145BF4" w:rsidP="00573E4B">
            <w:pPr>
              <w:spacing w:before="60" w:after="60"/>
              <w:jc w:val="center"/>
              <w:rPr>
                <w:rFonts w:eastAsia="Arial Unicode MS"/>
                <w:sz w:val="20"/>
                <w:lang w:eastAsia="ja-JP"/>
              </w:rPr>
            </w:pPr>
            <w:proofErr w:type="spellStart"/>
            <w:r w:rsidRPr="00732305">
              <w:rPr>
                <w:sz w:val="20"/>
                <w:lang w:eastAsia="ja-JP"/>
              </w:rPr>
              <w:t>Valin</w:t>
            </w:r>
            <w:proofErr w:type="spellEnd"/>
          </w:p>
        </w:tc>
        <w:tc>
          <w:tcPr>
            <w:tcW w:w="1203" w:type="dxa"/>
            <w:vAlign w:val="center"/>
          </w:tcPr>
          <w:p w:rsidR="00145BF4" w:rsidRPr="00732305" w:rsidRDefault="00145BF4" w:rsidP="00573E4B">
            <w:pPr>
              <w:spacing w:before="60" w:after="60"/>
              <w:jc w:val="center"/>
              <w:rPr>
                <w:rFonts w:eastAsia="Arial Unicode MS"/>
                <w:sz w:val="20"/>
                <w:lang w:eastAsia="ja-JP"/>
              </w:rPr>
            </w:pPr>
            <w:r w:rsidRPr="00732305">
              <w:rPr>
                <w:sz w:val="20"/>
                <w:lang w:eastAsia="ja-JP"/>
              </w:rPr>
              <w:t>3,16 g</w:t>
            </w:r>
          </w:p>
        </w:tc>
        <w:tc>
          <w:tcPr>
            <w:tcW w:w="1175" w:type="dxa"/>
            <w:noWrap/>
            <w:tcMar>
              <w:top w:w="13" w:type="dxa"/>
              <w:left w:w="13" w:type="dxa"/>
              <w:bottom w:w="0" w:type="dxa"/>
              <w:right w:w="13" w:type="dxa"/>
            </w:tcMar>
            <w:vAlign w:val="center"/>
          </w:tcPr>
          <w:p w:rsidR="00145BF4" w:rsidRPr="00732305" w:rsidRDefault="00145BF4" w:rsidP="00573E4B">
            <w:pPr>
              <w:spacing w:before="60" w:after="60"/>
              <w:jc w:val="center"/>
              <w:rPr>
                <w:sz w:val="20"/>
                <w:lang w:eastAsia="ja-JP"/>
              </w:rPr>
            </w:pPr>
            <w:r w:rsidRPr="00732305">
              <w:rPr>
                <w:sz w:val="20"/>
                <w:lang w:eastAsia="ja-JP"/>
              </w:rPr>
              <w:t>4,86 g</w:t>
            </w:r>
          </w:p>
        </w:tc>
        <w:tc>
          <w:tcPr>
            <w:tcW w:w="1271" w:type="dxa"/>
            <w:noWrap/>
            <w:tcMar>
              <w:top w:w="13" w:type="dxa"/>
              <w:left w:w="13" w:type="dxa"/>
              <w:bottom w:w="0" w:type="dxa"/>
              <w:right w:w="13" w:type="dxa"/>
            </w:tcMar>
            <w:vAlign w:val="center"/>
          </w:tcPr>
          <w:p w:rsidR="00145BF4" w:rsidRPr="00732305" w:rsidRDefault="00145BF4" w:rsidP="00573E4B">
            <w:pPr>
              <w:spacing w:before="60" w:after="60"/>
              <w:jc w:val="center"/>
              <w:rPr>
                <w:sz w:val="20"/>
                <w:lang w:eastAsia="ja-JP"/>
              </w:rPr>
            </w:pPr>
            <w:r w:rsidRPr="00732305">
              <w:rPr>
                <w:sz w:val="20"/>
                <w:lang w:eastAsia="ja-JP"/>
              </w:rPr>
              <w:t>7,29 g</w:t>
            </w:r>
          </w:p>
        </w:tc>
        <w:tc>
          <w:tcPr>
            <w:tcW w:w="1271" w:type="dxa"/>
            <w:noWrap/>
            <w:tcMar>
              <w:top w:w="13" w:type="dxa"/>
              <w:left w:w="13" w:type="dxa"/>
              <w:bottom w:w="0" w:type="dxa"/>
              <w:right w:w="13" w:type="dxa"/>
            </w:tcMar>
            <w:vAlign w:val="center"/>
          </w:tcPr>
          <w:p w:rsidR="00145BF4" w:rsidRPr="00732305" w:rsidRDefault="00145BF4" w:rsidP="00573E4B">
            <w:pPr>
              <w:spacing w:before="60" w:after="60"/>
              <w:jc w:val="center"/>
              <w:rPr>
                <w:sz w:val="20"/>
                <w:lang w:eastAsia="ja-JP"/>
              </w:rPr>
            </w:pPr>
            <w:r w:rsidRPr="00732305">
              <w:rPr>
                <w:sz w:val="20"/>
                <w:lang w:eastAsia="ja-JP"/>
              </w:rPr>
              <w:t>9,72 g</w:t>
            </w:r>
          </w:p>
        </w:tc>
      </w:tr>
      <w:tr w:rsidR="00145BF4" w:rsidRPr="00732305" w:rsidTr="00573E4B">
        <w:trPr>
          <w:trHeight w:val="255"/>
          <w:jc w:val="center"/>
        </w:trPr>
        <w:tc>
          <w:tcPr>
            <w:tcW w:w="3096" w:type="dxa"/>
            <w:tcBorders>
              <w:bottom w:val="single" w:sz="6" w:space="0" w:color="000000"/>
            </w:tcBorders>
            <w:tcMar>
              <w:top w:w="13" w:type="dxa"/>
              <w:left w:w="13" w:type="dxa"/>
              <w:bottom w:w="0" w:type="dxa"/>
              <w:right w:w="13" w:type="dxa"/>
            </w:tcMar>
            <w:vAlign w:val="bottom"/>
          </w:tcPr>
          <w:p w:rsidR="00145BF4" w:rsidRPr="00732305" w:rsidRDefault="00145BF4" w:rsidP="00573E4B">
            <w:pPr>
              <w:jc w:val="center"/>
              <w:rPr>
                <w:rFonts w:eastAsia="Arial Unicode MS"/>
                <w:sz w:val="20"/>
                <w:lang w:eastAsia="ja-JP"/>
              </w:rPr>
            </w:pPr>
            <w:proofErr w:type="spellStart"/>
            <w:r w:rsidRPr="00732305">
              <w:rPr>
                <w:sz w:val="20"/>
                <w:lang w:eastAsia="ja-JP"/>
              </w:rPr>
              <w:t>Glucose</w:t>
            </w:r>
            <w:proofErr w:type="spellEnd"/>
            <w:r w:rsidRPr="00732305">
              <w:rPr>
                <w:sz w:val="20"/>
                <w:lang w:eastAsia="ja-JP"/>
              </w:rPr>
              <w:br/>
              <w:t xml:space="preserve">(svarende til </w:t>
            </w:r>
            <w:proofErr w:type="spellStart"/>
            <w:r w:rsidRPr="00732305">
              <w:rPr>
                <w:sz w:val="20"/>
                <w:lang w:eastAsia="ja-JP"/>
              </w:rPr>
              <w:t>glucosemonohydrat</w:t>
            </w:r>
            <w:proofErr w:type="spellEnd"/>
            <w:r w:rsidRPr="00732305">
              <w:rPr>
                <w:sz w:val="20"/>
                <w:lang w:eastAsia="ja-JP"/>
              </w:rPr>
              <w:t>)</w:t>
            </w:r>
          </w:p>
        </w:tc>
        <w:tc>
          <w:tcPr>
            <w:tcW w:w="1203" w:type="dxa"/>
            <w:tcBorders>
              <w:bottom w:val="single" w:sz="6" w:space="0" w:color="000000"/>
            </w:tcBorders>
          </w:tcPr>
          <w:p w:rsidR="00145BF4" w:rsidRPr="00732305" w:rsidRDefault="00145BF4" w:rsidP="00573E4B">
            <w:pPr>
              <w:jc w:val="center"/>
              <w:rPr>
                <w:sz w:val="20"/>
                <w:lang w:eastAsia="ja-JP"/>
              </w:rPr>
            </w:pPr>
            <w:r w:rsidRPr="00732305">
              <w:rPr>
                <w:sz w:val="20"/>
                <w:lang w:eastAsia="ja-JP"/>
              </w:rPr>
              <w:t>47,67 g</w:t>
            </w:r>
            <w:r w:rsidRPr="00732305">
              <w:rPr>
                <w:sz w:val="20"/>
                <w:lang w:eastAsia="ja-JP"/>
              </w:rPr>
              <w:br/>
              <w:t>(52,43 g)</w:t>
            </w:r>
          </w:p>
        </w:tc>
        <w:tc>
          <w:tcPr>
            <w:tcW w:w="1175" w:type="dxa"/>
            <w:tcBorders>
              <w:bottom w:val="single" w:sz="6" w:space="0" w:color="000000"/>
            </w:tcBorders>
            <w:noWrap/>
            <w:tcMar>
              <w:top w:w="13" w:type="dxa"/>
              <w:left w:w="13" w:type="dxa"/>
              <w:bottom w:w="0" w:type="dxa"/>
              <w:right w:w="13" w:type="dxa"/>
            </w:tcMar>
          </w:tcPr>
          <w:p w:rsidR="00145BF4" w:rsidRPr="00732305" w:rsidRDefault="00145BF4" w:rsidP="00573E4B">
            <w:pPr>
              <w:jc w:val="center"/>
              <w:rPr>
                <w:sz w:val="20"/>
                <w:lang w:eastAsia="ja-JP"/>
              </w:rPr>
            </w:pPr>
            <w:r w:rsidRPr="00732305">
              <w:rPr>
                <w:sz w:val="20"/>
                <w:lang w:eastAsia="ja-JP"/>
              </w:rPr>
              <w:t>73,33 g</w:t>
            </w:r>
            <w:r w:rsidRPr="00732305">
              <w:rPr>
                <w:sz w:val="20"/>
                <w:lang w:eastAsia="ja-JP"/>
              </w:rPr>
              <w:br/>
              <w:t>(80,67 g)</w:t>
            </w:r>
          </w:p>
        </w:tc>
        <w:tc>
          <w:tcPr>
            <w:tcW w:w="1271" w:type="dxa"/>
            <w:tcBorders>
              <w:bottom w:val="single" w:sz="6" w:space="0" w:color="000000"/>
            </w:tcBorders>
            <w:noWrap/>
            <w:tcMar>
              <w:top w:w="13" w:type="dxa"/>
              <w:left w:w="13" w:type="dxa"/>
              <w:bottom w:w="0" w:type="dxa"/>
              <w:right w:w="13" w:type="dxa"/>
            </w:tcMar>
            <w:vAlign w:val="bottom"/>
          </w:tcPr>
          <w:p w:rsidR="00145BF4" w:rsidRPr="00732305" w:rsidRDefault="00145BF4" w:rsidP="00573E4B">
            <w:pPr>
              <w:jc w:val="center"/>
              <w:rPr>
                <w:sz w:val="20"/>
                <w:lang w:eastAsia="ja-JP"/>
              </w:rPr>
            </w:pPr>
            <w:r w:rsidRPr="00732305">
              <w:rPr>
                <w:sz w:val="20"/>
                <w:lang w:eastAsia="ja-JP"/>
              </w:rPr>
              <w:t>110,00 g</w:t>
            </w:r>
            <w:r w:rsidRPr="00732305">
              <w:rPr>
                <w:sz w:val="20"/>
                <w:lang w:eastAsia="ja-JP"/>
              </w:rPr>
              <w:br/>
              <w:t>(121,00 g)</w:t>
            </w:r>
          </w:p>
        </w:tc>
        <w:tc>
          <w:tcPr>
            <w:tcW w:w="1271" w:type="dxa"/>
            <w:tcBorders>
              <w:bottom w:val="single" w:sz="6" w:space="0" w:color="000000"/>
            </w:tcBorders>
            <w:noWrap/>
            <w:tcMar>
              <w:top w:w="13" w:type="dxa"/>
              <w:left w:w="13" w:type="dxa"/>
              <w:bottom w:w="0" w:type="dxa"/>
              <w:right w:w="13" w:type="dxa"/>
            </w:tcMar>
          </w:tcPr>
          <w:p w:rsidR="00145BF4" w:rsidRPr="00732305" w:rsidRDefault="00145BF4" w:rsidP="00573E4B">
            <w:pPr>
              <w:jc w:val="center"/>
              <w:rPr>
                <w:sz w:val="20"/>
                <w:lang w:eastAsia="ja-JP"/>
              </w:rPr>
            </w:pPr>
            <w:r w:rsidRPr="00732305">
              <w:rPr>
                <w:sz w:val="20"/>
                <w:lang w:eastAsia="ja-JP"/>
              </w:rPr>
              <w:t>146,67 g</w:t>
            </w:r>
            <w:r w:rsidRPr="00732305">
              <w:rPr>
                <w:sz w:val="20"/>
                <w:lang w:eastAsia="ja-JP"/>
              </w:rPr>
              <w:br/>
              <w:t>(161,33 g)</w:t>
            </w:r>
          </w:p>
        </w:tc>
      </w:tr>
      <w:tr w:rsidR="00145BF4" w:rsidRPr="00732305" w:rsidTr="00573E4B">
        <w:trPr>
          <w:trHeight w:val="163"/>
          <w:jc w:val="center"/>
        </w:trPr>
        <w:tc>
          <w:tcPr>
            <w:tcW w:w="8016" w:type="dxa"/>
            <w:gridSpan w:val="5"/>
            <w:tcBorders>
              <w:top w:val="single" w:sz="6" w:space="0" w:color="000000"/>
              <w:left w:val="nil"/>
              <w:bottom w:val="nil"/>
              <w:right w:val="nil"/>
            </w:tcBorders>
            <w:shd w:val="clear" w:color="auto" w:fill="auto"/>
            <w:tcMar>
              <w:top w:w="13" w:type="dxa"/>
              <w:left w:w="13" w:type="dxa"/>
              <w:bottom w:w="0" w:type="dxa"/>
              <w:right w:w="13" w:type="dxa"/>
            </w:tcMar>
            <w:vAlign w:val="bottom"/>
          </w:tcPr>
          <w:p w:rsidR="00145BF4" w:rsidRPr="00732305" w:rsidRDefault="00145BF4" w:rsidP="00573E4B">
            <w:pPr>
              <w:tabs>
                <w:tab w:val="num" w:pos="115"/>
              </w:tabs>
              <w:ind w:left="115" w:hanging="115"/>
              <w:rPr>
                <w:sz w:val="20"/>
                <w:lang w:eastAsia="ja-JP"/>
              </w:rPr>
            </w:pPr>
            <w:bookmarkStart w:id="1" w:name="_Ref496516024"/>
            <w:r w:rsidRPr="00732305">
              <w:rPr>
                <w:sz w:val="20"/>
                <w:vertAlign w:val="superscript"/>
                <w:lang w:eastAsia="ja-JP"/>
              </w:rPr>
              <w:t>a</w:t>
            </w:r>
            <w:r w:rsidRPr="00732305">
              <w:rPr>
                <w:sz w:val="20"/>
                <w:lang w:eastAsia="ja-JP"/>
              </w:rPr>
              <w:t xml:space="preserve"> Blanding af olivenolie, renset (ca. 80 %) og sojaolie, renset (ca. 20 %) svarende til et forhold essentielle fedtsyrer/fedtsyrer i alt på 20 %.</w:t>
            </w:r>
            <w:bookmarkEnd w:id="1"/>
          </w:p>
        </w:tc>
      </w:tr>
    </w:tbl>
    <w:p w:rsidR="00145BF4" w:rsidRPr="00732305" w:rsidRDefault="00145BF4" w:rsidP="00145BF4">
      <w:pPr>
        <w:rPr>
          <w:rFonts w:eastAsia="MS Mincho"/>
          <w:sz w:val="24"/>
          <w:szCs w:val="24"/>
          <w:lang w:eastAsia="ja-JP"/>
        </w:rPr>
      </w:pPr>
    </w:p>
    <w:p w:rsidR="00145BF4" w:rsidRPr="00732305" w:rsidRDefault="00145BF4" w:rsidP="00145BF4">
      <w:pPr>
        <w:ind w:left="851"/>
        <w:rPr>
          <w:rFonts w:eastAsia="MS Mincho"/>
          <w:sz w:val="24"/>
          <w:szCs w:val="24"/>
          <w:lang w:eastAsia="ja-JP"/>
        </w:rPr>
      </w:pPr>
      <w:r w:rsidRPr="00732305">
        <w:rPr>
          <w:rFonts w:eastAsia="MS Mincho"/>
          <w:sz w:val="24"/>
          <w:szCs w:val="24"/>
          <w:lang w:eastAsia="ja-JP"/>
        </w:rPr>
        <w:t xml:space="preserve">Den </w:t>
      </w:r>
      <w:proofErr w:type="spellStart"/>
      <w:r w:rsidRPr="00732305">
        <w:rPr>
          <w:rFonts w:eastAsia="MS Mincho"/>
          <w:sz w:val="24"/>
          <w:szCs w:val="24"/>
          <w:lang w:eastAsia="ja-JP"/>
        </w:rPr>
        <w:t>rekonstituerede</w:t>
      </w:r>
      <w:proofErr w:type="spellEnd"/>
      <w:r w:rsidRPr="00732305">
        <w:rPr>
          <w:rFonts w:eastAsia="MS Mincho"/>
          <w:sz w:val="24"/>
          <w:szCs w:val="24"/>
          <w:lang w:eastAsia="ja-JP"/>
        </w:rPr>
        <w:t xml:space="preserve"> emulsion indeholder følgende for hver posestørrelse:</w:t>
      </w:r>
    </w:p>
    <w:p w:rsidR="00145BF4" w:rsidRPr="00732305" w:rsidRDefault="00145BF4" w:rsidP="00145BF4">
      <w:pPr>
        <w:rPr>
          <w:rFonts w:eastAsia="MS Mincho"/>
          <w:sz w:val="24"/>
          <w:szCs w:val="24"/>
          <w:lang w:eastAsia="ja-JP"/>
        </w:rPr>
      </w:pPr>
    </w:p>
    <w:tbl>
      <w:tblPr>
        <w:tblW w:w="4438" w:type="pct"/>
        <w:jc w:val="center"/>
        <w:tblLayout w:type="fixed"/>
        <w:tblCellMar>
          <w:left w:w="0" w:type="dxa"/>
          <w:right w:w="0" w:type="dxa"/>
        </w:tblCellMar>
        <w:tblLook w:val="0000" w:firstRow="0" w:lastRow="0" w:firstColumn="0" w:lastColumn="0" w:noHBand="0" w:noVBand="0"/>
      </w:tblPr>
      <w:tblGrid>
        <w:gridCol w:w="3181"/>
        <w:gridCol w:w="1272"/>
        <w:gridCol w:w="1272"/>
        <w:gridCol w:w="1412"/>
        <w:gridCol w:w="1413"/>
      </w:tblGrid>
      <w:tr w:rsidR="00145BF4" w:rsidRPr="00732305" w:rsidTr="00573E4B">
        <w:trPr>
          <w:trHeight w:val="364"/>
          <w:tblHeader/>
          <w:jc w:val="center"/>
        </w:trPr>
        <w:tc>
          <w:tcPr>
            <w:tcW w:w="3181" w:type="dxa"/>
            <w:tcBorders>
              <w:top w:val="nil"/>
              <w:left w:val="nil"/>
              <w:bottom w:val="single" w:sz="4" w:space="0" w:color="auto"/>
              <w:right w:val="single" w:sz="4" w:space="0" w:color="auto"/>
            </w:tcBorders>
            <w:tcMar>
              <w:top w:w="13" w:type="dxa"/>
              <w:left w:w="13" w:type="dxa"/>
              <w:bottom w:w="0" w:type="dxa"/>
              <w:right w:w="13" w:type="dxa"/>
            </w:tcMar>
            <w:vAlign w:val="bottom"/>
          </w:tcPr>
          <w:p w:rsidR="00145BF4" w:rsidRPr="00732305" w:rsidRDefault="00145BF4" w:rsidP="00573E4B">
            <w:pPr>
              <w:keepNext/>
              <w:spacing w:before="60" w:after="60"/>
              <w:jc w:val="center"/>
              <w:rPr>
                <w:rFonts w:eastAsia="MS Mincho"/>
                <w:b/>
                <w:sz w:val="20"/>
                <w:lang w:eastAsia="ja-JP"/>
              </w:rPr>
            </w:pPr>
          </w:p>
        </w:tc>
        <w:tc>
          <w:tcPr>
            <w:tcW w:w="1272" w:type="dxa"/>
            <w:tcBorders>
              <w:top w:val="single" w:sz="4" w:space="0" w:color="auto"/>
              <w:left w:val="nil"/>
              <w:bottom w:val="single" w:sz="4" w:space="0" w:color="auto"/>
              <w:right w:val="single" w:sz="4" w:space="0" w:color="auto"/>
            </w:tcBorders>
          </w:tcPr>
          <w:p w:rsidR="00145BF4" w:rsidRPr="00732305" w:rsidRDefault="00145BF4" w:rsidP="00573E4B">
            <w:pPr>
              <w:keepNext/>
              <w:spacing w:before="60" w:after="60"/>
              <w:jc w:val="center"/>
              <w:rPr>
                <w:rFonts w:eastAsia="MS Mincho"/>
                <w:b/>
                <w:sz w:val="20"/>
                <w:lang w:eastAsia="ja-JP"/>
              </w:rPr>
            </w:pPr>
            <w:r w:rsidRPr="00732305">
              <w:rPr>
                <w:rFonts w:eastAsia="MS Mincho"/>
                <w:b/>
                <w:sz w:val="20"/>
                <w:lang w:eastAsia="ja-JP"/>
              </w:rPr>
              <w:t>650 ml</w:t>
            </w:r>
          </w:p>
        </w:tc>
        <w:tc>
          <w:tcPr>
            <w:tcW w:w="1272" w:type="dxa"/>
            <w:tcBorders>
              <w:top w:val="single" w:sz="4" w:space="0" w:color="auto"/>
              <w:left w:val="single" w:sz="4" w:space="0" w:color="auto"/>
              <w:bottom w:val="single" w:sz="4" w:space="0" w:color="auto"/>
              <w:right w:val="single" w:sz="4" w:space="0" w:color="auto"/>
            </w:tcBorders>
            <w:tcMar>
              <w:top w:w="13" w:type="dxa"/>
              <w:left w:w="13" w:type="dxa"/>
              <w:bottom w:w="0" w:type="dxa"/>
              <w:right w:w="13" w:type="dxa"/>
            </w:tcMar>
          </w:tcPr>
          <w:p w:rsidR="00145BF4" w:rsidRPr="00732305" w:rsidRDefault="00145BF4" w:rsidP="00573E4B">
            <w:pPr>
              <w:keepNext/>
              <w:spacing w:before="60" w:after="60"/>
              <w:jc w:val="center"/>
              <w:rPr>
                <w:rFonts w:eastAsia="MS Mincho"/>
                <w:b/>
                <w:sz w:val="20"/>
                <w:lang w:eastAsia="ja-JP"/>
              </w:rPr>
            </w:pPr>
            <w:r w:rsidRPr="00732305">
              <w:rPr>
                <w:rFonts w:eastAsia="MS Mincho"/>
                <w:b/>
                <w:sz w:val="20"/>
                <w:lang w:eastAsia="ja-JP"/>
              </w:rPr>
              <w:t>1000 ml</w:t>
            </w:r>
          </w:p>
        </w:tc>
        <w:tc>
          <w:tcPr>
            <w:tcW w:w="1412" w:type="dxa"/>
            <w:tcBorders>
              <w:top w:val="single" w:sz="4" w:space="0" w:color="auto"/>
              <w:left w:val="nil"/>
              <w:bottom w:val="single" w:sz="4" w:space="0" w:color="auto"/>
              <w:right w:val="single" w:sz="4" w:space="0" w:color="auto"/>
            </w:tcBorders>
            <w:tcMar>
              <w:top w:w="13" w:type="dxa"/>
              <w:left w:w="13" w:type="dxa"/>
              <w:bottom w:w="0" w:type="dxa"/>
              <w:right w:w="13" w:type="dxa"/>
            </w:tcMar>
          </w:tcPr>
          <w:p w:rsidR="00145BF4" w:rsidRPr="00732305" w:rsidRDefault="00145BF4" w:rsidP="00573E4B">
            <w:pPr>
              <w:keepNext/>
              <w:spacing w:before="60" w:after="60"/>
              <w:jc w:val="center"/>
              <w:rPr>
                <w:rFonts w:eastAsia="MS Mincho"/>
                <w:b/>
                <w:sz w:val="20"/>
                <w:lang w:eastAsia="ja-JP"/>
              </w:rPr>
            </w:pPr>
            <w:r w:rsidRPr="00732305">
              <w:rPr>
                <w:rFonts w:eastAsia="MS Mincho"/>
                <w:b/>
                <w:sz w:val="20"/>
                <w:lang w:eastAsia="ja-JP"/>
              </w:rPr>
              <w:t>1500 ml </w:t>
            </w:r>
          </w:p>
        </w:tc>
        <w:tc>
          <w:tcPr>
            <w:tcW w:w="1413" w:type="dxa"/>
            <w:tcBorders>
              <w:top w:val="single" w:sz="4" w:space="0" w:color="auto"/>
              <w:left w:val="nil"/>
              <w:bottom w:val="single" w:sz="4" w:space="0" w:color="auto"/>
              <w:right w:val="single" w:sz="4" w:space="0" w:color="auto"/>
            </w:tcBorders>
            <w:tcMar>
              <w:top w:w="13" w:type="dxa"/>
              <w:left w:w="13" w:type="dxa"/>
              <w:bottom w:w="0" w:type="dxa"/>
              <w:right w:w="13" w:type="dxa"/>
            </w:tcMar>
          </w:tcPr>
          <w:p w:rsidR="00145BF4" w:rsidRPr="00732305" w:rsidRDefault="00145BF4" w:rsidP="00573E4B">
            <w:pPr>
              <w:keepNext/>
              <w:spacing w:before="60" w:after="60"/>
              <w:jc w:val="center"/>
              <w:rPr>
                <w:rFonts w:eastAsia="MS Mincho"/>
                <w:b/>
                <w:sz w:val="20"/>
                <w:lang w:eastAsia="ja-JP"/>
              </w:rPr>
            </w:pPr>
            <w:r w:rsidRPr="00732305">
              <w:rPr>
                <w:rFonts w:eastAsia="MS Mincho"/>
                <w:b/>
                <w:sz w:val="20"/>
                <w:lang w:eastAsia="ja-JP"/>
              </w:rPr>
              <w:t>2000 ml</w:t>
            </w:r>
          </w:p>
        </w:tc>
      </w:tr>
      <w:tr w:rsidR="00145BF4" w:rsidRPr="00732305" w:rsidTr="00573E4B">
        <w:trPr>
          <w:trHeight w:val="285"/>
          <w:jc w:val="center"/>
        </w:trPr>
        <w:tc>
          <w:tcPr>
            <w:tcW w:w="3181" w:type="dxa"/>
            <w:tcBorders>
              <w:top w:val="single" w:sz="4" w:space="0" w:color="auto"/>
              <w:left w:val="single" w:sz="4" w:space="0" w:color="auto"/>
              <w:bottom w:val="single" w:sz="4" w:space="0" w:color="auto"/>
              <w:right w:val="single" w:sz="4" w:space="0" w:color="auto"/>
            </w:tcBorders>
            <w:tcMar>
              <w:top w:w="13" w:type="dxa"/>
              <w:left w:w="13" w:type="dxa"/>
              <w:bottom w:w="0" w:type="dxa"/>
              <w:right w:w="13" w:type="dxa"/>
            </w:tcMar>
            <w:vAlign w:val="bottom"/>
          </w:tcPr>
          <w:p w:rsidR="00145BF4" w:rsidRPr="00732305" w:rsidRDefault="00145BF4" w:rsidP="00573E4B">
            <w:pPr>
              <w:spacing w:before="60" w:after="60"/>
              <w:jc w:val="center"/>
              <w:rPr>
                <w:rFonts w:eastAsia="Arial Unicode MS"/>
                <w:sz w:val="20"/>
                <w:lang w:eastAsia="ja-JP"/>
              </w:rPr>
            </w:pPr>
            <w:r w:rsidRPr="00732305">
              <w:rPr>
                <w:sz w:val="20"/>
                <w:lang w:eastAsia="ja-JP"/>
              </w:rPr>
              <w:t>Fedt</w:t>
            </w:r>
          </w:p>
        </w:tc>
        <w:tc>
          <w:tcPr>
            <w:tcW w:w="1272" w:type="dxa"/>
            <w:tcBorders>
              <w:top w:val="single" w:sz="4" w:space="0" w:color="auto"/>
              <w:left w:val="single" w:sz="4" w:space="0" w:color="auto"/>
              <w:bottom w:val="single" w:sz="4" w:space="0" w:color="auto"/>
              <w:right w:val="single" w:sz="4" w:space="0" w:color="auto"/>
            </w:tcBorders>
            <w:vAlign w:val="bottom"/>
          </w:tcPr>
          <w:p w:rsidR="00145BF4" w:rsidRPr="00732305" w:rsidRDefault="00145BF4" w:rsidP="00573E4B">
            <w:pPr>
              <w:spacing w:before="60" w:after="60"/>
              <w:jc w:val="center"/>
              <w:rPr>
                <w:sz w:val="20"/>
                <w:lang w:eastAsia="ja-JP"/>
              </w:rPr>
            </w:pPr>
            <w:r w:rsidRPr="00732305">
              <w:rPr>
                <w:sz w:val="20"/>
                <w:lang w:eastAsia="ja-JP"/>
              </w:rPr>
              <w:t>22,8 g</w:t>
            </w:r>
          </w:p>
        </w:tc>
        <w:tc>
          <w:tcPr>
            <w:tcW w:w="1272"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rsidR="00145BF4" w:rsidRPr="00732305" w:rsidRDefault="00145BF4" w:rsidP="00573E4B">
            <w:pPr>
              <w:spacing w:before="60" w:after="60"/>
              <w:jc w:val="center"/>
              <w:rPr>
                <w:rFonts w:eastAsia="Arial Unicode MS"/>
                <w:sz w:val="20"/>
                <w:lang w:eastAsia="ja-JP"/>
              </w:rPr>
            </w:pPr>
            <w:r w:rsidRPr="00732305">
              <w:rPr>
                <w:sz w:val="20"/>
                <w:lang w:eastAsia="ja-JP"/>
              </w:rPr>
              <w:t>35,0 g</w:t>
            </w:r>
          </w:p>
        </w:tc>
        <w:tc>
          <w:tcPr>
            <w:tcW w:w="1412"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rsidR="00145BF4" w:rsidRPr="00732305" w:rsidRDefault="00145BF4" w:rsidP="00573E4B">
            <w:pPr>
              <w:spacing w:before="60" w:after="60"/>
              <w:jc w:val="center"/>
              <w:rPr>
                <w:rFonts w:eastAsia="Arial Unicode MS"/>
                <w:sz w:val="20"/>
                <w:lang w:eastAsia="ja-JP"/>
              </w:rPr>
            </w:pPr>
            <w:r w:rsidRPr="00732305">
              <w:rPr>
                <w:sz w:val="20"/>
                <w:lang w:eastAsia="ja-JP"/>
              </w:rPr>
              <w:t>52,5 g</w:t>
            </w:r>
          </w:p>
        </w:tc>
        <w:tc>
          <w:tcPr>
            <w:tcW w:w="1413"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rsidR="00145BF4" w:rsidRPr="00732305" w:rsidRDefault="00145BF4" w:rsidP="00573E4B">
            <w:pPr>
              <w:spacing w:before="60" w:after="60"/>
              <w:jc w:val="center"/>
              <w:rPr>
                <w:rFonts w:eastAsia="Arial Unicode MS"/>
                <w:sz w:val="20"/>
                <w:lang w:eastAsia="ja-JP"/>
              </w:rPr>
            </w:pPr>
            <w:r w:rsidRPr="00732305">
              <w:rPr>
                <w:sz w:val="20"/>
                <w:lang w:eastAsia="ja-JP"/>
              </w:rPr>
              <w:t>70 g</w:t>
            </w:r>
          </w:p>
        </w:tc>
      </w:tr>
      <w:tr w:rsidR="00145BF4" w:rsidRPr="00732305" w:rsidTr="00573E4B">
        <w:trPr>
          <w:trHeight w:val="255"/>
          <w:jc w:val="center"/>
        </w:trPr>
        <w:tc>
          <w:tcPr>
            <w:tcW w:w="3181" w:type="dxa"/>
            <w:tcBorders>
              <w:top w:val="single" w:sz="4" w:space="0" w:color="auto"/>
              <w:left w:val="single" w:sz="4" w:space="0" w:color="auto"/>
              <w:bottom w:val="single" w:sz="4" w:space="0" w:color="auto"/>
              <w:right w:val="single" w:sz="4" w:space="0" w:color="auto"/>
            </w:tcBorders>
            <w:tcMar>
              <w:top w:w="13" w:type="dxa"/>
              <w:left w:w="13" w:type="dxa"/>
              <w:bottom w:w="0" w:type="dxa"/>
              <w:right w:w="13" w:type="dxa"/>
            </w:tcMar>
            <w:vAlign w:val="bottom"/>
          </w:tcPr>
          <w:p w:rsidR="00145BF4" w:rsidRPr="00732305" w:rsidRDefault="00145BF4" w:rsidP="00573E4B">
            <w:pPr>
              <w:spacing w:before="60" w:after="60"/>
              <w:jc w:val="center"/>
              <w:rPr>
                <w:rFonts w:eastAsia="Arial Unicode MS"/>
                <w:sz w:val="20"/>
                <w:lang w:eastAsia="ja-JP"/>
              </w:rPr>
            </w:pPr>
            <w:r w:rsidRPr="00732305">
              <w:rPr>
                <w:sz w:val="20"/>
                <w:lang w:eastAsia="ja-JP"/>
              </w:rPr>
              <w:t xml:space="preserve">Aminosyrer </w:t>
            </w:r>
          </w:p>
        </w:tc>
        <w:tc>
          <w:tcPr>
            <w:tcW w:w="1272" w:type="dxa"/>
            <w:tcBorders>
              <w:top w:val="single" w:sz="4" w:space="0" w:color="auto"/>
              <w:left w:val="single" w:sz="4" w:space="0" w:color="auto"/>
              <w:bottom w:val="single" w:sz="4" w:space="0" w:color="auto"/>
              <w:right w:val="single" w:sz="4" w:space="0" w:color="auto"/>
            </w:tcBorders>
            <w:vAlign w:val="bottom"/>
          </w:tcPr>
          <w:p w:rsidR="00145BF4" w:rsidRPr="00732305" w:rsidRDefault="00145BF4" w:rsidP="00573E4B">
            <w:pPr>
              <w:spacing w:before="60" w:after="60"/>
              <w:jc w:val="center"/>
              <w:rPr>
                <w:sz w:val="20"/>
                <w:lang w:eastAsia="ja-JP"/>
              </w:rPr>
            </w:pPr>
            <w:r w:rsidRPr="00732305">
              <w:rPr>
                <w:sz w:val="20"/>
                <w:lang w:eastAsia="ja-JP"/>
              </w:rPr>
              <w:t>49,4 g</w:t>
            </w:r>
          </w:p>
        </w:tc>
        <w:tc>
          <w:tcPr>
            <w:tcW w:w="1272"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rsidR="00145BF4" w:rsidRPr="00732305" w:rsidRDefault="00145BF4" w:rsidP="00573E4B">
            <w:pPr>
              <w:spacing w:before="60" w:after="60"/>
              <w:jc w:val="center"/>
              <w:rPr>
                <w:rFonts w:eastAsia="Arial Unicode MS"/>
                <w:sz w:val="20"/>
                <w:lang w:eastAsia="ja-JP"/>
              </w:rPr>
            </w:pPr>
            <w:r w:rsidRPr="00732305">
              <w:rPr>
                <w:sz w:val="20"/>
                <w:lang w:eastAsia="ja-JP"/>
              </w:rPr>
              <w:t>75,9 g</w:t>
            </w:r>
          </w:p>
        </w:tc>
        <w:tc>
          <w:tcPr>
            <w:tcW w:w="1412"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rsidR="00145BF4" w:rsidRPr="00732305" w:rsidRDefault="00145BF4" w:rsidP="00573E4B">
            <w:pPr>
              <w:spacing w:before="60" w:after="60"/>
              <w:jc w:val="center"/>
              <w:rPr>
                <w:rFonts w:eastAsia="Arial Unicode MS"/>
                <w:sz w:val="20"/>
                <w:lang w:eastAsia="ja-JP"/>
              </w:rPr>
            </w:pPr>
            <w:r w:rsidRPr="00732305">
              <w:rPr>
                <w:sz w:val="20"/>
                <w:lang w:eastAsia="ja-JP"/>
              </w:rPr>
              <w:t>113,9 g</w:t>
            </w:r>
          </w:p>
        </w:tc>
        <w:tc>
          <w:tcPr>
            <w:tcW w:w="1413"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rsidR="00145BF4" w:rsidRPr="00732305" w:rsidRDefault="00145BF4" w:rsidP="00573E4B">
            <w:pPr>
              <w:spacing w:before="60" w:after="60"/>
              <w:jc w:val="center"/>
              <w:rPr>
                <w:rFonts w:eastAsia="Arial Unicode MS"/>
                <w:sz w:val="20"/>
                <w:lang w:eastAsia="ja-JP"/>
              </w:rPr>
            </w:pPr>
            <w:r w:rsidRPr="00732305">
              <w:rPr>
                <w:sz w:val="20"/>
                <w:lang w:eastAsia="ja-JP"/>
              </w:rPr>
              <w:t>151,9 g</w:t>
            </w:r>
          </w:p>
        </w:tc>
      </w:tr>
      <w:tr w:rsidR="00145BF4" w:rsidRPr="00732305" w:rsidTr="00573E4B">
        <w:trPr>
          <w:trHeight w:val="255"/>
          <w:jc w:val="center"/>
        </w:trPr>
        <w:tc>
          <w:tcPr>
            <w:tcW w:w="3181" w:type="dxa"/>
            <w:tcBorders>
              <w:top w:val="single" w:sz="4" w:space="0" w:color="auto"/>
              <w:left w:val="single" w:sz="4" w:space="0" w:color="auto"/>
              <w:bottom w:val="single" w:sz="4" w:space="0" w:color="auto"/>
              <w:right w:val="single" w:sz="4" w:space="0" w:color="auto"/>
            </w:tcBorders>
            <w:tcMar>
              <w:top w:w="13" w:type="dxa"/>
              <w:left w:w="13" w:type="dxa"/>
              <w:bottom w:w="0" w:type="dxa"/>
              <w:right w:w="13" w:type="dxa"/>
            </w:tcMar>
            <w:vAlign w:val="bottom"/>
          </w:tcPr>
          <w:p w:rsidR="00145BF4" w:rsidRPr="00732305" w:rsidRDefault="00145BF4" w:rsidP="00573E4B">
            <w:pPr>
              <w:spacing w:before="60" w:after="60"/>
              <w:jc w:val="center"/>
              <w:rPr>
                <w:rFonts w:eastAsia="Arial Unicode MS"/>
                <w:sz w:val="20"/>
                <w:lang w:eastAsia="ja-JP"/>
              </w:rPr>
            </w:pPr>
            <w:r w:rsidRPr="00732305">
              <w:rPr>
                <w:sz w:val="20"/>
                <w:lang w:eastAsia="ja-JP"/>
              </w:rPr>
              <w:t xml:space="preserve">Nitrogen </w:t>
            </w:r>
          </w:p>
        </w:tc>
        <w:tc>
          <w:tcPr>
            <w:tcW w:w="1272" w:type="dxa"/>
            <w:tcBorders>
              <w:top w:val="single" w:sz="4" w:space="0" w:color="auto"/>
              <w:left w:val="single" w:sz="4" w:space="0" w:color="auto"/>
              <w:bottom w:val="single" w:sz="4" w:space="0" w:color="auto"/>
              <w:right w:val="single" w:sz="4" w:space="0" w:color="auto"/>
            </w:tcBorders>
            <w:vAlign w:val="bottom"/>
          </w:tcPr>
          <w:p w:rsidR="00145BF4" w:rsidRPr="00732305" w:rsidRDefault="00145BF4" w:rsidP="00573E4B">
            <w:pPr>
              <w:spacing w:before="60" w:after="60"/>
              <w:jc w:val="center"/>
              <w:rPr>
                <w:sz w:val="20"/>
                <w:lang w:eastAsia="ja-JP"/>
              </w:rPr>
            </w:pPr>
            <w:r w:rsidRPr="00732305">
              <w:rPr>
                <w:sz w:val="20"/>
                <w:lang w:eastAsia="ja-JP"/>
              </w:rPr>
              <w:t>7,8 g</w:t>
            </w:r>
          </w:p>
        </w:tc>
        <w:tc>
          <w:tcPr>
            <w:tcW w:w="1272"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rsidR="00145BF4" w:rsidRPr="00732305" w:rsidRDefault="00145BF4" w:rsidP="00573E4B">
            <w:pPr>
              <w:spacing w:before="60" w:after="60"/>
              <w:jc w:val="center"/>
              <w:rPr>
                <w:rFonts w:eastAsia="Arial Unicode MS"/>
                <w:sz w:val="20"/>
                <w:lang w:eastAsia="ja-JP"/>
              </w:rPr>
            </w:pPr>
            <w:r w:rsidRPr="00732305">
              <w:rPr>
                <w:sz w:val="20"/>
                <w:lang w:eastAsia="ja-JP"/>
              </w:rPr>
              <w:t>12,0 g</w:t>
            </w:r>
          </w:p>
        </w:tc>
        <w:tc>
          <w:tcPr>
            <w:tcW w:w="1412"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rsidR="00145BF4" w:rsidRPr="00732305" w:rsidRDefault="00145BF4" w:rsidP="00573E4B">
            <w:pPr>
              <w:spacing w:before="60" w:after="60"/>
              <w:jc w:val="center"/>
              <w:rPr>
                <w:rFonts w:eastAsia="Arial Unicode MS"/>
                <w:sz w:val="20"/>
                <w:lang w:eastAsia="ja-JP"/>
              </w:rPr>
            </w:pPr>
            <w:r w:rsidRPr="00732305">
              <w:rPr>
                <w:sz w:val="20"/>
                <w:lang w:eastAsia="ja-JP"/>
              </w:rPr>
              <w:t>18,0 g</w:t>
            </w:r>
          </w:p>
        </w:tc>
        <w:tc>
          <w:tcPr>
            <w:tcW w:w="1413"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rsidR="00145BF4" w:rsidRPr="00732305" w:rsidRDefault="00145BF4" w:rsidP="00573E4B">
            <w:pPr>
              <w:spacing w:before="60" w:after="60"/>
              <w:jc w:val="center"/>
              <w:rPr>
                <w:rFonts w:eastAsia="Arial Unicode MS"/>
                <w:sz w:val="20"/>
                <w:lang w:eastAsia="ja-JP"/>
              </w:rPr>
            </w:pPr>
            <w:r w:rsidRPr="00732305">
              <w:rPr>
                <w:sz w:val="20"/>
                <w:lang w:eastAsia="ja-JP"/>
              </w:rPr>
              <w:t>24,0 g</w:t>
            </w:r>
          </w:p>
        </w:tc>
      </w:tr>
      <w:tr w:rsidR="00145BF4" w:rsidRPr="00732305" w:rsidTr="00573E4B">
        <w:trPr>
          <w:trHeight w:val="255"/>
          <w:jc w:val="center"/>
        </w:trPr>
        <w:tc>
          <w:tcPr>
            <w:tcW w:w="3181" w:type="dxa"/>
            <w:tcBorders>
              <w:top w:val="single" w:sz="4" w:space="0" w:color="auto"/>
              <w:left w:val="single" w:sz="4" w:space="0" w:color="auto"/>
              <w:bottom w:val="single" w:sz="4" w:space="0" w:color="auto"/>
              <w:right w:val="single" w:sz="4" w:space="0" w:color="auto"/>
            </w:tcBorders>
            <w:tcMar>
              <w:top w:w="13" w:type="dxa"/>
              <w:left w:w="13" w:type="dxa"/>
              <w:bottom w:w="0" w:type="dxa"/>
              <w:right w:w="13" w:type="dxa"/>
            </w:tcMar>
            <w:vAlign w:val="bottom"/>
          </w:tcPr>
          <w:p w:rsidR="00145BF4" w:rsidRPr="00732305" w:rsidRDefault="00145BF4" w:rsidP="00573E4B">
            <w:pPr>
              <w:spacing w:before="60" w:after="60"/>
              <w:jc w:val="center"/>
              <w:rPr>
                <w:rFonts w:eastAsia="Arial Unicode MS"/>
                <w:sz w:val="20"/>
                <w:lang w:eastAsia="ja-JP"/>
              </w:rPr>
            </w:pPr>
            <w:proofErr w:type="spellStart"/>
            <w:r w:rsidRPr="00732305">
              <w:rPr>
                <w:sz w:val="20"/>
                <w:lang w:eastAsia="ja-JP"/>
              </w:rPr>
              <w:t>Glucose</w:t>
            </w:r>
            <w:proofErr w:type="spellEnd"/>
            <w:r w:rsidRPr="00732305">
              <w:rPr>
                <w:sz w:val="20"/>
                <w:lang w:eastAsia="ja-JP"/>
              </w:rPr>
              <w:t xml:space="preserve"> </w:t>
            </w:r>
          </w:p>
        </w:tc>
        <w:tc>
          <w:tcPr>
            <w:tcW w:w="1272" w:type="dxa"/>
            <w:tcBorders>
              <w:top w:val="single" w:sz="4" w:space="0" w:color="auto"/>
              <w:left w:val="single" w:sz="4" w:space="0" w:color="auto"/>
              <w:bottom w:val="single" w:sz="4" w:space="0" w:color="auto"/>
              <w:right w:val="single" w:sz="4" w:space="0" w:color="auto"/>
            </w:tcBorders>
            <w:vAlign w:val="bottom"/>
          </w:tcPr>
          <w:p w:rsidR="00145BF4" w:rsidRPr="00732305" w:rsidRDefault="00145BF4" w:rsidP="00573E4B">
            <w:pPr>
              <w:spacing w:before="60" w:after="60"/>
              <w:jc w:val="center"/>
              <w:rPr>
                <w:sz w:val="20"/>
                <w:lang w:eastAsia="ja-JP"/>
              </w:rPr>
            </w:pPr>
            <w:r w:rsidRPr="00732305">
              <w:rPr>
                <w:sz w:val="20"/>
                <w:lang w:eastAsia="ja-JP"/>
              </w:rPr>
              <w:t>47,7 g</w:t>
            </w:r>
          </w:p>
        </w:tc>
        <w:tc>
          <w:tcPr>
            <w:tcW w:w="1272"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rsidR="00145BF4" w:rsidRPr="00732305" w:rsidRDefault="00145BF4" w:rsidP="00573E4B">
            <w:pPr>
              <w:spacing w:before="60" w:after="60"/>
              <w:jc w:val="center"/>
              <w:rPr>
                <w:rFonts w:eastAsia="Arial Unicode MS"/>
                <w:sz w:val="20"/>
                <w:lang w:eastAsia="ja-JP"/>
              </w:rPr>
            </w:pPr>
            <w:r w:rsidRPr="00732305">
              <w:rPr>
                <w:sz w:val="20"/>
                <w:lang w:eastAsia="ja-JP"/>
              </w:rPr>
              <w:t>73,3 g</w:t>
            </w:r>
          </w:p>
        </w:tc>
        <w:tc>
          <w:tcPr>
            <w:tcW w:w="1412"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rsidR="00145BF4" w:rsidRPr="00732305" w:rsidRDefault="00145BF4" w:rsidP="00573E4B">
            <w:pPr>
              <w:spacing w:before="60" w:after="60"/>
              <w:jc w:val="center"/>
              <w:rPr>
                <w:rFonts w:eastAsia="Arial Unicode MS"/>
                <w:sz w:val="20"/>
                <w:lang w:eastAsia="ja-JP"/>
              </w:rPr>
            </w:pPr>
            <w:r w:rsidRPr="00732305">
              <w:rPr>
                <w:sz w:val="20"/>
                <w:lang w:eastAsia="ja-JP"/>
              </w:rPr>
              <w:t>110 g</w:t>
            </w:r>
          </w:p>
        </w:tc>
        <w:tc>
          <w:tcPr>
            <w:tcW w:w="1413"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rsidR="00145BF4" w:rsidRPr="00732305" w:rsidRDefault="00145BF4" w:rsidP="00573E4B">
            <w:pPr>
              <w:spacing w:before="60" w:after="60"/>
              <w:jc w:val="center"/>
              <w:rPr>
                <w:rFonts w:eastAsia="Arial Unicode MS"/>
                <w:sz w:val="20"/>
                <w:lang w:eastAsia="ja-JP"/>
              </w:rPr>
            </w:pPr>
            <w:r w:rsidRPr="00732305">
              <w:rPr>
                <w:sz w:val="20"/>
                <w:lang w:eastAsia="ja-JP"/>
              </w:rPr>
              <w:t>146,7 g</w:t>
            </w:r>
          </w:p>
        </w:tc>
      </w:tr>
      <w:tr w:rsidR="00145BF4" w:rsidRPr="00732305" w:rsidTr="00573E4B">
        <w:trPr>
          <w:trHeight w:val="255"/>
          <w:jc w:val="center"/>
        </w:trPr>
        <w:tc>
          <w:tcPr>
            <w:tcW w:w="3181" w:type="dxa"/>
            <w:tcBorders>
              <w:top w:val="single" w:sz="4" w:space="0" w:color="auto"/>
              <w:left w:val="single" w:sz="4" w:space="0" w:color="auto"/>
              <w:bottom w:val="single" w:sz="4" w:space="0" w:color="auto"/>
              <w:right w:val="single" w:sz="4" w:space="0" w:color="auto"/>
            </w:tcBorders>
            <w:tcMar>
              <w:top w:w="13" w:type="dxa"/>
              <w:left w:w="13" w:type="dxa"/>
              <w:bottom w:w="0" w:type="dxa"/>
              <w:right w:w="13" w:type="dxa"/>
            </w:tcMar>
            <w:vAlign w:val="bottom"/>
          </w:tcPr>
          <w:p w:rsidR="00145BF4" w:rsidRPr="00732305" w:rsidRDefault="00145BF4" w:rsidP="00573E4B">
            <w:pPr>
              <w:spacing w:before="60" w:after="60"/>
              <w:jc w:val="center"/>
              <w:rPr>
                <w:rFonts w:eastAsia="Arial Unicode MS"/>
                <w:sz w:val="20"/>
                <w:lang w:eastAsia="ja-JP"/>
              </w:rPr>
            </w:pPr>
            <w:r w:rsidRPr="00732305">
              <w:rPr>
                <w:sz w:val="20"/>
                <w:lang w:eastAsia="ja-JP"/>
              </w:rPr>
              <w:t>Energi:</w:t>
            </w:r>
          </w:p>
        </w:tc>
        <w:tc>
          <w:tcPr>
            <w:tcW w:w="1272" w:type="dxa"/>
            <w:tcBorders>
              <w:top w:val="single" w:sz="4" w:space="0" w:color="auto"/>
              <w:left w:val="single" w:sz="4" w:space="0" w:color="auto"/>
              <w:bottom w:val="single" w:sz="4" w:space="0" w:color="auto"/>
              <w:right w:val="single" w:sz="4" w:space="0" w:color="auto"/>
            </w:tcBorders>
            <w:vAlign w:val="bottom"/>
          </w:tcPr>
          <w:p w:rsidR="00145BF4" w:rsidRPr="00732305" w:rsidRDefault="00145BF4" w:rsidP="00573E4B">
            <w:pPr>
              <w:spacing w:before="60" w:after="60"/>
              <w:jc w:val="center"/>
              <w:rPr>
                <w:rFonts w:eastAsia="Arial Unicode MS"/>
                <w:sz w:val="20"/>
                <w:lang w:eastAsia="ja-JP"/>
              </w:rPr>
            </w:pPr>
          </w:p>
        </w:tc>
        <w:tc>
          <w:tcPr>
            <w:tcW w:w="1272"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rsidR="00145BF4" w:rsidRPr="00732305" w:rsidRDefault="00145BF4" w:rsidP="00573E4B">
            <w:pPr>
              <w:spacing w:before="60" w:after="60"/>
              <w:jc w:val="center"/>
              <w:rPr>
                <w:rFonts w:eastAsia="Arial Unicode MS"/>
                <w:sz w:val="20"/>
                <w:lang w:eastAsia="ja-JP"/>
              </w:rPr>
            </w:pPr>
          </w:p>
        </w:tc>
        <w:tc>
          <w:tcPr>
            <w:tcW w:w="1412"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rsidR="00145BF4" w:rsidRPr="00732305" w:rsidRDefault="00145BF4" w:rsidP="00573E4B">
            <w:pPr>
              <w:spacing w:before="60" w:after="60"/>
              <w:jc w:val="center"/>
              <w:rPr>
                <w:rFonts w:eastAsia="Arial Unicode MS"/>
                <w:sz w:val="20"/>
                <w:lang w:eastAsia="ja-JP"/>
              </w:rPr>
            </w:pPr>
          </w:p>
        </w:tc>
        <w:tc>
          <w:tcPr>
            <w:tcW w:w="1413"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rsidR="00145BF4" w:rsidRPr="00732305" w:rsidRDefault="00145BF4" w:rsidP="00573E4B">
            <w:pPr>
              <w:spacing w:before="60" w:after="60"/>
              <w:jc w:val="center"/>
              <w:rPr>
                <w:rFonts w:eastAsia="Arial Unicode MS"/>
                <w:sz w:val="20"/>
                <w:lang w:eastAsia="ja-JP"/>
              </w:rPr>
            </w:pPr>
          </w:p>
        </w:tc>
      </w:tr>
      <w:tr w:rsidR="00145BF4" w:rsidRPr="00732305" w:rsidTr="00573E4B">
        <w:trPr>
          <w:trHeight w:val="255"/>
          <w:jc w:val="center"/>
        </w:trPr>
        <w:tc>
          <w:tcPr>
            <w:tcW w:w="3181" w:type="dxa"/>
            <w:tcBorders>
              <w:top w:val="single" w:sz="4" w:space="0" w:color="auto"/>
              <w:left w:val="single" w:sz="4" w:space="0" w:color="auto"/>
              <w:bottom w:val="single" w:sz="4" w:space="0" w:color="auto"/>
              <w:right w:val="single" w:sz="4" w:space="0" w:color="auto"/>
            </w:tcBorders>
            <w:tcMar>
              <w:top w:w="13" w:type="dxa"/>
              <w:left w:w="13" w:type="dxa"/>
              <w:bottom w:w="0" w:type="dxa"/>
              <w:right w:w="13" w:type="dxa"/>
            </w:tcMar>
            <w:vAlign w:val="bottom"/>
          </w:tcPr>
          <w:p w:rsidR="00145BF4" w:rsidRPr="00732305" w:rsidRDefault="00145BF4" w:rsidP="00573E4B">
            <w:pPr>
              <w:spacing w:before="60" w:after="60"/>
              <w:jc w:val="center"/>
              <w:rPr>
                <w:rFonts w:eastAsia="Arial Unicode MS"/>
                <w:sz w:val="20"/>
                <w:lang w:eastAsia="ja-JP"/>
              </w:rPr>
            </w:pPr>
            <w:r w:rsidRPr="00732305">
              <w:rPr>
                <w:sz w:val="20"/>
                <w:lang w:eastAsia="ja-JP"/>
              </w:rPr>
              <w:t xml:space="preserve">Kalorier i alt ca. </w:t>
            </w:r>
          </w:p>
        </w:tc>
        <w:tc>
          <w:tcPr>
            <w:tcW w:w="1272" w:type="dxa"/>
            <w:tcBorders>
              <w:top w:val="single" w:sz="4" w:space="0" w:color="auto"/>
              <w:left w:val="single" w:sz="4" w:space="0" w:color="auto"/>
              <w:bottom w:val="single" w:sz="4" w:space="0" w:color="auto"/>
              <w:right w:val="single" w:sz="4" w:space="0" w:color="auto"/>
            </w:tcBorders>
          </w:tcPr>
          <w:p w:rsidR="00145BF4" w:rsidRPr="00732305" w:rsidRDefault="00145BF4" w:rsidP="00573E4B">
            <w:pPr>
              <w:spacing w:before="60" w:after="60"/>
              <w:jc w:val="center"/>
              <w:rPr>
                <w:sz w:val="20"/>
                <w:lang w:eastAsia="ja-JP"/>
              </w:rPr>
            </w:pPr>
            <w:r w:rsidRPr="00732305">
              <w:rPr>
                <w:sz w:val="20"/>
                <w:lang w:eastAsia="ja-JP"/>
              </w:rPr>
              <w:t>620 kcal</w:t>
            </w:r>
          </w:p>
        </w:tc>
        <w:tc>
          <w:tcPr>
            <w:tcW w:w="1272"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rsidR="00145BF4" w:rsidRPr="00732305" w:rsidRDefault="00145BF4" w:rsidP="00573E4B">
            <w:pPr>
              <w:spacing w:before="60" w:after="60"/>
              <w:jc w:val="center"/>
              <w:rPr>
                <w:rFonts w:eastAsia="Arial Unicode MS"/>
                <w:sz w:val="20"/>
                <w:lang w:eastAsia="ja-JP"/>
              </w:rPr>
            </w:pPr>
            <w:r w:rsidRPr="00732305">
              <w:rPr>
                <w:sz w:val="20"/>
                <w:lang w:eastAsia="ja-JP"/>
              </w:rPr>
              <w:t>950 kcal</w:t>
            </w:r>
          </w:p>
        </w:tc>
        <w:tc>
          <w:tcPr>
            <w:tcW w:w="1412"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rsidR="00145BF4" w:rsidRPr="00732305" w:rsidRDefault="00145BF4" w:rsidP="00573E4B">
            <w:pPr>
              <w:spacing w:before="60" w:after="60"/>
              <w:jc w:val="center"/>
              <w:rPr>
                <w:rFonts w:eastAsia="Arial Unicode MS"/>
                <w:sz w:val="20"/>
                <w:lang w:eastAsia="ja-JP"/>
              </w:rPr>
            </w:pPr>
            <w:r w:rsidRPr="00732305">
              <w:rPr>
                <w:sz w:val="20"/>
                <w:lang w:eastAsia="ja-JP"/>
              </w:rPr>
              <w:t>1420 kcal</w:t>
            </w:r>
          </w:p>
        </w:tc>
        <w:tc>
          <w:tcPr>
            <w:tcW w:w="1413"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rsidR="00145BF4" w:rsidRPr="00732305" w:rsidRDefault="00145BF4" w:rsidP="00573E4B">
            <w:pPr>
              <w:spacing w:before="60" w:after="60"/>
              <w:jc w:val="center"/>
              <w:rPr>
                <w:rFonts w:eastAsia="Arial Unicode MS"/>
                <w:sz w:val="20"/>
                <w:lang w:eastAsia="ja-JP"/>
              </w:rPr>
            </w:pPr>
            <w:r w:rsidRPr="00732305">
              <w:rPr>
                <w:sz w:val="20"/>
                <w:lang w:eastAsia="ja-JP"/>
              </w:rPr>
              <w:t>1900 kcal</w:t>
            </w:r>
          </w:p>
        </w:tc>
      </w:tr>
      <w:tr w:rsidR="00145BF4" w:rsidRPr="00732305" w:rsidTr="00573E4B">
        <w:trPr>
          <w:trHeight w:val="255"/>
          <w:jc w:val="center"/>
        </w:trPr>
        <w:tc>
          <w:tcPr>
            <w:tcW w:w="3181" w:type="dxa"/>
            <w:tcBorders>
              <w:top w:val="single" w:sz="4" w:space="0" w:color="auto"/>
              <w:left w:val="single" w:sz="4" w:space="0" w:color="auto"/>
              <w:bottom w:val="single" w:sz="4" w:space="0" w:color="auto"/>
              <w:right w:val="single" w:sz="4" w:space="0" w:color="auto"/>
            </w:tcBorders>
            <w:tcMar>
              <w:top w:w="13" w:type="dxa"/>
              <w:left w:w="13" w:type="dxa"/>
              <w:bottom w:w="0" w:type="dxa"/>
              <w:right w:w="13" w:type="dxa"/>
            </w:tcMar>
            <w:vAlign w:val="bottom"/>
          </w:tcPr>
          <w:p w:rsidR="00145BF4" w:rsidRPr="00732305" w:rsidRDefault="00145BF4" w:rsidP="00573E4B">
            <w:pPr>
              <w:spacing w:before="60" w:after="60"/>
              <w:jc w:val="center"/>
              <w:rPr>
                <w:rFonts w:eastAsia="Arial Unicode MS"/>
                <w:sz w:val="20"/>
                <w:lang w:eastAsia="ja-JP"/>
              </w:rPr>
            </w:pPr>
            <w:r w:rsidRPr="00732305">
              <w:rPr>
                <w:sz w:val="20"/>
                <w:lang w:eastAsia="ja-JP"/>
              </w:rPr>
              <w:t>Non-proteinkalorier</w:t>
            </w:r>
          </w:p>
        </w:tc>
        <w:tc>
          <w:tcPr>
            <w:tcW w:w="1272" w:type="dxa"/>
            <w:tcBorders>
              <w:top w:val="single" w:sz="4" w:space="0" w:color="auto"/>
              <w:left w:val="single" w:sz="4" w:space="0" w:color="auto"/>
              <w:bottom w:val="single" w:sz="4" w:space="0" w:color="auto"/>
              <w:right w:val="single" w:sz="4" w:space="0" w:color="auto"/>
            </w:tcBorders>
          </w:tcPr>
          <w:p w:rsidR="00145BF4" w:rsidRPr="00732305" w:rsidRDefault="00145BF4" w:rsidP="00573E4B">
            <w:pPr>
              <w:spacing w:before="60" w:after="60"/>
              <w:jc w:val="center"/>
              <w:rPr>
                <w:sz w:val="20"/>
                <w:lang w:eastAsia="ja-JP"/>
              </w:rPr>
            </w:pPr>
            <w:r w:rsidRPr="00732305">
              <w:rPr>
                <w:sz w:val="20"/>
                <w:lang w:eastAsia="ja-JP"/>
              </w:rPr>
              <w:t>420 kcal</w:t>
            </w:r>
          </w:p>
        </w:tc>
        <w:tc>
          <w:tcPr>
            <w:tcW w:w="1272"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rsidR="00145BF4" w:rsidRPr="00732305" w:rsidRDefault="00145BF4" w:rsidP="00573E4B">
            <w:pPr>
              <w:spacing w:before="60" w:after="60"/>
              <w:jc w:val="center"/>
              <w:rPr>
                <w:rFonts w:eastAsia="Arial Unicode MS"/>
                <w:sz w:val="20"/>
                <w:lang w:eastAsia="ja-JP"/>
              </w:rPr>
            </w:pPr>
            <w:r w:rsidRPr="00732305">
              <w:rPr>
                <w:sz w:val="20"/>
                <w:lang w:eastAsia="ja-JP"/>
              </w:rPr>
              <w:t>640 kcal</w:t>
            </w:r>
          </w:p>
        </w:tc>
        <w:tc>
          <w:tcPr>
            <w:tcW w:w="1412"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rsidR="00145BF4" w:rsidRPr="00732305" w:rsidRDefault="00145BF4" w:rsidP="00573E4B">
            <w:pPr>
              <w:spacing w:before="60" w:after="60"/>
              <w:jc w:val="center"/>
              <w:rPr>
                <w:rFonts w:eastAsia="Arial Unicode MS"/>
                <w:sz w:val="20"/>
                <w:lang w:eastAsia="ja-JP"/>
              </w:rPr>
            </w:pPr>
            <w:r w:rsidRPr="00732305">
              <w:rPr>
                <w:sz w:val="20"/>
                <w:lang w:eastAsia="ja-JP"/>
              </w:rPr>
              <w:t>960 kcal</w:t>
            </w:r>
          </w:p>
        </w:tc>
        <w:tc>
          <w:tcPr>
            <w:tcW w:w="1413"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rsidR="00145BF4" w:rsidRPr="00732305" w:rsidRDefault="00145BF4" w:rsidP="00573E4B">
            <w:pPr>
              <w:spacing w:before="60" w:after="60"/>
              <w:jc w:val="center"/>
              <w:rPr>
                <w:rFonts w:eastAsia="Arial Unicode MS"/>
                <w:sz w:val="20"/>
                <w:lang w:eastAsia="ja-JP"/>
              </w:rPr>
            </w:pPr>
            <w:r w:rsidRPr="00732305">
              <w:rPr>
                <w:sz w:val="20"/>
                <w:lang w:eastAsia="ja-JP"/>
              </w:rPr>
              <w:t>1280 kcal</w:t>
            </w:r>
          </w:p>
        </w:tc>
      </w:tr>
      <w:tr w:rsidR="00145BF4" w:rsidRPr="00732305" w:rsidTr="00573E4B">
        <w:trPr>
          <w:trHeight w:val="255"/>
          <w:jc w:val="center"/>
        </w:trPr>
        <w:tc>
          <w:tcPr>
            <w:tcW w:w="3181" w:type="dxa"/>
            <w:tcBorders>
              <w:top w:val="single" w:sz="4" w:space="0" w:color="auto"/>
              <w:left w:val="single" w:sz="4" w:space="0" w:color="auto"/>
              <w:bottom w:val="single" w:sz="4" w:space="0" w:color="auto"/>
              <w:right w:val="single" w:sz="4" w:space="0" w:color="auto"/>
            </w:tcBorders>
            <w:tcMar>
              <w:top w:w="13" w:type="dxa"/>
              <w:left w:w="13" w:type="dxa"/>
              <w:bottom w:w="0" w:type="dxa"/>
              <w:right w:w="13" w:type="dxa"/>
            </w:tcMar>
            <w:vAlign w:val="bottom"/>
          </w:tcPr>
          <w:p w:rsidR="00145BF4" w:rsidRPr="00732305" w:rsidRDefault="00145BF4" w:rsidP="00573E4B">
            <w:pPr>
              <w:spacing w:before="60" w:after="60"/>
              <w:jc w:val="center"/>
              <w:rPr>
                <w:rFonts w:eastAsia="Arial Unicode MS"/>
                <w:sz w:val="20"/>
                <w:lang w:eastAsia="ja-JP"/>
              </w:rPr>
            </w:pPr>
            <w:proofErr w:type="spellStart"/>
            <w:r w:rsidRPr="00732305">
              <w:rPr>
                <w:sz w:val="20"/>
                <w:lang w:eastAsia="ja-JP"/>
              </w:rPr>
              <w:t>Glucosekalorier</w:t>
            </w:r>
            <w:proofErr w:type="spellEnd"/>
            <w:r w:rsidRPr="00732305">
              <w:rPr>
                <w:sz w:val="20"/>
                <w:lang w:eastAsia="ja-JP"/>
              </w:rPr>
              <w:t xml:space="preserve"> </w:t>
            </w:r>
          </w:p>
        </w:tc>
        <w:tc>
          <w:tcPr>
            <w:tcW w:w="1272" w:type="dxa"/>
            <w:tcBorders>
              <w:top w:val="single" w:sz="4" w:space="0" w:color="auto"/>
              <w:left w:val="single" w:sz="4" w:space="0" w:color="auto"/>
              <w:bottom w:val="single" w:sz="4" w:space="0" w:color="auto"/>
              <w:right w:val="single" w:sz="4" w:space="0" w:color="auto"/>
            </w:tcBorders>
          </w:tcPr>
          <w:p w:rsidR="00145BF4" w:rsidRPr="00732305" w:rsidRDefault="00145BF4" w:rsidP="00573E4B">
            <w:pPr>
              <w:spacing w:before="60" w:after="60"/>
              <w:jc w:val="center"/>
              <w:rPr>
                <w:sz w:val="20"/>
                <w:lang w:eastAsia="ja-JP"/>
              </w:rPr>
            </w:pPr>
            <w:r w:rsidRPr="00732305">
              <w:rPr>
                <w:sz w:val="20"/>
                <w:lang w:eastAsia="ja-JP"/>
              </w:rPr>
              <w:t>190 kcal</w:t>
            </w:r>
          </w:p>
        </w:tc>
        <w:tc>
          <w:tcPr>
            <w:tcW w:w="1272"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rsidR="00145BF4" w:rsidRPr="00732305" w:rsidRDefault="00145BF4" w:rsidP="00573E4B">
            <w:pPr>
              <w:spacing w:before="60" w:after="60"/>
              <w:jc w:val="center"/>
              <w:rPr>
                <w:rFonts w:eastAsia="Arial Unicode MS"/>
                <w:sz w:val="20"/>
                <w:lang w:eastAsia="ja-JP"/>
              </w:rPr>
            </w:pPr>
            <w:r w:rsidRPr="00732305">
              <w:rPr>
                <w:sz w:val="20"/>
                <w:lang w:eastAsia="ja-JP"/>
              </w:rPr>
              <w:t>290 kcal</w:t>
            </w:r>
          </w:p>
        </w:tc>
        <w:tc>
          <w:tcPr>
            <w:tcW w:w="1412"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rsidR="00145BF4" w:rsidRPr="00732305" w:rsidRDefault="00145BF4" w:rsidP="00573E4B">
            <w:pPr>
              <w:spacing w:before="60" w:after="60"/>
              <w:jc w:val="center"/>
              <w:rPr>
                <w:rFonts w:eastAsia="Arial Unicode MS"/>
                <w:sz w:val="20"/>
                <w:lang w:eastAsia="ja-JP"/>
              </w:rPr>
            </w:pPr>
            <w:r w:rsidRPr="00732305">
              <w:rPr>
                <w:sz w:val="20"/>
                <w:lang w:eastAsia="ja-JP"/>
              </w:rPr>
              <w:t>430 kcal</w:t>
            </w:r>
          </w:p>
        </w:tc>
        <w:tc>
          <w:tcPr>
            <w:tcW w:w="1413"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rsidR="00145BF4" w:rsidRPr="00732305" w:rsidRDefault="00145BF4" w:rsidP="00573E4B">
            <w:pPr>
              <w:spacing w:before="60" w:after="60"/>
              <w:jc w:val="center"/>
              <w:rPr>
                <w:sz w:val="20"/>
                <w:lang w:eastAsia="ja-JP"/>
              </w:rPr>
            </w:pPr>
            <w:r w:rsidRPr="00732305">
              <w:rPr>
                <w:sz w:val="20"/>
                <w:lang w:eastAsia="ja-JP"/>
              </w:rPr>
              <w:t>580 kcal</w:t>
            </w:r>
          </w:p>
        </w:tc>
      </w:tr>
      <w:tr w:rsidR="00145BF4" w:rsidRPr="00732305" w:rsidTr="00573E4B">
        <w:trPr>
          <w:trHeight w:val="285"/>
          <w:jc w:val="center"/>
        </w:trPr>
        <w:tc>
          <w:tcPr>
            <w:tcW w:w="3181" w:type="dxa"/>
            <w:tcBorders>
              <w:top w:val="single" w:sz="4" w:space="0" w:color="auto"/>
              <w:left w:val="single" w:sz="4" w:space="0" w:color="auto"/>
              <w:bottom w:val="single" w:sz="4" w:space="0" w:color="auto"/>
              <w:right w:val="single" w:sz="4" w:space="0" w:color="auto"/>
            </w:tcBorders>
            <w:tcMar>
              <w:top w:w="13" w:type="dxa"/>
              <w:left w:w="13" w:type="dxa"/>
              <w:bottom w:w="0" w:type="dxa"/>
              <w:right w:w="13" w:type="dxa"/>
            </w:tcMar>
            <w:vAlign w:val="bottom"/>
          </w:tcPr>
          <w:p w:rsidR="00145BF4" w:rsidRPr="00732305" w:rsidRDefault="00145BF4" w:rsidP="00573E4B">
            <w:pPr>
              <w:spacing w:before="60" w:after="60"/>
              <w:jc w:val="center"/>
              <w:rPr>
                <w:rFonts w:eastAsia="Arial Unicode MS"/>
                <w:sz w:val="20"/>
                <w:lang w:eastAsia="ja-JP"/>
              </w:rPr>
            </w:pPr>
            <w:proofErr w:type="spellStart"/>
            <w:r w:rsidRPr="00732305">
              <w:rPr>
                <w:sz w:val="20"/>
                <w:lang w:eastAsia="ja-JP"/>
              </w:rPr>
              <w:t>Fedtkalorier</w:t>
            </w:r>
            <w:r w:rsidRPr="00732305">
              <w:rPr>
                <w:sz w:val="20"/>
                <w:vertAlign w:val="superscript"/>
                <w:lang w:eastAsia="ja-JP"/>
              </w:rPr>
              <w:t>a</w:t>
            </w:r>
            <w:proofErr w:type="spellEnd"/>
          </w:p>
        </w:tc>
        <w:tc>
          <w:tcPr>
            <w:tcW w:w="1272" w:type="dxa"/>
            <w:tcBorders>
              <w:top w:val="single" w:sz="4" w:space="0" w:color="auto"/>
              <w:left w:val="single" w:sz="4" w:space="0" w:color="auto"/>
              <w:bottom w:val="single" w:sz="4" w:space="0" w:color="auto"/>
              <w:right w:val="single" w:sz="4" w:space="0" w:color="auto"/>
            </w:tcBorders>
          </w:tcPr>
          <w:p w:rsidR="00145BF4" w:rsidRPr="00732305" w:rsidRDefault="00145BF4" w:rsidP="00573E4B">
            <w:pPr>
              <w:spacing w:before="60" w:after="60"/>
              <w:jc w:val="center"/>
              <w:rPr>
                <w:sz w:val="20"/>
                <w:lang w:eastAsia="ja-JP"/>
              </w:rPr>
            </w:pPr>
            <w:r w:rsidRPr="00732305">
              <w:rPr>
                <w:sz w:val="20"/>
                <w:lang w:eastAsia="ja-JP"/>
              </w:rPr>
              <w:t>230 kcal</w:t>
            </w:r>
          </w:p>
        </w:tc>
        <w:tc>
          <w:tcPr>
            <w:tcW w:w="1272"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rsidR="00145BF4" w:rsidRPr="00732305" w:rsidRDefault="00145BF4" w:rsidP="00573E4B">
            <w:pPr>
              <w:spacing w:before="60" w:after="60"/>
              <w:jc w:val="center"/>
              <w:rPr>
                <w:rFonts w:eastAsia="Arial Unicode MS"/>
                <w:sz w:val="20"/>
                <w:lang w:eastAsia="ja-JP"/>
              </w:rPr>
            </w:pPr>
            <w:r w:rsidRPr="00732305">
              <w:rPr>
                <w:sz w:val="20"/>
                <w:lang w:eastAsia="ja-JP"/>
              </w:rPr>
              <w:t>350 kcal</w:t>
            </w:r>
          </w:p>
        </w:tc>
        <w:tc>
          <w:tcPr>
            <w:tcW w:w="1412"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rsidR="00145BF4" w:rsidRPr="00732305" w:rsidRDefault="00145BF4" w:rsidP="00573E4B">
            <w:pPr>
              <w:spacing w:before="60" w:after="60"/>
              <w:jc w:val="center"/>
              <w:rPr>
                <w:rFonts w:eastAsia="Arial Unicode MS"/>
                <w:sz w:val="20"/>
                <w:lang w:eastAsia="ja-JP"/>
              </w:rPr>
            </w:pPr>
            <w:r w:rsidRPr="00732305">
              <w:rPr>
                <w:sz w:val="20"/>
                <w:lang w:eastAsia="ja-JP"/>
              </w:rPr>
              <w:t>520 kcal</w:t>
            </w:r>
          </w:p>
        </w:tc>
        <w:tc>
          <w:tcPr>
            <w:tcW w:w="1413"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rsidR="00145BF4" w:rsidRPr="00732305" w:rsidRDefault="00145BF4" w:rsidP="00573E4B">
            <w:pPr>
              <w:spacing w:before="60" w:after="60"/>
              <w:jc w:val="center"/>
              <w:rPr>
                <w:sz w:val="20"/>
                <w:lang w:eastAsia="ja-JP"/>
              </w:rPr>
            </w:pPr>
            <w:r w:rsidRPr="00732305">
              <w:rPr>
                <w:sz w:val="20"/>
                <w:lang w:eastAsia="ja-JP"/>
              </w:rPr>
              <w:t>700 kcal</w:t>
            </w:r>
          </w:p>
        </w:tc>
      </w:tr>
      <w:tr w:rsidR="00145BF4" w:rsidRPr="00732305" w:rsidTr="00573E4B">
        <w:trPr>
          <w:trHeight w:val="255"/>
          <w:jc w:val="center"/>
        </w:trPr>
        <w:tc>
          <w:tcPr>
            <w:tcW w:w="3181" w:type="dxa"/>
            <w:tcBorders>
              <w:top w:val="single" w:sz="4" w:space="0" w:color="auto"/>
              <w:left w:val="single" w:sz="4" w:space="0" w:color="auto"/>
              <w:bottom w:val="single" w:sz="4" w:space="0" w:color="auto"/>
              <w:right w:val="single" w:sz="4" w:space="0" w:color="auto"/>
            </w:tcBorders>
            <w:tcMar>
              <w:top w:w="13" w:type="dxa"/>
              <w:left w:w="13" w:type="dxa"/>
              <w:bottom w:w="0" w:type="dxa"/>
              <w:right w:w="13" w:type="dxa"/>
            </w:tcMar>
            <w:vAlign w:val="bottom"/>
          </w:tcPr>
          <w:p w:rsidR="00145BF4" w:rsidRPr="00732305" w:rsidRDefault="00145BF4" w:rsidP="00573E4B">
            <w:pPr>
              <w:spacing w:before="60" w:after="60"/>
              <w:jc w:val="center"/>
              <w:rPr>
                <w:rFonts w:eastAsia="Arial Unicode MS"/>
                <w:sz w:val="20"/>
                <w:lang w:eastAsia="ja-JP"/>
              </w:rPr>
            </w:pPr>
            <w:r w:rsidRPr="00732305">
              <w:rPr>
                <w:sz w:val="20"/>
                <w:lang w:eastAsia="ja-JP"/>
              </w:rPr>
              <w:t xml:space="preserve">Forhold non-proteinkalorier/nitrogen </w:t>
            </w:r>
          </w:p>
        </w:tc>
        <w:tc>
          <w:tcPr>
            <w:tcW w:w="1272" w:type="dxa"/>
            <w:tcBorders>
              <w:top w:val="single" w:sz="4" w:space="0" w:color="auto"/>
              <w:left w:val="single" w:sz="4" w:space="0" w:color="auto"/>
              <w:bottom w:val="single" w:sz="4" w:space="0" w:color="auto"/>
              <w:right w:val="single" w:sz="4" w:space="0" w:color="auto"/>
            </w:tcBorders>
          </w:tcPr>
          <w:p w:rsidR="00145BF4" w:rsidRPr="00732305" w:rsidRDefault="00145BF4" w:rsidP="00573E4B">
            <w:pPr>
              <w:spacing w:before="60" w:after="60"/>
              <w:jc w:val="center"/>
              <w:rPr>
                <w:sz w:val="20"/>
                <w:lang w:eastAsia="ja-JP"/>
              </w:rPr>
            </w:pPr>
            <w:r w:rsidRPr="00732305">
              <w:rPr>
                <w:sz w:val="20"/>
                <w:lang w:eastAsia="ja-JP"/>
              </w:rPr>
              <w:t>53 kcal/g</w:t>
            </w:r>
          </w:p>
        </w:tc>
        <w:tc>
          <w:tcPr>
            <w:tcW w:w="1272"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rsidR="00145BF4" w:rsidRPr="00732305" w:rsidRDefault="00145BF4" w:rsidP="00573E4B">
            <w:pPr>
              <w:spacing w:before="60" w:after="60"/>
              <w:jc w:val="center"/>
              <w:rPr>
                <w:rFonts w:eastAsia="Arial Unicode MS"/>
                <w:sz w:val="20"/>
                <w:lang w:eastAsia="ja-JP"/>
              </w:rPr>
            </w:pPr>
            <w:r w:rsidRPr="00732305">
              <w:rPr>
                <w:sz w:val="20"/>
                <w:lang w:eastAsia="ja-JP"/>
              </w:rPr>
              <w:t>53 kcal/g</w:t>
            </w:r>
          </w:p>
        </w:tc>
        <w:tc>
          <w:tcPr>
            <w:tcW w:w="1412"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rsidR="00145BF4" w:rsidRPr="00732305" w:rsidRDefault="00145BF4" w:rsidP="00573E4B">
            <w:pPr>
              <w:spacing w:before="60" w:after="60"/>
              <w:jc w:val="center"/>
              <w:rPr>
                <w:rFonts w:eastAsia="Arial Unicode MS"/>
                <w:sz w:val="20"/>
                <w:lang w:eastAsia="ja-JP"/>
              </w:rPr>
            </w:pPr>
            <w:r w:rsidRPr="00732305">
              <w:rPr>
                <w:sz w:val="20"/>
                <w:lang w:eastAsia="ja-JP"/>
              </w:rPr>
              <w:t>53 kcal/g</w:t>
            </w:r>
          </w:p>
        </w:tc>
        <w:tc>
          <w:tcPr>
            <w:tcW w:w="1413"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rsidR="00145BF4" w:rsidRPr="00732305" w:rsidRDefault="00145BF4" w:rsidP="00573E4B">
            <w:pPr>
              <w:spacing w:before="60" w:after="60"/>
              <w:jc w:val="center"/>
              <w:rPr>
                <w:rFonts w:eastAsia="Arial Unicode MS"/>
                <w:sz w:val="20"/>
                <w:lang w:eastAsia="ja-JP"/>
              </w:rPr>
            </w:pPr>
            <w:r w:rsidRPr="00732305">
              <w:rPr>
                <w:sz w:val="20"/>
                <w:lang w:eastAsia="ja-JP"/>
              </w:rPr>
              <w:t>53 kcal/g</w:t>
            </w:r>
          </w:p>
        </w:tc>
      </w:tr>
      <w:tr w:rsidR="00145BF4" w:rsidRPr="00732305" w:rsidTr="00573E4B">
        <w:trPr>
          <w:trHeight w:val="255"/>
          <w:jc w:val="center"/>
        </w:trPr>
        <w:tc>
          <w:tcPr>
            <w:tcW w:w="3181" w:type="dxa"/>
            <w:tcBorders>
              <w:top w:val="single" w:sz="4" w:space="0" w:color="auto"/>
              <w:left w:val="single" w:sz="4" w:space="0" w:color="auto"/>
              <w:bottom w:val="single" w:sz="4" w:space="0" w:color="auto"/>
              <w:right w:val="single" w:sz="4" w:space="0" w:color="auto"/>
            </w:tcBorders>
            <w:tcMar>
              <w:top w:w="13" w:type="dxa"/>
              <w:left w:w="13" w:type="dxa"/>
              <w:bottom w:w="0" w:type="dxa"/>
              <w:right w:w="13" w:type="dxa"/>
            </w:tcMar>
            <w:vAlign w:val="bottom"/>
          </w:tcPr>
          <w:p w:rsidR="00145BF4" w:rsidRPr="00732305" w:rsidRDefault="00145BF4" w:rsidP="00573E4B">
            <w:pPr>
              <w:spacing w:before="60" w:after="60"/>
              <w:jc w:val="center"/>
              <w:rPr>
                <w:rFonts w:eastAsia="Arial Unicode MS"/>
                <w:sz w:val="20"/>
                <w:lang w:eastAsia="ja-JP"/>
              </w:rPr>
            </w:pPr>
            <w:r w:rsidRPr="00732305">
              <w:rPr>
                <w:sz w:val="20"/>
                <w:lang w:eastAsia="ja-JP"/>
              </w:rPr>
              <w:t xml:space="preserve">Forhold </w:t>
            </w:r>
            <w:proofErr w:type="spellStart"/>
            <w:r w:rsidRPr="00732305">
              <w:rPr>
                <w:sz w:val="20"/>
                <w:lang w:eastAsia="ja-JP"/>
              </w:rPr>
              <w:t>glucose</w:t>
            </w:r>
            <w:proofErr w:type="spellEnd"/>
            <w:r w:rsidRPr="00732305">
              <w:rPr>
                <w:sz w:val="20"/>
                <w:lang w:eastAsia="ja-JP"/>
              </w:rPr>
              <w:t>/fedtkalorier</w:t>
            </w:r>
          </w:p>
        </w:tc>
        <w:tc>
          <w:tcPr>
            <w:tcW w:w="1272" w:type="dxa"/>
            <w:tcBorders>
              <w:top w:val="single" w:sz="4" w:space="0" w:color="auto"/>
              <w:left w:val="single" w:sz="4" w:space="0" w:color="auto"/>
              <w:bottom w:val="single" w:sz="4" w:space="0" w:color="auto"/>
              <w:right w:val="single" w:sz="4" w:space="0" w:color="auto"/>
            </w:tcBorders>
          </w:tcPr>
          <w:p w:rsidR="00145BF4" w:rsidRPr="00732305" w:rsidRDefault="00145BF4" w:rsidP="00573E4B">
            <w:pPr>
              <w:spacing w:before="60" w:after="60"/>
              <w:jc w:val="center"/>
              <w:rPr>
                <w:sz w:val="20"/>
                <w:lang w:eastAsia="ja-JP"/>
              </w:rPr>
            </w:pPr>
            <w:r w:rsidRPr="00732305">
              <w:rPr>
                <w:sz w:val="20"/>
                <w:lang w:eastAsia="ja-JP"/>
              </w:rPr>
              <w:t>45/55</w:t>
            </w:r>
          </w:p>
        </w:tc>
        <w:tc>
          <w:tcPr>
            <w:tcW w:w="1272"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rsidR="00145BF4" w:rsidRPr="00732305" w:rsidRDefault="00145BF4" w:rsidP="00573E4B">
            <w:pPr>
              <w:spacing w:before="60" w:after="60"/>
              <w:jc w:val="center"/>
              <w:rPr>
                <w:rFonts w:eastAsia="Arial Unicode MS"/>
                <w:sz w:val="20"/>
                <w:lang w:eastAsia="ja-JP"/>
              </w:rPr>
            </w:pPr>
            <w:r w:rsidRPr="00732305">
              <w:rPr>
                <w:sz w:val="20"/>
                <w:lang w:eastAsia="ja-JP"/>
              </w:rPr>
              <w:t>45/55</w:t>
            </w:r>
          </w:p>
        </w:tc>
        <w:tc>
          <w:tcPr>
            <w:tcW w:w="1412"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rsidR="00145BF4" w:rsidRPr="00732305" w:rsidRDefault="00145BF4" w:rsidP="00573E4B">
            <w:pPr>
              <w:spacing w:before="60" w:after="60"/>
              <w:jc w:val="center"/>
              <w:rPr>
                <w:rFonts w:eastAsia="Arial Unicode MS"/>
                <w:sz w:val="20"/>
                <w:lang w:eastAsia="ja-JP"/>
              </w:rPr>
            </w:pPr>
            <w:r w:rsidRPr="00732305">
              <w:rPr>
                <w:sz w:val="20"/>
                <w:lang w:eastAsia="ja-JP"/>
              </w:rPr>
              <w:t>45/55</w:t>
            </w:r>
          </w:p>
        </w:tc>
        <w:tc>
          <w:tcPr>
            <w:tcW w:w="1413"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rsidR="00145BF4" w:rsidRPr="00732305" w:rsidRDefault="00145BF4" w:rsidP="00573E4B">
            <w:pPr>
              <w:spacing w:before="60" w:after="60"/>
              <w:jc w:val="center"/>
              <w:rPr>
                <w:rFonts w:eastAsia="Arial Unicode MS"/>
                <w:sz w:val="20"/>
                <w:lang w:eastAsia="ja-JP"/>
              </w:rPr>
            </w:pPr>
            <w:r w:rsidRPr="00732305">
              <w:rPr>
                <w:sz w:val="20"/>
                <w:lang w:eastAsia="ja-JP"/>
              </w:rPr>
              <w:t>45/55</w:t>
            </w:r>
          </w:p>
        </w:tc>
      </w:tr>
      <w:tr w:rsidR="00145BF4" w:rsidRPr="00732305" w:rsidTr="00573E4B">
        <w:trPr>
          <w:trHeight w:val="255"/>
          <w:jc w:val="center"/>
        </w:trPr>
        <w:tc>
          <w:tcPr>
            <w:tcW w:w="3181" w:type="dxa"/>
            <w:tcBorders>
              <w:top w:val="single" w:sz="4" w:space="0" w:color="auto"/>
              <w:left w:val="single" w:sz="4" w:space="0" w:color="auto"/>
              <w:bottom w:val="single" w:sz="4" w:space="0" w:color="auto"/>
              <w:right w:val="single" w:sz="4" w:space="0" w:color="auto"/>
            </w:tcBorders>
            <w:tcMar>
              <w:top w:w="13" w:type="dxa"/>
              <w:left w:w="13" w:type="dxa"/>
              <w:bottom w:w="0" w:type="dxa"/>
              <w:right w:w="13" w:type="dxa"/>
            </w:tcMar>
            <w:vAlign w:val="bottom"/>
          </w:tcPr>
          <w:p w:rsidR="00145BF4" w:rsidRPr="00732305" w:rsidRDefault="00145BF4" w:rsidP="00573E4B">
            <w:pPr>
              <w:spacing w:before="60" w:after="60"/>
              <w:jc w:val="center"/>
              <w:rPr>
                <w:rFonts w:eastAsia="Arial Unicode MS"/>
                <w:sz w:val="20"/>
                <w:lang w:eastAsia="ja-JP"/>
              </w:rPr>
            </w:pPr>
            <w:r w:rsidRPr="00732305">
              <w:rPr>
                <w:sz w:val="20"/>
                <w:lang w:eastAsia="ja-JP"/>
              </w:rPr>
              <w:t>Fedtkalorier/kalorier i alt</w:t>
            </w:r>
          </w:p>
        </w:tc>
        <w:tc>
          <w:tcPr>
            <w:tcW w:w="1272" w:type="dxa"/>
            <w:tcBorders>
              <w:top w:val="single" w:sz="4" w:space="0" w:color="auto"/>
              <w:left w:val="single" w:sz="4" w:space="0" w:color="auto"/>
              <w:bottom w:val="single" w:sz="4" w:space="0" w:color="auto"/>
              <w:right w:val="single" w:sz="4" w:space="0" w:color="auto"/>
            </w:tcBorders>
            <w:vAlign w:val="bottom"/>
          </w:tcPr>
          <w:p w:rsidR="00145BF4" w:rsidRPr="00732305" w:rsidRDefault="00145BF4" w:rsidP="00573E4B">
            <w:pPr>
              <w:spacing w:before="60" w:after="60"/>
              <w:jc w:val="center"/>
              <w:rPr>
                <w:sz w:val="20"/>
                <w:lang w:eastAsia="ja-JP"/>
              </w:rPr>
            </w:pPr>
            <w:r w:rsidRPr="00732305">
              <w:rPr>
                <w:sz w:val="20"/>
                <w:lang w:eastAsia="ja-JP"/>
              </w:rPr>
              <w:t>37 %</w:t>
            </w:r>
          </w:p>
        </w:tc>
        <w:tc>
          <w:tcPr>
            <w:tcW w:w="1272"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rsidR="00145BF4" w:rsidRPr="00732305" w:rsidRDefault="00145BF4" w:rsidP="00573E4B">
            <w:pPr>
              <w:spacing w:before="60" w:after="60"/>
              <w:jc w:val="center"/>
              <w:rPr>
                <w:rFonts w:eastAsia="Arial Unicode MS"/>
                <w:sz w:val="20"/>
                <w:lang w:eastAsia="ja-JP"/>
              </w:rPr>
            </w:pPr>
            <w:r w:rsidRPr="00732305">
              <w:rPr>
                <w:sz w:val="20"/>
                <w:lang w:eastAsia="ja-JP"/>
              </w:rPr>
              <w:t>37 %</w:t>
            </w:r>
          </w:p>
        </w:tc>
        <w:tc>
          <w:tcPr>
            <w:tcW w:w="1412"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rsidR="00145BF4" w:rsidRPr="00732305" w:rsidRDefault="00145BF4" w:rsidP="00573E4B">
            <w:pPr>
              <w:spacing w:before="60" w:after="60"/>
              <w:jc w:val="center"/>
              <w:rPr>
                <w:rFonts w:eastAsia="Arial Unicode MS"/>
                <w:sz w:val="20"/>
                <w:lang w:eastAsia="ja-JP"/>
              </w:rPr>
            </w:pPr>
            <w:r w:rsidRPr="00732305">
              <w:rPr>
                <w:sz w:val="20"/>
                <w:lang w:eastAsia="ja-JP"/>
              </w:rPr>
              <w:t>37 %</w:t>
            </w:r>
          </w:p>
        </w:tc>
        <w:tc>
          <w:tcPr>
            <w:tcW w:w="1413"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rsidR="00145BF4" w:rsidRPr="00732305" w:rsidRDefault="00145BF4" w:rsidP="00573E4B">
            <w:pPr>
              <w:spacing w:before="60" w:after="60"/>
              <w:jc w:val="center"/>
              <w:rPr>
                <w:rFonts w:eastAsia="Arial Unicode MS"/>
                <w:sz w:val="20"/>
                <w:lang w:eastAsia="ja-JP"/>
              </w:rPr>
            </w:pPr>
            <w:r w:rsidRPr="00732305">
              <w:rPr>
                <w:sz w:val="20"/>
                <w:lang w:eastAsia="ja-JP"/>
              </w:rPr>
              <w:t>37 %</w:t>
            </w:r>
          </w:p>
        </w:tc>
      </w:tr>
      <w:tr w:rsidR="00145BF4" w:rsidRPr="00732305" w:rsidTr="00573E4B">
        <w:trPr>
          <w:trHeight w:val="255"/>
          <w:jc w:val="center"/>
        </w:trPr>
        <w:tc>
          <w:tcPr>
            <w:tcW w:w="3181" w:type="dxa"/>
            <w:tcBorders>
              <w:top w:val="single" w:sz="4" w:space="0" w:color="auto"/>
              <w:left w:val="single" w:sz="4" w:space="0" w:color="auto"/>
              <w:bottom w:val="single" w:sz="4" w:space="0" w:color="auto"/>
              <w:right w:val="single" w:sz="4" w:space="0" w:color="auto"/>
            </w:tcBorders>
            <w:tcMar>
              <w:top w:w="13" w:type="dxa"/>
              <w:left w:w="13" w:type="dxa"/>
              <w:bottom w:w="0" w:type="dxa"/>
              <w:right w:w="13" w:type="dxa"/>
            </w:tcMar>
            <w:vAlign w:val="bottom"/>
          </w:tcPr>
          <w:p w:rsidR="00145BF4" w:rsidRPr="00732305" w:rsidRDefault="00145BF4" w:rsidP="00573E4B">
            <w:pPr>
              <w:spacing w:before="60" w:after="60"/>
              <w:jc w:val="center"/>
              <w:rPr>
                <w:sz w:val="20"/>
                <w:lang w:eastAsia="ja-JP"/>
              </w:rPr>
            </w:pPr>
            <w:r w:rsidRPr="00732305">
              <w:rPr>
                <w:sz w:val="20"/>
                <w:lang w:eastAsia="ja-JP"/>
              </w:rPr>
              <w:t>Elektrolytter:</w:t>
            </w:r>
          </w:p>
        </w:tc>
        <w:tc>
          <w:tcPr>
            <w:tcW w:w="1272" w:type="dxa"/>
            <w:tcBorders>
              <w:top w:val="single" w:sz="4" w:space="0" w:color="auto"/>
              <w:left w:val="single" w:sz="4" w:space="0" w:color="auto"/>
              <w:bottom w:val="single" w:sz="4" w:space="0" w:color="auto"/>
              <w:right w:val="single" w:sz="4" w:space="0" w:color="auto"/>
            </w:tcBorders>
            <w:vAlign w:val="bottom"/>
          </w:tcPr>
          <w:p w:rsidR="00145BF4" w:rsidRPr="00732305" w:rsidRDefault="00145BF4" w:rsidP="00573E4B">
            <w:pPr>
              <w:spacing w:before="60" w:after="60"/>
              <w:jc w:val="center"/>
              <w:rPr>
                <w:sz w:val="20"/>
                <w:lang w:eastAsia="ja-JP"/>
              </w:rPr>
            </w:pPr>
          </w:p>
        </w:tc>
        <w:tc>
          <w:tcPr>
            <w:tcW w:w="1272"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rsidR="00145BF4" w:rsidRPr="00732305" w:rsidRDefault="00145BF4" w:rsidP="00573E4B">
            <w:pPr>
              <w:spacing w:before="60" w:after="60"/>
              <w:jc w:val="center"/>
              <w:rPr>
                <w:sz w:val="20"/>
                <w:lang w:eastAsia="ja-JP"/>
              </w:rPr>
            </w:pPr>
          </w:p>
        </w:tc>
        <w:tc>
          <w:tcPr>
            <w:tcW w:w="1412"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rsidR="00145BF4" w:rsidRPr="00732305" w:rsidRDefault="00145BF4" w:rsidP="00573E4B">
            <w:pPr>
              <w:spacing w:before="60" w:after="60"/>
              <w:jc w:val="center"/>
              <w:rPr>
                <w:rFonts w:eastAsia="Arial Unicode MS"/>
                <w:sz w:val="20"/>
                <w:lang w:eastAsia="ja-JP"/>
              </w:rPr>
            </w:pPr>
          </w:p>
        </w:tc>
        <w:tc>
          <w:tcPr>
            <w:tcW w:w="1413"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rsidR="00145BF4" w:rsidRPr="00732305" w:rsidRDefault="00145BF4" w:rsidP="00573E4B">
            <w:pPr>
              <w:spacing w:before="60" w:after="60"/>
              <w:jc w:val="center"/>
              <w:rPr>
                <w:rFonts w:eastAsia="Arial Unicode MS"/>
                <w:sz w:val="20"/>
                <w:lang w:eastAsia="ja-JP"/>
              </w:rPr>
            </w:pPr>
          </w:p>
        </w:tc>
      </w:tr>
      <w:tr w:rsidR="00145BF4" w:rsidRPr="00732305" w:rsidTr="00573E4B">
        <w:trPr>
          <w:trHeight w:val="255"/>
          <w:jc w:val="center"/>
        </w:trPr>
        <w:tc>
          <w:tcPr>
            <w:tcW w:w="3181" w:type="dxa"/>
            <w:tcBorders>
              <w:top w:val="single" w:sz="4" w:space="0" w:color="auto"/>
              <w:left w:val="single" w:sz="4" w:space="0" w:color="auto"/>
              <w:bottom w:val="single" w:sz="4" w:space="0" w:color="auto"/>
              <w:right w:val="single" w:sz="4" w:space="0" w:color="auto"/>
            </w:tcBorders>
            <w:tcMar>
              <w:top w:w="13" w:type="dxa"/>
              <w:left w:w="13" w:type="dxa"/>
              <w:bottom w:w="0" w:type="dxa"/>
              <w:right w:w="13" w:type="dxa"/>
            </w:tcMar>
            <w:vAlign w:val="bottom"/>
          </w:tcPr>
          <w:p w:rsidR="00145BF4" w:rsidRPr="00732305" w:rsidRDefault="00145BF4" w:rsidP="00573E4B">
            <w:pPr>
              <w:spacing w:before="60" w:after="60"/>
              <w:jc w:val="center"/>
              <w:rPr>
                <w:sz w:val="20"/>
                <w:lang w:eastAsia="ja-JP"/>
              </w:rPr>
            </w:pPr>
            <w:proofErr w:type="spellStart"/>
            <w:r w:rsidRPr="00732305">
              <w:rPr>
                <w:sz w:val="20"/>
                <w:lang w:eastAsia="ja-JP"/>
              </w:rPr>
              <w:t>Phosphat</w:t>
            </w:r>
            <w:r w:rsidRPr="00732305">
              <w:rPr>
                <w:sz w:val="20"/>
                <w:vertAlign w:val="superscript"/>
                <w:lang w:eastAsia="ja-JP"/>
              </w:rPr>
              <w:t>b</w:t>
            </w:r>
            <w:proofErr w:type="spellEnd"/>
          </w:p>
        </w:tc>
        <w:tc>
          <w:tcPr>
            <w:tcW w:w="1272" w:type="dxa"/>
            <w:tcBorders>
              <w:top w:val="single" w:sz="4" w:space="0" w:color="auto"/>
              <w:left w:val="single" w:sz="4" w:space="0" w:color="auto"/>
              <w:bottom w:val="single" w:sz="4" w:space="0" w:color="auto"/>
              <w:right w:val="single" w:sz="4" w:space="0" w:color="auto"/>
            </w:tcBorders>
            <w:vAlign w:val="bottom"/>
          </w:tcPr>
          <w:p w:rsidR="00145BF4" w:rsidRPr="00732305" w:rsidRDefault="00145BF4" w:rsidP="00573E4B">
            <w:pPr>
              <w:spacing w:before="60" w:after="60"/>
              <w:jc w:val="center"/>
              <w:rPr>
                <w:sz w:val="20"/>
                <w:lang w:eastAsia="ja-JP"/>
              </w:rPr>
            </w:pPr>
            <w:r w:rsidRPr="00732305">
              <w:rPr>
                <w:sz w:val="20"/>
                <w:lang w:eastAsia="ja-JP"/>
              </w:rPr>
              <w:t>1,7 mmol</w:t>
            </w:r>
          </w:p>
        </w:tc>
        <w:tc>
          <w:tcPr>
            <w:tcW w:w="1272"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rsidR="00145BF4" w:rsidRPr="00732305" w:rsidRDefault="00145BF4" w:rsidP="00573E4B">
            <w:pPr>
              <w:spacing w:before="60" w:after="60"/>
              <w:jc w:val="center"/>
              <w:rPr>
                <w:sz w:val="20"/>
                <w:lang w:eastAsia="ja-JP"/>
              </w:rPr>
            </w:pPr>
            <w:r w:rsidRPr="00732305">
              <w:rPr>
                <w:sz w:val="20"/>
                <w:lang w:eastAsia="ja-JP"/>
              </w:rPr>
              <w:t>2,6 mmol</w:t>
            </w:r>
          </w:p>
        </w:tc>
        <w:tc>
          <w:tcPr>
            <w:tcW w:w="1412"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rsidR="00145BF4" w:rsidRPr="00732305" w:rsidRDefault="00145BF4" w:rsidP="00573E4B">
            <w:pPr>
              <w:spacing w:before="60" w:after="60"/>
              <w:jc w:val="center"/>
              <w:rPr>
                <w:rFonts w:eastAsia="Arial Unicode MS"/>
                <w:sz w:val="20"/>
                <w:lang w:eastAsia="ja-JP"/>
              </w:rPr>
            </w:pPr>
            <w:r w:rsidRPr="00732305">
              <w:rPr>
                <w:sz w:val="20"/>
                <w:lang w:eastAsia="ja-JP"/>
              </w:rPr>
              <w:t>3,9 mmol</w:t>
            </w:r>
          </w:p>
        </w:tc>
        <w:tc>
          <w:tcPr>
            <w:tcW w:w="1413"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rsidR="00145BF4" w:rsidRPr="00732305" w:rsidRDefault="00145BF4" w:rsidP="00573E4B">
            <w:pPr>
              <w:spacing w:before="60" w:after="60"/>
              <w:jc w:val="center"/>
              <w:rPr>
                <w:rFonts w:eastAsia="Arial Unicode MS"/>
                <w:sz w:val="20"/>
                <w:lang w:eastAsia="ja-JP"/>
              </w:rPr>
            </w:pPr>
            <w:r w:rsidRPr="00732305">
              <w:rPr>
                <w:sz w:val="20"/>
                <w:lang w:eastAsia="ja-JP"/>
              </w:rPr>
              <w:t>5,2 mmol</w:t>
            </w:r>
          </w:p>
        </w:tc>
      </w:tr>
      <w:tr w:rsidR="00145BF4" w:rsidRPr="00732305" w:rsidTr="00573E4B">
        <w:trPr>
          <w:trHeight w:val="255"/>
          <w:jc w:val="center"/>
        </w:trPr>
        <w:tc>
          <w:tcPr>
            <w:tcW w:w="3181" w:type="dxa"/>
            <w:tcBorders>
              <w:top w:val="single" w:sz="4" w:space="0" w:color="auto"/>
              <w:left w:val="single" w:sz="4" w:space="0" w:color="auto"/>
              <w:bottom w:val="single" w:sz="4" w:space="0" w:color="auto"/>
              <w:right w:val="single" w:sz="4" w:space="0" w:color="auto"/>
            </w:tcBorders>
            <w:tcMar>
              <w:top w:w="13" w:type="dxa"/>
              <w:left w:w="13" w:type="dxa"/>
              <w:bottom w:w="0" w:type="dxa"/>
              <w:right w:w="13" w:type="dxa"/>
            </w:tcMar>
            <w:vAlign w:val="bottom"/>
          </w:tcPr>
          <w:p w:rsidR="00145BF4" w:rsidRPr="00732305" w:rsidRDefault="00145BF4" w:rsidP="00573E4B">
            <w:pPr>
              <w:spacing w:before="60" w:after="60"/>
              <w:jc w:val="center"/>
              <w:rPr>
                <w:sz w:val="20"/>
                <w:lang w:eastAsia="ja-JP"/>
              </w:rPr>
            </w:pPr>
            <w:r w:rsidRPr="00732305">
              <w:rPr>
                <w:sz w:val="20"/>
                <w:lang w:eastAsia="ja-JP"/>
              </w:rPr>
              <w:t xml:space="preserve">Acetat </w:t>
            </w:r>
          </w:p>
        </w:tc>
        <w:tc>
          <w:tcPr>
            <w:tcW w:w="1272" w:type="dxa"/>
            <w:tcBorders>
              <w:top w:val="single" w:sz="4" w:space="0" w:color="auto"/>
              <w:left w:val="single" w:sz="4" w:space="0" w:color="auto"/>
              <w:bottom w:val="single" w:sz="4" w:space="0" w:color="auto"/>
              <w:right w:val="single" w:sz="4" w:space="0" w:color="auto"/>
            </w:tcBorders>
            <w:vAlign w:val="bottom"/>
          </w:tcPr>
          <w:p w:rsidR="00145BF4" w:rsidRPr="00732305" w:rsidRDefault="00145BF4" w:rsidP="00573E4B">
            <w:pPr>
              <w:spacing w:before="60" w:after="60"/>
              <w:jc w:val="center"/>
              <w:rPr>
                <w:sz w:val="20"/>
                <w:lang w:eastAsia="ja-JP"/>
              </w:rPr>
            </w:pPr>
            <w:r w:rsidRPr="00732305">
              <w:rPr>
                <w:sz w:val="20"/>
                <w:lang w:eastAsia="ja-JP"/>
              </w:rPr>
              <w:t>35 mmol</w:t>
            </w:r>
          </w:p>
        </w:tc>
        <w:tc>
          <w:tcPr>
            <w:tcW w:w="1272"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rsidR="00145BF4" w:rsidRPr="00732305" w:rsidRDefault="00145BF4" w:rsidP="00573E4B">
            <w:pPr>
              <w:spacing w:before="60" w:after="60"/>
              <w:jc w:val="center"/>
              <w:rPr>
                <w:sz w:val="20"/>
                <w:lang w:eastAsia="ja-JP"/>
              </w:rPr>
            </w:pPr>
            <w:r w:rsidRPr="00732305">
              <w:rPr>
                <w:sz w:val="20"/>
                <w:lang w:eastAsia="ja-JP"/>
              </w:rPr>
              <w:t>54 mmol</w:t>
            </w:r>
          </w:p>
        </w:tc>
        <w:tc>
          <w:tcPr>
            <w:tcW w:w="1412"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rsidR="00145BF4" w:rsidRPr="00732305" w:rsidRDefault="00145BF4" w:rsidP="00573E4B">
            <w:pPr>
              <w:spacing w:before="60" w:after="60"/>
              <w:jc w:val="center"/>
              <w:rPr>
                <w:rFonts w:eastAsia="Arial Unicode MS"/>
                <w:sz w:val="20"/>
                <w:lang w:eastAsia="ja-JP"/>
              </w:rPr>
            </w:pPr>
            <w:r w:rsidRPr="00732305">
              <w:rPr>
                <w:sz w:val="20"/>
                <w:lang w:eastAsia="ja-JP"/>
              </w:rPr>
              <w:t>80 mmol</w:t>
            </w:r>
          </w:p>
        </w:tc>
        <w:tc>
          <w:tcPr>
            <w:tcW w:w="1413"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bottom"/>
          </w:tcPr>
          <w:p w:rsidR="00145BF4" w:rsidRPr="00732305" w:rsidRDefault="00145BF4" w:rsidP="00573E4B">
            <w:pPr>
              <w:spacing w:before="60" w:after="60"/>
              <w:jc w:val="center"/>
              <w:rPr>
                <w:rFonts w:eastAsia="Arial Unicode MS"/>
                <w:sz w:val="20"/>
                <w:lang w:eastAsia="ja-JP"/>
              </w:rPr>
            </w:pPr>
            <w:r w:rsidRPr="00732305">
              <w:rPr>
                <w:sz w:val="20"/>
                <w:lang w:eastAsia="ja-JP"/>
              </w:rPr>
              <w:t>107 mmol</w:t>
            </w:r>
          </w:p>
        </w:tc>
      </w:tr>
      <w:tr w:rsidR="00145BF4" w:rsidRPr="00732305" w:rsidTr="00573E4B">
        <w:trPr>
          <w:trHeight w:val="255"/>
          <w:jc w:val="center"/>
        </w:trPr>
        <w:tc>
          <w:tcPr>
            <w:tcW w:w="3181" w:type="dxa"/>
            <w:tcBorders>
              <w:top w:val="single" w:sz="4" w:space="0" w:color="auto"/>
              <w:left w:val="single" w:sz="4" w:space="0" w:color="auto"/>
              <w:bottom w:val="single" w:sz="4" w:space="0" w:color="auto"/>
              <w:right w:val="single" w:sz="4" w:space="0" w:color="auto"/>
            </w:tcBorders>
            <w:tcMar>
              <w:top w:w="13" w:type="dxa"/>
              <w:left w:w="13" w:type="dxa"/>
              <w:bottom w:w="0" w:type="dxa"/>
              <w:right w:w="13" w:type="dxa"/>
            </w:tcMar>
            <w:vAlign w:val="bottom"/>
          </w:tcPr>
          <w:p w:rsidR="00145BF4" w:rsidRPr="00732305" w:rsidRDefault="00145BF4" w:rsidP="00573E4B">
            <w:pPr>
              <w:spacing w:before="60" w:after="60"/>
              <w:jc w:val="center"/>
              <w:rPr>
                <w:rFonts w:eastAsia="Arial Unicode MS"/>
                <w:sz w:val="20"/>
                <w:lang w:eastAsia="ja-JP"/>
              </w:rPr>
            </w:pPr>
            <w:r w:rsidRPr="00732305">
              <w:rPr>
                <w:sz w:val="20"/>
                <w:lang w:eastAsia="ja-JP"/>
              </w:rPr>
              <w:t xml:space="preserve">pH </w:t>
            </w:r>
          </w:p>
        </w:tc>
        <w:tc>
          <w:tcPr>
            <w:tcW w:w="1272" w:type="dxa"/>
            <w:tcBorders>
              <w:top w:val="single" w:sz="4" w:space="0" w:color="auto"/>
              <w:left w:val="nil"/>
              <w:bottom w:val="single" w:sz="4" w:space="0" w:color="auto"/>
              <w:right w:val="single" w:sz="4" w:space="0" w:color="auto"/>
            </w:tcBorders>
          </w:tcPr>
          <w:p w:rsidR="00145BF4" w:rsidRPr="00732305" w:rsidRDefault="00145BF4" w:rsidP="00573E4B">
            <w:pPr>
              <w:spacing w:before="60" w:after="60"/>
              <w:jc w:val="center"/>
              <w:rPr>
                <w:sz w:val="20"/>
                <w:lang w:eastAsia="ja-JP"/>
              </w:rPr>
            </w:pPr>
            <w:r w:rsidRPr="00732305">
              <w:rPr>
                <w:sz w:val="20"/>
                <w:lang w:eastAsia="ja-JP"/>
              </w:rPr>
              <w:t>6,4</w:t>
            </w:r>
          </w:p>
        </w:tc>
        <w:tc>
          <w:tcPr>
            <w:tcW w:w="1272"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tcPr>
          <w:p w:rsidR="00145BF4" w:rsidRPr="00732305" w:rsidRDefault="00145BF4" w:rsidP="00573E4B">
            <w:pPr>
              <w:spacing w:before="60" w:after="60"/>
              <w:jc w:val="center"/>
              <w:rPr>
                <w:rFonts w:eastAsia="Arial Unicode MS"/>
                <w:sz w:val="20"/>
                <w:lang w:eastAsia="ja-JP"/>
              </w:rPr>
            </w:pPr>
            <w:r w:rsidRPr="00732305">
              <w:rPr>
                <w:sz w:val="20"/>
                <w:lang w:eastAsia="ja-JP"/>
              </w:rPr>
              <w:t>6,4</w:t>
            </w:r>
          </w:p>
        </w:tc>
        <w:tc>
          <w:tcPr>
            <w:tcW w:w="1412" w:type="dxa"/>
            <w:tcBorders>
              <w:top w:val="single" w:sz="4" w:space="0" w:color="auto"/>
              <w:left w:val="nil"/>
              <w:bottom w:val="single" w:sz="4" w:space="0" w:color="auto"/>
              <w:right w:val="single" w:sz="4" w:space="0" w:color="auto"/>
            </w:tcBorders>
            <w:noWrap/>
            <w:tcMar>
              <w:top w:w="13" w:type="dxa"/>
              <w:left w:w="13" w:type="dxa"/>
              <w:bottom w:w="0" w:type="dxa"/>
              <w:right w:w="13" w:type="dxa"/>
            </w:tcMar>
          </w:tcPr>
          <w:p w:rsidR="00145BF4" w:rsidRPr="00732305" w:rsidRDefault="00145BF4" w:rsidP="00573E4B">
            <w:pPr>
              <w:spacing w:before="60" w:after="60"/>
              <w:jc w:val="center"/>
              <w:rPr>
                <w:rFonts w:eastAsia="Arial Unicode MS"/>
                <w:sz w:val="20"/>
                <w:lang w:eastAsia="ja-JP"/>
              </w:rPr>
            </w:pPr>
            <w:r w:rsidRPr="00732305">
              <w:rPr>
                <w:sz w:val="20"/>
                <w:lang w:eastAsia="ja-JP"/>
              </w:rPr>
              <w:t>6,4</w:t>
            </w:r>
          </w:p>
        </w:tc>
        <w:tc>
          <w:tcPr>
            <w:tcW w:w="1413" w:type="dxa"/>
            <w:tcBorders>
              <w:top w:val="single" w:sz="4" w:space="0" w:color="auto"/>
              <w:left w:val="nil"/>
              <w:bottom w:val="single" w:sz="4" w:space="0" w:color="auto"/>
              <w:right w:val="single" w:sz="4" w:space="0" w:color="auto"/>
            </w:tcBorders>
            <w:noWrap/>
            <w:tcMar>
              <w:top w:w="13" w:type="dxa"/>
              <w:left w:w="13" w:type="dxa"/>
              <w:bottom w:w="0" w:type="dxa"/>
              <w:right w:w="13" w:type="dxa"/>
            </w:tcMar>
          </w:tcPr>
          <w:p w:rsidR="00145BF4" w:rsidRPr="00732305" w:rsidRDefault="00145BF4" w:rsidP="00573E4B">
            <w:pPr>
              <w:spacing w:before="60" w:after="60"/>
              <w:jc w:val="center"/>
              <w:rPr>
                <w:rFonts w:eastAsia="Arial Unicode MS"/>
                <w:sz w:val="20"/>
                <w:lang w:eastAsia="ja-JP"/>
              </w:rPr>
            </w:pPr>
            <w:r w:rsidRPr="00732305">
              <w:rPr>
                <w:sz w:val="20"/>
                <w:lang w:eastAsia="ja-JP"/>
              </w:rPr>
              <w:t>6,4</w:t>
            </w:r>
          </w:p>
        </w:tc>
      </w:tr>
      <w:tr w:rsidR="00145BF4" w:rsidRPr="00732305" w:rsidTr="00573E4B">
        <w:trPr>
          <w:trHeight w:val="255"/>
          <w:jc w:val="center"/>
        </w:trPr>
        <w:tc>
          <w:tcPr>
            <w:tcW w:w="3181" w:type="dxa"/>
            <w:tcBorders>
              <w:top w:val="nil"/>
              <w:left w:val="single" w:sz="4" w:space="0" w:color="auto"/>
              <w:bottom w:val="single" w:sz="6" w:space="0" w:color="000000"/>
              <w:right w:val="single" w:sz="4" w:space="0" w:color="auto"/>
            </w:tcBorders>
            <w:tcMar>
              <w:top w:w="13" w:type="dxa"/>
              <w:left w:w="13" w:type="dxa"/>
              <w:bottom w:w="0" w:type="dxa"/>
              <w:right w:w="13" w:type="dxa"/>
            </w:tcMar>
            <w:vAlign w:val="bottom"/>
          </w:tcPr>
          <w:p w:rsidR="00145BF4" w:rsidRPr="00732305" w:rsidRDefault="00145BF4" w:rsidP="00573E4B">
            <w:pPr>
              <w:spacing w:before="60" w:after="60"/>
              <w:jc w:val="center"/>
              <w:rPr>
                <w:rFonts w:eastAsia="Arial Unicode MS"/>
                <w:sz w:val="20"/>
                <w:lang w:eastAsia="ja-JP"/>
              </w:rPr>
            </w:pPr>
            <w:proofErr w:type="spellStart"/>
            <w:r w:rsidRPr="00732305">
              <w:rPr>
                <w:sz w:val="20"/>
                <w:lang w:eastAsia="ja-JP"/>
              </w:rPr>
              <w:t>Osmolaritet</w:t>
            </w:r>
            <w:proofErr w:type="spellEnd"/>
            <w:r w:rsidRPr="00732305">
              <w:rPr>
                <w:sz w:val="20"/>
                <w:lang w:eastAsia="ja-JP"/>
              </w:rPr>
              <w:t xml:space="preserve"> ca.</w:t>
            </w:r>
          </w:p>
        </w:tc>
        <w:tc>
          <w:tcPr>
            <w:tcW w:w="1272" w:type="dxa"/>
            <w:tcBorders>
              <w:top w:val="single" w:sz="4" w:space="0" w:color="auto"/>
              <w:left w:val="nil"/>
              <w:bottom w:val="single" w:sz="4" w:space="0" w:color="auto"/>
              <w:right w:val="single" w:sz="4" w:space="0" w:color="auto"/>
            </w:tcBorders>
            <w:vAlign w:val="bottom"/>
          </w:tcPr>
          <w:p w:rsidR="00145BF4" w:rsidRPr="00732305" w:rsidRDefault="00145BF4" w:rsidP="00573E4B">
            <w:pPr>
              <w:spacing w:before="60" w:after="60"/>
              <w:jc w:val="center"/>
              <w:rPr>
                <w:sz w:val="20"/>
                <w:lang w:eastAsia="ja-JP"/>
              </w:rPr>
            </w:pPr>
            <w:r w:rsidRPr="00732305">
              <w:rPr>
                <w:sz w:val="20"/>
                <w:lang w:eastAsia="ja-JP"/>
              </w:rPr>
              <w:t>1130 </w:t>
            </w:r>
            <w:proofErr w:type="spellStart"/>
            <w:r w:rsidRPr="00732305">
              <w:rPr>
                <w:sz w:val="20"/>
                <w:lang w:eastAsia="ja-JP"/>
              </w:rPr>
              <w:t>mosm</w:t>
            </w:r>
            <w:proofErr w:type="spellEnd"/>
            <w:r w:rsidRPr="00732305">
              <w:rPr>
                <w:sz w:val="20"/>
                <w:lang w:eastAsia="ja-JP"/>
              </w:rPr>
              <w:t>/l</w:t>
            </w:r>
          </w:p>
        </w:tc>
        <w:tc>
          <w:tcPr>
            <w:tcW w:w="1272" w:type="dxa"/>
            <w:tcBorders>
              <w:top w:val="nil"/>
              <w:left w:val="single" w:sz="4" w:space="0" w:color="auto"/>
              <w:bottom w:val="single" w:sz="6" w:space="0" w:color="000000"/>
              <w:right w:val="single" w:sz="4" w:space="0" w:color="auto"/>
            </w:tcBorders>
            <w:noWrap/>
            <w:tcMar>
              <w:top w:w="13" w:type="dxa"/>
              <w:left w:w="13" w:type="dxa"/>
              <w:bottom w:w="0" w:type="dxa"/>
              <w:right w:w="13" w:type="dxa"/>
            </w:tcMar>
            <w:vAlign w:val="bottom"/>
          </w:tcPr>
          <w:p w:rsidR="00145BF4" w:rsidRPr="00732305" w:rsidRDefault="00145BF4" w:rsidP="00573E4B">
            <w:pPr>
              <w:spacing w:before="60" w:after="60"/>
              <w:jc w:val="center"/>
              <w:rPr>
                <w:rFonts w:eastAsia="Arial Unicode MS"/>
                <w:sz w:val="20"/>
                <w:lang w:eastAsia="ja-JP"/>
              </w:rPr>
            </w:pPr>
            <w:r w:rsidRPr="00732305">
              <w:rPr>
                <w:sz w:val="20"/>
                <w:lang w:eastAsia="ja-JP"/>
              </w:rPr>
              <w:t>1130 </w:t>
            </w:r>
            <w:proofErr w:type="spellStart"/>
            <w:r w:rsidRPr="00732305">
              <w:rPr>
                <w:sz w:val="20"/>
                <w:lang w:eastAsia="ja-JP"/>
              </w:rPr>
              <w:t>mosm</w:t>
            </w:r>
            <w:proofErr w:type="spellEnd"/>
            <w:r w:rsidRPr="00732305">
              <w:rPr>
                <w:sz w:val="20"/>
                <w:lang w:eastAsia="ja-JP"/>
              </w:rPr>
              <w:t>/l</w:t>
            </w:r>
          </w:p>
        </w:tc>
        <w:tc>
          <w:tcPr>
            <w:tcW w:w="1412" w:type="dxa"/>
            <w:tcBorders>
              <w:top w:val="nil"/>
              <w:left w:val="nil"/>
              <w:bottom w:val="single" w:sz="6" w:space="0" w:color="000000"/>
              <w:right w:val="single" w:sz="4" w:space="0" w:color="auto"/>
            </w:tcBorders>
            <w:noWrap/>
            <w:tcMar>
              <w:top w:w="13" w:type="dxa"/>
              <w:left w:w="13" w:type="dxa"/>
              <w:bottom w:w="0" w:type="dxa"/>
              <w:right w:w="13" w:type="dxa"/>
            </w:tcMar>
            <w:vAlign w:val="bottom"/>
          </w:tcPr>
          <w:p w:rsidR="00145BF4" w:rsidRPr="00732305" w:rsidRDefault="00145BF4" w:rsidP="00573E4B">
            <w:pPr>
              <w:spacing w:before="60" w:after="60"/>
              <w:jc w:val="center"/>
              <w:rPr>
                <w:rFonts w:eastAsia="Arial Unicode MS"/>
                <w:sz w:val="20"/>
                <w:lang w:eastAsia="ja-JP"/>
              </w:rPr>
            </w:pPr>
            <w:r w:rsidRPr="00732305">
              <w:rPr>
                <w:sz w:val="20"/>
                <w:lang w:eastAsia="ja-JP"/>
              </w:rPr>
              <w:t>1130 </w:t>
            </w:r>
            <w:proofErr w:type="spellStart"/>
            <w:r w:rsidRPr="00732305">
              <w:rPr>
                <w:sz w:val="20"/>
                <w:lang w:eastAsia="ja-JP"/>
              </w:rPr>
              <w:t>mosm</w:t>
            </w:r>
            <w:proofErr w:type="spellEnd"/>
            <w:r w:rsidRPr="00732305">
              <w:rPr>
                <w:sz w:val="20"/>
                <w:lang w:eastAsia="ja-JP"/>
              </w:rPr>
              <w:t>/l</w:t>
            </w:r>
          </w:p>
        </w:tc>
        <w:tc>
          <w:tcPr>
            <w:tcW w:w="1413" w:type="dxa"/>
            <w:tcBorders>
              <w:top w:val="nil"/>
              <w:left w:val="nil"/>
              <w:bottom w:val="single" w:sz="6" w:space="0" w:color="000000"/>
              <w:right w:val="single" w:sz="4" w:space="0" w:color="auto"/>
            </w:tcBorders>
            <w:noWrap/>
            <w:tcMar>
              <w:top w:w="13" w:type="dxa"/>
              <w:left w:w="13" w:type="dxa"/>
              <w:bottom w:w="0" w:type="dxa"/>
              <w:right w:w="13" w:type="dxa"/>
            </w:tcMar>
            <w:vAlign w:val="bottom"/>
          </w:tcPr>
          <w:p w:rsidR="00145BF4" w:rsidRPr="00732305" w:rsidRDefault="00145BF4" w:rsidP="00573E4B">
            <w:pPr>
              <w:spacing w:before="60" w:after="60"/>
              <w:jc w:val="center"/>
              <w:rPr>
                <w:rFonts w:eastAsia="Arial Unicode MS"/>
                <w:sz w:val="20"/>
                <w:lang w:eastAsia="ja-JP"/>
              </w:rPr>
            </w:pPr>
            <w:r w:rsidRPr="00732305">
              <w:rPr>
                <w:sz w:val="20"/>
                <w:lang w:eastAsia="ja-JP"/>
              </w:rPr>
              <w:t>1130 </w:t>
            </w:r>
            <w:proofErr w:type="spellStart"/>
            <w:r w:rsidRPr="00732305">
              <w:rPr>
                <w:sz w:val="20"/>
                <w:lang w:eastAsia="ja-JP"/>
              </w:rPr>
              <w:t>mosm</w:t>
            </w:r>
            <w:proofErr w:type="spellEnd"/>
            <w:r w:rsidRPr="00732305">
              <w:rPr>
                <w:sz w:val="20"/>
                <w:lang w:eastAsia="ja-JP"/>
              </w:rPr>
              <w:t>/l</w:t>
            </w:r>
          </w:p>
        </w:tc>
      </w:tr>
      <w:tr w:rsidR="00145BF4" w:rsidRPr="00732305" w:rsidTr="00573E4B">
        <w:trPr>
          <w:trHeight w:val="255"/>
          <w:jc w:val="center"/>
        </w:trPr>
        <w:tc>
          <w:tcPr>
            <w:tcW w:w="8550" w:type="dxa"/>
            <w:gridSpan w:val="5"/>
            <w:tcBorders>
              <w:top w:val="single" w:sz="6" w:space="0" w:color="000000"/>
            </w:tcBorders>
            <w:shd w:val="clear" w:color="auto" w:fill="auto"/>
            <w:tcMar>
              <w:top w:w="13" w:type="dxa"/>
              <w:left w:w="13" w:type="dxa"/>
              <w:bottom w:w="0" w:type="dxa"/>
              <w:right w:w="13" w:type="dxa"/>
            </w:tcMar>
            <w:vAlign w:val="bottom"/>
          </w:tcPr>
          <w:p w:rsidR="00145BF4" w:rsidRPr="00732305" w:rsidRDefault="00145BF4" w:rsidP="00573E4B">
            <w:pPr>
              <w:numPr>
                <w:ilvl w:val="0"/>
                <w:numId w:val="10"/>
              </w:numPr>
              <w:rPr>
                <w:rFonts w:eastAsia="Arial Unicode MS"/>
                <w:sz w:val="20"/>
                <w:lang w:eastAsia="ja-JP"/>
              </w:rPr>
            </w:pPr>
            <w:bookmarkStart w:id="2" w:name="_Ref496516169"/>
            <w:r w:rsidRPr="00732305">
              <w:rPr>
                <w:sz w:val="20"/>
                <w:lang w:eastAsia="ja-JP"/>
              </w:rPr>
              <w:t xml:space="preserve">Inkl. kalorier fra renset </w:t>
            </w:r>
            <w:proofErr w:type="spellStart"/>
            <w:r w:rsidR="00136A1C" w:rsidRPr="00136A1C">
              <w:rPr>
                <w:sz w:val="20"/>
              </w:rPr>
              <w:t>ægphospholipider</w:t>
            </w:r>
            <w:proofErr w:type="spellEnd"/>
            <w:r w:rsidRPr="00136A1C">
              <w:rPr>
                <w:sz w:val="20"/>
                <w:lang w:eastAsia="ja-JP"/>
              </w:rPr>
              <w:t>.</w:t>
            </w:r>
          </w:p>
          <w:p w:rsidR="00145BF4" w:rsidRPr="00732305" w:rsidRDefault="00145BF4" w:rsidP="00573E4B">
            <w:pPr>
              <w:numPr>
                <w:ilvl w:val="0"/>
                <w:numId w:val="10"/>
              </w:numPr>
              <w:rPr>
                <w:rFonts w:eastAsia="Arial Unicode MS"/>
                <w:sz w:val="20"/>
                <w:lang w:eastAsia="ja-JP"/>
              </w:rPr>
            </w:pPr>
            <w:bookmarkStart w:id="3" w:name="_Ref496516216"/>
            <w:r w:rsidRPr="00732305">
              <w:rPr>
                <w:sz w:val="20"/>
                <w:lang w:eastAsia="ja-JP"/>
              </w:rPr>
              <w:t xml:space="preserve">Inkl. </w:t>
            </w:r>
            <w:proofErr w:type="spellStart"/>
            <w:r w:rsidRPr="00732305">
              <w:rPr>
                <w:sz w:val="20"/>
                <w:lang w:eastAsia="ja-JP"/>
              </w:rPr>
              <w:t>phosphat</w:t>
            </w:r>
            <w:proofErr w:type="spellEnd"/>
            <w:r w:rsidRPr="00732305">
              <w:rPr>
                <w:sz w:val="20"/>
                <w:lang w:eastAsia="ja-JP"/>
              </w:rPr>
              <w:t xml:space="preserve"> fra fedtemulsionen</w:t>
            </w:r>
            <w:bookmarkEnd w:id="3"/>
            <w:r w:rsidRPr="00732305">
              <w:rPr>
                <w:sz w:val="20"/>
                <w:lang w:eastAsia="ja-JP"/>
              </w:rPr>
              <w:t>.</w:t>
            </w:r>
          </w:p>
        </w:tc>
        <w:bookmarkEnd w:id="2"/>
      </w:tr>
    </w:tbl>
    <w:p w:rsidR="00145BF4" w:rsidRDefault="00145BF4" w:rsidP="00145BF4">
      <w:pPr>
        <w:tabs>
          <w:tab w:val="left" w:pos="851"/>
        </w:tabs>
        <w:ind w:left="851"/>
        <w:rPr>
          <w:sz w:val="24"/>
          <w:szCs w:val="24"/>
        </w:rPr>
      </w:pPr>
    </w:p>
    <w:p w:rsidR="00145BF4" w:rsidRPr="00732305" w:rsidRDefault="00145BF4" w:rsidP="00145BF4">
      <w:pPr>
        <w:ind w:left="851"/>
        <w:rPr>
          <w:rFonts w:eastAsia="MS Mincho"/>
          <w:sz w:val="24"/>
          <w:szCs w:val="24"/>
          <w:lang w:eastAsia="ja-JP"/>
        </w:rPr>
      </w:pPr>
      <w:r w:rsidRPr="00732305">
        <w:rPr>
          <w:rFonts w:eastAsia="MS Mincho"/>
          <w:sz w:val="24"/>
          <w:szCs w:val="24"/>
          <w:lang w:eastAsia="ja-JP"/>
        </w:rPr>
        <w:t>Alle hjælpestoffer er anført under pkt. 6.1</w:t>
      </w:r>
    </w:p>
    <w:p w:rsidR="00145BF4" w:rsidRPr="00732305" w:rsidRDefault="00145BF4" w:rsidP="00145BF4">
      <w:pPr>
        <w:tabs>
          <w:tab w:val="left" w:pos="851"/>
        </w:tabs>
        <w:ind w:left="851"/>
        <w:rPr>
          <w:sz w:val="24"/>
          <w:szCs w:val="24"/>
        </w:rPr>
      </w:pPr>
    </w:p>
    <w:p w:rsidR="00145BF4" w:rsidRPr="00732305" w:rsidRDefault="00145BF4" w:rsidP="00145BF4">
      <w:pPr>
        <w:tabs>
          <w:tab w:val="left" w:pos="851"/>
        </w:tabs>
        <w:ind w:left="851" w:hanging="851"/>
        <w:rPr>
          <w:b/>
          <w:sz w:val="24"/>
          <w:szCs w:val="24"/>
        </w:rPr>
      </w:pPr>
      <w:r w:rsidRPr="00732305">
        <w:rPr>
          <w:b/>
          <w:sz w:val="24"/>
          <w:szCs w:val="24"/>
        </w:rPr>
        <w:t>3.</w:t>
      </w:r>
      <w:r w:rsidRPr="00732305">
        <w:rPr>
          <w:b/>
          <w:sz w:val="24"/>
          <w:szCs w:val="24"/>
        </w:rPr>
        <w:tab/>
        <w:t>LÆGEMIDDELFORM</w:t>
      </w:r>
    </w:p>
    <w:p w:rsidR="00145BF4" w:rsidRPr="00732305" w:rsidRDefault="00145BF4" w:rsidP="00145BF4">
      <w:pPr>
        <w:tabs>
          <w:tab w:val="left" w:pos="851"/>
        </w:tabs>
        <w:ind w:left="851"/>
        <w:rPr>
          <w:sz w:val="24"/>
          <w:szCs w:val="24"/>
        </w:rPr>
      </w:pPr>
      <w:r w:rsidRPr="00732305">
        <w:rPr>
          <w:sz w:val="24"/>
          <w:szCs w:val="24"/>
        </w:rPr>
        <w:t xml:space="preserve">Efter </w:t>
      </w:r>
      <w:proofErr w:type="spellStart"/>
      <w:r w:rsidRPr="00732305">
        <w:rPr>
          <w:sz w:val="24"/>
          <w:szCs w:val="24"/>
        </w:rPr>
        <w:t>rekonstitution</w:t>
      </w:r>
      <w:proofErr w:type="spellEnd"/>
      <w:r w:rsidRPr="00732305">
        <w:rPr>
          <w:sz w:val="24"/>
          <w:szCs w:val="24"/>
        </w:rPr>
        <w:t>: Infusionsvæske, emulsion.</w:t>
      </w:r>
    </w:p>
    <w:p w:rsidR="00145BF4" w:rsidRPr="00732305" w:rsidRDefault="00145BF4" w:rsidP="00145BF4">
      <w:pPr>
        <w:tabs>
          <w:tab w:val="left" w:pos="851"/>
        </w:tabs>
        <w:ind w:left="851"/>
        <w:rPr>
          <w:sz w:val="24"/>
          <w:szCs w:val="24"/>
        </w:rPr>
      </w:pPr>
    </w:p>
    <w:p w:rsidR="00145BF4" w:rsidRDefault="00145BF4" w:rsidP="00145BF4">
      <w:pPr>
        <w:tabs>
          <w:tab w:val="left" w:pos="851"/>
        </w:tabs>
        <w:ind w:left="851"/>
        <w:rPr>
          <w:sz w:val="24"/>
          <w:szCs w:val="24"/>
        </w:rPr>
      </w:pPr>
      <w:r w:rsidRPr="00732305">
        <w:rPr>
          <w:sz w:val="24"/>
          <w:szCs w:val="24"/>
        </w:rPr>
        <w:t>Udseende inden blanding:</w:t>
      </w:r>
    </w:p>
    <w:p w:rsidR="00145BF4" w:rsidRPr="00732305" w:rsidRDefault="00145BF4" w:rsidP="00145BF4">
      <w:pPr>
        <w:tabs>
          <w:tab w:val="left" w:pos="851"/>
        </w:tabs>
        <w:ind w:left="851"/>
        <w:rPr>
          <w:sz w:val="24"/>
          <w:szCs w:val="24"/>
        </w:rPr>
      </w:pPr>
    </w:p>
    <w:p w:rsidR="00145BF4" w:rsidRPr="00732305" w:rsidRDefault="00145BF4" w:rsidP="00145BF4">
      <w:pPr>
        <w:numPr>
          <w:ilvl w:val="0"/>
          <w:numId w:val="11"/>
        </w:numPr>
        <w:tabs>
          <w:tab w:val="left" w:pos="851"/>
        </w:tabs>
        <w:rPr>
          <w:sz w:val="24"/>
          <w:szCs w:val="24"/>
        </w:rPr>
      </w:pPr>
      <w:r w:rsidRPr="00732305">
        <w:rPr>
          <w:sz w:val="24"/>
          <w:szCs w:val="24"/>
        </w:rPr>
        <w:t xml:space="preserve">Aminosyre- og </w:t>
      </w:r>
      <w:proofErr w:type="spellStart"/>
      <w:r w:rsidRPr="00732305">
        <w:rPr>
          <w:sz w:val="24"/>
          <w:szCs w:val="24"/>
        </w:rPr>
        <w:t>glucoseopløsningerne</w:t>
      </w:r>
      <w:proofErr w:type="spellEnd"/>
      <w:r w:rsidRPr="00732305">
        <w:rPr>
          <w:sz w:val="24"/>
          <w:szCs w:val="24"/>
        </w:rPr>
        <w:t xml:space="preserve"> er klare, farveløse eller svagt gule. </w:t>
      </w:r>
    </w:p>
    <w:p w:rsidR="00145BF4" w:rsidRPr="00732305" w:rsidRDefault="00145BF4" w:rsidP="00145BF4">
      <w:pPr>
        <w:numPr>
          <w:ilvl w:val="0"/>
          <w:numId w:val="11"/>
        </w:numPr>
        <w:tabs>
          <w:tab w:val="left" w:pos="851"/>
        </w:tabs>
        <w:rPr>
          <w:sz w:val="24"/>
          <w:szCs w:val="24"/>
        </w:rPr>
      </w:pPr>
      <w:r w:rsidRPr="00732305">
        <w:rPr>
          <w:sz w:val="24"/>
          <w:szCs w:val="24"/>
        </w:rPr>
        <w:t>Fedtemulsionen er homogen med et mælkeagtigt udseende.</w:t>
      </w:r>
    </w:p>
    <w:p w:rsidR="00145BF4" w:rsidRPr="00732305" w:rsidRDefault="00145BF4" w:rsidP="00145BF4">
      <w:pPr>
        <w:tabs>
          <w:tab w:val="left" w:pos="851"/>
        </w:tabs>
        <w:ind w:left="851"/>
        <w:rPr>
          <w:sz w:val="24"/>
          <w:szCs w:val="24"/>
        </w:rPr>
      </w:pPr>
    </w:p>
    <w:p w:rsidR="00145BF4" w:rsidRPr="00732305" w:rsidRDefault="00145BF4" w:rsidP="00145BF4">
      <w:pPr>
        <w:tabs>
          <w:tab w:val="left" w:pos="851"/>
        </w:tabs>
        <w:ind w:left="851"/>
        <w:rPr>
          <w:sz w:val="24"/>
          <w:szCs w:val="24"/>
        </w:rPr>
      </w:pPr>
    </w:p>
    <w:p w:rsidR="00145BF4" w:rsidRPr="00732305" w:rsidRDefault="00145BF4" w:rsidP="00145BF4">
      <w:pPr>
        <w:tabs>
          <w:tab w:val="left" w:pos="851"/>
        </w:tabs>
        <w:ind w:left="851" w:hanging="851"/>
        <w:rPr>
          <w:b/>
          <w:sz w:val="24"/>
          <w:szCs w:val="24"/>
        </w:rPr>
      </w:pPr>
      <w:r w:rsidRPr="00732305">
        <w:rPr>
          <w:b/>
          <w:sz w:val="24"/>
          <w:szCs w:val="24"/>
        </w:rPr>
        <w:t>4.</w:t>
      </w:r>
      <w:r w:rsidRPr="00732305">
        <w:rPr>
          <w:b/>
          <w:sz w:val="24"/>
          <w:szCs w:val="24"/>
        </w:rPr>
        <w:tab/>
        <w:t>KLINISKE OPLYSNINGER</w:t>
      </w:r>
    </w:p>
    <w:p w:rsidR="00145BF4" w:rsidRPr="00732305" w:rsidRDefault="00145BF4" w:rsidP="00145BF4">
      <w:pPr>
        <w:tabs>
          <w:tab w:val="left" w:pos="851"/>
        </w:tabs>
        <w:ind w:left="851"/>
        <w:rPr>
          <w:b/>
          <w:sz w:val="24"/>
          <w:szCs w:val="24"/>
        </w:rPr>
      </w:pPr>
    </w:p>
    <w:p w:rsidR="00145BF4" w:rsidRPr="00732305" w:rsidRDefault="00145BF4" w:rsidP="00145BF4">
      <w:pPr>
        <w:tabs>
          <w:tab w:val="left" w:pos="851"/>
        </w:tabs>
        <w:ind w:left="851" w:hanging="851"/>
        <w:rPr>
          <w:b/>
          <w:sz w:val="24"/>
          <w:szCs w:val="24"/>
          <w:u w:val="single"/>
        </w:rPr>
      </w:pPr>
      <w:r w:rsidRPr="00732305">
        <w:rPr>
          <w:b/>
          <w:sz w:val="24"/>
          <w:szCs w:val="24"/>
        </w:rPr>
        <w:t>4.1</w:t>
      </w:r>
      <w:r w:rsidRPr="00732305">
        <w:rPr>
          <w:b/>
          <w:sz w:val="24"/>
          <w:szCs w:val="24"/>
        </w:rPr>
        <w:tab/>
        <w:t>Terapeutiske indikationer</w:t>
      </w:r>
    </w:p>
    <w:p w:rsidR="00145BF4" w:rsidRPr="00732305" w:rsidRDefault="00145BF4" w:rsidP="00145BF4">
      <w:pPr>
        <w:tabs>
          <w:tab w:val="left" w:pos="851"/>
        </w:tabs>
        <w:ind w:left="851"/>
        <w:rPr>
          <w:sz w:val="24"/>
          <w:szCs w:val="24"/>
        </w:rPr>
      </w:pPr>
      <w:proofErr w:type="spellStart"/>
      <w:r w:rsidRPr="00732305">
        <w:rPr>
          <w:sz w:val="24"/>
          <w:szCs w:val="24"/>
        </w:rPr>
        <w:t>Olimel</w:t>
      </w:r>
      <w:proofErr w:type="spellEnd"/>
      <w:r w:rsidRPr="00732305">
        <w:rPr>
          <w:sz w:val="24"/>
          <w:szCs w:val="24"/>
        </w:rPr>
        <w:t xml:space="preserve"> N12 er indiceret til parenteral ernæring til voksne og børn over 2 år, når oral eller </w:t>
      </w:r>
      <w:proofErr w:type="spellStart"/>
      <w:r w:rsidRPr="00732305">
        <w:rPr>
          <w:sz w:val="24"/>
          <w:szCs w:val="24"/>
        </w:rPr>
        <w:t>enteral</w:t>
      </w:r>
      <w:proofErr w:type="spellEnd"/>
      <w:r w:rsidRPr="00732305">
        <w:rPr>
          <w:sz w:val="24"/>
          <w:szCs w:val="24"/>
        </w:rPr>
        <w:t xml:space="preserve"> ernæring er umulig, utilstrækkelig eller kontraindiceret.</w:t>
      </w:r>
    </w:p>
    <w:p w:rsidR="00145BF4" w:rsidRPr="00732305" w:rsidRDefault="00145BF4" w:rsidP="00145BF4">
      <w:pPr>
        <w:tabs>
          <w:tab w:val="left" w:pos="851"/>
        </w:tabs>
        <w:ind w:left="851"/>
        <w:rPr>
          <w:sz w:val="24"/>
          <w:szCs w:val="24"/>
        </w:rPr>
      </w:pPr>
    </w:p>
    <w:p w:rsidR="00145BF4" w:rsidRPr="00732305" w:rsidRDefault="00145BF4" w:rsidP="00145BF4">
      <w:pPr>
        <w:tabs>
          <w:tab w:val="left" w:pos="851"/>
        </w:tabs>
        <w:ind w:left="851" w:hanging="851"/>
        <w:rPr>
          <w:b/>
          <w:sz w:val="24"/>
          <w:szCs w:val="24"/>
        </w:rPr>
      </w:pPr>
      <w:r w:rsidRPr="00732305">
        <w:rPr>
          <w:b/>
          <w:sz w:val="24"/>
          <w:szCs w:val="24"/>
        </w:rPr>
        <w:t>4.2</w:t>
      </w:r>
      <w:r w:rsidRPr="00732305">
        <w:rPr>
          <w:b/>
          <w:sz w:val="24"/>
          <w:szCs w:val="24"/>
        </w:rPr>
        <w:tab/>
        <w:t xml:space="preserve">Dosering og </w:t>
      </w:r>
      <w:r w:rsidR="00BF57C2">
        <w:rPr>
          <w:b/>
          <w:sz w:val="24"/>
          <w:szCs w:val="24"/>
        </w:rPr>
        <w:t>administration</w:t>
      </w:r>
    </w:p>
    <w:p w:rsidR="00145BF4" w:rsidRDefault="00145BF4" w:rsidP="00145BF4">
      <w:pPr>
        <w:tabs>
          <w:tab w:val="left" w:pos="851"/>
        </w:tabs>
        <w:ind w:left="851"/>
        <w:rPr>
          <w:b/>
          <w:sz w:val="24"/>
          <w:szCs w:val="24"/>
        </w:rPr>
      </w:pPr>
    </w:p>
    <w:p w:rsidR="00145BF4" w:rsidRPr="00732305" w:rsidRDefault="00145BF4" w:rsidP="00145BF4">
      <w:pPr>
        <w:tabs>
          <w:tab w:val="left" w:pos="851"/>
        </w:tabs>
        <w:ind w:left="851"/>
        <w:rPr>
          <w:b/>
          <w:sz w:val="24"/>
          <w:szCs w:val="24"/>
        </w:rPr>
      </w:pPr>
      <w:r w:rsidRPr="00732305">
        <w:rPr>
          <w:b/>
          <w:sz w:val="24"/>
          <w:szCs w:val="24"/>
        </w:rPr>
        <w:t>Dosering</w:t>
      </w:r>
    </w:p>
    <w:p w:rsidR="00145BF4" w:rsidRPr="00732305" w:rsidRDefault="00145BF4" w:rsidP="00145BF4">
      <w:pPr>
        <w:tabs>
          <w:tab w:val="left" w:pos="851"/>
        </w:tabs>
        <w:ind w:left="851"/>
        <w:rPr>
          <w:sz w:val="24"/>
          <w:szCs w:val="24"/>
        </w:rPr>
      </w:pPr>
      <w:proofErr w:type="spellStart"/>
      <w:r w:rsidRPr="00732305">
        <w:rPr>
          <w:sz w:val="24"/>
          <w:szCs w:val="24"/>
        </w:rPr>
        <w:t>Olimel</w:t>
      </w:r>
      <w:proofErr w:type="spellEnd"/>
      <w:r w:rsidRPr="00732305">
        <w:rPr>
          <w:sz w:val="24"/>
          <w:szCs w:val="24"/>
        </w:rPr>
        <w:t xml:space="preserve"> N12 bør ikke anvendes til børn under 2 år på grund af uhensigtsmæssig sammensætning og mængde (se pkt. 4.4, 5.1 og 5.2.).</w:t>
      </w:r>
    </w:p>
    <w:p w:rsidR="00145BF4" w:rsidRPr="00732305" w:rsidRDefault="00145BF4" w:rsidP="00145BF4">
      <w:pPr>
        <w:tabs>
          <w:tab w:val="left" w:pos="851"/>
        </w:tabs>
        <w:ind w:left="851"/>
        <w:rPr>
          <w:sz w:val="24"/>
          <w:szCs w:val="24"/>
        </w:rPr>
      </w:pPr>
    </w:p>
    <w:p w:rsidR="00145BF4" w:rsidRPr="00732305" w:rsidRDefault="00145BF4" w:rsidP="00145BF4">
      <w:pPr>
        <w:tabs>
          <w:tab w:val="left" w:pos="851"/>
        </w:tabs>
        <w:ind w:left="851"/>
        <w:rPr>
          <w:sz w:val="24"/>
          <w:szCs w:val="24"/>
        </w:rPr>
      </w:pPr>
      <w:r w:rsidRPr="00732305">
        <w:rPr>
          <w:sz w:val="24"/>
          <w:szCs w:val="24"/>
        </w:rPr>
        <w:t xml:space="preserve">Den maksimale daglige dosis angivet herunder bør ikke overskrides. På grund af den faste sammensætning af flerkammerposen kan det være umuligt at opfylde patientens samtlige behov for næringsstoffer. Der kan være kliniske situationer, hvor patienten kræver en sammensætning af næringsstoffer forskellig fra den faste sammensætning i poserne. I denne situation skal man tage enhver ændring af volumen (dosis) og den resulterende effekt, som dette vil have på samtlige </w:t>
      </w:r>
      <w:proofErr w:type="spellStart"/>
      <w:r w:rsidRPr="00732305">
        <w:rPr>
          <w:sz w:val="24"/>
          <w:szCs w:val="24"/>
        </w:rPr>
        <w:t>Olimel</w:t>
      </w:r>
      <w:proofErr w:type="spellEnd"/>
      <w:r w:rsidRPr="00732305">
        <w:rPr>
          <w:sz w:val="24"/>
          <w:szCs w:val="24"/>
        </w:rPr>
        <w:t xml:space="preserve"> N12’s ernæringskomponenter, i betragtning. I disse situationer kan sundhedspersonalet overveje at justere volumen (dosis) af </w:t>
      </w:r>
      <w:proofErr w:type="spellStart"/>
      <w:r w:rsidRPr="00732305">
        <w:rPr>
          <w:sz w:val="24"/>
          <w:szCs w:val="24"/>
        </w:rPr>
        <w:t>Olimel</w:t>
      </w:r>
      <w:proofErr w:type="spellEnd"/>
      <w:r w:rsidRPr="00732305">
        <w:rPr>
          <w:sz w:val="24"/>
          <w:szCs w:val="24"/>
        </w:rPr>
        <w:t xml:space="preserve"> N12 med henblik på at imødese disse øgede krav.</w:t>
      </w:r>
    </w:p>
    <w:p w:rsidR="00145BF4" w:rsidRPr="00732305" w:rsidRDefault="00145BF4" w:rsidP="00145BF4">
      <w:pPr>
        <w:tabs>
          <w:tab w:val="left" w:pos="851"/>
        </w:tabs>
        <w:ind w:left="851"/>
        <w:rPr>
          <w:bCs/>
          <w:iCs/>
          <w:sz w:val="24"/>
          <w:szCs w:val="24"/>
        </w:rPr>
      </w:pPr>
      <w:bookmarkStart w:id="4" w:name="_ISIW_UH_8"/>
    </w:p>
    <w:p w:rsidR="00145BF4" w:rsidRPr="00732305" w:rsidRDefault="00145BF4" w:rsidP="00145BF4">
      <w:pPr>
        <w:tabs>
          <w:tab w:val="left" w:pos="851"/>
        </w:tabs>
        <w:ind w:left="851"/>
        <w:rPr>
          <w:b/>
          <w:bCs/>
          <w:i/>
          <w:iCs/>
          <w:sz w:val="24"/>
          <w:szCs w:val="24"/>
        </w:rPr>
      </w:pPr>
      <w:r w:rsidRPr="00732305">
        <w:rPr>
          <w:b/>
          <w:bCs/>
          <w:i/>
          <w:iCs/>
          <w:sz w:val="24"/>
          <w:szCs w:val="24"/>
        </w:rPr>
        <w:t>Til voksne</w:t>
      </w:r>
    </w:p>
    <w:bookmarkEnd w:id="4"/>
    <w:p w:rsidR="00145BF4" w:rsidRPr="00732305" w:rsidRDefault="00145BF4" w:rsidP="00145BF4">
      <w:pPr>
        <w:tabs>
          <w:tab w:val="left" w:pos="851"/>
        </w:tabs>
        <w:ind w:left="851"/>
        <w:rPr>
          <w:sz w:val="24"/>
          <w:szCs w:val="24"/>
        </w:rPr>
      </w:pPr>
      <w:r w:rsidRPr="00732305">
        <w:rPr>
          <w:sz w:val="24"/>
          <w:szCs w:val="24"/>
        </w:rPr>
        <w:t xml:space="preserve">Dosis afhænger af patientens energiforbrug, kliniske tilstand, legemsvægt og evnen til at fordøje </w:t>
      </w:r>
      <w:proofErr w:type="spellStart"/>
      <w:r w:rsidRPr="00732305">
        <w:rPr>
          <w:sz w:val="24"/>
          <w:szCs w:val="24"/>
        </w:rPr>
        <w:t>Olimel</w:t>
      </w:r>
      <w:proofErr w:type="spellEnd"/>
      <w:r w:rsidRPr="00732305">
        <w:rPr>
          <w:sz w:val="24"/>
          <w:szCs w:val="24"/>
        </w:rPr>
        <w:t xml:space="preserve"> N12’s indholdsstoffer samt af yderligere energi eller proteiner, der gives oralt/enteralt. Derfor bør posestørrelsen vælges i henhold hertil.</w:t>
      </w:r>
    </w:p>
    <w:p w:rsidR="00145BF4" w:rsidRPr="00732305" w:rsidRDefault="00145BF4" w:rsidP="00145BF4">
      <w:pPr>
        <w:tabs>
          <w:tab w:val="left" w:pos="851"/>
        </w:tabs>
        <w:ind w:left="851"/>
        <w:rPr>
          <w:sz w:val="24"/>
          <w:szCs w:val="24"/>
        </w:rPr>
      </w:pPr>
    </w:p>
    <w:p w:rsidR="00145BF4" w:rsidRPr="00732305" w:rsidRDefault="00145BF4" w:rsidP="00145BF4">
      <w:pPr>
        <w:tabs>
          <w:tab w:val="left" w:pos="851"/>
        </w:tabs>
        <w:ind w:left="851"/>
        <w:rPr>
          <w:sz w:val="24"/>
          <w:szCs w:val="24"/>
        </w:rPr>
      </w:pPr>
      <w:r w:rsidRPr="00732305">
        <w:rPr>
          <w:sz w:val="24"/>
          <w:szCs w:val="24"/>
        </w:rPr>
        <w:t>De gennemsnitlige daglige behov er:</w:t>
      </w:r>
    </w:p>
    <w:p w:rsidR="00145BF4" w:rsidRPr="00732305" w:rsidRDefault="00145BF4" w:rsidP="00145BF4">
      <w:pPr>
        <w:tabs>
          <w:tab w:val="left" w:pos="851"/>
        </w:tabs>
        <w:ind w:left="851"/>
        <w:rPr>
          <w:sz w:val="24"/>
          <w:szCs w:val="24"/>
        </w:rPr>
      </w:pPr>
    </w:p>
    <w:p w:rsidR="00145BF4" w:rsidRPr="00732305" w:rsidRDefault="00145BF4" w:rsidP="00145BF4">
      <w:pPr>
        <w:pStyle w:val="Opstilling-punkttegn2"/>
        <w:tabs>
          <w:tab w:val="clear" w:pos="1080"/>
          <w:tab w:val="num" w:pos="1211"/>
        </w:tabs>
        <w:spacing w:before="0" w:after="0" w:line="240" w:lineRule="auto"/>
        <w:ind w:left="1211"/>
      </w:pPr>
      <w:r w:rsidRPr="00732305">
        <w:t xml:space="preserve">0,16 til 0,35 g nitrogen /kg legemsvægt (1 til 2 g aminosyrer/kg), afhængigt af patientens ernæringstilstand og grad af </w:t>
      </w:r>
      <w:proofErr w:type="spellStart"/>
      <w:r w:rsidRPr="00732305">
        <w:t>katabolisme</w:t>
      </w:r>
      <w:proofErr w:type="spellEnd"/>
      <w:r w:rsidRPr="00732305">
        <w:t xml:space="preserve">. </w:t>
      </w:r>
      <w:r w:rsidRPr="00732305">
        <w:rPr>
          <w:bCs/>
          <w:color w:val="000000"/>
        </w:rPr>
        <w:t>Specielle befolkningsgrupper kan kræve op til 0,4 g nitrogen/kg legemsvægt (2,5 g aminosyrer/kg).</w:t>
      </w:r>
      <w:r w:rsidRPr="00732305">
        <w:t xml:space="preserve"> </w:t>
      </w:r>
    </w:p>
    <w:p w:rsidR="00145BF4" w:rsidRPr="00732305" w:rsidRDefault="00145BF4" w:rsidP="00145BF4">
      <w:pPr>
        <w:pStyle w:val="Opstilling-punkttegn2"/>
        <w:tabs>
          <w:tab w:val="clear" w:pos="1080"/>
          <w:tab w:val="num" w:pos="1211"/>
        </w:tabs>
        <w:spacing w:before="0" w:after="0" w:line="240" w:lineRule="auto"/>
        <w:ind w:left="1211"/>
      </w:pPr>
      <w:r w:rsidRPr="00732305">
        <w:t xml:space="preserve">20 til 40 kcal/kg, </w:t>
      </w:r>
    </w:p>
    <w:p w:rsidR="00145BF4" w:rsidRPr="00732305" w:rsidRDefault="00145BF4" w:rsidP="00145BF4">
      <w:pPr>
        <w:pStyle w:val="Opstilling-punkttegn2"/>
        <w:tabs>
          <w:tab w:val="clear" w:pos="1080"/>
          <w:tab w:val="num" w:pos="1211"/>
        </w:tabs>
        <w:spacing w:before="0" w:after="0" w:line="240" w:lineRule="auto"/>
        <w:ind w:left="1211"/>
      </w:pPr>
      <w:r w:rsidRPr="00732305">
        <w:t>20 til 40 ml væske/kg eller 1 til 1,5 ml pr. forbrugt kcal.</w:t>
      </w:r>
    </w:p>
    <w:p w:rsidR="00145BF4" w:rsidRPr="00732305" w:rsidRDefault="00145BF4" w:rsidP="00145BF4">
      <w:pPr>
        <w:tabs>
          <w:tab w:val="left" w:pos="851"/>
        </w:tabs>
        <w:ind w:left="851"/>
        <w:rPr>
          <w:sz w:val="24"/>
          <w:szCs w:val="24"/>
        </w:rPr>
      </w:pPr>
    </w:p>
    <w:p w:rsidR="00145BF4" w:rsidRPr="00732305" w:rsidRDefault="00145BF4" w:rsidP="00145BF4">
      <w:pPr>
        <w:tabs>
          <w:tab w:val="left" w:pos="851"/>
        </w:tabs>
        <w:ind w:left="851"/>
        <w:rPr>
          <w:sz w:val="24"/>
          <w:szCs w:val="24"/>
        </w:rPr>
      </w:pPr>
      <w:r w:rsidRPr="00732305">
        <w:rPr>
          <w:sz w:val="24"/>
          <w:szCs w:val="24"/>
        </w:rPr>
        <w:t xml:space="preserve">For </w:t>
      </w:r>
      <w:proofErr w:type="spellStart"/>
      <w:r w:rsidRPr="00732305">
        <w:rPr>
          <w:sz w:val="24"/>
          <w:szCs w:val="24"/>
        </w:rPr>
        <w:t>Olimel</w:t>
      </w:r>
      <w:proofErr w:type="spellEnd"/>
      <w:r w:rsidRPr="00732305">
        <w:rPr>
          <w:sz w:val="24"/>
          <w:szCs w:val="24"/>
        </w:rPr>
        <w:t xml:space="preserve"> N12 bestemmes den maksimale daglige dosis af indtagelse af aminosyrer, 26 ml/kg svarende til 2,0 g/kg aminosyrer, 1,9 g/kg </w:t>
      </w:r>
      <w:proofErr w:type="spellStart"/>
      <w:r w:rsidRPr="00732305">
        <w:rPr>
          <w:sz w:val="24"/>
          <w:szCs w:val="24"/>
        </w:rPr>
        <w:t>glucose</w:t>
      </w:r>
      <w:proofErr w:type="spellEnd"/>
      <w:r w:rsidRPr="00732305">
        <w:rPr>
          <w:sz w:val="24"/>
          <w:szCs w:val="24"/>
        </w:rPr>
        <w:t xml:space="preserve"> og 0,9 g/kg fedt. For en patient på 70 kg svarer dette til 1820 ml </w:t>
      </w:r>
      <w:proofErr w:type="spellStart"/>
      <w:r w:rsidRPr="00732305">
        <w:rPr>
          <w:sz w:val="24"/>
          <w:szCs w:val="24"/>
        </w:rPr>
        <w:t>Olimel</w:t>
      </w:r>
      <w:proofErr w:type="spellEnd"/>
      <w:r w:rsidRPr="00732305">
        <w:rPr>
          <w:sz w:val="24"/>
          <w:szCs w:val="24"/>
        </w:rPr>
        <w:t xml:space="preserve"> N12 pr. dag, hvilket betyder en indtagelse af 138 g aminosyrer, 133 g </w:t>
      </w:r>
      <w:proofErr w:type="spellStart"/>
      <w:r w:rsidRPr="00732305">
        <w:rPr>
          <w:sz w:val="24"/>
          <w:szCs w:val="24"/>
        </w:rPr>
        <w:t>glucose</w:t>
      </w:r>
      <w:proofErr w:type="spellEnd"/>
      <w:r w:rsidRPr="00732305">
        <w:rPr>
          <w:sz w:val="24"/>
          <w:szCs w:val="24"/>
        </w:rPr>
        <w:t xml:space="preserve"> og 64 g fedt (dvs. 1171 non-protein-kcal og 1723 kcal i alt).</w:t>
      </w:r>
    </w:p>
    <w:p w:rsidR="00145BF4" w:rsidRPr="00732305" w:rsidRDefault="00145BF4" w:rsidP="00145BF4">
      <w:pPr>
        <w:tabs>
          <w:tab w:val="left" w:pos="851"/>
        </w:tabs>
        <w:ind w:left="851"/>
        <w:rPr>
          <w:sz w:val="24"/>
          <w:szCs w:val="24"/>
        </w:rPr>
      </w:pPr>
    </w:p>
    <w:p w:rsidR="00145BF4" w:rsidRPr="00732305" w:rsidRDefault="00145BF4" w:rsidP="00145BF4">
      <w:pPr>
        <w:tabs>
          <w:tab w:val="left" w:pos="851"/>
        </w:tabs>
        <w:ind w:left="851"/>
        <w:rPr>
          <w:sz w:val="24"/>
          <w:szCs w:val="24"/>
        </w:rPr>
      </w:pPr>
      <w:r w:rsidRPr="00732305">
        <w:rPr>
          <w:i/>
          <w:sz w:val="24"/>
          <w:szCs w:val="24"/>
        </w:rPr>
        <w:t xml:space="preserve">Kontinuerlig nyreerstatningsbehandling (CRRT): </w:t>
      </w:r>
      <w:r w:rsidRPr="00732305">
        <w:rPr>
          <w:sz w:val="24"/>
          <w:szCs w:val="24"/>
        </w:rPr>
        <w:t xml:space="preserve">For </w:t>
      </w:r>
      <w:proofErr w:type="spellStart"/>
      <w:r w:rsidRPr="00732305">
        <w:rPr>
          <w:sz w:val="24"/>
          <w:szCs w:val="24"/>
        </w:rPr>
        <w:t>Olimel</w:t>
      </w:r>
      <w:proofErr w:type="spellEnd"/>
      <w:r w:rsidRPr="00732305">
        <w:rPr>
          <w:sz w:val="24"/>
          <w:szCs w:val="24"/>
        </w:rPr>
        <w:t xml:space="preserve"> N12 bestemmes den maksimale daglige dosis af indtagelse af aminosyrer, 33 ml/kg svarende til 2,5 g/kg </w:t>
      </w:r>
      <w:r w:rsidRPr="00732305">
        <w:rPr>
          <w:sz w:val="24"/>
          <w:szCs w:val="24"/>
        </w:rPr>
        <w:lastRenderedPageBreak/>
        <w:t xml:space="preserve">aminosyrer, 2,4 g/kg </w:t>
      </w:r>
      <w:proofErr w:type="spellStart"/>
      <w:r w:rsidRPr="00732305">
        <w:rPr>
          <w:sz w:val="24"/>
          <w:szCs w:val="24"/>
        </w:rPr>
        <w:t>glucose</w:t>
      </w:r>
      <w:proofErr w:type="spellEnd"/>
      <w:r w:rsidRPr="00732305">
        <w:rPr>
          <w:sz w:val="24"/>
          <w:szCs w:val="24"/>
        </w:rPr>
        <w:t xml:space="preserve"> og 1,2 g/kg fedt. For en patient på 70 kg svarer dette til 2310 ml </w:t>
      </w:r>
      <w:proofErr w:type="spellStart"/>
      <w:r w:rsidRPr="00732305">
        <w:rPr>
          <w:sz w:val="24"/>
          <w:szCs w:val="24"/>
        </w:rPr>
        <w:t>Olimel</w:t>
      </w:r>
      <w:proofErr w:type="spellEnd"/>
      <w:r w:rsidRPr="00732305">
        <w:rPr>
          <w:sz w:val="24"/>
          <w:szCs w:val="24"/>
        </w:rPr>
        <w:t xml:space="preserve"> N12 pr. dag, hvilket betyder en indtagelse af 175 g aminosyrer, 169 g </w:t>
      </w:r>
      <w:proofErr w:type="spellStart"/>
      <w:r w:rsidRPr="00732305">
        <w:rPr>
          <w:sz w:val="24"/>
          <w:szCs w:val="24"/>
        </w:rPr>
        <w:t>glucose</w:t>
      </w:r>
      <w:proofErr w:type="spellEnd"/>
      <w:r w:rsidRPr="00732305">
        <w:rPr>
          <w:sz w:val="24"/>
          <w:szCs w:val="24"/>
        </w:rPr>
        <w:t xml:space="preserve"> og 81 g fedt (dvs. 1486 non-protein-kcal og 2187 kcal i alt).</w:t>
      </w:r>
    </w:p>
    <w:p w:rsidR="00145BF4" w:rsidRPr="00732305" w:rsidRDefault="00145BF4" w:rsidP="00145BF4">
      <w:pPr>
        <w:tabs>
          <w:tab w:val="left" w:pos="851"/>
        </w:tabs>
        <w:ind w:left="851"/>
        <w:rPr>
          <w:sz w:val="24"/>
          <w:szCs w:val="24"/>
        </w:rPr>
      </w:pPr>
    </w:p>
    <w:p w:rsidR="00145BF4" w:rsidRPr="00732305" w:rsidRDefault="00145BF4" w:rsidP="00145BF4">
      <w:pPr>
        <w:tabs>
          <w:tab w:val="left" w:pos="851"/>
        </w:tabs>
        <w:ind w:left="851"/>
        <w:rPr>
          <w:sz w:val="24"/>
          <w:szCs w:val="24"/>
        </w:rPr>
      </w:pPr>
      <w:r w:rsidRPr="00732305">
        <w:rPr>
          <w:i/>
          <w:sz w:val="24"/>
          <w:szCs w:val="24"/>
        </w:rPr>
        <w:t xml:space="preserve">Patienter med sygelig overvægt: </w:t>
      </w:r>
      <w:r w:rsidRPr="00732305">
        <w:rPr>
          <w:sz w:val="24"/>
          <w:szCs w:val="24"/>
        </w:rPr>
        <w:t xml:space="preserve">Dosis skal beregnes på basis af idealvægten (IBW). For </w:t>
      </w:r>
      <w:proofErr w:type="spellStart"/>
      <w:r w:rsidRPr="00732305">
        <w:rPr>
          <w:sz w:val="24"/>
          <w:szCs w:val="24"/>
        </w:rPr>
        <w:t>Olimel</w:t>
      </w:r>
      <w:proofErr w:type="spellEnd"/>
      <w:r w:rsidRPr="00732305">
        <w:rPr>
          <w:sz w:val="24"/>
          <w:szCs w:val="24"/>
        </w:rPr>
        <w:t xml:space="preserve"> N12 bestemmes den maksimale daglige dosis af indtagelse af aminosyrer, 33 ml/kg/IBW svarende til 2,5 g/kg aminosyrer, 2,4 g/kg </w:t>
      </w:r>
      <w:proofErr w:type="spellStart"/>
      <w:r w:rsidRPr="00732305">
        <w:rPr>
          <w:sz w:val="24"/>
          <w:szCs w:val="24"/>
        </w:rPr>
        <w:t>glucose</w:t>
      </w:r>
      <w:proofErr w:type="spellEnd"/>
      <w:r w:rsidRPr="00732305">
        <w:rPr>
          <w:sz w:val="24"/>
          <w:szCs w:val="24"/>
        </w:rPr>
        <w:t xml:space="preserve"> og 1,2 g/kg fedt. For en patient på 70 kg svarer dette til 2310 ml </w:t>
      </w:r>
      <w:proofErr w:type="spellStart"/>
      <w:r w:rsidRPr="00732305">
        <w:rPr>
          <w:sz w:val="24"/>
          <w:szCs w:val="24"/>
        </w:rPr>
        <w:t>Olimel</w:t>
      </w:r>
      <w:proofErr w:type="spellEnd"/>
      <w:r w:rsidRPr="00732305">
        <w:rPr>
          <w:sz w:val="24"/>
          <w:szCs w:val="24"/>
        </w:rPr>
        <w:t xml:space="preserve"> N12 pr. dag, hvilket betyder en indtagelse af 175 g aminosyrer, 169 g </w:t>
      </w:r>
      <w:proofErr w:type="spellStart"/>
      <w:r w:rsidRPr="00732305">
        <w:rPr>
          <w:sz w:val="24"/>
          <w:szCs w:val="24"/>
        </w:rPr>
        <w:t>glucose</w:t>
      </w:r>
      <w:proofErr w:type="spellEnd"/>
      <w:r w:rsidRPr="00732305">
        <w:rPr>
          <w:sz w:val="24"/>
          <w:szCs w:val="24"/>
        </w:rPr>
        <w:t xml:space="preserve"> og 81 g fedt (dvs. 1486 non-protein-kcal og 2187 kcal i alt).</w:t>
      </w:r>
    </w:p>
    <w:p w:rsidR="00145BF4" w:rsidRPr="00732305" w:rsidRDefault="00145BF4" w:rsidP="00145BF4">
      <w:pPr>
        <w:tabs>
          <w:tab w:val="left" w:pos="851"/>
        </w:tabs>
        <w:ind w:left="851"/>
        <w:rPr>
          <w:sz w:val="24"/>
          <w:szCs w:val="24"/>
        </w:rPr>
      </w:pPr>
    </w:p>
    <w:p w:rsidR="00145BF4" w:rsidRPr="00732305" w:rsidRDefault="00145BF4" w:rsidP="00145BF4">
      <w:pPr>
        <w:tabs>
          <w:tab w:val="left" w:pos="851"/>
        </w:tabs>
        <w:ind w:left="851"/>
        <w:rPr>
          <w:sz w:val="24"/>
          <w:szCs w:val="24"/>
        </w:rPr>
      </w:pPr>
      <w:r w:rsidRPr="00732305">
        <w:rPr>
          <w:sz w:val="24"/>
          <w:szCs w:val="24"/>
        </w:rPr>
        <w:t>Normalt skal indgivelseshastigheden øges gradvist i løbet af den første time og derefter justeres i forhold til den indgivne dosis, den daglige mængde, der indgives, og infusionens varighed.</w:t>
      </w:r>
    </w:p>
    <w:p w:rsidR="00145BF4" w:rsidRPr="00732305" w:rsidRDefault="00145BF4" w:rsidP="00145BF4">
      <w:pPr>
        <w:tabs>
          <w:tab w:val="left" w:pos="851"/>
        </w:tabs>
        <w:ind w:left="851"/>
        <w:rPr>
          <w:sz w:val="24"/>
          <w:szCs w:val="24"/>
        </w:rPr>
      </w:pPr>
    </w:p>
    <w:p w:rsidR="00573E4B" w:rsidRDefault="00573E4B" w:rsidP="00573E4B">
      <w:pPr>
        <w:tabs>
          <w:tab w:val="left" w:pos="851"/>
        </w:tabs>
        <w:ind w:left="851"/>
        <w:rPr>
          <w:sz w:val="24"/>
          <w:szCs w:val="24"/>
        </w:rPr>
      </w:pPr>
      <w:bookmarkStart w:id="5" w:name="_ISIW_UH_9"/>
      <w:r>
        <w:rPr>
          <w:sz w:val="24"/>
          <w:szCs w:val="24"/>
        </w:rPr>
        <w:t xml:space="preserve">For </w:t>
      </w:r>
      <w:proofErr w:type="spellStart"/>
      <w:r>
        <w:rPr>
          <w:sz w:val="24"/>
          <w:szCs w:val="24"/>
        </w:rPr>
        <w:t>Olimel</w:t>
      </w:r>
      <w:proofErr w:type="spellEnd"/>
      <w:r>
        <w:rPr>
          <w:sz w:val="24"/>
          <w:szCs w:val="24"/>
        </w:rPr>
        <w:t xml:space="preserve"> N12 er den maksimale infusionshastighed 1,3 ml/kg/time (undtagen i IDPN, se nedenfor), svarende til 0,10 g/kg/time aminosyrer, 0,10 g/kg/time </w:t>
      </w:r>
      <w:proofErr w:type="spellStart"/>
      <w:r>
        <w:rPr>
          <w:sz w:val="24"/>
          <w:szCs w:val="24"/>
        </w:rPr>
        <w:t>glucose</w:t>
      </w:r>
      <w:proofErr w:type="spellEnd"/>
      <w:r>
        <w:rPr>
          <w:sz w:val="24"/>
          <w:szCs w:val="24"/>
        </w:rPr>
        <w:t xml:space="preserve"> og 0,05 g/kg/time fedt.</w:t>
      </w:r>
    </w:p>
    <w:p w:rsidR="00573E4B" w:rsidRDefault="00573E4B" w:rsidP="00573E4B">
      <w:pPr>
        <w:tabs>
          <w:tab w:val="left" w:pos="851"/>
        </w:tabs>
        <w:ind w:left="851"/>
        <w:rPr>
          <w:bCs/>
          <w:i/>
          <w:iCs/>
          <w:sz w:val="24"/>
          <w:szCs w:val="24"/>
        </w:rPr>
      </w:pPr>
    </w:p>
    <w:p w:rsidR="00573E4B" w:rsidRDefault="00573E4B" w:rsidP="00573E4B">
      <w:pPr>
        <w:tabs>
          <w:tab w:val="left" w:pos="851"/>
        </w:tabs>
        <w:ind w:left="851"/>
        <w:rPr>
          <w:sz w:val="24"/>
          <w:szCs w:val="24"/>
        </w:rPr>
      </w:pPr>
      <w:r>
        <w:rPr>
          <w:i/>
          <w:sz w:val="24"/>
          <w:szCs w:val="24"/>
        </w:rPr>
        <w:t xml:space="preserve">Patienter der får </w:t>
      </w:r>
      <w:proofErr w:type="spellStart"/>
      <w:r>
        <w:rPr>
          <w:i/>
          <w:sz w:val="24"/>
          <w:szCs w:val="24"/>
        </w:rPr>
        <w:t>intradialytisk</w:t>
      </w:r>
      <w:proofErr w:type="spellEnd"/>
      <w:r>
        <w:rPr>
          <w:i/>
          <w:sz w:val="24"/>
          <w:szCs w:val="24"/>
        </w:rPr>
        <w:t xml:space="preserve"> parenteral ernæring (IDPN):</w:t>
      </w:r>
      <w:r>
        <w:rPr>
          <w:sz w:val="24"/>
          <w:szCs w:val="24"/>
        </w:rPr>
        <w:t xml:space="preserve"> </w:t>
      </w:r>
      <w:proofErr w:type="spellStart"/>
      <w:r>
        <w:rPr>
          <w:sz w:val="24"/>
          <w:szCs w:val="24"/>
        </w:rPr>
        <w:t>Intradialytisk</w:t>
      </w:r>
      <w:proofErr w:type="spellEnd"/>
      <w:r>
        <w:rPr>
          <w:sz w:val="24"/>
          <w:szCs w:val="24"/>
        </w:rPr>
        <w:t xml:space="preserve"> parenteral ernæring er beregnet til patienter med ikke-akut underernæring. Valget af passende formulering og volumen af </w:t>
      </w:r>
      <w:proofErr w:type="spellStart"/>
      <w:r>
        <w:rPr>
          <w:sz w:val="24"/>
          <w:szCs w:val="24"/>
        </w:rPr>
        <w:t>Olimel</w:t>
      </w:r>
      <w:proofErr w:type="spellEnd"/>
      <w:r>
        <w:rPr>
          <w:sz w:val="24"/>
          <w:szCs w:val="24"/>
        </w:rPr>
        <w:t xml:space="preserve"> til IDPN bør træffes på baggrund af afvigelsen mellem anbefalet indtag og estimeret spontant indtag, f.eks. på baggrund af kostsamtaler. Derudover skal der tages højde for metabolisk tolerans. For </w:t>
      </w:r>
      <w:proofErr w:type="spellStart"/>
      <w:r>
        <w:rPr>
          <w:sz w:val="24"/>
          <w:szCs w:val="24"/>
        </w:rPr>
        <w:t>Olimel</w:t>
      </w:r>
      <w:proofErr w:type="spellEnd"/>
      <w:r>
        <w:rPr>
          <w:sz w:val="24"/>
          <w:szCs w:val="24"/>
        </w:rPr>
        <w:t xml:space="preserve"> N12 til IDPN bør </w:t>
      </w:r>
      <w:proofErr w:type="gramStart"/>
      <w:r>
        <w:rPr>
          <w:sz w:val="24"/>
          <w:szCs w:val="24"/>
        </w:rPr>
        <w:t>er</w:t>
      </w:r>
      <w:proofErr w:type="gramEnd"/>
      <w:r>
        <w:rPr>
          <w:sz w:val="24"/>
          <w:szCs w:val="24"/>
        </w:rPr>
        <w:t xml:space="preserve"> den maksimale infusionshastighed pr. time 2,7 ml/kg/time, svarende til 0,2 g/kg/time aminosyrer, 0,2 g/kg/time </w:t>
      </w:r>
      <w:proofErr w:type="spellStart"/>
      <w:r>
        <w:rPr>
          <w:sz w:val="24"/>
          <w:szCs w:val="24"/>
        </w:rPr>
        <w:t>glucose</w:t>
      </w:r>
      <w:proofErr w:type="spellEnd"/>
      <w:r>
        <w:rPr>
          <w:sz w:val="24"/>
          <w:szCs w:val="24"/>
        </w:rPr>
        <w:t xml:space="preserve"> og 0,09 g/kg/time lipider ved administration over 4 timer.</w:t>
      </w:r>
    </w:p>
    <w:p w:rsidR="00145BF4" w:rsidRPr="00732305" w:rsidRDefault="00145BF4" w:rsidP="00145BF4">
      <w:pPr>
        <w:tabs>
          <w:tab w:val="left" w:pos="851"/>
        </w:tabs>
        <w:ind w:left="851"/>
        <w:rPr>
          <w:bCs/>
          <w:iCs/>
          <w:sz w:val="24"/>
          <w:szCs w:val="24"/>
        </w:rPr>
      </w:pPr>
    </w:p>
    <w:p w:rsidR="00145BF4" w:rsidRPr="00732305" w:rsidRDefault="00145BF4" w:rsidP="00145BF4">
      <w:pPr>
        <w:tabs>
          <w:tab w:val="left" w:pos="851"/>
        </w:tabs>
        <w:ind w:left="851"/>
        <w:rPr>
          <w:b/>
          <w:bCs/>
          <w:i/>
          <w:iCs/>
          <w:sz w:val="24"/>
          <w:szCs w:val="24"/>
        </w:rPr>
      </w:pPr>
      <w:r w:rsidRPr="00732305">
        <w:rPr>
          <w:b/>
          <w:bCs/>
          <w:i/>
          <w:iCs/>
          <w:sz w:val="24"/>
          <w:szCs w:val="24"/>
        </w:rPr>
        <w:t>Børn over to år og unge</w:t>
      </w:r>
    </w:p>
    <w:bookmarkEnd w:id="5"/>
    <w:p w:rsidR="00145BF4" w:rsidRPr="00732305" w:rsidRDefault="00145BF4" w:rsidP="00145BF4">
      <w:pPr>
        <w:tabs>
          <w:tab w:val="left" w:pos="851"/>
        </w:tabs>
        <w:ind w:left="851"/>
        <w:rPr>
          <w:sz w:val="24"/>
          <w:szCs w:val="24"/>
        </w:rPr>
      </w:pPr>
      <w:r w:rsidRPr="00732305">
        <w:rPr>
          <w:sz w:val="24"/>
          <w:szCs w:val="24"/>
        </w:rPr>
        <w:t>Der er ikke foretaget undersøgelser med pædiatriske patienter.</w:t>
      </w:r>
    </w:p>
    <w:p w:rsidR="00145BF4" w:rsidRPr="00732305" w:rsidRDefault="00145BF4" w:rsidP="00145BF4">
      <w:pPr>
        <w:tabs>
          <w:tab w:val="left" w:pos="851"/>
        </w:tabs>
        <w:ind w:left="851"/>
        <w:rPr>
          <w:sz w:val="24"/>
          <w:szCs w:val="24"/>
        </w:rPr>
      </w:pPr>
    </w:p>
    <w:p w:rsidR="00145BF4" w:rsidRPr="00732305" w:rsidRDefault="00145BF4" w:rsidP="00145BF4">
      <w:pPr>
        <w:tabs>
          <w:tab w:val="left" w:pos="851"/>
        </w:tabs>
        <w:ind w:left="851"/>
        <w:rPr>
          <w:sz w:val="24"/>
          <w:szCs w:val="24"/>
        </w:rPr>
      </w:pPr>
      <w:r w:rsidRPr="00732305">
        <w:rPr>
          <w:sz w:val="24"/>
          <w:szCs w:val="24"/>
        </w:rPr>
        <w:t xml:space="preserve">Dosis afhænger af patientens energiforbrug, kliniske tilstand, legemsvægt og evnen til at fordøje </w:t>
      </w:r>
      <w:proofErr w:type="spellStart"/>
      <w:r w:rsidRPr="00732305">
        <w:rPr>
          <w:sz w:val="24"/>
          <w:szCs w:val="24"/>
        </w:rPr>
        <w:t>Olimel</w:t>
      </w:r>
      <w:proofErr w:type="spellEnd"/>
      <w:r w:rsidRPr="00732305">
        <w:rPr>
          <w:sz w:val="24"/>
          <w:szCs w:val="24"/>
        </w:rPr>
        <w:t xml:space="preserve"> N12’s indholdsstoffer samt af yderligere energi eller proteiner, der gives oralt/enteralt. Derfor bør posestørrelsen vælges i henhold hertil.</w:t>
      </w:r>
    </w:p>
    <w:p w:rsidR="00145BF4" w:rsidRPr="00732305" w:rsidRDefault="00145BF4" w:rsidP="00145BF4">
      <w:pPr>
        <w:tabs>
          <w:tab w:val="left" w:pos="851"/>
        </w:tabs>
        <w:ind w:left="851"/>
        <w:rPr>
          <w:sz w:val="24"/>
          <w:szCs w:val="24"/>
        </w:rPr>
      </w:pPr>
    </w:p>
    <w:p w:rsidR="00145BF4" w:rsidRPr="00732305" w:rsidRDefault="00145BF4" w:rsidP="00145BF4">
      <w:pPr>
        <w:tabs>
          <w:tab w:val="left" w:pos="851"/>
        </w:tabs>
        <w:ind w:left="851"/>
        <w:rPr>
          <w:sz w:val="24"/>
          <w:szCs w:val="24"/>
        </w:rPr>
      </w:pPr>
      <w:r w:rsidRPr="00732305">
        <w:rPr>
          <w:sz w:val="24"/>
          <w:szCs w:val="24"/>
        </w:rPr>
        <w:t>Desuden aftager det daglige behov for væsker, nitrogen og energi med alderen, se opdeling i to aldersgrupper, 2 til 11 år og 12 til 18 år:</w:t>
      </w:r>
    </w:p>
    <w:p w:rsidR="00145BF4" w:rsidRPr="00732305" w:rsidRDefault="00145BF4" w:rsidP="00145BF4">
      <w:pPr>
        <w:tabs>
          <w:tab w:val="left" w:pos="851"/>
        </w:tabs>
        <w:ind w:left="851"/>
        <w:rPr>
          <w:sz w:val="24"/>
          <w:szCs w:val="24"/>
        </w:rPr>
      </w:pPr>
    </w:p>
    <w:p w:rsidR="00145BF4" w:rsidRPr="00732305" w:rsidRDefault="00145BF4" w:rsidP="00145BF4">
      <w:pPr>
        <w:tabs>
          <w:tab w:val="left" w:pos="851"/>
        </w:tabs>
        <w:ind w:left="851"/>
        <w:rPr>
          <w:sz w:val="24"/>
          <w:szCs w:val="24"/>
        </w:rPr>
      </w:pPr>
      <w:r w:rsidRPr="00732305">
        <w:rPr>
          <w:sz w:val="24"/>
          <w:szCs w:val="24"/>
        </w:rPr>
        <w:t xml:space="preserve">For </w:t>
      </w:r>
      <w:proofErr w:type="spellStart"/>
      <w:r w:rsidRPr="00732305">
        <w:rPr>
          <w:sz w:val="24"/>
          <w:szCs w:val="24"/>
        </w:rPr>
        <w:t>Olimel</w:t>
      </w:r>
      <w:proofErr w:type="spellEnd"/>
      <w:r w:rsidRPr="00732305">
        <w:rPr>
          <w:sz w:val="24"/>
          <w:szCs w:val="24"/>
        </w:rPr>
        <w:t xml:space="preserve"> N12 i aldersgruppen 2 til 11 år er aminosyrekoncentrationen den begrænsende faktor i henhold til både den daglige dosis og indgivelseshastigheden pr. time. For aldersgruppen 12 til 18 år er aminosyrekoncentrationen den begrænsende faktor i henhold til både den daglige dosis og indgivelseshastigheden pr. time. Det giver følgende indtagelse:</w:t>
      </w:r>
    </w:p>
    <w:p w:rsidR="00145BF4" w:rsidRPr="00732305" w:rsidRDefault="00145BF4" w:rsidP="00145BF4">
      <w:pPr>
        <w:tabs>
          <w:tab w:val="left" w:pos="851"/>
        </w:tabs>
        <w:ind w:left="851"/>
        <w:rPr>
          <w:sz w:val="24"/>
          <w:szCs w:val="24"/>
        </w:rPr>
      </w:pPr>
    </w:p>
    <w:tbl>
      <w:tblPr>
        <w:tblW w:w="8585"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2"/>
        <w:gridCol w:w="1783"/>
        <w:gridCol w:w="1522"/>
        <w:gridCol w:w="1640"/>
        <w:gridCol w:w="1478"/>
      </w:tblGrid>
      <w:tr w:rsidR="00145BF4" w:rsidRPr="00732305" w:rsidTr="00573E4B">
        <w:trPr>
          <w:trHeight w:val="305"/>
        </w:trPr>
        <w:tc>
          <w:tcPr>
            <w:tcW w:w="2162" w:type="dxa"/>
            <w:vMerge w:val="restart"/>
            <w:vAlign w:val="bottom"/>
          </w:tcPr>
          <w:p w:rsidR="00145BF4" w:rsidRPr="00732305" w:rsidRDefault="00145BF4" w:rsidP="00573E4B">
            <w:pPr>
              <w:spacing w:before="60" w:after="60"/>
              <w:jc w:val="center"/>
              <w:rPr>
                <w:sz w:val="20"/>
                <w:lang w:eastAsia="ja-JP"/>
              </w:rPr>
            </w:pPr>
            <w:r w:rsidRPr="00732305">
              <w:rPr>
                <w:sz w:val="20"/>
                <w:lang w:eastAsia="ja-JP"/>
              </w:rPr>
              <w:t>Indholdsstof</w:t>
            </w:r>
          </w:p>
        </w:tc>
        <w:tc>
          <w:tcPr>
            <w:tcW w:w="3305" w:type="dxa"/>
            <w:gridSpan w:val="2"/>
            <w:vAlign w:val="center"/>
          </w:tcPr>
          <w:p w:rsidR="00145BF4" w:rsidRPr="00732305" w:rsidRDefault="00145BF4" w:rsidP="00573E4B">
            <w:pPr>
              <w:spacing w:before="60" w:after="60"/>
              <w:jc w:val="center"/>
              <w:rPr>
                <w:sz w:val="20"/>
                <w:lang w:eastAsia="ja-JP"/>
              </w:rPr>
            </w:pPr>
            <w:r w:rsidRPr="00732305">
              <w:rPr>
                <w:sz w:val="20"/>
                <w:lang w:eastAsia="ja-JP"/>
              </w:rPr>
              <w:t>2 til 11 år</w:t>
            </w:r>
          </w:p>
        </w:tc>
        <w:tc>
          <w:tcPr>
            <w:tcW w:w="3118" w:type="dxa"/>
            <w:gridSpan w:val="2"/>
            <w:vAlign w:val="center"/>
          </w:tcPr>
          <w:p w:rsidR="00145BF4" w:rsidRPr="00732305" w:rsidRDefault="00145BF4" w:rsidP="00573E4B">
            <w:pPr>
              <w:spacing w:before="60" w:after="60"/>
              <w:jc w:val="center"/>
              <w:rPr>
                <w:sz w:val="20"/>
                <w:lang w:eastAsia="ja-JP"/>
              </w:rPr>
            </w:pPr>
            <w:r w:rsidRPr="00732305">
              <w:rPr>
                <w:sz w:val="20"/>
                <w:lang w:eastAsia="ja-JP"/>
              </w:rPr>
              <w:t>12 til 18 år</w:t>
            </w:r>
          </w:p>
        </w:tc>
      </w:tr>
      <w:tr w:rsidR="00145BF4" w:rsidRPr="00732305" w:rsidTr="00573E4B">
        <w:trPr>
          <w:trHeight w:val="260"/>
        </w:trPr>
        <w:tc>
          <w:tcPr>
            <w:tcW w:w="2162" w:type="dxa"/>
            <w:vMerge/>
          </w:tcPr>
          <w:p w:rsidR="00145BF4" w:rsidRPr="00732305" w:rsidRDefault="00145BF4" w:rsidP="00573E4B">
            <w:pPr>
              <w:spacing w:before="60" w:after="60"/>
              <w:jc w:val="center"/>
              <w:rPr>
                <w:sz w:val="20"/>
                <w:lang w:eastAsia="ja-JP"/>
              </w:rPr>
            </w:pPr>
          </w:p>
        </w:tc>
        <w:tc>
          <w:tcPr>
            <w:tcW w:w="1783" w:type="dxa"/>
            <w:vAlign w:val="center"/>
          </w:tcPr>
          <w:p w:rsidR="00145BF4" w:rsidRPr="00732305" w:rsidRDefault="00145BF4" w:rsidP="00573E4B">
            <w:pPr>
              <w:spacing w:before="60" w:after="60"/>
              <w:jc w:val="center"/>
              <w:rPr>
                <w:sz w:val="20"/>
                <w:lang w:eastAsia="ja-JP"/>
              </w:rPr>
            </w:pPr>
            <w:proofErr w:type="spellStart"/>
            <w:r w:rsidRPr="00732305">
              <w:rPr>
                <w:sz w:val="20"/>
                <w:lang w:eastAsia="ja-JP"/>
              </w:rPr>
              <w:t>Anbefalet</w:t>
            </w:r>
            <w:r w:rsidRPr="00732305">
              <w:rPr>
                <w:sz w:val="20"/>
                <w:vertAlign w:val="superscript"/>
                <w:lang w:eastAsia="ja-JP"/>
              </w:rPr>
              <w:t>a</w:t>
            </w:r>
            <w:proofErr w:type="spellEnd"/>
          </w:p>
        </w:tc>
        <w:tc>
          <w:tcPr>
            <w:tcW w:w="1522" w:type="dxa"/>
            <w:vAlign w:val="center"/>
          </w:tcPr>
          <w:p w:rsidR="00145BF4" w:rsidRPr="00732305" w:rsidRDefault="00145BF4" w:rsidP="00573E4B">
            <w:pPr>
              <w:spacing w:before="60" w:after="60"/>
              <w:jc w:val="center"/>
              <w:rPr>
                <w:sz w:val="20"/>
                <w:lang w:eastAsia="ja-JP"/>
              </w:rPr>
            </w:pPr>
            <w:proofErr w:type="spellStart"/>
            <w:r w:rsidRPr="00732305">
              <w:rPr>
                <w:sz w:val="20"/>
                <w:lang w:eastAsia="ja-JP"/>
              </w:rPr>
              <w:t>Olimel</w:t>
            </w:r>
            <w:proofErr w:type="spellEnd"/>
            <w:r w:rsidRPr="00732305">
              <w:rPr>
                <w:sz w:val="20"/>
                <w:lang w:eastAsia="ja-JP"/>
              </w:rPr>
              <w:t xml:space="preserve"> N12 maks. volumen</w:t>
            </w:r>
          </w:p>
        </w:tc>
        <w:tc>
          <w:tcPr>
            <w:tcW w:w="1640" w:type="dxa"/>
            <w:vAlign w:val="center"/>
          </w:tcPr>
          <w:p w:rsidR="00145BF4" w:rsidRPr="00732305" w:rsidRDefault="00145BF4" w:rsidP="00573E4B">
            <w:pPr>
              <w:spacing w:before="60" w:after="60"/>
              <w:jc w:val="center"/>
              <w:rPr>
                <w:sz w:val="20"/>
                <w:lang w:eastAsia="ja-JP"/>
              </w:rPr>
            </w:pPr>
            <w:proofErr w:type="spellStart"/>
            <w:r w:rsidRPr="00732305">
              <w:rPr>
                <w:sz w:val="20"/>
                <w:lang w:eastAsia="ja-JP"/>
              </w:rPr>
              <w:t>Anbefalet</w:t>
            </w:r>
            <w:r w:rsidRPr="00732305">
              <w:rPr>
                <w:sz w:val="20"/>
                <w:vertAlign w:val="superscript"/>
                <w:lang w:eastAsia="ja-JP"/>
              </w:rPr>
              <w:t>a</w:t>
            </w:r>
            <w:proofErr w:type="spellEnd"/>
          </w:p>
        </w:tc>
        <w:tc>
          <w:tcPr>
            <w:tcW w:w="1478" w:type="dxa"/>
            <w:vAlign w:val="center"/>
          </w:tcPr>
          <w:p w:rsidR="00145BF4" w:rsidRPr="00732305" w:rsidRDefault="00145BF4" w:rsidP="00573E4B">
            <w:pPr>
              <w:spacing w:before="60" w:after="60"/>
              <w:jc w:val="center"/>
              <w:rPr>
                <w:sz w:val="20"/>
                <w:lang w:eastAsia="ja-JP"/>
              </w:rPr>
            </w:pPr>
            <w:proofErr w:type="spellStart"/>
            <w:r w:rsidRPr="00732305">
              <w:rPr>
                <w:sz w:val="20"/>
                <w:lang w:eastAsia="ja-JP"/>
              </w:rPr>
              <w:t>Olimel</w:t>
            </w:r>
            <w:proofErr w:type="spellEnd"/>
            <w:r w:rsidRPr="00732305">
              <w:rPr>
                <w:sz w:val="20"/>
                <w:lang w:eastAsia="ja-JP"/>
              </w:rPr>
              <w:t xml:space="preserve"> N12 maks. volumen</w:t>
            </w:r>
          </w:p>
        </w:tc>
      </w:tr>
      <w:tr w:rsidR="00145BF4" w:rsidRPr="00732305" w:rsidTr="00573E4B">
        <w:tc>
          <w:tcPr>
            <w:tcW w:w="8585" w:type="dxa"/>
            <w:gridSpan w:val="5"/>
            <w:vAlign w:val="center"/>
          </w:tcPr>
          <w:p w:rsidR="00145BF4" w:rsidRPr="00732305" w:rsidRDefault="00145BF4" w:rsidP="00573E4B">
            <w:pPr>
              <w:spacing w:before="60" w:after="60"/>
              <w:jc w:val="center"/>
              <w:rPr>
                <w:sz w:val="20"/>
                <w:lang w:eastAsia="ja-JP"/>
              </w:rPr>
            </w:pPr>
            <w:r w:rsidRPr="00732305">
              <w:rPr>
                <w:sz w:val="20"/>
                <w:lang w:eastAsia="ja-JP"/>
              </w:rPr>
              <w:t>Maks. daglig dosis</w:t>
            </w:r>
          </w:p>
        </w:tc>
      </w:tr>
      <w:tr w:rsidR="00145BF4" w:rsidRPr="00732305" w:rsidTr="00573E4B">
        <w:tc>
          <w:tcPr>
            <w:tcW w:w="2162" w:type="dxa"/>
          </w:tcPr>
          <w:p w:rsidR="00145BF4" w:rsidRPr="00732305" w:rsidRDefault="00145BF4" w:rsidP="00573E4B">
            <w:pPr>
              <w:spacing w:before="60" w:after="60"/>
              <w:jc w:val="center"/>
              <w:rPr>
                <w:sz w:val="20"/>
                <w:lang w:eastAsia="ja-JP"/>
              </w:rPr>
            </w:pPr>
            <w:r w:rsidRPr="00732305">
              <w:rPr>
                <w:sz w:val="20"/>
                <w:lang w:eastAsia="ja-JP"/>
              </w:rPr>
              <w:t>Væske (ml/kg/d)</w:t>
            </w:r>
          </w:p>
        </w:tc>
        <w:tc>
          <w:tcPr>
            <w:tcW w:w="1783" w:type="dxa"/>
            <w:vAlign w:val="center"/>
          </w:tcPr>
          <w:p w:rsidR="00145BF4" w:rsidRPr="00732305" w:rsidRDefault="00145BF4" w:rsidP="00573E4B">
            <w:pPr>
              <w:spacing w:before="60" w:after="60"/>
              <w:jc w:val="center"/>
              <w:rPr>
                <w:sz w:val="20"/>
                <w:lang w:eastAsia="ja-JP"/>
              </w:rPr>
            </w:pPr>
            <w:r w:rsidRPr="00732305">
              <w:rPr>
                <w:sz w:val="20"/>
                <w:lang w:eastAsia="ja-JP"/>
              </w:rPr>
              <w:t>60 – 120</w:t>
            </w:r>
          </w:p>
        </w:tc>
        <w:tc>
          <w:tcPr>
            <w:tcW w:w="1522" w:type="dxa"/>
            <w:vAlign w:val="center"/>
          </w:tcPr>
          <w:p w:rsidR="00145BF4" w:rsidRPr="00732305" w:rsidRDefault="00145BF4" w:rsidP="00573E4B">
            <w:pPr>
              <w:spacing w:before="60" w:after="60"/>
              <w:jc w:val="center"/>
              <w:rPr>
                <w:sz w:val="20"/>
                <w:lang w:eastAsia="ja-JP"/>
              </w:rPr>
            </w:pPr>
            <w:r w:rsidRPr="00732305">
              <w:rPr>
                <w:sz w:val="20"/>
                <w:lang w:eastAsia="ja-JP"/>
              </w:rPr>
              <w:t>33</w:t>
            </w:r>
          </w:p>
        </w:tc>
        <w:tc>
          <w:tcPr>
            <w:tcW w:w="1640" w:type="dxa"/>
            <w:vAlign w:val="center"/>
          </w:tcPr>
          <w:p w:rsidR="00145BF4" w:rsidRPr="00732305" w:rsidRDefault="00145BF4" w:rsidP="00573E4B">
            <w:pPr>
              <w:spacing w:before="60" w:after="60"/>
              <w:jc w:val="center"/>
              <w:rPr>
                <w:sz w:val="20"/>
                <w:lang w:eastAsia="ja-JP"/>
              </w:rPr>
            </w:pPr>
            <w:r w:rsidRPr="00732305">
              <w:rPr>
                <w:sz w:val="20"/>
                <w:lang w:eastAsia="ja-JP"/>
              </w:rPr>
              <w:t>50 – 80</w:t>
            </w:r>
          </w:p>
        </w:tc>
        <w:tc>
          <w:tcPr>
            <w:tcW w:w="1478" w:type="dxa"/>
            <w:vAlign w:val="center"/>
          </w:tcPr>
          <w:p w:rsidR="00145BF4" w:rsidRPr="00732305" w:rsidRDefault="00145BF4" w:rsidP="00573E4B">
            <w:pPr>
              <w:spacing w:before="60" w:after="60"/>
              <w:jc w:val="center"/>
              <w:rPr>
                <w:sz w:val="20"/>
                <w:lang w:eastAsia="ja-JP"/>
              </w:rPr>
            </w:pPr>
            <w:r w:rsidRPr="00732305">
              <w:rPr>
                <w:sz w:val="20"/>
                <w:lang w:eastAsia="ja-JP"/>
              </w:rPr>
              <w:t>26</w:t>
            </w:r>
          </w:p>
        </w:tc>
      </w:tr>
      <w:tr w:rsidR="00145BF4" w:rsidRPr="00732305" w:rsidTr="00573E4B">
        <w:tc>
          <w:tcPr>
            <w:tcW w:w="2162" w:type="dxa"/>
          </w:tcPr>
          <w:p w:rsidR="00145BF4" w:rsidRPr="00732305" w:rsidRDefault="00145BF4" w:rsidP="00573E4B">
            <w:pPr>
              <w:spacing w:before="60" w:after="60"/>
              <w:jc w:val="center"/>
              <w:rPr>
                <w:sz w:val="20"/>
                <w:lang w:eastAsia="ja-JP"/>
              </w:rPr>
            </w:pPr>
            <w:r w:rsidRPr="00732305">
              <w:rPr>
                <w:sz w:val="20"/>
                <w:lang w:eastAsia="ja-JP"/>
              </w:rPr>
              <w:t>Aminosyrer (g/kg/d)</w:t>
            </w:r>
          </w:p>
        </w:tc>
        <w:tc>
          <w:tcPr>
            <w:tcW w:w="1783" w:type="dxa"/>
            <w:vAlign w:val="center"/>
          </w:tcPr>
          <w:p w:rsidR="00145BF4" w:rsidRPr="00732305" w:rsidRDefault="00145BF4" w:rsidP="00573E4B">
            <w:pPr>
              <w:spacing w:before="60" w:after="60"/>
              <w:jc w:val="center"/>
              <w:rPr>
                <w:sz w:val="20"/>
                <w:lang w:eastAsia="ja-JP"/>
              </w:rPr>
            </w:pPr>
            <w:r w:rsidRPr="00732305">
              <w:rPr>
                <w:sz w:val="20"/>
                <w:lang w:eastAsia="ja-JP"/>
              </w:rPr>
              <w:t>1 – 2 (op til 2,5)</w:t>
            </w:r>
          </w:p>
        </w:tc>
        <w:tc>
          <w:tcPr>
            <w:tcW w:w="1522" w:type="dxa"/>
            <w:vAlign w:val="center"/>
          </w:tcPr>
          <w:p w:rsidR="00145BF4" w:rsidRPr="00732305" w:rsidRDefault="00145BF4" w:rsidP="00573E4B">
            <w:pPr>
              <w:spacing w:before="60" w:after="60"/>
              <w:jc w:val="center"/>
              <w:rPr>
                <w:sz w:val="20"/>
                <w:lang w:eastAsia="ja-JP"/>
              </w:rPr>
            </w:pPr>
            <w:r w:rsidRPr="00732305">
              <w:rPr>
                <w:sz w:val="20"/>
                <w:lang w:eastAsia="ja-JP"/>
              </w:rPr>
              <w:t>2,5</w:t>
            </w:r>
          </w:p>
        </w:tc>
        <w:tc>
          <w:tcPr>
            <w:tcW w:w="1640" w:type="dxa"/>
            <w:vAlign w:val="center"/>
          </w:tcPr>
          <w:p w:rsidR="00145BF4" w:rsidRPr="00732305" w:rsidRDefault="00145BF4" w:rsidP="00573E4B">
            <w:pPr>
              <w:spacing w:before="60" w:after="60"/>
              <w:jc w:val="center"/>
              <w:rPr>
                <w:sz w:val="20"/>
                <w:lang w:eastAsia="ja-JP"/>
              </w:rPr>
            </w:pPr>
            <w:r w:rsidRPr="00732305">
              <w:rPr>
                <w:sz w:val="20"/>
                <w:lang w:eastAsia="ja-JP"/>
              </w:rPr>
              <w:t>1 – 2</w:t>
            </w:r>
          </w:p>
        </w:tc>
        <w:tc>
          <w:tcPr>
            <w:tcW w:w="1478" w:type="dxa"/>
            <w:vAlign w:val="center"/>
          </w:tcPr>
          <w:p w:rsidR="00145BF4" w:rsidRPr="00732305" w:rsidRDefault="00145BF4" w:rsidP="00573E4B">
            <w:pPr>
              <w:spacing w:before="60" w:after="60"/>
              <w:jc w:val="center"/>
              <w:rPr>
                <w:sz w:val="20"/>
                <w:lang w:eastAsia="ja-JP"/>
              </w:rPr>
            </w:pPr>
            <w:r w:rsidRPr="00732305">
              <w:rPr>
                <w:sz w:val="20"/>
                <w:lang w:eastAsia="ja-JP"/>
              </w:rPr>
              <w:t>2</w:t>
            </w:r>
          </w:p>
        </w:tc>
      </w:tr>
      <w:tr w:rsidR="00145BF4" w:rsidRPr="00732305" w:rsidTr="00573E4B">
        <w:tc>
          <w:tcPr>
            <w:tcW w:w="2162" w:type="dxa"/>
          </w:tcPr>
          <w:p w:rsidR="00145BF4" w:rsidRPr="00732305" w:rsidRDefault="00145BF4" w:rsidP="00573E4B">
            <w:pPr>
              <w:spacing w:before="60" w:after="60"/>
              <w:jc w:val="center"/>
              <w:rPr>
                <w:sz w:val="20"/>
                <w:lang w:eastAsia="ja-JP"/>
              </w:rPr>
            </w:pPr>
            <w:proofErr w:type="spellStart"/>
            <w:r w:rsidRPr="00732305">
              <w:rPr>
                <w:sz w:val="20"/>
                <w:lang w:eastAsia="ja-JP"/>
              </w:rPr>
              <w:lastRenderedPageBreak/>
              <w:t>Glucose</w:t>
            </w:r>
            <w:proofErr w:type="spellEnd"/>
            <w:r w:rsidRPr="00732305">
              <w:rPr>
                <w:sz w:val="20"/>
                <w:lang w:eastAsia="ja-JP"/>
              </w:rPr>
              <w:t xml:space="preserve"> (g/kg/d)</w:t>
            </w:r>
          </w:p>
        </w:tc>
        <w:tc>
          <w:tcPr>
            <w:tcW w:w="1783" w:type="dxa"/>
            <w:vAlign w:val="center"/>
          </w:tcPr>
          <w:p w:rsidR="00145BF4" w:rsidRPr="00732305" w:rsidRDefault="00145BF4" w:rsidP="00573E4B">
            <w:pPr>
              <w:spacing w:before="60" w:after="60"/>
              <w:jc w:val="center"/>
              <w:rPr>
                <w:sz w:val="20"/>
                <w:lang w:eastAsia="ja-JP"/>
              </w:rPr>
            </w:pPr>
            <w:r w:rsidRPr="00732305">
              <w:rPr>
                <w:sz w:val="20"/>
                <w:lang w:eastAsia="ja-JP"/>
              </w:rPr>
              <w:t>1,4 – 8,6</w:t>
            </w:r>
          </w:p>
        </w:tc>
        <w:tc>
          <w:tcPr>
            <w:tcW w:w="1522" w:type="dxa"/>
            <w:vAlign w:val="center"/>
          </w:tcPr>
          <w:p w:rsidR="00145BF4" w:rsidRPr="00732305" w:rsidRDefault="00145BF4" w:rsidP="00573E4B">
            <w:pPr>
              <w:spacing w:before="60" w:after="60"/>
              <w:jc w:val="center"/>
              <w:rPr>
                <w:sz w:val="20"/>
                <w:lang w:eastAsia="ja-JP"/>
              </w:rPr>
            </w:pPr>
            <w:r w:rsidRPr="00732305">
              <w:rPr>
                <w:sz w:val="20"/>
                <w:lang w:eastAsia="ja-JP"/>
              </w:rPr>
              <w:t>2,4</w:t>
            </w:r>
          </w:p>
        </w:tc>
        <w:tc>
          <w:tcPr>
            <w:tcW w:w="1640" w:type="dxa"/>
            <w:vAlign w:val="center"/>
          </w:tcPr>
          <w:p w:rsidR="00145BF4" w:rsidRPr="00732305" w:rsidRDefault="00145BF4" w:rsidP="00573E4B">
            <w:pPr>
              <w:spacing w:before="60" w:after="60"/>
              <w:jc w:val="center"/>
              <w:rPr>
                <w:sz w:val="20"/>
                <w:lang w:eastAsia="ja-JP"/>
              </w:rPr>
            </w:pPr>
            <w:r w:rsidRPr="00732305">
              <w:rPr>
                <w:sz w:val="20"/>
                <w:lang w:eastAsia="ja-JP"/>
              </w:rPr>
              <w:t>0,7 – 5,8</w:t>
            </w:r>
          </w:p>
        </w:tc>
        <w:tc>
          <w:tcPr>
            <w:tcW w:w="1478" w:type="dxa"/>
            <w:vAlign w:val="center"/>
          </w:tcPr>
          <w:p w:rsidR="00145BF4" w:rsidRPr="00732305" w:rsidRDefault="00145BF4" w:rsidP="00573E4B">
            <w:pPr>
              <w:spacing w:before="60" w:after="60"/>
              <w:jc w:val="center"/>
              <w:rPr>
                <w:sz w:val="20"/>
                <w:lang w:eastAsia="ja-JP"/>
              </w:rPr>
            </w:pPr>
            <w:r w:rsidRPr="00732305">
              <w:rPr>
                <w:sz w:val="20"/>
                <w:lang w:eastAsia="ja-JP"/>
              </w:rPr>
              <w:t>1,9</w:t>
            </w:r>
          </w:p>
        </w:tc>
      </w:tr>
      <w:tr w:rsidR="00145BF4" w:rsidRPr="00732305" w:rsidTr="00573E4B">
        <w:tc>
          <w:tcPr>
            <w:tcW w:w="2162" w:type="dxa"/>
          </w:tcPr>
          <w:p w:rsidR="00145BF4" w:rsidRPr="00732305" w:rsidRDefault="00145BF4" w:rsidP="00573E4B">
            <w:pPr>
              <w:spacing w:before="60" w:after="60"/>
              <w:jc w:val="center"/>
              <w:rPr>
                <w:sz w:val="20"/>
                <w:lang w:eastAsia="ja-JP"/>
              </w:rPr>
            </w:pPr>
            <w:r w:rsidRPr="00732305">
              <w:rPr>
                <w:sz w:val="20"/>
                <w:lang w:eastAsia="ja-JP"/>
              </w:rPr>
              <w:t>Fedt (g/kg/d)</w:t>
            </w:r>
          </w:p>
        </w:tc>
        <w:tc>
          <w:tcPr>
            <w:tcW w:w="1783" w:type="dxa"/>
            <w:vAlign w:val="center"/>
          </w:tcPr>
          <w:p w:rsidR="00145BF4" w:rsidRPr="00732305" w:rsidRDefault="00145BF4" w:rsidP="00573E4B">
            <w:pPr>
              <w:spacing w:before="60" w:after="60"/>
              <w:jc w:val="center"/>
              <w:rPr>
                <w:sz w:val="20"/>
                <w:lang w:eastAsia="ja-JP"/>
              </w:rPr>
            </w:pPr>
            <w:r w:rsidRPr="00732305">
              <w:rPr>
                <w:sz w:val="20"/>
                <w:lang w:eastAsia="ja-JP"/>
              </w:rPr>
              <w:t>0,5 – 3</w:t>
            </w:r>
          </w:p>
        </w:tc>
        <w:tc>
          <w:tcPr>
            <w:tcW w:w="1522" w:type="dxa"/>
            <w:vAlign w:val="center"/>
          </w:tcPr>
          <w:p w:rsidR="00145BF4" w:rsidRPr="00732305" w:rsidRDefault="00145BF4" w:rsidP="00573E4B">
            <w:pPr>
              <w:spacing w:before="60" w:after="60"/>
              <w:jc w:val="center"/>
              <w:rPr>
                <w:sz w:val="20"/>
                <w:lang w:eastAsia="ja-JP"/>
              </w:rPr>
            </w:pPr>
            <w:r w:rsidRPr="00732305">
              <w:rPr>
                <w:sz w:val="20"/>
                <w:lang w:eastAsia="ja-JP"/>
              </w:rPr>
              <w:t>1,2</w:t>
            </w:r>
          </w:p>
        </w:tc>
        <w:tc>
          <w:tcPr>
            <w:tcW w:w="1640" w:type="dxa"/>
            <w:vAlign w:val="center"/>
          </w:tcPr>
          <w:p w:rsidR="00145BF4" w:rsidRPr="00732305" w:rsidRDefault="00145BF4" w:rsidP="00573E4B">
            <w:pPr>
              <w:spacing w:before="60" w:after="60"/>
              <w:jc w:val="center"/>
              <w:rPr>
                <w:sz w:val="20"/>
                <w:lang w:eastAsia="ja-JP"/>
              </w:rPr>
            </w:pPr>
            <w:r w:rsidRPr="00732305">
              <w:rPr>
                <w:sz w:val="20"/>
                <w:lang w:eastAsia="ja-JP"/>
              </w:rPr>
              <w:t>0,5 – 2 (op til 3)</w:t>
            </w:r>
          </w:p>
        </w:tc>
        <w:tc>
          <w:tcPr>
            <w:tcW w:w="1478" w:type="dxa"/>
            <w:vAlign w:val="center"/>
          </w:tcPr>
          <w:p w:rsidR="00145BF4" w:rsidRPr="00732305" w:rsidRDefault="00145BF4" w:rsidP="00573E4B">
            <w:pPr>
              <w:spacing w:before="60" w:after="60"/>
              <w:jc w:val="center"/>
              <w:rPr>
                <w:sz w:val="20"/>
                <w:lang w:eastAsia="ja-JP"/>
              </w:rPr>
            </w:pPr>
            <w:r w:rsidRPr="00732305">
              <w:rPr>
                <w:sz w:val="20"/>
                <w:lang w:eastAsia="ja-JP"/>
              </w:rPr>
              <w:t>0,9</w:t>
            </w:r>
          </w:p>
        </w:tc>
      </w:tr>
      <w:tr w:rsidR="00145BF4" w:rsidRPr="00732305" w:rsidTr="00573E4B">
        <w:tc>
          <w:tcPr>
            <w:tcW w:w="2162" w:type="dxa"/>
          </w:tcPr>
          <w:p w:rsidR="00145BF4" w:rsidRPr="00732305" w:rsidRDefault="00145BF4" w:rsidP="00573E4B">
            <w:pPr>
              <w:spacing w:before="60" w:after="60"/>
              <w:jc w:val="center"/>
              <w:rPr>
                <w:sz w:val="20"/>
                <w:lang w:val="nb-NO" w:eastAsia="ja-JP"/>
              </w:rPr>
            </w:pPr>
            <w:r w:rsidRPr="00732305">
              <w:rPr>
                <w:sz w:val="20"/>
                <w:lang w:val="nb-NO" w:eastAsia="ja-JP"/>
              </w:rPr>
              <w:t>Energi i alt (kcal/kg/d)</w:t>
            </w:r>
          </w:p>
        </w:tc>
        <w:tc>
          <w:tcPr>
            <w:tcW w:w="1783" w:type="dxa"/>
            <w:vAlign w:val="center"/>
          </w:tcPr>
          <w:p w:rsidR="00145BF4" w:rsidRPr="00732305" w:rsidRDefault="00145BF4" w:rsidP="00573E4B">
            <w:pPr>
              <w:spacing w:before="60" w:after="60"/>
              <w:jc w:val="center"/>
              <w:rPr>
                <w:sz w:val="20"/>
                <w:lang w:eastAsia="ja-JP"/>
              </w:rPr>
            </w:pPr>
            <w:r w:rsidRPr="00732305">
              <w:rPr>
                <w:sz w:val="20"/>
                <w:lang w:eastAsia="ja-JP"/>
              </w:rPr>
              <w:t>30 – 75</w:t>
            </w:r>
          </w:p>
        </w:tc>
        <w:tc>
          <w:tcPr>
            <w:tcW w:w="1522" w:type="dxa"/>
            <w:vAlign w:val="center"/>
          </w:tcPr>
          <w:p w:rsidR="00145BF4" w:rsidRPr="00732305" w:rsidRDefault="00145BF4" w:rsidP="00573E4B">
            <w:pPr>
              <w:spacing w:before="60" w:after="60"/>
              <w:jc w:val="center"/>
              <w:rPr>
                <w:sz w:val="20"/>
                <w:lang w:eastAsia="ja-JP"/>
              </w:rPr>
            </w:pPr>
            <w:r w:rsidRPr="00732305">
              <w:rPr>
                <w:sz w:val="20"/>
                <w:lang w:eastAsia="ja-JP"/>
              </w:rPr>
              <w:t>31,4</w:t>
            </w:r>
          </w:p>
        </w:tc>
        <w:tc>
          <w:tcPr>
            <w:tcW w:w="1640" w:type="dxa"/>
            <w:vAlign w:val="center"/>
          </w:tcPr>
          <w:p w:rsidR="00145BF4" w:rsidRPr="00732305" w:rsidRDefault="00145BF4" w:rsidP="00573E4B">
            <w:pPr>
              <w:spacing w:before="60" w:after="60"/>
              <w:jc w:val="center"/>
              <w:rPr>
                <w:sz w:val="20"/>
                <w:lang w:eastAsia="ja-JP"/>
              </w:rPr>
            </w:pPr>
            <w:r w:rsidRPr="00732305">
              <w:rPr>
                <w:sz w:val="20"/>
                <w:lang w:eastAsia="ja-JP"/>
              </w:rPr>
              <w:t>20 – 55</w:t>
            </w:r>
          </w:p>
        </w:tc>
        <w:tc>
          <w:tcPr>
            <w:tcW w:w="1478" w:type="dxa"/>
            <w:vAlign w:val="center"/>
          </w:tcPr>
          <w:p w:rsidR="00145BF4" w:rsidRPr="00732305" w:rsidRDefault="00145BF4" w:rsidP="00573E4B">
            <w:pPr>
              <w:spacing w:before="60" w:after="60"/>
              <w:jc w:val="center"/>
              <w:rPr>
                <w:sz w:val="20"/>
                <w:lang w:eastAsia="ja-JP"/>
              </w:rPr>
            </w:pPr>
            <w:r w:rsidRPr="00732305">
              <w:rPr>
                <w:sz w:val="20"/>
                <w:lang w:eastAsia="ja-JP"/>
              </w:rPr>
              <w:t>24,7</w:t>
            </w:r>
          </w:p>
        </w:tc>
      </w:tr>
      <w:tr w:rsidR="00145BF4" w:rsidRPr="00732305" w:rsidTr="00573E4B">
        <w:tc>
          <w:tcPr>
            <w:tcW w:w="8585" w:type="dxa"/>
            <w:gridSpan w:val="5"/>
            <w:vAlign w:val="center"/>
          </w:tcPr>
          <w:p w:rsidR="00145BF4" w:rsidRPr="00732305" w:rsidRDefault="00145BF4" w:rsidP="00573E4B">
            <w:pPr>
              <w:spacing w:before="60" w:after="60"/>
              <w:jc w:val="center"/>
              <w:rPr>
                <w:sz w:val="20"/>
                <w:lang w:eastAsia="ja-JP"/>
              </w:rPr>
            </w:pPr>
            <w:r w:rsidRPr="00732305">
              <w:rPr>
                <w:sz w:val="20"/>
                <w:lang w:eastAsia="ja-JP"/>
              </w:rPr>
              <w:t>Maks. hastighed/t</w:t>
            </w:r>
          </w:p>
        </w:tc>
      </w:tr>
      <w:tr w:rsidR="00145BF4" w:rsidRPr="00732305" w:rsidTr="00573E4B">
        <w:tc>
          <w:tcPr>
            <w:tcW w:w="2162" w:type="dxa"/>
          </w:tcPr>
          <w:p w:rsidR="00145BF4" w:rsidRPr="00A12D44" w:rsidRDefault="00145BF4" w:rsidP="00573E4B">
            <w:pPr>
              <w:spacing w:before="60" w:after="60"/>
              <w:jc w:val="center"/>
              <w:rPr>
                <w:sz w:val="20"/>
                <w:lang w:val="de-DE" w:eastAsia="ja-JP"/>
              </w:rPr>
            </w:pPr>
            <w:proofErr w:type="spellStart"/>
            <w:r w:rsidRPr="00A12D44">
              <w:rPr>
                <w:sz w:val="20"/>
                <w:lang w:val="de-DE" w:eastAsia="ja-JP"/>
              </w:rPr>
              <w:t>Olimel</w:t>
            </w:r>
            <w:proofErr w:type="spellEnd"/>
            <w:r w:rsidRPr="00A12D44">
              <w:rPr>
                <w:sz w:val="20"/>
                <w:lang w:val="de-DE" w:eastAsia="ja-JP"/>
              </w:rPr>
              <w:t xml:space="preserve"> N12 (ml/kg/t)</w:t>
            </w:r>
          </w:p>
        </w:tc>
        <w:tc>
          <w:tcPr>
            <w:tcW w:w="1783" w:type="dxa"/>
            <w:vAlign w:val="center"/>
          </w:tcPr>
          <w:p w:rsidR="00145BF4" w:rsidRPr="00A12D44" w:rsidRDefault="00145BF4" w:rsidP="00573E4B">
            <w:pPr>
              <w:spacing w:before="60" w:after="60"/>
              <w:jc w:val="center"/>
              <w:rPr>
                <w:sz w:val="20"/>
                <w:lang w:val="de-DE" w:eastAsia="ja-JP"/>
              </w:rPr>
            </w:pPr>
          </w:p>
        </w:tc>
        <w:tc>
          <w:tcPr>
            <w:tcW w:w="1522" w:type="dxa"/>
            <w:vAlign w:val="center"/>
          </w:tcPr>
          <w:p w:rsidR="00145BF4" w:rsidRPr="00732305" w:rsidRDefault="00145BF4" w:rsidP="00573E4B">
            <w:pPr>
              <w:spacing w:before="60" w:after="60"/>
              <w:jc w:val="center"/>
              <w:rPr>
                <w:sz w:val="20"/>
                <w:lang w:eastAsia="ja-JP"/>
              </w:rPr>
            </w:pPr>
            <w:r w:rsidRPr="00732305">
              <w:rPr>
                <w:sz w:val="20"/>
                <w:lang w:eastAsia="ja-JP"/>
              </w:rPr>
              <w:t>2,6</w:t>
            </w:r>
          </w:p>
        </w:tc>
        <w:tc>
          <w:tcPr>
            <w:tcW w:w="1640" w:type="dxa"/>
            <w:vAlign w:val="center"/>
          </w:tcPr>
          <w:p w:rsidR="00145BF4" w:rsidRPr="00732305" w:rsidRDefault="00145BF4" w:rsidP="00573E4B">
            <w:pPr>
              <w:spacing w:before="60" w:after="60"/>
              <w:jc w:val="center"/>
              <w:rPr>
                <w:sz w:val="20"/>
                <w:lang w:eastAsia="ja-JP"/>
              </w:rPr>
            </w:pPr>
          </w:p>
        </w:tc>
        <w:tc>
          <w:tcPr>
            <w:tcW w:w="1478" w:type="dxa"/>
            <w:vAlign w:val="center"/>
          </w:tcPr>
          <w:p w:rsidR="00145BF4" w:rsidRPr="00732305" w:rsidRDefault="00145BF4" w:rsidP="00573E4B">
            <w:pPr>
              <w:spacing w:before="60" w:after="60"/>
              <w:jc w:val="center"/>
              <w:rPr>
                <w:sz w:val="20"/>
                <w:lang w:eastAsia="ja-JP"/>
              </w:rPr>
            </w:pPr>
            <w:r w:rsidRPr="00732305">
              <w:rPr>
                <w:sz w:val="20"/>
                <w:lang w:eastAsia="ja-JP"/>
              </w:rPr>
              <w:t>1,6</w:t>
            </w:r>
          </w:p>
        </w:tc>
      </w:tr>
      <w:tr w:rsidR="00145BF4" w:rsidRPr="00732305" w:rsidTr="00573E4B">
        <w:tc>
          <w:tcPr>
            <w:tcW w:w="2162" w:type="dxa"/>
          </w:tcPr>
          <w:p w:rsidR="00145BF4" w:rsidRPr="00732305" w:rsidRDefault="00145BF4" w:rsidP="00573E4B">
            <w:pPr>
              <w:spacing w:before="60" w:after="60"/>
              <w:jc w:val="center"/>
              <w:rPr>
                <w:sz w:val="20"/>
                <w:lang w:eastAsia="ja-JP"/>
              </w:rPr>
            </w:pPr>
            <w:r w:rsidRPr="00732305">
              <w:rPr>
                <w:sz w:val="20"/>
                <w:lang w:eastAsia="ja-JP"/>
              </w:rPr>
              <w:t>Aminosyrer (g/kg/t)</w:t>
            </w:r>
          </w:p>
        </w:tc>
        <w:tc>
          <w:tcPr>
            <w:tcW w:w="1783" w:type="dxa"/>
            <w:vAlign w:val="center"/>
          </w:tcPr>
          <w:p w:rsidR="00145BF4" w:rsidRPr="00732305" w:rsidRDefault="00145BF4" w:rsidP="00573E4B">
            <w:pPr>
              <w:spacing w:before="60" w:after="60"/>
              <w:jc w:val="center"/>
              <w:rPr>
                <w:sz w:val="20"/>
                <w:lang w:eastAsia="ja-JP"/>
              </w:rPr>
            </w:pPr>
            <w:r w:rsidRPr="00732305">
              <w:rPr>
                <w:sz w:val="20"/>
                <w:lang w:eastAsia="ja-JP"/>
              </w:rPr>
              <w:t>0,20</w:t>
            </w:r>
          </w:p>
        </w:tc>
        <w:tc>
          <w:tcPr>
            <w:tcW w:w="1522" w:type="dxa"/>
            <w:vAlign w:val="center"/>
          </w:tcPr>
          <w:p w:rsidR="00145BF4" w:rsidRPr="00732305" w:rsidRDefault="00145BF4" w:rsidP="00573E4B">
            <w:pPr>
              <w:spacing w:before="60" w:after="60"/>
              <w:jc w:val="center"/>
              <w:rPr>
                <w:sz w:val="20"/>
                <w:lang w:eastAsia="ja-JP"/>
              </w:rPr>
            </w:pPr>
            <w:r w:rsidRPr="00732305">
              <w:rPr>
                <w:sz w:val="20"/>
                <w:lang w:eastAsia="ja-JP"/>
              </w:rPr>
              <w:t>0,20</w:t>
            </w:r>
          </w:p>
        </w:tc>
        <w:tc>
          <w:tcPr>
            <w:tcW w:w="1640" w:type="dxa"/>
            <w:vAlign w:val="center"/>
          </w:tcPr>
          <w:p w:rsidR="00145BF4" w:rsidRPr="00732305" w:rsidRDefault="00145BF4" w:rsidP="00573E4B">
            <w:pPr>
              <w:spacing w:before="60" w:after="60"/>
              <w:jc w:val="center"/>
              <w:rPr>
                <w:sz w:val="20"/>
                <w:lang w:eastAsia="ja-JP"/>
              </w:rPr>
            </w:pPr>
            <w:r w:rsidRPr="00732305">
              <w:rPr>
                <w:sz w:val="20"/>
                <w:lang w:eastAsia="ja-JP"/>
              </w:rPr>
              <w:t>0,12</w:t>
            </w:r>
          </w:p>
        </w:tc>
        <w:tc>
          <w:tcPr>
            <w:tcW w:w="1478" w:type="dxa"/>
            <w:vAlign w:val="center"/>
          </w:tcPr>
          <w:p w:rsidR="00145BF4" w:rsidRPr="00732305" w:rsidRDefault="00145BF4" w:rsidP="00573E4B">
            <w:pPr>
              <w:spacing w:before="60" w:after="60"/>
              <w:jc w:val="center"/>
              <w:rPr>
                <w:sz w:val="20"/>
                <w:lang w:eastAsia="ja-JP"/>
              </w:rPr>
            </w:pPr>
            <w:r w:rsidRPr="00732305">
              <w:rPr>
                <w:sz w:val="20"/>
                <w:lang w:eastAsia="ja-JP"/>
              </w:rPr>
              <w:t>0,12</w:t>
            </w:r>
          </w:p>
        </w:tc>
      </w:tr>
      <w:tr w:rsidR="00145BF4" w:rsidRPr="00732305" w:rsidTr="00573E4B">
        <w:tc>
          <w:tcPr>
            <w:tcW w:w="2162" w:type="dxa"/>
          </w:tcPr>
          <w:p w:rsidR="00145BF4" w:rsidRPr="00732305" w:rsidRDefault="00145BF4" w:rsidP="00573E4B">
            <w:pPr>
              <w:spacing w:before="60" w:after="60"/>
              <w:jc w:val="center"/>
              <w:rPr>
                <w:sz w:val="20"/>
                <w:lang w:eastAsia="ja-JP"/>
              </w:rPr>
            </w:pPr>
            <w:proofErr w:type="spellStart"/>
            <w:r w:rsidRPr="00732305">
              <w:rPr>
                <w:sz w:val="20"/>
                <w:lang w:eastAsia="ja-JP"/>
              </w:rPr>
              <w:t>Glucose</w:t>
            </w:r>
            <w:proofErr w:type="spellEnd"/>
            <w:r w:rsidRPr="00732305">
              <w:rPr>
                <w:sz w:val="20"/>
                <w:lang w:eastAsia="ja-JP"/>
              </w:rPr>
              <w:t xml:space="preserve"> (g/kg/t)</w:t>
            </w:r>
          </w:p>
        </w:tc>
        <w:tc>
          <w:tcPr>
            <w:tcW w:w="1783" w:type="dxa"/>
            <w:vAlign w:val="center"/>
          </w:tcPr>
          <w:p w:rsidR="00145BF4" w:rsidRPr="00732305" w:rsidRDefault="00145BF4" w:rsidP="00573E4B">
            <w:pPr>
              <w:spacing w:before="60" w:after="60"/>
              <w:jc w:val="center"/>
              <w:rPr>
                <w:sz w:val="20"/>
                <w:lang w:eastAsia="ja-JP"/>
              </w:rPr>
            </w:pPr>
            <w:r w:rsidRPr="00732305">
              <w:rPr>
                <w:sz w:val="20"/>
                <w:lang w:eastAsia="ja-JP"/>
              </w:rPr>
              <w:t>0,36</w:t>
            </w:r>
          </w:p>
        </w:tc>
        <w:tc>
          <w:tcPr>
            <w:tcW w:w="1522" w:type="dxa"/>
            <w:vAlign w:val="center"/>
          </w:tcPr>
          <w:p w:rsidR="00145BF4" w:rsidRPr="00732305" w:rsidRDefault="00145BF4" w:rsidP="00573E4B">
            <w:pPr>
              <w:spacing w:before="60" w:after="60"/>
              <w:jc w:val="center"/>
              <w:rPr>
                <w:sz w:val="20"/>
                <w:lang w:eastAsia="ja-JP"/>
              </w:rPr>
            </w:pPr>
            <w:r w:rsidRPr="00732305">
              <w:rPr>
                <w:sz w:val="20"/>
                <w:lang w:eastAsia="ja-JP"/>
              </w:rPr>
              <w:t>0,19</w:t>
            </w:r>
          </w:p>
        </w:tc>
        <w:tc>
          <w:tcPr>
            <w:tcW w:w="1640" w:type="dxa"/>
            <w:vAlign w:val="center"/>
          </w:tcPr>
          <w:p w:rsidR="00145BF4" w:rsidRPr="00732305" w:rsidRDefault="00145BF4" w:rsidP="00573E4B">
            <w:pPr>
              <w:spacing w:before="60" w:after="60"/>
              <w:jc w:val="center"/>
              <w:rPr>
                <w:sz w:val="20"/>
                <w:lang w:eastAsia="ja-JP"/>
              </w:rPr>
            </w:pPr>
            <w:r w:rsidRPr="00732305">
              <w:rPr>
                <w:sz w:val="20"/>
                <w:lang w:eastAsia="ja-JP"/>
              </w:rPr>
              <w:t>0,24</w:t>
            </w:r>
          </w:p>
        </w:tc>
        <w:tc>
          <w:tcPr>
            <w:tcW w:w="1478" w:type="dxa"/>
            <w:vAlign w:val="center"/>
          </w:tcPr>
          <w:p w:rsidR="00145BF4" w:rsidRPr="00732305" w:rsidRDefault="00145BF4" w:rsidP="00573E4B">
            <w:pPr>
              <w:spacing w:before="60" w:after="60"/>
              <w:jc w:val="center"/>
              <w:rPr>
                <w:sz w:val="20"/>
                <w:lang w:eastAsia="ja-JP"/>
              </w:rPr>
            </w:pPr>
            <w:r w:rsidRPr="00732305">
              <w:rPr>
                <w:sz w:val="20"/>
                <w:lang w:eastAsia="ja-JP"/>
              </w:rPr>
              <w:t>0,12</w:t>
            </w:r>
          </w:p>
        </w:tc>
      </w:tr>
      <w:tr w:rsidR="00145BF4" w:rsidRPr="00732305" w:rsidTr="00573E4B">
        <w:tc>
          <w:tcPr>
            <w:tcW w:w="2162" w:type="dxa"/>
            <w:tcBorders>
              <w:bottom w:val="single" w:sz="6" w:space="0" w:color="000000"/>
            </w:tcBorders>
          </w:tcPr>
          <w:p w:rsidR="00145BF4" w:rsidRPr="00732305" w:rsidRDefault="00145BF4" w:rsidP="00573E4B">
            <w:pPr>
              <w:spacing w:before="60" w:after="60"/>
              <w:jc w:val="center"/>
              <w:rPr>
                <w:sz w:val="20"/>
                <w:lang w:eastAsia="ja-JP"/>
              </w:rPr>
            </w:pPr>
            <w:r w:rsidRPr="00732305">
              <w:rPr>
                <w:sz w:val="20"/>
                <w:lang w:eastAsia="ja-JP"/>
              </w:rPr>
              <w:t>Fedt (g/kg/t)</w:t>
            </w:r>
          </w:p>
        </w:tc>
        <w:tc>
          <w:tcPr>
            <w:tcW w:w="1783" w:type="dxa"/>
            <w:tcBorders>
              <w:bottom w:val="single" w:sz="6" w:space="0" w:color="000000"/>
            </w:tcBorders>
            <w:vAlign w:val="center"/>
          </w:tcPr>
          <w:p w:rsidR="00145BF4" w:rsidRPr="00732305" w:rsidRDefault="00145BF4" w:rsidP="00573E4B">
            <w:pPr>
              <w:spacing w:before="60" w:after="60"/>
              <w:jc w:val="center"/>
              <w:rPr>
                <w:sz w:val="20"/>
                <w:lang w:eastAsia="ja-JP"/>
              </w:rPr>
            </w:pPr>
            <w:r w:rsidRPr="00732305">
              <w:rPr>
                <w:sz w:val="20"/>
                <w:lang w:eastAsia="ja-JP"/>
              </w:rPr>
              <w:t>0,13</w:t>
            </w:r>
          </w:p>
        </w:tc>
        <w:tc>
          <w:tcPr>
            <w:tcW w:w="1522" w:type="dxa"/>
            <w:tcBorders>
              <w:bottom w:val="single" w:sz="6" w:space="0" w:color="000000"/>
            </w:tcBorders>
            <w:vAlign w:val="center"/>
          </w:tcPr>
          <w:p w:rsidR="00145BF4" w:rsidRPr="00732305" w:rsidRDefault="00145BF4" w:rsidP="00573E4B">
            <w:pPr>
              <w:spacing w:before="60" w:after="60"/>
              <w:jc w:val="center"/>
              <w:rPr>
                <w:sz w:val="20"/>
                <w:lang w:eastAsia="ja-JP"/>
              </w:rPr>
            </w:pPr>
            <w:r w:rsidRPr="00732305">
              <w:rPr>
                <w:sz w:val="20"/>
                <w:lang w:eastAsia="ja-JP"/>
              </w:rPr>
              <w:t>0,09</w:t>
            </w:r>
          </w:p>
        </w:tc>
        <w:tc>
          <w:tcPr>
            <w:tcW w:w="1640" w:type="dxa"/>
            <w:tcBorders>
              <w:bottom w:val="single" w:sz="6" w:space="0" w:color="000000"/>
            </w:tcBorders>
            <w:vAlign w:val="center"/>
          </w:tcPr>
          <w:p w:rsidR="00145BF4" w:rsidRPr="00732305" w:rsidRDefault="00145BF4" w:rsidP="00573E4B">
            <w:pPr>
              <w:spacing w:before="60" w:after="60"/>
              <w:jc w:val="center"/>
              <w:rPr>
                <w:sz w:val="20"/>
                <w:lang w:eastAsia="ja-JP"/>
              </w:rPr>
            </w:pPr>
            <w:r w:rsidRPr="00732305">
              <w:rPr>
                <w:sz w:val="20"/>
                <w:lang w:eastAsia="ja-JP"/>
              </w:rPr>
              <w:t>0,13</w:t>
            </w:r>
          </w:p>
        </w:tc>
        <w:tc>
          <w:tcPr>
            <w:tcW w:w="1478" w:type="dxa"/>
            <w:tcBorders>
              <w:bottom w:val="single" w:sz="6" w:space="0" w:color="000000"/>
            </w:tcBorders>
            <w:vAlign w:val="center"/>
          </w:tcPr>
          <w:p w:rsidR="00145BF4" w:rsidRPr="00732305" w:rsidRDefault="00145BF4" w:rsidP="00573E4B">
            <w:pPr>
              <w:spacing w:before="60" w:after="60"/>
              <w:jc w:val="center"/>
              <w:rPr>
                <w:sz w:val="20"/>
                <w:lang w:eastAsia="ja-JP"/>
              </w:rPr>
            </w:pPr>
            <w:r w:rsidRPr="00732305">
              <w:rPr>
                <w:sz w:val="20"/>
                <w:lang w:eastAsia="ja-JP"/>
              </w:rPr>
              <w:t>0,06</w:t>
            </w:r>
          </w:p>
        </w:tc>
      </w:tr>
      <w:tr w:rsidR="00145BF4" w:rsidRPr="00732305" w:rsidTr="00573E4B">
        <w:tc>
          <w:tcPr>
            <w:tcW w:w="8585" w:type="dxa"/>
            <w:gridSpan w:val="5"/>
            <w:tcBorders>
              <w:top w:val="single" w:sz="6" w:space="0" w:color="000000"/>
              <w:left w:val="nil"/>
              <w:bottom w:val="nil"/>
              <w:right w:val="nil"/>
            </w:tcBorders>
            <w:shd w:val="clear" w:color="auto" w:fill="auto"/>
          </w:tcPr>
          <w:p w:rsidR="00145BF4" w:rsidRPr="00732305" w:rsidRDefault="00145BF4" w:rsidP="00573E4B">
            <w:pPr>
              <w:spacing w:before="60" w:after="60"/>
              <w:ind w:left="115"/>
              <w:rPr>
                <w:sz w:val="20"/>
                <w:lang w:eastAsia="ja-JP"/>
              </w:rPr>
            </w:pPr>
            <w:bookmarkStart w:id="6" w:name="_Ref496516585"/>
            <w:r w:rsidRPr="00732305">
              <w:rPr>
                <w:sz w:val="20"/>
                <w:vertAlign w:val="superscript"/>
                <w:lang w:eastAsia="ja-JP"/>
              </w:rPr>
              <w:t>a</w:t>
            </w:r>
            <w:r w:rsidRPr="00732305">
              <w:rPr>
                <w:sz w:val="20"/>
                <w:lang w:eastAsia="ja-JP"/>
              </w:rPr>
              <w:t xml:space="preserve"> Anbefalede værdier fra 2018 ESPGHAN/ESPEN/ESPR Guidelines</w:t>
            </w:r>
            <w:bookmarkEnd w:id="6"/>
          </w:p>
        </w:tc>
      </w:tr>
    </w:tbl>
    <w:p w:rsidR="00145BF4" w:rsidRPr="00732305" w:rsidRDefault="00145BF4" w:rsidP="00145BF4">
      <w:pPr>
        <w:tabs>
          <w:tab w:val="left" w:pos="851"/>
        </w:tabs>
        <w:ind w:left="851"/>
        <w:rPr>
          <w:sz w:val="24"/>
          <w:szCs w:val="24"/>
        </w:rPr>
      </w:pPr>
    </w:p>
    <w:p w:rsidR="00145BF4" w:rsidRPr="00732305" w:rsidRDefault="00145BF4" w:rsidP="00145BF4">
      <w:pPr>
        <w:tabs>
          <w:tab w:val="left" w:pos="851"/>
        </w:tabs>
        <w:ind w:left="851"/>
        <w:rPr>
          <w:sz w:val="24"/>
          <w:szCs w:val="24"/>
        </w:rPr>
      </w:pPr>
      <w:r w:rsidRPr="00732305">
        <w:rPr>
          <w:sz w:val="24"/>
          <w:szCs w:val="24"/>
        </w:rPr>
        <w:t>Normalt skal indgivelseshastigheden øges gradvist i løbet af den første time og derefter justeres i forhold til den indgivne dosis, den daglige mængde, der indgives, og infusionens varighed.</w:t>
      </w:r>
    </w:p>
    <w:p w:rsidR="00145BF4" w:rsidRPr="00732305" w:rsidRDefault="00145BF4" w:rsidP="00145BF4">
      <w:pPr>
        <w:tabs>
          <w:tab w:val="left" w:pos="851"/>
        </w:tabs>
        <w:ind w:left="851"/>
        <w:rPr>
          <w:sz w:val="24"/>
          <w:szCs w:val="24"/>
        </w:rPr>
      </w:pPr>
    </w:p>
    <w:p w:rsidR="00145BF4" w:rsidRPr="00732305" w:rsidRDefault="00145BF4" w:rsidP="00145BF4">
      <w:pPr>
        <w:tabs>
          <w:tab w:val="left" w:pos="851"/>
        </w:tabs>
        <w:ind w:left="851"/>
        <w:rPr>
          <w:sz w:val="24"/>
          <w:szCs w:val="24"/>
        </w:rPr>
      </w:pPr>
      <w:r w:rsidRPr="00732305">
        <w:rPr>
          <w:sz w:val="24"/>
          <w:szCs w:val="24"/>
        </w:rPr>
        <w:t>Det anbefales generelt at begynde infusionen til små børn med en lav daglig dosis og efterhånden sætte den op til maksimal dosis (se ovenstående).</w:t>
      </w:r>
    </w:p>
    <w:p w:rsidR="00145BF4" w:rsidRPr="00732305" w:rsidRDefault="00145BF4" w:rsidP="00145BF4">
      <w:pPr>
        <w:tabs>
          <w:tab w:val="left" w:pos="851"/>
        </w:tabs>
        <w:ind w:left="851"/>
        <w:rPr>
          <w:sz w:val="24"/>
          <w:szCs w:val="24"/>
        </w:rPr>
      </w:pPr>
    </w:p>
    <w:p w:rsidR="00145BF4" w:rsidRPr="00732305" w:rsidRDefault="00145BF4" w:rsidP="00145BF4">
      <w:pPr>
        <w:tabs>
          <w:tab w:val="left" w:pos="851"/>
        </w:tabs>
        <w:ind w:left="851"/>
        <w:rPr>
          <w:sz w:val="24"/>
          <w:szCs w:val="24"/>
        </w:rPr>
      </w:pPr>
      <w:r w:rsidRPr="00732305">
        <w:rPr>
          <w:sz w:val="24"/>
          <w:szCs w:val="24"/>
        </w:rPr>
        <w:t>Den maximale infusionshastighed er 2,6 ml/kg kropsvægt/time til børn i alderen 2 til 11 år og 1,6 ml/kg kropsvægt/time til børn i alderen 12 til 18 år.</w:t>
      </w:r>
    </w:p>
    <w:p w:rsidR="00145BF4" w:rsidRPr="00732305" w:rsidRDefault="00145BF4" w:rsidP="00145BF4">
      <w:pPr>
        <w:tabs>
          <w:tab w:val="left" w:pos="851"/>
        </w:tabs>
        <w:ind w:left="851"/>
        <w:rPr>
          <w:sz w:val="24"/>
          <w:szCs w:val="24"/>
        </w:rPr>
      </w:pPr>
    </w:p>
    <w:p w:rsidR="00145BF4" w:rsidRPr="00732305" w:rsidRDefault="00145BF4" w:rsidP="00145BF4">
      <w:pPr>
        <w:tabs>
          <w:tab w:val="left" w:pos="851"/>
        </w:tabs>
        <w:ind w:left="851"/>
        <w:rPr>
          <w:b/>
          <w:bCs/>
          <w:sz w:val="24"/>
          <w:szCs w:val="24"/>
        </w:rPr>
      </w:pPr>
      <w:bookmarkStart w:id="7" w:name="_ISIW_UH_10"/>
      <w:r w:rsidRPr="00732305">
        <w:rPr>
          <w:b/>
          <w:bCs/>
          <w:sz w:val="24"/>
          <w:szCs w:val="24"/>
        </w:rPr>
        <w:t>Administration</w:t>
      </w:r>
    </w:p>
    <w:p w:rsidR="00145BF4" w:rsidRPr="00732305" w:rsidRDefault="00145BF4" w:rsidP="00145BF4">
      <w:pPr>
        <w:tabs>
          <w:tab w:val="left" w:pos="851"/>
        </w:tabs>
        <w:ind w:left="851"/>
        <w:rPr>
          <w:b/>
          <w:bCs/>
          <w:sz w:val="24"/>
          <w:szCs w:val="24"/>
        </w:rPr>
      </w:pPr>
    </w:p>
    <w:bookmarkEnd w:id="7"/>
    <w:p w:rsidR="00145BF4" w:rsidRPr="00732305" w:rsidRDefault="00145BF4" w:rsidP="00145BF4">
      <w:pPr>
        <w:tabs>
          <w:tab w:val="left" w:pos="851"/>
        </w:tabs>
        <w:ind w:left="851"/>
        <w:rPr>
          <w:sz w:val="24"/>
          <w:szCs w:val="24"/>
        </w:rPr>
      </w:pPr>
      <w:r w:rsidRPr="00732305">
        <w:rPr>
          <w:sz w:val="24"/>
          <w:szCs w:val="24"/>
        </w:rPr>
        <w:t>Udelukkende til engangsbrug</w:t>
      </w:r>
    </w:p>
    <w:p w:rsidR="00145BF4" w:rsidRPr="00732305" w:rsidRDefault="00145BF4" w:rsidP="00145BF4">
      <w:pPr>
        <w:tabs>
          <w:tab w:val="left" w:pos="851"/>
        </w:tabs>
        <w:ind w:left="851"/>
        <w:rPr>
          <w:sz w:val="24"/>
          <w:szCs w:val="24"/>
        </w:rPr>
      </w:pPr>
    </w:p>
    <w:p w:rsidR="00145BF4" w:rsidRPr="00732305" w:rsidRDefault="00145BF4" w:rsidP="00145BF4">
      <w:pPr>
        <w:tabs>
          <w:tab w:val="left" w:pos="851"/>
        </w:tabs>
        <w:ind w:left="851"/>
        <w:rPr>
          <w:sz w:val="24"/>
          <w:szCs w:val="24"/>
        </w:rPr>
      </w:pPr>
      <w:r w:rsidRPr="00732305">
        <w:rPr>
          <w:sz w:val="24"/>
          <w:szCs w:val="24"/>
        </w:rPr>
        <w:t>Efter åbning af posen anbefales det, at indholdet bruges straks og ikke opbevares til senere infusion.</w:t>
      </w:r>
    </w:p>
    <w:p w:rsidR="00145BF4" w:rsidRPr="00732305" w:rsidRDefault="00145BF4" w:rsidP="00145BF4">
      <w:pPr>
        <w:tabs>
          <w:tab w:val="left" w:pos="851"/>
        </w:tabs>
        <w:ind w:left="851"/>
        <w:rPr>
          <w:sz w:val="24"/>
          <w:szCs w:val="24"/>
        </w:rPr>
      </w:pPr>
    </w:p>
    <w:p w:rsidR="00145BF4" w:rsidRPr="00732305" w:rsidRDefault="00145BF4" w:rsidP="00145BF4">
      <w:pPr>
        <w:tabs>
          <w:tab w:val="left" w:pos="851"/>
        </w:tabs>
        <w:ind w:left="851"/>
        <w:rPr>
          <w:sz w:val="24"/>
          <w:szCs w:val="24"/>
        </w:rPr>
      </w:pPr>
      <w:r w:rsidRPr="00732305">
        <w:rPr>
          <w:sz w:val="24"/>
          <w:szCs w:val="24"/>
        </w:rPr>
        <w:t xml:space="preserve">Udseende efter </w:t>
      </w:r>
      <w:proofErr w:type="spellStart"/>
      <w:r w:rsidRPr="00732305">
        <w:rPr>
          <w:sz w:val="24"/>
          <w:szCs w:val="24"/>
        </w:rPr>
        <w:t>rekonstitution</w:t>
      </w:r>
      <w:proofErr w:type="spellEnd"/>
      <w:r w:rsidRPr="00732305">
        <w:rPr>
          <w:sz w:val="24"/>
          <w:szCs w:val="24"/>
        </w:rPr>
        <w:t>: Homogen væske med et mælkeagtigt udseende.</w:t>
      </w:r>
    </w:p>
    <w:p w:rsidR="00145BF4" w:rsidRPr="00732305" w:rsidRDefault="00145BF4" w:rsidP="00145BF4">
      <w:pPr>
        <w:tabs>
          <w:tab w:val="left" w:pos="851"/>
        </w:tabs>
        <w:ind w:left="851"/>
        <w:rPr>
          <w:sz w:val="24"/>
          <w:szCs w:val="24"/>
        </w:rPr>
      </w:pPr>
    </w:p>
    <w:p w:rsidR="00145BF4" w:rsidRPr="00732305" w:rsidRDefault="00145BF4" w:rsidP="00145BF4">
      <w:pPr>
        <w:tabs>
          <w:tab w:val="left" w:pos="851"/>
        </w:tabs>
        <w:ind w:left="851"/>
        <w:rPr>
          <w:sz w:val="24"/>
          <w:szCs w:val="24"/>
        </w:rPr>
      </w:pPr>
      <w:r w:rsidRPr="00732305">
        <w:rPr>
          <w:sz w:val="24"/>
          <w:szCs w:val="24"/>
        </w:rPr>
        <w:t>Se pkt. 6.6 for instruktioner om tilberedning og håndtering af emulsionen til infusion.</w:t>
      </w:r>
    </w:p>
    <w:p w:rsidR="00145BF4" w:rsidRPr="00732305" w:rsidRDefault="00145BF4" w:rsidP="00145BF4">
      <w:pPr>
        <w:tabs>
          <w:tab w:val="left" w:pos="851"/>
        </w:tabs>
        <w:ind w:left="851"/>
        <w:rPr>
          <w:sz w:val="24"/>
          <w:szCs w:val="24"/>
        </w:rPr>
      </w:pPr>
    </w:p>
    <w:p w:rsidR="00145BF4" w:rsidRPr="00732305" w:rsidRDefault="00145BF4" w:rsidP="00145BF4">
      <w:pPr>
        <w:tabs>
          <w:tab w:val="left" w:pos="851"/>
        </w:tabs>
        <w:ind w:left="851"/>
        <w:rPr>
          <w:sz w:val="24"/>
          <w:szCs w:val="24"/>
        </w:rPr>
      </w:pPr>
      <w:r w:rsidRPr="00732305">
        <w:rPr>
          <w:sz w:val="24"/>
          <w:szCs w:val="24"/>
        </w:rPr>
        <w:t xml:space="preserve">På grund af den høje </w:t>
      </w:r>
      <w:proofErr w:type="spellStart"/>
      <w:r w:rsidRPr="00732305">
        <w:rPr>
          <w:sz w:val="24"/>
          <w:szCs w:val="24"/>
        </w:rPr>
        <w:t>osmolaritet</w:t>
      </w:r>
      <w:proofErr w:type="spellEnd"/>
      <w:r w:rsidRPr="00732305">
        <w:rPr>
          <w:sz w:val="24"/>
          <w:szCs w:val="24"/>
        </w:rPr>
        <w:t xml:space="preserve"> kan </w:t>
      </w:r>
      <w:proofErr w:type="spellStart"/>
      <w:r w:rsidRPr="00732305">
        <w:rPr>
          <w:sz w:val="24"/>
          <w:szCs w:val="24"/>
        </w:rPr>
        <w:t>Olimel</w:t>
      </w:r>
      <w:proofErr w:type="spellEnd"/>
      <w:r w:rsidRPr="00732305">
        <w:rPr>
          <w:sz w:val="24"/>
          <w:szCs w:val="24"/>
        </w:rPr>
        <w:t xml:space="preserve"> N12 kun indgives gennem en central vene.</w:t>
      </w:r>
    </w:p>
    <w:p w:rsidR="00145BF4" w:rsidRPr="00732305" w:rsidRDefault="00145BF4" w:rsidP="00145BF4">
      <w:pPr>
        <w:tabs>
          <w:tab w:val="left" w:pos="851"/>
        </w:tabs>
        <w:ind w:left="851"/>
        <w:rPr>
          <w:sz w:val="24"/>
          <w:szCs w:val="24"/>
        </w:rPr>
      </w:pPr>
    </w:p>
    <w:p w:rsidR="00145BF4" w:rsidRPr="00732305" w:rsidRDefault="00145BF4" w:rsidP="00145BF4">
      <w:pPr>
        <w:tabs>
          <w:tab w:val="left" w:pos="851"/>
        </w:tabs>
        <w:ind w:left="851"/>
        <w:rPr>
          <w:sz w:val="24"/>
          <w:szCs w:val="24"/>
        </w:rPr>
      </w:pPr>
      <w:r w:rsidRPr="00732305">
        <w:rPr>
          <w:sz w:val="24"/>
          <w:szCs w:val="24"/>
        </w:rPr>
        <w:t>Den anbefalede varighed af infusionen af en pose med parenteral ernæring er mellem 12 og 24 timer.</w:t>
      </w:r>
    </w:p>
    <w:p w:rsidR="00145BF4" w:rsidRPr="00732305" w:rsidRDefault="00145BF4" w:rsidP="00145BF4">
      <w:pPr>
        <w:tabs>
          <w:tab w:val="left" w:pos="851"/>
        </w:tabs>
        <w:ind w:left="851"/>
        <w:rPr>
          <w:sz w:val="24"/>
          <w:szCs w:val="24"/>
        </w:rPr>
      </w:pPr>
    </w:p>
    <w:p w:rsidR="00145BF4" w:rsidRPr="00732305" w:rsidRDefault="00145BF4" w:rsidP="00145BF4">
      <w:pPr>
        <w:tabs>
          <w:tab w:val="left" w:pos="851"/>
        </w:tabs>
        <w:ind w:left="851"/>
        <w:rPr>
          <w:b/>
          <w:sz w:val="24"/>
          <w:szCs w:val="24"/>
        </w:rPr>
      </w:pPr>
      <w:r w:rsidRPr="00732305">
        <w:rPr>
          <w:sz w:val="24"/>
          <w:szCs w:val="24"/>
        </w:rPr>
        <w:t>Behandling med parenteral ernæring kan fortsættes, så længe det er nødvendigt af hensyn til patientens kliniske tilstand.</w:t>
      </w:r>
    </w:p>
    <w:p w:rsidR="00145BF4" w:rsidRPr="00732305" w:rsidRDefault="00145BF4" w:rsidP="00145BF4">
      <w:pPr>
        <w:tabs>
          <w:tab w:val="left" w:pos="851"/>
        </w:tabs>
        <w:ind w:left="851"/>
        <w:rPr>
          <w:sz w:val="24"/>
          <w:szCs w:val="24"/>
        </w:rPr>
      </w:pPr>
    </w:p>
    <w:p w:rsidR="00145BF4" w:rsidRPr="00732305" w:rsidRDefault="00145BF4" w:rsidP="00145BF4">
      <w:pPr>
        <w:tabs>
          <w:tab w:val="left" w:pos="851"/>
        </w:tabs>
        <w:ind w:left="851" w:hanging="851"/>
        <w:rPr>
          <w:b/>
          <w:sz w:val="24"/>
          <w:szCs w:val="24"/>
        </w:rPr>
      </w:pPr>
      <w:r w:rsidRPr="00732305">
        <w:rPr>
          <w:b/>
          <w:sz w:val="24"/>
          <w:szCs w:val="24"/>
        </w:rPr>
        <w:t>4.3</w:t>
      </w:r>
      <w:r w:rsidRPr="00732305">
        <w:rPr>
          <w:b/>
          <w:sz w:val="24"/>
          <w:szCs w:val="24"/>
        </w:rPr>
        <w:tab/>
        <w:t>Kontraindikationer</w:t>
      </w:r>
    </w:p>
    <w:p w:rsidR="00145BF4" w:rsidRPr="00732305" w:rsidRDefault="00145BF4" w:rsidP="00145BF4">
      <w:pPr>
        <w:tabs>
          <w:tab w:val="left" w:pos="851"/>
        </w:tabs>
        <w:ind w:left="851"/>
        <w:rPr>
          <w:sz w:val="24"/>
          <w:szCs w:val="24"/>
        </w:rPr>
      </w:pPr>
      <w:r w:rsidRPr="00732305">
        <w:rPr>
          <w:sz w:val="24"/>
          <w:szCs w:val="24"/>
        </w:rPr>
        <w:t xml:space="preserve">Anvendelsen af </w:t>
      </w:r>
      <w:proofErr w:type="spellStart"/>
      <w:r w:rsidRPr="00732305">
        <w:rPr>
          <w:sz w:val="24"/>
          <w:szCs w:val="24"/>
        </w:rPr>
        <w:t>Olimel</w:t>
      </w:r>
      <w:proofErr w:type="spellEnd"/>
      <w:r w:rsidRPr="00732305">
        <w:rPr>
          <w:sz w:val="24"/>
          <w:szCs w:val="24"/>
        </w:rPr>
        <w:t xml:space="preserve"> N12 er kontraindiceret i følgende situationer:</w:t>
      </w:r>
    </w:p>
    <w:p w:rsidR="00145BF4" w:rsidRPr="00732305" w:rsidRDefault="00145BF4" w:rsidP="00145BF4">
      <w:pPr>
        <w:pStyle w:val="Opstilling-punkttegn2"/>
        <w:tabs>
          <w:tab w:val="clear" w:pos="1080"/>
          <w:tab w:val="num" w:pos="1211"/>
        </w:tabs>
        <w:spacing w:before="0" w:after="0" w:line="240" w:lineRule="auto"/>
        <w:ind w:left="1211"/>
      </w:pPr>
      <w:r w:rsidRPr="00732305">
        <w:t>til præmature nyfødte, spædbørn og børn under 2 år</w:t>
      </w:r>
    </w:p>
    <w:p w:rsidR="00145BF4" w:rsidRPr="00732305" w:rsidRDefault="00145BF4" w:rsidP="00145BF4">
      <w:pPr>
        <w:pStyle w:val="Opstilling-punkttegn2"/>
        <w:tabs>
          <w:tab w:val="clear" w:pos="1080"/>
          <w:tab w:val="num" w:pos="1211"/>
        </w:tabs>
        <w:spacing w:before="0" w:after="0" w:line="240" w:lineRule="auto"/>
        <w:ind w:left="1211"/>
      </w:pPr>
      <w:r w:rsidRPr="00732305">
        <w:t>overfølsomhed over for proteiner fra æg, sojabønner eller peanuts eller over for majs/majsprodukter (se pkt. 4.4) eller et af de aktive stoffer eller hjælpestofferne anført i pkt. 6.1</w:t>
      </w:r>
    </w:p>
    <w:p w:rsidR="00145BF4" w:rsidRPr="00732305" w:rsidRDefault="00145BF4" w:rsidP="00145BF4">
      <w:pPr>
        <w:pStyle w:val="Opstilling-punkttegn2"/>
        <w:tabs>
          <w:tab w:val="clear" w:pos="1080"/>
          <w:tab w:val="num" w:pos="1211"/>
        </w:tabs>
        <w:spacing w:before="0" w:after="0" w:line="240" w:lineRule="auto"/>
        <w:ind w:left="1211"/>
      </w:pPr>
      <w:r w:rsidRPr="00732305">
        <w:t>medfødte anomalier i metabolismen af aminosyrer</w:t>
      </w:r>
      <w:r w:rsidRPr="00732305">
        <w:br/>
        <w:t xml:space="preserve">alvorlig </w:t>
      </w:r>
      <w:proofErr w:type="spellStart"/>
      <w:r w:rsidRPr="00732305">
        <w:t>hyperlipidæmi</w:t>
      </w:r>
      <w:proofErr w:type="spellEnd"/>
      <w:r w:rsidRPr="00732305">
        <w:t xml:space="preserve"> eller alvorlige forstyrrelser i fedtmetabolismen karakteriseret ved </w:t>
      </w:r>
      <w:proofErr w:type="spellStart"/>
      <w:r w:rsidRPr="00732305">
        <w:t>hypertriglyceridæmi</w:t>
      </w:r>
      <w:proofErr w:type="spellEnd"/>
    </w:p>
    <w:p w:rsidR="00145BF4" w:rsidRPr="00732305" w:rsidRDefault="00145BF4" w:rsidP="00145BF4">
      <w:pPr>
        <w:pStyle w:val="Opstilling-punkttegn2"/>
        <w:tabs>
          <w:tab w:val="clear" w:pos="1080"/>
          <w:tab w:val="num" w:pos="1211"/>
        </w:tabs>
        <w:spacing w:before="0" w:after="0" w:line="240" w:lineRule="auto"/>
        <w:ind w:left="1211"/>
      </w:pPr>
      <w:r w:rsidRPr="00732305">
        <w:t xml:space="preserve">alvorlig </w:t>
      </w:r>
      <w:proofErr w:type="spellStart"/>
      <w:r w:rsidRPr="00732305">
        <w:t>hyperglykæmi</w:t>
      </w:r>
      <w:proofErr w:type="spellEnd"/>
      <w:r w:rsidRPr="00732305">
        <w:t xml:space="preserve">. </w:t>
      </w:r>
    </w:p>
    <w:p w:rsidR="00145BF4" w:rsidRPr="00732305" w:rsidRDefault="00145BF4" w:rsidP="00145BF4">
      <w:pPr>
        <w:tabs>
          <w:tab w:val="left" w:pos="851"/>
        </w:tabs>
        <w:ind w:left="851"/>
        <w:rPr>
          <w:sz w:val="24"/>
          <w:szCs w:val="24"/>
        </w:rPr>
      </w:pPr>
    </w:p>
    <w:p w:rsidR="00145BF4" w:rsidRPr="00732305" w:rsidRDefault="00145BF4" w:rsidP="00145BF4">
      <w:pPr>
        <w:tabs>
          <w:tab w:val="left" w:pos="851"/>
        </w:tabs>
        <w:ind w:left="851" w:hanging="851"/>
        <w:rPr>
          <w:b/>
          <w:sz w:val="24"/>
          <w:szCs w:val="24"/>
        </w:rPr>
      </w:pPr>
      <w:r w:rsidRPr="00732305">
        <w:rPr>
          <w:b/>
          <w:sz w:val="24"/>
          <w:szCs w:val="24"/>
        </w:rPr>
        <w:t>4.4</w:t>
      </w:r>
      <w:r w:rsidRPr="00732305">
        <w:rPr>
          <w:b/>
          <w:sz w:val="24"/>
          <w:szCs w:val="24"/>
        </w:rPr>
        <w:tab/>
        <w:t>Særlige advarsler og forsigtighedsregler vedrørende brugen</w:t>
      </w:r>
    </w:p>
    <w:p w:rsidR="00145BF4" w:rsidRPr="00732305" w:rsidRDefault="00145BF4" w:rsidP="00145BF4">
      <w:pPr>
        <w:pStyle w:val="Paragraph"/>
        <w:spacing w:before="0" w:after="0" w:line="240" w:lineRule="auto"/>
        <w:ind w:left="851"/>
      </w:pPr>
      <w:r w:rsidRPr="00732305">
        <w:t>En for hurtig indgivelse af total parenteral ernæring (TPN) kan få alvorlige eller dødelige konsekvenser.</w:t>
      </w:r>
    </w:p>
    <w:p w:rsidR="00145BF4" w:rsidRPr="00732305" w:rsidRDefault="00145BF4" w:rsidP="00145BF4">
      <w:pPr>
        <w:pStyle w:val="Paragraph"/>
        <w:spacing w:before="0" w:after="0" w:line="240" w:lineRule="auto"/>
        <w:ind w:left="851"/>
      </w:pPr>
    </w:p>
    <w:p w:rsidR="00145BF4" w:rsidRPr="00732305" w:rsidRDefault="00145BF4" w:rsidP="00145BF4">
      <w:pPr>
        <w:pStyle w:val="Paragraph"/>
        <w:spacing w:before="0" w:after="0" w:line="240" w:lineRule="auto"/>
        <w:ind w:left="851"/>
      </w:pPr>
      <w:r w:rsidRPr="00732305">
        <w:t xml:space="preserve">Infusionen skal straks afbrydes, hvis der opstår tegn eller symptomer på en allergisk reaktion (f.eks. svedtendens, feber, kulderystelser, hovedpine, hududslæt eller dyspnø). Dette lægemiddel indeholder sojaolie og </w:t>
      </w:r>
      <w:proofErr w:type="spellStart"/>
      <w:r w:rsidR="00573E4B">
        <w:t>ægphospholipider</w:t>
      </w:r>
      <w:proofErr w:type="spellEnd"/>
      <w:r w:rsidRPr="00732305">
        <w:t>. Proteiner fra sojabønner og æg kan give overfølsomhedsreaktioner. Krydsallergiske reaktioner mellem proteiner fra sojabønner og peanuts er forekommet.</w:t>
      </w:r>
    </w:p>
    <w:p w:rsidR="00145BF4" w:rsidRPr="00732305" w:rsidRDefault="00145BF4" w:rsidP="00145BF4">
      <w:pPr>
        <w:pStyle w:val="Paragraph"/>
        <w:spacing w:before="0" w:after="0" w:line="240" w:lineRule="auto"/>
        <w:ind w:left="851"/>
      </w:pPr>
    </w:p>
    <w:p w:rsidR="00145BF4" w:rsidRPr="00732305" w:rsidRDefault="00145BF4" w:rsidP="00145BF4">
      <w:pPr>
        <w:pStyle w:val="Paragraph"/>
        <w:spacing w:before="0" w:after="0" w:line="240" w:lineRule="auto"/>
        <w:ind w:left="851"/>
      </w:pPr>
      <w:proofErr w:type="spellStart"/>
      <w:r w:rsidRPr="00732305">
        <w:t>Olimel</w:t>
      </w:r>
      <w:proofErr w:type="spellEnd"/>
      <w:r w:rsidRPr="00732305">
        <w:t xml:space="preserve"> N12 indeholder </w:t>
      </w:r>
      <w:proofErr w:type="spellStart"/>
      <w:r w:rsidRPr="00732305">
        <w:t>glucose</w:t>
      </w:r>
      <w:proofErr w:type="spellEnd"/>
      <w:r w:rsidRPr="00732305">
        <w:t xml:space="preserve"> udvundet fra majs, som kan forårsage en allergisk reaktion hos patienter, der er allergiske over for majs eller majsprodukter (se pkt. 4.3).</w:t>
      </w:r>
    </w:p>
    <w:p w:rsidR="00145BF4" w:rsidRPr="00732305" w:rsidRDefault="00145BF4" w:rsidP="00145BF4">
      <w:pPr>
        <w:pStyle w:val="Paragraph"/>
        <w:spacing w:before="0" w:after="0" w:line="240" w:lineRule="auto"/>
        <w:ind w:left="851"/>
      </w:pPr>
    </w:p>
    <w:p w:rsidR="00145BF4" w:rsidRPr="00732305" w:rsidRDefault="00145BF4" w:rsidP="00145BF4">
      <w:pPr>
        <w:pStyle w:val="Paragraph"/>
        <w:spacing w:before="0" w:after="0" w:line="240" w:lineRule="auto"/>
        <w:ind w:left="851"/>
        <w:rPr>
          <w:iCs/>
        </w:rPr>
      </w:pPr>
      <w:r w:rsidRPr="00732305">
        <w:t xml:space="preserve">Der er rapporteret om </w:t>
      </w:r>
      <w:proofErr w:type="spellStart"/>
      <w:r w:rsidRPr="00732305">
        <w:t>pulmonale</w:t>
      </w:r>
      <w:proofErr w:type="spellEnd"/>
      <w:r w:rsidRPr="00732305">
        <w:t xml:space="preserve"> </w:t>
      </w:r>
      <w:proofErr w:type="spellStart"/>
      <w:r w:rsidRPr="00732305">
        <w:t>vaskulære</w:t>
      </w:r>
      <w:proofErr w:type="spellEnd"/>
      <w:r w:rsidRPr="00732305">
        <w:t xml:space="preserve"> udfældninger, som har medført </w:t>
      </w:r>
      <w:proofErr w:type="spellStart"/>
      <w:r w:rsidRPr="00732305">
        <w:t>pulmonal</w:t>
      </w:r>
      <w:proofErr w:type="spellEnd"/>
      <w:r w:rsidRPr="00732305">
        <w:t xml:space="preserve"> </w:t>
      </w:r>
      <w:proofErr w:type="spellStart"/>
      <w:r w:rsidRPr="00732305">
        <w:t>vaskulær</w:t>
      </w:r>
      <w:proofErr w:type="spellEnd"/>
      <w:r w:rsidRPr="00732305">
        <w:t xml:space="preserve"> </w:t>
      </w:r>
      <w:proofErr w:type="spellStart"/>
      <w:r w:rsidRPr="00732305">
        <w:t>embolisme</w:t>
      </w:r>
      <w:proofErr w:type="spellEnd"/>
      <w:r w:rsidRPr="00732305">
        <w:t xml:space="preserve"> og åndedrætsbesvær, hos patienter, som har fået </w:t>
      </w:r>
      <w:proofErr w:type="spellStart"/>
      <w:r w:rsidRPr="00732305">
        <w:t>parentereal</w:t>
      </w:r>
      <w:proofErr w:type="spellEnd"/>
      <w:r w:rsidRPr="00732305">
        <w:t xml:space="preserve"> ernæring. I nogle tilfælde har det haft dødelig udgang. Uforholdsmæssig stor tilsætning af calcium og </w:t>
      </w:r>
      <w:proofErr w:type="spellStart"/>
      <w:r w:rsidRPr="00732305">
        <w:t>phosphat</w:t>
      </w:r>
      <w:proofErr w:type="spellEnd"/>
      <w:r w:rsidRPr="00732305">
        <w:t xml:space="preserve"> øger risikoen for dannelsen af </w:t>
      </w:r>
      <w:proofErr w:type="spellStart"/>
      <w:r w:rsidRPr="00732305">
        <w:t>calciumphosphat</w:t>
      </w:r>
      <w:proofErr w:type="spellEnd"/>
      <w:r w:rsidRPr="00732305">
        <w:t xml:space="preserve">-udfældninger (se pkt. 6.2). </w:t>
      </w:r>
      <w:r w:rsidRPr="00732305">
        <w:br/>
        <w:t xml:space="preserve">Forskelligartede udfældninger er rapporteret, selv i opløsninger uden </w:t>
      </w:r>
      <w:proofErr w:type="spellStart"/>
      <w:r w:rsidRPr="00732305">
        <w:t>phosphatsalt</w:t>
      </w:r>
      <w:proofErr w:type="spellEnd"/>
      <w:r w:rsidRPr="00732305">
        <w:t xml:space="preserve">. </w:t>
      </w:r>
      <w:r w:rsidRPr="00732305">
        <w:br/>
        <w:t xml:space="preserve">Der er også rapporteret mistanke om dannelse af udfældninger i blodårerne. </w:t>
      </w:r>
      <w:r w:rsidRPr="00732305">
        <w:br/>
        <w:t xml:space="preserve">Ud over at kontrollere opløsningen skal infusionssættet og kateteret også kontrolleres regelmæssigt for udfældninger. </w:t>
      </w:r>
      <w:r w:rsidRPr="00732305">
        <w:br/>
        <w:t>Hvis der kommer tegn på åndedrætsbesvær, skal infusionen afbrydes og medicinsk evaluering initieres.</w:t>
      </w:r>
    </w:p>
    <w:p w:rsidR="00145BF4" w:rsidRPr="00732305" w:rsidRDefault="00145BF4" w:rsidP="00145BF4">
      <w:pPr>
        <w:pStyle w:val="Paragraph"/>
        <w:spacing w:before="0" w:after="0" w:line="240" w:lineRule="auto"/>
        <w:ind w:left="851"/>
      </w:pPr>
    </w:p>
    <w:p w:rsidR="00145BF4" w:rsidRPr="00732305" w:rsidRDefault="00145BF4" w:rsidP="00145BF4">
      <w:pPr>
        <w:pStyle w:val="Paragraph"/>
        <w:spacing w:before="0" w:after="0" w:line="240" w:lineRule="auto"/>
        <w:ind w:left="851"/>
        <w:rPr>
          <w:iCs/>
        </w:rPr>
      </w:pPr>
      <w:r w:rsidRPr="00732305">
        <w:t xml:space="preserve">Tilsæt ikke andre lægemidler eller stoffer til nogen af komponenterne i posen eller til den </w:t>
      </w:r>
      <w:proofErr w:type="spellStart"/>
      <w:r w:rsidRPr="00732305">
        <w:t>rekonstituerede</w:t>
      </w:r>
      <w:proofErr w:type="spellEnd"/>
      <w:r w:rsidRPr="00732305">
        <w:t xml:space="preserve"> emulsion uden først at kontrollere deres forligelighed og stabiliteten af den færdige blanding (især stabiliteten af fedtemulsionen). Dannelse af udfældning eller destabilisering af fedtemulsionen kan føre til </w:t>
      </w:r>
      <w:proofErr w:type="spellStart"/>
      <w:r w:rsidRPr="00732305">
        <w:t>vaskulær</w:t>
      </w:r>
      <w:proofErr w:type="spellEnd"/>
      <w:r w:rsidRPr="00732305">
        <w:t xml:space="preserve"> </w:t>
      </w:r>
      <w:proofErr w:type="spellStart"/>
      <w:r w:rsidRPr="00732305">
        <w:t>okklusion</w:t>
      </w:r>
      <w:proofErr w:type="spellEnd"/>
      <w:r w:rsidRPr="00732305">
        <w:t xml:space="preserve"> (se pkt. 6.2 og 6.6).</w:t>
      </w:r>
    </w:p>
    <w:p w:rsidR="00145BF4" w:rsidRPr="00732305" w:rsidRDefault="00145BF4" w:rsidP="00145BF4">
      <w:pPr>
        <w:pStyle w:val="Paragraph"/>
        <w:spacing w:before="0" w:after="0" w:line="240" w:lineRule="auto"/>
        <w:ind w:left="851"/>
      </w:pPr>
    </w:p>
    <w:p w:rsidR="00145BF4" w:rsidRPr="00732305" w:rsidRDefault="00145BF4" w:rsidP="00145BF4">
      <w:pPr>
        <w:pStyle w:val="Paragraph"/>
        <w:spacing w:before="0" w:after="0" w:line="240" w:lineRule="auto"/>
        <w:ind w:left="851"/>
      </w:pPr>
      <w:r w:rsidRPr="00732305">
        <w:t xml:space="preserve">Infektion og sepsis i den </w:t>
      </w:r>
      <w:proofErr w:type="spellStart"/>
      <w:r w:rsidRPr="00732305">
        <w:t>vaskulære</w:t>
      </w:r>
      <w:proofErr w:type="spellEnd"/>
      <w:r w:rsidRPr="00732305">
        <w:t xml:space="preserve"> adgang er komplikationer, som kan forekomme hos patienter, der modtager parenteral ernæring, især i tilfælde af dårlig vedligeholdelse af katetre, immunsuppressive virkninger af sygdom eller lægemidler. Omhyggelig overvågning af tegn og symptomer samt resultater af laboratorieundersøgelser for feber/kulderystelser, leukocytose, tekniske komplikationer med udstyret og </w:t>
      </w:r>
      <w:proofErr w:type="spellStart"/>
      <w:r w:rsidRPr="00732305">
        <w:t>hyperglykæmi</w:t>
      </w:r>
      <w:proofErr w:type="spellEnd"/>
      <w:r w:rsidRPr="00732305">
        <w:t xml:space="preserve"> kan være med til at opdage tidlige infektioner. Patienter, der har behov for parenteral ernæring, er ofte disponerede for infektiøse komplikationer på grund af fejlernæring og/eller den grundliggende sygdom. Forekomsten af septiske komplikationer kan reduceres ved øget vægt på aseptisk teknik i forbindelse med placering og vedligeholdelse af kateter samt ved aseptisk teknik under fremstilling af ernæringsblandingen.</w:t>
      </w:r>
    </w:p>
    <w:p w:rsidR="00145BF4" w:rsidRPr="00732305" w:rsidRDefault="00145BF4" w:rsidP="00145BF4">
      <w:pPr>
        <w:pStyle w:val="Paragraph"/>
        <w:spacing w:before="0" w:after="0" w:line="240" w:lineRule="auto"/>
        <w:ind w:left="851"/>
      </w:pPr>
    </w:p>
    <w:p w:rsidR="00145BF4" w:rsidRPr="00732305" w:rsidRDefault="00145BF4" w:rsidP="00145BF4">
      <w:pPr>
        <w:pStyle w:val="Paragraph"/>
        <w:spacing w:before="0" w:after="0" w:line="240" w:lineRule="auto"/>
        <w:ind w:left="851"/>
      </w:pPr>
      <w:r w:rsidRPr="00732305">
        <w:t>Specifik klinisk overvågning er påkrævet, når en intravenøs infusion påbegyndes.</w:t>
      </w:r>
    </w:p>
    <w:p w:rsidR="00145BF4" w:rsidRPr="00732305" w:rsidRDefault="00145BF4" w:rsidP="00145BF4">
      <w:pPr>
        <w:pStyle w:val="Paragraph"/>
        <w:spacing w:before="0" w:after="0" w:line="240" w:lineRule="auto"/>
        <w:ind w:left="851"/>
      </w:pPr>
    </w:p>
    <w:p w:rsidR="00145BF4" w:rsidRPr="00732305" w:rsidRDefault="00145BF4" w:rsidP="00145BF4">
      <w:pPr>
        <w:pStyle w:val="Paragraph"/>
        <w:spacing w:before="0" w:after="0" w:line="240" w:lineRule="auto"/>
        <w:ind w:left="851"/>
      </w:pPr>
      <w:r w:rsidRPr="00732305">
        <w:t>Alvorlige forstyrrelser i vand- og elektrolytbalancen, alvorlig væskeophobning og alvorlige metaboliske lidelser skal korrigeres, før infusionen påbegyndes.</w:t>
      </w:r>
    </w:p>
    <w:p w:rsidR="00145BF4" w:rsidRPr="00732305" w:rsidRDefault="00145BF4" w:rsidP="00145BF4">
      <w:pPr>
        <w:pStyle w:val="Paragraph"/>
        <w:spacing w:before="0" w:after="0" w:line="240" w:lineRule="auto"/>
        <w:ind w:left="851"/>
      </w:pPr>
    </w:p>
    <w:p w:rsidR="00145BF4" w:rsidRPr="00732305" w:rsidRDefault="00145BF4" w:rsidP="00145BF4">
      <w:pPr>
        <w:pStyle w:val="Paragraph"/>
        <w:spacing w:before="0" w:after="0" w:line="240" w:lineRule="auto"/>
        <w:ind w:left="851"/>
      </w:pPr>
      <w:r w:rsidRPr="00732305">
        <w:t xml:space="preserve">Under hele behandlingen skal vand- og elektrolytbalancen, </w:t>
      </w:r>
      <w:proofErr w:type="spellStart"/>
      <w:r w:rsidRPr="00732305">
        <w:t>serumosmolaritet</w:t>
      </w:r>
      <w:proofErr w:type="spellEnd"/>
      <w:r w:rsidRPr="00732305">
        <w:t>, serumtri</w:t>
      </w:r>
      <w:r>
        <w:softHyphen/>
      </w:r>
      <w:r w:rsidRPr="00732305">
        <w:t xml:space="preserve">glycerider, syre/base-balancen, </w:t>
      </w:r>
      <w:proofErr w:type="spellStart"/>
      <w:r w:rsidRPr="00732305">
        <w:t>blodglucose</w:t>
      </w:r>
      <w:proofErr w:type="spellEnd"/>
      <w:r w:rsidRPr="00732305">
        <w:t>, lever- og nyrefunktion, koagulationsprøver samt blodtal, herunder blodplader, overvåges.</w:t>
      </w:r>
    </w:p>
    <w:p w:rsidR="00145BF4" w:rsidRPr="00732305" w:rsidRDefault="00145BF4" w:rsidP="00145BF4">
      <w:pPr>
        <w:pStyle w:val="Paragraph"/>
        <w:spacing w:before="0" w:after="0" w:line="240" w:lineRule="auto"/>
        <w:ind w:left="851"/>
      </w:pPr>
    </w:p>
    <w:p w:rsidR="00145BF4" w:rsidRPr="00732305" w:rsidRDefault="00145BF4" w:rsidP="00145BF4">
      <w:pPr>
        <w:pStyle w:val="Paragraph"/>
        <w:spacing w:before="0" w:after="0" w:line="240" w:lineRule="auto"/>
        <w:ind w:left="851"/>
      </w:pPr>
      <w:r w:rsidRPr="00732305">
        <w:lastRenderedPageBreak/>
        <w:t xml:space="preserve">Forhøjede leverenzymer og </w:t>
      </w:r>
      <w:proofErr w:type="spellStart"/>
      <w:r w:rsidRPr="00732305">
        <w:t>cholestase</w:t>
      </w:r>
      <w:proofErr w:type="spellEnd"/>
      <w:r w:rsidRPr="00732305">
        <w:t xml:space="preserve"> er rapporteret for lignende produkter. Overvågning af serum-ammonium bør overvejes, hvis der er mistanke om leverinsufficiens.</w:t>
      </w:r>
    </w:p>
    <w:p w:rsidR="00145BF4" w:rsidRPr="00732305" w:rsidRDefault="00145BF4" w:rsidP="00145BF4">
      <w:pPr>
        <w:pStyle w:val="Paragraph"/>
        <w:spacing w:before="0" w:after="0" w:line="240" w:lineRule="auto"/>
        <w:ind w:left="851"/>
      </w:pPr>
    </w:p>
    <w:p w:rsidR="00145BF4" w:rsidRPr="00732305" w:rsidRDefault="00145BF4" w:rsidP="00145BF4">
      <w:pPr>
        <w:pStyle w:val="Paragraph"/>
        <w:spacing w:before="0" w:after="0" w:line="240" w:lineRule="auto"/>
        <w:ind w:left="851"/>
      </w:pPr>
      <w:r w:rsidRPr="00732305">
        <w:t>Metaboliske komplikationer kan opstå, hvis ernæringsindtagelsen ikke tilpasses patientens behov, eller hvis den metaboliske kapacitet for et givet næringsstof ikke er nøjagtigt vurderet. Metaboliske bivirkninger kan opstå som følge af indgivelse af utilstrækkelige eller for store mængder næringsstoffer eller uhensigtsmæssig sammensætning af et tilsætningsstof i forhold til en bestemt patients behov.</w:t>
      </w:r>
    </w:p>
    <w:p w:rsidR="00145BF4" w:rsidRPr="00732305" w:rsidRDefault="00145BF4" w:rsidP="00145BF4">
      <w:pPr>
        <w:pStyle w:val="Paragraph"/>
        <w:spacing w:before="0" w:after="0" w:line="240" w:lineRule="auto"/>
        <w:ind w:left="851"/>
      </w:pPr>
    </w:p>
    <w:p w:rsidR="00145BF4" w:rsidRPr="00732305" w:rsidRDefault="00145BF4" w:rsidP="00145BF4">
      <w:pPr>
        <w:pStyle w:val="Paragraph"/>
        <w:spacing w:before="0" w:after="0" w:line="240" w:lineRule="auto"/>
        <w:ind w:left="851"/>
      </w:pPr>
      <w:r w:rsidRPr="00732305">
        <w:t xml:space="preserve">Indgivelse af aminosyreopløsninger kan fremkalde akut </w:t>
      </w:r>
      <w:proofErr w:type="spellStart"/>
      <w:r w:rsidRPr="00732305">
        <w:t>folatmangel</w:t>
      </w:r>
      <w:proofErr w:type="spellEnd"/>
      <w:r w:rsidRPr="00732305">
        <w:t xml:space="preserve">. Det anbefales derfor at give </w:t>
      </w:r>
      <w:proofErr w:type="spellStart"/>
      <w:r w:rsidRPr="00732305">
        <w:t>folsyre</w:t>
      </w:r>
      <w:proofErr w:type="spellEnd"/>
      <w:r w:rsidRPr="00732305">
        <w:t xml:space="preserve"> dagligt.</w:t>
      </w:r>
    </w:p>
    <w:p w:rsidR="00145BF4" w:rsidRPr="00732305" w:rsidRDefault="00145BF4" w:rsidP="00145BF4">
      <w:pPr>
        <w:pStyle w:val="Paragraph"/>
        <w:spacing w:before="0" w:after="0" w:line="240" w:lineRule="auto"/>
        <w:ind w:left="851"/>
      </w:pPr>
    </w:p>
    <w:p w:rsidR="00145BF4" w:rsidRPr="00FE2EC1" w:rsidRDefault="00145BF4" w:rsidP="00145BF4">
      <w:pPr>
        <w:ind w:left="851"/>
        <w:rPr>
          <w:i/>
          <w:sz w:val="24"/>
          <w:szCs w:val="24"/>
        </w:rPr>
      </w:pPr>
      <w:proofErr w:type="spellStart"/>
      <w:r w:rsidRPr="00FE2EC1">
        <w:rPr>
          <w:i/>
          <w:sz w:val="24"/>
          <w:szCs w:val="24"/>
        </w:rPr>
        <w:t>Ekstravasation</w:t>
      </w:r>
      <w:proofErr w:type="spellEnd"/>
    </w:p>
    <w:p w:rsidR="00145BF4" w:rsidRPr="00732305" w:rsidRDefault="00145BF4" w:rsidP="00145BF4">
      <w:pPr>
        <w:pStyle w:val="Paragraph"/>
        <w:spacing w:before="0" w:after="0" w:line="240" w:lineRule="auto"/>
        <w:ind w:left="851"/>
      </w:pPr>
    </w:p>
    <w:p w:rsidR="00145BF4" w:rsidRPr="00732305" w:rsidRDefault="00145BF4" w:rsidP="00145BF4">
      <w:pPr>
        <w:pStyle w:val="Paragraph"/>
        <w:spacing w:before="0" w:after="0" w:line="240" w:lineRule="auto"/>
        <w:ind w:left="851"/>
      </w:pPr>
      <w:r w:rsidRPr="00732305">
        <w:t xml:space="preserve">Kateterstedet skal monitoreres regelmæssigt for tegn på </w:t>
      </w:r>
      <w:proofErr w:type="spellStart"/>
      <w:r w:rsidRPr="00732305">
        <w:t>ekstravasation</w:t>
      </w:r>
      <w:proofErr w:type="spellEnd"/>
      <w:r w:rsidRPr="00732305">
        <w:t xml:space="preserve">. </w:t>
      </w:r>
      <w:r w:rsidRPr="00732305">
        <w:br/>
        <w:t xml:space="preserve">I tilfælde af </w:t>
      </w:r>
      <w:proofErr w:type="spellStart"/>
      <w:r w:rsidRPr="00732305">
        <w:t>ekstravasation</w:t>
      </w:r>
      <w:proofErr w:type="spellEnd"/>
      <w:r w:rsidRPr="00732305">
        <w:t xml:space="preserve"> skal administrationen omgående stoppes. Kateteret eller sprøjten skal blive siddende, så patienten straks kan behandles. Hvis det er muligt, skal aspiration foretages igennem det anlagte kateter/sprøjten for at reducere mængden af væske i vævet, før kateteret/sprøjten fjernes. </w:t>
      </w:r>
      <w:r w:rsidRPr="00732305">
        <w:br/>
        <w:t xml:space="preserve">Afhængigt af det ekstravaserede produkt (herunder produkt(er) blandet med </w:t>
      </w:r>
      <w:proofErr w:type="spellStart"/>
      <w:r w:rsidRPr="00732305">
        <w:t>Olimel</w:t>
      </w:r>
      <w:proofErr w:type="spellEnd"/>
      <w:r w:rsidRPr="00732305">
        <w:t xml:space="preserve"> N12, hvis relevant) og skadens stadie/omfang skal der igangsættes relevante, specifikke modbehandlinger. Behandlingsmuligheder kan være ikke-farmakologiske, farmakologiske og/eller kirurgisk intervention. I tilfælde af omfattende </w:t>
      </w:r>
      <w:proofErr w:type="spellStart"/>
      <w:r w:rsidRPr="00732305">
        <w:t>ekstravasation</w:t>
      </w:r>
      <w:proofErr w:type="spellEnd"/>
      <w:r w:rsidRPr="00732305">
        <w:t xml:space="preserve"> skal en plastikkirurg konsulteres inden for de første 72 timer.</w:t>
      </w:r>
      <w:r w:rsidRPr="00732305">
        <w:br/>
      </w:r>
      <w:proofErr w:type="spellStart"/>
      <w:r w:rsidRPr="00732305">
        <w:t>Ekstravasationsstedet</w:t>
      </w:r>
      <w:proofErr w:type="spellEnd"/>
      <w:r w:rsidRPr="00732305">
        <w:t xml:space="preserve"> bør </w:t>
      </w:r>
      <w:proofErr w:type="spellStart"/>
      <w:r w:rsidRPr="00732305">
        <w:t>monitereres</w:t>
      </w:r>
      <w:proofErr w:type="spellEnd"/>
      <w:r w:rsidRPr="00732305">
        <w:t xml:space="preserve"> mindst hver 4. time i de første 24 timer og derefter en gang dagligt. </w:t>
      </w:r>
      <w:r w:rsidRPr="00732305">
        <w:br/>
        <w:t xml:space="preserve">Infusionen må ikke genoptages i samme centrale vene. </w:t>
      </w:r>
    </w:p>
    <w:p w:rsidR="00145BF4" w:rsidRPr="00FE2EC1" w:rsidRDefault="00145BF4" w:rsidP="00145BF4">
      <w:pPr>
        <w:ind w:left="851"/>
        <w:rPr>
          <w:i/>
          <w:sz w:val="24"/>
          <w:szCs w:val="24"/>
        </w:rPr>
      </w:pPr>
    </w:p>
    <w:p w:rsidR="00145BF4" w:rsidRPr="00FE2EC1" w:rsidRDefault="00145BF4" w:rsidP="00145BF4">
      <w:pPr>
        <w:ind w:left="851"/>
        <w:rPr>
          <w:i/>
          <w:sz w:val="24"/>
          <w:szCs w:val="24"/>
        </w:rPr>
      </w:pPr>
      <w:r w:rsidRPr="00FE2EC1">
        <w:rPr>
          <w:i/>
          <w:sz w:val="24"/>
          <w:szCs w:val="24"/>
        </w:rPr>
        <w:t>Leverinsufficiens</w:t>
      </w:r>
    </w:p>
    <w:p w:rsidR="00145BF4" w:rsidRPr="00FE2EC1" w:rsidRDefault="00145BF4" w:rsidP="00145BF4">
      <w:pPr>
        <w:ind w:left="851"/>
        <w:rPr>
          <w:i/>
          <w:sz w:val="24"/>
          <w:szCs w:val="24"/>
        </w:rPr>
      </w:pPr>
    </w:p>
    <w:p w:rsidR="00145BF4" w:rsidRPr="00732305" w:rsidRDefault="00145BF4" w:rsidP="00145BF4">
      <w:pPr>
        <w:pStyle w:val="Paragraph"/>
        <w:spacing w:before="0" w:after="0" w:line="240" w:lineRule="auto"/>
        <w:ind w:left="851"/>
      </w:pPr>
      <w:r w:rsidRPr="00732305">
        <w:t xml:space="preserve">Anvendes med forsigtighed til patienter med leverinsufficiens på grund af risikoen for udvikling eller forværring af neurologiske sygdomme forbundet med </w:t>
      </w:r>
      <w:proofErr w:type="spellStart"/>
      <w:r w:rsidRPr="00732305">
        <w:t>hyperammoniæmi</w:t>
      </w:r>
      <w:proofErr w:type="spellEnd"/>
      <w:r w:rsidRPr="00732305">
        <w:t xml:space="preserve">. Regelmæssige kliniske undersøgelser og laboratorieundersøgelser er påkrævet, især leverfunktionsparametre, </w:t>
      </w:r>
      <w:proofErr w:type="spellStart"/>
      <w:r w:rsidRPr="00732305">
        <w:t>blodglucose</w:t>
      </w:r>
      <w:proofErr w:type="spellEnd"/>
      <w:r w:rsidRPr="00732305">
        <w:t xml:space="preserve">, elektrolytter og triglycerider. </w:t>
      </w:r>
    </w:p>
    <w:p w:rsidR="00145BF4" w:rsidRPr="00FE2EC1" w:rsidRDefault="00145BF4" w:rsidP="00145BF4">
      <w:pPr>
        <w:ind w:left="851"/>
        <w:rPr>
          <w:i/>
          <w:sz w:val="24"/>
          <w:szCs w:val="24"/>
        </w:rPr>
      </w:pPr>
    </w:p>
    <w:p w:rsidR="00145BF4" w:rsidRPr="00FE2EC1" w:rsidRDefault="00145BF4" w:rsidP="00145BF4">
      <w:pPr>
        <w:ind w:left="851"/>
        <w:rPr>
          <w:i/>
          <w:sz w:val="24"/>
          <w:szCs w:val="24"/>
        </w:rPr>
      </w:pPr>
      <w:r w:rsidRPr="00FE2EC1">
        <w:rPr>
          <w:i/>
          <w:sz w:val="24"/>
          <w:szCs w:val="24"/>
        </w:rPr>
        <w:t>Nyreinsufficiens</w:t>
      </w:r>
    </w:p>
    <w:p w:rsidR="00145BF4" w:rsidRPr="00FE2EC1" w:rsidRDefault="00145BF4" w:rsidP="00145BF4">
      <w:pPr>
        <w:ind w:left="851"/>
        <w:rPr>
          <w:i/>
          <w:sz w:val="24"/>
          <w:szCs w:val="24"/>
        </w:rPr>
      </w:pPr>
    </w:p>
    <w:p w:rsidR="00145BF4" w:rsidRPr="00732305" w:rsidRDefault="00145BF4" w:rsidP="00145BF4">
      <w:pPr>
        <w:pStyle w:val="Paragraph"/>
        <w:spacing w:before="0" w:after="0" w:line="240" w:lineRule="auto"/>
        <w:ind w:left="851"/>
      </w:pPr>
      <w:r w:rsidRPr="00732305">
        <w:t xml:space="preserve">Anvendes med forsigtighed til patienter med nyreinsufficiens, især i tilfælde af </w:t>
      </w:r>
      <w:proofErr w:type="spellStart"/>
      <w:r w:rsidRPr="00732305">
        <w:t>hyperkaliæmi</w:t>
      </w:r>
      <w:proofErr w:type="spellEnd"/>
      <w:r w:rsidRPr="00732305">
        <w:t xml:space="preserve">, på grund af risikoen for udvikling eller forværring af metabolisk </w:t>
      </w:r>
      <w:proofErr w:type="spellStart"/>
      <w:r w:rsidRPr="00732305">
        <w:t>acidose</w:t>
      </w:r>
      <w:proofErr w:type="spellEnd"/>
      <w:r w:rsidRPr="00732305">
        <w:t xml:space="preserve"> og </w:t>
      </w:r>
      <w:proofErr w:type="spellStart"/>
      <w:r w:rsidRPr="00732305">
        <w:t>hyperazotæmi</w:t>
      </w:r>
      <w:proofErr w:type="spellEnd"/>
      <w:r w:rsidRPr="00732305">
        <w:t xml:space="preserve">, hvis der ikke sikres fjernelse af </w:t>
      </w:r>
      <w:proofErr w:type="spellStart"/>
      <w:r w:rsidRPr="00732305">
        <w:t>renale</w:t>
      </w:r>
      <w:proofErr w:type="spellEnd"/>
      <w:r w:rsidRPr="00732305">
        <w:t xml:space="preserve"> affaldsstoffer. Status for væske, triglycerider og elektrolytter bør overvåges nøje hos disse patienter.</w:t>
      </w:r>
    </w:p>
    <w:p w:rsidR="00145BF4" w:rsidRPr="00FE2EC1" w:rsidRDefault="00145BF4" w:rsidP="00145BF4">
      <w:pPr>
        <w:ind w:left="851"/>
        <w:rPr>
          <w:i/>
          <w:sz w:val="24"/>
          <w:szCs w:val="24"/>
        </w:rPr>
      </w:pPr>
    </w:p>
    <w:p w:rsidR="00145BF4" w:rsidRPr="00FE2EC1" w:rsidRDefault="00145BF4" w:rsidP="00145BF4">
      <w:pPr>
        <w:ind w:left="851"/>
        <w:rPr>
          <w:i/>
          <w:sz w:val="24"/>
          <w:szCs w:val="24"/>
        </w:rPr>
      </w:pPr>
      <w:r w:rsidRPr="00FE2EC1">
        <w:rPr>
          <w:i/>
          <w:sz w:val="24"/>
          <w:szCs w:val="24"/>
        </w:rPr>
        <w:t>Hæmatologi</w:t>
      </w:r>
    </w:p>
    <w:p w:rsidR="00145BF4" w:rsidRPr="00FE2EC1" w:rsidRDefault="00145BF4" w:rsidP="00145BF4">
      <w:pPr>
        <w:ind w:left="851"/>
        <w:rPr>
          <w:i/>
          <w:sz w:val="24"/>
          <w:szCs w:val="24"/>
        </w:rPr>
      </w:pPr>
    </w:p>
    <w:p w:rsidR="00145BF4" w:rsidRPr="00732305" w:rsidRDefault="00145BF4" w:rsidP="00145BF4">
      <w:pPr>
        <w:pStyle w:val="Paragraph"/>
        <w:spacing w:before="0" w:after="0" w:line="240" w:lineRule="auto"/>
        <w:ind w:left="851"/>
      </w:pPr>
      <w:r w:rsidRPr="00732305">
        <w:t>Anvendes med forsigtighed til patienter med koagulationsforstyrrelser og anæmi. Blodtal og koagulationsparametre bør overvåges nøje.</w:t>
      </w:r>
    </w:p>
    <w:p w:rsidR="00145BF4" w:rsidRPr="00FE2EC1" w:rsidRDefault="00145BF4" w:rsidP="00145BF4">
      <w:pPr>
        <w:ind w:left="851"/>
        <w:rPr>
          <w:i/>
          <w:sz w:val="24"/>
          <w:szCs w:val="24"/>
        </w:rPr>
      </w:pPr>
    </w:p>
    <w:p w:rsidR="00145BF4" w:rsidRPr="00FE2EC1" w:rsidRDefault="00145BF4" w:rsidP="00145BF4">
      <w:pPr>
        <w:ind w:left="851"/>
        <w:rPr>
          <w:i/>
          <w:sz w:val="24"/>
          <w:szCs w:val="24"/>
        </w:rPr>
      </w:pPr>
      <w:r w:rsidRPr="00FE2EC1">
        <w:rPr>
          <w:i/>
          <w:sz w:val="24"/>
          <w:szCs w:val="24"/>
        </w:rPr>
        <w:t>Endokrin og metabolisme</w:t>
      </w:r>
    </w:p>
    <w:p w:rsidR="00145BF4" w:rsidRPr="00FE2EC1" w:rsidRDefault="00145BF4" w:rsidP="00145BF4">
      <w:pPr>
        <w:ind w:left="851"/>
        <w:rPr>
          <w:i/>
          <w:sz w:val="24"/>
          <w:szCs w:val="24"/>
        </w:rPr>
      </w:pPr>
    </w:p>
    <w:p w:rsidR="00145BF4" w:rsidRPr="00732305" w:rsidRDefault="00145BF4" w:rsidP="00145BF4">
      <w:pPr>
        <w:pStyle w:val="Paragraph"/>
        <w:spacing w:before="0" w:after="0" w:line="240" w:lineRule="auto"/>
        <w:ind w:left="851"/>
      </w:pPr>
      <w:r w:rsidRPr="00732305">
        <w:t>Anvendes med forsigtighed til patienter med:</w:t>
      </w:r>
    </w:p>
    <w:p w:rsidR="00145BF4" w:rsidRPr="00732305" w:rsidRDefault="00145BF4" w:rsidP="00145BF4">
      <w:pPr>
        <w:pStyle w:val="Opstilling-punkttegn2"/>
        <w:tabs>
          <w:tab w:val="clear" w:pos="1080"/>
          <w:tab w:val="num" w:pos="1211"/>
        </w:tabs>
        <w:spacing w:before="0" w:after="0" w:line="240" w:lineRule="auto"/>
        <w:ind w:left="1211"/>
        <w:rPr>
          <w:snapToGrid w:val="0"/>
        </w:rPr>
      </w:pPr>
      <w:r w:rsidRPr="00732305">
        <w:rPr>
          <w:snapToGrid w:val="0"/>
        </w:rPr>
        <w:lastRenderedPageBreak/>
        <w:t xml:space="preserve">Metabolisk </w:t>
      </w:r>
      <w:proofErr w:type="spellStart"/>
      <w:r w:rsidRPr="00732305">
        <w:rPr>
          <w:snapToGrid w:val="0"/>
        </w:rPr>
        <w:t>acidose</w:t>
      </w:r>
      <w:proofErr w:type="spellEnd"/>
      <w:r w:rsidRPr="00732305">
        <w:rPr>
          <w:snapToGrid w:val="0"/>
        </w:rPr>
        <w:t xml:space="preserve">. Indgivelse af kulhydrater frarådes ved tilstedeværelse af </w:t>
      </w:r>
      <w:proofErr w:type="spellStart"/>
      <w:r w:rsidRPr="00732305">
        <w:rPr>
          <w:snapToGrid w:val="0"/>
        </w:rPr>
        <w:t>lactatacidose</w:t>
      </w:r>
      <w:proofErr w:type="spellEnd"/>
      <w:r w:rsidRPr="00732305">
        <w:rPr>
          <w:snapToGrid w:val="0"/>
        </w:rPr>
        <w:t>. Regelmæssige kliniske prøver og laboratorieundersøgelser er påkrævet.</w:t>
      </w:r>
    </w:p>
    <w:p w:rsidR="00145BF4" w:rsidRPr="00732305" w:rsidRDefault="00145BF4" w:rsidP="00145BF4">
      <w:pPr>
        <w:pStyle w:val="Opstilling-punkttegn2"/>
        <w:tabs>
          <w:tab w:val="clear" w:pos="1080"/>
          <w:tab w:val="num" w:pos="1211"/>
        </w:tabs>
        <w:spacing w:before="0" w:after="0" w:line="240" w:lineRule="auto"/>
        <w:ind w:left="1211"/>
        <w:rPr>
          <w:snapToGrid w:val="0"/>
        </w:rPr>
      </w:pPr>
      <w:r w:rsidRPr="00732305">
        <w:rPr>
          <w:snapToGrid w:val="0"/>
        </w:rPr>
        <w:t xml:space="preserve">Diabetes mellitus. Overvågning af </w:t>
      </w:r>
      <w:proofErr w:type="spellStart"/>
      <w:r w:rsidRPr="00732305">
        <w:rPr>
          <w:snapToGrid w:val="0"/>
        </w:rPr>
        <w:t>glucosekoncentrationer</w:t>
      </w:r>
      <w:proofErr w:type="spellEnd"/>
      <w:r w:rsidRPr="00732305">
        <w:rPr>
          <w:snapToGrid w:val="0"/>
        </w:rPr>
        <w:t xml:space="preserve">, </w:t>
      </w:r>
      <w:proofErr w:type="spellStart"/>
      <w:r w:rsidRPr="00732305">
        <w:rPr>
          <w:snapToGrid w:val="0"/>
        </w:rPr>
        <w:t>glukosuri</w:t>
      </w:r>
      <w:proofErr w:type="spellEnd"/>
      <w:r w:rsidRPr="00732305">
        <w:rPr>
          <w:snapToGrid w:val="0"/>
        </w:rPr>
        <w:t xml:space="preserve">, </w:t>
      </w:r>
      <w:proofErr w:type="spellStart"/>
      <w:r w:rsidRPr="00732305">
        <w:rPr>
          <w:snapToGrid w:val="0"/>
        </w:rPr>
        <w:t>ketonuri</w:t>
      </w:r>
      <w:proofErr w:type="spellEnd"/>
      <w:r w:rsidRPr="00732305">
        <w:rPr>
          <w:snapToGrid w:val="0"/>
        </w:rPr>
        <w:t xml:space="preserve"> og, hvor det er nødvendigt, justering af insulindosis.</w:t>
      </w:r>
    </w:p>
    <w:p w:rsidR="00145BF4" w:rsidRPr="00732305" w:rsidRDefault="00145BF4" w:rsidP="00145BF4">
      <w:pPr>
        <w:pStyle w:val="Opstilling-punkttegn2"/>
        <w:tabs>
          <w:tab w:val="clear" w:pos="1080"/>
          <w:tab w:val="num" w:pos="1211"/>
        </w:tabs>
        <w:spacing w:before="0" w:after="0" w:line="240" w:lineRule="auto"/>
        <w:ind w:left="1211"/>
        <w:rPr>
          <w:snapToGrid w:val="0"/>
        </w:rPr>
      </w:pPr>
      <w:proofErr w:type="spellStart"/>
      <w:r w:rsidRPr="00732305">
        <w:rPr>
          <w:snapToGrid w:val="0"/>
        </w:rPr>
        <w:t>Hyperlipidæmi</w:t>
      </w:r>
      <w:proofErr w:type="spellEnd"/>
      <w:r w:rsidRPr="00732305">
        <w:rPr>
          <w:snapToGrid w:val="0"/>
        </w:rPr>
        <w:t xml:space="preserve"> på grund af tilstedeværelsen af lipider i emulsionen til infusion. Regelmæssige kliniske prøver og laboratorieundersøgelser er påkrævet.</w:t>
      </w:r>
    </w:p>
    <w:p w:rsidR="00145BF4" w:rsidRPr="00732305" w:rsidRDefault="00145BF4" w:rsidP="00145BF4">
      <w:pPr>
        <w:pStyle w:val="Opstilling-punkttegn2"/>
        <w:tabs>
          <w:tab w:val="clear" w:pos="1080"/>
          <w:tab w:val="num" w:pos="1211"/>
        </w:tabs>
        <w:spacing w:before="0" w:after="0" w:line="240" w:lineRule="auto"/>
        <w:ind w:left="1211"/>
        <w:rPr>
          <w:snapToGrid w:val="0"/>
        </w:rPr>
      </w:pPr>
      <w:r w:rsidRPr="00732305">
        <w:rPr>
          <w:snapToGrid w:val="0"/>
        </w:rPr>
        <w:t>Forstyrrelser i aminosyremetabolismen.</w:t>
      </w:r>
    </w:p>
    <w:p w:rsidR="00145BF4" w:rsidRPr="00FE2EC1" w:rsidRDefault="00145BF4" w:rsidP="00145BF4">
      <w:pPr>
        <w:ind w:left="851"/>
        <w:rPr>
          <w:i/>
          <w:sz w:val="24"/>
          <w:szCs w:val="24"/>
        </w:rPr>
      </w:pPr>
    </w:p>
    <w:p w:rsidR="00145BF4" w:rsidRPr="00FE2EC1" w:rsidRDefault="00145BF4" w:rsidP="00145BF4">
      <w:pPr>
        <w:ind w:left="851"/>
        <w:rPr>
          <w:i/>
          <w:sz w:val="24"/>
          <w:szCs w:val="24"/>
        </w:rPr>
      </w:pPr>
      <w:r w:rsidRPr="00FE2EC1">
        <w:rPr>
          <w:i/>
          <w:sz w:val="24"/>
          <w:szCs w:val="24"/>
        </w:rPr>
        <w:t>Lever og galdeveje</w:t>
      </w:r>
    </w:p>
    <w:p w:rsidR="00145BF4" w:rsidRPr="00FE2EC1" w:rsidRDefault="00145BF4" w:rsidP="00145BF4">
      <w:pPr>
        <w:ind w:left="851"/>
        <w:rPr>
          <w:i/>
          <w:snapToGrid w:val="0"/>
          <w:sz w:val="24"/>
          <w:szCs w:val="24"/>
        </w:rPr>
      </w:pPr>
    </w:p>
    <w:p w:rsidR="00145BF4" w:rsidRPr="00732305" w:rsidRDefault="00145BF4" w:rsidP="00145BF4">
      <w:pPr>
        <w:pStyle w:val="Paragraph"/>
        <w:spacing w:before="0" w:after="0" w:line="240" w:lineRule="auto"/>
        <w:ind w:left="851"/>
        <w:rPr>
          <w:snapToGrid w:val="0"/>
        </w:rPr>
      </w:pPr>
      <w:r w:rsidRPr="00732305">
        <w:rPr>
          <w:snapToGrid w:val="0"/>
        </w:rPr>
        <w:t xml:space="preserve">Lever- og galdevejssygdomme, herunder </w:t>
      </w:r>
      <w:proofErr w:type="spellStart"/>
      <w:r w:rsidRPr="00732305">
        <w:rPr>
          <w:snapToGrid w:val="0"/>
        </w:rPr>
        <w:t>cholestase</w:t>
      </w:r>
      <w:proofErr w:type="spellEnd"/>
      <w:r w:rsidRPr="00732305">
        <w:rPr>
          <w:snapToGrid w:val="0"/>
        </w:rPr>
        <w:t xml:space="preserve">, </w:t>
      </w:r>
      <w:proofErr w:type="spellStart"/>
      <w:r w:rsidRPr="00732305">
        <w:rPr>
          <w:snapToGrid w:val="0"/>
        </w:rPr>
        <w:t>hepatisk</w:t>
      </w:r>
      <w:proofErr w:type="spellEnd"/>
      <w:r w:rsidRPr="00732305">
        <w:rPr>
          <w:snapToGrid w:val="0"/>
        </w:rPr>
        <w:t xml:space="preserve"> </w:t>
      </w:r>
      <w:proofErr w:type="spellStart"/>
      <w:r w:rsidRPr="00732305">
        <w:rPr>
          <w:snapToGrid w:val="0"/>
        </w:rPr>
        <w:t>steatose</w:t>
      </w:r>
      <w:proofErr w:type="spellEnd"/>
      <w:r w:rsidRPr="00732305">
        <w:rPr>
          <w:snapToGrid w:val="0"/>
        </w:rPr>
        <w:t xml:space="preserve">, fibrose og cirrose, som muligvis fører til leversvigt, samt </w:t>
      </w:r>
      <w:proofErr w:type="spellStart"/>
      <w:r w:rsidRPr="00732305">
        <w:rPr>
          <w:snapToGrid w:val="0"/>
        </w:rPr>
        <w:t>cholecystitis</w:t>
      </w:r>
      <w:proofErr w:type="spellEnd"/>
      <w:r w:rsidRPr="00732305">
        <w:rPr>
          <w:snapToGrid w:val="0"/>
        </w:rPr>
        <w:t xml:space="preserve"> og </w:t>
      </w:r>
      <w:proofErr w:type="spellStart"/>
      <w:r w:rsidRPr="00732305">
        <w:rPr>
          <w:snapToGrid w:val="0"/>
        </w:rPr>
        <w:t>cholelithiasis</w:t>
      </w:r>
      <w:proofErr w:type="spellEnd"/>
      <w:r w:rsidRPr="00732305">
        <w:rPr>
          <w:snapToGrid w:val="0"/>
        </w:rPr>
        <w:t xml:space="preserve">, er kendt for at udvikles hos nogle patienter på parenteral ernæring. Ætiologien af disse symptomer menes at være </w:t>
      </w:r>
      <w:proofErr w:type="spellStart"/>
      <w:r w:rsidRPr="00732305">
        <w:rPr>
          <w:snapToGrid w:val="0"/>
        </w:rPr>
        <w:t>multifaktoriel</w:t>
      </w:r>
      <w:proofErr w:type="spellEnd"/>
      <w:r w:rsidRPr="00732305">
        <w:rPr>
          <w:snapToGrid w:val="0"/>
        </w:rPr>
        <w:t xml:space="preserve"> og kan være forskellig fra patient til patient. Patienter, som udvikler abnorme laboratorietests eller andre tegn på lever- og galdevejssygdomme, bør undersøges tidligt af en læge med kendskab til leversygdomme for at identificere mulige kausale og medvirkende faktorer og mulige terapeutiske og forebyggende interventioner.</w:t>
      </w:r>
    </w:p>
    <w:p w:rsidR="00145BF4" w:rsidRPr="00732305" w:rsidRDefault="00145BF4" w:rsidP="00145BF4">
      <w:pPr>
        <w:pStyle w:val="Paragraph"/>
        <w:spacing w:before="0" w:after="0" w:line="240" w:lineRule="auto"/>
        <w:ind w:left="851"/>
      </w:pPr>
    </w:p>
    <w:p w:rsidR="00145BF4" w:rsidRPr="00732305" w:rsidRDefault="00145BF4" w:rsidP="00145BF4">
      <w:pPr>
        <w:pStyle w:val="Paragraph"/>
        <w:spacing w:before="0" w:after="0" w:line="240" w:lineRule="auto"/>
        <w:ind w:left="851"/>
      </w:pPr>
      <w:r w:rsidRPr="00732305">
        <w:t>Serumkoncentrationer af triglycerid og kroppens evne til at eliminere fedt skal kontrolleres regelmæssigt. Koncentrationer af triglycerid i serum må ikke overstige 3 mmol/l under infusionen.</w:t>
      </w:r>
    </w:p>
    <w:p w:rsidR="00145BF4" w:rsidRPr="00732305" w:rsidRDefault="00145BF4" w:rsidP="00145BF4">
      <w:pPr>
        <w:pStyle w:val="Paragraph"/>
        <w:spacing w:before="0" w:after="0" w:line="240" w:lineRule="auto"/>
        <w:ind w:left="851"/>
      </w:pPr>
    </w:p>
    <w:p w:rsidR="00145BF4" w:rsidRPr="00732305" w:rsidRDefault="00145BF4" w:rsidP="00145BF4">
      <w:pPr>
        <w:pStyle w:val="Paragraph"/>
        <w:spacing w:before="0" w:after="0" w:line="240" w:lineRule="auto"/>
        <w:ind w:left="851"/>
      </w:pPr>
      <w:r w:rsidRPr="00732305">
        <w:t xml:space="preserve">Hvis der er mistanke om en unormal lipidmetabolisme, anbefales det at måle niveauerne af serumtriglycerider dagligt efter et tidsrum på 5 til 6 timer uden fedtindgivelse. Hos voksne skal serum være uden uklarheder senest 6 timer efter, at infusionen af fedtemulsionen er ophørt. Den næste infusion må først indgives, når koncentrationen af triglycerider i serum er vendt tilbage til </w:t>
      </w:r>
      <w:r w:rsidRPr="00732305">
        <w:rPr>
          <w:i/>
          <w:iCs/>
        </w:rPr>
        <w:t>baseline</w:t>
      </w:r>
      <w:r w:rsidRPr="00732305">
        <w:t>-værdierne.</w:t>
      </w:r>
    </w:p>
    <w:p w:rsidR="00145BF4" w:rsidRPr="00732305" w:rsidRDefault="00145BF4" w:rsidP="00145BF4">
      <w:pPr>
        <w:pStyle w:val="Paragraph"/>
        <w:spacing w:before="0" w:after="0" w:line="240" w:lineRule="auto"/>
        <w:ind w:left="851"/>
      </w:pPr>
    </w:p>
    <w:p w:rsidR="00145BF4" w:rsidRPr="00732305" w:rsidRDefault="00145BF4" w:rsidP="00145BF4">
      <w:pPr>
        <w:pStyle w:val="Paragraph"/>
        <w:spacing w:before="0" w:after="0" w:line="240" w:lineRule="auto"/>
        <w:ind w:left="851"/>
      </w:pPr>
      <w:r w:rsidRPr="00732305">
        <w:t xml:space="preserve">Fedtoverbelastningssyndrom er rapporteret med lignende produkter. Den nedsatte eller begrænsede evne til at </w:t>
      </w:r>
      <w:proofErr w:type="spellStart"/>
      <w:r w:rsidRPr="00732305">
        <w:t>metabolisere</w:t>
      </w:r>
      <w:proofErr w:type="spellEnd"/>
      <w:r w:rsidRPr="00732305">
        <w:t xml:space="preserve"> fedtstofferne i </w:t>
      </w:r>
      <w:proofErr w:type="spellStart"/>
      <w:r w:rsidRPr="00732305">
        <w:t>Olimel</w:t>
      </w:r>
      <w:proofErr w:type="spellEnd"/>
      <w:r w:rsidRPr="00732305">
        <w:t xml:space="preserve"> N12 kan medføre et </w:t>
      </w:r>
      <w:r>
        <w:t>"</w:t>
      </w:r>
      <w:r w:rsidRPr="00732305">
        <w:t>fedtoverbelastningssyndrom</w:t>
      </w:r>
      <w:r>
        <w:t>"</w:t>
      </w:r>
      <w:r w:rsidRPr="00732305">
        <w:t>, der kan skyldes en overdosis. Tegn og symptomer på syndromet kan imidlertid også forekomme, når produktet indgives i henhold til instruktionerne (se også pkt. 4.8).</w:t>
      </w:r>
    </w:p>
    <w:p w:rsidR="00145BF4" w:rsidRPr="00732305" w:rsidRDefault="00145BF4" w:rsidP="00145BF4">
      <w:pPr>
        <w:pStyle w:val="Paragraph"/>
        <w:spacing w:before="0" w:after="0" w:line="240" w:lineRule="auto"/>
        <w:ind w:left="851"/>
      </w:pPr>
    </w:p>
    <w:p w:rsidR="00145BF4" w:rsidRPr="00732305" w:rsidRDefault="00145BF4" w:rsidP="00145BF4">
      <w:pPr>
        <w:pStyle w:val="Paragraph"/>
        <w:spacing w:before="0" w:after="0" w:line="240" w:lineRule="auto"/>
        <w:ind w:left="851"/>
      </w:pPr>
      <w:r w:rsidRPr="00732305">
        <w:t xml:space="preserve">I tilfælde af </w:t>
      </w:r>
      <w:proofErr w:type="spellStart"/>
      <w:r w:rsidRPr="00732305">
        <w:t>hyperglykæmi</w:t>
      </w:r>
      <w:proofErr w:type="spellEnd"/>
      <w:r w:rsidRPr="00732305">
        <w:t xml:space="preserve"> skal infusionshastigheden af </w:t>
      </w:r>
      <w:proofErr w:type="spellStart"/>
      <w:r w:rsidRPr="00732305">
        <w:t>Olimel</w:t>
      </w:r>
      <w:proofErr w:type="spellEnd"/>
      <w:r w:rsidRPr="00732305">
        <w:t xml:space="preserve"> N12 justeres, og/eller insulin skal indgives.</w:t>
      </w:r>
    </w:p>
    <w:p w:rsidR="00145BF4" w:rsidRPr="00732305" w:rsidRDefault="00145BF4" w:rsidP="00145BF4">
      <w:pPr>
        <w:pStyle w:val="Paragraph"/>
        <w:spacing w:before="0" w:after="0" w:line="240" w:lineRule="auto"/>
        <w:ind w:left="851"/>
        <w:rPr>
          <w:caps/>
        </w:rPr>
      </w:pPr>
    </w:p>
    <w:p w:rsidR="00145BF4" w:rsidRPr="00732305" w:rsidRDefault="00145BF4" w:rsidP="00145BF4">
      <w:pPr>
        <w:pStyle w:val="Paragraph"/>
        <w:spacing w:before="0" w:after="0" w:line="240" w:lineRule="auto"/>
        <w:ind w:left="851"/>
        <w:rPr>
          <w:caps/>
        </w:rPr>
      </w:pPr>
      <w:r w:rsidRPr="00732305">
        <w:rPr>
          <w:caps/>
        </w:rPr>
        <w:t>Må ikke indgives gennem en perifer vene.</w:t>
      </w:r>
    </w:p>
    <w:p w:rsidR="00145BF4" w:rsidRPr="00732305" w:rsidRDefault="00145BF4" w:rsidP="00145BF4">
      <w:pPr>
        <w:pStyle w:val="Paragraph"/>
        <w:spacing w:before="0" w:after="0" w:line="240" w:lineRule="auto"/>
        <w:ind w:left="851"/>
      </w:pPr>
    </w:p>
    <w:p w:rsidR="00573E4B" w:rsidRDefault="00573E4B" w:rsidP="00573E4B">
      <w:pPr>
        <w:pStyle w:val="Paragraph"/>
        <w:spacing w:before="0" w:after="0" w:line="240" w:lineRule="auto"/>
        <w:ind w:left="851"/>
      </w:pPr>
      <w:r>
        <w:t>Selvom der er et naturligt indhold af sporstoffer og vitaminer i produktet, er niveauerne utilstrækkelige til at opfylde kroppens behov. Sporstoffer og vitaminer bør tilsættes i tilstrækkelige mængder for at opfylde individuelle patientkrav og for at undgå, at der opstår udvikling af mangler. Se vejledning for tilsætning til dette produkt.</w:t>
      </w:r>
    </w:p>
    <w:p w:rsidR="00145BF4" w:rsidRPr="00732305" w:rsidRDefault="00145BF4" w:rsidP="00145BF4">
      <w:pPr>
        <w:pStyle w:val="Paragraph"/>
        <w:spacing w:before="0" w:after="0" w:line="240" w:lineRule="auto"/>
        <w:ind w:left="851"/>
      </w:pPr>
    </w:p>
    <w:p w:rsidR="00145BF4" w:rsidRPr="00732305" w:rsidRDefault="00145BF4" w:rsidP="00145BF4">
      <w:pPr>
        <w:pStyle w:val="Paragraph"/>
        <w:spacing w:before="0" w:after="0" w:line="240" w:lineRule="auto"/>
        <w:ind w:left="851"/>
      </w:pPr>
      <w:r w:rsidRPr="00732305">
        <w:t xml:space="preserve">Der bør udvises forsigtighed ved indgivelse af </w:t>
      </w:r>
      <w:proofErr w:type="spellStart"/>
      <w:r w:rsidRPr="00732305">
        <w:t>Olimel</w:t>
      </w:r>
      <w:proofErr w:type="spellEnd"/>
      <w:r w:rsidRPr="00732305">
        <w:t xml:space="preserve"> N12 til patienter med øget </w:t>
      </w:r>
      <w:proofErr w:type="spellStart"/>
      <w:r w:rsidRPr="00732305">
        <w:t>osmolaritet</w:t>
      </w:r>
      <w:proofErr w:type="spellEnd"/>
      <w:r w:rsidRPr="00732305">
        <w:t xml:space="preserve">, </w:t>
      </w:r>
      <w:proofErr w:type="spellStart"/>
      <w:r w:rsidRPr="00732305">
        <w:t>adrenal</w:t>
      </w:r>
      <w:proofErr w:type="spellEnd"/>
      <w:r w:rsidRPr="00732305">
        <w:t xml:space="preserve"> insufficiens, hjertesvigt eller </w:t>
      </w:r>
      <w:proofErr w:type="spellStart"/>
      <w:r w:rsidRPr="00732305">
        <w:t>pulmonal</w:t>
      </w:r>
      <w:proofErr w:type="spellEnd"/>
      <w:r w:rsidRPr="00732305">
        <w:t xml:space="preserve"> </w:t>
      </w:r>
      <w:proofErr w:type="spellStart"/>
      <w:r w:rsidRPr="00732305">
        <w:t>dysfuntion</w:t>
      </w:r>
      <w:proofErr w:type="spellEnd"/>
      <w:r w:rsidRPr="00732305">
        <w:t>.</w:t>
      </w:r>
    </w:p>
    <w:p w:rsidR="00145BF4" w:rsidRPr="00732305" w:rsidRDefault="00145BF4" w:rsidP="00145BF4">
      <w:pPr>
        <w:pStyle w:val="Paragraph"/>
        <w:spacing w:before="0" w:after="0" w:line="240" w:lineRule="auto"/>
        <w:ind w:left="851"/>
      </w:pPr>
    </w:p>
    <w:p w:rsidR="00145BF4" w:rsidRPr="00732305" w:rsidRDefault="00145BF4" w:rsidP="00145BF4">
      <w:pPr>
        <w:pStyle w:val="Paragraph"/>
        <w:spacing w:before="0" w:after="0" w:line="240" w:lineRule="auto"/>
        <w:ind w:left="851"/>
      </w:pPr>
      <w:r w:rsidRPr="00732305">
        <w:t xml:space="preserve">Hos fejlernærede patienter kan initiering af parenteral ernæring fremskynde væskeskift, som kan fremkalde lungeødem og kongestiv hjerteinsufficiens, samt reduktion af serumkoncentrationen af kalium, </w:t>
      </w:r>
      <w:proofErr w:type="spellStart"/>
      <w:r w:rsidRPr="00732305">
        <w:t>phosphor</w:t>
      </w:r>
      <w:proofErr w:type="spellEnd"/>
      <w:r w:rsidRPr="00732305">
        <w:t xml:space="preserve">, magnesium eller vandopløselige vitaminer. Disse forandringer kan forekomme i løbet af 24 til 48 timer. Forsigtig og langsom </w:t>
      </w:r>
      <w:r w:rsidRPr="00732305">
        <w:lastRenderedPageBreak/>
        <w:t>initiering af parenteral ernæring anbefales derfor med en nøje overvågning og passende justeringer af væske, elektrolytter, sporstoffer og vitaminer.</w:t>
      </w:r>
    </w:p>
    <w:p w:rsidR="00145BF4" w:rsidRPr="00732305" w:rsidRDefault="00145BF4" w:rsidP="00145BF4">
      <w:pPr>
        <w:pStyle w:val="Paragraph"/>
        <w:spacing w:before="0" w:after="0" w:line="240" w:lineRule="auto"/>
        <w:ind w:left="851"/>
      </w:pPr>
    </w:p>
    <w:p w:rsidR="00145BF4" w:rsidRPr="00732305" w:rsidRDefault="00145BF4" w:rsidP="00145BF4">
      <w:pPr>
        <w:pStyle w:val="Paragraph"/>
        <w:spacing w:before="0" w:after="0" w:line="240" w:lineRule="auto"/>
        <w:ind w:left="851"/>
        <w:rPr>
          <w:b/>
        </w:rPr>
      </w:pPr>
      <w:r w:rsidRPr="00732305">
        <w:t xml:space="preserve">Poser må ikke serieforbindes, da dette kan medføre </w:t>
      </w:r>
      <w:proofErr w:type="spellStart"/>
      <w:r w:rsidRPr="00732305">
        <w:t>luftemboli</w:t>
      </w:r>
      <w:proofErr w:type="spellEnd"/>
      <w:r w:rsidRPr="00732305">
        <w:t xml:space="preserve"> på grund af den resterende luft i den primære pose.</w:t>
      </w:r>
    </w:p>
    <w:p w:rsidR="00145BF4" w:rsidRPr="00732305" w:rsidRDefault="00145BF4" w:rsidP="00145BF4">
      <w:pPr>
        <w:pStyle w:val="Paragraph"/>
        <w:spacing w:before="0" w:after="0" w:line="240" w:lineRule="auto"/>
        <w:ind w:left="851"/>
      </w:pPr>
    </w:p>
    <w:p w:rsidR="00145BF4" w:rsidRPr="00732305" w:rsidRDefault="00145BF4" w:rsidP="00145BF4">
      <w:pPr>
        <w:pStyle w:val="Paragraph"/>
        <w:spacing w:before="0" w:after="0" w:line="240" w:lineRule="auto"/>
        <w:ind w:left="851"/>
      </w:pPr>
      <w:r w:rsidRPr="00732305">
        <w:t>For at undgå risici i forbindelse med for høje infusionshastigheder anbefales en konstant og kontrolleret infusionshastighed.</w:t>
      </w:r>
    </w:p>
    <w:p w:rsidR="00145BF4" w:rsidRPr="00732305" w:rsidRDefault="00145BF4" w:rsidP="00145BF4">
      <w:pPr>
        <w:pStyle w:val="Paragraph"/>
        <w:spacing w:before="0" w:after="0" w:line="240" w:lineRule="auto"/>
        <w:ind w:left="851"/>
      </w:pPr>
    </w:p>
    <w:p w:rsidR="00145BF4" w:rsidRPr="00732305" w:rsidRDefault="00145BF4" w:rsidP="00145BF4">
      <w:pPr>
        <w:pStyle w:val="Paragraph"/>
        <w:spacing w:before="0" w:after="0" w:line="240" w:lineRule="auto"/>
        <w:ind w:left="851"/>
      </w:pPr>
      <w:r w:rsidRPr="00732305">
        <w:t xml:space="preserve">Intravenøs infusion af aminosyrer ledsages af øget </w:t>
      </w:r>
      <w:proofErr w:type="spellStart"/>
      <w:r w:rsidRPr="00732305">
        <w:t>urinær</w:t>
      </w:r>
      <w:proofErr w:type="spellEnd"/>
      <w:r w:rsidRPr="00732305">
        <w:t xml:space="preserve"> udskillelse af sporstoffer, især kobber og zink. Dette bør tages i betragtning ved dosering af sporstoffer, især hvor der gives intravenøs ernæring gennem længere tid.</w:t>
      </w:r>
    </w:p>
    <w:p w:rsidR="00145BF4" w:rsidRPr="00FE2EC1" w:rsidRDefault="00145BF4" w:rsidP="00145BF4">
      <w:pPr>
        <w:ind w:left="851"/>
        <w:rPr>
          <w:i/>
          <w:sz w:val="24"/>
          <w:szCs w:val="24"/>
        </w:rPr>
      </w:pPr>
    </w:p>
    <w:p w:rsidR="00145BF4" w:rsidRPr="00FE2EC1" w:rsidRDefault="00145BF4" w:rsidP="00145BF4">
      <w:pPr>
        <w:ind w:left="851"/>
        <w:rPr>
          <w:i/>
          <w:sz w:val="24"/>
          <w:szCs w:val="24"/>
        </w:rPr>
      </w:pPr>
      <w:r w:rsidRPr="00FE2EC1">
        <w:rPr>
          <w:i/>
          <w:sz w:val="24"/>
          <w:szCs w:val="24"/>
        </w:rPr>
        <w:t>Interferens med laboratorieundersøgelser</w:t>
      </w:r>
    </w:p>
    <w:p w:rsidR="00145BF4" w:rsidRPr="00FE2EC1" w:rsidRDefault="00145BF4" w:rsidP="00145BF4">
      <w:pPr>
        <w:ind w:left="851"/>
        <w:rPr>
          <w:i/>
          <w:snapToGrid w:val="0"/>
          <w:sz w:val="24"/>
          <w:szCs w:val="24"/>
        </w:rPr>
      </w:pPr>
    </w:p>
    <w:p w:rsidR="00145BF4" w:rsidRPr="00732305" w:rsidRDefault="00145BF4" w:rsidP="00145BF4">
      <w:pPr>
        <w:pStyle w:val="Paragraph"/>
        <w:spacing w:before="0" w:after="0" w:line="240" w:lineRule="auto"/>
        <w:ind w:left="851"/>
      </w:pPr>
      <w:r w:rsidRPr="00732305">
        <w:rPr>
          <w:snapToGrid w:val="0"/>
        </w:rPr>
        <w:t>Fedtstofferne i denne emulsion kan påvirke resultaterne af visse laboratorieundersøgelser (se pkt. 4.5).</w:t>
      </w:r>
    </w:p>
    <w:p w:rsidR="00145BF4" w:rsidRPr="00FE2EC1" w:rsidRDefault="00145BF4" w:rsidP="00145BF4">
      <w:pPr>
        <w:ind w:left="851"/>
        <w:rPr>
          <w:i/>
          <w:sz w:val="24"/>
          <w:szCs w:val="24"/>
        </w:rPr>
      </w:pPr>
    </w:p>
    <w:p w:rsidR="00145BF4" w:rsidRPr="00FE2EC1" w:rsidRDefault="00145BF4" w:rsidP="00145BF4">
      <w:pPr>
        <w:ind w:left="851"/>
        <w:rPr>
          <w:i/>
          <w:sz w:val="24"/>
          <w:szCs w:val="24"/>
        </w:rPr>
      </w:pPr>
      <w:r w:rsidRPr="00FE2EC1">
        <w:rPr>
          <w:i/>
          <w:sz w:val="24"/>
          <w:szCs w:val="24"/>
        </w:rPr>
        <w:t>Særlige forholdsregler hos pædiatriske patienter</w:t>
      </w:r>
    </w:p>
    <w:p w:rsidR="00145BF4" w:rsidRPr="00FE2EC1" w:rsidRDefault="00145BF4" w:rsidP="00145BF4">
      <w:pPr>
        <w:ind w:left="851"/>
        <w:rPr>
          <w:i/>
          <w:sz w:val="24"/>
          <w:szCs w:val="24"/>
        </w:rPr>
      </w:pPr>
    </w:p>
    <w:p w:rsidR="00145BF4" w:rsidRPr="00732305" w:rsidRDefault="00145BF4" w:rsidP="00145BF4">
      <w:pPr>
        <w:pStyle w:val="Paragraph"/>
        <w:spacing w:before="0" w:after="0" w:line="240" w:lineRule="auto"/>
        <w:ind w:left="851"/>
      </w:pPr>
      <w:r w:rsidRPr="00732305">
        <w:t>Ved indgivelse til børn over 2 år er det vigtigt at anvende en pose, som har en volumen, der svarer til den daglige dosis.</w:t>
      </w:r>
    </w:p>
    <w:p w:rsidR="00145BF4" w:rsidRPr="00732305" w:rsidRDefault="00145BF4" w:rsidP="00145BF4">
      <w:pPr>
        <w:pStyle w:val="Paragraph"/>
        <w:spacing w:before="0" w:after="0" w:line="240" w:lineRule="auto"/>
        <w:ind w:left="851"/>
      </w:pPr>
    </w:p>
    <w:p w:rsidR="00145BF4" w:rsidRPr="00732305" w:rsidRDefault="00145BF4" w:rsidP="00145BF4">
      <w:pPr>
        <w:pStyle w:val="Paragraph"/>
        <w:spacing w:before="0" w:after="0" w:line="240" w:lineRule="auto"/>
        <w:ind w:left="851"/>
      </w:pPr>
      <w:proofErr w:type="spellStart"/>
      <w:r w:rsidRPr="00732305">
        <w:t>Olimel</w:t>
      </w:r>
      <w:proofErr w:type="spellEnd"/>
      <w:r w:rsidRPr="00732305">
        <w:t xml:space="preserve"> N12 er ikke egnet til brug til børn under 2 år, fordi:</w:t>
      </w:r>
    </w:p>
    <w:p w:rsidR="00145BF4" w:rsidRPr="00732305" w:rsidRDefault="00145BF4" w:rsidP="00145BF4">
      <w:pPr>
        <w:pStyle w:val="Opstilling-punkttegn2"/>
        <w:tabs>
          <w:tab w:val="clear" w:pos="1080"/>
          <w:tab w:val="num" w:pos="1211"/>
        </w:tabs>
        <w:spacing w:before="0" w:after="0" w:line="240" w:lineRule="auto"/>
        <w:ind w:left="1211"/>
      </w:pPr>
      <w:proofErr w:type="spellStart"/>
      <w:r w:rsidRPr="00732305">
        <w:t>glucoseindtagelsen</w:t>
      </w:r>
      <w:proofErr w:type="spellEnd"/>
      <w:r w:rsidRPr="00732305">
        <w:t xml:space="preserve"> er for lav, hvilket fører til et lavt </w:t>
      </w:r>
      <w:proofErr w:type="spellStart"/>
      <w:r w:rsidRPr="00732305">
        <w:t>glucose</w:t>
      </w:r>
      <w:proofErr w:type="spellEnd"/>
      <w:r w:rsidRPr="00732305">
        <w:t>/fedt-forhold</w:t>
      </w:r>
    </w:p>
    <w:p w:rsidR="00145BF4" w:rsidRPr="00732305" w:rsidRDefault="00145BF4" w:rsidP="00145BF4">
      <w:pPr>
        <w:pStyle w:val="Opstilling-punkttegn2"/>
        <w:tabs>
          <w:tab w:val="clear" w:pos="1080"/>
          <w:tab w:val="num" w:pos="1211"/>
        </w:tabs>
        <w:spacing w:before="0" w:after="0" w:line="240" w:lineRule="auto"/>
        <w:ind w:left="1211"/>
      </w:pPr>
      <w:r w:rsidRPr="00732305">
        <w:t xml:space="preserve">manglende </w:t>
      </w:r>
      <w:proofErr w:type="spellStart"/>
      <w:r w:rsidRPr="00732305">
        <w:t>cystein</w:t>
      </w:r>
      <w:proofErr w:type="spellEnd"/>
      <w:r w:rsidRPr="00732305">
        <w:t xml:space="preserve"> gør aminosyreprofilen uegnet </w:t>
      </w:r>
    </w:p>
    <w:p w:rsidR="00145BF4" w:rsidRPr="00732305" w:rsidRDefault="00145BF4" w:rsidP="00145BF4">
      <w:pPr>
        <w:pStyle w:val="Opstilling-punkttegn2"/>
        <w:tabs>
          <w:tab w:val="clear" w:pos="1080"/>
          <w:tab w:val="num" w:pos="1211"/>
        </w:tabs>
        <w:spacing w:before="0" w:after="0" w:line="240" w:lineRule="auto"/>
        <w:ind w:left="1211"/>
      </w:pPr>
      <w:r w:rsidRPr="00732305">
        <w:t xml:space="preserve">indholdet af </w:t>
      </w:r>
      <w:proofErr w:type="spellStart"/>
      <w:r w:rsidRPr="00732305">
        <w:t>phosphater</w:t>
      </w:r>
      <w:proofErr w:type="spellEnd"/>
      <w:r w:rsidRPr="00732305">
        <w:t xml:space="preserve"> er for lavt, og andre elektrolytter er ikke tilsat </w:t>
      </w:r>
    </w:p>
    <w:p w:rsidR="00145BF4" w:rsidRPr="00732305" w:rsidRDefault="00145BF4" w:rsidP="00145BF4">
      <w:pPr>
        <w:pStyle w:val="Paragraph"/>
        <w:spacing w:before="0" w:after="0" w:line="240" w:lineRule="auto"/>
        <w:ind w:left="851"/>
        <w:rPr>
          <w:snapToGrid w:val="0"/>
        </w:rPr>
      </w:pPr>
    </w:p>
    <w:p w:rsidR="00145BF4" w:rsidRPr="00732305" w:rsidRDefault="00145BF4" w:rsidP="00145BF4">
      <w:pPr>
        <w:pStyle w:val="Paragraph"/>
        <w:spacing w:before="0" w:after="0" w:line="240" w:lineRule="auto"/>
        <w:ind w:left="851"/>
        <w:rPr>
          <w:snapToGrid w:val="0"/>
        </w:rPr>
      </w:pPr>
      <w:r w:rsidRPr="00732305">
        <w:rPr>
          <w:snapToGrid w:val="0"/>
        </w:rPr>
        <w:t>Supplering med vitaminer og sporstoffer er altid nødvendigt. Der skal bruges pædiatriske formuleringer.</w:t>
      </w:r>
    </w:p>
    <w:p w:rsidR="00145BF4" w:rsidRPr="00732305" w:rsidRDefault="00145BF4" w:rsidP="00145BF4">
      <w:pPr>
        <w:pStyle w:val="Paragraph"/>
        <w:spacing w:before="0" w:after="0" w:line="240" w:lineRule="auto"/>
        <w:ind w:left="851"/>
        <w:rPr>
          <w:i/>
          <w:snapToGrid w:val="0"/>
        </w:rPr>
      </w:pPr>
    </w:p>
    <w:p w:rsidR="00145BF4" w:rsidRPr="00732305" w:rsidRDefault="00145BF4" w:rsidP="00145BF4">
      <w:pPr>
        <w:pStyle w:val="Paragraph"/>
        <w:spacing w:before="0" w:after="0" w:line="240" w:lineRule="auto"/>
        <w:ind w:left="851"/>
        <w:rPr>
          <w:i/>
          <w:snapToGrid w:val="0"/>
        </w:rPr>
      </w:pPr>
      <w:r w:rsidRPr="00732305">
        <w:rPr>
          <w:i/>
          <w:snapToGrid w:val="0"/>
        </w:rPr>
        <w:t>Ældre</w:t>
      </w:r>
    </w:p>
    <w:p w:rsidR="00145BF4" w:rsidRPr="00732305" w:rsidRDefault="00145BF4" w:rsidP="00145BF4">
      <w:pPr>
        <w:pStyle w:val="Paragraph"/>
        <w:spacing w:before="0" w:after="0" w:line="240" w:lineRule="auto"/>
        <w:ind w:left="851"/>
        <w:rPr>
          <w:snapToGrid w:val="0"/>
        </w:rPr>
      </w:pPr>
    </w:p>
    <w:p w:rsidR="00145BF4" w:rsidRPr="00732305" w:rsidRDefault="00145BF4" w:rsidP="00145BF4">
      <w:pPr>
        <w:pStyle w:val="Paragraph"/>
        <w:spacing w:before="0" w:after="0" w:line="240" w:lineRule="auto"/>
        <w:ind w:left="851"/>
        <w:rPr>
          <w:snapToGrid w:val="0"/>
        </w:rPr>
      </w:pPr>
      <w:r w:rsidRPr="00732305">
        <w:rPr>
          <w:snapToGrid w:val="0"/>
        </w:rPr>
        <w:t>Generelt bør dosis til ældre patienter vælges med forsigtighed og afspejle den større frekvens af nedsat lever-, nyre- eller hjertefunktion og anden samtidig sygdom eller lægemiddelbehandling.</w:t>
      </w:r>
    </w:p>
    <w:p w:rsidR="00145BF4" w:rsidRPr="00732305" w:rsidRDefault="00145BF4" w:rsidP="00145BF4">
      <w:pPr>
        <w:tabs>
          <w:tab w:val="left" w:pos="851"/>
        </w:tabs>
        <w:ind w:left="851"/>
        <w:rPr>
          <w:sz w:val="24"/>
          <w:szCs w:val="24"/>
        </w:rPr>
      </w:pPr>
    </w:p>
    <w:p w:rsidR="00145BF4" w:rsidRPr="00732305" w:rsidRDefault="00145BF4" w:rsidP="00145BF4">
      <w:pPr>
        <w:tabs>
          <w:tab w:val="left" w:pos="851"/>
        </w:tabs>
        <w:ind w:left="851" w:hanging="851"/>
        <w:rPr>
          <w:b/>
          <w:sz w:val="24"/>
          <w:szCs w:val="24"/>
        </w:rPr>
      </w:pPr>
      <w:r w:rsidRPr="00732305">
        <w:rPr>
          <w:b/>
          <w:sz w:val="24"/>
          <w:szCs w:val="24"/>
        </w:rPr>
        <w:t>4.5</w:t>
      </w:r>
      <w:r w:rsidRPr="00732305">
        <w:rPr>
          <w:b/>
          <w:sz w:val="24"/>
          <w:szCs w:val="24"/>
        </w:rPr>
        <w:tab/>
        <w:t>Interaktion med andre lægemidler og andre former for interaktion</w:t>
      </w:r>
    </w:p>
    <w:p w:rsidR="00145BF4" w:rsidRPr="00732305" w:rsidRDefault="00145BF4" w:rsidP="00145BF4">
      <w:pPr>
        <w:tabs>
          <w:tab w:val="left" w:pos="851"/>
        </w:tabs>
        <w:ind w:left="851"/>
        <w:rPr>
          <w:sz w:val="24"/>
          <w:szCs w:val="24"/>
        </w:rPr>
      </w:pPr>
      <w:r w:rsidRPr="00732305">
        <w:rPr>
          <w:sz w:val="24"/>
          <w:szCs w:val="24"/>
        </w:rPr>
        <w:t>Der er ikke udført interaktionsstudier.</w:t>
      </w:r>
    </w:p>
    <w:p w:rsidR="00145BF4" w:rsidRPr="00732305" w:rsidRDefault="00145BF4" w:rsidP="00145BF4">
      <w:pPr>
        <w:tabs>
          <w:tab w:val="left" w:pos="851"/>
        </w:tabs>
        <w:ind w:left="851"/>
        <w:rPr>
          <w:sz w:val="24"/>
          <w:szCs w:val="24"/>
        </w:rPr>
      </w:pPr>
    </w:p>
    <w:p w:rsidR="00145BF4" w:rsidRPr="00732305" w:rsidRDefault="00145BF4" w:rsidP="00145BF4">
      <w:pPr>
        <w:tabs>
          <w:tab w:val="left" w:pos="851"/>
        </w:tabs>
        <w:ind w:left="851"/>
        <w:rPr>
          <w:sz w:val="24"/>
          <w:szCs w:val="24"/>
        </w:rPr>
      </w:pPr>
      <w:proofErr w:type="spellStart"/>
      <w:r w:rsidRPr="00732305">
        <w:rPr>
          <w:sz w:val="24"/>
          <w:szCs w:val="24"/>
        </w:rPr>
        <w:t>Olimel</w:t>
      </w:r>
      <w:proofErr w:type="spellEnd"/>
      <w:r w:rsidRPr="00732305">
        <w:rPr>
          <w:sz w:val="24"/>
          <w:szCs w:val="24"/>
        </w:rPr>
        <w:t xml:space="preserve"> N12 må ikke indgives samtidig med blod via samme infusionsudstyr på grund af risikoen for pseudoagglutination.</w:t>
      </w:r>
    </w:p>
    <w:p w:rsidR="00145BF4" w:rsidRPr="00732305" w:rsidRDefault="00145BF4" w:rsidP="00145BF4">
      <w:pPr>
        <w:tabs>
          <w:tab w:val="left" w:pos="851"/>
        </w:tabs>
        <w:ind w:left="851"/>
        <w:rPr>
          <w:sz w:val="24"/>
          <w:szCs w:val="24"/>
        </w:rPr>
      </w:pPr>
    </w:p>
    <w:p w:rsidR="00145BF4" w:rsidRPr="00732305" w:rsidRDefault="00145BF4" w:rsidP="00145BF4">
      <w:pPr>
        <w:tabs>
          <w:tab w:val="left" w:pos="851"/>
        </w:tabs>
        <w:ind w:left="851"/>
        <w:rPr>
          <w:sz w:val="24"/>
          <w:szCs w:val="24"/>
        </w:rPr>
      </w:pPr>
      <w:r w:rsidRPr="00732305">
        <w:rPr>
          <w:sz w:val="24"/>
          <w:szCs w:val="24"/>
        </w:rPr>
        <w:t xml:space="preserve">Fedtstofferne i denne emulsion kan påvirke resultaterne af visse laboratorieprøver (for eksempel bilirubin, </w:t>
      </w:r>
      <w:proofErr w:type="spellStart"/>
      <w:r w:rsidRPr="00732305">
        <w:rPr>
          <w:sz w:val="24"/>
          <w:szCs w:val="24"/>
        </w:rPr>
        <w:t>lactatdehydrogenase</w:t>
      </w:r>
      <w:proofErr w:type="spellEnd"/>
      <w:r w:rsidRPr="00732305">
        <w:rPr>
          <w:sz w:val="24"/>
          <w:szCs w:val="24"/>
        </w:rPr>
        <w:t>, iltmætning, blodets hæmoglobin), hvis blodprøven tages, før fedtstofferne er elimineret (disse elimineres normalt efter en periode på 5-6 timer uden tilførsel af fedtstoffer).</w:t>
      </w:r>
    </w:p>
    <w:p w:rsidR="00145BF4" w:rsidRPr="00732305" w:rsidRDefault="00145BF4" w:rsidP="00145BF4">
      <w:pPr>
        <w:tabs>
          <w:tab w:val="left" w:pos="851"/>
        </w:tabs>
        <w:ind w:left="851"/>
        <w:rPr>
          <w:sz w:val="24"/>
          <w:szCs w:val="24"/>
        </w:rPr>
      </w:pPr>
    </w:p>
    <w:p w:rsidR="00145BF4" w:rsidRPr="00732305" w:rsidRDefault="00145BF4" w:rsidP="00145BF4">
      <w:pPr>
        <w:tabs>
          <w:tab w:val="left" w:pos="851"/>
        </w:tabs>
        <w:ind w:left="851"/>
        <w:rPr>
          <w:sz w:val="24"/>
          <w:szCs w:val="24"/>
        </w:rPr>
      </w:pPr>
      <w:proofErr w:type="spellStart"/>
      <w:r w:rsidRPr="00732305">
        <w:rPr>
          <w:sz w:val="24"/>
          <w:szCs w:val="24"/>
        </w:rPr>
        <w:t>Olimel</w:t>
      </w:r>
      <w:proofErr w:type="spellEnd"/>
      <w:r w:rsidRPr="00732305">
        <w:rPr>
          <w:sz w:val="24"/>
          <w:szCs w:val="24"/>
        </w:rPr>
        <w:t xml:space="preserve"> N12 indeholder vitamin K, der er naturligt til stede i fedtemulsioner. Anbefalede doser af vitamin K i </w:t>
      </w:r>
      <w:proofErr w:type="spellStart"/>
      <w:r w:rsidRPr="00732305">
        <w:rPr>
          <w:sz w:val="24"/>
          <w:szCs w:val="24"/>
        </w:rPr>
        <w:t>Olimel</w:t>
      </w:r>
      <w:proofErr w:type="spellEnd"/>
      <w:r w:rsidRPr="00732305">
        <w:rPr>
          <w:sz w:val="24"/>
          <w:szCs w:val="24"/>
        </w:rPr>
        <w:t xml:space="preserve"> N12 forventes ikke at have indflydelse på virkningen af </w:t>
      </w:r>
      <w:proofErr w:type="spellStart"/>
      <w:r w:rsidRPr="00732305">
        <w:rPr>
          <w:sz w:val="24"/>
          <w:szCs w:val="24"/>
        </w:rPr>
        <w:t>cumarin</w:t>
      </w:r>
      <w:proofErr w:type="spellEnd"/>
      <w:r w:rsidRPr="00732305">
        <w:rPr>
          <w:sz w:val="24"/>
          <w:szCs w:val="24"/>
        </w:rPr>
        <w:t>-derivater.</w:t>
      </w:r>
    </w:p>
    <w:p w:rsidR="00145BF4" w:rsidRPr="00732305" w:rsidRDefault="00145BF4" w:rsidP="00145BF4">
      <w:pPr>
        <w:tabs>
          <w:tab w:val="left" w:pos="851"/>
        </w:tabs>
        <w:ind w:left="851"/>
        <w:rPr>
          <w:sz w:val="24"/>
          <w:szCs w:val="24"/>
        </w:rPr>
      </w:pPr>
    </w:p>
    <w:p w:rsidR="00145BF4" w:rsidRPr="00732305" w:rsidRDefault="00145BF4" w:rsidP="00145BF4">
      <w:pPr>
        <w:tabs>
          <w:tab w:val="left" w:pos="851"/>
        </w:tabs>
        <w:ind w:left="851"/>
        <w:rPr>
          <w:sz w:val="24"/>
          <w:szCs w:val="24"/>
        </w:rPr>
      </w:pPr>
      <w:r w:rsidRPr="00732305">
        <w:rPr>
          <w:sz w:val="24"/>
          <w:szCs w:val="24"/>
        </w:rPr>
        <w:t xml:space="preserve">Nogle lægemidler, f.eks. insulin, kan påvirke kroppens </w:t>
      </w:r>
      <w:proofErr w:type="spellStart"/>
      <w:r w:rsidRPr="00732305">
        <w:rPr>
          <w:sz w:val="24"/>
          <w:szCs w:val="24"/>
        </w:rPr>
        <w:t>lipase</w:t>
      </w:r>
      <w:proofErr w:type="spellEnd"/>
      <w:r w:rsidRPr="00732305">
        <w:rPr>
          <w:sz w:val="24"/>
          <w:szCs w:val="24"/>
        </w:rPr>
        <w:t xml:space="preserve"> system. Denne form for interaktion har umiddelbart kun begrænset klinisk betydning. </w:t>
      </w:r>
    </w:p>
    <w:p w:rsidR="00145BF4" w:rsidRPr="00732305" w:rsidRDefault="00145BF4" w:rsidP="00145BF4">
      <w:pPr>
        <w:tabs>
          <w:tab w:val="left" w:pos="851"/>
        </w:tabs>
        <w:ind w:left="851"/>
        <w:rPr>
          <w:sz w:val="24"/>
          <w:szCs w:val="24"/>
        </w:rPr>
      </w:pPr>
    </w:p>
    <w:p w:rsidR="00145BF4" w:rsidRPr="00732305" w:rsidRDefault="00145BF4" w:rsidP="00145BF4">
      <w:pPr>
        <w:tabs>
          <w:tab w:val="left" w:pos="851"/>
        </w:tabs>
        <w:ind w:left="851"/>
        <w:rPr>
          <w:sz w:val="24"/>
          <w:szCs w:val="24"/>
        </w:rPr>
      </w:pPr>
      <w:proofErr w:type="spellStart"/>
      <w:r w:rsidRPr="00732305">
        <w:rPr>
          <w:sz w:val="24"/>
          <w:szCs w:val="24"/>
        </w:rPr>
        <w:t>Heparin</w:t>
      </w:r>
      <w:proofErr w:type="spellEnd"/>
      <w:r w:rsidRPr="00732305">
        <w:rPr>
          <w:sz w:val="24"/>
          <w:szCs w:val="24"/>
        </w:rPr>
        <w:t xml:space="preserve"> givet i kliniske doser forårsager en forbigående frigivelse af </w:t>
      </w:r>
      <w:proofErr w:type="spellStart"/>
      <w:r w:rsidRPr="00732305">
        <w:rPr>
          <w:sz w:val="24"/>
          <w:szCs w:val="24"/>
        </w:rPr>
        <w:t>lipoproteinlipase</w:t>
      </w:r>
      <w:proofErr w:type="spellEnd"/>
      <w:r w:rsidRPr="00732305">
        <w:rPr>
          <w:sz w:val="24"/>
          <w:szCs w:val="24"/>
        </w:rPr>
        <w:t xml:space="preserve"> i kredsløbet. Dette kan i første omgang resultere i øget </w:t>
      </w:r>
      <w:proofErr w:type="spellStart"/>
      <w:r w:rsidRPr="00732305">
        <w:rPr>
          <w:sz w:val="24"/>
          <w:szCs w:val="24"/>
        </w:rPr>
        <w:t>plasmalipolyse</w:t>
      </w:r>
      <w:proofErr w:type="spellEnd"/>
      <w:r w:rsidRPr="00732305">
        <w:rPr>
          <w:sz w:val="24"/>
          <w:szCs w:val="24"/>
        </w:rPr>
        <w:t xml:space="preserve"> efterfulgt af et</w:t>
      </w:r>
      <w:r>
        <w:rPr>
          <w:sz w:val="24"/>
          <w:szCs w:val="24"/>
        </w:rPr>
        <w:t xml:space="preserve"> forbigående fald i </w:t>
      </w:r>
      <w:proofErr w:type="spellStart"/>
      <w:r>
        <w:rPr>
          <w:sz w:val="24"/>
          <w:szCs w:val="24"/>
        </w:rPr>
        <w:t>triglycerid</w:t>
      </w:r>
      <w:r w:rsidRPr="00732305">
        <w:rPr>
          <w:sz w:val="24"/>
          <w:szCs w:val="24"/>
        </w:rPr>
        <w:t>clearance</w:t>
      </w:r>
      <w:proofErr w:type="spellEnd"/>
      <w:r w:rsidRPr="00732305">
        <w:rPr>
          <w:sz w:val="24"/>
          <w:szCs w:val="24"/>
        </w:rPr>
        <w:t>.</w:t>
      </w:r>
    </w:p>
    <w:p w:rsidR="00145BF4" w:rsidRPr="00732305" w:rsidRDefault="00145BF4" w:rsidP="00145BF4">
      <w:pPr>
        <w:tabs>
          <w:tab w:val="left" w:pos="851"/>
        </w:tabs>
        <w:ind w:left="851"/>
        <w:rPr>
          <w:sz w:val="24"/>
          <w:szCs w:val="24"/>
        </w:rPr>
      </w:pPr>
    </w:p>
    <w:p w:rsidR="00145BF4" w:rsidRPr="00732305" w:rsidRDefault="00145BF4" w:rsidP="00145BF4">
      <w:pPr>
        <w:tabs>
          <w:tab w:val="left" w:pos="851"/>
        </w:tabs>
        <w:ind w:left="851" w:hanging="851"/>
        <w:rPr>
          <w:b/>
          <w:sz w:val="24"/>
          <w:szCs w:val="24"/>
        </w:rPr>
      </w:pPr>
      <w:r w:rsidRPr="00732305">
        <w:rPr>
          <w:b/>
          <w:sz w:val="24"/>
          <w:szCs w:val="24"/>
        </w:rPr>
        <w:t>4.6</w:t>
      </w:r>
      <w:r w:rsidRPr="00732305">
        <w:rPr>
          <w:b/>
          <w:sz w:val="24"/>
          <w:szCs w:val="24"/>
        </w:rPr>
        <w:tab/>
      </w:r>
      <w:r w:rsidR="00BF57C2">
        <w:rPr>
          <w:b/>
          <w:sz w:val="24"/>
          <w:szCs w:val="24"/>
        </w:rPr>
        <w:t>Fertilitet, g</w:t>
      </w:r>
      <w:r w:rsidRPr="00732305">
        <w:rPr>
          <w:b/>
          <w:sz w:val="24"/>
          <w:szCs w:val="24"/>
        </w:rPr>
        <w:t>raviditet og amning</w:t>
      </w:r>
    </w:p>
    <w:p w:rsidR="00145BF4" w:rsidRDefault="00145BF4" w:rsidP="00145BF4">
      <w:pPr>
        <w:tabs>
          <w:tab w:val="left" w:pos="851"/>
        </w:tabs>
        <w:ind w:left="851"/>
        <w:rPr>
          <w:sz w:val="24"/>
          <w:szCs w:val="24"/>
          <w:u w:val="single"/>
        </w:rPr>
      </w:pPr>
    </w:p>
    <w:p w:rsidR="00145BF4" w:rsidRPr="00732305" w:rsidRDefault="00145BF4" w:rsidP="00145BF4">
      <w:pPr>
        <w:tabs>
          <w:tab w:val="left" w:pos="851"/>
        </w:tabs>
        <w:ind w:left="851"/>
        <w:rPr>
          <w:sz w:val="24"/>
          <w:szCs w:val="24"/>
          <w:u w:val="single"/>
        </w:rPr>
      </w:pPr>
      <w:r w:rsidRPr="00732305">
        <w:rPr>
          <w:sz w:val="24"/>
          <w:szCs w:val="24"/>
          <w:u w:val="single"/>
        </w:rPr>
        <w:t>Graviditet</w:t>
      </w:r>
    </w:p>
    <w:p w:rsidR="00145BF4" w:rsidRPr="00732305" w:rsidRDefault="00145BF4" w:rsidP="00145BF4">
      <w:pPr>
        <w:tabs>
          <w:tab w:val="left" w:pos="851"/>
        </w:tabs>
        <w:ind w:left="851"/>
        <w:rPr>
          <w:sz w:val="24"/>
          <w:szCs w:val="24"/>
        </w:rPr>
      </w:pPr>
      <w:r w:rsidRPr="00732305">
        <w:rPr>
          <w:sz w:val="24"/>
          <w:szCs w:val="24"/>
        </w:rPr>
        <w:t xml:space="preserve">Der er ingen kliniske data fra anvendelse af </w:t>
      </w:r>
      <w:proofErr w:type="spellStart"/>
      <w:r w:rsidRPr="00732305">
        <w:rPr>
          <w:sz w:val="24"/>
          <w:szCs w:val="24"/>
        </w:rPr>
        <w:t>Olimel</w:t>
      </w:r>
      <w:proofErr w:type="spellEnd"/>
      <w:r w:rsidRPr="00732305">
        <w:rPr>
          <w:sz w:val="24"/>
          <w:szCs w:val="24"/>
        </w:rPr>
        <w:t xml:space="preserve"> N12 til gravide kvinder. Der er ikke udført dyrereproduktionsstudier med </w:t>
      </w:r>
      <w:proofErr w:type="spellStart"/>
      <w:r w:rsidRPr="00732305">
        <w:rPr>
          <w:sz w:val="24"/>
          <w:szCs w:val="24"/>
        </w:rPr>
        <w:t>Olimel</w:t>
      </w:r>
      <w:proofErr w:type="spellEnd"/>
      <w:r w:rsidRPr="00732305">
        <w:rPr>
          <w:sz w:val="24"/>
          <w:szCs w:val="24"/>
        </w:rPr>
        <w:t xml:space="preserve"> N12 (se pkt. 5.3). Under hensyntagen til anvendelsen af og indikationerne for </w:t>
      </w:r>
      <w:proofErr w:type="spellStart"/>
      <w:r w:rsidRPr="00732305">
        <w:rPr>
          <w:sz w:val="24"/>
          <w:szCs w:val="24"/>
        </w:rPr>
        <w:t>Olimel</w:t>
      </w:r>
      <w:proofErr w:type="spellEnd"/>
      <w:r w:rsidRPr="00732305">
        <w:rPr>
          <w:sz w:val="24"/>
          <w:szCs w:val="24"/>
        </w:rPr>
        <w:t xml:space="preserve"> N12 kan produktet om nødvendigt anvendes under graviditet. </w:t>
      </w:r>
      <w:proofErr w:type="spellStart"/>
      <w:r w:rsidRPr="00732305">
        <w:rPr>
          <w:sz w:val="24"/>
          <w:szCs w:val="24"/>
        </w:rPr>
        <w:t>Olimel</w:t>
      </w:r>
      <w:proofErr w:type="spellEnd"/>
      <w:r w:rsidRPr="00732305">
        <w:rPr>
          <w:sz w:val="24"/>
          <w:szCs w:val="24"/>
        </w:rPr>
        <w:t xml:space="preserve"> N12 bør kun gives til gravide kvinder efter nøje overvejelser.</w:t>
      </w:r>
    </w:p>
    <w:p w:rsidR="00145BF4" w:rsidRPr="00732305" w:rsidRDefault="00145BF4" w:rsidP="00145BF4">
      <w:pPr>
        <w:tabs>
          <w:tab w:val="left" w:pos="851"/>
        </w:tabs>
        <w:ind w:left="851"/>
        <w:rPr>
          <w:sz w:val="24"/>
          <w:szCs w:val="24"/>
        </w:rPr>
      </w:pPr>
    </w:p>
    <w:p w:rsidR="00145BF4" w:rsidRPr="00732305" w:rsidRDefault="00145BF4" w:rsidP="00145BF4">
      <w:pPr>
        <w:tabs>
          <w:tab w:val="left" w:pos="851"/>
        </w:tabs>
        <w:ind w:left="851"/>
        <w:rPr>
          <w:sz w:val="24"/>
          <w:szCs w:val="24"/>
          <w:u w:val="single"/>
        </w:rPr>
      </w:pPr>
      <w:r w:rsidRPr="00732305">
        <w:rPr>
          <w:sz w:val="24"/>
          <w:szCs w:val="24"/>
          <w:u w:val="single"/>
        </w:rPr>
        <w:t>Amning</w:t>
      </w:r>
    </w:p>
    <w:p w:rsidR="00145BF4" w:rsidRPr="00732305" w:rsidRDefault="00145BF4" w:rsidP="00145BF4">
      <w:pPr>
        <w:tabs>
          <w:tab w:val="left" w:pos="851"/>
        </w:tabs>
        <w:ind w:left="851"/>
        <w:rPr>
          <w:sz w:val="24"/>
          <w:szCs w:val="24"/>
        </w:rPr>
      </w:pPr>
      <w:r w:rsidRPr="00732305">
        <w:rPr>
          <w:sz w:val="24"/>
          <w:szCs w:val="24"/>
        </w:rPr>
        <w:t xml:space="preserve">Data for udskillelse af </w:t>
      </w:r>
      <w:proofErr w:type="spellStart"/>
      <w:r w:rsidRPr="00732305">
        <w:rPr>
          <w:sz w:val="24"/>
          <w:szCs w:val="24"/>
        </w:rPr>
        <w:t>Olimel</w:t>
      </w:r>
      <w:proofErr w:type="spellEnd"/>
      <w:r w:rsidRPr="00732305">
        <w:rPr>
          <w:sz w:val="24"/>
          <w:szCs w:val="24"/>
        </w:rPr>
        <w:t xml:space="preserve"> N12-komponenter/metabolitter i human mælk er utilstrækkelige. Parenteral ernæring kan blive nødvendig under amning </w:t>
      </w:r>
      <w:proofErr w:type="spellStart"/>
      <w:r w:rsidRPr="00732305">
        <w:rPr>
          <w:sz w:val="24"/>
          <w:szCs w:val="24"/>
        </w:rPr>
        <w:t>Olimel</w:t>
      </w:r>
      <w:proofErr w:type="spellEnd"/>
      <w:r w:rsidRPr="00732305">
        <w:rPr>
          <w:sz w:val="24"/>
          <w:szCs w:val="24"/>
        </w:rPr>
        <w:t xml:space="preserve"> N12 bør kun gives til ammende kvinder efter nøje overvejelser.</w:t>
      </w:r>
    </w:p>
    <w:p w:rsidR="00145BF4" w:rsidRPr="00732305" w:rsidRDefault="00145BF4" w:rsidP="00145BF4">
      <w:pPr>
        <w:tabs>
          <w:tab w:val="left" w:pos="851"/>
        </w:tabs>
        <w:ind w:left="851"/>
        <w:rPr>
          <w:sz w:val="24"/>
          <w:szCs w:val="24"/>
        </w:rPr>
      </w:pPr>
    </w:p>
    <w:p w:rsidR="00145BF4" w:rsidRPr="00732305" w:rsidRDefault="00145BF4" w:rsidP="00145BF4">
      <w:pPr>
        <w:tabs>
          <w:tab w:val="left" w:pos="851"/>
        </w:tabs>
        <w:ind w:left="851"/>
        <w:rPr>
          <w:sz w:val="24"/>
          <w:szCs w:val="24"/>
          <w:u w:val="single"/>
        </w:rPr>
      </w:pPr>
      <w:r w:rsidRPr="00732305">
        <w:rPr>
          <w:sz w:val="24"/>
          <w:szCs w:val="24"/>
          <w:u w:val="single"/>
        </w:rPr>
        <w:t>Fertilitet</w:t>
      </w:r>
    </w:p>
    <w:p w:rsidR="00145BF4" w:rsidRPr="00732305" w:rsidRDefault="00145BF4" w:rsidP="00145BF4">
      <w:pPr>
        <w:tabs>
          <w:tab w:val="left" w:pos="851"/>
        </w:tabs>
        <w:ind w:left="851"/>
        <w:rPr>
          <w:sz w:val="24"/>
          <w:szCs w:val="24"/>
        </w:rPr>
      </w:pPr>
      <w:r w:rsidRPr="00732305">
        <w:rPr>
          <w:sz w:val="24"/>
          <w:szCs w:val="24"/>
        </w:rPr>
        <w:t>Der foreligger ingen relevante data.</w:t>
      </w:r>
    </w:p>
    <w:p w:rsidR="00145BF4" w:rsidRPr="00732305" w:rsidRDefault="00145BF4" w:rsidP="00145BF4">
      <w:pPr>
        <w:tabs>
          <w:tab w:val="left" w:pos="851"/>
        </w:tabs>
        <w:ind w:left="851"/>
        <w:rPr>
          <w:sz w:val="24"/>
          <w:szCs w:val="24"/>
        </w:rPr>
      </w:pPr>
    </w:p>
    <w:p w:rsidR="00145BF4" w:rsidRPr="00732305" w:rsidRDefault="00145BF4" w:rsidP="00145BF4">
      <w:pPr>
        <w:tabs>
          <w:tab w:val="left" w:pos="851"/>
        </w:tabs>
        <w:ind w:left="851" w:hanging="851"/>
        <w:rPr>
          <w:b/>
          <w:sz w:val="24"/>
          <w:szCs w:val="24"/>
        </w:rPr>
      </w:pPr>
      <w:r w:rsidRPr="00732305">
        <w:rPr>
          <w:b/>
          <w:sz w:val="24"/>
          <w:szCs w:val="24"/>
        </w:rPr>
        <w:t>4.7</w:t>
      </w:r>
      <w:r w:rsidRPr="00732305">
        <w:rPr>
          <w:b/>
          <w:sz w:val="24"/>
          <w:szCs w:val="24"/>
        </w:rPr>
        <w:tab/>
        <w:t xml:space="preserve">Virkninger på evnen til at føre </w:t>
      </w:r>
      <w:r w:rsidR="00BF57C2">
        <w:rPr>
          <w:b/>
          <w:sz w:val="24"/>
          <w:szCs w:val="24"/>
        </w:rPr>
        <w:t>og</w:t>
      </w:r>
      <w:r w:rsidRPr="00732305">
        <w:rPr>
          <w:b/>
          <w:sz w:val="24"/>
          <w:szCs w:val="24"/>
        </w:rPr>
        <w:t xml:space="preserve"> eller betjene maskiner</w:t>
      </w:r>
    </w:p>
    <w:p w:rsidR="00145BF4" w:rsidRDefault="00145BF4" w:rsidP="00145BF4">
      <w:pPr>
        <w:tabs>
          <w:tab w:val="left" w:pos="851"/>
        </w:tabs>
        <w:ind w:left="851"/>
        <w:rPr>
          <w:sz w:val="24"/>
          <w:szCs w:val="24"/>
        </w:rPr>
      </w:pPr>
      <w:r>
        <w:rPr>
          <w:sz w:val="24"/>
          <w:szCs w:val="24"/>
        </w:rPr>
        <w:t>Ikke mærkning.</w:t>
      </w:r>
    </w:p>
    <w:p w:rsidR="00145BF4" w:rsidRPr="00732305" w:rsidRDefault="00145BF4" w:rsidP="00145BF4">
      <w:pPr>
        <w:tabs>
          <w:tab w:val="left" w:pos="851"/>
        </w:tabs>
        <w:ind w:left="851"/>
        <w:rPr>
          <w:sz w:val="24"/>
          <w:szCs w:val="24"/>
        </w:rPr>
      </w:pPr>
      <w:r w:rsidRPr="00732305">
        <w:rPr>
          <w:sz w:val="24"/>
          <w:szCs w:val="24"/>
        </w:rPr>
        <w:t>Der er ikke foretaget undersøgelser af virkningen på evnen til at føre motorkøretøj eller betjene maskiner.</w:t>
      </w:r>
    </w:p>
    <w:p w:rsidR="00145BF4" w:rsidRPr="00732305" w:rsidRDefault="00145BF4" w:rsidP="00145BF4">
      <w:pPr>
        <w:tabs>
          <w:tab w:val="left" w:pos="851"/>
        </w:tabs>
        <w:ind w:left="851"/>
        <w:rPr>
          <w:sz w:val="24"/>
          <w:szCs w:val="24"/>
        </w:rPr>
      </w:pPr>
    </w:p>
    <w:p w:rsidR="00145BF4" w:rsidRPr="00732305" w:rsidRDefault="00145BF4" w:rsidP="00145BF4">
      <w:pPr>
        <w:tabs>
          <w:tab w:val="left" w:pos="851"/>
        </w:tabs>
        <w:ind w:left="851" w:hanging="851"/>
        <w:rPr>
          <w:b/>
          <w:sz w:val="24"/>
          <w:szCs w:val="24"/>
        </w:rPr>
      </w:pPr>
      <w:r w:rsidRPr="00732305">
        <w:rPr>
          <w:b/>
          <w:sz w:val="24"/>
          <w:szCs w:val="24"/>
        </w:rPr>
        <w:t>4.8</w:t>
      </w:r>
      <w:r w:rsidRPr="00732305">
        <w:rPr>
          <w:b/>
          <w:sz w:val="24"/>
          <w:szCs w:val="24"/>
        </w:rPr>
        <w:tab/>
        <w:t>Bivirkninger</w:t>
      </w:r>
    </w:p>
    <w:p w:rsidR="00145BF4" w:rsidRPr="00732305" w:rsidRDefault="00145BF4" w:rsidP="00145BF4">
      <w:pPr>
        <w:tabs>
          <w:tab w:val="left" w:pos="851"/>
        </w:tabs>
        <w:ind w:left="851"/>
        <w:rPr>
          <w:sz w:val="24"/>
          <w:szCs w:val="24"/>
        </w:rPr>
      </w:pPr>
      <w:r w:rsidRPr="00732305">
        <w:rPr>
          <w:sz w:val="24"/>
          <w:szCs w:val="24"/>
        </w:rPr>
        <w:t>Potentielle bivirkninger kan opstå som et resultat af forkert anvendelse (f.eks. overdosering eller for høj infusionshastighed) (se pkt. 4.4 og 4.9).</w:t>
      </w:r>
    </w:p>
    <w:p w:rsidR="00145BF4" w:rsidRPr="00732305" w:rsidRDefault="00145BF4" w:rsidP="00145BF4">
      <w:pPr>
        <w:tabs>
          <w:tab w:val="left" w:pos="851"/>
        </w:tabs>
        <w:ind w:left="851"/>
        <w:rPr>
          <w:sz w:val="24"/>
          <w:szCs w:val="24"/>
        </w:rPr>
      </w:pPr>
    </w:p>
    <w:p w:rsidR="00145BF4" w:rsidRPr="00732305" w:rsidRDefault="00145BF4" w:rsidP="00145BF4">
      <w:pPr>
        <w:tabs>
          <w:tab w:val="left" w:pos="851"/>
        </w:tabs>
        <w:ind w:left="851"/>
        <w:rPr>
          <w:sz w:val="24"/>
          <w:szCs w:val="24"/>
        </w:rPr>
      </w:pPr>
      <w:r w:rsidRPr="00732305">
        <w:rPr>
          <w:sz w:val="24"/>
          <w:szCs w:val="24"/>
        </w:rPr>
        <w:t>Ved infusionens begyndelse bør ethvert af følgende unormale tegn (svedtendens, feber, kulderystelse, hovedpine, hududslæt, dyspnø) medføre, at infusionen omgående afbrydes:</w:t>
      </w:r>
    </w:p>
    <w:p w:rsidR="00145BF4" w:rsidRPr="00732305" w:rsidRDefault="00145BF4" w:rsidP="00145BF4">
      <w:pPr>
        <w:tabs>
          <w:tab w:val="left" w:pos="851"/>
        </w:tabs>
        <w:ind w:left="851"/>
        <w:rPr>
          <w:sz w:val="24"/>
          <w:szCs w:val="24"/>
        </w:rPr>
      </w:pPr>
    </w:p>
    <w:p w:rsidR="00573E4B" w:rsidRDefault="00573E4B" w:rsidP="00573E4B">
      <w:pPr>
        <w:tabs>
          <w:tab w:val="left" w:pos="851"/>
        </w:tabs>
        <w:ind w:left="851"/>
        <w:rPr>
          <w:sz w:val="24"/>
          <w:szCs w:val="24"/>
        </w:rPr>
      </w:pPr>
      <w:r>
        <w:rPr>
          <w:sz w:val="24"/>
          <w:szCs w:val="24"/>
        </w:rPr>
        <w:t xml:space="preserve">Nedenstående tabel viser bivirkninger der blev rapporteret med </w:t>
      </w:r>
      <w:proofErr w:type="spellStart"/>
      <w:r>
        <w:rPr>
          <w:sz w:val="24"/>
          <w:szCs w:val="24"/>
        </w:rPr>
        <w:t>Olimel</w:t>
      </w:r>
      <w:proofErr w:type="spellEnd"/>
      <w:r>
        <w:rPr>
          <w:sz w:val="24"/>
          <w:szCs w:val="24"/>
        </w:rPr>
        <w:t xml:space="preserve"> N9-840 i et randomiseret, dobbeltblindet, aktivt-kontrolleret virknings- og sikkerhedsforsøg. 28 patienter med forskellige medicinske tilstande (dvs. postoperativ faste, svær fejlernæring eller utilstrækkelig eller kontraindiceret </w:t>
      </w:r>
      <w:proofErr w:type="spellStart"/>
      <w:r>
        <w:rPr>
          <w:sz w:val="24"/>
          <w:szCs w:val="24"/>
        </w:rPr>
        <w:t>enteral</w:t>
      </w:r>
      <w:proofErr w:type="spellEnd"/>
      <w:r>
        <w:rPr>
          <w:sz w:val="24"/>
          <w:szCs w:val="24"/>
        </w:rPr>
        <w:t xml:space="preserve"> indtagelse) blev inkluderet og behandlet. Patienterne i </w:t>
      </w:r>
      <w:proofErr w:type="spellStart"/>
      <w:r>
        <w:rPr>
          <w:sz w:val="24"/>
          <w:szCs w:val="24"/>
        </w:rPr>
        <w:t>Olimel</w:t>
      </w:r>
      <w:proofErr w:type="spellEnd"/>
      <w:r>
        <w:rPr>
          <w:sz w:val="24"/>
          <w:szCs w:val="24"/>
        </w:rPr>
        <w:t>-gruppen fik op til 40 ml/kg/d af produktet over 5 dage.</w:t>
      </w:r>
    </w:p>
    <w:p w:rsidR="00145BF4" w:rsidRPr="00732305" w:rsidRDefault="00145BF4" w:rsidP="00145BF4">
      <w:pPr>
        <w:tabs>
          <w:tab w:val="left" w:pos="851"/>
        </w:tabs>
        <w:ind w:left="851"/>
        <w:rPr>
          <w:sz w:val="24"/>
          <w:szCs w:val="24"/>
        </w:rPr>
      </w:pPr>
    </w:p>
    <w:p w:rsidR="00145BF4" w:rsidRPr="00732305" w:rsidRDefault="00145BF4" w:rsidP="00145BF4">
      <w:pPr>
        <w:tabs>
          <w:tab w:val="left" w:pos="851"/>
        </w:tabs>
        <w:ind w:left="851"/>
        <w:rPr>
          <w:sz w:val="24"/>
          <w:szCs w:val="24"/>
        </w:rPr>
      </w:pPr>
      <w:r w:rsidRPr="00732305">
        <w:rPr>
          <w:sz w:val="24"/>
          <w:szCs w:val="24"/>
        </w:rPr>
        <w:t xml:space="preserve">De samlede data fra kliniske forsøg og erfaring efter markedsføring indikerer følgende bivirkninger relateret til </w:t>
      </w:r>
      <w:proofErr w:type="spellStart"/>
      <w:r w:rsidRPr="00732305">
        <w:rPr>
          <w:sz w:val="24"/>
          <w:szCs w:val="24"/>
        </w:rPr>
        <w:t>Olimel</w:t>
      </w:r>
      <w:proofErr w:type="spellEnd"/>
      <w:r w:rsidRPr="00732305">
        <w:rPr>
          <w:sz w:val="24"/>
          <w:szCs w:val="24"/>
        </w:rPr>
        <w:t>:</w:t>
      </w:r>
    </w:p>
    <w:p w:rsidR="004762D1" w:rsidRDefault="004762D1" w:rsidP="004762D1">
      <w:pPr>
        <w:tabs>
          <w:tab w:val="left" w:pos="851"/>
        </w:tabs>
        <w:ind w:left="851"/>
        <w:rPr>
          <w:sz w:val="24"/>
          <w:szCs w:val="24"/>
        </w:rPr>
      </w:pPr>
    </w:p>
    <w:tbl>
      <w:tblPr>
        <w:tblStyle w:val="Tabel-Gitter"/>
        <w:tblW w:w="0" w:type="auto"/>
        <w:tblInd w:w="851" w:type="dxa"/>
        <w:tblLook w:val="04A0" w:firstRow="1" w:lastRow="0" w:firstColumn="1" w:lastColumn="0" w:noHBand="0" w:noVBand="1"/>
      </w:tblPr>
      <w:tblGrid>
        <w:gridCol w:w="2991"/>
        <w:gridCol w:w="2984"/>
        <w:gridCol w:w="2802"/>
      </w:tblGrid>
      <w:tr w:rsidR="004762D1" w:rsidTr="004762D1">
        <w:tc>
          <w:tcPr>
            <w:tcW w:w="2991" w:type="dxa"/>
            <w:tcBorders>
              <w:top w:val="single" w:sz="4" w:space="0" w:color="auto"/>
              <w:left w:val="single" w:sz="4" w:space="0" w:color="auto"/>
              <w:bottom w:val="single" w:sz="4" w:space="0" w:color="auto"/>
              <w:right w:val="single" w:sz="4" w:space="0" w:color="auto"/>
            </w:tcBorders>
            <w:hideMark/>
          </w:tcPr>
          <w:p w:rsidR="004762D1" w:rsidRDefault="004762D1">
            <w:pPr>
              <w:tabs>
                <w:tab w:val="left" w:pos="851"/>
              </w:tabs>
              <w:rPr>
                <w:sz w:val="20"/>
                <w:szCs w:val="24"/>
              </w:rPr>
            </w:pPr>
            <w:r>
              <w:rPr>
                <w:rFonts w:eastAsia="MS Mincho"/>
                <w:b/>
                <w:sz w:val="20"/>
                <w:szCs w:val="24"/>
              </w:rPr>
              <w:t>Systemorganklasse</w:t>
            </w:r>
          </w:p>
        </w:tc>
        <w:tc>
          <w:tcPr>
            <w:tcW w:w="2984" w:type="dxa"/>
            <w:tcBorders>
              <w:top w:val="single" w:sz="4" w:space="0" w:color="auto"/>
              <w:left w:val="single" w:sz="4" w:space="0" w:color="auto"/>
              <w:bottom w:val="single" w:sz="4" w:space="0" w:color="auto"/>
              <w:right w:val="single" w:sz="4" w:space="0" w:color="auto"/>
            </w:tcBorders>
            <w:hideMark/>
          </w:tcPr>
          <w:p w:rsidR="004762D1" w:rsidRDefault="004762D1">
            <w:pPr>
              <w:tabs>
                <w:tab w:val="left" w:pos="851"/>
              </w:tabs>
              <w:rPr>
                <w:sz w:val="20"/>
                <w:szCs w:val="24"/>
              </w:rPr>
            </w:pPr>
            <w:r>
              <w:rPr>
                <w:rFonts w:eastAsia="MS Mincho"/>
                <w:b/>
                <w:sz w:val="20"/>
                <w:szCs w:val="24"/>
              </w:rPr>
              <w:t xml:space="preserve">Foretrukken </w:t>
            </w:r>
            <w:proofErr w:type="spellStart"/>
            <w:r>
              <w:rPr>
                <w:rFonts w:eastAsia="MS Mincho"/>
                <w:b/>
                <w:sz w:val="20"/>
                <w:szCs w:val="24"/>
              </w:rPr>
              <w:t>MedDRA</w:t>
            </w:r>
            <w:proofErr w:type="spellEnd"/>
            <w:r>
              <w:rPr>
                <w:rFonts w:eastAsia="MS Mincho"/>
                <w:b/>
                <w:sz w:val="20"/>
                <w:szCs w:val="24"/>
              </w:rPr>
              <w:t xml:space="preserve"> term</w:t>
            </w:r>
          </w:p>
        </w:tc>
        <w:tc>
          <w:tcPr>
            <w:tcW w:w="2802" w:type="dxa"/>
            <w:tcBorders>
              <w:top w:val="single" w:sz="4" w:space="0" w:color="auto"/>
              <w:left w:val="single" w:sz="4" w:space="0" w:color="auto"/>
              <w:bottom w:val="single" w:sz="4" w:space="0" w:color="auto"/>
              <w:right w:val="single" w:sz="4" w:space="0" w:color="auto"/>
            </w:tcBorders>
            <w:hideMark/>
          </w:tcPr>
          <w:p w:rsidR="004762D1" w:rsidRDefault="004762D1">
            <w:pPr>
              <w:tabs>
                <w:tab w:val="left" w:pos="851"/>
              </w:tabs>
              <w:rPr>
                <w:sz w:val="20"/>
                <w:szCs w:val="24"/>
              </w:rPr>
            </w:pPr>
            <w:proofErr w:type="spellStart"/>
            <w:r>
              <w:rPr>
                <w:rFonts w:eastAsia="MS Mincho"/>
                <w:b/>
                <w:sz w:val="20"/>
                <w:szCs w:val="24"/>
              </w:rPr>
              <w:t>Hyppighed</w:t>
            </w:r>
            <w:r>
              <w:rPr>
                <w:rFonts w:eastAsia="MS Mincho"/>
                <w:b/>
                <w:sz w:val="20"/>
                <w:szCs w:val="24"/>
                <w:vertAlign w:val="superscript"/>
              </w:rPr>
              <w:t>a</w:t>
            </w:r>
            <w:proofErr w:type="spellEnd"/>
          </w:p>
        </w:tc>
      </w:tr>
      <w:tr w:rsidR="004762D1" w:rsidTr="004762D1">
        <w:tc>
          <w:tcPr>
            <w:tcW w:w="2991" w:type="dxa"/>
            <w:tcBorders>
              <w:top w:val="single" w:sz="4" w:space="0" w:color="auto"/>
              <w:left w:val="single" w:sz="4" w:space="0" w:color="auto"/>
              <w:bottom w:val="single" w:sz="4" w:space="0" w:color="auto"/>
              <w:right w:val="single" w:sz="4" w:space="0" w:color="auto"/>
            </w:tcBorders>
            <w:hideMark/>
          </w:tcPr>
          <w:p w:rsidR="004762D1" w:rsidRDefault="004762D1">
            <w:pPr>
              <w:tabs>
                <w:tab w:val="left" w:pos="851"/>
              </w:tabs>
              <w:rPr>
                <w:rFonts w:eastAsia="MS Mincho"/>
                <w:sz w:val="20"/>
                <w:szCs w:val="24"/>
              </w:rPr>
            </w:pPr>
            <w:r>
              <w:rPr>
                <w:rFonts w:eastAsia="MS Mincho"/>
                <w:sz w:val="20"/>
                <w:szCs w:val="24"/>
              </w:rPr>
              <w:t>Immunsystemet</w:t>
            </w:r>
          </w:p>
        </w:tc>
        <w:tc>
          <w:tcPr>
            <w:tcW w:w="2984" w:type="dxa"/>
            <w:tcBorders>
              <w:top w:val="single" w:sz="4" w:space="0" w:color="auto"/>
              <w:left w:val="single" w:sz="4" w:space="0" w:color="auto"/>
              <w:bottom w:val="single" w:sz="4" w:space="0" w:color="auto"/>
              <w:right w:val="single" w:sz="4" w:space="0" w:color="auto"/>
            </w:tcBorders>
            <w:hideMark/>
          </w:tcPr>
          <w:p w:rsidR="004762D1" w:rsidRDefault="004762D1">
            <w:pPr>
              <w:tabs>
                <w:tab w:val="left" w:pos="851"/>
              </w:tabs>
              <w:rPr>
                <w:rFonts w:eastAsia="MS Mincho"/>
                <w:sz w:val="20"/>
                <w:szCs w:val="24"/>
              </w:rPr>
            </w:pPr>
            <w:r>
              <w:rPr>
                <w:rFonts w:eastAsia="MS Mincho"/>
                <w:sz w:val="20"/>
                <w:szCs w:val="24"/>
              </w:rPr>
              <w:t xml:space="preserve">Overfølsomhedsreaktioner inklusive </w:t>
            </w:r>
            <w:proofErr w:type="spellStart"/>
            <w:r>
              <w:rPr>
                <w:rFonts w:eastAsia="MS Mincho"/>
                <w:sz w:val="20"/>
                <w:szCs w:val="24"/>
              </w:rPr>
              <w:t>hyperhidrose</w:t>
            </w:r>
            <w:proofErr w:type="spellEnd"/>
            <w:r>
              <w:rPr>
                <w:rFonts w:eastAsia="MS Mincho"/>
                <w:sz w:val="20"/>
                <w:szCs w:val="24"/>
              </w:rPr>
              <w:t xml:space="preserve">, </w:t>
            </w:r>
            <w:proofErr w:type="spellStart"/>
            <w:r>
              <w:rPr>
                <w:rFonts w:eastAsia="MS Mincho"/>
                <w:sz w:val="20"/>
                <w:szCs w:val="24"/>
              </w:rPr>
              <w:t>pyrexia</w:t>
            </w:r>
            <w:proofErr w:type="spellEnd"/>
            <w:r>
              <w:rPr>
                <w:rFonts w:eastAsia="MS Mincho"/>
                <w:sz w:val="20"/>
                <w:szCs w:val="24"/>
              </w:rPr>
              <w:t>, kulderystelser, hovedpine, hududslæt (</w:t>
            </w:r>
            <w:proofErr w:type="spellStart"/>
            <w:r>
              <w:rPr>
                <w:rFonts w:eastAsia="MS Mincho"/>
                <w:sz w:val="20"/>
                <w:szCs w:val="24"/>
              </w:rPr>
              <w:t>erytematøs</w:t>
            </w:r>
            <w:proofErr w:type="spellEnd"/>
            <w:r>
              <w:rPr>
                <w:rFonts w:eastAsia="MS Mincho"/>
                <w:sz w:val="20"/>
                <w:szCs w:val="24"/>
              </w:rPr>
              <w:t xml:space="preserve">, </w:t>
            </w:r>
            <w:proofErr w:type="spellStart"/>
            <w:r>
              <w:rPr>
                <w:rFonts w:eastAsia="MS Mincho"/>
                <w:sz w:val="20"/>
                <w:szCs w:val="24"/>
              </w:rPr>
              <w:t>papular</w:t>
            </w:r>
            <w:proofErr w:type="spellEnd"/>
            <w:r>
              <w:rPr>
                <w:rFonts w:eastAsia="MS Mincho"/>
                <w:sz w:val="20"/>
                <w:szCs w:val="24"/>
              </w:rPr>
              <w:t xml:space="preserve">, </w:t>
            </w:r>
            <w:proofErr w:type="spellStart"/>
            <w:r>
              <w:rPr>
                <w:rFonts w:eastAsia="MS Mincho"/>
                <w:sz w:val="20"/>
                <w:szCs w:val="24"/>
              </w:rPr>
              <w:t>pustulær</w:t>
            </w:r>
            <w:proofErr w:type="spellEnd"/>
            <w:r>
              <w:rPr>
                <w:rFonts w:eastAsia="MS Mincho"/>
                <w:sz w:val="20"/>
                <w:szCs w:val="24"/>
              </w:rPr>
              <w:t xml:space="preserve">, </w:t>
            </w:r>
            <w:proofErr w:type="spellStart"/>
            <w:r>
              <w:rPr>
                <w:rFonts w:eastAsia="MS Mincho"/>
                <w:sz w:val="20"/>
                <w:szCs w:val="24"/>
              </w:rPr>
              <w:t>makulær</w:t>
            </w:r>
            <w:proofErr w:type="spellEnd"/>
            <w:r>
              <w:rPr>
                <w:rFonts w:eastAsia="MS Mincho"/>
                <w:sz w:val="20"/>
                <w:szCs w:val="24"/>
              </w:rPr>
              <w:t>, generaliseret udslæt), kløe, hedeture, dyspnø</w:t>
            </w:r>
          </w:p>
        </w:tc>
        <w:tc>
          <w:tcPr>
            <w:tcW w:w="2802" w:type="dxa"/>
            <w:tcBorders>
              <w:top w:val="single" w:sz="4" w:space="0" w:color="auto"/>
              <w:left w:val="single" w:sz="4" w:space="0" w:color="auto"/>
              <w:bottom w:val="single" w:sz="4" w:space="0" w:color="auto"/>
              <w:right w:val="single" w:sz="4" w:space="0" w:color="auto"/>
            </w:tcBorders>
            <w:hideMark/>
          </w:tcPr>
          <w:p w:rsidR="004762D1" w:rsidRDefault="004762D1">
            <w:pPr>
              <w:tabs>
                <w:tab w:val="left" w:pos="851"/>
              </w:tabs>
              <w:rPr>
                <w:sz w:val="20"/>
                <w:szCs w:val="24"/>
              </w:rPr>
            </w:pPr>
            <w:r>
              <w:rPr>
                <w:rFonts w:eastAsia="MS Mincho"/>
                <w:sz w:val="20"/>
                <w:szCs w:val="24"/>
              </w:rPr>
              <w:t xml:space="preserve">Ikke </w:t>
            </w:r>
            <w:proofErr w:type="spellStart"/>
            <w:r>
              <w:rPr>
                <w:rFonts w:eastAsia="MS Mincho"/>
                <w:sz w:val="20"/>
                <w:szCs w:val="24"/>
              </w:rPr>
              <w:t>kendt</w:t>
            </w:r>
            <w:r>
              <w:rPr>
                <w:rFonts w:eastAsia="MS Mincho"/>
                <w:sz w:val="20"/>
                <w:szCs w:val="24"/>
                <w:vertAlign w:val="superscript"/>
              </w:rPr>
              <w:t>b</w:t>
            </w:r>
            <w:proofErr w:type="spellEnd"/>
          </w:p>
        </w:tc>
      </w:tr>
      <w:tr w:rsidR="004762D1" w:rsidTr="004762D1">
        <w:tc>
          <w:tcPr>
            <w:tcW w:w="2991" w:type="dxa"/>
            <w:tcBorders>
              <w:top w:val="single" w:sz="4" w:space="0" w:color="auto"/>
              <w:left w:val="single" w:sz="4" w:space="0" w:color="auto"/>
              <w:bottom w:val="single" w:sz="4" w:space="0" w:color="auto"/>
              <w:right w:val="single" w:sz="4" w:space="0" w:color="auto"/>
            </w:tcBorders>
            <w:hideMark/>
          </w:tcPr>
          <w:p w:rsidR="004762D1" w:rsidRDefault="004762D1">
            <w:pPr>
              <w:tabs>
                <w:tab w:val="left" w:pos="851"/>
              </w:tabs>
              <w:rPr>
                <w:sz w:val="20"/>
                <w:szCs w:val="24"/>
              </w:rPr>
            </w:pPr>
            <w:r>
              <w:rPr>
                <w:rFonts w:eastAsia="MS Mincho"/>
                <w:sz w:val="20"/>
                <w:szCs w:val="24"/>
              </w:rPr>
              <w:lastRenderedPageBreak/>
              <w:t>Hjerte</w:t>
            </w:r>
          </w:p>
        </w:tc>
        <w:tc>
          <w:tcPr>
            <w:tcW w:w="2984" w:type="dxa"/>
            <w:tcBorders>
              <w:top w:val="single" w:sz="4" w:space="0" w:color="auto"/>
              <w:left w:val="single" w:sz="4" w:space="0" w:color="auto"/>
              <w:bottom w:val="single" w:sz="4" w:space="0" w:color="auto"/>
              <w:right w:val="single" w:sz="4" w:space="0" w:color="auto"/>
            </w:tcBorders>
            <w:hideMark/>
          </w:tcPr>
          <w:p w:rsidR="004762D1" w:rsidRDefault="004762D1">
            <w:pPr>
              <w:tabs>
                <w:tab w:val="left" w:pos="851"/>
              </w:tabs>
              <w:rPr>
                <w:sz w:val="20"/>
                <w:szCs w:val="24"/>
              </w:rPr>
            </w:pPr>
            <w:proofErr w:type="spellStart"/>
            <w:r>
              <w:rPr>
                <w:rFonts w:eastAsia="MS Mincho"/>
                <w:sz w:val="20"/>
                <w:szCs w:val="24"/>
              </w:rPr>
              <w:t>Takykardi</w:t>
            </w:r>
            <w:proofErr w:type="spellEnd"/>
          </w:p>
        </w:tc>
        <w:tc>
          <w:tcPr>
            <w:tcW w:w="2802" w:type="dxa"/>
            <w:tcBorders>
              <w:top w:val="single" w:sz="4" w:space="0" w:color="auto"/>
              <w:left w:val="single" w:sz="4" w:space="0" w:color="auto"/>
              <w:bottom w:val="single" w:sz="4" w:space="0" w:color="auto"/>
              <w:right w:val="single" w:sz="4" w:space="0" w:color="auto"/>
            </w:tcBorders>
            <w:hideMark/>
          </w:tcPr>
          <w:p w:rsidR="004762D1" w:rsidRDefault="004762D1">
            <w:pPr>
              <w:tabs>
                <w:tab w:val="left" w:pos="851"/>
              </w:tabs>
              <w:rPr>
                <w:sz w:val="20"/>
                <w:szCs w:val="24"/>
              </w:rPr>
            </w:pPr>
            <w:r>
              <w:rPr>
                <w:sz w:val="20"/>
                <w:szCs w:val="24"/>
              </w:rPr>
              <w:t>Almindelig</w:t>
            </w:r>
          </w:p>
        </w:tc>
      </w:tr>
      <w:tr w:rsidR="004762D1" w:rsidTr="004762D1">
        <w:tc>
          <w:tcPr>
            <w:tcW w:w="2991" w:type="dxa"/>
            <w:vMerge w:val="restart"/>
            <w:tcBorders>
              <w:top w:val="single" w:sz="4" w:space="0" w:color="auto"/>
              <w:left w:val="single" w:sz="4" w:space="0" w:color="auto"/>
              <w:bottom w:val="single" w:sz="4" w:space="0" w:color="auto"/>
              <w:right w:val="single" w:sz="4" w:space="0" w:color="auto"/>
            </w:tcBorders>
            <w:hideMark/>
          </w:tcPr>
          <w:p w:rsidR="004762D1" w:rsidRDefault="004762D1">
            <w:pPr>
              <w:tabs>
                <w:tab w:val="left" w:pos="851"/>
              </w:tabs>
              <w:rPr>
                <w:sz w:val="20"/>
                <w:szCs w:val="24"/>
              </w:rPr>
            </w:pPr>
            <w:r>
              <w:rPr>
                <w:rFonts w:eastAsia="MS Mincho"/>
                <w:sz w:val="20"/>
                <w:szCs w:val="24"/>
              </w:rPr>
              <w:t>Metabolisme og ernæring</w:t>
            </w:r>
          </w:p>
        </w:tc>
        <w:tc>
          <w:tcPr>
            <w:tcW w:w="2984" w:type="dxa"/>
            <w:tcBorders>
              <w:top w:val="single" w:sz="4" w:space="0" w:color="auto"/>
              <w:left w:val="single" w:sz="4" w:space="0" w:color="auto"/>
              <w:bottom w:val="single" w:sz="4" w:space="0" w:color="auto"/>
              <w:right w:val="single" w:sz="4" w:space="0" w:color="auto"/>
            </w:tcBorders>
            <w:hideMark/>
          </w:tcPr>
          <w:p w:rsidR="004762D1" w:rsidRDefault="004762D1">
            <w:pPr>
              <w:tabs>
                <w:tab w:val="left" w:pos="851"/>
              </w:tabs>
              <w:rPr>
                <w:sz w:val="20"/>
                <w:szCs w:val="24"/>
              </w:rPr>
            </w:pPr>
            <w:r>
              <w:rPr>
                <w:rFonts w:eastAsia="MS Mincho"/>
                <w:sz w:val="20"/>
                <w:szCs w:val="24"/>
              </w:rPr>
              <w:t>Nedsat appetit</w:t>
            </w:r>
          </w:p>
        </w:tc>
        <w:tc>
          <w:tcPr>
            <w:tcW w:w="2802" w:type="dxa"/>
            <w:tcBorders>
              <w:top w:val="single" w:sz="4" w:space="0" w:color="auto"/>
              <w:left w:val="single" w:sz="4" w:space="0" w:color="auto"/>
              <w:bottom w:val="single" w:sz="4" w:space="0" w:color="auto"/>
              <w:right w:val="single" w:sz="4" w:space="0" w:color="auto"/>
            </w:tcBorders>
            <w:hideMark/>
          </w:tcPr>
          <w:p w:rsidR="004762D1" w:rsidRDefault="004762D1">
            <w:pPr>
              <w:tabs>
                <w:tab w:val="left" w:pos="851"/>
              </w:tabs>
              <w:rPr>
                <w:sz w:val="20"/>
                <w:szCs w:val="24"/>
              </w:rPr>
            </w:pPr>
            <w:r>
              <w:rPr>
                <w:sz w:val="20"/>
                <w:szCs w:val="24"/>
              </w:rPr>
              <w:t>Almindelig</w:t>
            </w:r>
          </w:p>
        </w:tc>
      </w:tr>
      <w:tr w:rsidR="004762D1" w:rsidTr="004762D1">
        <w:tc>
          <w:tcPr>
            <w:tcW w:w="0" w:type="auto"/>
            <w:vMerge/>
            <w:tcBorders>
              <w:top w:val="single" w:sz="4" w:space="0" w:color="auto"/>
              <w:left w:val="single" w:sz="4" w:space="0" w:color="auto"/>
              <w:bottom w:val="single" w:sz="4" w:space="0" w:color="auto"/>
              <w:right w:val="single" w:sz="4" w:space="0" w:color="auto"/>
            </w:tcBorders>
            <w:vAlign w:val="center"/>
            <w:hideMark/>
          </w:tcPr>
          <w:p w:rsidR="004762D1" w:rsidRDefault="004762D1">
            <w:pPr>
              <w:rPr>
                <w:sz w:val="20"/>
                <w:szCs w:val="24"/>
              </w:rPr>
            </w:pPr>
          </w:p>
        </w:tc>
        <w:tc>
          <w:tcPr>
            <w:tcW w:w="2984" w:type="dxa"/>
            <w:tcBorders>
              <w:top w:val="single" w:sz="4" w:space="0" w:color="auto"/>
              <w:left w:val="single" w:sz="4" w:space="0" w:color="auto"/>
              <w:bottom w:val="single" w:sz="4" w:space="0" w:color="auto"/>
              <w:right w:val="single" w:sz="4" w:space="0" w:color="auto"/>
            </w:tcBorders>
            <w:hideMark/>
          </w:tcPr>
          <w:p w:rsidR="004762D1" w:rsidRDefault="004762D1">
            <w:pPr>
              <w:tabs>
                <w:tab w:val="left" w:pos="851"/>
              </w:tabs>
              <w:rPr>
                <w:sz w:val="20"/>
                <w:szCs w:val="24"/>
              </w:rPr>
            </w:pPr>
            <w:proofErr w:type="spellStart"/>
            <w:r>
              <w:rPr>
                <w:rFonts w:eastAsia="MS Mincho"/>
                <w:sz w:val="20"/>
                <w:szCs w:val="24"/>
              </w:rPr>
              <w:t>Hypertriglyceridæmi</w:t>
            </w:r>
            <w:proofErr w:type="spellEnd"/>
          </w:p>
        </w:tc>
        <w:tc>
          <w:tcPr>
            <w:tcW w:w="2802" w:type="dxa"/>
            <w:tcBorders>
              <w:top w:val="single" w:sz="4" w:space="0" w:color="auto"/>
              <w:left w:val="single" w:sz="4" w:space="0" w:color="auto"/>
              <w:bottom w:val="single" w:sz="4" w:space="0" w:color="auto"/>
              <w:right w:val="single" w:sz="4" w:space="0" w:color="auto"/>
            </w:tcBorders>
            <w:hideMark/>
          </w:tcPr>
          <w:p w:rsidR="004762D1" w:rsidRDefault="004762D1">
            <w:pPr>
              <w:tabs>
                <w:tab w:val="left" w:pos="851"/>
              </w:tabs>
              <w:rPr>
                <w:sz w:val="20"/>
                <w:szCs w:val="24"/>
              </w:rPr>
            </w:pPr>
            <w:r>
              <w:rPr>
                <w:sz w:val="20"/>
                <w:szCs w:val="24"/>
              </w:rPr>
              <w:t>Almindelig</w:t>
            </w:r>
          </w:p>
        </w:tc>
      </w:tr>
      <w:tr w:rsidR="004762D1" w:rsidTr="004762D1">
        <w:tc>
          <w:tcPr>
            <w:tcW w:w="2991" w:type="dxa"/>
            <w:vMerge w:val="restart"/>
            <w:tcBorders>
              <w:top w:val="single" w:sz="4" w:space="0" w:color="auto"/>
              <w:left w:val="single" w:sz="4" w:space="0" w:color="auto"/>
              <w:bottom w:val="single" w:sz="4" w:space="0" w:color="auto"/>
              <w:right w:val="single" w:sz="4" w:space="0" w:color="auto"/>
            </w:tcBorders>
            <w:hideMark/>
          </w:tcPr>
          <w:p w:rsidR="004762D1" w:rsidRDefault="004762D1">
            <w:pPr>
              <w:tabs>
                <w:tab w:val="left" w:pos="851"/>
              </w:tabs>
              <w:rPr>
                <w:sz w:val="20"/>
                <w:szCs w:val="24"/>
              </w:rPr>
            </w:pPr>
            <w:r>
              <w:rPr>
                <w:rFonts w:eastAsia="MS Mincho"/>
                <w:sz w:val="20"/>
                <w:szCs w:val="24"/>
              </w:rPr>
              <w:t>Mave-tarm-kanalen</w:t>
            </w:r>
          </w:p>
        </w:tc>
        <w:tc>
          <w:tcPr>
            <w:tcW w:w="2984" w:type="dxa"/>
            <w:tcBorders>
              <w:top w:val="single" w:sz="4" w:space="0" w:color="auto"/>
              <w:left w:val="single" w:sz="4" w:space="0" w:color="auto"/>
              <w:bottom w:val="single" w:sz="4" w:space="0" w:color="auto"/>
              <w:right w:val="single" w:sz="4" w:space="0" w:color="auto"/>
            </w:tcBorders>
            <w:hideMark/>
          </w:tcPr>
          <w:p w:rsidR="004762D1" w:rsidRDefault="004762D1">
            <w:pPr>
              <w:tabs>
                <w:tab w:val="left" w:pos="851"/>
              </w:tabs>
              <w:rPr>
                <w:rFonts w:eastAsia="MS Mincho"/>
                <w:sz w:val="20"/>
                <w:szCs w:val="24"/>
              </w:rPr>
            </w:pPr>
            <w:proofErr w:type="spellStart"/>
            <w:r>
              <w:rPr>
                <w:rFonts w:eastAsia="MS Mincho"/>
                <w:sz w:val="20"/>
                <w:szCs w:val="24"/>
              </w:rPr>
              <w:t>Abdominale</w:t>
            </w:r>
            <w:proofErr w:type="spellEnd"/>
            <w:r>
              <w:rPr>
                <w:rFonts w:eastAsia="MS Mincho"/>
                <w:sz w:val="20"/>
                <w:szCs w:val="24"/>
              </w:rPr>
              <w:t xml:space="preserve"> smerter</w:t>
            </w:r>
          </w:p>
        </w:tc>
        <w:tc>
          <w:tcPr>
            <w:tcW w:w="2802" w:type="dxa"/>
            <w:tcBorders>
              <w:top w:val="single" w:sz="4" w:space="0" w:color="auto"/>
              <w:left w:val="single" w:sz="4" w:space="0" w:color="auto"/>
              <w:bottom w:val="single" w:sz="4" w:space="0" w:color="auto"/>
              <w:right w:val="single" w:sz="4" w:space="0" w:color="auto"/>
            </w:tcBorders>
            <w:hideMark/>
          </w:tcPr>
          <w:p w:rsidR="004762D1" w:rsidRDefault="004762D1">
            <w:pPr>
              <w:tabs>
                <w:tab w:val="left" w:pos="851"/>
              </w:tabs>
              <w:rPr>
                <w:sz w:val="20"/>
                <w:szCs w:val="24"/>
              </w:rPr>
            </w:pPr>
            <w:r>
              <w:rPr>
                <w:sz w:val="20"/>
                <w:szCs w:val="24"/>
              </w:rPr>
              <w:t>Almindelig</w:t>
            </w:r>
          </w:p>
        </w:tc>
      </w:tr>
      <w:tr w:rsidR="004762D1" w:rsidTr="004762D1">
        <w:tc>
          <w:tcPr>
            <w:tcW w:w="0" w:type="auto"/>
            <w:vMerge/>
            <w:tcBorders>
              <w:top w:val="single" w:sz="4" w:space="0" w:color="auto"/>
              <w:left w:val="single" w:sz="4" w:space="0" w:color="auto"/>
              <w:bottom w:val="single" w:sz="4" w:space="0" w:color="auto"/>
              <w:right w:val="single" w:sz="4" w:space="0" w:color="auto"/>
            </w:tcBorders>
            <w:vAlign w:val="center"/>
            <w:hideMark/>
          </w:tcPr>
          <w:p w:rsidR="004762D1" w:rsidRDefault="004762D1">
            <w:pPr>
              <w:rPr>
                <w:sz w:val="20"/>
                <w:szCs w:val="24"/>
              </w:rPr>
            </w:pPr>
          </w:p>
        </w:tc>
        <w:tc>
          <w:tcPr>
            <w:tcW w:w="2984" w:type="dxa"/>
            <w:tcBorders>
              <w:top w:val="single" w:sz="4" w:space="0" w:color="auto"/>
              <w:left w:val="single" w:sz="4" w:space="0" w:color="auto"/>
              <w:bottom w:val="single" w:sz="4" w:space="0" w:color="auto"/>
              <w:right w:val="single" w:sz="4" w:space="0" w:color="auto"/>
            </w:tcBorders>
            <w:hideMark/>
          </w:tcPr>
          <w:p w:rsidR="004762D1" w:rsidRDefault="004762D1">
            <w:pPr>
              <w:tabs>
                <w:tab w:val="left" w:pos="851"/>
              </w:tabs>
              <w:rPr>
                <w:rFonts w:eastAsia="MS Mincho"/>
                <w:sz w:val="20"/>
                <w:szCs w:val="24"/>
              </w:rPr>
            </w:pPr>
            <w:r>
              <w:rPr>
                <w:rFonts w:eastAsia="MS Mincho"/>
                <w:sz w:val="20"/>
                <w:szCs w:val="24"/>
              </w:rPr>
              <w:t>Diarré</w:t>
            </w:r>
          </w:p>
        </w:tc>
        <w:tc>
          <w:tcPr>
            <w:tcW w:w="2802" w:type="dxa"/>
            <w:tcBorders>
              <w:top w:val="single" w:sz="4" w:space="0" w:color="auto"/>
              <w:left w:val="single" w:sz="4" w:space="0" w:color="auto"/>
              <w:bottom w:val="single" w:sz="4" w:space="0" w:color="auto"/>
              <w:right w:val="single" w:sz="4" w:space="0" w:color="auto"/>
            </w:tcBorders>
            <w:hideMark/>
          </w:tcPr>
          <w:p w:rsidR="004762D1" w:rsidRDefault="004762D1">
            <w:pPr>
              <w:tabs>
                <w:tab w:val="left" w:pos="851"/>
              </w:tabs>
              <w:rPr>
                <w:sz w:val="20"/>
                <w:szCs w:val="24"/>
              </w:rPr>
            </w:pPr>
            <w:r>
              <w:rPr>
                <w:sz w:val="20"/>
                <w:szCs w:val="24"/>
              </w:rPr>
              <w:t>Almindelig</w:t>
            </w:r>
          </w:p>
        </w:tc>
      </w:tr>
      <w:tr w:rsidR="004762D1" w:rsidTr="004762D1">
        <w:tc>
          <w:tcPr>
            <w:tcW w:w="0" w:type="auto"/>
            <w:vMerge/>
            <w:tcBorders>
              <w:top w:val="single" w:sz="4" w:space="0" w:color="auto"/>
              <w:left w:val="single" w:sz="4" w:space="0" w:color="auto"/>
              <w:bottom w:val="single" w:sz="4" w:space="0" w:color="auto"/>
              <w:right w:val="single" w:sz="4" w:space="0" w:color="auto"/>
            </w:tcBorders>
            <w:vAlign w:val="center"/>
            <w:hideMark/>
          </w:tcPr>
          <w:p w:rsidR="004762D1" w:rsidRDefault="004762D1">
            <w:pPr>
              <w:rPr>
                <w:sz w:val="20"/>
                <w:szCs w:val="24"/>
              </w:rPr>
            </w:pPr>
          </w:p>
        </w:tc>
        <w:tc>
          <w:tcPr>
            <w:tcW w:w="2984" w:type="dxa"/>
            <w:tcBorders>
              <w:top w:val="single" w:sz="4" w:space="0" w:color="auto"/>
              <w:left w:val="single" w:sz="4" w:space="0" w:color="auto"/>
              <w:bottom w:val="single" w:sz="4" w:space="0" w:color="auto"/>
              <w:right w:val="single" w:sz="4" w:space="0" w:color="auto"/>
            </w:tcBorders>
            <w:hideMark/>
          </w:tcPr>
          <w:p w:rsidR="004762D1" w:rsidRDefault="004762D1">
            <w:pPr>
              <w:tabs>
                <w:tab w:val="left" w:pos="851"/>
              </w:tabs>
              <w:rPr>
                <w:rFonts w:eastAsia="MS Mincho"/>
                <w:sz w:val="20"/>
                <w:szCs w:val="24"/>
              </w:rPr>
            </w:pPr>
            <w:r>
              <w:rPr>
                <w:rFonts w:eastAsia="MS Mincho"/>
                <w:sz w:val="20"/>
                <w:szCs w:val="24"/>
              </w:rPr>
              <w:t>Kvalme</w:t>
            </w:r>
          </w:p>
        </w:tc>
        <w:tc>
          <w:tcPr>
            <w:tcW w:w="2802" w:type="dxa"/>
            <w:tcBorders>
              <w:top w:val="single" w:sz="4" w:space="0" w:color="auto"/>
              <w:left w:val="single" w:sz="4" w:space="0" w:color="auto"/>
              <w:bottom w:val="single" w:sz="4" w:space="0" w:color="auto"/>
              <w:right w:val="single" w:sz="4" w:space="0" w:color="auto"/>
            </w:tcBorders>
            <w:hideMark/>
          </w:tcPr>
          <w:p w:rsidR="004762D1" w:rsidRDefault="004762D1">
            <w:pPr>
              <w:tabs>
                <w:tab w:val="left" w:pos="851"/>
              </w:tabs>
              <w:rPr>
                <w:sz w:val="20"/>
                <w:szCs w:val="24"/>
              </w:rPr>
            </w:pPr>
            <w:r>
              <w:rPr>
                <w:sz w:val="20"/>
                <w:szCs w:val="24"/>
              </w:rPr>
              <w:t>Almindelig</w:t>
            </w:r>
          </w:p>
        </w:tc>
      </w:tr>
      <w:tr w:rsidR="004762D1" w:rsidTr="004762D1">
        <w:tc>
          <w:tcPr>
            <w:tcW w:w="0" w:type="auto"/>
            <w:vMerge/>
            <w:tcBorders>
              <w:top w:val="single" w:sz="4" w:space="0" w:color="auto"/>
              <w:left w:val="single" w:sz="4" w:space="0" w:color="auto"/>
              <w:bottom w:val="single" w:sz="4" w:space="0" w:color="auto"/>
              <w:right w:val="single" w:sz="4" w:space="0" w:color="auto"/>
            </w:tcBorders>
            <w:vAlign w:val="center"/>
            <w:hideMark/>
          </w:tcPr>
          <w:p w:rsidR="004762D1" w:rsidRDefault="004762D1">
            <w:pPr>
              <w:rPr>
                <w:sz w:val="20"/>
                <w:szCs w:val="24"/>
              </w:rPr>
            </w:pPr>
          </w:p>
        </w:tc>
        <w:tc>
          <w:tcPr>
            <w:tcW w:w="2984" w:type="dxa"/>
            <w:tcBorders>
              <w:top w:val="single" w:sz="4" w:space="0" w:color="auto"/>
              <w:left w:val="single" w:sz="4" w:space="0" w:color="auto"/>
              <w:bottom w:val="single" w:sz="4" w:space="0" w:color="auto"/>
              <w:right w:val="single" w:sz="4" w:space="0" w:color="auto"/>
            </w:tcBorders>
            <w:hideMark/>
          </w:tcPr>
          <w:p w:rsidR="004762D1" w:rsidRDefault="004762D1">
            <w:pPr>
              <w:tabs>
                <w:tab w:val="left" w:pos="851"/>
              </w:tabs>
              <w:rPr>
                <w:rFonts w:eastAsia="MS Mincho"/>
                <w:sz w:val="20"/>
                <w:szCs w:val="24"/>
              </w:rPr>
            </w:pPr>
            <w:r>
              <w:rPr>
                <w:rFonts w:eastAsia="MS Mincho"/>
                <w:sz w:val="20"/>
                <w:szCs w:val="24"/>
              </w:rPr>
              <w:t>Opkastning</w:t>
            </w:r>
          </w:p>
        </w:tc>
        <w:tc>
          <w:tcPr>
            <w:tcW w:w="2802" w:type="dxa"/>
            <w:tcBorders>
              <w:top w:val="single" w:sz="4" w:space="0" w:color="auto"/>
              <w:left w:val="single" w:sz="4" w:space="0" w:color="auto"/>
              <w:bottom w:val="single" w:sz="4" w:space="0" w:color="auto"/>
              <w:right w:val="single" w:sz="4" w:space="0" w:color="auto"/>
            </w:tcBorders>
            <w:hideMark/>
          </w:tcPr>
          <w:p w:rsidR="004762D1" w:rsidRDefault="004762D1">
            <w:pPr>
              <w:tabs>
                <w:tab w:val="left" w:pos="851"/>
              </w:tabs>
              <w:rPr>
                <w:sz w:val="20"/>
                <w:szCs w:val="24"/>
              </w:rPr>
            </w:pPr>
            <w:r>
              <w:rPr>
                <w:rFonts w:eastAsia="MS Mincho"/>
                <w:sz w:val="20"/>
                <w:szCs w:val="24"/>
              </w:rPr>
              <w:t xml:space="preserve">Ikke </w:t>
            </w:r>
            <w:proofErr w:type="spellStart"/>
            <w:r>
              <w:rPr>
                <w:rFonts w:eastAsia="MS Mincho"/>
                <w:sz w:val="20"/>
                <w:szCs w:val="24"/>
              </w:rPr>
              <w:t>kend</w:t>
            </w:r>
            <w:r>
              <w:rPr>
                <w:rFonts w:eastAsia="MS Mincho"/>
                <w:sz w:val="20"/>
                <w:szCs w:val="24"/>
                <w:vertAlign w:val="superscript"/>
              </w:rPr>
              <w:t>b</w:t>
            </w:r>
            <w:proofErr w:type="spellEnd"/>
          </w:p>
        </w:tc>
      </w:tr>
      <w:tr w:rsidR="004762D1" w:rsidTr="004762D1">
        <w:tc>
          <w:tcPr>
            <w:tcW w:w="2991" w:type="dxa"/>
            <w:tcBorders>
              <w:top w:val="single" w:sz="4" w:space="0" w:color="auto"/>
              <w:left w:val="single" w:sz="4" w:space="0" w:color="auto"/>
              <w:bottom w:val="single" w:sz="4" w:space="0" w:color="auto"/>
              <w:right w:val="single" w:sz="4" w:space="0" w:color="auto"/>
            </w:tcBorders>
            <w:hideMark/>
          </w:tcPr>
          <w:p w:rsidR="004762D1" w:rsidRDefault="004762D1">
            <w:pPr>
              <w:tabs>
                <w:tab w:val="left" w:pos="851"/>
              </w:tabs>
              <w:rPr>
                <w:rFonts w:eastAsia="MS Mincho"/>
                <w:sz w:val="20"/>
                <w:szCs w:val="24"/>
              </w:rPr>
            </w:pPr>
            <w:proofErr w:type="spellStart"/>
            <w:r>
              <w:rPr>
                <w:rFonts w:eastAsia="MS Mincho"/>
                <w:sz w:val="20"/>
                <w:szCs w:val="24"/>
              </w:rPr>
              <w:t>Vaskulære</w:t>
            </w:r>
            <w:proofErr w:type="spellEnd"/>
            <w:r>
              <w:rPr>
                <w:rFonts w:eastAsia="MS Mincho"/>
                <w:sz w:val="20"/>
                <w:szCs w:val="24"/>
              </w:rPr>
              <w:t xml:space="preserve"> sygdomme</w:t>
            </w:r>
          </w:p>
        </w:tc>
        <w:tc>
          <w:tcPr>
            <w:tcW w:w="2984" w:type="dxa"/>
            <w:tcBorders>
              <w:top w:val="single" w:sz="4" w:space="0" w:color="auto"/>
              <w:left w:val="single" w:sz="4" w:space="0" w:color="auto"/>
              <w:bottom w:val="single" w:sz="4" w:space="0" w:color="auto"/>
              <w:right w:val="single" w:sz="4" w:space="0" w:color="auto"/>
            </w:tcBorders>
            <w:hideMark/>
          </w:tcPr>
          <w:p w:rsidR="004762D1" w:rsidRDefault="004762D1">
            <w:pPr>
              <w:tabs>
                <w:tab w:val="left" w:pos="851"/>
              </w:tabs>
              <w:rPr>
                <w:rFonts w:eastAsia="MS Mincho"/>
                <w:sz w:val="20"/>
                <w:szCs w:val="24"/>
              </w:rPr>
            </w:pPr>
            <w:r>
              <w:rPr>
                <w:rFonts w:eastAsia="MS Mincho"/>
                <w:sz w:val="20"/>
                <w:szCs w:val="24"/>
              </w:rPr>
              <w:t>Hypertension</w:t>
            </w:r>
          </w:p>
        </w:tc>
        <w:tc>
          <w:tcPr>
            <w:tcW w:w="2802" w:type="dxa"/>
            <w:tcBorders>
              <w:top w:val="single" w:sz="4" w:space="0" w:color="auto"/>
              <w:left w:val="single" w:sz="4" w:space="0" w:color="auto"/>
              <w:bottom w:val="single" w:sz="4" w:space="0" w:color="auto"/>
              <w:right w:val="single" w:sz="4" w:space="0" w:color="auto"/>
            </w:tcBorders>
            <w:hideMark/>
          </w:tcPr>
          <w:p w:rsidR="004762D1" w:rsidRDefault="004762D1">
            <w:pPr>
              <w:tabs>
                <w:tab w:val="left" w:pos="851"/>
              </w:tabs>
              <w:rPr>
                <w:sz w:val="20"/>
                <w:szCs w:val="24"/>
              </w:rPr>
            </w:pPr>
            <w:r>
              <w:rPr>
                <w:sz w:val="20"/>
                <w:szCs w:val="24"/>
              </w:rPr>
              <w:t>Almindelig</w:t>
            </w:r>
          </w:p>
        </w:tc>
      </w:tr>
      <w:tr w:rsidR="004762D1" w:rsidTr="004762D1">
        <w:tc>
          <w:tcPr>
            <w:tcW w:w="2991" w:type="dxa"/>
            <w:tcBorders>
              <w:top w:val="single" w:sz="4" w:space="0" w:color="auto"/>
              <w:left w:val="single" w:sz="4" w:space="0" w:color="auto"/>
              <w:bottom w:val="single" w:sz="4" w:space="0" w:color="auto"/>
              <w:right w:val="single" w:sz="4" w:space="0" w:color="auto"/>
            </w:tcBorders>
            <w:hideMark/>
          </w:tcPr>
          <w:p w:rsidR="004762D1" w:rsidRDefault="004762D1">
            <w:pPr>
              <w:tabs>
                <w:tab w:val="left" w:pos="851"/>
              </w:tabs>
              <w:rPr>
                <w:rFonts w:eastAsia="MS Mincho"/>
                <w:sz w:val="20"/>
                <w:szCs w:val="24"/>
              </w:rPr>
            </w:pPr>
            <w:r>
              <w:rPr>
                <w:rFonts w:eastAsia="MS Mincho"/>
                <w:sz w:val="20"/>
                <w:szCs w:val="24"/>
              </w:rPr>
              <w:t>Almene symptomer og reaktioner på administrationsstedet</w:t>
            </w:r>
          </w:p>
        </w:tc>
        <w:tc>
          <w:tcPr>
            <w:tcW w:w="2984" w:type="dxa"/>
            <w:tcBorders>
              <w:top w:val="single" w:sz="4" w:space="0" w:color="auto"/>
              <w:left w:val="single" w:sz="4" w:space="0" w:color="auto"/>
              <w:bottom w:val="single" w:sz="4" w:space="0" w:color="auto"/>
              <w:right w:val="single" w:sz="4" w:space="0" w:color="auto"/>
            </w:tcBorders>
            <w:hideMark/>
          </w:tcPr>
          <w:p w:rsidR="004762D1" w:rsidRDefault="004762D1">
            <w:pPr>
              <w:tabs>
                <w:tab w:val="left" w:pos="851"/>
              </w:tabs>
              <w:rPr>
                <w:rFonts w:eastAsia="MS Mincho"/>
                <w:sz w:val="20"/>
                <w:szCs w:val="24"/>
              </w:rPr>
            </w:pPr>
            <w:proofErr w:type="spellStart"/>
            <w:r>
              <w:rPr>
                <w:rFonts w:eastAsia="MS Mincho"/>
                <w:sz w:val="20"/>
                <w:szCs w:val="24"/>
              </w:rPr>
              <w:t>Ekstravasation</w:t>
            </w:r>
            <w:proofErr w:type="spellEnd"/>
            <w:r>
              <w:rPr>
                <w:rFonts w:eastAsia="MS Mincho"/>
                <w:sz w:val="20"/>
                <w:szCs w:val="24"/>
              </w:rPr>
              <w:t xml:space="preserve">, som på infusionsstedet kan medføre smerter, irritation, hævelse/ødem, </w:t>
            </w:r>
            <w:proofErr w:type="spellStart"/>
            <w:r>
              <w:rPr>
                <w:rFonts w:eastAsia="MS Mincho"/>
                <w:sz w:val="20"/>
                <w:szCs w:val="24"/>
              </w:rPr>
              <w:t>erytem</w:t>
            </w:r>
            <w:proofErr w:type="spellEnd"/>
            <w:r>
              <w:rPr>
                <w:rFonts w:eastAsia="MS Mincho"/>
                <w:sz w:val="20"/>
                <w:szCs w:val="24"/>
              </w:rPr>
              <w:t>/varme, hudnekrose, blister/</w:t>
            </w:r>
            <w:proofErr w:type="spellStart"/>
            <w:r>
              <w:rPr>
                <w:rFonts w:eastAsia="MS Mincho"/>
                <w:sz w:val="20"/>
                <w:szCs w:val="24"/>
              </w:rPr>
              <w:t>vesikler</w:t>
            </w:r>
            <w:proofErr w:type="spellEnd"/>
            <w:r>
              <w:rPr>
                <w:rFonts w:eastAsia="MS Mincho"/>
                <w:sz w:val="20"/>
                <w:szCs w:val="24"/>
              </w:rPr>
              <w:t xml:space="preserve">, inflammation, </w:t>
            </w:r>
            <w:proofErr w:type="spellStart"/>
            <w:r>
              <w:rPr>
                <w:rFonts w:eastAsia="MS Mincho"/>
                <w:sz w:val="20"/>
                <w:szCs w:val="24"/>
              </w:rPr>
              <w:t>induration</w:t>
            </w:r>
            <w:proofErr w:type="spellEnd"/>
            <w:r>
              <w:rPr>
                <w:rFonts w:eastAsia="MS Mincho"/>
                <w:sz w:val="20"/>
                <w:szCs w:val="24"/>
              </w:rPr>
              <w:t>, sammentrækning af huden</w:t>
            </w:r>
          </w:p>
        </w:tc>
        <w:tc>
          <w:tcPr>
            <w:tcW w:w="2802" w:type="dxa"/>
            <w:tcBorders>
              <w:top w:val="single" w:sz="4" w:space="0" w:color="auto"/>
              <w:left w:val="single" w:sz="4" w:space="0" w:color="auto"/>
              <w:bottom w:val="single" w:sz="4" w:space="0" w:color="auto"/>
              <w:right w:val="single" w:sz="4" w:space="0" w:color="auto"/>
            </w:tcBorders>
            <w:hideMark/>
          </w:tcPr>
          <w:p w:rsidR="004762D1" w:rsidRDefault="004762D1">
            <w:pPr>
              <w:tabs>
                <w:tab w:val="left" w:pos="851"/>
              </w:tabs>
              <w:rPr>
                <w:sz w:val="20"/>
                <w:szCs w:val="24"/>
              </w:rPr>
            </w:pPr>
            <w:r>
              <w:rPr>
                <w:rFonts w:eastAsia="MS Mincho"/>
                <w:sz w:val="20"/>
                <w:szCs w:val="24"/>
              </w:rPr>
              <w:t xml:space="preserve">Ikke </w:t>
            </w:r>
            <w:proofErr w:type="spellStart"/>
            <w:r>
              <w:rPr>
                <w:rFonts w:eastAsia="MS Mincho"/>
                <w:sz w:val="20"/>
                <w:szCs w:val="24"/>
              </w:rPr>
              <w:t>kend</w:t>
            </w:r>
            <w:r>
              <w:rPr>
                <w:rFonts w:eastAsia="MS Mincho"/>
                <w:sz w:val="20"/>
                <w:szCs w:val="24"/>
                <w:vertAlign w:val="superscript"/>
              </w:rPr>
              <w:t>b</w:t>
            </w:r>
            <w:proofErr w:type="spellEnd"/>
          </w:p>
        </w:tc>
      </w:tr>
      <w:tr w:rsidR="004762D1" w:rsidTr="004762D1">
        <w:tc>
          <w:tcPr>
            <w:tcW w:w="8777" w:type="dxa"/>
            <w:gridSpan w:val="3"/>
            <w:tcBorders>
              <w:top w:val="single" w:sz="4" w:space="0" w:color="auto"/>
              <w:left w:val="single" w:sz="4" w:space="0" w:color="auto"/>
              <w:bottom w:val="single" w:sz="4" w:space="0" w:color="auto"/>
              <w:right w:val="single" w:sz="4" w:space="0" w:color="auto"/>
            </w:tcBorders>
            <w:hideMark/>
          </w:tcPr>
          <w:p w:rsidR="004762D1" w:rsidRDefault="004762D1">
            <w:pPr>
              <w:pStyle w:val="TableFootnoteLetter"/>
              <w:numPr>
                <w:ilvl w:val="0"/>
                <w:numId w:val="0"/>
              </w:numPr>
              <w:tabs>
                <w:tab w:val="left" w:pos="1304"/>
              </w:tabs>
              <w:spacing w:before="0" w:after="0"/>
              <w:rPr>
                <w:rFonts w:eastAsia="MS Mincho"/>
                <w:szCs w:val="24"/>
              </w:rPr>
            </w:pPr>
            <w:bookmarkStart w:id="8" w:name="_Ref496532388"/>
            <w:proofErr w:type="spellStart"/>
            <w:r>
              <w:rPr>
                <w:rFonts w:eastAsia="MS Mincho"/>
                <w:szCs w:val="24"/>
                <w:vertAlign w:val="superscript"/>
              </w:rPr>
              <w:t>a</w:t>
            </w:r>
            <w:r>
              <w:rPr>
                <w:rFonts w:eastAsia="MS Mincho"/>
                <w:szCs w:val="24"/>
              </w:rPr>
              <w:t>Hyppigheden</w:t>
            </w:r>
            <w:proofErr w:type="spellEnd"/>
            <w:r>
              <w:rPr>
                <w:rFonts w:eastAsia="MS Mincho"/>
                <w:szCs w:val="24"/>
              </w:rPr>
              <w:t xml:space="preserve"> er defineret som meget almindelig (≥1/10); almindelig (≥1/100 til &lt;1/10); ikke almindelig (≥1/1.000 til &lt;1/100); sjælden (≥1/10.000 til &lt;1/1.000); meget sjælden (&lt;1/10.000) eller ikke kendt (kan ikke estimeres ud fra forhåndenværende data)</w:t>
            </w:r>
            <w:bookmarkEnd w:id="8"/>
            <w:r>
              <w:rPr>
                <w:rFonts w:eastAsia="MS Mincho"/>
                <w:szCs w:val="24"/>
              </w:rPr>
              <w:t>.</w:t>
            </w:r>
          </w:p>
          <w:p w:rsidR="004762D1" w:rsidRDefault="004762D1">
            <w:pPr>
              <w:tabs>
                <w:tab w:val="left" w:pos="851"/>
              </w:tabs>
              <w:rPr>
                <w:rFonts w:eastAsia="MS Mincho"/>
                <w:sz w:val="20"/>
                <w:szCs w:val="24"/>
              </w:rPr>
            </w:pPr>
            <w:bookmarkStart w:id="9" w:name="_Ref496532396"/>
            <w:proofErr w:type="spellStart"/>
            <w:r>
              <w:rPr>
                <w:rFonts w:eastAsia="MS Mincho"/>
                <w:sz w:val="20"/>
                <w:szCs w:val="24"/>
                <w:vertAlign w:val="superscript"/>
              </w:rPr>
              <w:t>b</w:t>
            </w:r>
            <w:r>
              <w:rPr>
                <w:rFonts w:eastAsia="MS Mincho"/>
                <w:sz w:val="20"/>
                <w:szCs w:val="24"/>
              </w:rPr>
              <w:t>Bivirkninger</w:t>
            </w:r>
            <w:proofErr w:type="spellEnd"/>
            <w:r>
              <w:rPr>
                <w:rFonts w:eastAsia="MS Mincho"/>
                <w:sz w:val="20"/>
                <w:szCs w:val="24"/>
              </w:rPr>
              <w:t xml:space="preserve"> rapporteret post-marketing for </w:t>
            </w:r>
            <w:proofErr w:type="spellStart"/>
            <w:r>
              <w:rPr>
                <w:rFonts w:eastAsia="MS Mincho"/>
                <w:sz w:val="20"/>
                <w:szCs w:val="24"/>
              </w:rPr>
              <w:t>Olimel</w:t>
            </w:r>
            <w:proofErr w:type="spellEnd"/>
            <w:r>
              <w:rPr>
                <w:rFonts w:eastAsia="MS Mincho"/>
                <w:sz w:val="20"/>
                <w:szCs w:val="24"/>
              </w:rPr>
              <w:t xml:space="preserve"> N12.</w:t>
            </w:r>
            <w:bookmarkEnd w:id="9"/>
          </w:p>
        </w:tc>
      </w:tr>
    </w:tbl>
    <w:p w:rsidR="004762D1" w:rsidRDefault="004762D1" w:rsidP="004762D1">
      <w:pPr>
        <w:pStyle w:val="Sidehoved"/>
        <w:tabs>
          <w:tab w:val="left" w:pos="851"/>
        </w:tabs>
        <w:ind w:left="851"/>
        <w:rPr>
          <w:szCs w:val="24"/>
        </w:rPr>
      </w:pPr>
    </w:p>
    <w:p w:rsidR="00145BF4" w:rsidRPr="00732305" w:rsidRDefault="00145BF4" w:rsidP="00145BF4">
      <w:pPr>
        <w:pStyle w:val="Sidehoved"/>
        <w:tabs>
          <w:tab w:val="clear" w:pos="4819"/>
          <w:tab w:val="clear" w:pos="9638"/>
          <w:tab w:val="left" w:pos="851"/>
        </w:tabs>
        <w:ind w:left="851"/>
        <w:rPr>
          <w:szCs w:val="24"/>
        </w:rPr>
      </w:pPr>
      <w:r w:rsidRPr="00732305">
        <w:rPr>
          <w:szCs w:val="24"/>
        </w:rPr>
        <w:t>Følgende klasselignende bivirkninger er beskrevet i andre kilder i forbindelse med lignende parenterale ernæringsprodukter. Hyppigheden af disse bivirkninger er ikke kendt.</w:t>
      </w:r>
    </w:p>
    <w:p w:rsidR="00145BF4" w:rsidRPr="00732305" w:rsidRDefault="00145BF4" w:rsidP="00145BF4">
      <w:pPr>
        <w:pStyle w:val="Sidehoved"/>
        <w:tabs>
          <w:tab w:val="clear" w:pos="4819"/>
          <w:tab w:val="clear" w:pos="9638"/>
          <w:tab w:val="left" w:pos="851"/>
        </w:tabs>
        <w:ind w:left="851"/>
        <w:rPr>
          <w:szCs w:val="24"/>
        </w:rPr>
      </w:pPr>
    </w:p>
    <w:p w:rsidR="00145BF4" w:rsidRPr="00732305" w:rsidRDefault="00145BF4" w:rsidP="00145BF4">
      <w:pPr>
        <w:pStyle w:val="Opstilling-punkttegn2"/>
        <w:tabs>
          <w:tab w:val="clear" w:pos="1080"/>
          <w:tab w:val="num" w:pos="1211"/>
        </w:tabs>
        <w:spacing w:before="0" w:after="0" w:line="240" w:lineRule="auto"/>
        <w:ind w:left="1208" w:hanging="357"/>
      </w:pPr>
      <w:r w:rsidRPr="00732305">
        <w:t xml:space="preserve">Blod og lymfesystem: </w:t>
      </w:r>
      <w:proofErr w:type="spellStart"/>
      <w:r>
        <w:t>T</w:t>
      </w:r>
      <w:r w:rsidRPr="00732305">
        <w:t>rombocytopeni</w:t>
      </w:r>
      <w:proofErr w:type="spellEnd"/>
    </w:p>
    <w:p w:rsidR="00145BF4" w:rsidRPr="00732305" w:rsidRDefault="00145BF4" w:rsidP="00145BF4">
      <w:pPr>
        <w:pStyle w:val="Opstilling-punkttegn2"/>
        <w:tabs>
          <w:tab w:val="clear" w:pos="1080"/>
          <w:tab w:val="num" w:pos="1211"/>
        </w:tabs>
        <w:spacing w:before="0" w:after="0" w:line="240" w:lineRule="auto"/>
        <w:ind w:left="1208" w:hanging="357"/>
      </w:pPr>
      <w:r w:rsidRPr="00732305">
        <w:t xml:space="preserve">Lever og galdeveje: </w:t>
      </w:r>
      <w:proofErr w:type="spellStart"/>
      <w:r>
        <w:t>C</w:t>
      </w:r>
      <w:r w:rsidRPr="00732305">
        <w:t>holestase</w:t>
      </w:r>
      <w:proofErr w:type="spellEnd"/>
      <w:r w:rsidRPr="00732305">
        <w:t xml:space="preserve">, </w:t>
      </w:r>
      <w:proofErr w:type="spellStart"/>
      <w:r w:rsidRPr="00732305">
        <w:t>hepatomegali</w:t>
      </w:r>
      <w:proofErr w:type="spellEnd"/>
      <w:r w:rsidRPr="00732305">
        <w:t>, gulsot</w:t>
      </w:r>
    </w:p>
    <w:p w:rsidR="00145BF4" w:rsidRPr="00732305" w:rsidRDefault="00145BF4" w:rsidP="00145BF4">
      <w:pPr>
        <w:pStyle w:val="Opstilling-punkttegn2"/>
        <w:tabs>
          <w:tab w:val="clear" w:pos="1080"/>
          <w:tab w:val="num" w:pos="1211"/>
        </w:tabs>
        <w:spacing w:before="0" w:after="0" w:line="240" w:lineRule="auto"/>
        <w:ind w:left="1208" w:hanging="357"/>
      </w:pPr>
      <w:r w:rsidRPr="00732305">
        <w:t>Immunsystemet: Hypersensitivitet</w:t>
      </w:r>
    </w:p>
    <w:p w:rsidR="00145BF4" w:rsidRPr="00732305" w:rsidRDefault="00145BF4" w:rsidP="00145BF4">
      <w:pPr>
        <w:pStyle w:val="Opstilling-punkttegn2"/>
        <w:tabs>
          <w:tab w:val="clear" w:pos="1080"/>
          <w:tab w:val="num" w:pos="1211"/>
        </w:tabs>
        <w:spacing w:before="0" w:after="0" w:line="240" w:lineRule="auto"/>
        <w:ind w:left="1208" w:hanging="357"/>
      </w:pPr>
      <w:r w:rsidRPr="00732305">
        <w:t>Traumer, forgiftninger og behandlingskomplikationer: Leversygdom associeret med parenteral ernæring (se pkt. 4.4)</w:t>
      </w:r>
    </w:p>
    <w:p w:rsidR="00145BF4" w:rsidRPr="00732305" w:rsidRDefault="00145BF4" w:rsidP="00145BF4">
      <w:pPr>
        <w:pStyle w:val="Opstilling-punkttegn2"/>
        <w:tabs>
          <w:tab w:val="clear" w:pos="1080"/>
          <w:tab w:val="num" w:pos="1211"/>
        </w:tabs>
        <w:spacing w:before="0" w:after="0" w:line="240" w:lineRule="auto"/>
        <w:ind w:left="1208" w:hanging="357"/>
      </w:pPr>
      <w:r w:rsidRPr="00732305">
        <w:t xml:space="preserve">Undersøgelser: </w:t>
      </w:r>
      <w:r>
        <w:t>Ø</w:t>
      </w:r>
      <w:r w:rsidRPr="00732305">
        <w:t xml:space="preserve">get alkalisk </w:t>
      </w:r>
      <w:proofErr w:type="spellStart"/>
      <w:r w:rsidRPr="00732305">
        <w:t>phosphatase</w:t>
      </w:r>
      <w:proofErr w:type="spellEnd"/>
      <w:r w:rsidRPr="00732305">
        <w:t xml:space="preserve"> i blodet, øget </w:t>
      </w:r>
      <w:proofErr w:type="spellStart"/>
      <w:r w:rsidRPr="00732305">
        <w:t>transaminase</w:t>
      </w:r>
      <w:proofErr w:type="spellEnd"/>
      <w:r w:rsidRPr="00732305">
        <w:t>, øget bilirubin i blodet, forhøjede leverenzymer</w:t>
      </w:r>
    </w:p>
    <w:p w:rsidR="00145BF4" w:rsidRPr="00732305" w:rsidRDefault="00145BF4" w:rsidP="00145BF4">
      <w:pPr>
        <w:pStyle w:val="Opstilling-punkttegn2"/>
        <w:tabs>
          <w:tab w:val="clear" w:pos="1080"/>
          <w:tab w:val="num" w:pos="1211"/>
        </w:tabs>
        <w:spacing w:before="0" w:after="0" w:line="240" w:lineRule="auto"/>
        <w:ind w:left="1208" w:hanging="357"/>
      </w:pPr>
      <w:r w:rsidRPr="00732305">
        <w:t xml:space="preserve">Nyrer og urinveje: </w:t>
      </w:r>
      <w:proofErr w:type="spellStart"/>
      <w:r>
        <w:t>A</w:t>
      </w:r>
      <w:r w:rsidRPr="00732305">
        <w:t>zotæmi</w:t>
      </w:r>
      <w:proofErr w:type="spellEnd"/>
    </w:p>
    <w:p w:rsidR="00145BF4" w:rsidRPr="00732305" w:rsidRDefault="00145BF4" w:rsidP="00145BF4">
      <w:pPr>
        <w:pStyle w:val="Opstilling-punkttegn2"/>
        <w:tabs>
          <w:tab w:val="clear" w:pos="1080"/>
          <w:tab w:val="num" w:pos="1211"/>
        </w:tabs>
        <w:spacing w:before="0" w:after="0" w:line="240" w:lineRule="auto"/>
        <w:ind w:left="1208" w:hanging="357"/>
      </w:pPr>
      <w:proofErr w:type="spellStart"/>
      <w:r>
        <w:t>Vaskulære</w:t>
      </w:r>
      <w:proofErr w:type="spellEnd"/>
      <w:r>
        <w:t xml:space="preserve"> sygdomme: </w:t>
      </w:r>
      <w:proofErr w:type="spellStart"/>
      <w:r>
        <w:t>P</w:t>
      </w:r>
      <w:r w:rsidRPr="00732305">
        <w:t>ulmonale</w:t>
      </w:r>
      <w:proofErr w:type="spellEnd"/>
      <w:r w:rsidRPr="00732305">
        <w:t xml:space="preserve"> </w:t>
      </w:r>
      <w:proofErr w:type="spellStart"/>
      <w:r w:rsidRPr="00732305">
        <w:t>vaskulære</w:t>
      </w:r>
      <w:proofErr w:type="spellEnd"/>
      <w:r w:rsidRPr="00732305">
        <w:t xml:space="preserve"> udfældninger (</w:t>
      </w:r>
      <w:proofErr w:type="spellStart"/>
      <w:r w:rsidRPr="00732305">
        <w:t>pulmonal</w:t>
      </w:r>
      <w:proofErr w:type="spellEnd"/>
      <w:r w:rsidRPr="00732305">
        <w:t xml:space="preserve"> </w:t>
      </w:r>
      <w:proofErr w:type="spellStart"/>
      <w:r w:rsidRPr="00732305">
        <w:t>vaskulær</w:t>
      </w:r>
      <w:proofErr w:type="spellEnd"/>
      <w:r w:rsidRPr="00732305">
        <w:t xml:space="preserve"> </w:t>
      </w:r>
      <w:proofErr w:type="spellStart"/>
      <w:r w:rsidRPr="00732305">
        <w:t>embolisme</w:t>
      </w:r>
      <w:proofErr w:type="spellEnd"/>
      <w:r w:rsidRPr="00732305">
        <w:t xml:space="preserve"> og åndedrætsbesvær) (se pkt. 4.4).</w:t>
      </w:r>
    </w:p>
    <w:p w:rsidR="00145BF4" w:rsidRPr="00732305" w:rsidRDefault="00145BF4" w:rsidP="00145BF4">
      <w:pPr>
        <w:pStyle w:val="Sidehoved"/>
        <w:tabs>
          <w:tab w:val="clear" w:pos="4819"/>
          <w:tab w:val="clear" w:pos="9638"/>
          <w:tab w:val="left" w:pos="851"/>
        </w:tabs>
        <w:ind w:left="851"/>
        <w:rPr>
          <w:szCs w:val="24"/>
        </w:rPr>
      </w:pPr>
    </w:p>
    <w:p w:rsidR="00145BF4" w:rsidRPr="00732305" w:rsidRDefault="00145BF4" w:rsidP="00145BF4">
      <w:pPr>
        <w:pStyle w:val="Sidehoved"/>
        <w:tabs>
          <w:tab w:val="left" w:pos="851"/>
        </w:tabs>
        <w:ind w:left="851"/>
        <w:rPr>
          <w:i/>
          <w:iCs/>
          <w:szCs w:val="24"/>
        </w:rPr>
      </w:pPr>
      <w:r w:rsidRPr="00732305">
        <w:rPr>
          <w:i/>
          <w:iCs/>
          <w:szCs w:val="24"/>
        </w:rPr>
        <w:t>Fedtoverbelastningssyndrom (meget sjælden)</w:t>
      </w:r>
    </w:p>
    <w:p w:rsidR="00145BF4" w:rsidRPr="00732305" w:rsidRDefault="00145BF4" w:rsidP="00145BF4">
      <w:pPr>
        <w:pStyle w:val="Sidehoved"/>
        <w:tabs>
          <w:tab w:val="left" w:pos="851"/>
        </w:tabs>
        <w:ind w:left="851"/>
        <w:rPr>
          <w:szCs w:val="24"/>
        </w:rPr>
      </w:pPr>
    </w:p>
    <w:p w:rsidR="00145BF4" w:rsidRPr="00732305" w:rsidRDefault="00145BF4" w:rsidP="00145BF4">
      <w:pPr>
        <w:pStyle w:val="Sidehoved"/>
        <w:tabs>
          <w:tab w:val="left" w:pos="851"/>
        </w:tabs>
        <w:ind w:left="851"/>
        <w:rPr>
          <w:szCs w:val="24"/>
        </w:rPr>
      </w:pPr>
      <w:r w:rsidRPr="00732305">
        <w:rPr>
          <w:szCs w:val="24"/>
        </w:rPr>
        <w:t xml:space="preserve">Fedtoverbelastningssyndrom er rapporteret med lignende produkter. Dette kan skyldes en ukorrekt administration (f.eks. overdosis og/eller en infusionshastighed, som er højere end anbefalet, se pkt. 4.9). Tegn og symptomer på syndromet kan imidlertid også opstå ved begyndelsen af en infusion, når produktet indgives i henhold til instruktionerne. Den reducerede eller begrænsede evne til at </w:t>
      </w:r>
      <w:proofErr w:type="spellStart"/>
      <w:r w:rsidRPr="00732305">
        <w:rPr>
          <w:szCs w:val="24"/>
        </w:rPr>
        <w:t>metabolisere</w:t>
      </w:r>
      <w:proofErr w:type="spellEnd"/>
      <w:r w:rsidRPr="00732305">
        <w:rPr>
          <w:szCs w:val="24"/>
        </w:rPr>
        <w:t xml:space="preserve"> fedtstofferne i </w:t>
      </w:r>
      <w:proofErr w:type="spellStart"/>
      <w:r w:rsidRPr="00732305">
        <w:rPr>
          <w:szCs w:val="24"/>
        </w:rPr>
        <w:t>Olimel</w:t>
      </w:r>
      <w:proofErr w:type="spellEnd"/>
      <w:r w:rsidRPr="00732305">
        <w:rPr>
          <w:szCs w:val="24"/>
        </w:rPr>
        <w:t xml:space="preserve"> N12 kan sammen med forlænget </w:t>
      </w:r>
      <w:proofErr w:type="spellStart"/>
      <w:r w:rsidRPr="00732305">
        <w:rPr>
          <w:szCs w:val="24"/>
        </w:rPr>
        <w:t>plasmaclearance</w:t>
      </w:r>
      <w:proofErr w:type="spellEnd"/>
      <w:r w:rsidRPr="00732305">
        <w:rPr>
          <w:szCs w:val="24"/>
        </w:rPr>
        <w:t xml:space="preserve"> medføre et </w:t>
      </w:r>
      <w:r>
        <w:rPr>
          <w:szCs w:val="24"/>
        </w:rPr>
        <w:t>"</w:t>
      </w:r>
      <w:r w:rsidRPr="00732305">
        <w:rPr>
          <w:szCs w:val="24"/>
        </w:rPr>
        <w:t>fedtoverbelastningssyndrom</w:t>
      </w:r>
      <w:r>
        <w:rPr>
          <w:szCs w:val="24"/>
        </w:rPr>
        <w:t>"</w:t>
      </w:r>
      <w:r w:rsidRPr="00732305">
        <w:rPr>
          <w:szCs w:val="24"/>
        </w:rPr>
        <w:t xml:space="preserve">. Syndromet er knyttet til en pludselig forværring i patientens kliniske tilstand og er karakteriseret ved feber, anæmi, </w:t>
      </w:r>
      <w:proofErr w:type="spellStart"/>
      <w:r w:rsidRPr="00732305">
        <w:rPr>
          <w:szCs w:val="24"/>
        </w:rPr>
        <w:t>leukopeni</w:t>
      </w:r>
      <w:proofErr w:type="spellEnd"/>
      <w:r w:rsidRPr="00732305">
        <w:rPr>
          <w:szCs w:val="24"/>
        </w:rPr>
        <w:t xml:space="preserve">, </w:t>
      </w:r>
      <w:proofErr w:type="spellStart"/>
      <w:r w:rsidRPr="00732305">
        <w:rPr>
          <w:szCs w:val="24"/>
        </w:rPr>
        <w:t>trombocytopeni</w:t>
      </w:r>
      <w:proofErr w:type="spellEnd"/>
      <w:r w:rsidRPr="00732305">
        <w:rPr>
          <w:szCs w:val="24"/>
        </w:rPr>
        <w:t xml:space="preserve">, koagulationsforstyrrelser, </w:t>
      </w:r>
      <w:proofErr w:type="spellStart"/>
      <w:r w:rsidRPr="00732305">
        <w:rPr>
          <w:szCs w:val="24"/>
        </w:rPr>
        <w:t>hyperlipidæmi</w:t>
      </w:r>
      <w:proofErr w:type="spellEnd"/>
      <w:r w:rsidRPr="00732305">
        <w:rPr>
          <w:szCs w:val="24"/>
        </w:rPr>
        <w:t>, leverfedtinfiltration (</w:t>
      </w:r>
      <w:proofErr w:type="spellStart"/>
      <w:r w:rsidRPr="00732305">
        <w:rPr>
          <w:szCs w:val="24"/>
        </w:rPr>
        <w:t>hepatomegali</w:t>
      </w:r>
      <w:proofErr w:type="spellEnd"/>
      <w:r w:rsidRPr="00732305">
        <w:rPr>
          <w:szCs w:val="24"/>
        </w:rPr>
        <w:t>), nedsat leverfunktion og manifestationer i centralnervesystemet (f.eks. koma). Syndromet er som regel reversibelt, når infusionen af fedtemulsionen stoppes.</w:t>
      </w:r>
    </w:p>
    <w:p w:rsidR="00145BF4" w:rsidRPr="00732305" w:rsidRDefault="00145BF4" w:rsidP="00145BF4">
      <w:pPr>
        <w:pStyle w:val="Sidehoved"/>
        <w:tabs>
          <w:tab w:val="left" w:pos="851"/>
        </w:tabs>
        <w:ind w:left="851"/>
        <w:rPr>
          <w:szCs w:val="24"/>
        </w:rPr>
      </w:pPr>
    </w:p>
    <w:p w:rsidR="00145BF4" w:rsidRPr="00732305" w:rsidRDefault="00145BF4" w:rsidP="00145BF4">
      <w:pPr>
        <w:pStyle w:val="Sidehoved"/>
        <w:tabs>
          <w:tab w:val="left" w:pos="851"/>
        </w:tabs>
        <w:ind w:left="851"/>
        <w:rPr>
          <w:i/>
          <w:iCs/>
          <w:szCs w:val="24"/>
        </w:rPr>
      </w:pPr>
      <w:r w:rsidRPr="00732305">
        <w:rPr>
          <w:i/>
          <w:iCs/>
          <w:szCs w:val="24"/>
        </w:rPr>
        <w:t>Indberetning af formodede bivirkninger</w:t>
      </w:r>
    </w:p>
    <w:p w:rsidR="00145BF4" w:rsidRPr="00732305" w:rsidRDefault="00145BF4" w:rsidP="00145BF4">
      <w:pPr>
        <w:pStyle w:val="Sidehoved"/>
        <w:tabs>
          <w:tab w:val="clear" w:pos="4819"/>
          <w:tab w:val="clear" w:pos="9638"/>
          <w:tab w:val="left" w:pos="851"/>
        </w:tabs>
        <w:ind w:left="851"/>
        <w:rPr>
          <w:szCs w:val="24"/>
        </w:rPr>
      </w:pPr>
    </w:p>
    <w:p w:rsidR="00145BF4" w:rsidRPr="00732305" w:rsidRDefault="00145BF4" w:rsidP="00145BF4">
      <w:pPr>
        <w:pStyle w:val="Sidehoved"/>
        <w:tabs>
          <w:tab w:val="clear" w:pos="4819"/>
          <w:tab w:val="clear" w:pos="9638"/>
          <w:tab w:val="left" w:pos="851"/>
        </w:tabs>
        <w:ind w:left="851"/>
        <w:rPr>
          <w:szCs w:val="24"/>
        </w:rPr>
      </w:pPr>
      <w:r w:rsidRPr="00732305">
        <w:rPr>
          <w:szCs w:val="24"/>
        </w:rPr>
        <w:t>Når lægemidlet er godkendt, er indberetning af formodede bivirkninger vigtig. Det muliggør løbende overvågning af benefit/</w:t>
      </w:r>
      <w:proofErr w:type="spellStart"/>
      <w:r w:rsidRPr="00732305">
        <w:rPr>
          <w:szCs w:val="24"/>
        </w:rPr>
        <w:t>risk</w:t>
      </w:r>
      <w:proofErr w:type="spellEnd"/>
      <w:r w:rsidRPr="00732305">
        <w:rPr>
          <w:szCs w:val="24"/>
        </w:rPr>
        <w:t xml:space="preserve">-forholdet for lægemidlet. </w:t>
      </w:r>
      <w:r w:rsidR="004762D1">
        <w:rPr>
          <w:szCs w:val="24"/>
        </w:rPr>
        <w:t>S</w:t>
      </w:r>
      <w:r w:rsidRPr="00732305">
        <w:rPr>
          <w:szCs w:val="24"/>
        </w:rPr>
        <w:t>undhedsperson</w:t>
      </w:r>
      <w:r w:rsidR="004762D1">
        <w:rPr>
          <w:szCs w:val="24"/>
        </w:rPr>
        <w:t>er</w:t>
      </w:r>
      <w:r w:rsidRPr="00732305">
        <w:rPr>
          <w:szCs w:val="24"/>
        </w:rPr>
        <w:t xml:space="preserve"> anmodes om at indberette alle formodede bivirkninger via:</w:t>
      </w:r>
      <w:r w:rsidRPr="00732305">
        <w:rPr>
          <w:szCs w:val="24"/>
        </w:rPr>
        <w:cr/>
      </w:r>
    </w:p>
    <w:p w:rsidR="00145BF4" w:rsidRPr="00732305" w:rsidRDefault="00145BF4" w:rsidP="00145BF4">
      <w:pPr>
        <w:pStyle w:val="Sidehoved"/>
        <w:tabs>
          <w:tab w:val="left" w:pos="851"/>
        </w:tabs>
        <w:ind w:left="851"/>
        <w:rPr>
          <w:szCs w:val="24"/>
        </w:rPr>
      </w:pPr>
      <w:r w:rsidRPr="00732305">
        <w:rPr>
          <w:szCs w:val="24"/>
        </w:rPr>
        <w:lastRenderedPageBreak/>
        <w:t xml:space="preserve">Lægemiddelstyrelsen </w:t>
      </w:r>
    </w:p>
    <w:p w:rsidR="00145BF4" w:rsidRPr="00732305" w:rsidRDefault="00145BF4" w:rsidP="00145BF4">
      <w:pPr>
        <w:pStyle w:val="Sidehoved"/>
        <w:tabs>
          <w:tab w:val="left" w:pos="851"/>
        </w:tabs>
        <w:ind w:left="851"/>
        <w:rPr>
          <w:szCs w:val="24"/>
        </w:rPr>
      </w:pPr>
      <w:r w:rsidRPr="00732305">
        <w:rPr>
          <w:szCs w:val="24"/>
        </w:rPr>
        <w:t xml:space="preserve">Axel Heides Gade 1 </w:t>
      </w:r>
    </w:p>
    <w:p w:rsidR="00145BF4" w:rsidRPr="00732305" w:rsidRDefault="00145BF4" w:rsidP="00145BF4">
      <w:pPr>
        <w:pStyle w:val="Sidehoved"/>
        <w:tabs>
          <w:tab w:val="left" w:pos="851"/>
        </w:tabs>
        <w:ind w:left="851"/>
        <w:rPr>
          <w:szCs w:val="24"/>
        </w:rPr>
      </w:pPr>
      <w:r w:rsidRPr="00732305">
        <w:rPr>
          <w:szCs w:val="24"/>
        </w:rPr>
        <w:t xml:space="preserve">DK-2300 København S </w:t>
      </w:r>
    </w:p>
    <w:p w:rsidR="00145BF4" w:rsidRPr="006838EA" w:rsidRDefault="00145BF4" w:rsidP="00145BF4">
      <w:pPr>
        <w:pStyle w:val="Sidehoved"/>
        <w:tabs>
          <w:tab w:val="left" w:pos="851"/>
        </w:tabs>
        <w:ind w:left="851"/>
        <w:rPr>
          <w:szCs w:val="24"/>
        </w:rPr>
      </w:pPr>
      <w:r w:rsidRPr="006838EA">
        <w:rPr>
          <w:szCs w:val="24"/>
        </w:rPr>
        <w:t xml:space="preserve">Websted: www.meldenbivirkning.dk </w:t>
      </w:r>
    </w:p>
    <w:p w:rsidR="00145BF4" w:rsidRPr="006838EA" w:rsidRDefault="00145BF4" w:rsidP="00145BF4">
      <w:pPr>
        <w:pStyle w:val="Sidehoved"/>
        <w:tabs>
          <w:tab w:val="left" w:pos="851"/>
        </w:tabs>
        <w:ind w:left="851"/>
        <w:rPr>
          <w:szCs w:val="24"/>
        </w:rPr>
      </w:pPr>
    </w:p>
    <w:p w:rsidR="00145BF4" w:rsidRPr="00732305" w:rsidRDefault="00145BF4" w:rsidP="00145BF4">
      <w:pPr>
        <w:tabs>
          <w:tab w:val="left" w:pos="851"/>
        </w:tabs>
        <w:ind w:left="851" w:hanging="851"/>
        <w:rPr>
          <w:b/>
          <w:sz w:val="24"/>
          <w:szCs w:val="24"/>
        </w:rPr>
      </w:pPr>
      <w:r w:rsidRPr="00732305">
        <w:rPr>
          <w:b/>
          <w:sz w:val="24"/>
          <w:szCs w:val="24"/>
        </w:rPr>
        <w:t>4.9</w:t>
      </w:r>
      <w:r w:rsidRPr="00732305">
        <w:rPr>
          <w:b/>
          <w:sz w:val="24"/>
          <w:szCs w:val="24"/>
        </w:rPr>
        <w:tab/>
        <w:t>Overdosering</w:t>
      </w:r>
    </w:p>
    <w:p w:rsidR="00145BF4" w:rsidRPr="00732305" w:rsidRDefault="00145BF4" w:rsidP="00145BF4">
      <w:pPr>
        <w:tabs>
          <w:tab w:val="left" w:pos="851"/>
        </w:tabs>
        <w:ind w:left="851"/>
        <w:rPr>
          <w:sz w:val="24"/>
          <w:szCs w:val="24"/>
        </w:rPr>
      </w:pPr>
      <w:r w:rsidRPr="00732305">
        <w:rPr>
          <w:sz w:val="24"/>
          <w:szCs w:val="24"/>
        </w:rPr>
        <w:t xml:space="preserve">I tilfælde af ukorrekt indgivelse (overdosis og/eller højere infusionshastighed end anbefalet) kan der opstå kvalme, opkastning, kulderystelser, hovedpine, hedeture, </w:t>
      </w:r>
      <w:proofErr w:type="spellStart"/>
      <w:r w:rsidRPr="00732305">
        <w:rPr>
          <w:sz w:val="24"/>
          <w:szCs w:val="24"/>
        </w:rPr>
        <w:t>hyperhidrose</w:t>
      </w:r>
      <w:proofErr w:type="spellEnd"/>
      <w:r w:rsidRPr="00732305">
        <w:rPr>
          <w:sz w:val="24"/>
          <w:szCs w:val="24"/>
        </w:rPr>
        <w:t xml:space="preserve"> og elektrolytforstyrrelser samt tegn på </w:t>
      </w:r>
      <w:proofErr w:type="spellStart"/>
      <w:r w:rsidRPr="00732305">
        <w:rPr>
          <w:sz w:val="24"/>
          <w:szCs w:val="24"/>
        </w:rPr>
        <w:t>hypervolæmi</w:t>
      </w:r>
      <w:proofErr w:type="spellEnd"/>
      <w:r w:rsidRPr="00732305">
        <w:rPr>
          <w:sz w:val="24"/>
          <w:szCs w:val="24"/>
        </w:rPr>
        <w:t xml:space="preserve"> eller </w:t>
      </w:r>
      <w:proofErr w:type="spellStart"/>
      <w:r w:rsidRPr="00732305">
        <w:rPr>
          <w:sz w:val="24"/>
          <w:szCs w:val="24"/>
        </w:rPr>
        <w:t>acidose</w:t>
      </w:r>
      <w:proofErr w:type="spellEnd"/>
      <w:r w:rsidRPr="00732305">
        <w:rPr>
          <w:sz w:val="24"/>
          <w:szCs w:val="24"/>
        </w:rPr>
        <w:t xml:space="preserve">, og det kan medføre alvorlige eller dødelige konsekvenser. Hvis det sker, skal infusionen straks stoppes. Hvis det er medicinsk relevant, kan yderligere intervention være indiceret. </w:t>
      </w:r>
    </w:p>
    <w:p w:rsidR="00145BF4" w:rsidRPr="00732305" w:rsidRDefault="00145BF4" w:rsidP="00145BF4">
      <w:pPr>
        <w:tabs>
          <w:tab w:val="left" w:pos="851"/>
        </w:tabs>
        <w:ind w:left="851"/>
        <w:rPr>
          <w:sz w:val="24"/>
          <w:szCs w:val="24"/>
        </w:rPr>
      </w:pPr>
    </w:p>
    <w:p w:rsidR="00145BF4" w:rsidRPr="00732305" w:rsidRDefault="00145BF4" w:rsidP="00145BF4">
      <w:pPr>
        <w:tabs>
          <w:tab w:val="left" w:pos="851"/>
        </w:tabs>
        <w:ind w:left="851"/>
        <w:rPr>
          <w:sz w:val="24"/>
          <w:szCs w:val="24"/>
        </w:rPr>
      </w:pPr>
      <w:r w:rsidRPr="00732305">
        <w:rPr>
          <w:sz w:val="24"/>
          <w:szCs w:val="24"/>
        </w:rPr>
        <w:t xml:space="preserve">Der kan udvikles </w:t>
      </w:r>
      <w:proofErr w:type="spellStart"/>
      <w:r w:rsidRPr="00732305">
        <w:rPr>
          <w:sz w:val="24"/>
          <w:szCs w:val="24"/>
        </w:rPr>
        <w:t>hyperglykæmi</w:t>
      </w:r>
      <w:proofErr w:type="spellEnd"/>
      <w:r w:rsidRPr="00732305">
        <w:rPr>
          <w:sz w:val="24"/>
          <w:szCs w:val="24"/>
        </w:rPr>
        <w:t xml:space="preserve">, </w:t>
      </w:r>
      <w:proofErr w:type="spellStart"/>
      <w:r w:rsidRPr="00732305">
        <w:rPr>
          <w:sz w:val="24"/>
          <w:szCs w:val="24"/>
        </w:rPr>
        <w:t>glukosuri</w:t>
      </w:r>
      <w:proofErr w:type="spellEnd"/>
      <w:r w:rsidRPr="00732305">
        <w:rPr>
          <w:sz w:val="24"/>
          <w:szCs w:val="24"/>
        </w:rPr>
        <w:t xml:space="preserve"> og </w:t>
      </w:r>
      <w:proofErr w:type="spellStart"/>
      <w:r w:rsidRPr="00732305">
        <w:rPr>
          <w:sz w:val="24"/>
          <w:szCs w:val="24"/>
        </w:rPr>
        <w:t>hyperosmolært</w:t>
      </w:r>
      <w:proofErr w:type="spellEnd"/>
      <w:r w:rsidRPr="00732305">
        <w:rPr>
          <w:sz w:val="24"/>
          <w:szCs w:val="24"/>
        </w:rPr>
        <w:t xml:space="preserve"> syndrom, hvis infusionshastigheden af </w:t>
      </w:r>
      <w:proofErr w:type="spellStart"/>
      <w:r w:rsidRPr="00732305">
        <w:rPr>
          <w:sz w:val="24"/>
          <w:szCs w:val="24"/>
        </w:rPr>
        <w:t>glucose</w:t>
      </w:r>
      <w:proofErr w:type="spellEnd"/>
      <w:r w:rsidRPr="00732305">
        <w:rPr>
          <w:sz w:val="24"/>
          <w:szCs w:val="24"/>
        </w:rPr>
        <w:t xml:space="preserve"> overstiger </w:t>
      </w:r>
      <w:proofErr w:type="spellStart"/>
      <w:r w:rsidRPr="00732305">
        <w:rPr>
          <w:sz w:val="24"/>
          <w:szCs w:val="24"/>
        </w:rPr>
        <w:t>clearance</w:t>
      </w:r>
      <w:proofErr w:type="spellEnd"/>
      <w:r w:rsidRPr="00732305">
        <w:rPr>
          <w:sz w:val="24"/>
          <w:szCs w:val="24"/>
        </w:rPr>
        <w:t>.</w:t>
      </w:r>
    </w:p>
    <w:p w:rsidR="00145BF4" w:rsidRPr="00732305" w:rsidRDefault="00145BF4" w:rsidP="00145BF4">
      <w:pPr>
        <w:tabs>
          <w:tab w:val="left" w:pos="851"/>
        </w:tabs>
        <w:ind w:left="851"/>
        <w:rPr>
          <w:sz w:val="24"/>
          <w:szCs w:val="24"/>
        </w:rPr>
      </w:pPr>
    </w:p>
    <w:p w:rsidR="00145BF4" w:rsidRPr="00732305" w:rsidRDefault="00145BF4" w:rsidP="00145BF4">
      <w:pPr>
        <w:tabs>
          <w:tab w:val="left" w:pos="851"/>
        </w:tabs>
        <w:ind w:left="851"/>
        <w:rPr>
          <w:sz w:val="24"/>
          <w:szCs w:val="24"/>
        </w:rPr>
      </w:pPr>
      <w:r w:rsidRPr="00732305">
        <w:rPr>
          <w:sz w:val="24"/>
          <w:szCs w:val="24"/>
        </w:rPr>
        <w:t xml:space="preserve">Den nedsatte eller begrænsede evne til at </w:t>
      </w:r>
      <w:proofErr w:type="spellStart"/>
      <w:r w:rsidRPr="00732305">
        <w:rPr>
          <w:sz w:val="24"/>
          <w:szCs w:val="24"/>
        </w:rPr>
        <w:t>metabolisere</w:t>
      </w:r>
      <w:proofErr w:type="spellEnd"/>
      <w:r w:rsidRPr="00732305">
        <w:rPr>
          <w:sz w:val="24"/>
          <w:szCs w:val="24"/>
        </w:rPr>
        <w:t xml:space="preserve"> fedt kan føre til et </w:t>
      </w:r>
      <w:r>
        <w:rPr>
          <w:sz w:val="24"/>
          <w:szCs w:val="24"/>
        </w:rPr>
        <w:t>"</w:t>
      </w:r>
      <w:r w:rsidRPr="00732305">
        <w:rPr>
          <w:sz w:val="24"/>
          <w:szCs w:val="24"/>
        </w:rPr>
        <w:t>fedtoverbelastningssyndrom</w:t>
      </w:r>
      <w:r>
        <w:rPr>
          <w:sz w:val="24"/>
          <w:szCs w:val="24"/>
        </w:rPr>
        <w:t>"</w:t>
      </w:r>
      <w:r w:rsidRPr="00732305">
        <w:rPr>
          <w:sz w:val="24"/>
          <w:szCs w:val="24"/>
        </w:rPr>
        <w:t>, hvis virkninger sædvanligvis er reversible, når fedtinfusionen stoppes (se også pkt. 4.8).</w:t>
      </w:r>
    </w:p>
    <w:p w:rsidR="00145BF4" w:rsidRPr="00732305" w:rsidRDefault="00145BF4" w:rsidP="00145BF4">
      <w:pPr>
        <w:tabs>
          <w:tab w:val="left" w:pos="851"/>
        </w:tabs>
        <w:ind w:left="851"/>
        <w:rPr>
          <w:sz w:val="24"/>
          <w:szCs w:val="24"/>
        </w:rPr>
      </w:pPr>
    </w:p>
    <w:p w:rsidR="00145BF4" w:rsidRPr="00732305" w:rsidRDefault="00145BF4" w:rsidP="00145BF4">
      <w:pPr>
        <w:tabs>
          <w:tab w:val="left" w:pos="851"/>
        </w:tabs>
        <w:ind w:left="851"/>
        <w:rPr>
          <w:sz w:val="24"/>
          <w:szCs w:val="24"/>
        </w:rPr>
      </w:pPr>
      <w:r w:rsidRPr="00732305">
        <w:rPr>
          <w:sz w:val="24"/>
          <w:szCs w:val="24"/>
        </w:rPr>
        <w:t xml:space="preserve">I nogle alvorlige situationer kan hæmodialyse, </w:t>
      </w:r>
      <w:proofErr w:type="spellStart"/>
      <w:r w:rsidRPr="00732305">
        <w:rPr>
          <w:sz w:val="24"/>
          <w:szCs w:val="24"/>
        </w:rPr>
        <w:t>hæmofiltrering</w:t>
      </w:r>
      <w:proofErr w:type="spellEnd"/>
      <w:r w:rsidRPr="00732305">
        <w:rPr>
          <w:sz w:val="24"/>
          <w:szCs w:val="24"/>
        </w:rPr>
        <w:t xml:space="preserve"> eller </w:t>
      </w:r>
      <w:proofErr w:type="spellStart"/>
      <w:r w:rsidRPr="00732305">
        <w:rPr>
          <w:sz w:val="24"/>
          <w:szCs w:val="24"/>
        </w:rPr>
        <w:t>hæmodiafiltrering</w:t>
      </w:r>
      <w:proofErr w:type="spellEnd"/>
      <w:r w:rsidRPr="00732305">
        <w:rPr>
          <w:sz w:val="24"/>
          <w:szCs w:val="24"/>
        </w:rPr>
        <w:t xml:space="preserve"> være nødvendig.</w:t>
      </w:r>
    </w:p>
    <w:p w:rsidR="00145BF4" w:rsidRPr="00732305" w:rsidRDefault="00145BF4" w:rsidP="00145BF4">
      <w:pPr>
        <w:tabs>
          <w:tab w:val="left" w:pos="851"/>
        </w:tabs>
        <w:ind w:left="851"/>
        <w:rPr>
          <w:sz w:val="24"/>
          <w:szCs w:val="24"/>
        </w:rPr>
      </w:pPr>
    </w:p>
    <w:p w:rsidR="00145BF4" w:rsidRPr="00732305" w:rsidRDefault="00145BF4" w:rsidP="00145BF4">
      <w:pPr>
        <w:tabs>
          <w:tab w:val="left" w:pos="851"/>
        </w:tabs>
        <w:ind w:left="851" w:hanging="851"/>
        <w:rPr>
          <w:b/>
          <w:sz w:val="24"/>
          <w:szCs w:val="24"/>
        </w:rPr>
      </w:pPr>
      <w:r w:rsidRPr="00732305">
        <w:rPr>
          <w:b/>
          <w:sz w:val="24"/>
          <w:szCs w:val="24"/>
        </w:rPr>
        <w:t>4.10</w:t>
      </w:r>
      <w:r w:rsidRPr="00732305">
        <w:rPr>
          <w:b/>
          <w:sz w:val="24"/>
          <w:szCs w:val="24"/>
        </w:rPr>
        <w:tab/>
        <w:t>Udlevering</w:t>
      </w:r>
    </w:p>
    <w:p w:rsidR="00145BF4" w:rsidRPr="00732305" w:rsidRDefault="00145BF4" w:rsidP="00145BF4">
      <w:pPr>
        <w:tabs>
          <w:tab w:val="left" w:pos="851"/>
        </w:tabs>
        <w:ind w:left="851"/>
        <w:rPr>
          <w:sz w:val="24"/>
          <w:szCs w:val="24"/>
        </w:rPr>
      </w:pPr>
      <w:r>
        <w:rPr>
          <w:sz w:val="24"/>
          <w:szCs w:val="24"/>
        </w:rPr>
        <w:t>B</w:t>
      </w:r>
    </w:p>
    <w:p w:rsidR="00145BF4" w:rsidRPr="00732305" w:rsidRDefault="00145BF4" w:rsidP="00145BF4">
      <w:pPr>
        <w:tabs>
          <w:tab w:val="left" w:pos="851"/>
        </w:tabs>
        <w:ind w:left="851"/>
        <w:rPr>
          <w:sz w:val="24"/>
          <w:szCs w:val="24"/>
        </w:rPr>
      </w:pPr>
    </w:p>
    <w:p w:rsidR="00145BF4" w:rsidRPr="00732305" w:rsidRDefault="00145BF4" w:rsidP="00145BF4">
      <w:pPr>
        <w:tabs>
          <w:tab w:val="left" w:pos="851"/>
        </w:tabs>
        <w:ind w:left="851"/>
        <w:rPr>
          <w:sz w:val="24"/>
          <w:szCs w:val="24"/>
        </w:rPr>
      </w:pPr>
    </w:p>
    <w:p w:rsidR="00145BF4" w:rsidRPr="00732305" w:rsidRDefault="00145BF4" w:rsidP="00145BF4">
      <w:pPr>
        <w:tabs>
          <w:tab w:val="left" w:pos="851"/>
        </w:tabs>
        <w:ind w:left="851" w:hanging="851"/>
        <w:rPr>
          <w:b/>
          <w:sz w:val="24"/>
          <w:szCs w:val="24"/>
        </w:rPr>
      </w:pPr>
      <w:r w:rsidRPr="00732305">
        <w:rPr>
          <w:b/>
          <w:sz w:val="24"/>
          <w:szCs w:val="24"/>
        </w:rPr>
        <w:t>5.</w:t>
      </w:r>
      <w:r w:rsidRPr="00732305">
        <w:rPr>
          <w:b/>
          <w:sz w:val="24"/>
          <w:szCs w:val="24"/>
        </w:rPr>
        <w:tab/>
        <w:t>FARMAKOLOGISKE EGENSKABER</w:t>
      </w:r>
    </w:p>
    <w:p w:rsidR="00145BF4" w:rsidRPr="00732305" w:rsidRDefault="00145BF4" w:rsidP="00145BF4">
      <w:pPr>
        <w:tabs>
          <w:tab w:val="left" w:pos="851"/>
        </w:tabs>
        <w:ind w:left="851"/>
        <w:rPr>
          <w:sz w:val="24"/>
          <w:szCs w:val="24"/>
        </w:rPr>
      </w:pPr>
    </w:p>
    <w:p w:rsidR="00145BF4" w:rsidRPr="00732305" w:rsidRDefault="00145BF4" w:rsidP="00145BF4">
      <w:pPr>
        <w:tabs>
          <w:tab w:val="num" w:pos="851"/>
        </w:tabs>
        <w:ind w:left="851" w:hanging="851"/>
        <w:rPr>
          <w:b/>
          <w:sz w:val="24"/>
          <w:szCs w:val="24"/>
        </w:rPr>
      </w:pPr>
      <w:r w:rsidRPr="00732305">
        <w:rPr>
          <w:b/>
          <w:sz w:val="24"/>
          <w:szCs w:val="24"/>
        </w:rPr>
        <w:t>5.1</w:t>
      </w:r>
      <w:r w:rsidRPr="00732305">
        <w:rPr>
          <w:b/>
          <w:sz w:val="24"/>
          <w:szCs w:val="24"/>
        </w:rPr>
        <w:tab/>
      </w:r>
      <w:proofErr w:type="spellStart"/>
      <w:r w:rsidRPr="00732305">
        <w:rPr>
          <w:b/>
          <w:sz w:val="24"/>
          <w:szCs w:val="24"/>
        </w:rPr>
        <w:t>Farmakodynamiske</w:t>
      </w:r>
      <w:proofErr w:type="spellEnd"/>
      <w:r w:rsidRPr="00732305">
        <w:rPr>
          <w:b/>
          <w:sz w:val="24"/>
          <w:szCs w:val="24"/>
        </w:rPr>
        <w:t xml:space="preserve"> egenskaber</w:t>
      </w:r>
    </w:p>
    <w:p w:rsidR="00BF57C2" w:rsidRDefault="00BF57C2" w:rsidP="00145BF4">
      <w:pPr>
        <w:tabs>
          <w:tab w:val="left" w:pos="851"/>
        </w:tabs>
        <w:ind w:left="851"/>
        <w:rPr>
          <w:sz w:val="24"/>
          <w:szCs w:val="24"/>
        </w:rPr>
      </w:pPr>
      <w:proofErr w:type="spellStart"/>
      <w:r w:rsidRPr="00C922B2">
        <w:rPr>
          <w:sz w:val="24"/>
          <w:szCs w:val="24"/>
        </w:rPr>
        <w:t>Farmakoterapeutisk</w:t>
      </w:r>
      <w:proofErr w:type="spellEnd"/>
      <w:r w:rsidRPr="00C922B2">
        <w:rPr>
          <w:sz w:val="24"/>
          <w:szCs w:val="24"/>
        </w:rPr>
        <w:t xml:space="preserve"> klassifikation:</w:t>
      </w:r>
      <w:r>
        <w:rPr>
          <w:sz w:val="24"/>
          <w:szCs w:val="24"/>
        </w:rPr>
        <w:t xml:space="preserve"> </w:t>
      </w:r>
      <w:r w:rsidRPr="00732305">
        <w:rPr>
          <w:sz w:val="24"/>
          <w:szCs w:val="24"/>
        </w:rPr>
        <w:t>løsninger til par</w:t>
      </w:r>
      <w:r>
        <w:rPr>
          <w:sz w:val="24"/>
          <w:szCs w:val="24"/>
        </w:rPr>
        <w:t>enteral ernæring/kombinationer.</w:t>
      </w:r>
    </w:p>
    <w:p w:rsidR="00BF57C2" w:rsidRDefault="00BF57C2" w:rsidP="00145BF4">
      <w:pPr>
        <w:tabs>
          <w:tab w:val="left" w:pos="851"/>
        </w:tabs>
        <w:ind w:left="851"/>
        <w:rPr>
          <w:sz w:val="24"/>
          <w:szCs w:val="24"/>
        </w:rPr>
      </w:pPr>
      <w:r w:rsidRPr="00732305">
        <w:rPr>
          <w:sz w:val="24"/>
          <w:szCs w:val="24"/>
        </w:rPr>
        <w:t>ATC-kode: B</w:t>
      </w:r>
      <w:r>
        <w:rPr>
          <w:sz w:val="24"/>
          <w:szCs w:val="24"/>
        </w:rPr>
        <w:t xml:space="preserve"> </w:t>
      </w:r>
      <w:r w:rsidRPr="00732305">
        <w:rPr>
          <w:sz w:val="24"/>
          <w:szCs w:val="24"/>
        </w:rPr>
        <w:t>05</w:t>
      </w:r>
      <w:r>
        <w:rPr>
          <w:sz w:val="24"/>
          <w:szCs w:val="24"/>
        </w:rPr>
        <w:t xml:space="preserve"> </w:t>
      </w:r>
      <w:r w:rsidRPr="00732305">
        <w:rPr>
          <w:sz w:val="24"/>
          <w:szCs w:val="24"/>
        </w:rPr>
        <w:t>BA</w:t>
      </w:r>
      <w:r>
        <w:rPr>
          <w:sz w:val="24"/>
          <w:szCs w:val="24"/>
        </w:rPr>
        <w:t xml:space="preserve"> </w:t>
      </w:r>
      <w:r w:rsidRPr="00732305">
        <w:rPr>
          <w:sz w:val="24"/>
          <w:szCs w:val="24"/>
        </w:rPr>
        <w:t>10.</w:t>
      </w:r>
    </w:p>
    <w:p w:rsidR="00BF57C2" w:rsidRDefault="00BF57C2" w:rsidP="00145BF4">
      <w:pPr>
        <w:tabs>
          <w:tab w:val="left" w:pos="851"/>
        </w:tabs>
        <w:ind w:left="851"/>
        <w:rPr>
          <w:sz w:val="24"/>
          <w:szCs w:val="24"/>
        </w:rPr>
      </w:pPr>
    </w:p>
    <w:p w:rsidR="00145BF4" w:rsidRPr="00732305" w:rsidRDefault="00145BF4" w:rsidP="00145BF4">
      <w:pPr>
        <w:tabs>
          <w:tab w:val="left" w:pos="851"/>
        </w:tabs>
        <w:ind w:left="851"/>
        <w:rPr>
          <w:sz w:val="24"/>
          <w:szCs w:val="24"/>
        </w:rPr>
      </w:pPr>
      <w:r w:rsidRPr="00732305">
        <w:rPr>
          <w:sz w:val="24"/>
          <w:szCs w:val="24"/>
        </w:rPr>
        <w:t>Indholdet af nitrogen (aminosyrer i L-serien) og energi (</w:t>
      </w:r>
      <w:proofErr w:type="spellStart"/>
      <w:r w:rsidRPr="00732305">
        <w:rPr>
          <w:sz w:val="24"/>
          <w:szCs w:val="24"/>
        </w:rPr>
        <w:t>glucose</w:t>
      </w:r>
      <w:proofErr w:type="spellEnd"/>
      <w:r w:rsidRPr="00732305">
        <w:rPr>
          <w:sz w:val="24"/>
          <w:szCs w:val="24"/>
        </w:rPr>
        <w:t xml:space="preserve"> og triglycerider) i </w:t>
      </w:r>
      <w:proofErr w:type="spellStart"/>
      <w:r w:rsidRPr="00732305">
        <w:rPr>
          <w:sz w:val="24"/>
          <w:szCs w:val="24"/>
        </w:rPr>
        <w:t>Olimel</w:t>
      </w:r>
      <w:proofErr w:type="spellEnd"/>
      <w:r w:rsidRPr="00732305">
        <w:rPr>
          <w:sz w:val="24"/>
          <w:szCs w:val="24"/>
        </w:rPr>
        <w:t xml:space="preserve"> N12 gør det muligt at opretholde en passende nitrogen-/energibalance.</w:t>
      </w:r>
    </w:p>
    <w:p w:rsidR="00145BF4" w:rsidRPr="00732305" w:rsidRDefault="00145BF4" w:rsidP="00145BF4">
      <w:pPr>
        <w:tabs>
          <w:tab w:val="left" w:pos="851"/>
        </w:tabs>
        <w:ind w:left="851"/>
        <w:rPr>
          <w:sz w:val="24"/>
          <w:szCs w:val="24"/>
        </w:rPr>
      </w:pPr>
    </w:p>
    <w:p w:rsidR="00145BF4" w:rsidRPr="00732305" w:rsidRDefault="00145BF4" w:rsidP="00145BF4">
      <w:pPr>
        <w:tabs>
          <w:tab w:val="left" w:pos="851"/>
        </w:tabs>
        <w:ind w:left="851"/>
        <w:rPr>
          <w:sz w:val="24"/>
          <w:szCs w:val="24"/>
        </w:rPr>
      </w:pPr>
      <w:r w:rsidRPr="00732305">
        <w:rPr>
          <w:sz w:val="24"/>
          <w:szCs w:val="24"/>
        </w:rPr>
        <w:t>Formuleringen uden elektrolytter gør det muligt at tilpasse den individuelle indtagelse af elektrolytter, så den opfylder specifikke behov.</w:t>
      </w:r>
    </w:p>
    <w:p w:rsidR="00145BF4" w:rsidRPr="00732305" w:rsidRDefault="00145BF4" w:rsidP="00145BF4">
      <w:pPr>
        <w:tabs>
          <w:tab w:val="left" w:pos="851"/>
        </w:tabs>
        <w:ind w:left="851"/>
        <w:rPr>
          <w:sz w:val="24"/>
          <w:szCs w:val="24"/>
        </w:rPr>
      </w:pPr>
    </w:p>
    <w:p w:rsidR="00145BF4" w:rsidRPr="00732305" w:rsidRDefault="00145BF4" w:rsidP="00145BF4">
      <w:pPr>
        <w:tabs>
          <w:tab w:val="left" w:pos="851"/>
        </w:tabs>
        <w:ind w:left="851"/>
        <w:rPr>
          <w:sz w:val="24"/>
          <w:szCs w:val="24"/>
        </w:rPr>
      </w:pPr>
      <w:r w:rsidRPr="00732305">
        <w:rPr>
          <w:sz w:val="24"/>
          <w:szCs w:val="24"/>
        </w:rPr>
        <w:t xml:space="preserve">Fedtemulsionen i </w:t>
      </w:r>
      <w:proofErr w:type="spellStart"/>
      <w:r w:rsidRPr="00732305">
        <w:rPr>
          <w:sz w:val="24"/>
          <w:szCs w:val="24"/>
        </w:rPr>
        <w:t>Olimel</w:t>
      </w:r>
      <w:proofErr w:type="spellEnd"/>
      <w:r w:rsidRPr="00732305">
        <w:rPr>
          <w:sz w:val="24"/>
          <w:szCs w:val="24"/>
        </w:rPr>
        <w:t xml:space="preserve"> N12 er en blanding af olivenolie, renset, og sojaolie, renset (forhold 80/20), med følgende tilnærmelsesvise fordeling af fedtsyrer:</w:t>
      </w:r>
    </w:p>
    <w:p w:rsidR="00145BF4" w:rsidRPr="00732305" w:rsidRDefault="00145BF4" w:rsidP="00145BF4">
      <w:pPr>
        <w:tabs>
          <w:tab w:val="left" w:pos="851"/>
        </w:tabs>
        <w:ind w:left="851"/>
        <w:rPr>
          <w:sz w:val="24"/>
          <w:szCs w:val="24"/>
        </w:rPr>
      </w:pPr>
    </w:p>
    <w:p w:rsidR="00145BF4" w:rsidRPr="00732305" w:rsidRDefault="00145BF4" w:rsidP="00145BF4">
      <w:pPr>
        <w:pStyle w:val="Opstilling-punkttegn2"/>
        <w:tabs>
          <w:tab w:val="clear" w:pos="1080"/>
          <w:tab w:val="num" w:pos="1211"/>
        </w:tabs>
        <w:spacing w:before="0" w:after="0" w:line="240" w:lineRule="auto"/>
        <w:ind w:left="1208" w:hanging="357"/>
      </w:pPr>
      <w:r w:rsidRPr="00732305">
        <w:t>15 % mættede fedtsyrer (SFA)</w:t>
      </w:r>
    </w:p>
    <w:p w:rsidR="00145BF4" w:rsidRPr="00732305" w:rsidRDefault="00145BF4" w:rsidP="00145BF4">
      <w:pPr>
        <w:pStyle w:val="Opstilling-punkttegn2"/>
        <w:tabs>
          <w:tab w:val="clear" w:pos="1080"/>
          <w:tab w:val="num" w:pos="1211"/>
        </w:tabs>
        <w:spacing w:before="0" w:after="0" w:line="240" w:lineRule="auto"/>
        <w:ind w:left="1208" w:hanging="357"/>
      </w:pPr>
      <w:r w:rsidRPr="00732305">
        <w:t>65 % monoumættede fedtsyrer (MUFA)</w:t>
      </w:r>
    </w:p>
    <w:p w:rsidR="00145BF4" w:rsidRPr="00732305" w:rsidRDefault="00145BF4" w:rsidP="00145BF4">
      <w:pPr>
        <w:pStyle w:val="Opstilling-punkttegn2"/>
        <w:tabs>
          <w:tab w:val="clear" w:pos="1080"/>
          <w:tab w:val="num" w:pos="1211"/>
        </w:tabs>
        <w:spacing w:before="0" w:after="0" w:line="240" w:lineRule="auto"/>
        <w:ind w:left="1208" w:hanging="357"/>
      </w:pPr>
      <w:r w:rsidRPr="00732305">
        <w:t>20 % essentielle polyumættede fedtsyrer (PUFA).</w:t>
      </w:r>
    </w:p>
    <w:p w:rsidR="00145BF4" w:rsidRPr="00732305" w:rsidRDefault="00145BF4" w:rsidP="00145BF4">
      <w:pPr>
        <w:tabs>
          <w:tab w:val="left" w:pos="851"/>
        </w:tabs>
        <w:ind w:left="851"/>
        <w:rPr>
          <w:sz w:val="24"/>
          <w:szCs w:val="24"/>
        </w:rPr>
      </w:pPr>
    </w:p>
    <w:p w:rsidR="00145BF4" w:rsidRPr="00732305" w:rsidRDefault="00145BF4" w:rsidP="00145BF4">
      <w:pPr>
        <w:tabs>
          <w:tab w:val="left" w:pos="851"/>
        </w:tabs>
        <w:ind w:left="851"/>
        <w:rPr>
          <w:sz w:val="24"/>
          <w:szCs w:val="24"/>
        </w:rPr>
      </w:pPr>
      <w:r w:rsidRPr="00732305">
        <w:rPr>
          <w:sz w:val="24"/>
          <w:szCs w:val="24"/>
        </w:rPr>
        <w:t xml:space="preserve">Forholdet </w:t>
      </w:r>
      <w:proofErr w:type="spellStart"/>
      <w:r w:rsidRPr="00732305">
        <w:rPr>
          <w:sz w:val="24"/>
          <w:szCs w:val="24"/>
        </w:rPr>
        <w:t>phospholipid</w:t>
      </w:r>
      <w:proofErr w:type="spellEnd"/>
      <w:r w:rsidRPr="00732305">
        <w:rPr>
          <w:sz w:val="24"/>
          <w:szCs w:val="24"/>
        </w:rPr>
        <w:t>/triglycerid er 0,06.</w:t>
      </w:r>
    </w:p>
    <w:p w:rsidR="00145BF4" w:rsidRPr="00732305" w:rsidRDefault="00145BF4" w:rsidP="00145BF4">
      <w:pPr>
        <w:tabs>
          <w:tab w:val="left" w:pos="851"/>
        </w:tabs>
        <w:ind w:left="851"/>
        <w:rPr>
          <w:sz w:val="24"/>
          <w:szCs w:val="24"/>
        </w:rPr>
      </w:pPr>
    </w:p>
    <w:p w:rsidR="00145BF4" w:rsidRPr="00732305" w:rsidRDefault="00145BF4" w:rsidP="00145BF4">
      <w:pPr>
        <w:tabs>
          <w:tab w:val="left" w:pos="851"/>
        </w:tabs>
        <w:ind w:left="851"/>
        <w:rPr>
          <w:sz w:val="24"/>
          <w:szCs w:val="24"/>
        </w:rPr>
      </w:pPr>
      <w:r w:rsidRPr="00732305">
        <w:rPr>
          <w:sz w:val="24"/>
          <w:szCs w:val="24"/>
        </w:rPr>
        <w:t>Olivenolie indeholder betydelige mængder af alfa-</w:t>
      </w:r>
      <w:proofErr w:type="spellStart"/>
      <w:r w:rsidRPr="00732305">
        <w:rPr>
          <w:sz w:val="24"/>
          <w:szCs w:val="24"/>
        </w:rPr>
        <w:t>tocopherol</w:t>
      </w:r>
      <w:proofErr w:type="spellEnd"/>
      <w:r w:rsidRPr="00732305">
        <w:rPr>
          <w:sz w:val="24"/>
          <w:szCs w:val="24"/>
        </w:rPr>
        <w:t xml:space="preserve">, som kombineret med et moderat PUFA-indtag er med til at forbedre status af vitamin E og nedsætte </w:t>
      </w:r>
      <w:proofErr w:type="spellStart"/>
      <w:r w:rsidRPr="00732305">
        <w:rPr>
          <w:sz w:val="24"/>
          <w:szCs w:val="24"/>
        </w:rPr>
        <w:t>lipidperoxidation</w:t>
      </w:r>
      <w:proofErr w:type="spellEnd"/>
      <w:r w:rsidRPr="00732305">
        <w:rPr>
          <w:sz w:val="24"/>
          <w:szCs w:val="24"/>
        </w:rPr>
        <w:t>.</w:t>
      </w:r>
    </w:p>
    <w:p w:rsidR="00145BF4" w:rsidRPr="00732305" w:rsidRDefault="00145BF4" w:rsidP="00145BF4">
      <w:pPr>
        <w:tabs>
          <w:tab w:val="left" w:pos="851"/>
        </w:tabs>
        <w:ind w:left="851"/>
        <w:rPr>
          <w:sz w:val="24"/>
          <w:szCs w:val="24"/>
        </w:rPr>
      </w:pPr>
    </w:p>
    <w:p w:rsidR="00145BF4" w:rsidRPr="00732305" w:rsidRDefault="00145BF4" w:rsidP="00145BF4">
      <w:pPr>
        <w:tabs>
          <w:tab w:val="left" w:pos="851"/>
        </w:tabs>
        <w:ind w:left="851"/>
        <w:rPr>
          <w:sz w:val="24"/>
          <w:szCs w:val="24"/>
        </w:rPr>
      </w:pPr>
      <w:r w:rsidRPr="00732305">
        <w:rPr>
          <w:sz w:val="24"/>
          <w:szCs w:val="24"/>
        </w:rPr>
        <w:lastRenderedPageBreak/>
        <w:t>Aminosyreopløsningen indeholder 17 aminosyrer i L-serien (inkl. 8 essentielle aminosyrer), som er påkrævet til proteinsyntesen.</w:t>
      </w:r>
    </w:p>
    <w:p w:rsidR="00145BF4" w:rsidRPr="00732305" w:rsidRDefault="00145BF4" w:rsidP="00145BF4">
      <w:pPr>
        <w:tabs>
          <w:tab w:val="left" w:pos="851"/>
        </w:tabs>
        <w:ind w:left="851"/>
        <w:rPr>
          <w:sz w:val="24"/>
          <w:szCs w:val="24"/>
        </w:rPr>
      </w:pPr>
    </w:p>
    <w:p w:rsidR="00145BF4" w:rsidRPr="00732305" w:rsidRDefault="00145BF4" w:rsidP="00145BF4">
      <w:pPr>
        <w:tabs>
          <w:tab w:val="left" w:pos="851"/>
        </w:tabs>
        <w:ind w:left="851"/>
        <w:rPr>
          <w:sz w:val="24"/>
          <w:szCs w:val="24"/>
        </w:rPr>
      </w:pPr>
      <w:r w:rsidRPr="00732305">
        <w:rPr>
          <w:sz w:val="24"/>
          <w:szCs w:val="24"/>
        </w:rPr>
        <w:t>Aminosyrer er også en energikilde, idet deres oxidering medfører en udskillelse af nitrogen i form af urinstof.</w:t>
      </w:r>
    </w:p>
    <w:p w:rsidR="00145BF4" w:rsidRPr="00732305" w:rsidRDefault="00145BF4" w:rsidP="00145BF4">
      <w:pPr>
        <w:tabs>
          <w:tab w:val="left" w:pos="851"/>
        </w:tabs>
        <w:ind w:left="851"/>
        <w:rPr>
          <w:sz w:val="24"/>
          <w:szCs w:val="24"/>
        </w:rPr>
      </w:pPr>
    </w:p>
    <w:p w:rsidR="00145BF4" w:rsidRPr="00732305" w:rsidRDefault="00145BF4" w:rsidP="00145BF4">
      <w:pPr>
        <w:tabs>
          <w:tab w:val="left" w:pos="851"/>
        </w:tabs>
        <w:ind w:left="851"/>
        <w:rPr>
          <w:sz w:val="24"/>
          <w:szCs w:val="24"/>
        </w:rPr>
      </w:pPr>
      <w:r w:rsidRPr="00732305">
        <w:rPr>
          <w:sz w:val="24"/>
          <w:szCs w:val="24"/>
        </w:rPr>
        <w:t>Aminosyreprofilen er følgende:</w:t>
      </w:r>
    </w:p>
    <w:p w:rsidR="00145BF4" w:rsidRPr="00732305" w:rsidRDefault="00145BF4" w:rsidP="00145BF4">
      <w:pPr>
        <w:tabs>
          <w:tab w:val="left" w:pos="851"/>
        </w:tabs>
        <w:ind w:left="851"/>
        <w:rPr>
          <w:sz w:val="24"/>
          <w:szCs w:val="24"/>
        </w:rPr>
      </w:pPr>
    </w:p>
    <w:p w:rsidR="00145BF4" w:rsidRPr="00732305" w:rsidRDefault="00145BF4" w:rsidP="00145BF4">
      <w:pPr>
        <w:pStyle w:val="Opstilling-punkttegn2"/>
        <w:tabs>
          <w:tab w:val="clear" w:pos="1080"/>
          <w:tab w:val="num" w:pos="1211"/>
        </w:tabs>
        <w:spacing w:before="0" w:after="0" w:line="240" w:lineRule="auto"/>
        <w:ind w:left="1208" w:hanging="357"/>
      </w:pPr>
      <w:r w:rsidRPr="00732305">
        <w:t>Essentielle aminosyrer/aminosyrer i alt: 44,8 %</w:t>
      </w:r>
    </w:p>
    <w:p w:rsidR="00145BF4" w:rsidRPr="00732305" w:rsidRDefault="00145BF4" w:rsidP="00145BF4">
      <w:pPr>
        <w:pStyle w:val="Opstilling-punkttegn2"/>
        <w:tabs>
          <w:tab w:val="clear" w:pos="1080"/>
          <w:tab w:val="num" w:pos="1211"/>
        </w:tabs>
        <w:spacing w:before="0" w:after="0" w:line="240" w:lineRule="auto"/>
        <w:ind w:left="1208" w:hanging="357"/>
      </w:pPr>
      <w:r w:rsidRPr="00732305">
        <w:t>Essentielle aminosyrer (g)/nitrogen (g) i alt: 2,8 %</w:t>
      </w:r>
    </w:p>
    <w:p w:rsidR="00145BF4" w:rsidRPr="00732305" w:rsidRDefault="00145BF4" w:rsidP="00145BF4">
      <w:pPr>
        <w:pStyle w:val="Opstilling-punkttegn2"/>
        <w:tabs>
          <w:tab w:val="clear" w:pos="1080"/>
          <w:tab w:val="num" w:pos="1211"/>
        </w:tabs>
        <w:spacing w:before="0" w:after="0" w:line="240" w:lineRule="auto"/>
        <w:ind w:left="1208" w:hanging="357"/>
      </w:pPr>
      <w:r w:rsidRPr="00732305">
        <w:t>Forgrenede aminosyrer/aminosyrer i alt: 18,3 %.</w:t>
      </w:r>
    </w:p>
    <w:p w:rsidR="00145BF4" w:rsidRPr="00732305" w:rsidRDefault="00145BF4" w:rsidP="00145BF4">
      <w:pPr>
        <w:tabs>
          <w:tab w:val="left" w:pos="851"/>
        </w:tabs>
        <w:ind w:left="851"/>
        <w:rPr>
          <w:sz w:val="24"/>
          <w:szCs w:val="24"/>
        </w:rPr>
      </w:pPr>
    </w:p>
    <w:p w:rsidR="00145BF4" w:rsidRPr="00732305" w:rsidRDefault="00145BF4" w:rsidP="00145BF4">
      <w:pPr>
        <w:tabs>
          <w:tab w:val="left" w:pos="851"/>
        </w:tabs>
        <w:ind w:left="851"/>
        <w:rPr>
          <w:sz w:val="24"/>
          <w:szCs w:val="24"/>
        </w:rPr>
      </w:pPr>
      <w:r w:rsidRPr="00732305">
        <w:rPr>
          <w:sz w:val="24"/>
          <w:szCs w:val="24"/>
        </w:rPr>
        <w:t xml:space="preserve">Kilden til kulhydrater er </w:t>
      </w:r>
      <w:proofErr w:type="spellStart"/>
      <w:r w:rsidRPr="00732305">
        <w:rPr>
          <w:sz w:val="24"/>
          <w:szCs w:val="24"/>
        </w:rPr>
        <w:t>glucose</w:t>
      </w:r>
      <w:proofErr w:type="spellEnd"/>
      <w:r w:rsidRPr="00732305">
        <w:rPr>
          <w:sz w:val="24"/>
          <w:szCs w:val="24"/>
        </w:rPr>
        <w:t>.</w:t>
      </w:r>
    </w:p>
    <w:p w:rsidR="00145BF4" w:rsidRPr="00732305" w:rsidRDefault="00145BF4" w:rsidP="00145BF4">
      <w:pPr>
        <w:tabs>
          <w:tab w:val="left" w:pos="851"/>
        </w:tabs>
        <w:ind w:left="851"/>
        <w:rPr>
          <w:sz w:val="24"/>
          <w:szCs w:val="24"/>
        </w:rPr>
      </w:pPr>
    </w:p>
    <w:p w:rsidR="00145BF4" w:rsidRPr="00732305" w:rsidRDefault="00145BF4" w:rsidP="00145BF4">
      <w:pPr>
        <w:tabs>
          <w:tab w:val="left" w:pos="851"/>
        </w:tabs>
        <w:ind w:left="851" w:hanging="851"/>
        <w:rPr>
          <w:b/>
          <w:sz w:val="24"/>
          <w:szCs w:val="24"/>
        </w:rPr>
      </w:pPr>
      <w:r w:rsidRPr="00732305">
        <w:rPr>
          <w:b/>
          <w:sz w:val="24"/>
          <w:szCs w:val="24"/>
        </w:rPr>
        <w:t>5.2</w:t>
      </w:r>
      <w:r w:rsidRPr="00732305">
        <w:rPr>
          <w:b/>
          <w:sz w:val="24"/>
          <w:szCs w:val="24"/>
        </w:rPr>
        <w:tab/>
      </w:r>
      <w:proofErr w:type="spellStart"/>
      <w:r w:rsidRPr="00732305">
        <w:rPr>
          <w:b/>
          <w:sz w:val="24"/>
          <w:szCs w:val="24"/>
        </w:rPr>
        <w:t>Farmakokinetiske</w:t>
      </w:r>
      <w:proofErr w:type="spellEnd"/>
      <w:r w:rsidRPr="00732305">
        <w:rPr>
          <w:b/>
          <w:sz w:val="24"/>
          <w:szCs w:val="24"/>
        </w:rPr>
        <w:t xml:space="preserve"> egenskaber</w:t>
      </w:r>
    </w:p>
    <w:p w:rsidR="00145BF4" w:rsidRPr="00732305" w:rsidRDefault="00145BF4" w:rsidP="00145BF4">
      <w:pPr>
        <w:tabs>
          <w:tab w:val="left" w:pos="851"/>
        </w:tabs>
        <w:ind w:left="851"/>
        <w:rPr>
          <w:sz w:val="24"/>
          <w:szCs w:val="24"/>
        </w:rPr>
      </w:pPr>
      <w:r w:rsidRPr="00732305">
        <w:rPr>
          <w:sz w:val="24"/>
          <w:szCs w:val="24"/>
        </w:rPr>
        <w:t xml:space="preserve">Indholdsstofferne i </w:t>
      </w:r>
      <w:proofErr w:type="spellStart"/>
      <w:r w:rsidRPr="00732305">
        <w:rPr>
          <w:sz w:val="24"/>
          <w:szCs w:val="24"/>
        </w:rPr>
        <w:t>Olimel</w:t>
      </w:r>
      <w:proofErr w:type="spellEnd"/>
      <w:r w:rsidRPr="00732305">
        <w:rPr>
          <w:sz w:val="24"/>
          <w:szCs w:val="24"/>
        </w:rPr>
        <w:t xml:space="preserve"> N12 (aminosyrer, </w:t>
      </w:r>
      <w:proofErr w:type="spellStart"/>
      <w:r w:rsidRPr="00732305">
        <w:rPr>
          <w:sz w:val="24"/>
          <w:szCs w:val="24"/>
        </w:rPr>
        <w:t>glucose</w:t>
      </w:r>
      <w:proofErr w:type="spellEnd"/>
      <w:r w:rsidRPr="00732305">
        <w:rPr>
          <w:sz w:val="24"/>
          <w:szCs w:val="24"/>
        </w:rPr>
        <w:t xml:space="preserve"> og fedt) fordeles, </w:t>
      </w:r>
      <w:proofErr w:type="spellStart"/>
      <w:r w:rsidRPr="00732305">
        <w:rPr>
          <w:sz w:val="24"/>
          <w:szCs w:val="24"/>
        </w:rPr>
        <w:t>metaboliseres</w:t>
      </w:r>
      <w:proofErr w:type="spellEnd"/>
      <w:r w:rsidRPr="00732305">
        <w:rPr>
          <w:sz w:val="24"/>
          <w:szCs w:val="24"/>
        </w:rPr>
        <w:t xml:space="preserve"> og elimineres på samme måde, som hvis de var blevet indgivet enkeltvis.</w:t>
      </w:r>
    </w:p>
    <w:p w:rsidR="00145BF4" w:rsidRPr="00732305" w:rsidRDefault="00145BF4" w:rsidP="00145BF4">
      <w:pPr>
        <w:tabs>
          <w:tab w:val="left" w:pos="851"/>
        </w:tabs>
        <w:ind w:left="851"/>
        <w:rPr>
          <w:sz w:val="24"/>
          <w:szCs w:val="24"/>
        </w:rPr>
      </w:pPr>
    </w:p>
    <w:p w:rsidR="00145BF4" w:rsidRPr="00732305" w:rsidRDefault="00145BF4" w:rsidP="00145BF4">
      <w:pPr>
        <w:tabs>
          <w:tab w:val="left" w:pos="851"/>
        </w:tabs>
        <w:ind w:left="851" w:hanging="851"/>
        <w:rPr>
          <w:b/>
          <w:sz w:val="24"/>
          <w:szCs w:val="24"/>
        </w:rPr>
      </w:pPr>
      <w:r w:rsidRPr="00732305">
        <w:rPr>
          <w:b/>
          <w:sz w:val="24"/>
          <w:szCs w:val="24"/>
        </w:rPr>
        <w:t>5.3</w:t>
      </w:r>
      <w:r w:rsidRPr="00732305">
        <w:rPr>
          <w:b/>
          <w:sz w:val="24"/>
          <w:szCs w:val="24"/>
        </w:rPr>
        <w:tab/>
      </w:r>
      <w:r w:rsidR="00BF57C2">
        <w:rPr>
          <w:b/>
          <w:sz w:val="24"/>
          <w:szCs w:val="24"/>
        </w:rPr>
        <w:t>Non-</w:t>
      </w:r>
      <w:r w:rsidRPr="00732305">
        <w:rPr>
          <w:b/>
          <w:sz w:val="24"/>
          <w:szCs w:val="24"/>
        </w:rPr>
        <w:t>kliniske sikkerhedsdata</w:t>
      </w:r>
    </w:p>
    <w:p w:rsidR="00145BF4" w:rsidRPr="00732305" w:rsidRDefault="00145BF4" w:rsidP="00145BF4">
      <w:pPr>
        <w:tabs>
          <w:tab w:val="left" w:pos="851"/>
        </w:tabs>
        <w:ind w:left="851"/>
        <w:rPr>
          <w:sz w:val="24"/>
          <w:szCs w:val="24"/>
        </w:rPr>
      </w:pPr>
      <w:r w:rsidRPr="00732305">
        <w:rPr>
          <w:sz w:val="24"/>
          <w:szCs w:val="24"/>
        </w:rPr>
        <w:t xml:space="preserve">Der er ikke foretaget prækliniske undersøgelser med </w:t>
      </w:r>
      <w:proofErr w:type="spellStart"/>
      <w:r w:rsidRPr="00732305">
        <w:rPr>
          <w:sz w:val="24"/>
          <w:szCs w:val="24"/>
        </w:rPr>
        <w:t>Olimel</w:t>
      </w:r>
      <w:proofErr w:type="spellEnd"/>
      <w:r w:rsidRPr="00732305">
        <w:rPr>
          <w:sz w:val="24"/>
          <w:szCs w:val="24"/>
        </w:rPr>
        <w:t xml:space="preserve"> N12. </w:t>
      </w:r>
    </w:p>
    <w:p w:rsidR="00145BF4" w:rsidRPr="00732305" w:rsidRDefault="00145BF4" w:rsidP="00145BF4">
      <w:pPr>
        <w:tabs>
          <w:tab w:val="left" w:pos="851"/>
        </w:tabs>
        <w:ind w:left="851"/>
        <w:rPr>
          <w:sz w:val="24"/>
          <w:szCs w:val="24"/>
        </w:rPr>
      </w:pPr>
    </w:p>
    <w:p w:rsidR="00145BF4" w:rsidRPr="00732305" w:rsidRDefault="00145BF4" w:rsidP="00145BF4">
      <w:pPr>
        <w:tabs>
          <w:tab w:val="left" w:pos="851"/>
        </w:tabs>
        <w:ind w:left="851"/>
        <w:rPr>
          <w:sz w:val="24"/>
          <w:szCs w:val="24"/>
        </w:rPr>
      </w:pPr>
      <w:r w:rsidRPr="00732305">
        <w:rPr>
          <w:sz w:val="24"/>
          <w:szCs w:val="24"/>
        </w:rPr>
        <w:t xml:space="preserve">Prækliniske toksicitetsundersøgelser, der er udført med den fedtemulsion, der findes i </w:t>
      </w:r>
      <w:proofErr w:type="spellStart"/>
      <w:r w:rsidRPr="00732305">
        <w:rPr>
          <w:sz w:val="24"/>
          <w:szCs w:val="24"/>
        </w:rPr>
        <w:t>Olimel</w:t>
      </w:r>
      <w:proofErr w:type="spellEnd"/>
      <w:r w:rsidRPr="00732305">
        <w:rPr>
          <w:sz w:val="24"/>
          <w:szCs w:val="24"/>
        </w:rPr>
        <w:t xml:space="preserve"> N12, har påvist ændringer, der traditionelt optræder i forbindelse med et højt indtag af en fedtemulsion: fedtlever, </w:t>
      </w:r>
      <w:proofErr w:type="spellStart"/>
      <w:r w:rsidRPr="00732305">
        <w:rPr>
          <w:sz w:val="24"/>
          <w:szCs w:val="24"/>
        </w:rPr>
        <w:t>trombocytopeni</w:t>
      </w:r>
      <w:proofErr w:type="spellEnd"/>
      <w:r w:rsidRPr="00732305">
        <w:rPr>
          <w:sz w:val="24"/>
          <w:szCs w:val="24"/>
        </w:rPr>
        <w:t xml:space="preserve"> og forhøjet kolesterol.</w:t>
      </w:r>
    </w:p>
    <w:p w:rsidR="00145BF4" w:rsidRPr="00732305" w:rsidRDefault="00145BF4" w:rsidP="00145BF4">
      <w:pPr>
        <w:tabs>
          <w:tab w:val="left" w:pos="851"/>
        </w:tabs>
        <w:ind w:left="851"/>
        <w:rPr>
          <w:sz w:val="24"/>
          <w:szCs w:val="24"/>
        </w:rPr>
      </w:pPr>
    </w:p>
    <w:p w:rsidR="00145BF4" w:rsidRPr="00732305" w:rsidRDefault="00145BF4" w:rsidP="00145BF4">
      <w:pPr>
        <w:tabs>
          <w:tab w:val="left" w:pos="851"/>
        </w:tabs>
        <w:ind w:left="851"/>
        <w:rPr>
          <w:sz w:val="24"/>
          <w:szCs w:val="24"/>
        </w:rPr>
      </w:pPr>
      <w:r w:rsidRPr="00732305">
        <w:rPr>
          <w:sz w:val="24"/>
          <w:szCs w:val="24"/>
        </w:rPr>
        <w:t xml:space="preserve">Prækliniske undersøgelser udført med forskellige kvalitative sammensætninger og koncentrationer af de opløsninger af aminosyre og </w:t>
      </w:r>
      <w:proofErr w:type="spellStart"/>
      <w:r w:rsidRPr="00732305">
        <w:rPr>
          <w:sz w:val="24"/>
          <w:szCs w:val="24"/>
        </w:rPr>
        <w:t>glucose</w:t>
      </w:r>
      <w:proofErr w:type="spellEnd"/>
      <w:r w:rsidRPr="00732305">
        <w:rPr>
          <w:sz w:val="24"/>
          <w:szCs w:val="24"/>
        </w:rPr>
        <w:t xml:space="preserve">, der findes i </w:t>
      </w:r>
      <w:proofErr w:type="spellStart"/>
      <w:r w:rsidRPr="00732305">
        <w:rPr>
          <w:sz w:val="24"/>
          <w:szCs w:val="24"/>
        </w:rPr>
        <w:t>Olimel</w:t>
      </w:r>
      <w:proofErr w:type="spellEnd"/>
      <w:r w:rsidRPr="00732305">
        <w:rPr>
          <w:sz w:val="24"/>
          <w:szCs w:val="24"/>
        </w:rPr>
        <w:t xml:space="preserve"> N12, har imidlertid ikke afsløret nogen specifik toksicitet.</w:t>
      </w:r>
    </w:p>
    <w:p w:rsidR="00145BF4" w:rsidRPr="00732305" w:rsidRDefault="00145BF4" w:rsidP="00145BF4">
      <w:pPr>
        <w:tabs>
          <w:tab w:val="left" w:pos="851"/>
        </w:tabs>
        <w:ind w:left="851"/>
        <w:rPr>
          <w:sz w:val="24"/>
          <w:szCs w:val="24"/>
        </w:rPr>
      </w:pPr>
    </w:p>
    <w:p w:rsidR="00145BF4" w:rsidRPr="00732305" w:rsidRDefault="00145BF4" w:rsidP="00145BF4">
      <w:pPr>
        <w:tabs>
          <w:tab w:val="left" w:pos="851"/>
        </w:tabs>
        <w:ind w:left="851"/>
        <w:rPr>
          <w:sz w:val="24"/>
          <w:szCs w:val="24"/>
        </w:rPr>
      </w:pPr>
    </w:p>
    <w:p w:rsidR="00145BF4" w:rsidRPr="00732305" w:rsidRDefault="00145BF4" w:rsidP="00145BF4">
      <w:pPr>
        <w:tabs>
          <w:tab w:val="left" w:pos="851"/>
        </w:tabs>
        <w:ind w:left="851" w:hanging="851"/>
        <w:rPr>
          <w:b/>
          <w:sz w:val="24"/>
          <w:szCs w:val="24"/>
        </w:rPr>
      </w:pPr>
      <w:r w:rsidRPr="00732305">
        <w:rPr>
          <w:b/>
          <w:sz w:val="24"/>
          <w:szCs w:val="24"/>
        </w:rPr>
        <w:t>6.</w:t>
      </w:r>
      <w:r w:rsidRPr="00732305">
        <w:rPr>
          <w:b/>
          <w:sz w:val="24"/>
          <w:szCs w:val="24"/>
        </w:rPr>
        <w:tab/>
        <w:t>FARMACEUTISKE OPLYSNINGER</w:t>
      </w:r>
    </w:p>
    <w:p w:rsidR="00145BF4" w:rsidRPr="00732305" w:rsidRDefault="00145BF4" w:rsidP="00145BF4">
      <w:pPr>
        <w:tabs>
          <w:tab w:val="left" w:pos="851"/>
        </w:tabs>
        <w:ind w:left="851"/>
        <w:rPr>
          <w:sz w:val="24"/>
          <w:szCs w:val="24"/>
        </w:rPr>
      </w:pPr>
    </w:p>
    <w:p w:rsidR="00145BF4" w:rsidRPr="00732305" w:rsidRDefault="00145BF4" w:rsidP="00145BF4">
      <w:pPr>
        <w:tabs>
          <w:tab w:val="left" w:pos="851"/>
        </w:tabs>
        <w:ind w:left="851" w:hanging="851"/>
        <w:rPr>
          <w:b/>
          <w:sz w:val="24"/>
          <w:szCs w:val="24"/>
        </w:rPr>
      </w:pPr>
      <w:r w:rsidRPr="00732305">
        <w:rPr>
          <w:b/>
          <w:sz w:val="24"/>
          <w:szCs w:val="24"/>
        </w:rPr>
        <w:t>6.1</w:t>
      </w:r>
      <w:r w:rsidRPr="00732305">
        <w:rPr>
          <w:b/>
          <w:sz w:val="24"/>
          <w:szCs w:val="24"/>
        </w:rPr>
        <w:tab/>
        <w:t>Hjælpestoffer</w:t>
      </w:r>
    </w:p>
    <w:p w:rsidR="00145BF4" w:rsidRDefault="00145BF4" w:rsidP="00145BF4">
      <w:pPr>
        <w:tabs>
          <w:tab w:val="left" w:pos="851"/>
        </w:tabs>
        <w:ind w:left="851"/>
        <w:rPr>
          <w:sz w:val="24"/>
          <w:szCs w:val="24"/>
          <w:u w:val="single"/>
        </w:rPr>
      </w:pPr>
    </w:p>
    <w:p w:rsidR="00145BF4" w:rsidRPr="00732305" w:rsidRDefault="00145BF4" w:rsidP="00145BF4">
      <w:pPr>
        <w:tabs>
          <w:tab w:val="left" w:pos="851"/>
        </w:tabs>
        <w:ind w:left="851"/>
        <w:rPr>
          <w:sz w:val="24"/>
          <w:szCs w:val="24"/>
          <w:u w:val="single"/>
        </w:rPr>
      </w:pPr>
      <w:r w:rsidRPr="00732305">
        <w:rPr>
          <w:sz w:val="24"/>
          <w:szCs w:val="24"/>
          <w:u w:val="single"/>
        </w:rPr>
        <w:t>Kammer med fedtemulsion</w:t>
      </w:r>
    </w:p>
    <w:p w:rsidR="00145BF4" w:rsidRPr="00732305" w:rsidRDefault="00145BF4" w:rsidP="00145BF4">
      <w:pPr>
        <w:numPr>
          <w:ilvl w:val="0"/>
          <w:numId w:val="13"/>
        </w:numPr>
        <w:tabs>
          <w:tab w:val="left" w:pos="851"/>
        </w:tabs>
        <w:rPr>
          <w:sz w:val="24"/>
          <w:szCs w:val="24"/>
        </w:rPr>
      </w:pPr>
      <w:r w:rsidRPr="00732305">
        <w:rPr>
          <w:sz w:val="24"/>
          <w:szCs w:val="24"/>
        </w:rPr>
        <w:t xml:space="preserve">Renset </w:t>
      </w:r>
      <w:proofErr w:type="spellStart"/>
      <w:r w:rsidR="004762D1">
        <w:rPr>
          <w:sz w:val="24"/>
          <w:szCs w:val="24"/>
        </w:rPr>
        <w:t>æg</w:t>
      </w:r>
      <w:r w:rsidR="004762D1">
        <w:rPr>
          <w:rFonts w:eastAsia="SimSun"/>
          <w:sz w:val="24"/>
          <w:szCs w:val="24"/>
        </w:rPr>
        <w:t>p</w:t>
      </w:r>
      <w:r w:rsidR="004762D1">
        <w:rPr>
          <w:sz w:val="24"/>
          <w:szCs w:val="24"/>
        </w:rPr>
        <w:t>hospholipider</w:t>
      </w:r>
      <w:proofErr w:type="spellEnd"/>
    </w:p>
    <w:p w:rsidR="00145BF4" w:rsidRPr="00732305" w:rsidRDefault="00145BF4" w:rsidP="00145BF4">
      <w:pPr>
        <w:numPr>
          <w:ilvl w:val="0"/>
          <w:numId w:val="13"/>
        </w:numPr>
        <w:tabs>
          <w:tab w:val="left" w:pos="851"/>
        </w:tabs>
        <w:rPr>
          <w:sz w:val="24"/>
          <w:szCs w:val="24"/>
        </w:rPr>
      </w:pPr>
      <w:r w:rsidRPr="00732305">
        <w:rPr>
          <w:sz w:val="24"/>
          <w:szCs w:val="24"/>
        </w:rPr>
        <w:t>Glycerol</w:t>
      </w:r>
    </w:p>
    <w:p w:rsidR="00145BF4" w:rsidRPr="00732305" w:rsidRDefault="00145BF4" w:rsidP="00145BF4">
      <w:pPr>
        <w:numPr>
          <w:ilvl w:val="0"/>
          <w:numId w:val="13"/>
        </w:numPr>
        <w:tabs>
          <w:tab w:val="left" w:pos="851"/>
        </w:tabs>
        <w:rPr>
          <w:sz w:val="24"/>
          <w:szCs w:val="24"/>
        </w:rPr>
      </w:pPr>
      <w:proofErr w:type="spellStart"/>
      <w:r w:rsidRPr="00732305">
        <w:rPr>
          <w:sz w:val="24"/>
          <w:szCs w:val="24"/>
        </w:rPr>
        <w:t>Natriumoleat</w:t>
      </w:r>
      <w:proofErr w:type="spellEnd"/>
    </w:p>
    <w:p w:rsidR="00145BF4" w:rsidRPr="00732305" w:rsidRDefault="00145BF4" w:rsidP="00145BF4">
      <w:pPr>
        <w:numPr>
          <w:ilvl w:val="0"/>
          <w:numId w:val="13"/>
        </w:numPr>
        <w:tabs>
          <w:tab w:val="left" w:pos="851"/>
        </w:tabs>
        <w:rPr>
          <w:sz w:val="24"/>
          <w:szCs w:val="24"/>
        </w:rPr>
      </w:pPr>
      <w:r w:rsidRPr="00732305">
        <w:rPr>
          <w:sz w:val="24"/>
          <w:szCs w:val="24"/>
        </w:rPr>
        <w:t>Natriumhydroxid (til pH-justering)</w:t>
      </w:r>
    </w:p>
    <w:p w:rsidR="00145BF4" w:rsidRPr="00732305" w:rsidRDefault="00145BF4" w:rsidP="00145BF4">
      <w:pPr>
        <w:numPr>
          <w:ilvl w:val="0"/>
          <w:numId w:val="13"/>
        </w:numPr>
        <w:tabs>
          <w:tab w:val="left" w:pos="851"/>
        </w:tabs>
        <w:rPr>
          <w:sz w:val="24"/>
          <w:szCs w:val="24"/>
        </w:rPr>
      </w:pPr>
      <w:r>
        <w:rPr>
          <w:sz w:val="24"/>
          <w:szCs w:val="24"/>
        </w:rPr>
        <w:t>Vand til injektionsvæsker</w:t>
      </w:r>
    </w:p>
    <w:p w:rsidR="00145BF4" w:rsidRPr="00732305" w:rsidRDefault="00145BF4" w:rsidP="00145BF4">
      <w:pPr>
        <w:tabs>
          <w:tab w:val="left" w:pos="851"/>
        </w:tabs>
        <w:ind w:left="851"/>
        <w:rPr>
          <w:sz w:val="24"/>
          <w:szCs w:val="24"/>
        </w:rPr>
      </w:pPr>
    </w:p>
    <w:p w:rsidR="00145BF4" w:rsidRPr="00732305" w:rsidRDefault="00145BF4" w:rsidP="00145BF4">
      <w:pPr>
        <w:tabs>
          <w:tab w:val="left" w:pos="851"/>
        </w:tabs>
        <w:ind w:left="851"/>
        <w:rPr>
          <w:sz w:val="24"/>
          <w:szCs w:val="24"/>
          <w:u w:val="single"/>
        </w:rPr>
      </w:pPr>
      <w:r w:rsidRPr="00732305">
        <w:rPr>
          <w:sz w:val="24"/>
          <w:szCs w:val="24"/>
          <w:u w:val="single"/>
        </w:rPr>
        <w:t>Kammer med aminosyreopløsning</w:t>
      </w:r>
    </w:p>
    <w:p w:rsidR="00145BF4" w:rsidRPr="00732305" w:rsidRDefault="00145BF4" w:rsidP="00145BF4">
      <w:pPr>
        <w:numPr>
          <w:ilvl w:val="0"/>
          <w:numId w:val="14"/>
        </w:numPr>
        <w:tabs>
          <w:tab w:val="left" w:pos="851"/>
        </w:tabs>
        <w:rPr>
          <w:sz w:val="24"/>
          <w:szCs w:val="24"/>
        </w:rPr>
      </w:pPr>
      <w:r w:rsidRPr="00732305">
        <w:rPr>
          <w:sz w:val="24"/>
          <w:szCs w:val="24"/>
        </w:rPr>
        <w:t>Iseddikesyre (til pH-justering)</w:t>
      </w:r>
    </w:p>
    <w:p w:rsidR="00145BF4" w:rsidRPr="00732305" w:rsidRDefault="00145BF4" w:rsidP="00145BF4">
      <w:pPr>
        <w:numPr>
          <w:ilvl w:val="0"/>
          <w:numId w:val="14"/>
        </w:numPr>
        <w:tabs>
          <w:tab w:val="left" w:pos="851"/>
        </w:tabs>
        <w:rPr>
          <w:sz w:val="24"/>
          <w:szCs w:val="24"/>
        </w:rPr>
      </w:pPr>
      <w:r>
        <w:rPr>
          <w:sz w:val="24"/>
          <w:szCs w:val="24"/>
        </w:rPr>
        <w:t>Vand til injektionsvæsker</w:t>
      </w:r>
    </w:p>
    <w:p w:rsidR="00145BF4" w:rsidRPr="00732305" w:rsidRDefault="00145BF4" w:rsidP="00145BF4">
      <w:pPr>
        <w:tabs>
          <w:tab w:val="left" w:pos="851"/>
        </w:tabs>
        <w:ind w:left="851"/>
        <w:rPr>
          <w:sz w:val="24"/>
          <w:szCs w:val="24"/>
        </w:rPr>
      </w:pPr>
    </w:p>
    <w:p w:rsidR="00145BF4" w:rsidRPr="00732305" w:rsidRDefault="00145BF4" w:rsidP="00145BF4">
      <w:pPr>
        <w:tabs>
          <w:tab w:val="left" w:pos="851"/>
        </w:tabs>
        <w:ind w:left="851"/>
        <w:rPr>
          <w:sz w:val="24"/>
          <w:szCs w:val="24"/>
          <w:u w:val="single"/>
        </w:rPr>
      </w:pPr>
      <w:r w:rsidRPr="00732305">
        <w:rPr>
          <w:sz w:val="24"/>
          <w:szCs w:val="24"/>
          <w:u w:val="single"/>
        </w:rPr>
        <w:t xml:space="preserve">Kammer med </w:t>
      </w:r>
      <w:proofErr w:type="spellStart"/>
      <w:r w:rsidRPr="00732305">
        <w:rPr>
          <w:sz w:val="24"/>
          <w:szCs w:val="24"/>
          <w:u w:val="single"/>
        </w:rPr>
        <w:t>glucoseopløsning</w:t>
      </w:r>
      <w:proofErr w:type="spellEnd"/>
    </w:p>
    <w:p w:rsidR="00145BF4" w:rsidRPr="00732305" w:rsidRDefault="00145BF4" w:rsidP="00145BF4">
      <w:pPr>
        <w:numPr>
          <w:ilvl w:val="0"/>
          <w:numId w:val="14"/>
        </w:numPr>
        <w:tabs>
          <w:tab w:val="left" w:pos="851"/>
        </w:tabs>
        <w:rPr>
          <w:sz w:val="24"/>
          <w:szCs w:val="24"/>
        </w:rPr>
      </w:pPr>
      <w:r w:rsidRPr="00732305">
        <w:rPr>
          <w:sz w:val="24"/>
          <w:szCs w:val="24"/>
        </w:rPr>
        <w:t>Saltsyre (til pH-justering)</w:t>
      </w:r>
    </w:p>
    <w:p w:rsidR="00145BF4" w:rsidRPr="00732305" w:rsidRDefault="00145BF4" w:rsidP="00145BF4">
      <w:pPr>
        <w:numPr>
          <w:ilvl w:val="0"/>
          <w:numId w:val="14"/>
        </w:numPr>
        <w:tabs>
          <w:tab w:val="left" w:pos="851"/>
        </w:tabs>
        <w:rPr>
          <w:sz w:val="24"/>
          <w:szCs w:val="24"/>
        </w:rPr>
      </w:pPr>
      <w:r>
        <w:rPr>
          <w:sz w:val="24"/>
          <w:szCs w:val="24"/>
        </w:rPr>
        <w:t>Vand til injektionsvæsker</w:t>
      </w:r>
    </w:p>
    <w:p w:rsidR="00145BF4" w:rsidRPr="00732305" w:rsidRDefault="00145BF4" w:rsidP="00145BF4">
      <w:pPr>
        <w:tabs>
          <w:tab w:val="left" w:pos="851"/>
        </w:tabs>
        <w:ind w:left="851"/>
        <w:rPr>
          <w:sz w:val="24"/>
          <w:szCs w:val="24"/>
        </w:rPr>
      </w:pPr>
    </w:p>
    <w:p w:rsidR="00145BF4" w:rsidRPr="00732305" w:rsidRDefault="00145BF4" w:rsidP="00111B8A">
      <w:pPr>
        <w:keepNext/>
        <w:tabs>
          <w:tab w:val="left" w:pos="851"/>
        </w:tabs>
        <w:ind w:left="851" w:hanging="851"/>
        <w:rPr>
          <w:b/>
          <w:sz w:val="24"/>
          <w:szCs w:val="24"/>
        </w:rPr>
      </w:pPr>
      <w:r w:rsidRPr="00732305">
        <w:rPr>
          <w:b/>
          <w:sz w:val="24"/>
          <w:szCs w:val="24"/>
        </w:rPr>
        <w:lastRenderedPageBreak/>
        <w:t>6.2</w:t>
      </w:r>
      <w:r w:rsidRPr="00732305">
        <w:rPr>
          <w:b/>
          <w:sz w:val="24"/>
          <w:szCs w:val="24"/>
        </w:rPr>
        <w:tab/>
        <w:t>Uforligeligheder</w:t>
      </w:r>
    </w:p>
    <w:p w:rsidR="00145BF4" w:rsidRPr="00732305" w:rsidRDefault="00145BF4" w:rsidP="00145BF4">
      <w:pPr>
        <w:tabs>
          <w:tab w:val="left" w:pos="851"/>
        </w:tabs>
        <w:ind w:left="851"/>
        <w:rPr>
          <w:sz w:val="24"/>
          <w:szCs w:val="24"/>
        </w:rPr>
      </w:pPr>
      <w:r w:rsidRPr="00732305">
        <w:rPr>
          <w:sz w:val="24"/>
          <w:szCs w:val="24"/>
        </w:rPr>
        <w:t xml:space="preserve">Tilsæt ikke andre lægemidler eller stoffer til nogen af komponenterne i posen eller til den </w:t>
      </w:r>
      <w:proofErr w:type="spellStart"/>
      <w:r w:rsidRPr="00732305">
        <w:rPr>
          <w:sz w:val="24"/>
          <w:szCs w:val="24"/>
        </w:rPr>
        <w:t>rekonstituerede</w:t>
      </w:r>
      <w:proofErr w:type="spellEnd"/>
      <w:r w:rsidRPr="00732305">
        <w:rPr>
          <w:sz w:val="24"/>
          <w:szCs w:val="24"/>
        </w:rPr>
        <w:t xml:space="preserve"> emulsion uden først at kontrollere deres forligelighed og stabiliteten af den færdige blanding (især stabiliteten af fedtemulsionen).</w:t>
      </w:r>
    </w:p>
    <w:p w:rsidR="00145BF4" w:rsidRPr="00732305" w:rsidRDefault="00145BF4" w:rsidP="00145BF4">
      <w:pPr>
        <w:tabs>
          <w:tab w:val="left" w:pos="851"/>
        </w:tabs>
        <w:ind w:left="851"/>
        <w:rPr>
          <w:sz w:val="24"/>
          <w:szCs w:val="24"/>
        </w:rPr>
      </w:pPr>
    </w:p>
    <w:p w:rsidR="00145BF4" w:rsidRPr="00732305" w:rsidRDefault="00145BF4" w:rsidP="00145BF4">
      <w:pPr>
        <w:tabs>
          <w:tab w:val="left" w:pos="851"/>
        </w:tabs>
        <w:ind w:left="851"/>
        <w:rPr>
          <w:sz w:val="24"/>
          <w:szCs w:val="24"/>
        </w:rPr>
      </w:pPr>
      <w:r w:rsidRPr="00732305">
        <w:rPr>
          <w:sz w:val="24"/>
          <w:szCs w:val="24"/>
        </w:rPr>
        <w:t>Uforligeligheder kan f.eks. forekomme ved forhøjet syreindhold (lav pH) eller et uhensigtsmæssigt indhold af divalente kationer (Ca</w:t>
      </w:r>
      <w:r w:rsidRPr="00732305">
        <w:rPr>
          <w:sz w:val="24"/>
          <w:szCs w:val="24"/>
          <w:vertAlign w:val="superscript"/>
        </w:rPr>
        <w:t xml:space="preserve">2+ </w:t>
      </w:r>
      <w:r w:rsidRPr="00732305">
        <w:rPr>
          <w:sz w:val="24"/>
          <w:szCs w:val="24"/>
        </w:rPr>
        <w:t>og Mg</w:t>
      </w:r>
      <w:r w:rsidRPr="00732305">
        <w:rPr>
          <w:sz w:val="24"/>
          <w:szCs w:val="24"/>
          <w:vertAlign w:val="superscript"/>
        </w:rPr>
        <w:t>2+</w:t>
      </w:r>
      <w:r w:rsidRPr="00732305">
        <w:rPr>
          <w:sz w:val="24"/>
          <w:szCs w:val="24"/>
        </w:rPr>
        <w:t>), der kan destabilisere fedtemulsionen.</w:t>
      </w:r>
    </w:p>
    <w:p w:rsidR="00145BF4" w:rsidRPr="00732305" w:rsidRDefault="00145BF4" w:rsidP="00145BF4">
      <w:pPr>
        <w:tabs>
          <w:tab w:val="left" w:pos="851"/>
        </w:tabs>
        <w:ind w:left="851"/>
        <w:rPr>
          <w:sz w:val="24"/>
          <w:szCs w:val="24"/>
        </w:rPr>
      </w:pPr>
    </w:p>
    <w:p w:rsidR="00145BF4" w:rsidRPr="00732305" w:rsidRDefault="00145BF4" w:rsidP="00145BF4">
      <w:pPr>
        <w:tabs>
          <w:tab w:val="left" w:pos="851"/>
        </w:tabs>
        <w:ind w:left="851"/>
        <w:rPr>
          <w:sz w:val="24"/>
          <w:szCs w:val="24"/>
        </w:rPr>
      </w:pPr>
      <w:r w:rsidRPr="00732305">
        <w:rPr>
          <w:sz w:val="24"/>
          <w:szCs w:val="24"/>
        </w:rPr>
        <w:t xml:space="preserve">Som for alle blandinger af parenteral ernæring skal forholdet mellem calcium og </w:t>
      </w:r>
      <w:proofErr w:type="spellStart"/>
      <w:r w:rsidRPr="00732305">
        <w:rPr>
          <w:sz w:val="24"/>
          <w:szCs w:val="24"/>
        </w:rPr>
        <w:t>phosphat</w:t>
      </w:r>
      <w:proofErr w:type="spellEnd"/>
      <w:r w:rsidRPr="00732305">
        <w:rPr>
          <w:sz w:val="24"/>
          <w:szCs w:val="24"/>
        </w:rPr>
        <w:t xml:space="preserve"> tages i betragtning. Yderligere tilførsel af calcium og </w:t>
      </w:r>
      <w:proofErr w:type="spellStart"/>
      <w:r w:rsidRPr="00732305">
        <w:rPr>
          <w:sz w:val="24"/>
          <w:szCs w:val="24"/>
        </w:rPr>
        <w:t>phosphat</w:t>
      </w:r>
      <w:proofErr w:type="spellEnd"/>
      <w:r w:rsidRPr="00732305">
        <w:rPr>
          <w:sz w:val="24"/>
          <w:szCs w:val="24"/>
        </w:rPr>
        <w:t xml:space="preserve">, særligt i form af mineralsalte, kan resultere i udfældninger af </w:t>
      </w:r>
      <w:proofErr w:type="spellStart"/>
      <w:r w:rsidRPr="00732305">
        <w:rPr>
          <w:sz w:val="24"/>
          <w:szCs w:val="24"/>
        </w:rPr>
        <w:t>calciumphosphat</w:t>
      </w:r>
      <w:proofErr w:type="spellEnd"/>
      <w:r w:rsidRPr="00732305">
        <w:rPr>
          <w:sz w:val="24"/>
          <w:szCs w:val="24"/>
        </w:rPr>
        <w:t>.</w:t>
      </w:r>
    </w:p>
    <w:p w:rsidR="00145BF4" w:rsidRPr="00732305" w:rsidRDefault="00145BF4" w:rsidP="00145BF4">
      <w:pPr>
        <w:tabs>
          <w:tab w:val="left" w:pos="851"/>
        </w:tabs>
        <w:ind w:left="851"/>
        <w:rPr>
          <w:sz w:val="24"/>
          <w:szCs w:val="24"/>
        </w:rPr>
      </w:pPr>
    </w:p>
    <w:p w:rsidR="00145BF4" w:rsidRPr="00732305" w:rsidRDefault="00145BF4" w:rsidP="00145BF4">
      <w:pPr>
        <w:tabs>
          <w:tab w:val="left" w:pos="851"/>
        </w:tabs>
        <w:ind w:left="851"/>
        <w:rPr>
          <w:bCs/>
          <w:sz w:val="24"/>
          <w:szCs w:val="24"/>
        </w:rPr>
      </w:pPr>
      <w:r w:rsidRPr="00732305">
        <w:rPr>
          <w:sz w:val="24"/>
          <w:szCs w:val="24"/>
        </w:rPr>
        <w:t xml:space="preserve">På grund af risikoen for udfældninger må </w:t>
      </w:r>
      <w:proofErr w:type="spellStart"/>
      <w:r w:rsidRPr="00732305">
        <w:rPr>
          <w:sz w:val="24"/>
          <w:szCs w:val="24"/>
        </w:rPr>
        <w:t>Olimel</w:t>
      </w:r>
      <w:proofErr w:type="spellEnd"/>
      <w:r w:rsidRPr="00732305">
        <w:rPr>
          <w:sz w:val="24"/>
          <w:szCs w:val="24"/>
        </w:rPr>
        <w:t xml:space="preserve"> N12 ikke indgives via samme infusionsudstyr eller blandes med </w:t>
      </w:r>
      <w:proofErr w:type="spellStart"/>
      <w:r w:rsidRPr="00732305">
        <w:rPr>
          <w:sz w:val="24"/>
          <w:szCs w:val="24"/>
        </w:rPr>
        <w:t>ampicillin</w:t>
      </w:r>
      <w:proofErr w:type="spellEnd"/>
      <w:r w:rsidRPr="00732305">
        <w:rPr>
          <w:sz w:val="24"/>
          <w:szCs w:val="24"/>
        </w:rPr>
        <w:t xml:space="preserve"> eller </w:t>
      </w:r>
      <w:proofErr w:type="spellStart"/>
      <w:r w:rsidRPr="00732305">
        <w:rPr>
          <w:sz w:val="24"/>
          <w:szCs w:val="24"/>
        </w:rPr>
        <w:t>fosfenytoin</w:t>
      </w:r>
      <w:proofErr w:type="spellEnd"/>
      <w:r w:rsidRPr="00732305">
        <w:rPr>
          <w:sz w:val="24"/>
          <w:szCs w:val="24"/>
        </w:rPr>
        <w:t xml:space="preserve">. </w:t>
      </w:r>
    </w:p>
    <w:p w:rsidR="00145BF4" w:rsidRPr="00732305" w:rsidRDefault="00145BF4" w:rsidP="00145BF4">
      <w:pPr>
        <w:tabs>
          <w:tab w:val="left" w:pos="851"/>
        </w:tabs>
        <w:ind w:left="851"/>
        <w:rPr>
          <w:sz w:val="24"/>
          <w:szCs w:val="24"/>
        </w:rPr>
      </w:pPr>
    </w:p>
    <w:p w:rsidR="00145BF4" w:rsidRPr="00732305" w:rsidRDefault="00145BF4" w:rsidP="00145BF4">
      <w:pPr>
        <w:tabs>
          <w:tab w:val="left" w:pos="851"/>
        </w:tabs>
        <w:ind w:left="851"/>
        <w:rPr>
          <w:sz w:val="24"/>
          <w:szCs w:val="24"/>
        </w:rPr>
      </w:pPr>
      <w:r w:rsidRPr="00732305">
        <w:rPr>
          <w:sz w:val="24"/>
          <w:szCs w:val="24"/>
        </w:rPr>
        <w:t>Kontrollér forligeligheden med opløsninger, der indgives samtidigt via samme indgivelsessæt, kateter eller kanyle.</w:t>
      </w:r>
    </w:p>
    <w:p w:rsidR="00145BF4" w:rsidRPr="00732305" w:rsidRDefault="00145BF4" w:rsidP="00145BF4">
      <w:pPr>
        <w:tabs>
          <w:tab w:val="left" w:pos="851"/>
        </w:tabs>
        <w:ind w:left="851"/>
        <w:rPr>
          <w:sz w:val="24"/>
          <w:szCs w:val="24"/>
        </w:rPr>
      </w:pPr>
    </w:p>
    <w:p w:rsidR="00145BF4" w:rsidRPr="00732305" w:rsidRDefault="00145BF4" w:rsidP="00145BF4">
      <w:pPr>
        <w:tabs>
          <w:tab w:val="left" w:pos="851"/>
        </w:tabs>
        <w:ind w:left="851"/>
        <w:rPr>
          <w:sz w:val="24"/>
          <w:szCs w:val="24"/>
        </w:rPr>
      </w:pPr>
      <w:r w:rsidRPr="00732305">
        <w:rPr>
          <w:sz w:val="24"/>
          <w:szCs w:val="24"/>
        </w:rPr>
        <w:t xml:space="preserve">På grund af risikoen for pseudoagglutination må </w:t>
      </w:r>
      <w:proofErr w:type="spellStart"/>
      <w:r w:rsidRPr="00732305">
        <w:rPr>
          <w:sz w:val="24"/>
          <w:szCs w:val="24"/>
        </w:rPr>
        <w:t>Olimel</w:t>
      </w:r>
      <w:proofErr w:type="spellEnd"/>
      <w:r w:rsidRPr="00732305">
        <w:rPr>
          <w:sz w:val="24"/>
          <w:szCs w:val="24"/>
        </w:rPr>
        <w:t xml:space="preserve"> N12 ikke indgives før, samtidig med eller efter blod via samme infusionsudstyr.</w:t>
      </w:r>
    </w:p>
    <w:p w:rsidR="00145BF4" w:rsidRPr="00732305" w:rsidRDefault="00145BF4" w:rsidP="00145BF4">
      <w:pPr>
        <w:tabs>
          <w:tab w:val="left" w:pos="851"/>
        </w:tabs>
        <w:ind w:left="851"/>
        <w:rPr>
          <w:sz w:val="24"/>
          <w:szCs w:val="24"/>
        </w:rPr>
      </w:pPr>
    </w:p>
    <w:p w:rsidR="00145BF4" w:rsidRPr="00732305" w:rsidRDefault="00145BF4" w:rsidP="00145BF4">
      <w:pPr>
        <w:tabs>
          <w:tab w:val="left" w:pos="851"/>
        </w:tabs>
        <w:ind w:left="851" w:hanging="851"/>
        <w:rPr>
          <w:b/>
          <w:sz w:val="24"/>
          <w:szCs w:val="24"/>
        </w:rPr>
      </w:pPr>
      <w:r w:rsidRPr="00732305">
        <w:rPr>
          <w:b/>
          <w:sz w:val="24"/>
          <w:szCs w:val="24"/>
        </w:rPr>
        <w:t>6.3</w:t>
      </w:r>
      <w:r w:rsidRPr="00732305">
        <w:rPr>
          <w:b/>
          <w:sz w:val="24"/>
          <w:szCs w:val="24"/>
        </w:rPr>
        <w:tab/>
        <w:t>Opbevaringstid</w:t>
      </w:r>
    </w:p>
    <w:p w:rsidR="00145BF4" w:rsidRPr="00732305" w:rsidRDefault="00145BF4" w:rsidP="00145BF4">
      <w:pPr>
        <w:tabs>
          <w:tab w:val="left" w:pos="851"/>
        </w:tabs>
        <w:ind w:left="851"/>
        <w:rPr>
          <w:sz w:val="24"/>
          <w:szCs w:val="24"/>
        </w:rPr>
      </w:pPr>
      <w:r w:rsidRPr="00732305">
        <w:rPr>
          <w:sz w:val="24"/>
          <w:szCs w:val="24"/>
        </w:rPr>
        <w:t>2 år, hvis yderposen er intakt.</w:t>
      </w:r>
    </w:p>
    <w:p w:rsidR="00145BF4" w:rsidRPr="00EC3E9E" w:rsidRDefault="00145BF4" w:rsidP="00145BF4">
      <w:pPr>
        <w:tabs>
          <w:tab w:val="left" w:pos="851"/>
        </w:tabs>
        <w:ind w:left="851"/>
        <w:rPr>
          <w:bCs/>
          <w:iCs/>
          <w:sz w:val="24"/>
          <w:szCs w:val="24"/>
        </w:rPr>
      </w:pPr>
      <w:bookmarkStart w:id="10" w:name="_ISIW_UH_26"/>
    </w:p>
    <w:p w:rsidR="00145BF4" w:rsidRPr="00732305" w:rsidRDefault="00145BF4" w:rsidP="00145BF4">
      <w:pPr>
        <w:tabs>
          <w:tab w:val="left" w:pos="851"/>
        </w:tabs>
        <w:ind w:left="851"/>
        <w:rPr>
          <w:b/>
          <w:bCs/>
          <w:i/>
          <w:iCs/>
          <w:sz w:val="24"/>
          <w:szCs w:val="24"/>
        </w:rPr>
      </w:pPr>
      <w:r w:rsidRPr="00732305">
        <w:rPr>
          <w:b/>
          <w:bCs/>
          <w:i/>
          <w:iCs/>
          <w:sz w:val="24"/>
          <w:szCs w:val="24"/>
        </w:rPr>
        <w:t xml:space="preserve">Efter </w:t>
      </w:r>
      <w:proofErr w:type="spellStart"/>
      <w:r w:rsidRPr="00732305">
        <w:rPr>
          <w:b/>
          <w:bCs/>
          <w:i/>
          <w:iCs/>
          <w:sz w:val="24"/>
          <w:szCs w:val="24"/>
        </w:rPr>
        <w:t>rekonstitution</w:t>
      </w:r>
      <w:proofErr w:type="spellEnd"/>
    </w:p>
    <w:bookmarkEnd w:id="10"/>
    <w:p w:rsidR="00145BF4" w:rsidRPr="00732305" w:rsidRDefault="00145BF4" w:rsidP="00145BF4">
      <w:pPr>
        <w:tabs>
          <w:tab w:val="left" w:pos="851"/>
        </w:tabs>
        <w:ind w:left="851"/>
        <w:rPr>
          <w:sz w:val="24"/>
          <w:szCs w:val="24"/>
        </w:rPr>
      </w:pPr>
    </w:p>
    <w:p w:rsidR="00145BF4" w:rsidRPr="00732305" w:rsidRDefault="00145BF4" w:rsidP="00145BF4">
      <w:pPr>
        <w:tabs>
          <w:tab w:val="left" w:pos="851"/>
        </w:tabs>
        <w:ind w:left="851"/>
        <w:rPr>
          <w:sz w:val="24"/>
          <w:szCs w:val="24"/>
        </w:rPr>
      </w:pPr>
      <w:r w:rsidRPr="00732305">
        <w:rPr>
          <w:sz w:val="24"/>
          <w:szCs w:val="24"/>
        </w:rPr>
        <w:t>Kemisk og fysisk stabilitet er påvist i 7 dage ved 2–8 °C efterfulgt af 48 timer ved højst 30 °C.</w:t>
      </w:r>
    </w:p>
    <w:p w:rsidR="00145BF4" w:rsidRPr="00732305" w:rsidRDefault="00145BF4" w:rsidP="00145BF4">
      <w:pPr>
        <w:tabs>
          <w:tab w:val="left" w:pos="851"/>
        </w:tabs>
        <w:ind w:left="851"/>
        <w:rPr>
          <w:sz w:val="24"/>
          <w:szCs w:val="24"/>
        </w:rPr>
      </w:pPr>
    </w:p>
    <w:p w:rsidR="00145BF4" w:rsidRPr="00732305" w:rsidRDefault="00145BF4" w:rsidP="00145BF4">
      <w:pPr>
        <w:tabs>
          <w:tab w:val="left" w:pos="851"/>
        </w:tabs>
        <w:ind w:left="851"/>
        <w:rPr>
          <w:sz w:val="24"/>
          <w:szCs w:val="24"/>
        </w:rPr>
      </w:pPr>
      <w:r w:rsidRPr="00732305">
        <w:rPr>
          <w:sz w:val="24"/>
          <w:szCs w:val="24"/>
        </w:rPr>
        <w:t xml:space="preserve">Ud fra et mikrobiologisk synspunkt bør produktet anvendes med det samme. Hvis produktet ikke anvendes med det samme, er opbevaringstiden og betingelser før anvendelse brugerens ansvar og må normalt ikke overstige 24 timer ved 2–8 °C, medmindre </w:t>
      </w:r>
      <w:proofErr w:type="spellStart"/>
      <w:r w:rsidRPr="00732305">
        <w:rPr>
          <w:sz w:val="24"/>
          <w:szCs w:val="24"/>
        </w:rPr>
        <w:t>rekonstitution</w:t>
      </w:r>
      <w:proofErr w:type="spellEnd"/>
      <w:r w:rsidRPr="00732305">
        <w:rPr>
          <w:sz w:val="24"/>
          <w:szCs w:val="24"/>
        </w:rPr>
        <w:t xml:space="preserve"> er foretaget under kontrollerede og validerede aseptiske forhold.</w:t>
      </w:r>
    </w:p>
    <w:p w:rsidR="00145BF4" w:rsidRPr="00732305" w:rsidRDefault="00145BF4" w:rsidP="00145BF4">
      <w:pPr>
        <w:tabs>
          <w:tab w:val="left" w:pos="851"/>
        </w:tabs>
        <w:ind w:left="851"/>
        <w:rPr>
          <w:b/>
          <w:bCs/>
          <w:i/>
          <w:iCs/>
          <w:sz w:val="24"/>
          <w:szCs w:val="24"/>
        </w:rPr>
      </w:pPr>
      <w:bookmarkStart w:id="11" w:name="_ISIW_UH_27"/>
    </w:p>
    <w:p w:rsidR="00145BF4" w:rsidRPr="00732305" w:rsidRDefault="00145BF4" w:rsidP="00145BF4">
      <w:pPr>
        <w:tabs>
          <w:tab w:val="left" w:pos="851"/>
        </w:tabs>
        <w:ind w:left="851"/>
        <w:rPr>
          <w:b/>
          <w:bCs/>
          <w:i/>
          <w:iCs/>
          <w:sz w:val="24"/>
          <w:szCs w:val="24"/>
        </w:rPr>
      </w:pPr>
      <w:r w:rsidRPr="00732305">
        <w:rPr>
          <w:b/>
          <w:bCs/>
          <w:i/>
          <w:iCs/>
          <w:sz w:val="24"/>
          <w:szCs w:val="24"/>
        </w:rPr>
        <w:t>Efter tilsætning (elektrolytter, sporstoffer og vitaminer, se pkt. 6.6)</w:t>
      </w:r>
    </w:p>
    <w:bookmarkEnd w:id="11"/>
    <w:p w:rsidR="00145BF4" w:rsidRPr="00732305" w:rsidRDefault="00145BF4" w:rsidP="00145BF4">
      <w:pPr>
        <w:tabs>
          <w:tab w:val="left" w:pos="851"/>
        </w:tabs>
        <w:ind w:left="851"/>
        <w:rPr>
          <w:sz w:val="24"/>
          <w:szCs w:val="24"/>
        </w:rPr>
      </w:pPr>
    </w:p>
    <w:p w:rsidR="00145BF4" w:rsidRPr="00732305" w:rsidRDefault="00145BF4" w:rsidP="00145BF4">
      <w:pPr>
        <w:tabs>
          <w:tab w:val="left" w:pos="851"/>
        </w:tabs>
        <w:ind w:left="851"/>
        <w:rPr>
          <w:sz w:val="24"/>
          <w:szCs w:val="24"/>
        </w:rPr>
      </w:pPr>
      <w:r w:rsidRPr="00732305">
        <w:rPr>
          <w:sz w:val="24"/>
          <w:szCs w:val="24"/>
        </w:rPr>
        <w:t>Kemisk og fysisk stabilitet er påvist ved specifikke blandinger i 7 dage ved 2–8 °C efterfulgt af 48 timer ved højst 30° C.</w:t>
      </w:r>
    </w:p>
    <w:p w:rsidR="00145BF4" w:rsidRPr="00732305" w:rsidRDefault="00145BF4" w:rsidP="00145BF4">
      <w:pPr>
        <w:tabs>
          <w:tab w:val="left" w:pos="851"/>
        </w:tabs>
        <w:ind w:left="851"/>
        <w:rPr>
          <w:sz w:val="24"/>
          <w:szCs w:val="24"/>
        </w:rPr>
      </w:pPr>
    </w:p>
    <w:p w:rsidR="00145BF4" w:rsidRPr="00732305" w:rsidRDefault="00145BF4" w:rsidP="00145BF4">
      <w:pPr>
        <w:tabs>
          <w:tab w:val="left" w:pos="851"/>
        </w:tabs>
        <w:ind w:left="851"/>
        <w:rPr>
          <w:sz w:val="24"/>
          <w:szCs w:val="24"/>
        </w:rPr>
      </w:pPr>
      <w:r w:rsidRPr="00732305">
        <w:rPr>
          <w:sz w:val="24"/>
          <w:szCs w:val="24"/>
        </w:rPr>
        <w:t>Ud fra et mikrobiologisk synspunkt bør enhver blanding anvendes med det samme. Hvis den ikke anvendes med det samme, er opbevaringstiden og betingelser efter blanding og før anvendelse brugerens ansvar og må normalt ikke overstige 24 timer ved 2–8 °C, medmindre tilsætningerne er foretaget under kontrollerede og validerede aseptiske forhold.</w:t>
      </w:r>
    </w:p>
    <w:p w:rsidR="00145BF4" w:rsidRPr="00732305" w:rsidRDefault="00145BF4" w:rsidP="00145BF4">
      <w:pPr>
        <w:tabs>
          <w:tab w:val="left" w:pos="851"/>
        </w:tabs>
        <w:ind w:left="851"/>
        <w:rPr>
          <w:sz w:val="24"/>
          <w:szCs w:val="24"/>
        </w:rPr>
      </w:pPr>
    </w:p>
    <w:p w:rsidR="00145BF4" w:rsidRPr="00732305" w:rsidRDefault="00145BF4" w:rsidP="00145BF4">
      <w:pPr>
        <w:tabs>
          <w:tab w:val="left" w:pos="851"/>
        </w:tabs>
        <w:ind w:left="851" w:hanging="851"/>
        <w:rPr>
          <w:b/>
          <w:sz w:val="24"/>
          <w:szCs w:val="24"/>
        </w:rPr>
      </w:pPr>
      <w:r w:rsidRPr="00732305">
        <w:rPr>
          <w:b/>
          <w:sz w:val="24"/>
          <w:szCs w:val="24"/>
        </w:rPr>
        <w:t>6.4</w:t>
      </w:r>
      <w:r w:rsidRPr="00732305">
        <w:rPr>
          <w:b/>
          <w:sz w:val="24"/>
          <w:szCs w:val="24"/>
        </w:rPr>
        <w:tab/>
        <w:t>Særlige opbevaringsforhold</w:t>
      </w:r>
    </w:p>
    <w:p w:rsidR="00145BF4" w:rsidRPr="00732305" w:rsidRDefault="00145BF4" w:rsidP="00145BF4">
      <w:pPr>
        <w:tabs>
          <w:tab w:val="left" w:pos="851"/>
        </w:tabs>
        <w:ind w:left="851"/>
        <w:rPr>
          <w:sz w:val="24"/>
          <w:szCs w:val="24"/>
        </w:rPr>
      </w:pPr>
      <w:r w:rsidRPr="00732305">
        <w:rPr>
          <w:sz w:val="24"/>
          <w:szCs w:val="24"/>
        </w:rPr>
        <w:t>Må ikke nedfryses.</w:t>
      </w:r>
    </w:p>
    <w:p w:rsidR="00145BF4" w:rsidRPr="00732305" w:rsidRDefault="00145BF4" w:rsidP="00145BF4">
      <w:pPr>
        <w:tabs>
          <w:tab w:val="left" w:pos="851"/>
        </w:tabs>
        <w:ind w:left="851"/>
        <w:rPr>
          <w:sz w:val="24"/>
          <w:szCs w:val="24"/>
        </w:rPr>
      </w:pPr>
    </w:p>
    <w:p w:rsidR="00145BF4" w:rsidRPr="00732305" w:rsidRDefault="00145BF4" w:rsidP="00145BF4">
      <w:pPr>
        <w:tabs>
          <w:tab w:val="left" w:pos="851"/>
        </w:tabs>
        <w:ind w:left="851"/>
        <w:rPr>
          <w:sz w:val="24"/>
          <w:szCs w:val="24"/>
        </w:rPr>
      </w:pPr>
      <w:r w:rsidRPr="00732305">
        <w:rPr>
          <w:sz w:val="24"/>
          <w:szCs w:val="24"/>
        </w:rPr>
        <w:t>Opbevares i yderposen.</w:t>
      </w:r>
    </w:p>
    <w:p w:rsidR="00145BF4" w:rsidRPr="00732305" w:rsidRDefault="00145BF4" w:rsidP="00145BF4">
      <w:pPr>
        <w:tabs>
          <w:tab w:val="left" w:pos="851"/>
        </w:tabs>
        <w:ind w:left="851"/>
        <w:rPr>
          <w:sz w:val="24"/>
          <w:szCs w:val="24"/>
        </w:rPr>
      </w:pPr>
    </w:p>
    <w:p w:rsidR="00145BF4" w:rsidRPr="00732305" w:rsidRDefault="00145BF4" w:rsidP="00145BF4">
      <w:pPr>
        <w:tabs>
          <w:tab w:val="left" w:pos="851"/>
        </w:tabs>
        <w:ind w:left="851"/>
        <w:rPr>
          <w:sz w:val="24"/>
          <w:szCs w:val="24"/>
        </w:rPr>
      </w:pPr>
      <w:r w:rsidRPr="00732305">
        <w:rPr>
          <w:sz w:val="24"/>
          <w:szCs w:val="24"/>
        </w:rPr>
        <w:t xml:space="preserve">Opbevaringsforhold for det </w:t>
      </w:r>
      <w:proofErr w:type="spellStart"/>
      <w:r w:rsidRPr="00732305">
        <w:rPr>
          <w:sz w:val="24"/>
          <w:szCs w:val="24"/>
        </w:rPr>
        <w:t>rekonstituerede</w:t>
      </w:r>
      <w:proofErr w:type="spellEnd"/>
      <w:r w:rsidRPr="00732305">
        <w:rPr>
          <w:sz w:val="24"/>
          <w:szCs w:val="24"/>
        </w:rPr>
        <w:t xml:space="preserve"> lægemiddel, se pkt. 6.3.</w:t>
      </w:r>
    </w:p>
    <w:p w:rsidR="00145BF4" w:rsidRPr="00732305" w:rsidRDefault="00145BF4" w:rsidP="00145BF4">
      <w:pPr>
        <w:tabs>
          <w:tab w:val="left" w:pos="851"/>
        </w:tabs>
        <w:ind w:left="851"/>
        <w:rPr>
          <w:sz w:val="24"/>
          <w:szCs w:val="24"/>
        </w:rPr>
      </w:pPr>
    </w:p>
    <w:p w:rsidR="00145BF4" w:rsidRPr="00732305" w:rsidRDefault="00145BF4" w:rsidP="00145BF4">
      <w:pPr>
        <w:tabs>
          <w:tab w:val="left" w:pos="851"/>
        </w:tabs>
        <w:ind w:left="851" w:hanging="851"/>
        <w:rPr>
          <w:b/>
          <w:sz w:val="24"/>
          <w:szCs w:val="24"/>
        </w:rPr>
      </w:pPr>
      <w:r w:rsidRPr="00732305">
        <w:rPr>
          <w:b/>
          <w:sz w:val="24"/>
          <w:szCs w:val="24"/>
        </w:rPr>
        <w:t>6.5</w:t>
      </w:r>
      <w:r w:rsidRPr="00732305">
        <w:rPr>
          <w:b/>
          <w:sz w:val="24"/>
          <w:szCs w:val="24"/>
        </w:rPr>
        <w:tab/>
        <w:t>Emballagetype og pakningsstørrelser</w:t>
      </w:r>
    </w:p>
    <w:p w:rsidR="00145BF4" w:rsidRPr="00732305" w:rsidRDefault="00145BF4" w:rsidP="00145BF4">
      <w:pPr>
        <w:tabs>
          <w:tab w:val="left" w:pos="851"/>
        </w:tabs>
        <w:ind w:left="851"/>
        <w:rPr>
          <w:sz w:val="24"/>
          <w:szCs w:val="24"/>
        </w:rPr>
      </w:pPr>
      <w:r w:rsidRPr="00732305">
        <w:rPr>
          <w:sz w:val="24"/>
          <w:szCs w:val="24"/>
        </w:rPr>
        <w:t xml:space="preserve">Trekammerposen er en flerlags-plastpose. Posens indvendige (kontakt-)lag er fremstillet af en blanding af </w:t>
      </w:r>
      <w:proofErr w:type="spellStart"/>
      <w:r w:rsidRPr="00732305">
        <w:rPr>
          <w:sz w:val="24"/>
          <w:szCs w:val="24"/>
        </w:rPr>
        <w:t>polyolefine</w:t>
      </w:r>
      <w:proofErr w:type="spellEnd"/>
      <w:r w:rsidRPr="00732305">
        <w:rPr>
          <w:sz w:val="24"/>
          <w:szCs w:val="24"/>
        </w:rPr>
        <w:t xml:space="preserve"> </w:t>
      </w:r>
      <w:proofErr w:type="spellStart"/>
      <w:r w:rsidRPr="00732305">
        <w:rPr>
          <w:sz w:val="24"/>
          <w:szCs w:val="24"/>
        </w:rPr>
        <w:t>copolymerer</w:t>
      </w:r>
      <w:proofErr w:type="spellEnd"/>
      <w:r w:rsidRPr="00732305">
        <w:rPr>
          <w:sz w:val="24"/>
          <w:szCs w:val="24"/>
        </w:rPr>
        <w:t xml:space="preserve"> og er forligelig med aminosyreopløsninger, </w:t>
      </w:r>
      <w:proofErr w:type="spellStart"/>
      <w:r w:rsidRPr="00732305">
        <w:rPr>
          <w:sz w:val="24"/>
          <w:szCs w:val="24"/>
        </w:rPr>
        <w:t>glucoseopløsninger</w:t>
      </w:r>
      <w:proofErr w:type="spellEnd"/>
      <w:r w:rsidRPr="00732305">
        <w:rPr>
          <w:sz w:val="24"/>
          <w:szCs w:val="24"/>
        </w:rPr>
        <w:t xml:space="preserve"> og fedtemulsioner. De andre lag er fremstillet af EVA (</w:t>
      </w:r>
      <w:proofErr w:type="spellStart"/>
      <w:r w:rsidRPr="00732305">
        <w:rPr>
          <w:sz w:val="24"/>
          <w:szCs w:val="24"/>
        </w:rPr>
        <w:t>polyethylenvinylacetat</w:t>
      </w:r>
      <w:proofErr w:type="spellEnd"/>
      <w:r w:rsidRPr="00732305">
        <w:rPr>
          <w:sz w:val="24"/>
          <w:szCs w:val="24"/>
        </w:rPr>
        <w:t xml:space="preserve">) og </w:t>
      </w:r>
      <w:proofErr w:type="spellStart"/>
      <w:r w:rsidRPr="00732305">
        <w:rPr>
          <w:sz w:val="24"/>
          <w:szCs w:val="24"/>
        </w:rPr>
        <w:t>copolyester</w:t>
      </w:r>
      <w:proofErr w:type="spellEnd"/>
      <w:r w:rsidRPr="00732305">
        <w:rPr>
          <w:sz w:val="24"/>
          <w:szCs w:val="24"/>
        </w:rPr>
        <w:t>.</w:t>
      </w:r>
    </w:p>
    <w:p w:rsidR="00145BF4" w:rsidRPr="00732305" w:rsidRDefault="00145BF4" w:rsidP="00145BF4">
      <w:pPr>
        <w:tabs>
          <w:tab w:val="left" w:pos="851"/>
        </w:tabs>
        <w:ind w:left="851"/>
        <w:rPr>
          <w:sz w:val="24"/>
          <w:szCs w:val="24"/>
        </w:rPr>
      </w:pPr>
    </w:p>
    <w:p w:rsidR="00145BF4" w:rsidRPr="00732305" w:rsidRDefault="00145BF4" w:rsidP="00145BF4">
      <w:pPr>
        <w:tabs>
          <w:tab w:val="left" w:pos="851"/>
        </w:tabs>
        <w:ind w:left="851"/>
        <w:rPr>
          <w:sz w:val="24"/>
          <w:szCs w:val="24"/>
        </w:rPr>
      </w:pPr>
      <w:proofErr w:type="spellStart"/>
      <w:r w:rsidRPr="00732305">
        <w:rPr>
          <w:sz w:val="24"/>
          <w:szCs w:val="24"/>
        </w:rPr>
        <w:t>Glucosekammeret</w:t>
      </w:r>
      <w:proofErr w:type="spellEnd"/>
      <w:r w:rsidRPr="00732305">
        <w:rPr>
          <w:sz w:val="24"/>
          <w:szCs w:val="24"/>
        </w:rPr>
        <w:t xml:space="preserve"> er udstyret med en injektionsport, der kan anvendes til tilsætninger.</w:t>
      </w:r>
    </w:p>
    <w:p w:rsidR="00145BF4" w:rsidRPr="00732305" w:rsidRDefault="00145BF4" w:rsidP="00145BF4">
      <w:pPr>
        <w:tabs>
          <w:tab w:val="left" w:pos="851"/>
        </w:tabs>
        <w:ind w:left="851"/>
        <w:rPr>
          <w:sz w:val="24"/>
          <w:szCs w:val="24"/>
        </w:rPr>
      </w:pPr>
    </w:p>
    <w:p w:rsidR="00145BF4" w:rsidRPr="00732305" w:rsidRDefault="00145BF4" w:rsidP="00145BF4">
      <w:pPr>
        <w:tabs>
          <w:tab w:val="left" w:pos="851"/>
        </w:tabs>
        <w:ind w:left="851"/>
        <w:rPr>
          <w:sz w:val="24"/>
          <w:szCs w:val="24"/>
        </w:rPr>
      </w:pPr>
      <w:r w:rsidRPr="00732305">
        <w:rPr>
          <w:sz w:val="24"/>
          <w:szCs w:val="24"/>
        </w:rPr>
        <w:t>Aminosyrekammeret er udstyret med en indgivelsesport til indsættelse af infusionssættets spyd.</w:t>
      </w:r>
    </w:p>
    <w:p w:rsidR="00145BF4" w:rsidRPr="00732305" w:rsidRDefault="00145BF4" w:rsidP="00145BF4">
      <w:pPr>
        <w:tabs>
          <w:tab w:val="left" w:pos="851"/>
        </w:tabs>
        <w:ind w:left="851"/>
        <w:rPr>
          <w:sz w:val="24"/>
          <w:szCs w:val="24"/>
        </w:rPr>
      </w:pPr>
    </w:p>
    <w:p w:rsidR="00145BF4" w:rsidRPr="00732305" w:rsidRDefault="00145BF4" w:rsidP="00145BF4">
      <w:pPr>
        <w:tabs>
          <w:tab w:val="left" w:pos="851"/>
        </w:tabs>
        <w:ind w:left="851"/>
        <w:rPr>
          <w:sz w:val="24"/>
          <w:szCs w:val="24"/>
        </w:rPr>
      </w:pPr>
      <w:r w:rsidRPr="00732305">
        <w:rPr>
          <w:sz w:val="24"/>
          <w:szCs w:val="24"/>
        </w:rPr>
        <w:t>Posen er pakket i en yderpose med iltbarriere, som indeholder en iltabsorber.</w:t>
      </w:r>
    </w:p>
    <w:p w:rsidR="00145BF4" w:rsidRPr="00732305" w:rsidRDefault="00145BF4" w:rsidP="00145BF4">
      <w:pPr>
        <w:tabs>
          <w:tab w:val="left" w:pos="851"/>
        </w:tabs>
        <w:ind w:left="851"/>
        <w:rPr>
          <w:sz w:val="24"/>
          <w:szCs w:val="24"/>
        </w:rPr>
      </w:pPr>
    </w:p>
    <w:p w:rsidR="00145BF4" w:rsidRPr="00732305" w:rsidRDefault="00145BF4" w:rsidP="00145BF4">
      <w:pPr>
        <w:tabs>
          <w:tab w:val="left" w:pos="851"/>
        </w:tabs>
        <w:ind w:left="851"/>
        <w:rPr>
          <w:b/>
          <w:bCs/>
          <w:sz w:val="24"/>
          <w:szCs w:val="24"/>
        </w:rPr>
      </w:pPr>
      <w:bookmarkStart w:id="12" w:name="_ISIW_UH_30"/>
      <w:r w:rsidRPr="00732305">
        <w:rPr>
          <w:b/>
          <w:bCs/>
          <w:sz w:val="24"/>
          <w:szCs w:val="24"/>
        </w:rPr>
        <w:t>Pakningsstørrelser:</w:t>
      </w:r>
    </w:p>
    <w:bookmarkEnd w:id="12"/>
    <w:p w:rsidR="00145BF4" w:rsidRPr="00732305" w:rsidRDefault="00145BF4" w:rsidP="00145BF4">
      <w:pPr>
        <w:tabs>
          <w:tab w:val="left" w:pos="851"/>
        </w:tabs>
        <w:ind w:left="851"/>
        <w:rPr>
          <w:sz w:val="24"/>
          <w:szCs w:val="24"/>
        </w:rPr>
      </w:pPr>
    </w:p>
    <w:p w:rsidR="00145BF4" w:rsidRPr="00732305" w:rsidRDefault="00145BF4" w:rsidP="00145BF4">
      <w:pPr>
        <w:tabs>
          <w:tab w:val="left" w:pos="851"/>
        </w:tabs>
        <w:ind w:left="851"/>
        <w:rPr>
          <w:sz w:val="24"/>
          <w:szCs w:val="24"/>
        </w:rPr>
      </w:pPr>
      <w:r w:rsidRPr="00732305">
        <w:rPr>
          <w:sz w:val="24"/>
          <w:szCs w:val="24"/>
        </w:rPr>
        <w:t>650 ml pose: 1 kasse med 10 poser</w:t>
      </w:r>
    </w:p>
    <w:p w:rsidR="00145BF4" w:rsidRPr="00732305" w:rsidRDefault="00145BF4" w:rsidP="00145BF4">
      <w:pPr>
        <w:tabs>
          <w:tab w:val="left" w:pos="851"/>
        </w:tabs>
        <w:ind w:left="851"/>
        <w:rPr>
          <w:sz w:val="24"/>
          <w:szCs w:val="24"/>
        </w:rPr>
      </w:pPr>
      <w:r w:rsidRPr="00732305">
        <w:rPr>
          <w:sz w:val="24"/>
          <w:szCs w:val="24"/>
        </w:rPr>
        <w:t>1000 ml pose: 1 kasse med 6 poser</w:t>
      </w:r>
    </w:p>
    <w:p w:rsidR="00145BF4" w:rsidRPr="00732305" w:rsidRDefault="00145BF4" w:rsidP="00145BF4">
      <w:pPr>
        <w:tabs>
          <w:tab w:val="left" w:pos="851"/>
        </w:tabs>
        <w:ind w:left="851"/>
        <w:rPr>
          <w:sz w:val="24"/>
          <w:szCs w:val="24"/>
        </w:rPr>
      </w:pPr>
      <w:r w:rsidRPr="00732305">
        <w:rPr>
          <w:sz w:val="24"/>
          <w:szCs w:val="24"/>
        </w:rPr>
        <w:t>1500 ml pose: 1 kasse med 4 poser</w:t>
      </w:r>
    </w:p>
    <w:p w:rsidR="00145BF4" w:rsidRPr="00732305" w:rsidRDefault="00145BF4" w:rsidP="00145BF4">
      <w:pPr>
        <w:tabs>
          <w:tab w:val="left" w:pos="851"/>
        </w:tabs>
        <w:ind w:left="851"/>
        <w:rPr>
          <w:sz w:val="24"/>
          <w:szCs w:val="24"/>
        </w:rPr>
      </w:pPr>
      <w:r w:rsidRPr="00732305">
        <w:rPr>
          <w:sz w:val="24"/>
          <w:szCs w:val="24"/>
        </w:rPr>
        <w:t>2000 ml pose: 1 kasse med 4 poser</w:t>
      </w:r>
    </w:p>
    <w:p w:rsidR="00145BF4" w:rsidRPr="00732305" w:rsidRDefault="00145BF4" w:rsidP="00145BF4">
      <w:pPr>
        <w:tabs>
          <w:tab w:val="left" w:pos="851"/>
        </w:tabs>
        <w:ind w:left="851"/>
        <w:rPr>
          <w:sz w:val="24"/>
          <w:szCs w:val="24"/>
        </w:rPr>
      </w:pPr>
      <w:r w:rsidRPr="00732305">
        <w:rPr>
          <w:sz w:val="24"/>
          <w:szCs w:val="24"/>
        </w:rPr>
        <w:t>1 pose med 650 ml, 1000 ml, 1500 ml, 2000 ml.</w:t>
      </w:r>
    </w:p>
    <w:p w:rsidR="00145BF4" w:rsidRPr="00732305" w:rsidRDefault="00145BF4" w:rsidP="00145BF4">
      <w:pPr>
        <w:tabs>
          <w:tab w:val="left" w:pos="851"/>
        </w:tabs>
        <w:ind w:left="851"/>
        <w:rPr>
          <w:sz w:val="24"/>
          <w:szCs w:val="24"/>
        </w:rPr>
      </w:pPr>
    </w:p>
    <w:p w:rsidR="00145BF4" w:rsidRPr="00732305" w:rsidRDefault="00145BF4" w:rsidP="00145BF4">
      <w:pPr>
        <w:tabs>
          <w:tab w:val="left" w:pos="851"/>
        </w:tabs>
        <w:ind w:left="851"/>
        <w:rPr>
          <w:sz w:val="24"/>
          <w:szCs w:val="24"/>
        </w:rPr>
      </w:pPr>
      <w:r w:rsidRPr="00732305">
        <w:rPr>
          <w:sz w:val="24"/>
          <w:szCs w:val="24"/>
        </w:rPr>
        <w:t>Ikke alle pakningsstørrelser er nødvendigvis markedsført.</w:t>
      </w:r>
    </w:p>
    <w:p w:rsidR="00145BF4" w:rsidRPr="00732305" w:rsidRDefault="00145BF4" w:rsidP="00145BF4">
      <w:pPr>
        <w:tabs>
          <w:tab w:val="left" w:pos="851"/>
        </w:tabs>
        <w:ind w:left="851"/>
        <w:rPr>
          <w:sz w:val="24"/>
          <w:szCs w:val="24"/>
        </w:rPr>
      </w:pPr>
    </w:p>
    <w:p w:rsidR="00145BF4" w:rsidRPr="00732305" w:rsidRDefault="00145BF4" w:rsidP="00145BF4">
      <w:pPr>
        <w:tabs>
          <w:tab w:val="left" w:pos="851"/>
        </w:tabs>
        <w:ind w:left="851" w:hanging="851"/>
        <w:rPr>
          <w:b/>
          <w:sz w:val="24"/>
          <w:szCs w:val="24"/>
        </w:rPr>
      </w:pPr>
      <w:r w:rsidRPr="00732305">
        <w:rPr>
          <w:b/>
          <w:sz w:val="24"/>
          <w:szCs w:val="24"/>
        </w:rPr>
        <w:t>6.6</w:t>
      </w:r>
      <w:r w:rsidRPr="00732305">
        <w:rPr>
          <w:b/>
          <w:sz w:val="24"/>
          <w:szCs w:val="24"/>
        </w:rPr>
        <w:tab/>
        <w:t xml:space="preserve">Regler for </w:t>
      </w:r>
      <w:r w:rsidR="00BF57C2">
        <w:rPr>
          <w:b/>
          <w:sz w:val="24"/>
          <w:szCs w:val="24"/>
        </w:rPr>
        <w:t>bortskaffelse</w:t>
      </w:r>
      <w:r w:rsidRPr="00732305">
        <w:rPr>
          <w:b/>
          <w:sz w:val="24"/>
          <w:szCs w:val="24"/>
        </w:rPr>
        <w:t xml:space="preserve"> og anden håndtering</w:t>
      </w:r>
    </w:p>
    <w:p w:rsidR="00145BF4" w:rsidRDefault="00145BF4" w:rsidP="00145BF4">
      <w:pPr>
        <w:tabs>
          <w:tab w:val="left" w:pos="851"/>
        </w:tabs>
        <w:ind w:left="851"/>
        <w:rPr>
          <w:b/>
          <w:bCs/>
          <w:sz w:val="24"/>
          <w:szCs w:val="24"/>
        </w:rPr>
      </w:pPr>
      <w:bookmarkStart w:id="13" w:name="_ISIW_UH_32"/>
    </w:p>
    <w:p w:rsidR="00145BF4" w:rsidRPr="00732305" w:rsidRDefault="00145BF4" w:rsidP="00145BF4">
      <w:pPr>
        <w:tabs>
          <w:tab w:val="left" w:pos="851"/>
        </w:tabs>
        <w:ind w:left="851"/>
        <w:rPr>
          <w:b/>
          <w:bCs/>
          <w:sz w:val="24"/>
          <w:szCs w:val="24"/>
        </w:rPr>
      </w:pPr>
      <w:r w:rsidRPr="00732305">
        <w:rPr>
          <w:b/>
          <w:bCs/>
          <w:sz w:val="24"/>
          <w:szCs w:val="24"/>
        </w:rPr>
        <w:t>Sådan åbnes pakningen</w:t>
      </w:r>
    </w:p>
    <w:bookmarkEnd w:id="13"/>
    <w:p w:rsidR="00145BF4" w:rsidRPr="00732305" w:rsidRDefault="00145BF4" w:rsidP="00145BF4">
      <w:pPr>
        <w:tabs>
          <w:tab w:val="left" w:pos="851"/>
        </w:tabs>
        <w:ind w:left="851"/>
        <w:rPr>
          <w:sz w:val="24"/>
          <w:szCs w:val="24"/>
        </w:rPr>
      </w:pPr>
      <w:r w:rsidRPr="00732305">
        <w:rPr>
          <w:bCs/>
          <w:sz w:val="24"/>
          <w:szCs w:val="24"/>
        </w:rPr>
        <w:t>Fjern den beskyttende yderpose.</w:t>
      </w:r>
    </w:p>
    <w:p w:rsidR="00145BF4" w:rsidRPr="00732305" w:rsidRDefault="00145BF4" w:rsidP="00145BF4">
      <w:pPr>
        <w:tabs>
          <w:tab w:val="left" w:pos="851"/>
        </w:tabs>
        <w:ind w:left="851"/>
        <w:rPr>
          <w:sz w:val="24"/>
          <w:szCs w:val="24"/>
        </w:rPr>
      </w:pPr>
    </w:p>
    <w:p w:rsidR="00145BF4" w:rsidRPr="00732305" w:rsidRDefault="00145BF4" w:rsidP="00145BF4">
      <w:pPr>
        <w:tabs>
          <w:tab w:val="left" w:pos="851"/>
        </w:tabs>
        <w:ind w:left="851"/>
        <w:rPr>
          <w:sz w:val="24"/>
          <w:szCs w:val="24"/>
        </w:rPr>
      </w:pPr>
      <w:r w:rsidRPr="00732305">
        <w:rPr>
          <w:sz w:val="24"/>
          <w:szCs w:val="24"/>
        </w:rPr>
        <w:t xml:space="preserve">Fjern iltabsorberen. </w:t>
      </w:r>
    </w:p>
    <w:p w:rsidR="00145BF4" w:rsidRPr="00732305" w:rsidRDefault="00145BF4" w:rsidP="00145BF4">
      <w:pPr>
        <w:tabs>
          <w:tab w:val="left" w:pos="851"/>
        </w:tabs>
        <w:ind w:left="851"/>
        <w:rPr>
          <w:sz w:val="24"/>
          <w:szCs w:val="24"/>
        </w:rPr>
      </w:pPr>
    </w:p>
    <w:p w:rsidR="00145BF4" w:rsidRPr="00732305" w:rsidRDefault="00145BF4" w:rsidP="00145BF4">
      <w:pPr>
        <w:tabs>
          <w:tab w:val="left" w:pos="851"/>
        </w:tabs>
        <w:ind w:left="851"/>
        <w:rPr>
          <w:sz w:val="24"/>
          <w:szCs w:val="24"/>
        </w:rPr>
      </w:pPr>
      <w:r w:rsidRPr="00732305">
        <w:rPr>
          <w:sz w:val="24"/>
          <w:szCs w:val="24"/>
        </w:rPr>
        <w:t xml:space="preserve">Kontrollér, at posen og de ikke-permanente forseglinger er hele og uskadte. Må kun anvendes, hvis posen ikke er beskadiget, hvis de ikke-permanente forseglinger er intakte (dvs. uden at indholdet af de tre kamre er blandet), hvis aminosyreopløsningen og </w:t>
      </w:r>
      <w:proofErr w:type="spellStart"/>
      <w:r w:rsidRPr="00732305">
        <w:rPr>
          <w:sz w:val="24"/>
          <w:szCs w:val="24"/>
        </w:rPr>
        <w:t>glucoseopløsningen</w:t>
      </w:r>
      <w:proofErr w:type="spellEnd"/>
      <w:r w:rsidRPr="00732305">
        <w:rPr>
          <w:sz w:val="24"/>
          <w:szCs w:val="24"/>
        </w:rPr>
        <w:t xml:space="preserve"> er klare, farveløse eller svagt gule og så godt som fri for synlige partikler, og hvis fedtemulsionen er en homogen væske med et mælkeagtigt udseende.</w:t>
      </w:r>
    </w:p>
    <w:p w:rsidR="00145BF4" w:rsidRPr="00732305" w:rsidRDefault="00145BF4" w:rsidP="00145BF4">
      <w:pPr>
        <w:tabs>
          <w:tab w:val="left" w:pos="851"/>
        </w:tabs>
        <w:ind w:left="851"/>
        <w:rPr>
          <w:b/>
          <w:bCs/>
          <w:sz w:val="24"/>
          <w:szCs w:val="24"/>
        </w:rPr>
      </w:pPr>
      <w:bookmarkStart w:id="14" w:name="_ISIW_UH_33"/>
    </w:p>
    <w:p w:rsidR="00145BF4" w:rsidRPr="00732305" w:rsidRDefault="00145BF4" w:rsidP="00145BF4">
      <w:pPr>
        <w:tabs>
          <w:tab w:val="left" w:pos="851"/>
        </w:tabs>
        <w:ind w:left="851"/>
        <w:rPr>
          <w:b/>
          <w:bCs/>
          <w:sz w:val="24"/>
          <w:szCs w:val="24"/>
        </w:rPr>
      </w:pPr>
      <w:r w:rsidRPr="00732305">
        <w:rPr>
          <w:b/>
          <w:bCs/>
          <w:sz w:val="24"/>
          <w:szCs w:val="24"/>
        </w:rPr>
        <w:t>Sådan blandes opløsningerne og emulsionen</w:t>
      </w:r>
    </w:p>
    <w:bookmarkEnd w:id="14"/>
    <w:p w:rsidR="00145BF4" w:rsidRPr="00732305" w:rsidRDefault="00145BF4" w:rsidP="00145BF4">
      <w:pPr>
        <w:tabs>
          <w:tab w:val="left" w:pos="851"/>
        </w:tabs>
        <w:ind w:left="851"/>
        <w:rPr>
          <w:sz w:val="24"/>
          <w:szCs w:val="24"/>
        </w:rPr>
      </w:pPr>
      <w:r w:rsidRPr="00732305">
        <w:rPr>
          <w:sz w:val="24"/>
          <w:szCs w:val="24"/>
        </w:rPr>
        <w:t>Sørg for, at produktet har stuetemperatur, når de ikke-permanente forseglinger brydes.</w:t>
      </w:r>
    </w:p>
    <w:p w:rsidR="00145BF4" w:rsidRPr="00732305" w:rsidRDefault="00145BF4" w:rsidP="00145BF4">
      <w:pPr>
        <w:tabs>
          <w:tab w:val="left" w:pos="851"/>
        </w:tabs>
        <w:ind w:left="851"/>
        <w:rPr>
          <w:sz w:val="24"/>
          <w:szCs w:val="24"/>
        </w:rPr>
      </w:pPr>
    </w:p>
    <w:p w:rsidR="00145BF4" w:rsidRPr="00732305" w:rsidRDefault="00145BF4" w:rsidP="00145BF4">
      <w:pPr>
        <w:tabs>
          <w:tab w:val="left" w:pos="851"/>
        </w:tabs>
        <w:ind w:left="851"/>
        <w:rPr>
          <w:sz w:val="24"/>
          <w:szCs w:val="24"/>
        </w:rPr>
      </w:pPr>
      <w:r w:rsidRPr="00732305">
        <w:rPr>
          <w:sz w:val="24"/>
          <w:szCs w:val="24"/>
        </w:rPr>
        <w:t>Rul posen sammen manuelt, idet du begynder foroven på posen (ophængningsenden). De ikke-permanente forseglinger forsvinder fra siden i nærheden af portene. Fortsæt med at rulle, indtil forseglingerne er halvvejs åbne.</w:t>
      </w:r>
    </w:p>
    <w:p w:rsidR="00145BF4" w:rsidRPr="00732305" w:rsidRDefault="00145BF4" w:rsidP="00145BF4">
      <w:pPr>
        <w:tabs>
          <w:tab w:val="left" w:pos="851"/>
        </w:tabs>
        <w:ind w:left="851"/>
        <w:rPr>
          <w:sz w:val="24"/>
          <w:szCs w:val="24"/>
        </w:rPr>
      </w:pPr>
    </w:p>
    <w:p w:rsidR="00145BF4" w:rsidRPr="00732305" w:rsidRDefault="00145BF4" w:rsidP="00145BF4">
      <w:pPr>
        <w:tabs>
          <w:tab w:val="left" w:pos="851"/>
        </w:tabs>
        <w:ind w:left="851"/>
        <w:rPr>
          <w:sz w:val="24"/>
          <w:szCs w:val="24"/>
        </w:rPr>
      </w:pPr>
      <w:r w:rsidRPr="00732305">
        <w:rPr>
          <w:sz w:val="24"/>
          <w:szCs w:val="24"/>
        </w:rPr>
        <w:t>Bland ved at vende posen mindst 3 gange.</w:t>
      </w:r>
    </w:p>
    <w:p w:rsidR="00145BF4" w:rsidRPr="00732305" w:rsidRDefault="00145BF4" w:rsidP="00145BF4">
      <w:pPr>
        <w:tabs>
          <w:tab w:val="left" w:pos="851"/>
        </w:tabs>
        <w:ind w:left="851"/>
        <w:rPr>
          <w:sz w:val="24"/>
          <w:szCs w:val="24"/>
        </w:rPr>
      </w:pPr>
    </w:p>
    <w:p w:rsidR="00145BF4" w:rsidRPr="00732305" w:rsidRDefault="00145BF4" w:rsidP="00145BF4">
      <w:pPr>
        <w:tabs>
          <w:tab w:val="left" w:pos="851"/>
        </w:tabs>
        <w:ind w:left="851"/>
        <w:rPr>
          <w:sz w:val="24"/>
          <w:szCs w:val="24"/>
        </w:rPr>
      </w:pPr>
      <w:r w:rsidRPr="00732305">
        <w:rPr>
          <w:sz w:val="24"/>
          <w:szCs w:val="24"/>
        </w:rPr>
        <w:t xml:space="preserve">Efter </w:t>
      </w:r>
      <w:proofErr w:type="spellStart"/>
      <w:r w:rsidRPr="00732305">
        <w:rPr>
          <w:sz w:val="24"/>
          <w:szCs w:val="24"/>
        </w:rPr>
        <w:t>rekonstitution</w:t>
      </w:r>
      <w:proofErr w:type="spellEnd"/>
      <w:r w:rsidRPr="00732305">
        <w:rPr>
          <w:sz w:val="24"/>
          <w:szCs w:val="24"/>
        </w:rPr>
        <w:t xml:space="preserve"> fremtræder blandingen som en homogen mælkeagtig emulsion.</w:t>
      </w:r>
    </w:p>
    <w:p w:rsidR="00145BF4" w:rsidRPr="00732305" w:rsidRDefault="00145BF4" w:rsidP="00145BF4">
      <w:pPr>
        <w:tabs>
          <w:tab w:val="left" w:pos="851"/>
        </w:tabs>
        <w:ind w:left="851"/>
        <w:rPr>
          <w:b/>
          <w:bCs/>
          <w:sz w:val="24"/>
          <w:szCs w:val="24"/>
        </w:rPr>
      </w:pPr>
      <w:bookmarkStart w:id="15" w:name="_ISIW_UH_34"/>
    </w:p>
    <w:p w:rsidR="00145BF4" w:rsidRPr="00732305" w:rsidRDefault="00145BF4" w:rsidP="00111B8A">
      <w:pPr>
        <w:keepNext/>
        <w:tabs>
          <w:tab w:val="left" w:pos="851"/>
        </w:tabs>
        <w:ind w:left="851"/>
        <w:rPr>
          <w:b/>
          <w:bCs/>
          <w:sz w:val="24"/>
          <w:szCs w:val="24"/>
        </w:rPr>
      </w:pPr>
      <w:r w:rsidRPr="00732305">
        <w:rPr>
          <w:b/>
          <w:bCs/>
          <w:sz w:val="24"/>
          <w:szCs w:val="24"/>
        </w:rPr>
        <w:lastRenderedPageBreak/>
        <w:t>Tilsætninger</w:t>
      </w:r>
    </w:p>
    <w:bookmarkEnd w:id="15"/>
    <w:p w:rsidR="00145BF4" w:rsidRPr="00732305" w:rsidRDefault="00145BF4" w:rsidP="00145BF4">
      <w:pPr>
        <w:tabs>
          <w:tab w:val="left" w:pos="851"/>
        </w:tabs>
        <w:ind w:left="851"/>
        <w:rPr>
          <w:sz w:val="24"/>
          <w:szCs w:val="24"/>
        </w:rPr>
      </w:pPr>
      <w:r w:rsidRPr="00732305">
        <w:rPr>
          <w:sz w:val="24"/>
          <w:szCs w:val="24"/>
        </w:rPr>
        <w:t xml:space="preserve">Posen er stor nok til, at det er muligt at tilsætte vitaminer, elektrolytter og sporstoffer. Alle tilsætninger (inklusive vitaminer) kan foretages i den </w:t>
      </w:r>
      <w:proofErr w:type="spellStart"/>
      <w:r w:rsidRPr="00732305">
        <w:rPr>
          <w:sz w:val="24"/>
          <w:szCs w:val="24"/>
        </w:rPr>
        <w:t>rekonstituerede</w:t>
      </w:r>
      <w:proofErr w:type="spellEnd"/>
      <w:r w:rsidRPr="00732305">
        <w:rPr>
          <w:sz w:val="24"/>
          <w:szCs w:val="24"/>
        </w:rPr>
        <w:t xml:space="preserve"> blanding (efter at de ikke-permanente forseglinger er åbnet, og indholdet af de tre kamre er blevet blandet).</w:t>
      </w:r>
    </w:p>
    <w:p w:rsidR="00145BF4" w:rsidRPr="00732305" w:rsidRDefault="00145BF4" w:rsidP="00145BF4">
      <w:pPr>
        <w:tabs>
          <w:tab w:val="left" w:pos="851"/>
        </w:tabs>
        <w:ind w:left="851"/>
        <w:rPr>
          <w:sz w:val="24"/>
          <w:szCs w:val="24"/>
        </w:rPr>
      </w:pPr>
    </w:p>
    <w:p w:rsidR="00145BF4" w:rsidRPr="00732305" w:rsidRDefault="00145BF4" w:rsidP="00145BF4">
      <w:pPr>
        <w:tabs>
          <w:tab w:val="left" w:pos="851"/>
        </w:tabs>
        <w:ind w:left="851"/>
        <w:rPr>
          <w:sz w:val="24"/>
          <w:szCs w:val="24"/>
        </w:rPr>
      </w:pPr>
      <w:r w:rsidRPr="00732305">
        <w:rPr>
          <w:sz w:val="24"/>
          <w:szCs w:val="24"/>
        </w:rPr>
        <w:t xml:space="preserve">Vitaminer kan ligeledes tilsættes i </w:t>
      </w:r>
      <w:proofErr w:type="spellStart"/>
      <w:r w:rsidRPr="00732305">
        <w:rPr>
          <w:sz w:val="24"/>
          <w:szCs w:val="24"/>
        </w:rPr>
        <w:t>glucosekammeret</w:t>
      </w:r>
      <w:proofErr w:type="spellEnd"/>
      <w:r w:rsidRPr="00732305">
        <w:rPr>
          <w:sz w:val="24"/>
          <w:szCs w:val="24"/>
        </w:rPr>
        <w:t xml:space="preserve">, før blandingen </w:t>
      </w:r>
      <w:proofErr w:type="spellStart"/>
      <w:r w:rsidRPr="00732305">
        <w:rPr>
          <w:sz w:val="24"/>
          <w:szCs w:val="24"/>
        </w:rPr>
        <w:t>rekonstitueres</w:t>
      </w:r>
      <w:proofErr w:type="spellEnd"/>
      <w:r w:rsidRPr="00732305">
        <w:rPr>
          <w:sz w:val="24"/>
          <w:szCs w:val="24"/>
        </w:rPr>
        <w:t xml:space="preserve"> (før de ikke-permanente forseglinger åbnes, og før indholdet af de tre kamre blandes).</w:t>
      </w:r>
    </w:p>
    <w:p w:rsidR="00145BF4" w:rsidRPr="00732305" w:rsidRDefault="00145BF4" w:rsidP="00145BF4">
      <w:pPr>
        <w:tabs>
          <w:tab w:val="left" w:pos="851"/>
        </w:tabs>
        <w:ind w:left="851"/>
        <w:rPr>
          <w:sz w:val="24"/>
          <w:szCs w:val="24"/>
        </w:rPr>
      </w:pPr>
    </w:p>
    <w:p w:rsidR="00145BF4" w:rsidRPr="00732305" w:rsidRDefault="00145BF4" w:rsidP="00145BF4">
      <w:pPr>
        <w:tabs>
          <w:tab w:val="left" w:pos="851"/>
        </w:tabs>
        <w:ind w:left="851"/>
        <w:rPr>
          <w:sz w:val="24"/>
          <w:szCs w:val="24"/>
        </w:rPr>
      </w:pPr>
      <w:r w:rsidRPr="00732305">
        <w:rPr>
          <w:sz w:val="24"/>
          <w:szCs w:val="24"/>
        </w:rPr>
        <w:t>Tilsætninger skal foretages under aseptiske forhold og af kvalificeret personale.</w:t>
      </w:r>
    </w:p>
    <w:p w:rsidR="00145BF4" w:rsidRPr="00732305" w:rsidRDefault="00145BF4" w:rsidP="00145BF4">
      <w:pPr>
        <w:tabs>
          <w:tab w:val="left" w:pos="851"/>
        </w:tabs>
        <w:ind w:left="851"/>
        <w:rPr>
          <w:sz w:val="24"/>
          <w:szCs w:val="24"/>
        </w:rPr>
      </w:pPr>
    </w:p>
    <w:p w:rsidR="00145BF4" w:rsidRPr="00732305" w:rsidRDefault="00145BF4" w:rsidP="00145BF4">
      <w:pPr>
        <w:tabs>
          <w:tab w:val="left" w:pos="851"/>
        </w:tabs>
        <w:ind w:left="851"/>
        <w:rPr>
          <w:sz w:val="24"/>
          <w:szCs w:val="24"/>
        </w:rPr>
      </w:pPr>
      <w:r w:rsidRPr="00732305">
        <w:rPr>
          <w:sz w:val="24"/>
          <w:szCs w:val="24"/>
        </w:rPr>
        <w:t xml:space="preserve">Der kan tilsættes elektrolytter, uorganisk/organisk </w:t>
      </w:r>
      <w:proofErr w:type="spellStart"/>
      <w:r w:rsidRPr="00732305">
        <w:rPr>
          <w:sz w:val="24"/>
          <w:szCs w:val="24"/>
        </w:rPr>
        <w:t>phosphat</w:t>
      </w:r>
      <w:proofErr w:type="spellEnd"/>
      <w:r w:rsidRPr="00732305">
        <w:rPr>
          <w:sz w:val="24"/>
          <w:szCs w:val="24"/>
        </w:rPr>
        <w:t xml:space="preserve"> og kommercielt tilgængelige multivitaminprodukter (f.eks. </w:t>
      </w:r>
      <w:proofErr w:type="spellStart"/>
      <w:r w:rsidRPr="00732305">
        <w:rPr>
          <w:sz w:val="24"/>
          <w:szCs w:val="24"/>
        </w:rPr>
        <w:t>Cernevit</w:t>
      </w:r>
      <w:proofErr w:type="spellEnd"/>
      <w:r w:rsidRPr="00732305">
        <w:rPr>
          <w:sz w:val="24"/>
          <w:szCs w:val="24"/>
        </w:rPr>
        <w:t xml:space="preserve">) og multisporstoffer (f.eks. </w:t>
      </w:r>
      <w:proofErr w:type="spellStart"/>
      <w:r w:rsidRPr="00732305">
        <w:rPr>
          <w:sz w:val="24"/>
          <w:szCs w:val="24"/>
        </w:rPr>
        <w:t>Nutryelt</w:t>
      </w:r>
      <w:proofErr w:type="spellEnd"/>
      <w:r w:rsidRPr="00732305">
        <w:rPr>
          <w:sz w:val="24"/>
          <w:szCs w:val="24"/>
        </w:rPr>
        <w:t xml:space="preserve">) til </w:t>
      </w:r>
      <w:proofErr w:type="spellStart"/>
      <w:r w:rsidRPr="00732305">
        <w:rPr>
          <w:sz w:val="24"/>
          <w:szCs w:val="24"/>
        </w:rPr>
        <w:t>Olimel</w:t>
      </w:r>
      <w:proofErr w:type="spellEnd"/>
      <w:r w:rsidRPr="00732305">
        <w:rPr>
          <w:sz w:val="24"/>
          <w:szCs w:val="24"/>
        </w:rPr>
        <w:t xml:space="preserve"> N12. Det maksimale totale niveau af tilsætninger angivet i tabellen nedenfor er påvist ved stabilitetsdata og skal ikke betragtes som dosisanbefalinger. Tilsætninger bør bestemmes af patientens kliniske behov og bør ikke overstige retningslinjerne for ernæring. </w:t>
      </w:r>
    </w:p>
    <w:p w:rsidR="00145BF4" w:rsidRPr="00732305" w:rsidRDefault="00145BF4" w:rsidP="00145BF4">
      <w:pPr>
        <w:tabs>
          <w:tab w:val="left" w:pos="851"/>
        </w:tabs>
        <w:ind w:left="851"/>
        <w:rPr>
          <w:sz w:val="24"/>
          <w:szCs w:val="24"/>
        </w:rPr>
      </w:pPr>
    </w:p>
    <w:p w:rsidR="00145BF4" w:rsidRPr="00732305" w:rsidRDefault="00145BF4" w:rsidP="00145BF4">
      <w:pPr>
        <w:tabs>
          <w:tab w:val="left" w:pos="851"/>
        </w:tabs>
        <w:ind w:left="851"/>
        <w:rPr>
          <w:sz w:val="24"/>
          <w:szCs w:val="24"/>
        </w:rPr>
      </w:pPr>
      <w:r w:rsidRPr="00732305">
        <w:rPr>
          <w:sz w:val="24"/>
          <w:szCs w:val="24"/>
        </w:rPr>
        <w:t xml:space="preserve">Kompatibiliteten kan variere mellem produkter fra forskellige kilder, og sundhedsfagligt personale tilrådes at udvise passende kontrol, når </w:t>
      </w:r>
      <w:proofErr w:type="spellStart"/>
      <w:r w:rsidRPr="00732305">
        <w:rPr>
          <w:sz w:val="24"/>
          <w:szCs w:val="24"/>
        </w:rPr>
        <w:t>Olimel</w:t>
      </w:r>
      <w:proofErr w:type="spellEnd"/>
      <w:r w:rsidRPr="00732305">
        <w:rPr>
          <w:sz w:val="24"/>
          <w:szCs w:val="24"/>
        </w:rPr>
        <w:t xml:space="preserve"> N12 blandes med andre parenterale opløsninger.</w:t>
      </w:r>
    </w:p>
    <w:p w:rsidR="004762D1" w:rsidRDefault="004762D1" w:rsidP="004762D1">
      <w:pPr>
        <w:tabs>
          <w:tab w:val="left" w:pos="851"/>
        </w:tabs>
        <w:ind w:left="851"/>
        <w:rPr>
          <w:sz w:val="24"/>
          <w:szCs w:val="24"/>
        </w:rPr>
      </w:pPr>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2169"/>
        <w:gridCol w:w="2082"/>
        <w:gridCol w:w="2785"/>
        <w:gridCol w:w="2586"/>
      </w:tblGrid>
      <w:tr w:rsidR="004762D1" w:rsidTr="004762D1">
        <w:trPr>
          <w:jc w:val="center"/>
        </w:trPr>
        <w:tc>
          <w:tcPr>
            <w:tcW w:w="5000" w:type="pct"/>
            <w:gridSpan w:val="4"/>
            <w:tcBorders>
              <w:top w:val="single" w:sz="6" w:space="0" w:color="000000"/>
              <w:left w:val="single" w:sz="6" w:space="0" w:color="000000"/>
              <w:bottom w:val="single" w:sz="6" w:space="0" w:color="000000"/>
              <w:right w:val="single" w:sz="6" w:space="0" w:color="000000"/>
            </w:tcBorders>
            <w:hideMark/>
          </w:tcPr>
          <w:p w:rsidR="004762D1" w:rsidRDefault="004762D1">
            <w:pPr>
              <w:spacing w:before="60" w:after="60"/>
              <w:jc w:val="center"/>
              <w:rPr>
                <w:b/>
                <w:sz w:val="20"/>
                <w:lang w:eastAsia="ja-JP"/>
              </w:rPr>
            </w:pPr>
            <w:r>
              <w:rPr>
                <w:b/>
                <w:sz w:val="20"/>
              </w:rPr>
              <w:t xml:space="preserve">Mulige tilsætninger for 1000 ml </w:t>
            </w:r>
            <w:proofErr w:type="spellStart"/>
            <w:r>
              <w:rPr>
                <w:b/>
                <w:sz w:val="20"/>
              </w:rPr>
              <w:t>Olimel</w:t>
            </w:r>
            <w:proofErr w:type="spellEnd"/>
            <w:r>
              <w:rPr>
                <w:b/>
                <w:sz w:val="20"/>
              </w:rPr>
              <w:t xml:space="preserve"> N12 (for pædiatriske patienter)</w:t>
            </w:r>
          </w:p>
        </w:tc>
      </w:tr>
      <w:tr w:rsidR="004762D1" w:rsidTr="004762D1">
        <w:trPr>
          <w:jc w:val="center"/>
        </w:trPr>
        <w:tc>
          <w:tcPr>
            <w:tcW w:w="1127" w:type="pct"/>
            <w:tcBorders>
              <w:top w:val="single" w:sz="6" w:space="0" w:color="000000"/>
              <w:left w:val="single" w:sz="6" w:space="0" w:color="000000"/>
              <w:bottom w:val="single" w:sz="6" w:space="0" w:color="000000"/>
              <w:right w:val="single" w:sz="6" w:space="0" w:color="000000"/>
            </w:tcBorders>
          </w:tcPr>
          <w:p w:rsidR="004762D1" w:rsidRDefault="004762D1">
            <w:pPr>
              <w:spacing w:before="60" w:after="60"/>
              <w:jc w:val="center"/>
              <w:rPr>
                <w:sz w:val="20"/>
                <w:lang w:eastAsia="ja-JP"/>
              </w:rPr>
            </w:pPr>
          </w:p>
        </w:tc>
        <w:tc>
          <w:tcPr>
            <w:tcW w:w="1082" w:type="pct"/>
            <w:tcBorders>
              <w:top w:val="single" w:sz="6" w:space="0" w:color="000000"/>
              <w:left w:val="single" w:sz="6" w:space="0" w:color="000000"/>
              <w:bottom w:val="single" w:sz="6" w:space="0" w:color="000000"/>
              <w:right w:val="single" w:sz="6" w:space="0" w:color="000000"/>
            </w:tcBorders>
            <w:hideMark/>
          </w:tcPr>
          <w:p w:rsidR="004762D1" w:rsidRDefault="004762D1">
            <w:pPr>
              <w:spacing w:before="60" w:after="60"/>
              <w:jc w:val="center"/>
              <w:rPr>
                <w:sz w:val="20"/>
                <w:lang w:eastAsia="ja-JP"/>
              </w:rPr>
            </w:pPr>
            <w:r>
              <w:rPr>
                <w:sz w:val="20"/>
                <w:lang w:eastAsia="ja-JP"/>
              </w:rPr>
              <w:t>Inkluderet niveau</w:t>
            </w:r>
          </w:p>
        </w:tc>
        <w:tc>
          <w:tcPr>
            <w:tcW w:w="1447" w:type="pct"/>
            <w:tcBorders>
              <w:top w:val="single" w:sz="6" w:space="0" w:color="000000"/>
              <w:left w:val="single" w:sz="6" w:space="0" w:color="000000"/>
              <w:bottom w:val="single" w:sz="6" w:space="0" w:color="000000"/>
              <w:right w:val="single" w:sz="6" w:space="0" w:color="000000"/>
            </w:tcBorders>
            <w:hideMark/>
          </w:tcPr>
          <w:p w:rsidR="004762D1" w:rsidRDefault="004762D1">
            <w:pPr>
              <w:spacing w:before="60" w:after="60"/>
              <w:jc w:val="center"/>
              <w:rPr>
                <w:sz w:val="20"/>
                <w:lang w:eastAsia="ja-JP"/>
              </w:rPr>
            </w:pPr>
            <w:r>
              <w:rPr>
                <w:sz w:val="20"/>
                <w:lang w:eastAsia="ja-JP"/>
              </w:rPr>
              <w:t>Maksimal yderligere tilsætning</w:t>
            </w:r>
          </w:p>
        </w:tc>
        <w:tc>
          <w:tcPr>
            <w:tcW w:w="1344" w:type="pct"/>
            <w:tcBorders>
              <w:top w:val="single" w:sz="6" w:space="0" w:color="000000"/>
              <w:left w:val="single" w:sz="6" w:space="0" w:color="000000"/>
              <w:bottom w:val="single" w:sz="6" w:space="0" w:color="000000"/>
              <w:right w:val="single" w:sz="6" w:space="0" w:color="000000"/>
            </w:tcBorders>
            <w:hideMark/>
          </w:tcPr>
          <w:p w:rsidR="004762D1" w:rsidRDefault="004762D1">
            <w:pPr>
              <w:spacing w:before="60" w:after="60"/>
              <w:jc w:val="center"/>
              <w:rPr>
                <w:sz w:val="20"/>
                <w:lang w:eastAsia="ja-JP"/>
              </w:rPr>
            </w:pPr>
            <w:r>
              <w:rPr>
                <w:sz w:val="20"/>
                <w:lang w:eastAsia="ja-JP"/>
              </w:rPr>
              <w:t>Maksimalt samlet niveau</w:t>
            </w:r>
          </w:p>
        </w:tc>
      </w:tr>
      <w:tr w:rsidR="004762D1" w:rsidTr="004762D1">
        <w:trPr>
          <w:jc w:val="center"/>
        </w:trPr>
        <w:tc>
          <w:tcPr>
            <w:tcW w:w="1127" w:type="pct"/>
            <w:tcBorders>
              <w:top w:val="single" w:sz="6" w:space="0" w:color="000000"/>
              <w:left w:val="single" w:sz="6" w:space="0" w:color="000000"/>
              <w:bottom w:val="single" w:sz="6" w:space="0" w:color="000000"/>
              <w:right w:val="single" w:sz="6" w:space="0" w:color="000000"/>
            </w:tcBorders>
            <w:hideMark/>
          </w:tcPr>
          <w:p w:rsidR="004762D1" w:rsidRDefault="004762D1">
            <w:pPr>
              <w:spacing w:before="60" w:after="60"/>
              <w:jc w:val="center"/>
              <w:rPr>
                <w:sz w:val="20"/>
                <w:lang w:eastAsia="ja-JP"/>
              </w:rPr>
            </w:pPr>
            <w:r>
              <w:rPr>
                <w:sz w:val="20"/>
                <w:lang w:eastAsia="ja-JP"/>
              </w:rPr>
              <w:t>Natrium</w:t>
            </w:r>
          </w:p>
        </w:tc>
        <w:tc>
          <w:tcPr>
            <w:tcW w:w="1082" w:type="pct"/>
            <w:tcBorders>
              <w:top w:val="single" w:sz="6" w:space="0" w:color="000000"/>
              <w:left w:val="single" w:sz="6" w:space="0" w:color="000000"/>
              <w:bottom w:val="single" w:sz="6" w:space="0" w:color="000000"/>
              <w:right w:val="single" w:sz="6" w:space="0" w:color="000000"/>
            </w:tcBorders>
            <w:hideMark/>
          </w:tcPr>
          <w:p w:rsidR="004762D1" w:rsidRDefault="004762D1">
            <w:pPr>
              <w:spacing w:before="60" w:after="60"/>
              <w:jc w:val="center"/>
              <w:rPr>
                <w:sz w:val="20"/>
                <w:lang w:eastAsia="ja-JP"/>
              </w:rPr>
            </w:pPr>
            <w:r>
              <w:rPr>
                <w:sz w:val="20"/>
                <w:lang w:eastAsia="ja-JP"/>
              </w:rPr>
              <w:t>0 mmol</w:t>
            </w:r>
          </w:p>
        </w:tc>
        <w:tc>
          <w:tcPr>
            <w:tcW w:w="1447" w:type="pct"/>
            <w:tcBorders>
              <w:top w:val="single" w:sz="6" w:space="0" w:color="000000"/>
              <w:left w:val="single" w:sz="6" w:space="0" w:color="000000"/>
              <w:bottom w:val="single" w:sz="6" w:space="0" w:color="000000"/>
              <w:right w:val="single" w:sz="6" w:space="0" w:color="000000"/>
            </w:tcBorders>
            <w:hideMark/>
          </w:tcPr>
          <w:p w:rsidR="004762D1" w:rsidRDefault="004762D1">
            <w:pPr>
              <w:spacing w:before="60" w:after="60"/>
              <w:jc w:val="center"/>
              <w:rPr>
                <w:sz w:val="20"/>
                <w:lang w:eastAsia="ja-JP"/>
              </w:rPr>
            </w:pPr>
            <w:r>
              <w:rPr>
                <w:sz w:val="20"/>
                <w:lang w:eastAsia="ja-JP"/>
              </w:rPr>
              <w:t>150 mmol</w:t>
            </w:r>
          </w:p>
        </w:tc>
        <w:tc>
          <w:tcPr>
            <w:tcW w:w="1344" w:type="pct"/>
            <w:tcBorders>
              <w:top w:val="single" w:sz="6" w:space="0" w:color="000000"/>
              <w:left w:val="single" w:sz="6" w:space="0" w:color="000000"/>
              <w:bottom w:val="single" w:sz="6" w:space="0" w:color="000000"/>
              <w:right w:val="single" w:sz="6" w:space="0" w:color="000000"/>
            </w:tcBorders>
            <w:hideMark/>
          </w:tcPr>
          <w:p w:rsidR="004762D1" w:rsidRDefault="004762D1">
            <w:pPr>
              <w:spacing w:before="60" w:after="60"/>
              <w:jc w:val="center"/>
              <w:rPr>
                <w:sz w:val="20"/>
                <w:lang w:eastAsia="ja-JP"/>
              </w:rPr>
            </w:pPr>
            <w:r>
              <w:rPr>
                <w:sz w:val="20"/>
                <w:lang w:eastAsia="ja-JP"/>
              </w:rPr>
              <w:t>150 mmol</w:t>
            </w:r>
          </w:p>
        </w:tc>
      </w:tr>
      <w:tr w:rsidR="004762D1" w:rsidTr="004762D1">
        <w:trPr>
          <w:jc w:val="center"/>
        </w:trPr>
        <w:tc>
          <w:tcPr>
            <w:tcW w:w="1127" w:type="pct"/>
            <w:tcBorders>
              <w:top w:val="single" w:sz="6" w:space="0" w:color="000000"/>
              <w:left w:val="single" w:sz="6" w:space="0" w:color="000000"/>
              <w:bottom w:val="single" w:sz="6" w:space="0" w:color="000000"/>
              <w:right w:val="single" w:sz="6" w:space="0" w:color="000000"/>
            </w:tcBorders>
            <w:hideMark/>
          </w:tcPr>
          <w:p w:rsidR="004762D1" w:rsidRDefault="004762D1">
            <w:pPr>
              <w:spacing w:before="60" w:after="60"/>
              <w:jc w:val="center"/>
              <w:rPr>
                <w:sz w:val="20"/>
                <w:lang w:eastAsia="ja-JP"/>
              </w:rPr>
            </w:pPr>
            <w:r>
              <w:rPr>
                <w:sz w:val="20"/>
                <w:lang w:eastAsia="ja-JP"/>
              </w:rPr>
              <w:t>Kalium</w:t>
            </w:r>
          </w:p>
        </w:tc>
        <w:tc>
          <w:tcPr>
            <w:tcW w:w="1082" w:type="pct"/>
            <w:tcBorders>
              <w:top w:val="single" w:sz="6" w:space="0" w:color="000000"/>
              <w:left w:val="single" w:sz="6" w:space="0" w:color="000000"/>
              <w:bottom w:val="single" w:sz="6" w:space="0" w:color="000000"/>
              <w:right w:val="single" w:sz="6" w:space="0" w:color="000000"/>
            </w:tcBorders>
            <w:hideMark/>
          </w:tcPr>
          <w:p w:rsidR="004762D1" w:rsidRDefault="004762D1">
            <w:pPr>
              <w:spacing w:before="60" w:after="60"/>
              <w:jc w:val="center"/>
              <w:rPr>
                <w:sz w:val="20"/>
                <w:lang w:eastAsia="ja-JP"/>
              </w:rPr>
            </w:pPr>
            <w:r>
              <w:rPr>
                <w:sz w:val="20"/>
                <w:lang w:eastAsia="ja-JP"/>
              </w:rPr>
              <w:t>0 mmol</w:t>
            </w:r>
          </w:p>
        </w:tc>
        <w:tc>
          <w:tcPr>
            <w:tcW w:w="1447" w:type="pct"/>
            <w:tcBorders>
              <w:top w:val="single" w:sz="6" w:space="0" w:color="000000"/>
              <w:left w:val="single" w:sz="6" w:space="0" w:color="000000"/>
              <w:bottom w:val="single" w:sz="6" w:space="0" w:color="000000"/>
              <w:right w:val="single" w:sz="6" w:space="0" w:color="000000"/>
            </w:tcBorders>
            <w:hideMark/>
          </w:tcPr>
          <w:p w:rsidR="004762D1" w:rsidRDefault="004762D1">
            <w:pPr>
              <w:spacing w:before="60" w:after="60"/>
              <w:jc w:val="center"/>
              <w:rPr>
                <w:sz w:val="20"/>
                <w:lang w:eastAsia="ja-JP"/>
              </w:rPr>
            </w:pPr>
            <w:r>
              <w:rPr>
                <w:sz w:val="20"/>
                <w:lang w:eastAsia="ja-JP"/>
              </w:rPr>
              <w:t>150 mmol</w:t>
            </w:r>
          </w:p>
        </w:tc>
        <w:tc>
          <w:tcPr>
            <w:tcW w:w="1344" w:type="pct"/>
            <w:tcBorders>
              <w:top w:val="single" w:sz="6" w:space="0" w:color="000000"/>
              <w:left w:val="single" w:sz="6" w:space="0" w:color="000000"/>
              <w:bottom w:val="single" w:sz="6" w:space="0" w:color="000000"/>
              <w:right w:val="single" w:sz="6" w:space="0" w:color="000000"/>
            </w:tcBorders>
            <w:hideMark/>
          </w:tcPr>
          <w:p w:rsidR="004762D1" w:rsidRDefault="004762D1">
            <w:pPr>
              <w:spacing w:before="60" w:after="60"/>
              <w:jc w:val="center"/>
              <w:rPr>
                <w:sz w:val="20"/>
                <w:lang w:eastAsia="ja-JP"/>
              </w:rPr>
            </w:pPr>
            <w:r>
              <w:rPr>
                <w:sz w:val="20"/>
                <w:lang w:eastAsia="ja-JP"/>
              </w:rPr>
              <w:t>150 mmol</w:t>
            </w:r>
          </w:p>
        </w:tc>
      </w:tr>
      <w:tr w:rsidR="004762D1" w:rsidTr="004762D1">
        <w:trPr>
          <w:jc w:val="center"/>
        </w:trPr>
        <w:tc>
          <w:tcPr>
            <w:tcW w:w="1127" w:type="pct"/>
            <w:tcBorders>
              <w:top w:val="single" w:sz="6" w:space="0" w:color="000000"/>
              <w:left w:val="single" w:sz="6" w:space="0" w:color="000000"/>
              <w:bottom w:val="single" w:sz="6" w:space="0" w:color="000000"/>
              <w:right w:val="single" w:sz="6" w:space="0" w:color="000000"/>
            </w:tcBorders>
            <w:hideMark/>
          </w:tcPr>
          <w:p w:rsidR="004762D1" w:rsidRDefault="004762D1">
            <w:pPr>
              <w:spacing w:before="60" w:after="60"/>
              <w:jc w:val="center"/>
              <w:rPr>
                <w:sz w:val="20"/>
                <w:lang w:eastAsia="ja-JP"/>
              </w:rPr>
            </w:pPr>
            <w:r>
              <w:rPr>
                <w:sz w:val="20"/>
                <w:lang w:eastAsia="ja-JP"/>
              </w:rPr>
              <w:t>Magnesium</w:t>
            </w:r>
          </w:p>
        </w:tc>
        <w:tc>
          <w:tcPr>
            <w:tcW w:w="1082" w:type="pct"/>
            <w:tcBorders>
              <w:top w:val="single" w:sz="6" w:space="0" w:color="000000"/>
              <w:left w:val="single" w:sz="6" w:space="0" w:color="000000"/>
              <w:bottom w:val="single" w:sz="6" w:space="0" w:color="000000"/>
              <w:right w:val="single" w:sz="6" w:space="0" w:color="000000"/>
            </w:tcBorders>
            <w:hideMark/>
          </w:tcPr>
          <w:p w:rsidR="004762D1" w:rsidRDefault="004762D1">
            <w:pPr>
              <w:spacing w:before="60" w:after="60"/>
              <w:jc w:val="center"/>
              <w:rPr>
                <w:sz w:val="20"/>
                <w:lang w:eastAsia="ja-JP"/>
              </w:rPr>
            </w:pPr>
            <w:r>
              <w:rPr>
                <w:sz w:val="20"/>
                <w:lang w:eastAsia="ja-JP"/>
              </w:rPr>
              <w:t>0 mmol</w:t>
            </w:r>
          </w:p>
        </w:tc>
        <w:tc>
          <w:tcPr>
            <w:tcW w:w="1447" w:type="pct"/>
            <w:tcBorders>
              <w:top w:val="single" w:sz="6" w:space="0" w:color="000000"/>
              <w:left w:val="single" w:sz="6" w:space="0" w:color="000000"/>
              <w:bottom w:val="single" w:sz="6" w:space="0" w:color="000000"/>
              <w:right w:val="single" w:sz="6" w:space="0" w:color="000000"/>
            </w:tcBorders>
            <w:hideMark/>
          </w:tcPr>
          <w:p w:rsidR="004762D1" w:rsidRDefault="004762D1">
            <w:pPr>
              <w:spacing w:before="60" w:after="60"/>
              <w:jc w:val="center"/>
              <w:rPr>
                <w:sz w:val="20"/>
                <w:lang w:eastAsia="ja-JP"/>
              </w:rPr>
            </w:pPr>
            <w:r>
              <w:rPr>
                <w:sz w:val="20"/>
                <w:lang w:eastAsia="ja-JP"/>
              </w:rPr>
              <w:t>5,6 mmol</w:t>
            </w:r>
          </w:p>
        </w:tc>
        <w:tc>
          <w:tcPr>
            <w:tcW w:w="1344" w:type="pct"/>
            <w:tcBorders>
              <w:top w:val="single" w:sz="6" w:space="0" w:color="000000"/>
              <w:left w:val="single" w:sz="6" w:space="0" w:color="000000"/>
              <w:bottom w:val="single" w:sz="6" w:space="0" w:color="000000"/>
              <w:right w:val="single" w:sz="6" w:space="0" w:color="000000"/>
            </w:tcBorders>
            <w:hideMark/>
          </w:tcPr>
          <w:p w:rsidR="004762D1" w:rsidRDefault="004762D1">
            <w:pPr>
              <w:spacing w:before="60" w:after="60"/>
              <w:jc w:val="center"/>
              <w:rPr>
                <w:sz w:val="20"/>
                <w:lang w:eastAsia="ja-JP"/>
              </w:rPr>
            </w:pPr>
            <w:r>
              <w:rPr>
                <w:sz w:val="20"/>
                <w:lang w:eastAsia="ja-JP"/>
              </w:rPr>
              <w:t>5,6 mmol</w:t>
            </w:r>
          </w:p>
        </w:tc>
      </w:tr>
      <w:tr w:rsidR="004762D1" w:rsidTr="004762D1">
        <w:trPr>
          <w:trHeight w:val="393"/>
          <w:jc w:val="center"/>
        </w:trPr>
        <w:tc>
          <w:tcPr>
            <w:tcW w:w="1127" w:type="pct"/>
            <w:tcBorders>
              <w:top w:val="single" w:sz="6" w:space="0" w:color="000000"/>
              <w:left w:val="single" w:sz="6" w:space="0" w:color="000000"/>
              <w:bottom w:val="single" w:sz="6" w:space="0" w:color="000000"/>
              <w:right w:val="single" w:sz="6" w:space="0" w:color="000000"/>
            </w:tcBorders>
            <w:hideMark/>
          </w:tcPr>
          <w:p w:rsidR="004762D1" w:rsidRDefault="004762D1">
            <w:pPr>
              <w:spacing w:before="60" w:after="60"/>
              <w:jc w:val="center"/>
              <w:rPr>
                <w:sz w:val="20"/>
                <w:lang w:eastAsia="ja-JP"/>
              </w:rPr>
            </w:pPr>
            <w:r>
              <w:rPr>
                <w:sz w:val="20"/>
                <w:lang w:eastAsia="ja-JP"/>
              </w:rPr>
              <w:t>Calcium</w:t>
            </w:r>
          </w:p>
        </w:tc>
        <w:tc>
          <w:tcPr>
            <w:tcW w:w="1082" w:type="pct"/>
            <w:tcBorders>
              <w:top w:val="single" w:sz="6" w:space="0" w:color="000000"/>
              <w:left w:val="single" w:sz="6" w:space="0" w:color="000000"/>
              <w:bottom w:val="single" w:sz="6" w:space="0" w:color="000000"/>
              <w:right w:val="single" w:sz="6" w:space="0" w:color="000000"/>
            </w:tcBorders>
            <w:hideMark/>
          </w:tcPr>
          <w:p w:rsidR="004762D1" w:rsidRDefault="004762D1">
            <w:pPr>
              <w:spacing w:before="60" w:after="60"/>
              <w:jc w:val="center"/>
              <w:rPr>
                <w:sz w:val="20"/>
                <w:lang w:eastAsia="ja-JP"/>
              </w:rPr>
            </w:pPr>
            <w:r>
              <w:rPr>
                <w:sz w:val="20"/>
                <w:lang w:eastAsia="ja-JP"/>
              </w:rPr>
              <w:t>0 mmol</w:t>
            </w:r>
          </w:p>
        </w:tc>
        <w:tc>
          <w:tcPr>
            <w:tcW w:w="1447" w:type="pct"/>
            <w:tcBorders>
              <w:top w:val="single" w:sz="6" w:space="0" w:color="000000"/>
              <w:left w:val="single" w:sz="6" w:space="0" w:color="000000"/>
              <w:bottom w:val="single" w:sz="6" w:space="0" w:color="000000"/>
              <w:right w:val="single" w:sz="6" w:space="0" w:color="000000"/>
            </w:tcBorders>
            <w:hideMark/>
          </w:tcPr>
          <w:p w:rsidR="004762D1" w:rsidRDefault="004762D1">
            <w:pPr>
              <w:spacing w:before="60" w:after="60"/>
              <w:jc w:val="center"/>
              <w:rPr>
                <w:sz w:val="20"/>
                <w:lang w:eastAsia="ja-JP"/>
              </w:rPr>
            </w:pPr>
            <w:r>
              <w:rPr>
                <w:sz w:val="20"/>
                <w:lang w:eastAsia="ja-JP"/>
              </w:rPr>
              <w:t>5,0 mmol</w:t>
            </w:r>
          </w:p>
        </w:tc>
        <w:tc>
          <w:tcPr>
            <w:tcW w:w="1344" w:type="pct"/>
            <w:tcBorders>
              <w:top w:val="single" w:sz="6" w:space="0" w:color="000000"/>
              <w:left w:val="single" w:sz="6" w:space="0" w:color="000000"/>
              <w:bottom w:val="single" w:sz="6" w:space="0" w:color="000000"/>
              <w:right w:val="single" w:sz="6" w:space="0" w:color="000000"/>
            </w:tcBorders>
            <w:hideMark/>
          </w:tcPr>
          <w:p w:rsidR="004762D1" w:rsidRDefault="004762D1">
            <w:pPr>
              <w:spacing w:before="60" w:after="60"/>
              <w:jc w:val="center"/>
              <w:rPr>
                <w:sz w:val="20"/>
                <w:lang w:eastAsia="ja-JP"/>
              </w:rPr>
            </w:pPr>
            <w:r>
              <w:rPr>
                <w:sz w:val="20"/>
                <w:lang w:eastAsia="ja-JP"/>
              </w:rPr>
              <w:t>5,0 mmol</w:t>
            </w:r>
          </w:p>
        </w:tc>
      </w:tr>
      <w:tr w:rsidR="004762D1" w:rsidTr="004762D1">
        <w:trPr>
          <w:jc w:val="center"/>
        </w:trPr>
        <w:tc>
          <w:tcPr>
            <w:tcW w:w="1127" w:type="pct"/>
            <w:tcBorders>
              <w:top w:val="single" w:sz="6" w:space="0" w:color="000000"/>
              <w:left w:val="single" w:sz="6" w:space="0" w:color="000000"/>
              <w:bottom w:val="single" w:sz="6" w:space="0" w:color="000000"/>
              <w:right w:val="single" w:sz="6" w:space="0" w:color="000000"/>
            </w:tcBorders>
            <w:hideMark/>
          </w:tcPr>
          <w:p w:rsidR="004762D1" w:rsidRDefault="004762D1">
            <w:pPr>
              <w:spacing w:before="60" w:after="60"/>
              <w:jc w:val="center"/>
              <w:rPr>
                <w:sz w:val="20"/>
                <w:lang w:eastAsia="ja-JP"/>
              </w:rPr>
            </w:pPr>
            <w:r>
              <w:rPr>
                <w:sz w:val="20"/>
                <w:lang w:eastAsia="ja-JP"/>
              </w:rPr>
              <w:t xml:space="preserve">Uorganisk </w:t>
            </w:r>
            <w:proofErr w:type="spellStart"/>
            <w:r>
              <w:rPr>
                <w:sz w:val="20"/>
                <w:lang w:eastAsia="ja-JP"/>
              </w:rPr>
              <w:t>phosphat</w:t>
            </w:r>
            <w:proofErr w:type="spellEnd"/>
          </w:p>
        </w:tc>
        <w:tc>
          <w:tcPr>
            <w:tcW w:w="1082" w:type="pct"/>
            <w:tcBorders>
              <w:top w:val="single" w:sz="6" w:space="0" w:color="000000"/>
              <w:left w:val="single" w:sz="6" w:space="0" w:color="000000"/>
              <w:bottom w:val="single" w:sz="6" w:space="0" w:color="000000"/>
              <w:right w:val="single" w:sz="6" w:space="0" w:color="000000"/>
            </w:tcBorders>
            <w:hideMark/>
          </w:tcPr>
          <w:p w:rsidR="004762D1" w:rsidRDefault="004762D1">
            <w:pPr>
              <w:spacing w:before="60" w:after="60"/>
              <w:jc w:val="center"/>
              <w:rPr>
                <w:sz w:val="20"/>
                <w:lang w:eastAsia="ja-JP"/>
              </w:rPr>
            </w:pPr>
            <w:r>
              <w:rPr>
                <w:sz w:val="20"/>
                <w:lang w:eastAsia="ja-JP"/>
              </w:rPr>
              <w:t>0 mmol</w:t>
            </w:r>
          </w:p>
        </w:tc>
        <w:tc>
          <w:tcPr>
            <w:tcW w:w="1447" w:type="pct"/>
            <w:vMerge w:val="restart"/>
            <w:tcBorders>
              <w:top w:val="single" w:sz="6" w:space="0" w:color="000000"/>
              <w:left w:val="single" w:sz="6" w:space="0" w:color="000000"/>
              <w:bottom w:val="single" w:sz="6" w:space="0" w:color="000000"/>
              <w:right w:val="single" w:sz="6" w:space="0" w:color="000000"/>
            </w:tcBorders>
            <w:hideMark/>
          </w:tcPr>
          <w:p w:rsidR="004762D1" w:rsidRDefault="004762D1">
            <w:pPr>
              <w:jc w:val="center"/>
              <w:rPr>
                <w:sz w:val="20"/>
                <w:lang w:eastAsia="ja-JP"/>
              </w:rPr>
            </w:pPr>
            <w:r>
              <w:rPr>
                <w:sz w:val="20"/>
              </w:rPr>
              <w:t>10 mmol Pi + 12 mmol Po</w:t>
            </w:r>
            <w:r>
              <w:rPr>
                <w:sz w:val="20"/>
                <w:vertAlign w:val="superscript"/>
              </w:rPr>
              <w:t xml:space="preserve"> </w:t>
            </w:r>
            <w:r>
              <w:rPr>
                <w:sz w:val="20"/>
                <w:vertAlign w:val="superscript"/>
              </w:rPr>
              <w:br/>
            </w:r>
            <w:r>
              <w:rPr>
                <w:sz w:val="20"/>
              </w:rPr>
              <w:t>eller</w:t>
            </w:r>
            <w:r>
              <w:rPr>
                <w:sz w:val="20"/>
              </w:rPr>
              <w:br/>
              <w:t xml:space="preserve">22 mmol </w:t>
            </w:r>
            <w:proofErr w:type="spellStart"/>
            <w:r>
              <w:rPr>
                <w:sz w:val="20"/>
              </w:rPr>
              <w:t>Po</w:t>
            </w:r>
            <w:r>
              <w:rPr>
                <w:sz w:val="20"/>
                <w:vertAlign w:val="superscript"/>
              </w:rPr>
              <w:t>b</w:t>
            </w:r>
            <w:proofErr w:type="spellEnd"/>
          </w:p>
        </w:tc>
        <w:tc>
          <w:tcPr>
            <w:tcW w:w="1344" w:type="pct"/>
            <w:vMerge w:val="restart"/>
            <w:tcBorders>
              <w:top w:val="single" w:sz="6" w:space="0" w:color="000000"/>
              <w:left w:val="single" w:sz="6" w:space="0" w:color="000000"/>
              <w:bottom w:val="single" w:sz="6" w:space="0" w:color="000000"/>
              <w:right w:val="single" w:sz="6" w:space="0" w:color="000000"/>
            </w:tcBorders>
            <w:hideMark/>
          </w:tcPr>
          <w:p w:rsidR="004762D1" w:rsidRDefault="004762D1">
            <w:pPr>
              <w:jc w:val="center"/>
              <w:rPr>
                <w:sz w:val="20"/>
                <w:vertAlign w:val="superscript"/>
                <w:lang w:eastAsia="ja-JP"/>
              </w:rPr>
            </w:pPr>
            <w:r>
              <w:rPr>
                <w:sz w:val="20"/>
              </w:rPr>
              <w:t>10 mmol Pi + 15 mmol Po</w:t>
            </w:r>
            <w:r>
              <w:rPr>
                <w:sz w:val="20"/>
                <w:vertAlign w:val="superscript"/>
              </w:rPr>
              <w:br/>
            </w:r>
            <w:r>
              <w:rPr>
                <w:sz w:val="20"/>
              </w:rPr>
              <w:t>eller</w:t>
            </w:r>
            <w:r>
              <w:rPr>
                <w:sz w:val="20"/>
              </w:rPr>
              <w:br/>
              <w:t xml:space="preserve">25 mmol </w:t>
            </w:r>
            <w:proofErr w:type="spellStart"/>
            <w:proofErr w:type="gramStart"/>
            <w:r>
              <w:rPr>
                <w:sz w:val="20"/>
              </w:rPr>
              <w:t>Po</w:t>
            </w:r>
            <w:r>
              <w:rPr>
                <w:sz w:val="20"/>
                <w:vertAlign w:val="superscript"/>
              </w:rPr>
              <w:t>a,b</w:t>
            </w:r>
            <w:proofErr w:type="spellEnd"/>
            <w:proofErr w:type="gramEnd"/>
          </w:p>
        </w:tc>
      </w:tr>
      <w:tr w:rsidR="004762D1" w:rsidTr="004762D1">
        <w:trPr>
          <w:jc w:val="center"/>
        </w:trPr>
        <w:tc>
          <w:tcPr>
            <w:tcW w:w="1127" w:type="pct"/>
            <w:tcBorders>
              <w:top w:val="single" w:sz="6" w:space="0" w:color="000000"/>
              <w:left w:val="single" w:sz="6" w:space="0" w:color="000000"/>
              <w:bottom w:val="single" w:sz="6" w:space="0" w:color="000000"/>
              <w:right w:val="single" w:sz="6" w:space="0" w:color="000000"/>
            </w:tcBorders>
            <w:hideMark/>
          </w:tcPr>
          <w:p w:rsidR="004762D1" w:rsidRDefault="004762D1">
            <w:pPr>
              <w:spacing w:before="60" w:after="60"/>
              <w:jc w:val="center"/>
              <w:rPr>
                <w:sz w:val="20"/>
                <w:lang w:eastAsia="ja-JP"/>
              </w:rPr>
            </w:pPr>
            <w:r>
              <w:rPr>
                <w:sz w:val="20"/>
                <w:lang w:eastAsia="ja-JP"/>
              </w:rPr>
              <w:t xml:space="preserve">Organisk </w:t>
            </w:r>
            <w:proofErr w:type="spellStart"/>
            <w:r>
              <w:rPr>
                <w:sz w:val="20"/>
                <w:lang w:eastAsia="ja-JP"/>
              </w:rPr>
              <w:t>phosphat</w:t>
            </w:r>
            <w:proofErr w:type="spellEnd"/>
          </w:p>
        </w:tc>
        <w:tc>
          <w:tcPr>
            <w:tcW w:w="1082" w:type="pct"/>
            <w:tcBorders>
              <w:top w:val="single" w:sz="6" w:space="0" w:color="000000"/>
              <w:left w:val="single" w:sz="6" w:space="0" w:color="000000"/>
              <w:bottom w:val="single" w:sz="6" w:space="0" w:color="000000"/>
              <w:right w:val="single" w:sz="6" w:space="0" w:color="000000"/>
            </w:tcBorders>
            <w:hideMark/>
          </w:tcPr>
          <w:p w:rsidR="004762D1" w:rsidRDefault="004762D1">
            <w:pPr>
              <w:spacing w:before="60" w:after="60"/>
              <w:jc w:val="center"/>
              <w:rPr>
                <w:sz w:val="20"/>
                <w:lang w:eastAsia="ja-JP"/>
              </w:rPr>
            </w:pPr>
            <w:r>
              <w:rPr>
                <w:sz w:val="20"/>
                <w:lang w:eastAsia="ja-JP"/>
              </w:rPr>
              <w:t xml:space="preserve">3 </w:t>
            </w:r>
            <w:proofErr w:type="spellStart"/>
            <w:r>
              <w:rPr>
                <w:sz w:val="20"/>
                <w:lang w:eastAsia="ja-JP"/>
              </w:rPr>
              <w:t>mmol</w:t>
            </w:r>
            <w:r>
              <w:rPr>
                <w:sz w:val="20"/>
                <w:vertAlign w:val="superscript"/>
                <w:lang w:eastAsia="ja-JP"/>
              </w:rPr>
              <w:t>a</w:t>
            </w:r>
            <w:proofErr w:type="spellEnd"/>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762D1" w:rsidRDefault="004762D1">
            <w:pPr>
              <w:rPr>
                <w:sz w:val="20"/>
                <w:lang w:eastAsia="ja-JP"/>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762D1" w:rsidRDefault="004762D1">
            <w:pPr>
              <w:rPr>
                <w:sz w:val="20"/>
                <w:vertAlign w:val="superscript"/>
                <w:lang w:eastAsia="ja-JP"/>
              </w:rPr>
            </w:pPr>
          </w:p>
        </w:tc>
      </w:tr>
      <w:tr w:rsidR="004762D1" w:rsidTr="004762D1">
        <w:trPr>
          <w:jc w:val="center"/>
        </w:trPr>
        <w:tc>
          <w:tcPr>
            <w:tcW w:w="5000" w:type="pct"/>
            <w:gridSpan w:val="4"/>
            <w:tcBorders>
              <w:top w:val="single" w:sz="6" w:space="0" w:color="000000"/>
              <w:left w:val="single" w:sz="6" w:space="0" w:color="000000"/>
              <w:bottom w:val="single" w:sz="6" w:space="0" w:color="000000"/>
              <w:right w:val="single" w:sz="6" w:space="0" w:color="000000"/>
            </w:tcBorders>
            <w:hideMark/>
          </w:tcPr>
          <w:p w:rsidR="004762D1" w:rsidRDefault="004762D1">
            <w:pPr>
              <w:spacing w:before="60" w:after="60"/>
              <w:jc w:val="center"/>
              <w:rPr>
                <w:b/>
                <w:sz w:val="20"/>
                <w:vertAlign w:val="superscript"/>
                <w:lang w:eastAsia="ja-JP"/>
              </w:rPr>
            </w:pPr>
            <w:r>
              <w:rPr>
                <w:b/>
                <w:sz w:val="20"/>
                <w:lang w:eastAsia="ja-JP"/>
              </w:rPr>
              <w:t xml:space="preserve">Andre tilsætninger (sporstoffer, vitaminer, selen og </w:t>
            </w:r>
            <w:proofErr w:type="gramStart"/>
            <w:r>
              <w:rPr>
                <w:b/>
                <w:sz w:val="20"/>
                <w:lang w:eastAsia="ja-JP"/>
              </w:rPr>
              <w:t>zink)</w:t>
            </w:r>
            <w:r>
              <w:rPr>
                <w:b/>
                <w:sz w:val="20"/>
                <w:vertAlign w:val="superscript"/>
                <w:lang w:eastAsia="ja-JP"/>
              </w:rPr>
              <w:t>c</w:t>
            </w:r>
            <w:proofErr w:type="gramEnd"/>
          </w:p>
        </w:tc>
      </w:tr>
      <w:tr w:rsidR="004762D1" w:rsidTr="004762D1">
        <w:trPr>
          <w:trHeight w:val="476"/>
          <w:jc w:val="center"/>
        </w:trPr>
        <w:tc>
          <w:tcPr>
            <w:tcW w:w="1127" w:type="pct"/>
            <w:tcBorders>
              <w:top w:val="single" w:sz="6" w:space="0" w:color="000000"/>
              <w:left w:val="single" w:sz="6" w:space="0" w:color="000000"/>
              <w:bottom w:val="single" w:sz="6" w:space="0" w:color="000000"/>
              <w:right w:val="single" w:sz="6" w:space="0" w:color="000000"/>
            </w:tcBorders>
            <w:hideMark/>
          </w:tcPr>
          <w:p w:rsidR="004762D1" w:rsidRDefault="004762D1">
            <w:pPr>
              <w:spacing w:before="60" w:after="60"/>
              <w:jc w:val="center"/>
              <w:rPr>
                <w:sz w:val="20"/>
                <w:lang w:eastAsia="ja-JP"/>
              </w:rPr>
            </w:pPr>
            <w:r>
              <w:rPr>
                <w:sz w:val="20"/>
                <w:lang w:eastAsia="ja-JP"/>
              </w:rPr>
              <w:t xml:space="preserve">Sporstoffer – </w:t>
            </w:r>
            <w:proofErr w:type="spellStart"/>
            <w:r>
              <w:rPr>
                <w:sz w:val="20"/>
                <w:lang w:eastAsia="ja-JP"/>
              </w:rPr>
              <w:t>Junyelt</w:t>
            </w:r>
            <w:r>
              <w:rPr>
                <w:sz w:val="20"/>
                <w:vertAlign w:val="superscript"/>
                <w:lang w:eastAsia="ja-JP"/>
              </w:rPr>
              <w:t>d</w:t>
            </w:r>
            <w:proofErr w:type="spellEnd"/>
          </w:p>
        </w:tc>
        <w:tc>
          <w:tcPr>
            <w:tcW w:w="3873" w:type="pct"/>
            <w:gridSpan w:val="3"/>
            <w:tcBorders>
              <w:top w:val="single" w:sz="6" w:space="0" w:color="000000"/>
              <w:left w:val="single" w:sz="6" w:space="0" w:color="000000"/>
              <w:bottom w:val="single" w:sz="6" w:space="0" w:color="000000"/>
              <w:right w:val="single" w:sz="6" w:space="0" w:color="000000"/>
            </w:tcBorders>
            <w:hideMark/>
          </w:tcPr>
          <w:p w:rsidR="004762D1" w:rsidRDefault="004762D1">
            <w:pPr>
              <w:spacing w:before="60" w:after="60"/>
              <w:jc w:val="center"/>
              <w:rPr>
                <w:sz w:val="20"/>
                <w:lang w:eastAsia="ja-JP"/>
              </w:rPr>
            </w:pPr>
            <w:r>
              <w:rPr>
                <w:sz w:val="20"/>
                <w:lang w:eastAsia="ja-JP"/>
              </w:rPr>
              <w:t>1 ampul pr. pose (10 ml koncentreret opløsning)</w:t>
            </w:r>
          </w:p>
        </w:tc>
      </w:tr>
      <w:tr w:rsidR="004762D1" w:rsidTr="004762D1">
        <w:trPr>
          <w:jc w:val="center"/>
        </w:trPr>
        <w:tc>
          <w:tcPr>
            <w:tcW w:w="1127" w:type="pct"/>
            <w:tcBorders>
              <w:top w:val="single" w:sz="6" w:space="0" w:color="000000"/>
              <w:left w:val="single" w:sz="6" w:space="0" w:color="000000"/>
              <w:bottom w:val="single" w:sz="6" w:space="0" w:color="000000"/>
              <w:right w:val="single" w:sz="6" w:space="0" w:color="000000"/>
            </w:tcBorders>
            <w:hideMark/>
          </w:tcPr>
          <w:p w:rsidR="004762D1" w:rsidRDefault="004762D1">
            <w:pPr>
              <w:spacing w:before="60" w:after="60"/>
              <w:jc w:val="center"/>
              <w:rPr>
                <w:sz w:val="20"/>
                <w:lang w:eastAsia="ja-JP"/>
              </w:rPr>
            </w:pPr>
            <w:proofErr w:type="spellStart"/>
            <w:r>
              <w:rPr>
                <w:sz w:val="20"/>
                <w:lang w:eastAsia="ja-JP"/>
              </w:rPr>
              <w:t>Vitaminer</w:t>
            </w:r>
            <w:r>
              <w:rPr>
                <w:sz w:val="20"/>
                <w:vertAlign w:val="superscript"/>
                <w:lang w:eastAsia="ja-JP"/>
              </w:rPr>
              <w:t>e</w:t>
            </w:r>
            <w:proofErr w:type="spellEnd"/>
          </w:p>
        </w:tc>
        <w:tc>
          <w:tcPr>
            <w:tcW w:w="3873" w:type="pct"/>
            <w:gridSpan w:val="3"/>
            <w:tcBorders>
              <w:top w:val="single" w:sz="6" w:space="0" w:color="000000"/>
              <w:left w:val="single" w:sz="6" w:space="0" w:color="000000"/>
              <w:bottom w:val="single" w:sz="6" w:space="0" w:color="000000"/>
              <w:right w:val="single" w:sz="6" w:space="0" w:color="000000"/>
            </w:tcBorders>
            <w:hideMark/>
          </w:tcPr>
          <w:p w:rsidR="004762D1" w:rsidRDefault="004762D1">
            <w:pPr>
              <w:spacing w:before="60" w:after="60"/>
              <w:jc w:val="center"/>
              <w:rPr>
                <w:sz w:val="20"/>
                <w:lang w:eastAsia="ja-JP"/>
              </w:rPr>
            </w:pPr>
            <w:r>
              <w:rPr>
                <w:sz w:val="20"/>
                <w:lang w:eastAsia="ja-JP"/>
              </w:rPr>
              <w:t>1 hætteglas (</w:t>
            </w:r>
            <w:proofErr w:type="spellStart"/>
            <w:r>
              <w:rPr>
                <w:sz w:val="20"/>
                <w:lang w:eastAsia="ja-JP"/>
              </w:rPr>
              <w:t>lyofilisat</w:t>
            </w:r>
            <w:proofErr w:type="spellEnd"/>
            <w:r>
              <w:rPr>
                <w:sz w:val="20"/>
                <w:lang w:eastAsia="ja-JP"/>
              </w:rPr>
              <w:t>)</w:t>
            </w:r>
          </w:p>
        </w:tc>
      </w:tr>
      <w:tr w:rsidR="004762D1" w:rsidTr="004762D1">
        <w:trPr>
          <w:jc w:val="center"/>
        </w:trPr>
        <w:tc>
          <w:tcPr>
            <w:tcW w:w="1127" w:type="pct"/>
            <w:tcBorders>
              <w:top w:val="single" w:sz="6" w:space="0" w:color="000000"/>
              <w:left w:val="single" w:sz="6" w:space="0" w:color="000000"/>
              <w:bottom w:val="single" w:sz="6" w:space="0" w:color="000000"/>
              <w:right w:val="single" w:sz="6" w:space="0" w:color="000000"/>
            </w:tcBorders>
            <w:hideMark/>
          </w:tcPr>
          <w:p w:rsidR="004762D1" w:rsidRDefault="004762D1">
            <w:pPr>
              <w:spacing w:before="60" w:after="60"/>
              <w:jc w:val="center"/>
              <w:rPr>
                <w:sz w:val="20"/>
                <w:lang w:eastAsia="ja-JP"/>
              </w:rPr>
            </w:pPr>
            <w:r>
              <w:rPr>
                <w:sz w:val="20"/>
                <w:lang w:eastAsia="ja-JP"/>
              </w:rPr>
              <w:t>Selen</w:t>
            </w:r>
          </w:p>
        </w:tc>
        <w:tc>
          <w:tcPr>
            <w:tcW w:w="3873" w:type="pct"/>
            <w:gridSpan w:val="3"/>
            <w:tcBorders>
              <w:top w:val="single" w:sz="6" w:space="0" w:color="000000"/>
              <w:left w:val="single" w:sz="6" w:space="0" w:color="000000"/>
              <w:bottom w:val="single" w:sz="6" w:space="0" w:color="000000"/>
              <w:right w:val="single" w:sz="6" w:space="0" w:color="000000"/>
            </w:tcBorders>
            <w:hideMark/>
          </w:tcPr>
          <w:p w:rsidR="004762D1" w:rsidRDefault="004762D1">
            <w:pPr>
              <w:spacing w:before="60" w:after="60"/>
              <w:jc w:val="center"/>
              <w:rPr>
                <w:sz w:val="20"/>
                <w:lang w:eastAsia="ja-JP"/>
              </w:rPr>
            </w:pPr>
            <w:r>
              <w:rPr>
                <w:sz w:val="20"/>
                <w:lang w:eastAsia="ja-JP"/>
              </w:rPr>
              <w:t xml:space="preserve">60 </w:t>
            </w:r>
            <w:proofErr w:type="spellStart"/>
            <w:r>
              <w:rPr>
                <w:sz w:val="20"/>
                <w:lang w:eastAsia="ja-JP"/>
              </w:rPr>
              <w:t>mikrog</w:t>
            </w:r>
            <w:proofErr w:type="spellEnd"/>
            <w:r>
              <w:rPr>
                <w:sz w:val="20"/>
                <w:lang w:eastAsia="ja-JP"/>
              </w:rPr>
              <w:t xml:space="preserve"> pr. pose</w:t>
            </w:r>
          </w:p>
        </w:tc>
      </w:tr>
      <w:tr w:rsidR="004762D1" w:rsidTr="004762D1">
        <w:trPr>
          <w:jc w:val="center"/>
        </w:trPr>
        <w:tc>
          <w:tcPr>
            <w:tcW w:w="1127" w:type="pct"/>
            <w:tcBorders>
              <w:top w:val="single" w:sz="6" w:space="0" w:color="000000"/>
              <w:left w:val="single" w:sz="6" w:space="0" w:color="000000"/>
              <w:bottom w:val="single" w:sz="6" w:space="0" w:color="000000"/>
              <w:right w:val="single" w:sz="6" w:space="0" w:color="000000"/>
            </w:tcBorders>
            <w:hideMark/>
          </w:tcPr>
          <w:p w:rsidR="004762D1" w:rsidRDefault="004762D1">
            <w:pPr>
              <w:spacing w:before="60" w:after="60"/>
              <w:jc w:val="center"/>
              <w:rPr>
                <w:sz w:val="20"/>
                <w:lang w:eastAsia="ja-JP"/>
              </w:rPr>
            </w:pPr>
            <w:r>
              <w:rPr>
                <w:sz w:val="20"/>
                <w:lang w:eastAsia="ja-JP"/>
              </w:rPr>
              <w:t>Zink</w:t>
            </w:r>
          </w:p>
        </w:tc>
        <w:tc>
          <w:tcPr>
            <w:tcW w:w="3873" w:type="pct"/>
            <w:gridSpan w:val="3"/>
            <w:tcBorders>
              <w:top w:val="single" w:sz="6" w:space="0" w:color="000000"/>
              <w:left w:val="single" w:sz="6" w:space="0" w:color="000000"/>
              <w:bottom w:val="single" w:sz="6" w:space="0" w:color="000000"/>
              <w:right w:val="single" w:sz="6" w:space="0" w:color="000000"/>
            </w:tcBorders>
            <w:hideMark/>
          </w:tcPr>
          <w:p w:rsidR="004762D1" w:rsidRDefault="004762D1">
            <w:pPr>
              <w:spacing w:before="60" w:after="60"/>
              <w:jc w:val="center"/>
              <w:rPr>
                <w:sz w:val="20"/>
                <w:lang w:eastAsia="ja-JP"/>
              </w:rPr>
            </w:pPr>
            <w:r>
              <w:rPr>
                <w:sz w:val="20"/>
                <w:lang w:eastAsia="ja-JP"/>
              </w:rPr>
              <w:t>3 mg pr. pose</w:t>
            </w:r>
          </w:p>
        </w:tc>
      </w:tr>
    </w:tbl>
    <w:p w:rsidR="004762D1" w:rsidRDefault="004762D1" w:rsidP="004762D1">
      <w:pPr>
        <w:numPr>
          <w:ilvl w:val="0"/>
          <w:numId w:val="18"/>
        </w:numPr>
        <w:spacing w:line="260" w:lineRule="exact"/>
        <w:ind w:left="284" w:hanging="284"/>
        <w:rPr>
          <w:sz w:val="20"/>
          <w:lang w:eastAsia="ja-JP"/>
        </w:rPr>
      </w:pPr>
      <w:r>
        <w:rPr>
          <w:sz w:val="20"/>
          <w:lang w:eastAsia="ja-JP"/>
        </w:rPr>
        <w:t xml:space="preserve">Inkl. </w:t>
      </w:r>
      <w:proofErr w:type="spellStart"/>
      <w:r>
        <w:rPr>
          <w:sz w:val="20"/>
          <w:lang w:eastAsia="ja-JP"/>
        </w:rPr>
        <w:t>phosphat</w:t>
      </w:r>
      <w:proofErr w:type="spellEnd"/>
      <w:r>
        <w:rPr>
          <w:sz w:val="20"/>
          <w:lang w:eastAsia="ja-JP"/>
        </w:rPr>
        <w:t xml:space="preserve"> fra fedtemulsionen.</w:t>
      </w:r>
    </w:p>
    <w:p w:rsidR="004762D1" w:rsidRDefault="004762D1" w:rsidP="004762D1">
      <w:pPr>
        <w:pStyle w:val="Listeafsnit"/>
        <w:numPr>
          <w:ilvl w:val="0"/>
          <w:numId w:val="18"/>
        </w:numPr>
        <w:ind w:left="284" w:hanging="284"/>
        <w:rPr>
          <w:sz w:val="20"/>
          <w:szCs w:val="20"/>
        </w:rPr>
      </w:pPr>
      <w:r>
        <w:rPr>
          <w:rFonts w:eastAsia="Times New Roman"/>
          <w:sz w:val="20"/>
          <w:szCs w:val="20"/>
          <w:lang w:val="da-DK" w:eastAsia="ja-JP"/>
        </w:rPr>
        <w:t xml:space="preserve">Pi = Uorganisk </w:t>
      </w:r>
      <w:proofErr w:type="spellStart"/>
      <w:r>
        <w:rPr>
          <w:rFonts w:eastAsia="Times New Roman"/>
          <w:sz w:val="20"/>
          <w:szCs w:val="20"/>
          <w:lang w:val="da-DK" w:eastAsia="ja-JP"/>
        </w:rPr>
        <w:t>phosphat</w:t>
      </w:r>
      <w:proofErr w:type="spellEnd"/>
      <w:r>
        <w:rPr>
          <w:rFonts w:eastAsia="Times New Roman"/>
          <w:sz w:val="20"/>
          <w:szCs w:val="20"/>
          <w:lang w:val="da-DK" w:eastAsia="ja-JP"/>
        </w:rPr>
        <w:t xml:space="preserve">; Po = Organisk </w:t>
      </w:r>
      <w:proofErr w:type="spellStart"/>
      <w:proofErr w:type="gramStart"/>
      <w:r>
        <w:rPr>
          <w:rFonts w:eastAsia="Times New Roman"/>
          <w:sz w:val="20"/>
          <w:szCs w:val="20"/>
          <w:lang w:val="da-DK" w:eastAsia="ja-JP"/>
        </w:rPr>
        <w:t>phosphat</w:t>
      </w:r>
      <w:proofErr w:type="spellEnd"/>
      <w:r>
        <w:rPr>
          <w:rFonts w:eastAsia="Times New Roman"/>
          <w:sz w:val="20"/>
          <w:szCs w:val="20"/>
          <w:lang w:val="da-DK" w:eastAsia="ja-JP"/>
        </w:rPr>
        <w:t>.</w:t>
      </w:r>
      <w:r>
        <w:rPr>
          <w:sz w:val="20"/>
          <w:szCs w:val="20"/>
        </w:rPr>
        <w:t>.</w:t>
      </w:r>
      <w:proofErr w:type="gramEnd"/>
    </w:p>
    <w:p w:rsidR="004762D1" w:rsidRDefault="004762D1" w:rsidP="004762D1">
      <w:pPr>
        <w:numPr>
          <w:ilvl w:val="0"/>
          <w:numId w:val="18"/>
        </w:numPr>
        <w:spacing w:line="260" w:lineRule="exact"/>
        <w:ind w:left="284" w:hanging="284"/>
        <w:rPr>
          <w:sz w:val="20"/>
          <w:lang w:eastAsia="ja-JP"/>
        </w:rPr>
      </w:pPr>
      <w:r>
        <w:rPr>
          <w:sz w:val="20"/>
          <w:lang w:eastAsia="ja-JP"/>
        </w:rPr>
        <w:t>For alle posestørrelser kan tilsætningen af sporstoffer, vitaminer, selen og zink være den samme som for 1000 ml poser.</w:t>
      </w:r>
    </w:p>
    <w:p w:rsidR="004762D1" w:rsidRDefault="004762D1" w:rsidP="004762D1">
      <w:pPr>
        <w:numPr>
          <w:ilvl w:val="0"/>
          <w:numId w:val="18"/>
        </w:numPr>
        <w:spacing w:line="260" w:lineRule="exact"/>
        <w:ind w:left="284" w:hanging="284"/>
        <w:rPr>
          <w:sz w:val="20"/>
          <w:lang w:eastAsia="ja-JP"/>
        </w:rPr>
      </w:pPr>
      <w:proofErr w:type="spellStart"/>
      <w:r>
        <w:rPr>
          <w:sz w:val="20"/>
          <w:lang w:eastAsia="ja-JP"/>
        </w:rPr>
        <w:t>Junyelt</w:t>
      </w:r>
      <w:proofErr w:type="spellEnd"/>
      <w:r>
        <w:rPr>
          <w:sz w:val="20"/>
          <w:lang w:eastAsia="ja-JP"/>
        </w:rPr>
        <w:t xml:space="preserve"> </w:t>
      </w:r>
      <w:r>
        <w:rPr>
          <w:iCs/>
          <w:sz w:val="20"/>
          <w:lang w:eastAsia="ja-JP"/>
        </w:rPr>
        <w:t>(sammensætning pr. ampul: zink 15,3 </w:t>
      </w:r>
      <w:r>
        <w:rPr>
          <w:sz w:val="20"/>
          <w:lang w:eastAsia="ja-JP"/>
        </w:rPr>
        <w:t>mikro</w:t>
      </w:r>
      <w:r>
        <w:rPr>
          <w:iCs/>
          <w:sz w:val="20"/>
          <w:lang w:eastAsia="ja-JP"/>
        </w:rPr>
        <w:t xml:space="preserve">mol; </w:t>
      </w:r>
      <w:r>
        <w:rPr>
          <w:sz w:val="20"/>
          <w:lang w:eastAsia="ja-JP"/>
        </w:rPr>
        <w:t>kobber 3,15 mikromol; mangan 0,091 mikromol; jod 0,079 mikromol; selen 0,253 mikromol).</w:t>
      </w:r>
    </w:p>
    <w:p w:rsidR="004762D1" w:rsidRDefault="004762D1" w:rsidP="004762D1">
      <w:pPr>
        <w:numPr>
          <w:ilvl w:val="0"/>
          <w:numId w:val="18"/>
        </w:numPr>
        <w:spacing w:line="260" w:lineRule="exact"/>
        <w:ind w:left="284" w:hanging="284"/>
        <w:rPr>
          <w:sz w:val="20"/>
          <w:lang w:eastAsia="ja-JP"/>
        </w:rPr>
      </w:pPr>
      <w:r>
        <w:rPr>
          <w:sz w:val="20"/>
          <w:lang w:eastAsia="ja-JP"/>
        </w:rPr>
        <w:t xml:space="preserve">Kombination af 1 hætteglas multivitaminprodukt (sammensætning per hætteglas: </w:t>
      </w:r>
      <w:proofErr w:type="spellStart"/>
      <w:r>
        <w:rPr>
          <w:sz w:val="20"/>
          <w:lang w:eastAsia="ja-JP"/>
        </w:rPr>
        <w:t>vit</w:t>
      </w:r>
      <w:proofErr w:type="spellEnd"/>
      <w:r>
        <w:rPr>
          <w:sz w:val="20"/>
          <w:lang w:eastAsia="ja-JP"/>
        </w:rPr>
        <w:t>. B</w:t>
      </w:r>
      <w:r>
        <w:rPr>
          <w:sz w:val="20"/>
          <w:vertAlign w:val="subscript"/>
          <w:lang w:eastAsia="ja-JP"/>
        </w:rPr>
        <w:t>1</w:t>
      </w:r>
      <w:r>
        <w:rPr>
          <w:sz w:val="20"/>
          <w:lang w:eastAsia="ja-JP"/>
        </w:rPr>
        <w:t xml:space="preserve"> (</w:t>
      </w:r>
      <w:proofErr w:type="spellStart"/>
      <w:r>
        <w:rPr>
          <w:sz w:val="20"/>
          <w:lang w:eastAsia="ja-JP"/>
        </w:rPr>
        <w:t>thiamin</w:t>
      </w:r>
      <w:proofErr w:type="spellEnd"/>
      <w:r>
        <w:rPr>
          <w:sz w:val="20"/>
          <w:lang w:eastAsia="ja-JP"/>
        </w:rPr>
        <w:t xml:space="preserve">) 2,5 mg, </w:t>
      </w:r>
      <w:proofErr w:type="spellStart"/>
      <w:r>
        <w:rPr>
          <w:sz w:val="20"/>
          <w:lang w:eastAsia="ja-JP"/>
        </w:rPr>
        <w:t>vit</w:t>
      </w:r>
      <w:proofErr w:type="spellEnd"/>
      <w:r>
        <w:rPr>
          <w:sz w:val="20"/>
          <w:lang w:eastAsia="ja-JP"/>
        </w:rPr>
        <w:t>. B</w:t>
      </w:r>
      <w:r>
        <w:rPr>
          <w:sz w:val="20"/>
          <w:vertAlign w:val="subscript"/>
          <w:lang w:eastAsia="ja-JP"/>
        </w:rPr>
        <w:t>2</w:t>
      </w:r>
      <w:r>
        <w:rPr>
          <w:sz w:val="20"/>
          <w:lang w:eastAsia="ja-JP"/>
        </w:rPr>
        <w:t xml:space="preserve"> (</w:t>
      </w:r>
      <w:proofErr w:type="spellStart"/>
      <w:r>
        <w:rPr>
          <w:sz w:val="20"/>
          <w:lang w:eastAsia="ja-JP"/>
        </w:rPr>
        <w:t>riboflavin</w:t>
      </w:r>
      <w:proofErr w:type="spellEnd"/>
      <w:r>
        <w:rPr>
          <w:sz w:val="20"/>
          <w:lang w:eastAsia="ja-JP"/>
        </w:rPr>
        <w:t xml:space="preserve">) 3,6 mg, </w:t>
      </w:r>
      <w:proofErr w:type="spellStart"/>
      <w:r>
        <w:rPr>
          <w:sz w:val="20"/>
          <w:lang w:eastAsia="ja-JP"/>
        </w:rPr>
        <w:t>vit</w:t>
      </w:r>
      <w:proofErr w:type="spellEnd"/>
      <w:r>
        <w:rPr>
          <w:sz w:val="20"/>
          <w:lang w:eastAsia="ja-JP"/>
        </w:rPr>
        <w:t>. B</w:t>
      </w:r>
      <w:r>
        <w:rPr>
          <w:sz w:val="20"/>
          <w:vertAlign w:val="subscript"/>
          <w:lang w:eastAsia="ja-JP"/>
        </w:rPr>
        <w:t>6</w:t>
      </w:r>
      <w:r>
        <w:rPr>
          <w:sz w:val="20"/>
          <w:lang w:eastAsia="ja-JP"/>
        </w:rPr>
        <w:t xml:space="preserve"> (</w:t>
      </w:r>
      <w:proofErr w:type="spellStart"/>
      <w:r>
        <w:rPr>
          <w:sz w:val="20"/>
          <w:lang w:eastAsia="ja-JP"/>
        </w:rPr>
        <w:t>pyridoxin</w:t>
      </w:r>
      <w:proofErr w:type="spellEnd"/>
      <w:r>
        <w:rPr>
          <w:sz w:val="20"/>
          <w:lang w:eastAsia="ja-JP"/>
        </w:rPr>
        <w:t xml:space="preserve">) 4,0 mg, </w:t>
      </w:r>
      <w:proofErr w:type="spellStart"/>
      <w:r>
        <w:rPr>
          <w:sz w:val="20"/>
          <w:lang w:eastAsia="ja-JP"/>
        </w:rPr>
        <w:t>vit</w:t>
      </w:r>
      <w:proofErr w:type="spellEnd"/>
      <w:r>
        <w:rPr>
          <w:sz w:val="20"/>
          <w:lang w:eastAsia="ja-JP"/>
        </w:rPr>
        <w:t>. B</w:t>
      </w:r>
      <w:r>
        <w:rPr>
          <w:sz w:val="20"/>
          <w:vertAlign w:val="subscript"/>
          <w:lang w:eastAsia="ja-JP"/>
        </w:rPr>
        <w:t>5</w:t>
      </w:r>
      <w:r>
        <w:rPr>
          <w:sz w:val="20"/>
          <w:lang w:eastAsia="ja-JP"/>
        </w:rPr>
        <w:t xml:space="preserve"> (</w:t>
      </w:r>
      <w:proofErr w:type="spellStart"/>
      <w:r>
        <w:rPr>
          <w:sz w:val="20"/>
          <w:lang w:eastAsia="ja-JP"/>
        </w:rPr>
        <w:t>pantothensyre</w:t>
      </w:r>
      <w:proofErr w:type="spellEnd"/>
      <w:r>
        <w:rPr>
          <w:sz w:val="20"/>
          <w:lang w:eastAsia="ja-JP"/>
        </w:rPr>
        <w:t xml:space="preserve">) 15 mg, </w:t>
      </w:r>
      <w:proofErr w:type="spellStart"/>
      <w:r>
        <w:rPr>
          <w:sz w:val="20"/>
          <w:lang w:eastAsia="ja-JP"/>
        </w:rPr>
        <w:t>vit</w:t>
      </w:r>
      <w:proofErr w:type="spellEnd"/>
      <w:r>
        <w:rPr>
          <w:sz w:val="20"/>
          <w:lang w:eastAsia="ja-JP"/>
        </w:rPr>
        <w:t>. C (</w:t>
      </w:r>
      <w:proofErr w:type="spellStart"/>
      <w:r>
        <w:rPr>
          <w:sz w:val="20"/>
          <w:lang w:eastAsia="ja-JP"/>
        </w:rPr>
        <w:t>ascorbinsyre</w:t>
      </w:r>
      <w:proofErr w:type="spellEnd"/>
      <w:r>
        <w:rPr>
          <w:sz w:val="20"/>
          <w:lang w:eastAsia="ja-JP"/>
        </w:rPr>
        <w:t xml:space="preserve">) 100 mg, </w:t>
      </w:r>
      <w:proofErr w:type="spellStart"/>
      <w:r>
        <w:rPr>
          <w:sz w:val="20"/>
          <w:lang w:eastAsia="ja-JP"/>
        </w:rPr>
        <w:t>vit</w:t>
      </w:r>
      <w:proofErr w:type="spellEnd"/>
      <w:r>
        <w:rPr>
          <w:sz w:val="20"/>
          <w:lang w:eastAsia="ja-JP"/>
        </w:rPr>
        <w:t>. B</w:t>
      </w:r>
      <w:r>
        <w:rPr>
          <w:sz w:val="20"/>
          <w:vertAlign w:val="subscript"/>
          <w:lang w:eastAsia="ja-JP"/>
        </w:rPr>
        <w:t>8</w:t>
      </w:r>
      <w:r>
        <w:rPr>
          <w:sz w:val="20"/>
          <w:lang w:eastAsia="ja-JP"/>
        </w:rPr>
        <w:t xml:space="preserve"> (biotin) 0,06 mg, </w:t>
      </w:r>
      <w:proofErr w:type="spellStart"/>
      <w:r>
        <w:rPr>
          <w:sz w:val="20"/>
          <w:lang w:eastAsia="ja-JP"/>
        </w:rPr>
        <w:t>vit</w:t>
      </w:r>
      <w:proofErr w:type="spellEnd"/>
      <w:r>
        <w:rPr>
          <w:sz w:val="20"/>
          <w:lang w:eastAsia="ja-JP"/>
        </w:rPr>
        <w:t>. B</w:t>
      </w:r>
      <w:r>
        <w:rPr>
          <w:sz w:val="20"/>
          <w:vertAlign w:val="subscript"/>
          <w:lang w:eastAsia="ja-JP"/>
        </w:rPr>
        <w:t>9</w:t>
      </w:r>
      <w:r>
        <w:rPr>
          <w:sz w:val="20"/>
          <w:lang w:eastAsia="ja-JP"/>
        </w:rPr>
        <w:t xml:space="preserve"> (</w:t>
      </w:r>
      <w:proofErr w:type="spellStart"/>
      <w:r>
        <w:rPr>
          <w:sz w:val="20"/>
          <w:lang w:eastAsia="ja-JP"/>
        </w:rPr>
        <w:t>folinsyre</w:t>
      </w:r>
      <w:proofErr w:type="spellEnd"/>
      <w:r>
        <w:rPr>
          <w:sz w:val="20"/>
          <w:lang w:eastAsia="ja-JP"/>
        </w:rPr>
        <w:t xml:space="preserve">) 0,4 mg, </w:t>
      </w:r>
      <w:proofErr w:type="spellStart"/>
      <w:r>
        <w:rPr>
          <w:sz w:val="20"/>
          <w:lang w:eastAsia="ja-JP"/>
        </w:rPr>
        <w:t>vit</w:t>
      </w:r>
      <w:proofErr w:type="spellEnd"/>
      <w:r>
        <w:rPr>
          <w:sz w:val="20"/>
          <w:lang w:eastAsia="ja-JP"/>
        </w:rPr>
        <w:t>. B</w:t>
      </w:r>
      <w:r>
        <w:rPr>
          <w:sz w:val="20"/>
          <w:vertAlign w:val="subscript"/>
          <w:lang w:eastAsia="ja-JP"/>
        </w:rPr>
        <w:t>12</w:t>
      </w:r>
      <w:r>
        <w:rPr>
          <w:sz w:val="20"/>
          <w:lang w:eastAsia="ja-JP"/>
        </w:rPr>
        <w:t xml:space="preserve"> (</w:t>
      </w:r>
      <w:proofErr w:type="spellStart"/>
      <w:r>
        <w:rPr>
          <w:sz w:val="20"/>
          <w:lang w:eastAsia="ja-JP"/>
        </w:rPr>
        <w:t>cyanocobalamin</w:t>
      </w:r>
      <w:proofErr w:type="spellEnd"/>
      <w:r>
        <w:rPr>
          <w:sz w:val="20"/>
          <w:lang w:eastAsia="ja-JP"/>
        </w:rPr>
        <w:t xml:space="preserve">) 0,005 mg, </w:t>
      </w:r>
      <w:proofErr w:type="spellStart"/>
      <w:r>
        <w:rPr>
          <w:sz w:val="20"/>
          <w:lang w:eastAsia="ja-JP"/>
        </w:rPr>
        <w:t>vit</w:t>
      </w:r>
      <w:proofErr w:type="spellEnd"/>
      <w:r>
        <w:rPr>
          <w:sz w:val="20"/>
          <w:lang w:eastAsia="ja-JP"/>
        </w:rPr>
        <w:t>. PP (</w:t>
      </w:r>
      <w:proofErr w:type="spellStart"/>
      <w:r>
        <w:rPr>
          <w:sz w:val="20"/>
          <w:lang w:eastAsia="ja-JP"/>
        </w:rPr>
        <w:t>nicotinamid</w:t>
      </w:r>
      <w:proofErr w:type="spellEnd"/>
      <w:r>
        <w:rPr>
          <w:sz w:val="20"/>
          <w:lang w:eastAsia="ja-JP"/>
        </w:rPr>
        <w:t xml:space="preserve">) 40 mg) og 1 hætteglas multivitaminprodukt (sammensætning per hætteglas: </w:t>
      </w:r>
      <w:proofErr w:type="spellStart"/>
      <w:proofErr w:type="gramStart"/>
      <w:r>
        <w:rPr>
          <w:sz w:val="20"/>
          <w:lang w:eastAsia="ja-JP"/>
        </w:rPr>
        <w:t>vit.A</w:t>
      </w:r>
      <w:proofErr w:type="spellEnd"/>
      <w:proofErr w:type="gramEnd"/>
      <w:r>
        <w:rPr>
          <w:sz w:val="20"/>
          <w:lang w:eastAsia="ja-JP"/>
        </w:rPr>
        <w:t xml:space="preserve"> (</w:t>
      </w:r>
      <w:r>
        <w:rPr>
          <w:iCs/>
          <w:sz w:val="20"/>
          <w:lang w:eastAsia="ja-JP"/>
        </w:rPr>
        <w:t xml:space="preserve">som </w:t>
      </w:r>
      <w:proofErr w:type="spellStart"/>
      <w:r>
        <w:rPr>
          <w:iCs/>
          <w:sz w:val="20"/>
          <w:lang w:eastAsia="ja-JP"/>
        </w:rPr>
        <w:t>retinolpalmitat</w:t>
      </w:r>
      <w:proofErr w:type="spellEnd"/>
      <w:r>
        <w:rPr>
          <w:sz w:val="20"/>
          <w:lang w:eastAsia="ja-JP"/>
        </w:rPr>
        <w:t xml:space="preserve">) 2300 IE, </w:t>
      </w:r>
      <w:proofErr w:type="spellStart"/>
      <w:r>
        <w:rPr>
          <w:sz w:val="20"/>
          <w:lang w:eastAsia="ja-JP"/>
        </w:rPr>
        <w:t>vit.D</w:t>
      </w:r>
      <w:proofErr w:type="spellEnd"/>
      <w:r>
        <w:rPr>
          <w:sz w:val="20"/>
          <w:lang w:eastAsia="ja-JP"/>
        </w:rPr>
        <w:t xml:space="preserve"> (som </w:t>
      </w:r>
      <w:proofErr w:type="spellStart"/>
      <w:r>
        <w:rPr>
          <w:sz w:val="20"/>
          <w:lang w:eastAsia="ja-JP"/>
        </w:rPr>
        <w:t>ergocalciferol</w:t>
      </w:r>
      <w:proofErr w:type="spellEnd"/>
      <w:r>
        <w:rPr>
          <w:sz w:val="20"/>
          <w:lang w:eastAsia="ja-JP"/>
        </w:rPr>
        <w:t xml:space="preserve">) 400 IE, </w:t>
      </w:r>
      <w:proofErr w:type="spellStart"/>
      <w:r>
        <w:rPr>
          <w:sz w:val="20"/>
          <w:lang w:eastAsia="ja-JP"/>
        </w:rPr>
        <w:t>vit.E</w:t>
      </w:r>
      <w:proofErr w:type="spellEnd"/>
      <w:r>
        <w:rPr>
          <w:sz w:val="20"/>
          <w:lang w:eastAsia="ja-JP"/>
        </w:rPr>
        <w:t xml:space="preserve"> (Alpha-</w:t>
      </w:r>
      <w:proofErr w:type="spellStart"/>
      <w:r>
        <w:rPr>
          <w:sz w:val="20"/>
          <w:lang w:eastAsia="ja-JP"/>
        </w:rPr>
        <w:t>tocopherol</w:t>
      </w:r>
      <w:proofErr w:type="spellEnd"/>
      <w:r>
        <w:rPr>
          <w:sz w:val="20"/>
          <w:lang w:eastAsia="ja-JP"/>
        </w:rPr>
        <w:t xml:space="preserve">) 6,4 mg, </w:t>
      </w:r>
      <w:proofErr w:type="spellStart"/>
      <w:r>
        <w:rPr>
          <w:sz w:val="20"/>
          <w:lang w:eastAsia="ja-JP"/>
        </w:rPr>
        <w:t>vit</w:t>
      </w:r>
      <w:proofErr w:type="spellEnd"/>
      <w:r>
        <w:rPr>
          <w:sz w:val="20"/>
          <w:lang w:eastAsia="ja-JP"/>
        </w:rPr>
        <w:t>. K (</w:t>
      </w:r>
      <w:proofErr w:type="spellStart"/>
      <w:r>
        <w:rPr>
          <w:sz w:val="20"/>
          <w:lang w:eastAsia="ja-JP"/>
        </w:rPr>
        <w:t>phytomenadion</w:t>
      </w:r>
      <w:proofErr w:type="spellEnd"/>
      <w:r>
        <w:rPr>
          <w:sz w:val="20"/>
          <w:lang w:eastAsia="ja-JP"/>
        </w:rPr>
        <w:t xml:space="preserve">) 200 </w:t>
      </w:r>
      <w:proofErr w:type="spellStart"/>
      <w:r>
        <w:rPr>
          <w:sz w:val="20"/>
          <w:lang w:eastAsia="ja-JP"/>
        </w:rPr>
        <w:t>mikrog</w:t>
      </w:r>
      <w:proofErr w:type="spellEnd"/>
      <w:r>
        <w:rPr>
          <w:sz w:val="20"/>
          <w:lang w:eastAsia="ja-JP"/>
        </w:rPr>
        <w:t>).</w:t>
      </w:r>
    </w:p>
    <w:p w:rsidR="00145BF4" w:rsidRDefault="00145BF4" w:rsidP="00145BF4">
      <w:r>
        <w:br w:type="page"/>
      </w:r>
    </w:p>
    <w:p w:rsidR="004762D1" w:rsidRDefault="004762D1" w:rsidP="004762D1"/>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2165"/>
        <w:gridCol w:w="2082"/>
        <w:gridCol w:w="2785"/>
        <w:gridCol w:w="2590"/>
      </w:tblGrid>
      <w:tr w:rsidR="004762D1" w:rsidTr="004762D1">
        <w:trPr>
          <w:jc w:val="center"/>
        </w:trPr>
        <w:tc>
          <w:tcPr>
            <w:tcW w:w="5000" w:type="pct"/>
            <w:gridSpan w:val="4"/>
            <w:tcBorders>
              <w:top w:val="single" w:sz="6" w:space="0" w:color="000000"/>
              <w:left w:val="single" w:sz="6" w:space="0" w:color="000000"/>
              <w:bottom w:val="single" w:sz="6" w:space="0" w:color="000000"/>
              <w:right w:val="single" w:sz="6" w:space="0" w:color="000000"/>
            </w:tcBorders>
            <w:hideMark/>
          </w:tcPr>
          <w:p w:rsidR="004762D1" w:rsidRDefault="004762D1">
            <w:pPr>
              <w:pStyle w:val="TableCenter"/>
              <w:rPr>
                <w:b/>
              </w:rPr>
            </w:pPr>
            <w:r>
              <w:rPr>
                <w:b/>
              </w:rPr>
              <w:t xml:space="preserve">Mulige tilsætninger for 1000 ml </w:t>
            </w:r>
            <w:proofErr w:type="spellStart"/>
            <w:r>
              <w:rPr>
                <w:b/>
              </w:rPr>
              <w:t>Olimel</w:t>
            </w:r>
            <w:proofErr w:type="spellEnd"/>
            <w:r>
              <w:rPr>
                <w:b/>
              </w:rPr>
              <w:t xml:space="preserve"> N12 (for voksne)</w:t>
            </w:r>
          </w:p>
        </w:tc>
      </w:tr>
      <w:tr w:rsidR="004762D1" w:rsidTr="004762D1">
        <w:trPr>
          <w:jc w:val="center"/>
        </w:trPr>
        <w:tc>
          <w:tcPr>
            <w:tcW w:w="1125" w:type="pct"/>
            <w:tcBorders>
              <w:top w:val="single" w:sz="6" w:space="0" w:color="000000"/>
              <w:left w:val="single" w:sz="6" w:space="0" w:color="000000"/>
              <w:bottom w:val="single" w:sz="6" w:space="0" w:color="000000"/>
              <w:right w:val="single" w:sz="6" w:space="0" w:color="000000"/>
            </w:tcBorders>
          </w:tcPr>
          <w:p w:rsidR="004762D1" w:rsidRDefault="004762D1">
            <w:pPr>
              <w:pStyle w:val="TableCenter"/>
            </w:pPr>
          </w:p>
        </w:tc>
        <w:tc>
          <w:tcPr>
            <w:tcW w:w="1082" w:type="pct"/>
            <w:tcBorders>
              <w:top w:val="single" w:sz="6" w:space="0" w:color="000000"/>
              <w:left w:val="single" w:sz="6" w:space="0" w:color="000000"/>
              <w:bottom w:val="single" w:sz="6" w:space="0" w:color="000000"/>
              <w:right w:val="single" w:sz="6" w:space="0" w:color="000000"/>
            </w:tcBorders>
            <w:hideMark/>
          </w:tcPr>
          <w:p w:rsidR="004762D1" w:rsidRDefault="004762D1">
            <w:pPr>
              <w:pStyle w:val="TableCenter"/>
            </w:pPr>
            <w:r>
              <w:t>Inkluderet niveau</w:t>
            </w:r>
          </w:p>
        </w:tc>
        <w:tc>
          <w:tcPr>
            <w:tcW w:w="1447" w:type="pct"/>
            <w:tcBorders>
              <w:top w:val="single" w:sz="6" w:space="0" w:color="000000"/>
              <w:left w:val="single" w:sz="6" w:space="0" w:color="000000"/>
              <w:bottom w:val="single" w:sz="6" w:space="0" w:color="000000"/>
              <w:right w:val="single" w:sz="6" w:space="0" w:color="000000"/>
            </w:tcBorders>
            <w:hideMark/>
          </w:tcPr>
          <w:p w:rsidR="004762D1" w:rsidRDefault="004762D1">
            <w:pPr>
              <w:pStyle w:val="TableCenter"/>
            </w:pPr>
            <w:r>
              <w:t>Maksimal yderligere tilsætning</w:t>
            </w:r>
          </w:p>
        </w:tc>
        <w:tc>
          <w:tcPr>
            <w:tcW w:w="1346" w:type="pct"/>
            <w:tcBorders>
              <w:top w:val="single" w:sz="6" w:space="0" w:color="000000"/>
              <w:left w:val="single" w:sz="6" w:space="0" w:color="000000"/>
              <w:bottom w:val="single" w:sz="6" w:space="0" w:color="000000"/>
              <w:right w:val="single" w:sz="6" w:space="0" w:color="000000"/>
            </w:tcBorders>
            <w:hideMark/>
          </w:tcPr>
          <w:p w:rsidR="004762D1" w:rsidRDefault="004762D1">
            <w:pPr>
              <w:pStyle w:val="TableCenter"/>
            </w:pPr>
            <w:r>
              <w:t>Maksimalt niveau i alt</w:t>
            </w:r>
          </w:p>
        </w:tc>
      </w:tr>
      <w:tr w:rsidR="004762D1" w:rsidTr="004762D1">
        <w:trPr>
          <w:jc w:val="center"/>
        </w:trPr>
        <w:tc>
          <w:tcPr>
            <w:tcW w:w="1125" w:type="pct"/>
            <w:tcBorders>
              <w:top w:val="single" w:sz="6" w:space="0" w:color="000000"/>
              <w:left w:val="single" w:sz="6" w:space="0" w:color="000000"/>
              <w:bottom w:val="single" w:sz="6" w:space="0" w:color="000000"/>
              <w:right w:val="single" w:sz="6" w:space="0" w:color="000000"/>
            </w:tcBorders>
            <w:hideMark/>
          </w:tcPr>
          <w:p w:rsidR="004762D1" w:rsidRDefault="004762D1">
            <w:pPr>
              <w:pStyle w:val="TableCenter"/>
            </w:pPr>
            <w:r>
              <w:t>Natrium</w:t>
            </w:r>
          </w:p>
        </w:tc>
        <w:tc>
          <w:tcPr>
            <w:tcW w:w="1082" w:type="pct"/>
            <w:tcBorders>
              <w:top w:val="single" w:sz="6" w:space="0" w:color="000000"/>
              <w:left w:val="single" w:sz="6" w:space="0" w:color="000000"/>
              <w:bottom w:val="single" w:sz="6" w:space="0" w:color="000000"/>
              <w:right w:val="single" w:sz="6" w:space="0" w:color="000000"/>
            </w:tcBorders>
            <w:hideMark/>
          </w:tcPr>
          <w:p w:rsidR="004762D1" w:rsidRDefault="004762D1">
            <w:pPr>
              <w:pStyle w:val="TableCenter"/>
            </w:pPr>
            <w:r>
              <w:t>0 mmol</w:t>
            </w:r>
          </w:p>
        </w:tc>
        <w:tc>
          <w:tcPr>
            <w:tcW w:w="1447" w:type="pct"/>
            <w:tcBorders>
              <w:top w:val="single" w:sz="6" w:space="0" w:color="000000"/>
              <w:left w:val="single" w:sz="6" w:space="0" w:color="000000"/>
              <w:bottom w:val="single" w:sz="6" w:space="0" w:color="000000"/>
              <w:right w:val="single" w:sz="6" w:space="0" w:color="000000"/>
            </w:tcBorders>
            <w:hideMark/>
          </w:tcPr>
          <w:p w:rsidR="004762D1" w:rsidRDefault="004762D1">
            <w:pPr>
              <w:pStyle w:val="TableCenter"/>
            </w:pPr>
            <w:r>
              <w:t>150 mmol</w:t>
            </w:r>
          </w:p>
        </w:tc>
        <w:tc>
          <w:tcPr>
            <w:tcW w:w="1346" w:type="pct"/>
            <w:tcBorders>
              <w:top w:val="single" w:sz="6" w:space="0" w:color="000000"/>
              <w:left w:val="single" w:sz="6" w:space="0" w:color="000000"/>
              <w:bottom w:val="single" w:sz="6" w:space="0" w:color="000000"/>
              <w:right w:val="single" w:sz="6" w:space="0" w:color="000000"/>
            </w:tcBorders>
            <w:hideMark/>
          </w:tcPr>
          <w:p w:rsidR="004762D1" w:rsidRDefault="004762D1">
            <w:pPr>
              <w:pStyle w:val="TableCenter"/>
            </w:pPr>
            <w:r>
              <w:t>150 mmol</w:t>
            </w:r>
          </w:p>
        </w:tc>
      </w:tr>
      <w:tr w:rsidR="004762D1" w:rsidTr="004762D1">
        <w:trPr>
          <w:jc w:val="center"/>
        </w:trPr>
        <w:tc>
          <w:tcPr>
            <w:tcW w:w="1125" w:type="pct"/>
            <w:tcBorders>
              <w:top w:val="single" w:sz="6" w:space="0" w:color="000000"/>
              <w:left w:val="single" w:sz="6" w:space="0" w:color="000000"/>
              <w:bottom w:val="single" w:sz="6" w:space="0" w:color="000000"/>
              <w:right w:val="single" w:sz="6" w:space="0" w:color="000000"/>
            </w:tcBorders>
            <w:hideMark/>
          </w:tcPr>
          <w:p w:rsidR="004762D1" w:rsidRDefault="004762D1">
            <w:pPr>
              <w:pStyle w:val="TableCenter"/>
            </w:pPr>
            <w:r>
              <w:t>Kalium</w:t>
            </w:r>
          </w:p>
        </w:tc>
        <w:tc>
          <w:tcPr>
            <w:tcW w:w="1082" w:type="pct"/>
            <w:tcBorders>
              <w:top w:val="single" w:sz="6" w:space="0" w:color="000000"/>
              <w:left w:val="single" w:sz="6" w:space="0" w:color="000000"/>
              <w:bottom w:val="single" w:sz="6" w:space="0" w:color="000000"/>
              <w:right w:val="single" w:sz="6" w:space="0" w:color="000000"/>
            </w:tcBorders>
            <w:hideMark/>
          </w:tcPr>
          <w:p w:rsidR="004762D1" w:rsidRDefault="004762D1">
            <w:pPr>
              <w:pStyle w:val="TableCenter"/>
            </w:pPr>
            <w:r>
              <w:t>0 mmol</w:t>
            </w:r>
          </w:p>
        </w:tc>
        <w:tc>
          <w:tcPr>
            <w:tcW w:w="1447" w:type="pct"/>
            <w:tcBorders>
              <w:top w:val="single" w:sz="6" w:space="0" w:color="000000"/>
              <w:left w:val="single" w:sz="6" w:space="0" w:color="000000"/>
              <w:bottom w:val="single" w:sz="6" w:space="0" w:color="000000"/>
              <w:right w:val="single" w:sz="6" w:space="0" w:color="000000"/>
            </w:tcBorders>
            <w:hideMark/>
          </w:tcPr>
          <w:p w:rsidR="004762D1" w:rsidRDefault="004762D1">
            <w:pPr>
              <w:pStyle w:val="TableCenter"/>
            </w:pPr>
            <w:r>
              <w:t>150 mmol</w:t>
            </w:r>
          </w:p>
        </w:tc>
        <w:tc>
          <w:tcPr>
            <w:tcW w:w="1346" w:type="pct"/>
            <w:tcBorders>
              <w:top w:val="single" w:sz="6" w:space="0" w:color="000000"/>
              <w:left w:val="single" w:sz="6" w:space="0" w:color="000000"/>
              <w:bottom w:val="single" w:sz="6" w:space="0" w:color="000000"/>
              <w:right w:val="single" w:sz="6" w:space="0" w:color="000000"/>
            </w:tcBorders>
            <w:hideMark/>
          </w:tcPr>
          <w:p w:rsidR="004762D1" w:rsidRDefault="004762D1">
            <w:pPr>
              <w:pStyle w:val="TableCenter"/>
            </w:pPr>
            <w:r>
              <w:t>150 mmol</w:t>
            </w:r>
          </w:p>
        </w:tc>
      </w:tr>
      <w:tr w:rsidR="004762D1" w:rsidTr="004762D1">
        <w:trPr>
          <w:jc w:val="center"/>
        </w:trPr>
        <w:tc>
          <w:tcPr>
            <w:tcW w:w="1125" w:type="pct"/>
            <w:tcBorders>
              <w:top w:val="single" w:sz="6" w:space="0" w:color="000000"/>
              <w:left w:val="single" w:sz="6" w:space="0" w:color="000000"/>
              <w:bottom w:val="single" w:sz="6" w:space="0" w:color="000000"/>
              <w:right w:val="single" w:sz="6" w:space="0" w:color="000000"/>
            </w:tcBorders>
            <w:hideMark/>
          </w:tcPr>
          <w:p w:rsidR="004762D1" w:rsidRDefault="004762D1">
            <w:pPr>
              <w:pStyle w:val="TableCenter"/>
            </w:pPr>
            <w:r>
              <w:t>Magnesium</w:t>
            </w:r>
          </w:p>
        </w:tc>
        <w:tc>
          <w:tcPr>
            <w:tcW w:w="1082" w:type="pct"/>
            <w:tcBorders>
              <w:top w:val="single" w:sz="6" w:space="0" w:color="000000"/>
              <w:left w:val="single" w:sz="6" w:space="0" w:color="000000"/>
              <w:bottom w:val="single" w:sz="6" w:space="0" w:color="000000"/>
              <w:right w:val="single" w:sz="6" w:space="0" w:color="000000"/>
            </w:tcBorders>
            <w:hideMark/>
          </w:tcPr>
          <w:p w:rsidR="004762D1" w:rsidRDefault="004762D1">
            <w:pPr>
              <w:pStyle w:val="TableCenter"/>
            </w:pPr>
            <w:r>
              <w:t>0 mmol</w:t>
            </w:r>
          </w:p>
        </w:tc>
        <w:tc>
          <w:tcPr>
            <w:tcW w:w="1447" w:type="pct"/>
            <w:tcBorders>
              <w:top w:val="single" w:sz="6" w:space="0" w:color="000000"/>
              <w:left w:val="single" w:sz="6" w:space="0" w:color="000000"/>
              <w:bottom w:val="single" w:sz="6" w:space="0" w:color="000000"/>
              <w:right w:val="single" w:sz="6" w:space="0" w:color="000000"/>
            </w:tcBorders>
            <w:hideMark/>
          </w:tcPr>
          <w:p w:rsidR="004762D1" w:rsidRDefault="004762D1">
            <w:pPr>
              <w:pStyle w:val="TableCenter"/>
            </w:pPr>
            <w:r>
              <w:t>5,6 mmol</w:t>
            </w:r>
          </w:p>
        </w:tc>
        <w:tc>
          <w:tcPr>
            <w:tcW w:w="1346" w:type="pct"/>
            <w:tcBorders>
              <w:top w:val="single" w:sz="6" w:space="0" w:color="000000"/>
              <w:left w:val="single" w:sz="6" w:space="0" w:color="000000"/>
              <w:bottom w:val="single" w:sz="6" w:space="0" w:color="000000"/>
              <w:right w:val="single" w:sz="6" w:space="0" w:color="000000"/>
            </w:tcBorders>
            <w:hideMark/>
          </w:tcPr>
          <w:p w:rsidR="004762D1" w:rsidRDefault="004762D1">
            <w:pPr>
              <w:pStyle w:val="TableCenter"/>
            </w:pPr>
            <w:r>
              <w:t>5,6 mmol</w:t>
            </w:r>
          </w:p>
        </w:tc>
      </w:tr>
      <w:tr w:rsidR="004762D1" w:rsidTr="004762D1">
        <w:trPr>
          <w:trHeight w:val="393"/>
          <w:jc w:val="center"/>
        </w:trPr>
        <w:tc>
          <w:tcPr>
            <w:tcW w:w="1125" w:type="pct"/>
            <w:tcBorders>
              <w:top w:val="single" w:sz="6" w:space="0" w:color="000000"/>
              <w:left w:val="single" w:sz="6" w:space="0" w:color="000000"/>
              <w:bottom w:val="single" w:sz="6" w:space="0" w:color="000000"/>
              <w:right w:val="single" w:sz="6" w:space="0" w:color="000000"/>
            </w:tcBorders>
            <w:hideMark/>
          </w:tcPr>
          <w:p w:rsidR="004762D1" w:rsidRDefault="004762D1">
            <w:pPr>
              <w:pStyle w:val="TableCenter"/>
            </w:pPr>
            <w:r>
              <w:t>Calcium</w:t>
            </w:r>
          </w:p>
        </w:tc>
        <w:tc>
          <w:tcPr>
            <w:tcW w:w="1082" w:type="pct"/>
            <w:tcBorders>
              <w:top w:val="single" w:sz="6" w:space="0" w:color="000000"/>
              <w:left w:val="single" w:sz="6" w:space="0" w:color="000000"/>
              <w:bottom w:val="single" w:sz="6" w:space="0" w:color="000000"/>
              <w:right w:val="single" w:sz="6" w:space="0" w:color="000000"/>
            </w:tcBorders>
            <w:hideMark/>
          </w:tcPr>
          <w:p w:rsidR="004762D1" w:rsidRDefault="004762D1">
            <w:pPr>
              <w:pStyle w:val="TableCenter"/>
            </w:pPr>
            <w:r>
              <w:t>0 mmol</w:t>
            </w:r>
          </w:p>
        </w:tc>
        <w:tc>
          <w:tcPr>
            <w:tcW w:w="1447" w:type="pct"/>
            <w:tcBorders>
              <w:top w:val="single" w:sz="6" w:space="0" w:color="000000"/>
              <w:left w:val="single" w:sz="6" w:space="0" w:color="000000"/>
              <w:bottom w:val="single" w:sz="6" w:space="0" w:color="000000"/>
              <w:right w:val="single" w:sz="6" w:space="0" w:color="000000"/>
            </w:tcBorders>
            <w:hideMark/>
          </w:tcPr>
          <w:p w:rsidR="004762D1" w:rsidRDefault="004762D1">
            <w:pPr>
              <w:pStyle w:val="TableCenter"/>
            </w:pPr>
            <w:r>
              <w:t>5,0 mmol</w:t>
            </w:r>
          </w:p>
        </w:tc>
        <w:tc>
          <w:tcPr>
            <w:tcW w:w="1346" w:type="pct"/>
            <w:tcBorders>
              <w:top w:val="single" w:sz="6" w:space="0" w:color="000000"/>
              <w:left w:val="single" w:sz="6" w:space="0" w:color="000000"/>
              <w:bottom w:val="single" w:sz="6" w:space="0" w:color="000000"/>
              <w:right w:val="single" w:sz="6" w:space="0" w:color="000000"/>
            </w:tcBorders>
            <w:hideMark/>
          </w:tcPr>
          <w:p w:rsidR="004762D1" w:rsidRDefault="004762D1">
            <w:pPr>
              <w:pStyle w:val="TableCenter"/>
            </w:pPr>
            <w:r>
              <w:t>5,0 mmol</w:t>
            </w:r>
          </w:p>
        </w:tc>
      </w:tr>
      <w:tr w:rsidR="004762D1" w:rsidTr="004762D1">
        <w:trPr>
          <w:jc w:val="center"/>
        </w:trPr>
        <w:tc>
          <w:tcPr>
            <w:tcW w:w="1125" w:type="pct"/>
            <w:tcBorders>
              <w:top w:val="single" w:sz="6" w:space="0" w:color="000000"/>
              <w:left w:val="single" w:sz="6" w:space="0" w:color="000000"/>
              <w:bottom w:val="single" w:sz="6" w:space="0" w:color="000000"/>
              <w:right w:val="single" w:sz="6" w:space="0" w:color="000000"/>
            </w:tcBorders>
            <w:hideMark/>
          </w:tcPr>
          <w:p w:rsidR="004762D1" w:rsidRDefault="004762D1">
            <w:pPr>
              <w:pStyle w:val="TableCenter"/>
            </w:pPr>
            <w:r>
              <w:t xml:space="preserve">Uorganisk </w:t>
            </w:r>
            <w:proofErr w:type="spellStart"/>
            <w:r>
              <w:t>phosphat</w:t>
            </w:r>
            <w:proofErr w:type="spellEnd"/>
          </w:p>
        </w:tc>
        <w:tc>
          <w:tcPr>
            <w:tcW w:w="1082" w:type="pct"/>
            <w:tcBorders>
              <w:top w:val="single" w:sz="6" w:space="0" w:color="000000"/>
              <w:left w:val="single" w:sz="6" w:space="0" w:color="000000"/>
              <w:bottom w:val="single" w:sz="6" w:space="0" w:color="000000"/>
              <w:right w:val="single" w:sz="6" w:space="0" w:color="000000"/>
            </w:tcBorders>
            <w:hideMark/>
          </w:tcPr>
          <w:p w:rsidR="004762D1" w:rsidRDefault="004762D1">
            <w:pPr>
              <w:pStyle w:val="TableCenter"/>
            </w:pPr>
            <w:r>
              <w:t>0 mmol</w:t>
            </w:r>
          </w:p>
        </w:tc>
        <w:tc>
          <w:tcPr>
            <w:tcW w:w="1447" w:type="pct"/>
            <w:vMerge w:val="restart"/>
            <w:tcBorders>
              <w:top w:val="single" w:sz="6" w:space="0" w:color="000000"/>
              <w:left w:val="single" w:sz="6" w:space="0" w:color="000000"/>
              <w:bottom w:val="single" w:sz="6" w:space="0" w:color="000000"/>
              <w:right w:val="single" w:sz="6" w:space="0" w:color="000000"/>
            </w:tcBorders>
            <w:hideMark/>
          </w:tcPr>
          <w:p w:rsidR="004762D1" w:rsidRDefault="004762D1">
            <w:pPr>
              <w:pStyle w:val="TableCenter"/>
            </w:pPr>
            <w:r>
              <w:t>10 mmol Pi + 12 mmol Po</w:t>
            </w:r>
            <w:r>
              <w:rPr>
                <w:vertAlign w:val="superscript"/>
              </w:rPr>
              <w:t xml:space="preserve"> </w:t>
            </w:r>
            <w:r>
              <w:rPr>
                <w:vertAlign w:val="superscript"/>
              </w:rPr>
              <w:br/>
            </w:r>
            <w:r>
              <w:t>eller</w:t>
            </w:r>
            <w:r>
              <w:br/>
              <w:t xml:space="preserve">22 mmol </w:t>
            </w:r>
            <w:proofErr w:type="spellStart"/>
            <w:r>
              <w:t>Po</w:t>
            </w:r>
            <w:r>
              <w:rPr>
                <w:vertAlign w:val="superscript"/>
              </w:rPr>
              <w:t>b</w:t>
            </w:r>
            <w:proofErr w:type="spellEnd"/>
          </w:p>
        </w:tc>
        <w:tc>
          <w:tcPr>
            <w:tcW w:w="1346" w:type="pct"/>
            <w:vMerge w:val="restart"/>
            <w:tcBorders>
              <w:top w:val="single" w:sz="6" w:space="0" w:color="000000"/>
              <w:left w:val="single" w:sz="6" w:space="0" w:color="000000"/>
              <w:bottom w:val="single" w:sz="6" w:space="0" w:color="000000"/>
              <w:right w:val="single" w:sz="6" w:space="0" w:color="000000"/>
            </w:tcBorders>
            <w:hideMark/>
          </w:tcPr>
          <w:p w:rsidR="004762D1" w:rsidRDefault="004762D1">
            <w:pPr>
              <w:pStyle w:val="TableCenter"/>
              <w:rPr>
                <w:vertAlign w:val="superscript"/>
              </w:rPr>
            </w:pPr>
            <w:r>
              <w:t>10 mmol Pi + 15 mmol Po</w:t>
            </w:r>
            <w:r>
              <w:rPr>
                <w:vertAlign w:val="superscript"/>
              </w:rPr>
              <w:br/>
            </w:r>
            <w:r>
              <w:t>eller</w:t>
            </w:r>
            <w:r>
              <w:br/>
              <w:t xml:space="preserve">25 mmol </w:t>
            </w:r>
            <w:proofErr w:type="spellStart"/>
            <w:proofErr w:type="gramStart"/>
            <w:r>
              <w:t>Po</w:t>
            </w:r>
            <w:r>
              <w:rPr>
                <w:vertAlign w:val="superscript"/>
              </w:rPr>
              <w:t>a,b</w:t>
            </w:r>
            <w:proofErr w:type="spellEnd"/>
            <w:proofErr w:type="gramEnd"/>
          </w:p>
        </w:tc>
      </w:tr>
      <w:tr w:rsidR="004762D1" w:rsidTr="004762D1">
        <w:trPr>
          <w:jc w:val="center"/>
        </w:trPr>
        <w:tc>
          <w:tcPr>
            <w:tcW w:w="1125" w:type="pct"/>
            <w:tcBorders>
              <w:top w:val="single" w:sz="6" w:space="0" w:color="000000"/>
              <w:left w:val="single" w:sz="6" w:space="0" w:color="000000"/>
              <w:bottom w:val="single" w:sz="6" w:space="0" w:color="000000"/>
              <w:right w:val="single" w:sz="6" w:space="0" w:color="000000"/>
            </w:tcBorders>
            <w:hideMark/>
          </w:tcPr>
          <w:p w:rsidR="004762D1" w:rsidRDefault="004762D1">
            <w:pPr>
              <w:pStyle w:val="TableCenter"/>
            </w:pPr>
            <w:r>
              <w:t xml:space="preserve">Organisk </w:t>
            </w:r>
            <w:proofErr w:type="spellStart"/>
            <w:r>
              <w:t>phosphat</w:t>
            </w:r>
            <w:proofErr w:type="spellEnd"/>
          </w:p>
        </w:tc>
        <w:tc>
          <w:tcPr>
            <w:tcW w:w="1082" w:type="pct"/>
            <w:tcBorders>
              <w:top w:val="single" w:sz="6" w:space="0" w:color="000000"/>
              <w:left w:val="single" w:sz="6" w:space="0" w:color="000000"/>
              <w:bottom w:val="single" w:sz="6" w:space="0" w:color="000000"/>
              <w:right w:val="single" w:sz="6" w:space="0" w:color="000000"/>
            </w:tcBorders>
            <w:hideMark/>
          </w:tcPr>
          <w:p w:rsidR="004762D1" w:rsidRDefault="004762D1">
            <w:pPr>
              <w:pStyle w:val="TableCenter"/>
              <w:rPr>
                <w:vertAlign w:val="superscript"/>
              </w:rPr>
            </w:pPr>
            <w:r>
              <w:t xml:space="preserve">3 </w:t>
            </w:r>
            <w:proofErr w:type="spellStart"/>
            <w:r>
              <w:t>mmol</w:t>
            </w:r>
            <w:r>
              <w:rPr>
                <w:vertAlign w:val="superscript"/>
              </w:rPr>
              <w:t>a</w:t>
            </w:r>
            <w:proofErr w:type="spellEnd"/>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762D1" w:rsidRDefault="004762D1">
            <w:pPr>
              <w:rPr>
                <w:sz w:val="20"/>
                <w:lang w:eastAsia="ja-JP"/>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4762D1" w:rsidRDefault="004762D1">
            <w:pPr>
              <w:rPr>
                <w:sz w:val="20"/>
                <w:vertAlign w:val="superscript"/>
                <w:lang w:eastAsia="ja-JP"/>
              </w:rPr>
            </w:pPr>
          </w:p>
        </w:tc>
      </w:tr>
      <w:tr w:rsidR="004762D1" w:rsidTr="004762D1">
        <w:trPr>
          <w:jc w:val="center"/>
        </w:trPr>
        <w:tc>
          <w:tcPr>
            <w:tcW w:w="5000" w:type="pct"/>
            <w:gridSpan w:val="4"/>
            <w:tcBorders>
              <w:top w:val="single" w:sz="6" w:space="0" w:color="000000"/>
              <w:left w:val="single" w:sz="6" w:space="0" w:color="000000"/>
              <w:bottom w:val="single" w:sz="6" w:space="0" w:color="000000"/>
              <w:right w:val="single" w:sz="6" w:space="0" w:color="000000"/>
            </w:tcBorders>
            <w:hideMark/>
          </w:tcPr>
          <w:p w:rsidR="004762D1" w:rsidRDefault="004762D1">
            <w:pPr>
              <w:pStyle w:val="TableCenter"/>
              <w:rPr>
                <w:b/>
                <w:vertAlign w:val="superscript"/>
              </w:rPr>
            </w:pPr>
            <w:r>
              <w:rPr>
                <w:b/>
              </w:rPr>
              <w:t xml:space="preserve">Andre tilsætninger (sporstoffer, vitaminer, selen og </w:t>
            </w:r>
            <w:proofErr w:type="gramStart"/>
            <w:r>
              <w:rPr>
                <w:b/>
              </w:rPr>
              <w:t>zink)</w:t>
            </w:r>
            <w:r>
              <w:rPr>
                <w:b/>
                <w:vertAlign w:val="superscript"/>
              </w:rPr>
              <w:t>c</w:t>
            </w:r>
            <w:proofErr w:type="gramEnd"/>
          </w:p>
        </w:tc>
      </w:tr>
      <w:tr w:rsidR="004762D1" w:rsidTr="004762D1">
        <w:trPr>
          <w:trHeight w:val="476"/>
          <w:jc w:val="center"/>
        </w:trPr>
        <w:tc>
          <w:tcPr>
            <w:tcW w:w="1125" w:type="pct"/>
            <w:tcBorders>
              <w:top w:val="single" w:sz="6" w:space="0" w:color="000000"/>
              <w:left w:val="single" w:sz="6" w:space="0" w:color="000000"/>
              <w:bottom w:val="single" w:sz="6" w:space="0" w:color="000000"/>
              <w:right w:val="single" w:sz="6" w:space="0" w:color="000000"/>
            </w:tcBorders>
            <w:hideMark/>
          </w:tcPr>
          <w:p w:rsidR="004762D1" w:rsidRDefault="004762D1">
            <w:pPr>
              <w:pStyle w:val="TableCenter"/>
            </w:pPr>
            <w:r>
              <w:t xml:space="preserve">Sporstoffer – </w:t>
            </w:r>
            <w:proofErr w:type="spellStart"/>
            <w:r>
              <w:t>Nutryelt</w:t>
            </w:r>
            <w:r>
              <w:rPr>
                <w:vertAlign w:val="superscript"/>
              </w:rPr>
              <w:t>d</w:t>
            </w:r>
            <w:proofErr w:type="spellEnd"/>
          </w:p>
        </w:tc>
        <w:tc>
          <w:tcPr>
            <w:tcW w:w="3875" w:type="pct"/>
            <w:gridSpan w:val="3"/>
            <w:tcBorders>
              <w:top w:val="single" w:sz="6" w:space="0" w:color="000000"/>
              <w:left w:val="single" w:sz="6" w:space="0" w:color="000000"/>
              <w:bottom w:val="single" w:sz="6" w:space="0" w:color="000000"/>
              <w:right w:val="single" w:sz="6" w:space="0" w:color="000000"/>
            </w:tcBorders>
            <w:hideMark/>
          </w:tcPr>
          <w:p w:rsidR="004762D1" w:rsidRDefault="004762D1">
            <w:pPr>
              <w:pStyle w:val="TableCenter"/>
            </w:pPr>
            <w:r>
              <w:t>2 ampuller pr. pose (10 ml koncentreret opløsning)</w:t>
            </w:r>
          </w:p>
        </w:tc>
      </w:tr>
      <w:tr w:rsidR="004762D1" w:rsidTr="004762D1">
        <w:trPr>
          <w:jc w:val="center"/>
        </w:trPr>
        <w:tc>
          <w:tcPr>
            <w:tcW w:w="1125" w:type="pct"/>
            <w:tcBorders>
              <w:top w:val="single" w:sz="6" w:space="0" w:color="000000"/>
              <w:left w:val="single" w:sz="6" w:space="0" w:color="000000"/>
              <w:bottom w:val="single" w:sz="6" w:space="0" w:color="000000"/>
              <w:right w:val="single" w:sz="6" w:space="0" w:color="000000"/>
            </w:tcBorders>
            <w:hideMark/>
          </w:tcPr>
          <w:p w:rsidR="004762D1" w:rsidRDefault="004762D1">
            <w:pPr>
              <w:pStyle w:val="TableCenter"/>
            </w:pPr>
            <w:r>
              <w:t xml:space="preserve">Vitaminer – </w:t>
            </w:r>
            <w:proofErr w:type="spellStart"/>
            <w:r>
              <w:t>Cernevit</w:t>
            </w:r>
            <w:r>
              <w:rPr>
                <w:vertAlign w:val="superscript"/>
              </w:rPr>
              <w:t>e</w:t>
            </w:r>
            <w:proofErr w:type="spellEnd"/>
          </w:p>
        </w:tc>
        <w:tc>
          <w:tcPr>
            <w:tcW w:w="3875" w:type="pct"/>
            <w:gridSpan w:val="3"/>
            <w:tcBorders>
              <w:top w:val="single" w:sz="6" w:space="0" w:color="000000"/>
              <w:left w:val="single" w:sz="6" w:space="0" w:color="000000"/>
              <w:bottom w:val="single" w:sz="6" w:space="0" w:color="000000"/>
              <w:right w:val="single" w:sz="6" w:space="0" w:color="000000"/>
            </w:tcBorders>
            <w:hideMark/>
          </w:tcPr>
          <w:p w:rsidR="004762D1" w:rsidRDefault="004762D1">
            <w:pPr>
              <w:pStyle w:val="TableCenter"/>
            </w:pPr>
            <w:r>
              <w:t xml:space="preserve">1 hætteglas (5 ml </w:t>
            </w:r>
            <w:proofErr w:type="spellStart"/>
            <w:r>
              <w:t>lyofilisat</w:t>
            </w:r>
            <w:proofErr w:type="spellEnd"/>
            <w:r>
              <w:t>)</w:t>
            </w:r>
          </w:p>
        </w:tc>
      </w:tr>
      <w:tr w:rsidR="004762D1" w:rsidTr="004762D1">
        <w:trPr>
          <w:jc w:val="center"/>
        </w:trPr>
        <w:tc>
          <w:tcPr>
            <w:tcW w:w="1125" w:type="pct"/>
            <w:tcBorders>
              <w:top w:val="single" w:sz="6" w:space="0" w:color="000000"/>
              <w:left w:val="single" w:sz="6" w:space="0" w:color="000000"/>
              <w:bottom w:val="single" w:sz="6" w:space="0" w:color="000000"/>
              <w:right w:val="single" w:sz="6" w:space="0" w:color="000000"/>
            </w:tcBorders>
            <w:hideMark/>
          </w:tcPr>
          <w:p w:rsidR="004762D1" w:rsidRDefault="004762D1">
            <w:pPr>
              <w:pStyle w:val="TableCenter"/>
            </w:pPr>
            <w:r>
              <w:t>Selen</w:t>
            </w:r>
          </w:p>
        </w:tc>
        <w:tc>
          <w:tcPr>
            <w:tcW w:w="3875" w:type="pct"/>
            <w:gridSpan w:val="3"/>
            <w:tcBorders>
              <w:top w:val="single" w:sz="6" w:space="0" w:color="000000"/>
              <w:left w:val="single" w:sz="6" w:space="0" w:color="000000"/>
              <w:bottom w:val="single" w:sz="6" w:space="0" w:color="000000"/>
              <w:right w:val="single" w:sz="6" w:space="0" w:color="000000"/>
            </w:tcBorders>
            <w:hideMark/>
          </w:tcPr>
          <w:p w:rsidR="004762D1" w:rsidRDefault="004762D1">
            <w:pPr>
              <w:pStyle w:val="TableCenter"/>
            </w:pPr>
            <w:r>
              <w:t>500 </w:t>
            </w:r>
            <w:proofErr w:type="spellStart"/>
            <w:r>
              <w:t>mikrog</w:t>
            </w:r>
            <w:proofErr w:type="spellEnd"/>
            <w:r>
              <w:t xml:space="preserve"> pr. pose</w:t>
            </w:r>
          </w:p>
        </w:tc>
      </w:tr>
      <w:tr w:rsidR="004762D1" w:rsidTr="004762D1">
        <w:trPr>
          <w:jc w:val="center"/>
        </w:trPr>
        <w:tc>
          <w:tcPr>
            <w:tcW w:w="1125" w:type="pct"/>
            <w:tcBorders>
              <w:top w:val="single" w:sz="6" w:space="0" w:color="000000"/>
              <w:left w:val="single" w:sz="6" w:space="0" w:color="000000"/>
              <w:bottom w:val="single" w:sz="6" w:space="0" w:color="000000"/>
              <w:right w:val="single" w:sz="6" w:space="0" w:color="000000"/>
            </w:tcBorders>
            <w:hideMark/>
          </w:tcPr>
          <w:p w:rsidR="004762D1" w:rsidRDefault="004762D1">
            <w:pPr>
              <w:pStyle w:val="TableCenter"/>
            </w:pPr>
            <w:r>
              <w:t>Zink</w:t>
            </w:r>
          </w:p>
        </w:tc>
        <w:tc>
          <w:tcPr>
            <w:tcW w:w="3875" w:type="pct"/>
            <w:gridSpan w:val="3"/>
            <w:tcBorders>
              <w:top w:val="single" w:sz="6" w:space="0" w:color="000000"/>
              <w:left w:val="single" w:sz="6" w:space="0" w:color="000000"/>
              <w:bottom w:val="single" w:sz="6" w:space="0" w:color="000000"/>
              <w:right w:val="single" w:sz="6" w:space="0" w:color="000000"/>
            </w:tcBorders>
            <w:hideMark/>
          </w:tcPr>
          <w:p w:rsidR="004762D1" w:rsidRDefault="004762D1">
            <w:pPr>
              <w:pStyle w:val="TableCenter"/>
            </w:pPr>
            <w:r>
              <w:t>20 mg pr. pose</w:t>
            </w:r>
          </w:p>
        </w:tc>
      </w:tr>
    </w:tbl>
    <w:p w:rsidR="004762D1" w:rsidRDefault="004762D1" w:rsidP="004762D1">
      <w:pPr>
        <w:pStyle w:val="TableFootnoteLetter"/>
        <w:numPr>
          <w:ilvl w:val="0"/>
          <w:numId w:val="19"/>
        </w:numPr>
        <w:tabs>
          <w:tab w:val="clear" w:pos="115"/>
          <w:tab w:val="left" w:pos="1304"/>
        </w:tabs>
        <w:spacing w:before="0" w:after="0"/>
        <w:ind w:left="284" w:hanging="284"/>
      </w:pPr>
      <w:bookmarkStart w:id="16" w:name="_Ref495667160"/>
      <w:r>
        <w:t xml:space="preserve">Inkl. </w:t>
      </w:r>
      <w:proofErr w:type="spellStart"/>
      <w:r>
        <w:t>phosphat</w:t>
      </w:r>
      <w:proofErr w:type="spellEnd"/>
      <w:r>
        <w:t xml:space="preserve"> fra fedtemulsionen</w:t>
      </w:r>
      <w:bookmarkEnd w:id="16"/>
      <w:r>
        <w:t>.</w:t>
      </w:r>
    </w:p>
    <w:p w:rsidR="004762D1" w:rsidRDefault="004762D1" w:rsidP="004762D1">
      <w:pPr>
        <w:pStyle w:val="TableFootnoteLetter"/>
        <w:numPr>
          <w:ilvl w:val="0"/>
          <w:numId w:val="19"/>
        </w:numPr>
        <w:tabs>
          <w:tab w:val="clear" w:pos="115"/>
          <w:tab w:val="left" w:pos="1304"/>
        </w:tabs>
        <w:spacing w:before="0" w:after="0"/>
        <w:ind w:left="284" w:hanging="284"/>
      </w:pPr>
      <w:bookmarkStart w:id="17" w:name="_Ref495667173"/>
      <w:r>
        <w:t xml:space="preserve">Pi = Uorganisk </w:t>
      </w:r>
      <w:proofErr w:type="spellStart"/>
      <w:r>
        <w:t>phosphat</w:t>
      </w:r>
      <w:proofErr w:type="spellEnd"/>
      <w:r>
        <w:t xml:space="preserve">; Po = Organisk </w:t>
      </w:r>
      <w:proofErr w:type="spellStart"/>
      <w:r>
        <w:t>phosphat</w:t>
      </w:r>
      <w:proofErr w:type="spellEnd"/>
      <w:r>
        <w:t>.</w:t>
      </w:r>
    </w:p>
    <w:p w:rsidR="004762D1" w:rsidRDefault="004762D1" w:rsidP="004762D1">
      <w:pPr>
        <w:numPr>
          <w:ilvl w:val="0"/>
          <w:numId w:val="19"/>
        </w:numPr>
        <w:tabs>
          <w:tab w:val="clear" w:pos="115"/>
          <w:tab w:val="left" w:pos="567"/>
        </w:tabs>
        <w:spacing w:line="260" w:lineRule="exact"/>
        <w:ind w:left="284" w:hanging="284"/>
        <w:rPr>
          <w:sz w:val="20"/>
          <w:lang w:eastAsia="ja-JP"/>
        </w:rPr>
      </w:pPr>
      <w:r>
        <w:rPr>
          <w:sz w:val="20"/>
          <w:lang w:eastAsia="ja-JP"/>
        </w:rPr>
        <w:t>For alle posestørrelser kan tilsætningen af sporstoffer, vitaminer, selen og zink være den samme som for 1000 ml poser; tilsætningen af vitaminer er angivet pr. liter emulsion.</w:t>
      </w:r>
    </w:p>
    <w:bookmarkEnd w:id="17"/>
    <w:p w:rsidR="004762D1" w:rsidRDefault="004762D1" w:rsidP="004762D1">
      <w:pPr>
        <w:pStyle w:val="TableFootnoteLetter"/>
        <w:numPr>
          <w:ilvl w:val="0"/>
          <w:numId w:val="19"/>
        </w:numPr>
        <w:tabs>
          <w:tab w:val="clear" w:pos="115"/>
          <w:tab w:val="left" w:pos="851"/>
        </w:tabs>
        <w:spacing w:before="0" w:after="0"/>
        <w:ind w:left="284" w:hanging="284"/>
      </w:pPr>
      <w:proofErr w:type="spellStart"/>
      <w:r>
        <w:t>Nutryelt</w:t>
      </w:r>
      <w:proofErr w:type="spellEnd"/>
      <w:r>
        <w:t xml:space="preserve"> (sammensætning pr. ampul: zink 153 mikromol; kobber 4,7 mikromol; mangan 1,0 mikromol; </w:t>
      </w:r>
      <w:proofErr w:type="spellStart"/>
      <w:r>
        <w:t>fluorin</w:t>
      </w:r>
      <w:proofErr w:type="spellEnd"/>
      <w:r>
        <w:t xml:space="preserve"> 50 mikromol; jod 1,0 mikromol; selen 0,9 mikromol; molybdæn 0,21 mikromol; </w:t>
      </w:r>
      <w:proofErr w:type="spellStart"/>
      <w:r>
        <w:t>chrom</w:t>
      </w:r>
      <w:proofErr w:type="spellEnd"/>
      <w:r>
        <w:t xml:space="preserve"> 0,19 mikromol; jern 18 mikromol).</w:t>
      </w:r>
    </w:p>
    <w:p w:rsidR="004762D1" w:rsidRPr="004762D1" w:rsidRDefault="004762D1" w:rsidP="004762D1">
      <w:pPr>
        <w:pStyle w:val="TableFootnoteLetter"/>
        <w:numPr>
          <w:ilvl w:val="0"/>
          <w:numId w:val="19"/>
        </w:numPr>
        <w:tabs>
          <w:tab w:val="clear" w:pos="115"/>
          <w:tab w:val="left" w:pos="851"/>
        </w:tabs>
        <w:spacing w:before="0" w:after="0"/>
        <w:ind w:left="284" w:hanging="284"/>
      </w:pPr>
      <w:proofErr w:type="spellStart"/>
      <w:r>
        <w:t>Cernevit</w:t>
      </w:r>
      <w:proofErr w:type="spellEnd"/>
      <w:r>
        <w:t xml:space="preserve"> (sammensætning pr. hætteglas: </w:t>
      </w:r>
      <w:proofErr w:type="spellStart"/>
      <w:r>
        <w:t>vit</w:t>
      </w:r>
      <w:proofErr w:type="spellEnd"/>
      <w:r>
        <w:t xml:space="preserve">. </w:t>
      </w:r>
      <w:r w:rsidRPr="004762D1">
        <w:t xml:space="preserve">A (som </w:t>
      </w:r>
      <w:proofErr w:type="spellStart"/>
      <w:r w:rsidRPr="004762D1">
        <w:t>retinolpalmitat</w:t>
      </w:r>
      <w:proofErr w:type="spellEnd"/>
      <w:r w:rsidRPr="004762D1">
        <w:t xml:space="preserve">) 3500 IE, </w:t>
      </w:r>
      <w:proofErr w:type="spellStart"/>
      <w:r w:rsidRPr="004762D1">
        <w:t>vit</w:t>
      </w:r>
      <w:proofErr w:type="spellEnd"/>
      <w:r w:rsidRPr="004762D1">
        <w:t xml:space="preserve">. </w:t>
      </w:r>
      <w:r w:rsidRPr="006838EA">
        <w:rPr>
          <w:lang w:val="en-US"/>
        </w:rPr>
        <w:t>D</w:t>
      </w:r>
      <w:r w:rsidRPr="006838EA">
        <w:rPr>
          <w:vertAlign w:val="subscript"/>
          <w:lang w:val="en-US"/>
        </w:rPr>
        <w:t>3</w:t>
      </w:r>
      <w:r w:rsidRPr="006838EA">
        <w:rPr>
          <w:lang w:val="en-US"/>
        </w:rPr>
        <w:t xml:space="preserve"> (cholecalciferol) 220 IE, vit. E (alfa-tocopherol) 11,2 IE, vit. C (</w:t>
      </w:r>
      <w:proofErr w:type="spellStart"/>
      <w:r w:rsidRPr="006838EA">
        <w:rPr>
          <w:lang w:val="en-US"/>
        </w:rPr>
        <w:t>ascorbinsyre</w:t>
      </w:r>
      <w:proofErr w:type="spellEnd"/>
      <w:r w:rsidRPr="006838EA">
        <w:rPr>
          <w:lang w:val="en-US"/>
        </w:rPr>
        <w:t>) 125 mg, vit. B</w:t>
      </w:r>
      <w:r w:rsidRPr="006838EA">
        <w:rPr>
          <w:vertAlign w:val="subscript"/>
          <w:lang w:val="en-US"/>
        </w:rPr>
        <w:t>1</w:t>
      </w:r>
      <w:r w:rsidRPr="006838EA">
        <w:rPr>
          <w:lang w:val="en-US"/>
        </w:rPr>
        <w:t xml:space="preserve"> (thiamin) 3,51 mg, vit. B</w:t>
      </w:r>
      <w:r w:rsidRPr="006838EA">
        <w:rPr>
          <w:vertAlign w:val="subscript"/>
          <w:lang w:val="en-US"/>
        </w:rPr>
        <w:t>2</w:t>
      </w:r>
      <w:r w:rsidRPr="006838EA">
        <w:rPr>
          <w:lang w:val="en-US"/>
        </w:rPr>
        <w:t xml:space="preserve"> (riboflavin) 4,14 mg, vit. B</w:t>
      </w:r>
      <w:r w:rsidRPr="006838EA">
        <w:rPr>
          <w:vertAlign w:val="subscript"/>
          <w:lang w:val="en-US"/>
        </w:rPr>
        <w:t>6</w:t>
      </w:r>
      <w:r w:rsidRPr="006838EA">
        <w:rPr>
          <w:lang w:val="en-US"/>
        </w:rPr>
        <w:t xml:space="preserve"> (</w:t>
      </w:r>
      <w:proofErr w:type="spellStart"/>
      <w:r w:rsidRPr="006838EA">
        <w:rPr>
          <w:lang w:val="en-US"/>
        </w:rPr>
        <w:t>pyridoksin</w:t>
      </w:r>
      <w:proofErr w:type="spellEnd"/>
      <w:r w:rsidRPr="006838EA">
        <w:rPr>
          <w:lang w:val="en-US"/>
        </w:rPr>
        <w:t xml:space="preserve">) 4,53 mg, vit. </w:t>
      </w:r>
      <w:r w:rsidRPr="004762D1">
        <w:t>B</w:t>
      </w:r>
      <w:r w:rsidRPr="004762D1">
        <w:rPr>
          <w:vertAlign w:val="subscript"/>
        </w:rPr>
        <w:t>12</w:t>
      </w:r>
      <w:r w:rsidRPr="004762D1">
        <w:t xml:space="preserve"> (</w:t>
      </w:r>
      <w:proofErr w:type="spellStart"/>
      <w:r w:rsidRPr="004762D1">
        <w:t>cyanocobalamin</w:t>
      </w:r>
      <w:proofErr w:type="spellEnd"/>
      <w:r w:rsidRPr="004762D1">
        <w:t xml:space="preserve">) 6 </w:t>
      </w:r>
      <w:proofErr w:type="spellStart"/>
      <w:r w:rsidRPr="004762D1">
        <w:t>mikrog</w:t>
      </w:r>
      <w:proofErr w:type="spellEnd"/>
      <w:r w:rsidRPr="004762D1">
        <w:t xml:space="preserve">, </w:t>
      </w:r>
      <w:proofErr w:type="spellStart"/>
      <w:r w:rsidRPr="004762D1">
        <w:t>vit</w:t>
      </w:r>
      <w:proofErr w:type="spellEnd"/>
      <w:r w:rsidRPr="004762D1">
        <w:t>. B</w:t>
      </w:r>
      <w:r w:rsidRPr="004762D1">
        <w:rPr>
          <w:vertAlign w:val="subscript"/>
        </w:rPr>
        <w:t>9</w:t>
      </w:r>
      <w:r w:rsidRPr="004762D1">
        <w:t xml:space="preserve"> (</w:t>
      </w:r>
      <w:proofErr w:type="spellStart"/>
      <w:r w:rsidRPr="004762D1">
        <w:t>folsyre</w:t>
      </w:r>
      <w:proofErr w:type="spellEnd"/>
      <w:r w:rsidRPr="004762D1">
        <w:t>) 414 </w:t>
      </w:r>
      <w:proofErr w:type="spellStart"/>
      <w:r w:rsidRPr="004762D1">
        <w:t>mikrog</w:t>
      </w:r>
      <w:proofErr w:type="spellEnd"/>
      <w:r w:rsidRPr="004762D1">
        <w:t xml:space="preserve">, </w:t>
      </w:r>
      <w:proofErr w:type="spellStart"/>
      <w:r w:rsidRPr="004762D1">
        <w:t>vit</w:t>
      </w:r>
      <w:proofErr w:type="spellEnd"/>
      <w:r w:rsidRPr="004762D1">
        <w:t>. B</w:t>
      </w:r>
      <w:r w:rsidRPr="004762D1">
        <w:rPr>
          <w:vertAlign w:val="subscript"/>
        </w:rPr>
        <w:t>5</w:t>
      </w:r>
      <w:r w:rsidRPr="004762D1">
        <w:t xml:space="preserve"> (</w:t>
      </w:r>
      <w:proofErr w:type="spellStart"/>
      <w:r w:rsidRPr="004762D1">
        <w:t>pantotensyre</w:t>
      </w:r>
      <w:proofErr w:type="spellEnd"/>
      <w:r w:rsidRPr="004762D1">
        <w:t xml:space="preserve">) 17,25 mg, </w:t>
      </w:r>
      <w:proofErr w:type="spellStart"/>
      <w:r w:rsidRPr="004762D1">
        <w:t>vit</w:t>
      </w:r>
      <w:proofErr w:type="spellEnd"/>
      <w:r w:rsidRPr="004762D1">
        <w:t>. B</w:t>
      </w:r>
      <w:r w:rsidRPr="004762D1">
        <w:rPr>
          <w:vertAlign w:val="subscript"/>
        </w:rPr>
        <w:t>8</w:t>
      </w:r>
      <w:r w:rsidRPr="004762D1">
        <w:t xml:space="preserve"> (biotin) 69 </w:t>
      </w:r>
      <w:proofErr w:type="spellStart"/>
      <w:r w:rsidRPr="004762D1">
        <w:t>mikrog</w:t>
      </w:r>
      <w:proofErr w:type="spellEnd"/>
      <w:r w:rsidRPr="004762D1">
        <w:t xml:space="preserve">, </w:t>
      </w:r>
      <w:proofErr w:type="spellStart"/>
      <w:r w:rsidRPr="004762D1">
        <w:t>vit</w:t>
      </w:r>
      <w:proofErr w:type="spellEnd"/>
      <w:r w:rsidRPr="004762D1">
        <w:t>. PP (</w:t>
      </w:r>
      <w:proofErr w:type="spellStart"/>
      <w:r w:rsidRPr="004762D1">
        <w:t>nicotinamid</w:t>
      </w:r>
      <w:proofErr w:type="spellEnd"/>
      <w:r w:rsidRPr="004762D1">
        <w:t>) 46 mg).</w:t>
      </w:r>
    </w:p>
    <w:p w:rsidR="00145BF4" w:rsidRPr="00A12D44" w:rsidRDefault="00145BF4" w:rsidP="00145BF4">
      <w:pPr>
        <w:tabs>
          <w:tab w:val="left" w:pos="851"/>
        </w:tabs>
        <w:ind w:left="851"/>
        <w:rPr>
          <w:sz w:val="24"/>
          <w:szCs w:val="24"/>
        </w:rPr>
      </w:pPr>
    </w:p>
    <w:p w:rsidR="00145BF4" w:rsidRPr="00732305" w:rsidRDefault="00145BF4" w:rsidP="00145BF4">
      <w:pPr>
        <w:tabs>
          <w:tab w:val="left" w:pos="851"/>
        </w:tabs>
        <w:ind w:left="851"/>
        <w:rPr>
          <w:sz w:val="24"/>
          <w:szCs w:val="24"/>
        </w:rPr>
      </w:pPr>
      <w:r w:rsidRPr="00732305">
        <w:rPr>
          <w:sz w:val="24"/>
          <w:szCs w:val="24"/>
        </w:rPr>
        <w:t>Sådan foretages en tilsætning:</w:t>
      </w:r>
    </w:p>
    <w:p w:rsidR="00145BF4" w:rsidRPr="00732305" w:rsidRDefault="00145BF4" w:rsidP="00145BF4">
      <w:pPr>
        <w:tabs>
          <w:tab w:val="left" w:pos="851"/>
        </w:tabs>
        <w:ind w:left="851"/>
        <w:rPr>
          <w:sz w:val="24"/>
          <w:szCs w:val="24"/>
        </w:rPr>
      </w:pPr>
    </w:p>
    <w:p w:rsidR="00145BF4" w:rsidRPr="00732305" w:rsidRDefault="00145BF4" w:rsidP="00145BF4">
      <w:pPr>
        <w:pStyle w:val="Opstilling-punkttegn2"/>
        <w:tabs>
          <w:tab w:val="clear" w:pos="1080"/>
          <w:tab w:val="num" w:pos="1211"/>
        </w:tabs>
        <w:spacing w:before="0" w:after="0" w:line="240" w:lineRule="auto"/>
        <w:ind w:left="1208" w:hanging="357"/>
      </w:pPr>
      <w:r w:rsidRPr="00732305">
        <w:t>Anvend aseptisk teknik.</w:t>
      </w:r>
    </w:p>
    <w:p w:rsidR="00145BF4" w:rsidRPr="00732305" w:rsidRDefault="00145BF4" w:rsidP="00145BF4">
      <w:pPr>
        <w:pStyle w:val="Opstilling-punkttegn2"/>
        <w:tabs>
          <w:tab w:val="clear" w:pos="1080"/>
          <w:tab w:val="num" w:pos="1211"/>
        </w:tabs>
        <w:spacing w:before="0" w:after="0" w:line="240" w:lineRule="auto"/>
        <w:ind w:left="1208" w:hanging="357"/>
      </w:pPr>
      <w:r w:rsidRPr="00732305">
        <w:t>Klargør posens injektionssted.</w:t>
      </w:r>
    </w:p>
    <w:p w:rsidR="00145BF4" w:rsidRPr="00732305" w:rsidRDefault="00145BF4" w:rsidP="00145BF4">
      <w:pPr>
        <w:pStyle w:val="Opstilling-punkttegn2"/>
        <w:tabs>
          <w:tab w:val="clear" w:pos="1080"/>
          <w:tab w:val="num" w:pos="1211"/>
        </w:tabs>
        <w:spacing w:before="0" w:after="0" w:line="240" w:lineRule="auto"/>
        <w:ind w:left="1208" w:hanging="357"/>
      </w:pPr>
      <w:r w:rsidRPr="00732305">
        <w:t xml:space="preserve">Punktér injektionsstedet, og injicer additiverne ved hjælp af en injektionsnål eller et </w:t>
      </w:r>
      <w:proofErr w:type="spellStart"/>
      <w:r w:rsidRPr="00732305">
        <w:t>rekonstitutionsudstyr</w:t>
      </w:r>
      <w:proofErr w:type="spellEnd"/>
      <w:r w:rsidRPr="00732305">
        <w:t>.</w:t>
      </w:r>
    </w:p>
    <w:p w:rsidR="00145BF4" w:rsidRPr="00732305" w:rsidRDefault="00145BF4" w:rsidP="00145BF4">
      <w:pPr>
        <w:pStyle w:val="Opstilling-punkttegn2"/>
        <w:tabs>
          <w:tab w:val="clear" w:pos="1080"/>
          <w:tab w:val="num" w:pos="1211"/>
        </w:tabs>
        <w:spacing w:before="0" w:after="0" w:line="240" w:lineRule="auto"/>
        <w:ind w:left="1208" w:hanging="357"/>
      </w:pPr>
      <w:r w:rsidRPr="00732305">
        <w:t>Bland posens indhold med additiverne.</w:t>
      </w:r>
    </w:p>
    <w:p w:rsidR="00145BF4" w:rsidRPr="00732305" w:rsidRDefault="00145BF4" w:rsidP="00145BF4">
      <w:pPr>
        <w:tabs>
          <w:tab w:val="left" w:pos="851"/>
        </w:tabs>
        <w:ind w:left="851"/>
        <w:rPr>
          <w:b/>
          <w:bCs/>
          <w:sz w:val="24"/>
          <w:szCs w:val="24"/>
        </w:rPr>
      </w:pPr>
      <w:bookmarkStart w:id="18" w:name="_ISIW_UH_35"/>
    </w:p>
    <w:p w:rsidR="00145BF4" w:rsidRPr="00732305" w:rsidRDefault="00145BF4" w:rsidP="00145BF4">
      <w:pPr>
        <w:tabs>
          <w:tab w:val="left" w:pos="851"/>
        </w:tabs>
        <w:ind w:left="851"/>
        <w:rPr>
          <w:b/>
          <w:bCs/>
          <w:sz w:val="24"/>
          <w:szCs w:val="24"/>
        </w:rPr>
      </w:pPr>
      <w:r w:rsidRPr="00732305">
        <w:rPr>
          <w:b/>
          <w:bCs/>
          <w:sz w:val="24"/>
          <w:szCs w:val="24"/>
        </w:rPr>
        <w:t>Forberedelse af infusionen</w:t>
      </w:r>
    </w:p>
    <w:bookmarkEnd w:id="18"/>
    <w:p w:rsidR="00145BF4" w:rsidRPr="00732305" w:rsidRDefault="00145BF4" w:rsidP="00145BF4">
      <w:pPr>
        <w:tabs>
          <w:tab w:val="left" w:pos="851"/>
        </w:tabs>
        <w:ind w:left="851"/>
        <w:rPr>
          <w:sz w:val="24"/>
          <w:szCs w:val="24"/>
        </w:rPr>
      </w:pPr>
      <w:r w:rsidRPr="00732305">
        <w:rPr>
          <w:sz w:val="24"/>
          <w:szCs w:val="24"/>
        </w:rPr>
        <w:t>Anvend aseptisk teknik.</w:t>
      </w:r>
    </w:p>
    <w:p w:rsidR="00145BF4" w:rsidRPr="00732305" w:rsidRDefault="00145BF4" w:rsidP="00145BF4">
      <w:pPr>
        <w:tabs>
          <w:tab w:val="left" w:pos="851"/>
        </w:tabs>
        <w:ind w:left="851"/>
        <w:rPr>
          <w:sz w:val="24"/>
          <w:szCs w:val="24"/>
        </w:rPr>
      </w:pPr>
    </w:p>
    <w:p w:rsidR="00145BF4" w:rsidRPr="00732305" w:rsidRDefault="00145BF4" w:rsidP="00145BF4">
      <w:pPr>
        <w:tabs>
          <w:tab w:val="left" w:pos="851"/>
        </w:tabs>
        <w:ind w:left="851"/>
        <w:rPr>
          <w:sz w:val="24"/>
          <w:szCs w:val="24"/>
        </w:rPr>
      </w:pPr>
      <w:r w:rsidRPr="00732305">
        <w:rPr>
          <w:sz w:val="24"/>
          <w:szCs w:val="24"/>
        </w:rPr>
        <w:t>Hæng posen op.</w:t>
      </w:r>
    </w:p>
    <w:p w:rsidR="00145BF4" w:rsidRPr="00732305" w:rsidRDefault="00145BF4" w:rsidP="00145BF4">
      <w:pPr>
        <w:tabs>
          <w:tab w:val="left" w:pos="851"/>
        </w:tabs>
        <w:ind w:left="851"/>
        <w:rPr>
          <w:sz w:val="24"/>
          <w:szCs w:val="24"/>
        </w:rPr>
      </w:pPr>
    </w:p>
    <w:p w:rsidR="00145BF4" w:rsidRPr="00732305" w:rsidRDefault="00145BF4" w:rsidP="00145BF4">
      <w:pPr>
        <w:tabs>
          <w:tab w:val="left" w:pos="851"/>
        </w:tabs>
        <w:ind w:left="851"/>
        <w:rPr>
          <w:sz w:val="24"/>
          <w:szCs w:val="24"/>
        </w:rPr>
      </w:pPr>
      <w:r w:rsidRPr="00732305">
        <w:rPr>
          <w:sz w:val="24"/>
          <w:szCs w:val="24"/>
        </w:rPr>
        <w:t>Fjern plastbeskyttelsen fra indgivelsesporten.</w:t>
      </w:r>
    </w:p>
    <w:p w:rsidR="00145BF4" w:rsidRPr="00732305" w:rsidRDefault="00145BF4" w:rsidP="00145BF4">
      <w:pPr>
        <w:tabs>
          <w:tab w:val="left" w:pos="851"/>
        </w:tabs>
        <w:ind w:left="851"/>
        <w:rPr>
          <w:sz w:val="24"/>
          <w:szCs w:val="24"/>
        </w:rPr>
      </w:pPr>
    </w:p>
    <w:p w:rsidR="00145BF4" w:rsidRPr="00732305" w:rsidRDefault="00145BF4" w:rsidP="00145BF4">
      <w:pPr>
        <w:tabs>
          <w:tab w:val="left" w:pos="851"/>
        </w:tabs>
        <w:ind w:left="851"/>
        <w:rPr>
          <w:sz w:val="24"/>
          <w:szCs w:val="24"/>
        </w:rPr>
      </w:pPr>
      <w:r w:rsidRPr="00732305">
        <w:rPr>
          <w:sz w:val="24"/>
          <w:szCs w:val="24"/>
        </w:rPr>
        <w:t>Sæt infusionssættets spyd godt fast i indgivelsesporten.</w:t>
      </w:r>
    </w:p>
    <w:p w:rsidR="00145BF4" w:rsidRPr="00732305" w:rsidRDefault="00145BF4" w:rsidP="00145BF4">
      <w:pPr>
        <w:tabs>
          <w:tab w:val="left" w:pos="851"/>
        </w:tabs>
        <w:ind w:left="851"/>
        <w:rPr>
          <w:b/>
          <w:bCs/>
          <w:sz w:val="24"/>
          <w:szCs w:val="24"/>
        </w:rPr>
      </w:pPr>
      <w:bookmarkStart w:id="19" w:name="_ISIW_UH_36"/>
    </w:p>
    <w:p w:rsidR="00145BF4" w:rsidRPr="00732305" w:rsidRDefault="00145BF4" w:rsidP="00145BF4">
      <w:pPr>
        <w:tabs>
          <w:tab w:val="left" w:pos="851"/>
        </w:tabs>
        <w:ind w:left="851"/>
        <w:rPr>
          <w:b/>
          <w:bCs/>
          <w:sz w:val="24"/>
          <w:szCs w:val="24"/>
        </w:rPr>
      </w:pPr>
      <w:r w:rsidRPr="00732305">
        <w:rPr>
          <w:b/>
          <w:bCs/>
          <w:sz w:val="24"/>
          <w:szCs w:val="24"/>
        </w:rPr>
        <w:t>Indgivelse</w:t>
      </w:r>
    </w:p>
    <w:bookmarkEnd w:id="19"/>
    <w:p w:rsidR="00145BF4" w:rsidRPr="00732305" w:rsidRDefault="00145BF4" w:rsidP="00145BF4">
      <w:pPr>
        <w:tabs>
          <w:tab w:val="left" w:pos="851"/>
        </w:tabs>
        <w:ind w:left="851"/>
        <w:rPr>
          <w:sz w:val="24"/>
          <w:szCs w:val="24"/>
        </w:rPr>
      </w:pPr>
      <w:r w:rsidRPr="00732305">
        <w:rPr>
          <w:sz w:val="24"/>
          <w:szCs w:val="24"/>
        </w:rPr>
        <w:t>Udelukkende til engangsbrug.</w:t>
      </w:r>
    </w:p>
    <w:p w:rsidR="00145BF4" w:rsidRPr="00732305" w:rsidRDefault="00145BF4" w:rsidP="00145BF4">
      <w:pPr>
        <w:tabs>
          <w:tab w:val="left" w:pos="851"/>
        </w:tabs>
        <w:ind w:left="851"/>
        <w:rPr>
          <w:sz w:val="24"/>
          <w:szCs w:val="24"/>
        </w:rPr>
      </w:pPr>
    </w:p>
    <w:p w:rsidR="00145BF4" w:rsidRPr="00732305" w:rsidRDefault="00145BF4" w:rsidP="00145BF4">
      <w:pPr>
        <w:tabs>
          <w:tab w:val="left" w:pos="851"/>
        </w:tabs>
        <w:ind w:left="851"/>
        <w:rPr>
          <w:sz w:val="24"/>
          <w:szCs w:val="24"/>
        </w:rPr>
      </w:pPr>
      <w:r w:rsidRPr="00732305">
        <w:rPr>
          <w:sz w:val="24"/>
          <w:szCs w:val="24"/>
        </w:rPr>
        <w:t>Produktet må kun indgives, efter at de ikke-permanente forseglinger mellem de tre kamre er blevet åbnet og indholdet af de tre kamre blandet.</w:t>
      </w:r>
    </w:p>
    <w:p w:rsidR="00145BF4" w:rsidRPr="00732305" w:rsidRDefault="00145BF4" w:rsidP="00145BF4">
      <w:pPr>
        <w:tabs>
          <w:tab w:val="left" w:pos="851"/>
        </w:tabs>
        <w:ind w:left="851"/>
        <w:rPr>
          <w:sz w:val="24"/>
          <w:szCs w:val="24"/>
        </w:rPr>
      </w:pPr>
    </w:p>
    <w:p w:rsidR="00145BF4" w:rsidRPr="00732305" w:rsidRDefault="00145BF4" w:rsidP="00145BF4">
      <w:pPr>
        <w:tabs>
          <w:tab w:val="left" w:pos="851"/>
        </w:tabs>
        <w:ind w:left="851"/>
        <w:rPr>
          <w:sz w:val="24"/>
          <w:szCs w:val="24"/>
        </w:rPr>
      </w:pPr>
      <w:r w:rsidRPr="00732305">
        <w:rPr>
          <w:sz w:val="24"/>
          <w:szCs w:val="24"/>
        </w:rPr>
        <w:t>Kontrollér, at den endelige infusionsemulsion ikke viser tegn på faseadskillelse.</w:t>
      </w:r>
    </w:p>
    <w:p w:rsidR="00145BF4" w:rsidRPr="00732305" w:rsidRDefault="00145BF4" w:rsidP="00145BF4">
      <w:pPr>
        <w:tabs>
          <w:tab w:val="left" w:pos="851"/>
        </w:tabs>
        <w:ind w:left="851"/>
        <w:rPr>
          <w:sz w:val="24"/>
          <w:szCs w:val="24"/>
        </w:rPr>
      </w:pPr>
    </w:p>
    <w:p w:rsidR="00145BF4" w:rsidRPr="00732305" w:rsidRDefault="00145BF4" w:rsidP="00145BF4">
      <w:pPr>
        <w:tabs>
          <w:tab w:val="left" w:pos="851"/>
        </w:tabs>
        <w:ind w:left="851"/>
        <w:rPr>
          <w:sz w:val="24"/>
          <w:szCs w:val="24"/>
        </w:rPr>
      </w:pPr>
      <w:r w:rsidRPr="00732305">
        <w:rPr>
          <w:sz w:val="24"/>
          <w:szCs w:val="24"/>
        </w:rPr>
        <w:t>Når posen er åbnet, skal indholdet anvendes straks. Den åbne pose må aldrig opbevares til senere infusion. En delvist brugt pose må ikke tilkobles.</w:t>
      </w:r>
    </w:p>
    <w:p w:rsidR="00145BF4" w:rsidRPr="00732305" w:rsidRDefault="00145BF4" w:rsidP="00145BF4">
      <w:pPr>
        <w:tabs>
          <w:tab w:val="left" w:pos="851"/>
        </w:tabs>
        <w:ind w:left="851"/>
        <w:rPr>
          <w:sz w:val="24"/>
          <w:szCs w:val="24"/>
        </w:rPr>
      </w:pPr>
    </w:p>
    <w:p w:rsidR="00145BF4" w:rsidRPr="00732305" w:rsidRDefault="00145BF4" w:rsidP="00145BF4">
      <w:pPr>
        <w:tabs>
          <w:tab w:val="left" w:pos="851"/>
        </w:tabs>
        <w:ind w:left="851"/>
        <w:rPr>
          <w:sz w:val="24"/>
          <w:szCs w:val="24"/>
        </w:rPr>
      </w:pPr>
      <w:r w:rsidRPr="00732305">
        <w:rPr>
          <w:sz w:val="24"/>
          <w:szCs w:val="24"/>
        </w:rPr>
        <w:t xml:space="preserve">Poser må ikke serieforbindes, da dette kan medføre </w:t>
      </w:r>
      <w:proofErr w:type="spellStart"/>
      <w:r w:rsidRPr="00732305">
        <w:rPr>
          <w:sz w:val="24"/>
          <w:szCs w:val="24"/>
        </w:rPr>
        <w:t>luftemboli</w:t>
      </w:r>
      <w:proofErr w:type="spellEnd"/>
      <w:r w:rsidRPr="00732305">
        <w:rPr>
          <w:sz w:val="24"/>
          <w:szCs w:val="24"/>
        </w:rPr>
        <w:t xml:space="preserve"> på grund af luften i den primære pose.</w:t>
      </w:r>
    </w:p>
    <w:p w:rsidR="00145BF4" w:rsidRPr="00732305" w:rsidRDefault="00145BF4" w:rsidP="00145BF4">
      <w:pPr>
        <w:tabs>
          <w:tab w:val="left" w:pos="851"/>
        </w:tabs>
        <w:ind w:left="851"/>
        <w:rPr>
          <w:sz w:val="24"/>
          <w:szCs w:val="24"/>
        </w:rPr>
      </w:pPr>
    </w:p>
    <w:p w:rsidR="00145BF4" w:rsidRPr="00732305" w:rsidRDefault="00145BF4" w:rsidP="00145BF4">
      <w:pPr>
        <w:tabs>
          <w:tab w:val="left" w:pos="851"/>
        </w:tabs>
        <w:ind w:left="851"/>
        <w:rPr>
          <w:sz w:val="24"/>
          <w:szCs w:val="24"/>
        </w:rPr>
      </w:pPr>
      <w:r w:rsidRPr="00732305">
        <w:rPr>
          <w:sz w:val="24"/>
          <w:szCs w:val="24"/>
        </w:rPr>
        <w:t>Ikke anvendt lægemiddel samt affald heraf skal bortskaffes i henhold til lokale retningslinjer.</w:t>
      </w:r>
    </w:p>
    <w:p w:rsidR="00145BF4" w:rsidRPr="00732305" w:rsidRDefault="00145BF4" w:rsidP="00145BF4">
      <w:pPr>
        <w:tabs>
          <w:tab w:val="left" w:pos="851"/>
        </w:tabs>
        <w:ind w:left="851"/>
        <w:jc w:val="both"/>
        <w:rPr>
          <w:sz w:val="24"/>
          <w:szCs w:val="24"/>
        </w:rPr>
      </w:pPr>
    </w:p>
    <w:p w:rsidR="00145BF4" w:rsidRPr="00732305" w:rsidRDefault="00145BF4" w:rsidP="00145BF4">
      <w:pPr>
        <w:tabs>
          <w:tab w:val="left" w:pos="851"/>
        </w:tabs>
        <w:ind w:left="851" w:hanging="851"/>
        <w:rPr>
          <w:b/>
          <w:sz w:val="24"/>
          <w:szCs w:val="24"/>
        </w:rPr>
      </w:pPr>
      <w:r w:rsidRPr="00732305">
        <w:rPr>
          <w:b/>
          <w:sz w:val="24"/>
          <w:szCs w:val="24"/>
        </w:rPr>
        <w:t>7.</w:t>
      </w:r>
      <w:r w:rsidRPr="00732305">
        <w:rPr>
          <w:b/>
          <w:sz w:val="24"/>
          <w:szCs w:val="24"/>
        </w:rPr>
        <w:tab/>
        <w:t>INDEHAVER AF MARKEDSFØRINGSTILLADELSEN</w:t>
      </w:r>
    </w:p>
    <w:p w:rsidR="00145BF4" w:rsidRPr="00732305" w:rsidRDefault="00145BF4" w:rsidP="00145BF4">
      <w:pPr>
        <w:tabs>
          <w:tab w:val="left" w:pos="851"/>
        </w:tabs>
        <w:ind w:left="851"/>
        <w:rPr>
          <w:sz w:val="24"/>
          <w:szCs w:val="24"/>
        </w:rPr>
      </w:pPr>
      <w:r w:rsidRPr="00732305">
        <w:rPr>
          <w:sz w:val="24"/>
          <w:szCs w:val="24"/>
        </w:rPr>
        <w:t>Baxter A/S</w:t>
      </w:r>
    </w:p>
    <w:p w:rsidR="00145BF4" w:rsidRPr="00732305" w:rsidRDefault="00145BF4" w:rsidP="00145BF4">
      <w:pPr>
        <w:tabs>
          <w:tab w:val="left" w:pos="851"/>
        </w:tabs>
        <w:ind w:left="851"/>
        <w:rPr>
          <w:sz w:val="24"/>
          <w:szCs w:val="24"/>
        </w:rPr>
      </w:pPr>
      <w:r w:rsidRPr="00732305">
        <w:rPr>
          <w:sz w:val="24"/>
          <w:szCs w:val="24"/>
        </w:rPr>
        <w:t>Tobaksvejen 2</w:t>
      </w:r>
      <w:r w:rsidR="00BF57C2">
        <w:rPr>
          <w:sz w:val="24"/>
          <w:szCs w:val="24"/>
        </w:rPr>
        <w:t>3</w:t>
      </w:r>
      <w:r w:rsidRPr="00732305">
        <w:rPr>
          <w:sz w:val="24"/>
          <w:szCs w:val="24"/>
        </w:rPr>
        <w:t>A</w:t>
      </w:r>
    </w:p>
    <w:p w:rsidR="00145BF4" w:rsidRPr="00732305" w:rsidRDefault="00145BF4" w:rsidP="00145BF4">
      <w:pPr>
        <w:tabs>
          <w:tab w:val="left" w:pos="851"/>
        </w:tabs>
        <w:ind w:left="851"/>
        <w:rPr>
          <w:sz w:val="24"/>
          <w:szCs w:val="24"/>
        </w:rPr>
      </w:pPr>
      <w:r w:rsidRPr="00732305">
        <w:rPr>
          <w:sz w:val="24"/>
          <w:szCs w:val="24"/>
        </w:rPr>
        <w:t>2860 Søborg</w:t>
      </w:r>
    </w:p>
    <w:p w:rsidR="00145BF4" w:rsidRPr="00732305" w:rsidRDefault="00145BF4" w:rsidP="00145BF4">
      <w:pPr>
        <w:tabs>
          <w:tab w:val="left" w:pos="851"/>
        </w:tabs>
        <w:ind w:left="851"/>
        <w:rPr>
          <w:sz w:val="24"/>
          <w:szCs w:val="24"/>
        </w:rPr>
      </w:pPr>
    </w:p>
    <w:p w:rsidR="00145BF4" w:rsidRPr="00732305" w:rsidRDefault="00145BF4" w:rsidP="00145BF4">
      <w:pPr>
        <w:tabs>
          <w:tab w:val="left" w:pos="851"/>
        </w:tabs>
        <w:ind w:left="851" w:hanging="851"/>
        <w:rPr>
          <w:b/>
          <w:sz w:val="24"/>
          <w:szCs w:val="24"/>
        </w:rPr>
      </w:pPr>
      <w:r w:rsidRPr="00732305">
        <w:rPr>
          <w:b/>
          <w:sz w:val="24"/>
          <w:szCs w:val="24"/>
        </w:rPr>
        <w:t>8.</w:t>
      </w:r>
      <w:r w:rsidRPr="00732305">
        <w:rPr>
          <w:b/>
          <w:sz w:val="24"/>
          <w:szCs w:val="24"/>
        </w:rPr>
        <w:tab/>
        <w:t>MARKEDSFØRINGSTILLADELSESNUMMER (</w:t>
      </w:r>
      <w:r w:rsidR="00BF57C2">
        <w:rPr>
          <w:b/>
          <w:sz w:val="24"/>
          <w:szCs w:val="24"/>
        </w:rPr>
        <w:t>-</w:t>
      </w:r>
      <w:r w:rsidRPr="00732305">
        <w:rPr>
          <w:b/>
          <w:sz w:val="24"/>
          <w:szCs w:val="24"/>
        </w:rPr>
        <w:t>NUMRE)</w:t>
      </w:r>
    </w:p>
    <w:p w:rsidR="00145BF4" w:rsidRPr="00732305" w:rsidRDefault="00145BF4" w:rsidP="00145BF4">
      <w:pPr>
        <w:tabs>
          <w:tab w:val="left" w:pos="851"/>
        </w:tabs>
        <w:ind w:left="851"/>
        <w:rPr>
          <w:sz w:val="24"/>
          <w:szCs w:val="24"/>
        </w:rPr>
      </w:pPr>
      <w:r>
        <w:rPr>
          <w:sz w:val="24"/>
          <w:szCs w:val="24"/>
        </w:rPr>
        <w:t>60580</w:t>
      </w:r>
    </w:p>
    <w:p w:rsidR="00145BF4" w:rsidRPr="00732305" w:rsidRDefault="00145BF4" w:rsidP="00145BF4">
      <w:pPr>
        <w:tabs>
          <w:tab w:val="left" w:pos="851"/>
        </w:tabs>
        <w:ind w:left="851"/>
        <w:jc w:val="both"/>
        <w:rPr>
          <w:sz w:val="24"/>
          <w:szCs w:val="24"/>
        </w:rPr>
      </w:pPr>
    </w:p>
    <w:p w:rsidR="00145BF4" w:rsidRPr="00732305" w:rsidRDefault="00145BF4" w:rsidP="00145BF4">
      <w:pPr>
        <w:tabs>
          <w:tab w:val="left" w:pos="851"/>
        </w:tabs>
        <w:ind w:left="851" w:hanging="851"/>
        <w:rPr>
          <w:b/>
          <w:sz w:val="24"/>
          <w:szCs w:val="24"/>
        </w:rPr>
      </w:pPr>
      <w:r w:rsidRPr="00732305">
        <w:rPr>
          <w:b/>
          <w:sz w:val="24"/>
          <w:szCs w:val="24"/>
        </w:rPr>
        <w:t>9.</w:t>
      </w:r>
      <w:r w:rsidRPr="00732305">
        <w:rPr>
          <w:b/>
          <w:sz w:val="24"/>
          <w:szCs w:val="24"/>
        </w:rPr>
        <w:tab/>
        <w:t>DATO FOR FØRSTE MARKEDSFØRINGSTILLADELSE</w:t>
      </w:r>
    </w:p>
    <w:p w:rsidR="00145BF4" w:rsidRPr="00732305" w:rsidRDefault="00145BF4" w:rsidP="00145BF4">
      <w:pPr>
        <w:tabs>
          <w:tab w:val="left" w:pos="851"/>
        </w:tabs>
        <w:ind w:left="851"/>
        <w:rPr>
          <w:sz w:val="24"/>
          <w:szCs w:val="24"/>
        </w:rPr>
      </w:pPr>
      <w:r w:rsidRPr="00732305">
        <w:rPr>
          <w:sz w:val="24"/>
          <w:szCs w:val="24"/>
        </w:rPr>
        <w:t>22. december 2009 (</w:t>
      </w:r>
      <w:proofErr w:type="spellStart"/>
      <w:r w:rsidRPr="00732305">
        <w:rPr>
          <w:sz w:val="24"/>
          <w:szCs w:val="24"/>
        </w:rPr>
        <w:t>Olimel</w:t>
      </w:r>
      <w:proofErr w:type="spellEnd"/>
      <w:r w:rsidRPr="00732305">
        <w:rPr>
          <w:sz w:val="24"/>
          <w:szCs w:val="24"/>
        </w:rPr>
        <w:t xml:space="preserve"> N5E, N7E, N7, N9E, N9, Perifer N4E)</w:t>
      </w:r>
    </w:p>
    <w:p w:rsidR="00145BF4" w:rsidRPr="00732305" w:rsidRDefault="00145BF4" w:rsidP="00145BF4">
      <w:pPr>
        <w:tabs>
          <w:tab w:val="left" w:pos="851"/>
        </w:tabs>
        <w:ind w:left="851"/>
        <w:rPr>
          <w:sz w:val="24"/>
          <w:szCs w:val="24"/>
        </w:rPr>
      </w:pPr>
    </w:p>
    <w:p w:rsidR="00145BF4" w:rsidRPr="00732305" w:rsidRDefault="00145BF4" w:rsidP="00145BF4">
      <w:pPr>
        <w:tabs>
          <w:tab w:val="left" w:pos="851"/>
        </w:tabs>
        <w:ind w:left="851" w:hanging="851"/>
        <w:rPr>
          <w:b/>
          <w:sz w:val="24"/>
          <w:szCs w:val="24"/>
        </w:rPr>
      </w:pPr>
      <w:r w:rsidRPr="00732305">
        <w:rPr>
          <w:b/>
          <w:sz w:val="24"/>
          <w:szCs w:val="24"/>
        </w:rPr>
        <w:t>10.</w:t>
      </w:r>
      <w:r w:rsidRPr="00732305">
        <w:rPr>
          <w:b/>
          <w:sz w:val="24"/>
          <w:szCs w:val="24"/>
        </w:rPr>
        <w:tab/>
        <w:t>DATO FOR ÆNDRING AF TEKSTEN</w:t>
      </w:r>
    </w:p>
    <w:p w:rsidR="00145BF4" w:rsidRPr="00732305" w:rsidRDefault="00BF57C2" w:rsidP="00145BF4">
      <w:pPr>
        <w:tabs>
          <w:tab w:val="left" w:pos="851"/>
        </w:tabs>
        <w:ind w:left="851"/>
        <w:rPr>
          <w:sz w:val="24"/>
          <w:szCs w:val="24"/>
        </w:rPr>
      </w:pPr>
      <w:r>
        <w:rPr>
          <w:sz w:val="24"/>
          <w:szCs w:val="24"/>
        </w:rPr>
        <w:t>11. april 2023</w:t>
      </w:r>
    </w:p>
    <w:p w:rsidR="00145BF4" w:rsidRPr="00970D16" w:rsidRDefault="00145BF4" w:rsidP="00145BF4"/>
    <w:p w:rsidR="00145BF4" w:rsidRPr="00E43E00" w:rsidRDefault="00145BF4" w:rsidP="00145BF4"/>
    <w:p w:rsidR="009260DE" w:rsidRPr="00145BF4" w:rsidRDefault="009260DE" w:rsidP="00145BF4"/>
    <w:sectPr w:rsidR="009260DE" w:rsidRPr="00145BF4" w:rsidSect="000259B9">
      <w:footerReference w:type="default" r:id="rId8"/>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73E4B" w:rsidRDefault="00573E4B">
      <w:r>
        <w:separator/>
      </w:r>
    </w:p>
  </w:endnote>
  <w:endnote w:type="continuationSeparator" w:id="0">
    <w:p w:rsidR="00573E4B" w:rsidRDefault="00573E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3E4B" w:rsidRDefault="00573E4B">
    <w:pPr>
      <w:pStyle w:val="Sidefod"/>
      <w:pBdr>
        <w:bottom w:val="single" w:sz="6" w:space="1" w:color="auto"/>
      </w:pBdr>
    </w:pPr>
  </w:p>
  <w:p w:rsidR="00573E4B" w:rsidRDefault="00573E4B" w:rsidP="00C42586">
    <w:pPr>
      <w:pStyle w:val="Sidefod"/>
      <w:tabs>
        <w:tab w:val="clear" w:pos="4819"/>
        <w:tab w:val="left" w:pos="8505"/>
      </w:tabs>
      <w:rPr>
        <w:i/>
        <w:sz w:val="18"/>
        <w:szCs w:val="18"/>
      </w:rPr>
    </w:pPr>
  </w:p>
  <w:p w:rsidR="00573E4B" w:rsidRPr="00B373D7" w:rsidRDefault="00573E4B"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Pr>
        <w:i/>
        <w:noProof/>
        <w:sz w:val="18"/>
        <w:szCs w:val="18"/>
      </w:rPr>
      <w:t>Olimel N12, infusionsvæske, emulsion</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73E4B" w:rsidRDefault="00573E4B">
      <w:r>
        <w:separator/>
      </w:r>
    </w:p>
  </w:footnote>
  <w:footnote w:type="continuationSeparator" w:id="0">
    <w:p w:rsidR="00573E4B" w:rsidRDefault="00573E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6623F4"/>
    <w:multiLevelType w:val="singleLevel"/>
    <w:tmpl w:val="67CA28C0"/>
    <w:lvl w:ilvl="0">
      <w:start w:val="1"/>
      <w:numFmt w:val="lowerLetter"/>
      <w:lvlText w:val="%1"/>
      <w:lvlJc w:val="left"/>
      <w:pPr>
        <w:tabs>
          <w:tab w:val="num" w:pos="115"/>
        </w:tabs>
        <w:ind w:left="115" w:hanging="115"/>
      </w:pPr>
      <w:rPr>
        <w:rFonts w:ascii="Times New Roman" w:hAnsi="Times New Roman" w:cs="Times New Roman"/>
        <w:b w:val="0"/>
        <w:i w:val="0"/>
        <w:caps w:val="0"/>
        <w:sz w:val="20"/>
        <w:u w:val="none"/>
        <w:vertAlign w:val="superscript"/>
      </w:rPr>
    </w:lvl>
  </w:abstractNum>
  <w:abstractNum w:abstractNumId="1" w15:restartNumberingAfterBreak="0">
    <w:nsid w:val="09E84AB7"/>
    <w:multiLevelType w:val="singleLevel"/>
    <w:tmpl w:val="7306498A"/>
    <w:name w:val="BXTFL"/>
    <w:lvl w:ilvl="0">
      <w:start w:val="1"/>
      <w:numFmt w:val="lowerLetter"/>
      <w:pStyle w:val="TableFootnoteLetter"/>
      <w:lvlText w:val="%1"/>
      <w:lvlJc w:val="left"/>
      <w:pPr>
        <w:tabs>
          <w:tab w:val="num" w:pos="115"/>
        </w:tabs>
        <w:ind w:left="115" w:hanging="115"/>
      </w:pPr>
      <w:rPr>
        <w:rFonts w:ascii="Times New Roman" w:hAnsi="Times New Roman" w:cs="Times New Roman"/>
        <w:sz w:val="20"/>
        <w:vertAlign w:val="superscript"/>
      </w:rPr>
    </w:lvl>
  </w:abstractNum>
  <w:abstractNum w:abstractNumId="2"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2AB52DD5"/>
    <w:multiLevelType w:val="hybridMultilevel"/>
    <w:tmpl w:val="E70A132C"/>
    <w:lvl w:ilvl="0" w:tplc="040B0001">
      <w:start w:val="1"/>
      <w:numFmt w:val="bullet"/>
      <w:lvlText w:val=""/>
      <w:lvlJc w:val="left"/>
      <w:pPr>
        <w:ind w:left="1301" w:hanging="450"/>
      </w:pPr>
      <w:rPr>
        <w:rFonts w:ascii="Symbol" w:hAnsi="Symbol" w:hint="default"/>
      </w:rPr>
    </w:lvl>
    <w:lvl w:ilvl="1" w:tplc="040B0003" w:tentative="1">
      <w:start w:val="1"/>
      <w:numFmt w:val="bullet"/>
      <w:lvlText w:val="o"/>
      <w:lvlJc w:val="left"/>
      <w:pPr>
        <w:ind w:left="1931" w:hanging="360"/>
      </w:pPr>
      <w:rPr>
        <w:rFonts w:ascii="Courier New" w:hAnsi="Courier New" w:cs="Courier New" w:hint="default"/>
      </w:rPr>
    </w:lvl>
    <w:lvl w:ilvl="2" w:tplc="040B0005" w:tentative="1">
      <w:start w:val="1"/>
      <w:numFmt w:val="bullet"/>
      <w:lvlText w:val=""/>
      <w:lvlJc w:val="left"/>
      <w:pPr>
        <w:ind w:left="2651" w:hanging="360"/>
      </w:pPr>
      <w:rPr>
        <w:rFonts w:ascii="Wingdings" w:hAnsi="Wingdings" w:hint="default"/>
      </w:rPr>
    </w:lvl>
    <w:lvl w:ilvl="3" w:tplc="040B0001" w:tentative="1">
      <w:start w:val="1"/>
      <w:numFmt w:val="bullet"/>
      <w:lvlText w:val=""/>
      <w:lvlJc w:val="left"/>
      <w:pPr>
        <w:ind w:left="3371" w:hanging="360"/>
      </w:pPr>
      <w:rPr>
        <w:rFonts w:ascii="Symbol" w:hAnsi="Symbol" w:hint="default"/>
      </w:rPr>
    </w:lvl>
    <w:lvl w:ilvl="4" w:tplc="040B0003" w:tentative="1">
      <w:start w:val="1"/>
      <w:numFmt w:val="bullet"/>
      <w:lvlText w:val="o"/>
      <w:lvlJc w:val="left"/>
      <w:pPr>
        <w:ind w:left="4091" w:hanging="360"/>
      </w:pPr>
      <w:rPr>
        <w:rFonts w:ascii="Courier New" w:hAnsi="Courier New" w:cs="Courier New" w:hint="default"/>
      </w:rPr>
    </w:lvl>
    <w:lvl w:ilvl="5" w:tplc="040B0005" w:tentative="1">
      <w:start w:val="1"/>
      <w:numFmt w:val="bullet"/>
      <w:lvlText w:val=""/>
      <w:lvlJc w:val="left"/>
      <w:pPr>
        <w:ind w:left="4811" w:hanging="360"/>
      </w:pPr>
      <w:rPr>
        <w:rFonts w:ascii="Wingdings" w:hAnsi="Wingdings" w:hint="default"/>
      </w:rPr>
    </w:lvl>
    <w:lvl w:ilvl="6" w:tplc="040B0001" w:tentative="1">
      <w:start w:val="1"/>
      <w:numFmt w:val="bullet"/>
      <w:lvlText w:val=""/>
      <w:lvlJc w:val="left"/>
      <w:pPr>
        <w:ind w:left="5531" w:hanging="360"/>
      </w:pPr>
      <w:rPr>
        <w:rFonts w:ascii="Symbol" w:hAnsi="Symbol" w:hint="default"/>
      </w:rPr>
    </w:lvl>
    <w:lvl w:ilvl="7" w:tplc="040B0003" w:tentative="1">
      <w:start w:val="1"/>
      <w:numFmt w:val="bullet"/>
      <w:lvlText w:val="o"/>
      <w:lvlJc w:val="left"/>
      <w:pPr>
        <w:ind w:left="6251" w:hanging="360"/>
      </w:pPr>
      <w:rPr>
        <w:rFonts w:ascii="Courier New" w:hAnsi="Courier New" w:cs="Courier New" w:hint="default"/>
      </w:rPr>
    </w:lvl>
    <w:lvl w:ilvl="8" w:tplc="040B0005" w:tentative="1">
      <w:start w:val="1"/>
      <w:numFmt w:val="bullet"/>
      <w:lvlText w:val=""/>
      <w:lvlJc w:val="left"/>
      <w:pPr>
        <w:ind w:left="6971" w:hanging="360"/>
      </w:pPr>
      <w:rPr>
        <w:rFonts w:ascii="Wingdings" w:hAnsi="Wingdings" w:hint="default"/>
      </w:rPr>
    </w:lvl>
  </w:abstractNum>
  <w:abstractNum w:abstractNumId="4"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6" w15:restartNumberingAfterBreak="0">
    <w:nsid w:val="38EF59A3"/>
    <w:multiLevelType w:val="singleLevel"/>
    <w:tmpl w:val="E05CBCAA"/>
    <w:name w:val="BXLB2"/>
    <w:lvl w:ilvl="0">
      <w:start w:val="1"/>
      <w:numFmt w:val="bullet"/>
      <w:pStyle w:val="Opstilling-punkttegn2"/>
      <w:lvlText w:val="-"/>
      <w:lvlJc w:val="left"/>
      <w:pPr>
        <w:tabs>
          <w:tab w:val="num" w:pos="1080"/>
        </w:tabs>
        <w:ind w:left="1080" w:hanging="360"/>
      </w:pPr>
      <w:rPr>
        <w:rFonts w:ascii="Times New Roman" w:hAnsi="Times New Roman" w:cs="Times New Roman" w:hint="default"/>
        <w:sz w:val="24"/>
      </w:rPr>
    </w:lvl>
  </w:abstractNum>
  <w:abstractNum w:abstractNumId="7"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8" w15:restartNumberingAfterBreak="0">
    <w:nsid w:val="41E810B2"/>
    <w:multiLevelType w:val="singleLevel"/>
    <w:tmpl w:val="67CA28C0"/>
    <w:lvl w:ilvl="0">
      <w:start w:val="1"/>
      <w:numFmt w:val="lowerLetter"/>
      <w:lvlText w:val="%1"/>
      <w:lvlJc w:val="left"/>
      <w:pPr>
        <w:tabs>
          <w:tab w:val="num" w:pos="115"/>
        </w:tabs>
        <w:ind w:left="115" w:hanging="115"/>
      </w:pPr>
      <w:rPr>
        <w:rFonts w:ascii="Times New Roman" w:hAnsi="Times New Roman" w:cs="Times New Roman"/>
        <w:b w:val="0"/>
        <w:i w:val="0"/>
        <w:caps w:val="0"/>
        <w:sz w:val="20"/>
        <w:u w:val="none"/>
        <w:vertAlign w:val="superscript"/>
      </w:rPr>
    </w:lvl>
  </w:abstractNum>
  <w:abstractNum w:abstractNumId="9" w15:restartNumberingAfterBreak="0">
    <w:nsid w:val="42E75ADD"/>
    <w:multiLevelType w:val="multilevel"/>
    <w:tmpl w:val="0F1048C4"/>
    <w:lvl w:ilvl="0">
      <w:start w:val="4"/>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507C7BE3"/>
    <w:multiLevelType w:val="multilevel"/>
    <w:tmpl w:val="2ABA71D4"/>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1" w15:restartNumberingAfterBreak="0">
    <w:nsid w:val="55475601"/>
    <w:multiLevelType w:val="singleLevel"/>
    <w:tmpl w:val="67CA28C0"/>
    <w:lvl w:ilvl="0">
      <w:start w:val="1"/>
      <w:numFmt w:val="lowerLetter"/>
      <w:lvlText w:val="%1"/>
      <w:lvlJc w:val="left"/>
      <w:pPr>
        <w:tabs>
          <w:tab w:val="num" w:pos="115"/>
        </w:tabs>
        <w:ind w:left="115" w:hanging="115"/>
      </w:pPr>
      <w:rPr>
        <w:rFonts w:ascii="Times New Roman" w:hAnsi="Times New Roman" w:cs="Times New Roman"/>
        <w:b w:val="0"/>
        <w:i w:val="0"/>
        <w:caps w:val="0"/>
        <w:sz w:val="20"/>
        <w:u w:val="none"/>
        <w:vertAlign w:val="superscript"/>
      </w:rPr>
    </w:lvl>
  </w:abstractNum>
  <w:abstractNum w:abstractNumId="12"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3" w15:restartNumberingAfterBreak="0">
    <w:nsid w:val="574B1B4F"/>
    <w:multiLevelType w:val="hybridMultilevel"/>
    <w:tmpl w:val="D75A1F3C"/>
    <w:lvl w:ilvl="0" w:tplc="040B0001">
      <w:start w:val="1"/>
      <w:numFmt w:val="bullet"/>
      <w:lvlText w:val=""/>
      <w:lvlJc w:val="left"/>
      <w:pPr>
        <w:ind w:left="1211" w:hanging="360"/>
      </w:pPr>
      <w:rPr>
        <w:rFonts w:ascii="Symbol" w:hAnsi="Symbol" w:hint="default"/>
      </w:rPr>
    </w:lvl>
    <w:lvl w:ilvl="1" w:tplc="040B0003" w:tentative="1">
      <w:start w:val="1"/>
      <w:numFmt w:val="bullet"/>
      <w:lvlText w:val="o"/>
      <w:lvlJc w:val="left"/>
      <w:pPr>
        <w:ind w:left="1931" w:hanging="360"/>
      </w:pPr>
      <w:rPr>
        <w:rFonts w:ascii="Courier New" w:hAnsi="Courier New" w:cs="Courier New" w:hint="default"/>
      </w:rPr>
    </w:lvl>
    <w:lvl w:ilvl="2" w:tplc="040B0005" w:tentative="1">
      <w:start w:val="1"/>
      <w:numFmt w:val="bullet"/>
      <w:lvlText w:val=""/>
      <w:lvlJc w:val="left"/>
      <w:pPr>
        <w:ind w:left="2651" w:hanging="360"/>
      </w:pPr>
      <w:rPr>
        <w:rFonts w:ascii="Wingdings" w:hAnsi="Wingdings" w:hint="default"/>
      </w:rPr>
    </w:lvl>
    <w:lvl w:ilvl="3" w:tplc="040B0001" w:tentative="1">
      <w:start w:val="1"/>
      <w:numFmt w:val="bullet"/>
      <w:lvlText w:val=""/>
      <w:lvlJc w:val="left"/>
      <w:pPr>
        <w:ind w:left="3371" w:hanging="360"/>
      </w:pPr>
      <w:rPr>
        <w:rFonts w:ascii="Symbol" w:hAnsi="Symbol" w:hint="default"/>
      </w:rPr>
    </w:lvl>
    <w:lvl w:ilvl="4" w:tplc="040B0003" w:tentative="1">
      <w:start w:val="1"/>
      <w:numFmt w:val="bullet"/>
      <w:lvlText w:val="o"/>
      <w:lvlJc w:val="left"/>
      <w:pPr>
        <w:ind w:left="4091" w:hanging="360"/>
      </w:pPr>
      <w:rPr>
        <w:rFonts w:ascii="Courier New" w:hAnsi="Courier New" w:cs="Courier New" w:hint="default"/>
      </w:rPr>
    </w:lvl>
    <w:lvl w:ilvl="5" w:tplc="040B0005" w:tentative="1">
      <w:start w:val="1"/>
      <w:numFmt w:val="bullet"/>
      <w:lvlText w:val=""/>
      <w:lvlJc w:val="left"/>
      <w:pPr>
        <w:ind w:left="4811" w:hanging="360"/>
      </w:pPr>
      <w:rPr>
        <w:rFonts w:ascii="Wingdings" w:hAnsi="Wingdings" w:hint="default"/>
      </w:rPr>
    </w:lvl>
    <w:lvl w:ilvl="6" w:tplc="040B0001" w:tentative="1">
      <w:start w:val="1"/>
      <w:numFmt w:val="bullet"/>
      <w:lvlText w:val=""/>
      <w:lvlJc w:val="left"/>
      <w:pPr>
        <w:ind w:left="5531" w:hanging="360"/>
      </w:pPr>
      <w:rPr>
        <w:rFonts w:ascii="Symbol" w:hAnsi="Symbol" w:hint="default"/>
      </w:rPr>
    </w:lvl>
    <w:lvl w:ilvl="7" w:tplc="040B0003" w:tentative="1">
      <w:start w:val="1"/>
      <w:numFmt w:val="bullet"/>
      <w:lvlText w:val="o"/>
      <w:lvlJc w:val="left"/>
      <w:pPr>
        <w:ind w:left="6251" w:hanging="360"/>
      </w:pPr>
      <w:rPr>
        <w:rFonts w:ascii="Courier New" w:hAnsi="Courier New" w:cs="Courier New" w:hint="default"/>
      </w:rPr>
    </w:lvl>
    <w:lvl w:ilvl="8" w:tplc="040B0005" w:tentative="1">
      <w:start w:val="1"/>
      <w:numFmt w:val="bullet"/>
      <w:lvlText w:val=""/>
      <w:lvlJc w:val="left"/>
      <w:pPr>
        <w:ind w:left="6971" w:hanging="360"/>
      </w:pPr>
      <w:rPr>
        <w:rFonts w:ascii="Wingdings" w:hAnsi="Wingdings" w:hint="default"/>
      </w:rPr>
    </w:lvl>
  </w:abstractNum>
  <w:abstractNum w:abstractNumId="14" w15:restartNumberingAfterBreak="0">
    <w:nsid w:val="5CAF6F91"/>
    <w:multiLevelType w:val="hybridMultilevel"/>
    <w:tmpl w:val="B9CAE87C"/>
    <w:lvl w:ilvl="0" w:tplc="2C66C30E">
      <w:numFmt w:val="bullet"/>
      <w:lvlText w:val="-"/>
      <w:lvlJc w:val="left"/>
      <w:pPr>
        <w:ind w:left="1211" w:hanging="360"/>
      </w:pPr>
      <w:rPr>
        <w:rFonts w:ascii="Times New Roman" w:eastAsia="MS Mincho" w:hAnsi="Times New Roman" w:cs="Times New Roman" w:hint="default"/>
      </w:rPr>
    </w:lvl>
    <w:lvl w:ilvl="1" w:tplc="040B0003" w:tentative="1">
      <w:start w:val="1"/>
      <w:numFmt w:val="bullet"/>
      <w:lvlText w:val="o"/>
      <w:lvlJc w:val="left"/>
      <w:pPr>
        <w:ind w:left="1931" w:hanging="360"/>
      </w:pPr>
      <w:rPr>
        <w:rFonts w:ascii="Courier New" w:hAnsi="Courier New" w:cs="Courier New" w:hint="default"/>
      </w:rPr>
    </w:lvl>
    <w:lvl w:ilvl="2" w:tplc="040B0005" w:tentative="1">
      <w:start w:val="1"/>
      <w:numFmt w:val="bullet"/>
      <w:lvlText w:val=""/>
      <w:lvlJc w:val="left"/>
      <w:pPr>
        <w:ind w:left="2651" w:hanging="360"/>
      </w:pPr>
      <w:rPr>
        <w:rFonts w:ascii="Wingdings" w:hAnsi="Wingdings" w:hint="default"/>
      </w:rPr>
    </w:lvl>
    <w:lvl w:ilvl="3" w:tplc="040B0001" w:tentative="1">
      <w:start w:val="1"/>
      <w:numFmt w:val="bullet"/>
      <w:lvlText w:val=""/>
      <w:lvlJc w:val="left"/>
      <w:pPr>
        <w:ind w:left="3371" w:hanging="360"/>
      </w:pPr>
      <w:rPr>
        <w:rFonts w:ascii="Symbol" w:hAnsi="Symbol" w:hint="default"/>
      </w:rPr>
    </w:lvl>
    <w:lvl w:ilvl="4" w:tplc="040B0003" w:tentative="1">
      <w:start w:val="1"/>
      <w:numFmt w:val="bullet"/>
      <w:lvlText w:val="o"/>
      <w:lvlJc w:val="left"/>
      <w:pPr>
        <w:ind w:left="4091" w:hanging="360"/>
      </w:pPr>
      <w:rPr>
        <w:rFonts w:ascii="Courier New" w:hAnsi="Courier New" w:cs="Courier New" w:hint="default"/>
      </w:rPr>
    </w:lvl>
    <w:lvl w:ilvl="5" w:tplc="040B0005" w:tentative="1">
      <w:start w:val="1"/>
      <w:numFmt w:val="bullet"/>
      <w:lvlText w:val=""/>
      <w:lvlJc w:val="left"/>
      <w:pPr>
        <w:ind w:left="4811" w:hanging="360"/>
      </w:pPr>
      <w:rPr>
        <w:rFonts w:ascii="Wingdings" w:hAnsi="Wingdings" w:hint="default"/>
      </w:rPr>
    </w:lvl>
    <w:lvl w:ilvl="6" w:tplc="040B0001" w:tentative="1">
      <w:start w:val="1"/>
      <w:numFmt w:val="bullet"/>
      <w:lvlText w:val=""/>
      <w:lvlJc w:val="left"/>
      <w:pPr>
        <w:ind w:left="5531" w:hanging="360"/>
      </w:pPr>
      <w:rPr>
        <w:rFonts w:ascii="Symbol" w:hAnsi="Symbol" w:hint="default"/>
      </w:rPr>
    </w:lvl>
    <w:lvl w:ilvl="7" w:tplc="040B0003" w:tentative="1">
      <w:start w:val="1"/>
      <w:numFmt w:val="bullet"/>
      <w:lvlText w:val="o"/>
      <w:lvlJc w:val="left"/>
      <w:pPr>
        <w:ind w:left="6251" w:hanging="360"/>
      </w:pPr>
      <w:rPr>
        <w:rFonts w:ascii="Courier New" w:hAnsi="Courier New" w:cs="Courier New" w:hint="default"/>
      </w:rPr>
    </w:lvl>
    <w:lvl w:ilvl="8" w:tplc="040B0005" w:tentative="1">
      <w:start w:val="1"/>
      <w:numFmt w:val="bullet"/>
      <w:lvlText w:val=""/>
      <w:lvlJc w:val="left"/>
      <w:pPr>
        <w:ind w:left="6971" w:hanging="360"/>
      </w:pPr>
      <w:rPr>
        <w:rFonts w:ascii="Wingdings" w:hAnsi="Wingdings" w:hint="default"/>
      </w:rPr>
    </w:lvl>
  </w:abstractNum>
  <w:abstractNum w:abstractNumId="15" w15:restartNumberingAfterBreak="0">
    <w:nsid w:val="6030555F"/>
    <w:multiLevelType w:val="multilevel"/>
    <w:tmpl w:val="7D0813EC"/>
    <w:lvl w:ilvl="0">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num>
  <w:num w:numId="7">
    <w:abstractNumId w:val="9"/>
  </w:num>
  <w:num w:numId="8">
    <w:abstractNumId w:val="10"/>
  </w:num>
  <w:num w:numId="9">
    <w:abstractNumId w:val="1"/>
  </w:num>
  <w:num w:numId="10">
    <w:abstractNumId w:val="1"/>
    <w:lvlOverride w:ilvl="0">
      <w:startOverride w:val="1"/>
    </w:lvlOverride>
  </w:num>
  <w:num w:numId="11">
    <w:abstractNumId w:val="14"/>
  </w:num>
  <w:num w:numId="12">
    <w:abstractNumId w:val="6"/>
  </w:num>
  <w:num w:numId="13">
    <w:abstractNumId w:val="13"/>
  </w:num>
  <w:num w:numId="14">
    <w:abstractNumId w:val="3"/>
  </w:num>
  <w:num w:numId="15">
    <w:abstractNumId w:val="0"/>
  </w:num>
  <w:num w:numId="16">
    <w:abstractNumId w:val="8"/>
  </w:num>
  <w:num w:numId="17">
    <w:abstractNumId w:val="11"/>
  </w:num>
  <w:num w:numId="18">
    <w:abstractNumId w:val="0"/>
    <w:lvlOverride w:ilvl="0">
      <w:startOverride w:val="1"/>
    </w:lvlOverride>
  </w:num>
  <w:num w:numId="19">
    <w:abstractNumId w:val="1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5BF4"/>
    <w:rsid w:val="000259B9"/>
    <w:rsid w:val="00041491"/>
    <w:rsid w:val="00050D16"/>
    <w:rsid w:val="00074F2A"/>
    <w:rsid w:val="000A1CA8"/>
    <w:rsid w:val="000A466B"/>
    <w:rsid w:val="000B058C"/>
    <w:rsid w:val="000E4EE6"/>
    <w:rsid w:val="00111B8A"/>
    <w:rsid w:val="00136A1C"/>
    <w:rsid w:val="001454E2"/>
    <w:rsid w:val="00145BF4"/>
    <w:rsid w:val="00206CE8"/>
    <w:rsid w:val="0021526C"/>
    <w:rsid w:val="00283A2B"/>
    <w:rsid w:val="002B30AD"/>
    <w:rsid w:val="002C2C01"/>
    <w:rsid w:val="003A29AE"/>
    <w:rsid w:val="003A32D7"/>
    <w:rsid w:val="003B4074"/>
    <w:rsid w:val="003C769A"/>
    <w:rsid w:val="003F1838"/>
    <w:rsid w:val="0045746C"/>
    <w:rsid w:val="004762D1"/>
    <w:rsid w:val="0049104B"/>
    <w:rsid w:val="004E3B12"/>
    <w:rsid w:val="00532310"/>
    <w:rsid w:val="00560ECC"/>
    <w:rsid w:val="00565F0F"/>
    <w:rsid w:val="00573E4B"/>
    <w:rsid w:val="00594A86"/>
    <w:rsid w:val="00596D86"/>
    <w:rsid w:val="00637F5A"/>
    <w:rsid w:val="006560B1"/>
    <w:rsid w:val="006756DD"/>
    <w:rsid w:val="006838EA"/>
    <w:rsid w:val="00737275"/>
    <w:rsid w:val="00740EEC"/>
    <w:rsid w:val="0078011A"/>
    <w:rsid w:val="00782AF4"/>
    <w:rsid w:val="00790EE7"/>
    <w:rsid w:val="007B6649"/>
    <w:rsid w:val="0081546F"/>
    <w:rsid w:val="0082576E"/>
    <w:rsid w:val="00907F75"/>
    <w:rsid w:val="009260DE"/>
    <w:rsid w:val="0093258A"/>
    <w:rsid w:val="009C7BA3"/>
    <w:rsid w:val="009D1F5A"/>
    <w:rsid w:val="00A12D44"/>
    <w:rsid w:val="00B003BF"/>
    <w:rsid w:val="00B373D7"/>
    <w:rsid w:val="00B459FB"/>
    <w:rsid w:val="00BF57C2"/>
    <w:rsid w:val="00C36276"/>
    <w:rsid w:val="00C42586"/>
    <w:rsid w:val="00C60CCD"/>
    <w:rsid w:val="00C84483"/>
    <w:rsid w:val="00C95551"/>
    <w:rsid w:val="00CB20D7"/>
    <w:rsid w:val="00D020B0"/>
    <w:rsid w:val="00D11748"/>
    <w:rsid w:val="00D366CF"/>
    <w:rsid w:val="00D67FCE"/>
    <w:rsid w:val="00E108AA"/>
    <w:rsid w:val="00E31812"/>
    <w:rsid w:val="00E3749A"/>
    <w:rsid w:val="00E7437F"/>
    <w:rsid w:val="00E865B8"/>
    <w:rsid w:val="00EC0B9B"/>
    <w:rsid w:val="00ED5E9F"/>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F9EB8C"/>
  <w15:chartTrackingRefBased/>
  <w15:docId w15:val="{52A002BF-B6D3-42F0-A230-43ADC3106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styleId="Pladsholdertekst">
    <w:name w:val="Placeholder Text"/>
    <w:basedOn w:val="Standardskrifttypeiafsnit"/>
    <w:uiPriority w:val="99"/>
    <w:semiHidden/>
    <w:rsid w:val="00145BF4"/>
    <w:rPr>
      <w:color w:val="808080"/>
    </w:rPr>
  </w:style>
  <w:style w:type="paragraph" w:customStyle="1" w:styleId="TableFootnoteLetter">
    <w:name w:val="Table Footnote Letter"/>
    <w:rsid w:val="00145BF4"/>
    <w:pPr>
      <w:numPr>
        <w:numId w:val="9"/>
      </w:numPr>
      <w:spacing w:before="60" w:after="60"/>
    </w:pPr>
    <w:rPr>
      <w:lang w:eastAsia="ja-JP"/>
    </w:rPr>
  </w:style>
  <w:style w:type="paragraph" w:styleId="Opstilling-punkttegn2">
    <w:name w:val="List Bullet 2"/>
    <w:rsid w:val="00145BF4"/>
    <w:pPr>
      <w:numPr>
        <w:numId w:val="12"/>
      </w:numPr>
      <w:spacing w:before="60" w:after="60" w:line="360" w:lineRule="exact"/>
    </w:pPr>
    <w:rPr>
      <w:rFonts w:eastAsia="MS Mincho"/>
      <w:sz w:val="24"/>
      <w:szCs w:val="24"/>
      <w:lang w:eastAsia="ja-JP"/>
    </w:rPr>
  </w:style>
  <w:style w:type="paragraph" w:customStyle="1" w:styleId="Paragraph">
    <w:name w:val="Paragraph"/>
    <w:link w:val="ParagraphChar"/>
    <w:rsid w:val="00145BF4"/>
    <w:pPr>
      <w:spacing w:before="120" w:after="240" w:line="288" w:lineRule="auto"/>
    </w:pPr>
    <w:rPr>
      <w:rFonts w:eastAsia="MS Mincho"/>
      <w:sz w:val="24"/>
      <w:szCs w:val="24"/>
      <w:lang w:eastAsia="ja-JP"/>
    </w:rPr>
  </w:style>
  <w:style w:type="character" w:customStyle="1" w:styleId="ParagraphChar">
    <w:name w:val="Paragraph Char"/>
    <w:link w:val="Paragraph"/>
    <w:rsid w:val="00145BF4"/>
    <w:rPr>
      <w:rFonts w:eastAsia="MS Mincho"/>
      <w:sz w:val="24"/>
      <w:szCs w:val="24"/>
      <w:lang w:eastAsia="ja-JP"/>
    </w:rPr>
  </w:style>
  <w:style w:type="paragraph" w:customStyle="1" w:styleId="Heading4Unnumbered">
    <w:name w:val="Heading 4 Unnumbered"/>
    <w:next w:val="Paragraph"/>
    <w:rsid w:val="00145BF4"/>
    <w:pPr>
      <w:keepNext/>
      <w:spacing w:before="120" w:after="120"/>
      <w:outlineLvl w:val="3"/>
    </w:pPr>
    <w:rPr>
      <w:rFonts w:eastAsia="MS Mincho"/>
      <w:i/>
      <w:iCs/>
      <w:sz w:val="24"/>
      <w:szCs w:val="24"/>
      <w:lang w:eastAsia="ja-JP"/>
    </w:rPr>
  </w:style>
  <w:style w:type="paragraph" w:styleId="Listeafsnit">
    <w:name w:val="List Paragraph"/>
    <w:basedOn w:val="Normal"/>
    <w:uiPriority w:val="34"/>
    <w:qFormat/>
    <w:rsid w:val="00145BF4"/>
    <w:pPr>
      <w:ind w:left="720"/>
      <w:contextualSpacing/>
    </w:pPr>
    <w:rPr>
      <w:rFonts w:eastAsia="SimSun"/>
      <w:sz w:val="24"/>
      <w:szCs w:val="24"/>
      <w:lang w:val="en-US"/>
    </w:rPr>
  </w:style>
  <w:style w:type="table" w:styleId="Tabel-Gitter">
    <w:name w:val="Table Grid"/>
    <w:basedOn w:val="Tabel-Normal"/>
    <w:uiPriority w:val="59"/>
    <w:rsid w:val="00145B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enter">
    <w:name w:val="Table Center"/>
    <w:rsid w:val="00145BF4"/>
    <w:pPr>
      <w:spacing w:before="60" w:after="60"/>
      <w:jc w:val="center"/>
    </w:pPr>
    <w:rPr>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178199500">
      <w:bodyDiv w:val="1"/>
      <w:marLeft w:val="0"/>
      <w:marRight w:val="0"/>
      <w:marTop w:val="0"/>
      <w:marBottom w:val="0"/>
      <w:divBdr>
        <w:top w:val="none" w:sz="0" w:space="0" w:color="auto"/>
        <w:left w:val="none" w:sz="0" w:space="0" w:color="auto"/>
        <w:bottom w:val="none" w:sz="0" w:space="0" w:color="auto"/>
        <w:right w:val="none" w:sz="0" w:space="0" w:color="auto"/>
      </w:divBdr>
    </w:div>
    <w:div w:id="326250708">
      <w:bodyDiv w:val="1"/>
      <w:marLeft w:val="0"/>
      <w:marRight w:val="0"/>
      <w:marTop w:val="0"/>
      <w:marBottom w:val="0"/>
      <w:divBdr>
        <w:top w:val="none" w:sz="0" w:space="0" w:color="auto"/>
        <w:left w:val="none" w:sz="0" w:space="0" w:color="auto"/>
        <w:bottom w:val="none" w:sz="0" w:space="0" w:color="auto"/>
        <w:right w:val="none" w:sz="0" w:space="0" w:color="auto"/>
      </w:divBdr>
    </w:div>
    <w:div w:id="429620844">
      <w:bodyDiv w:val="1"/>
      <w:marLeft w:val="0"/>
      <w:marRight w:val="0"/>
      <w:marTop w:val="0"/>
      <w:marBottom w:val="0"/>
      <w:divBdr>
        <w:top w:val="none" w:sz="0" w:space="0" w:color="auto"/>
        <w:left w:val="none" w:sz="0" w:space="0" w:color="auto"/>
        <w:bottom w:val="none" w:sz="0" w:space="0" w:color="auto"/>
        <w:right w:val="none" w:sz="0" w:space="0" w:color="auto"/>
      </w:divBdr>
    </w:div>
    <w:div w:id="1017997496">
      <w:bodyDiv w:val="1"/>
      <w:marLeft w:val="0"/>
      <w:marRight w:val="0"/>
      <w:marTop w:val="0"/>
      <w:marBottom w:val="0"/>
      <w:divBdr>
        <w:top w:val="none" w:sz="0" w:space="0" w:color="auto"/>
        <w:left w:val="none" w:sz="0" w:space="0" w:color="auto"/>
        <w:bottom w:val="none" w:sz="0" w:space="0" w:color="auto"/>
        <w:right w:val="none" w:sz="0" w:space="0" w:color="auto"/>
      </w:divBdr>
    </w:div>
    <w:div w:id="1784960806">
      <w:bodyDiv w:val="1"/>
      <w:marLeft w:val="0"/>
      <w:marRight w:val="0"/>
      <w:marTop w:val="0"/>
      <w:marBottom w:val="0"/>
      <w:divBdr>
        <w:top w:val="none" w:sz="0" w:space="0" w:color="auto"/>
        <w:left w:val="none" w:sz="0" w:space="0" w:color="auto"/>
        <w:bottom w:val="none" w:sz="0" w:space="0" w:color="auto"/>
        <w:right w:val="none" w:sz="0" w:space="0" w:color="auto"/>
      </w:divBdr>
    </w:div>
    <w:div w:id="2094810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X:\GOD\SPC'er\_SPC%20Skabeloner\SPC%20Hum.dotm"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SPC Hum</Template>
  <TotalTime>2</TotalTime>
  <Pages>18</Pages>
  <Words>5495</Words>
  <Characters>33769</Characters>
  <Application>Microsoft Office Word</Application>
  <DocSecurity>0</DocSecurity>
  <Lines>281</Lines>
  <Paragraphs>78</Paragraphs>
  <ScaleCrop>false</ScaleCrop>
  <HeadingPairs>
    <vt:vector size="2" baseType="variant">
      <vt:variant>
        <vt:lpstr>Titel</vt:lpstr>
      </vt:variant>
      <vt:variant>
        <vt:i4>1</vt:i4>
      </vt:variant>
    </vt:vector>
  </HeadingPairs>
  <TitlesOfParts>
    <vt:vector size="1" baseType="lpstr">
      <vt:lpstr/>
    </vt:vector>
  </TitlesOfParts>
  <Company>OPTION</Company>
  <LinksUpToDate>false</LinksUpToDate>
  <CharactersWithSpaces>39186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Marianne Ott Jensen</dc:creator>
  <cp:keywords/>
  <dc:description>2023013315_x000d_
Ændring af MAH adresse</dc:description>
  <cp:lastModifiedBy>Marianne Ott Jensen</cp:lastModifiedBy>
  <cp:revision>3</cp:revision>
  <cp:lastPrinted>2012-08-22T08:53:00Z</cp:lastPrinted>
  <dcterms:created xsi:type="dcterms:W3CDTF">2023-04-11T12:39:00Z</dcterms:created>
  <dcterms:modified xsi:type="dcterms:W3CDTF">2023-04-11T12:41:00Z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