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FAE" w:rsidRPr="008F49E1" w:rsidRDefault="00AC3FAE" w:rsidP="00AC3FAE">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67BFD79" wp14:editId="0DB8026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C3FAE" w:rsidRPr="00C84483" w:rsidRDefault="00AC3FAE" w:rsidP="00AC3FAE">
      <w:pPr>
        <w:pStyle w:val="Titel"/>
        <w:tabs>
          <w:tab w:val="right" w:pos="9356"/>
        </w:tabs>
        <w:jc w:val="left"/>
        <w:rPr>
          <w:b w:val="0"/>
          <w:szCs w:val="24"/>
          <w:lang w:eastAsia="en-US"/>
        </w:rPr>
      </w:pPr>
      <w:r w:rsidRPr="00C84483">
        <w:rPr>
          <w:b w:val="0"/>
          <w:szCs w:val="24"/>
          <w:lang w:eastAsia="en-US"/>
        </w:rPr>
        <w:tab/>
      </w:r>
      <w:r w:rsidR="002F0B8C">
        <w:rPr>
          <w:szCs w:val="24"/>
        </w:rPr>
        <w:t>11</w:t>
      </w:r>
      <w:r w:rsidR="0016648D">
        <w:rPr>
          <w:szCs w:val="24"/>
        </w:rPr>
        <w:t xml:space="preserve">. </w:t>
      </w:r>
      <w:r w:rsidR="002F0B8C">
        <w:rPr>
          <w:szCs w:val="24"/>
        </w:rPr>
        <w:t>april</w:t>
      </w:r>
      <w:r w:rsidR="0016648D">
        <w:rPr>
          <w:szCs w:val="24"/>
        </w:rPr>
        <w:t xml:space="preserve"> 202</w:t>
      </w:r>
      <w:r w:rsidR="002F0B8C">
        <w:rPr>
          <w:szCs w:val="24"/>
        </w:rPr>
        <w:t>3</w:t>
      </w:r>
    </w:p>
    <w:p w:rsidR="00AC3FAE" w:rsidRPr="00C84483" w:rsidRDefault="00AC3FAE" w:rsidP="00AC3FAE">
      <w:pPr>
        <w:pStyle w:val="Titel"/>
        <w:tabs>
          <w:tab w:val="left" w:pos="8222"/>
        </w:tabs>
        <w:jc w:val="left"/>
        <w:rPr>
          <w:b w:val="0"/>
          <w:szCs w:val="24"/>
        </w:rPr>
      </w:pPr>
    </w:p>
    <w:p w:rsidR="00AC3FAE" w:rsidRPr="00C84483" w:rsidRDefault="00AC3FAE" w:rsidP="00AC3FAE">
      <w:pPr>
        <w:pStyle w:val="Titel"/>
        <w:jc w:val="left"/>
        <w:rPr>
          <w:b w:val="0"/>
          <w:szCs w:val="24"/>
        </w:rPr>
      </w:pPr>
    </w:p>
    <w:p w:rsidR="00AC3FAE" w:rsidRPr="00C84483" w:rsidRDefault="00AC3FAE" w:rsidP="00AC3FAE">
      <w:pPr>
        <w:pStyle w:val="Titel"/>
        <w:jc w:val="left"/>
        <w:rPr>
          <w:b w:val="0"/>
          <w:szCs w:val="24"/>
        </w:rPr>
      </w:pPr>
    </w:p>
    <w:p w:rsidR="00AC3FAE" w:rsidRPr="00C84483" w:rsidRDefault="00AC3FAE" w:rsidP="00AC3FAE">
      <w:pPr>
        <w:jc w:val="center"/>
        <w:rPr>
          <w:b/>
          <w:sz w:val="24"/>
          <w:szCs w:val="24"/>
        </w:rPr>
      </w:pPr>
      <w:r w:rsidRPr="00C84483">
        <w:rPr>
          <w:b/>
          <w:sz w:val="24"/>
          <w:szCs w:val="24"/>
        </w:rPr>
        <w:t>PRODUKTRESUMÉ</w:t>
      </w:r>
    </w:p>
    <w:p w:rsidR="00AC3FAE" w:rsidRPr="00C84483" w:rsidRDefault="00AC3FAE" w:rsidP="00AC3FAE">
      <w:pPr>
        <w:jc w:val="center"/>
        <w:rPr>
          <w:b/>
          <w:sz w:val="24"/>
          <w:szCs w:val="24"/>
        </w:rPr>
      </w:pPr>
    </w:p>
    <w:p w:rsidR="00AC3FAE" w:rsidRDefault="00AC3FAE" w:rsidP="00AC3FAE">
      <w:pPr>
        <w:jc w:val="center"/>
        <w:rPr>
          <w:b/>
          <w:sz w:val="24"/>
          <w:szCs w:val="24"/>
        </w:rPr>
      </w:pPr>
      <w:r w:rsidRPr="00C84483">
        <w:rPr>
          <w:b/>
          <w:sz w:val="24"/>
          <w:szCs w:val="24"/>
        </w:rPr>
        <w:t>for</w:t>
      </w:r>
    </w:p>
    <w:p w:rsidR="00AC3FAE" w:rsidRPr="00C84483" w:rsidRDefault="00AC3FAE" w:rsidP="00AC3FAE">
      <w:pPr>
        <w:jc w:val="center"/>
        <w:rPr>
          <w:b/>
          <w:sz w:val="24"/>
          <w:szCs w:val="24"/>
        </w:rPr>
      </w:pPr>
    </w:p>
    <w:p w:rsidR="00AC3FAE" w:rsidRPr="00C84483" w:rsidRDefault="00AC3FAE" w:rsidP="00AC3FAE">
      <w:pPr>
        <w:jc w:val="center"/>
        <w:rPr>
          <w:b/>
          <w:sz w:val="24"/>
          <w:szCs w:val="24"/>
        </w:rPr>
      </w:pPr>
      <w:proofErr w:type="spellStart"/>
      <w:r w:rsidRPr="00B40DCC">
        <w:rPr>
          <w:b/>
        </w:rPr>
        <w:t>Olimel</w:t>
      </w:r>
      <w:proofErr w:type="spellEnd"/>
      <w:r w:rsidRPr="00B40DCC">
        <w:rPr>
          <w:b/>
        </w:rPr>
        <w:t xml:space="preserve"> </w:t>
      </w:r>
      <w:r w:rsidRPr="00060F76">
        <w:rPr>
          <w:b/>
        </w:rPr>
        <w:t>N12E, infusionsvæske, emulsion</w:t>
      </w:r>
      <w:r>
        <w:rPr>
          <w:rStyle w:val="Sidetal"/>
          <w:lang w:eastAsia="da-DK"/>
        </w:rPr>
        <w:t xml:space="preserve"> </w:t>
      </w:r>
    </w:p>
    <w:p w:rsidR="00AC3FAE" w:rsidRPr="00C84483" w:rsidRDefault="00AC3FAE" w:rsidP="00AC3FAE">
      <w:pPr>
        <w:jc w:val="both"/>
        <w:rPr>
          <w:sz w:val="24"/>
          <w:szCs w:val="24"/>
        </w:rPr>
      </w:pPr>
    </w:p>
    <w:p w:rsidR="00AC3FAE" w:rsidRPr="005F7D4D" w:rsidRDefault="00AC3FAE" w:rsidP="00AC3FAE">
      <w:pPr>
        <w:jc w:val="both"/>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0.</w:t>
      </w:r>
      <w:r w:rsidRPr="005F7D4D">
        <w:rPr>
          <w:b/>
          <w:sz w:val="24"/>
          <w:szCs w:val="24"/>
        </w:rPr>
        <w:tab/>
        <w:t>D.SP.NR.</w:t>
      </w:r>
    </w:p>
    <w:p w:rsidR="00AC3FAE" w:rsidRPr="005F7D4D" w:rsidRDefault="00AC3FAE" w:rsidP="00AC3FAE">
      <w:pPr>
        <w:tabs>
          <w:tab w:val="left" w:pos="851"/>
        </w:tabs>
        <w:ind w:left="851"/>
        <w:rPr>
          <w:sz w:val="24"/>
          <w:szCs w:val="24"/>
        </w:rPr>
      </w:pPr>
      <w:r w:rsidRPr="005F7D4D">
        <w:rPr>
          <w:sz w:val="24"/>
          <w:szCs w:val="24"/>
        </w:rPr>
        <w:t>26748</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1.</w:t>
      </w:r>
      <w:r w:rsidRPr="005F7D4D">
        <w:rPr>
          <w:b/>
          <w:sz w:val="24"/>
          <w:szCs w:val="24"/>
        </w:rPr>
        <w:tab/>
        <w:t>LÆGEMIDLETS NAVN</w:t>
      </w:r>
    </w:p>
    <w:p w:rsidR="00AC3FAE" w:rsidRPr="005F7D4D" w:rsidRDefault="00AC3FAE" w:rsidP="00AC3FAE">
      <w:pPr>
        <w:tabs>
          <w:tab w:val="left" w:pos="851"/>
        </w:tabs>
        <w:ind w:left="851"/>
        <w:rPr>
          <w:sz w:val="24"/>
          <w:szCs w:val="24"/>
        </w:rPr>
      </w:pPr>
      <w:proofErr w:type="spellStart"/>
      <w:r w:rsidRPr="005F7D4D">
        <w:rPr>
          <w:sz w:val="24"/>
          <w:szCs w:val="24"/>
        </w:rPr>
        <w:t>Olimel</w:t>
      </w:r>
      <w:proofErr w:type="spellEnd"/>
      <w:r w:rsidRPr="005F7D4D">
        <w:rPr>
          <w:sz w:val="24"/>
          <w:szCs w:val="24"/>
        </w:rPr>
        <w:t xml:space="preserve"> N12E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2.</w:t>
      </w:r>
      <w:r w:rsidRPr="005F7D4D">
        <w:rPr>
          <w:b/>
          <w:sz w:val="24"/>
          <w:szCs w:val="24"/>
        </w:rPr>
        <w:tab/>
        <w:t>KVALITATIV OG KVANTITATIV SAMMENSÆTNING</w:t>
      </w:r>
    </w:p>
    <w:p w:rsidR="00AC3FAE" w:rsidRPr="005F7D4D" w:rsidRDefault="00AC3FAE" w:rsidP="00AC3FAE">
      <w:pPr>
        <w:tabs>
          <w:tab w:val="left" w:pos="851"/>
        </w:tabs>
        <w:ind w:left="851"/>
        <w:rPr>
          <w:sz w:val="24"/>
          <w:szCs w:val="24"/>
        </w:rPr>
      </w:pPr>
      <w:proofErr w:type="spellStart"/>
      <w:r w:rsidRPr="005F7D4D">
        <w:rPr>
          <w:sz w:val="24"/>
          <w:szCs w:val="24"/>
        </w:rPr>
        <w:t>Olimel</w:t>
      </w:r>
      <w:proofErr w:type="spellEnd"/>
      <w:r w:rsidRPr="005F7D4D">
        <w:rPr>
          <w:sz w:val="24"/>
          <w:szCs w:val="24"/>
        </w:rPr>
        <w:t xml:space="preserve"> N12E leveres i en trekammerpose. </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Hver pose indeholder en </w:t>
      </w:r>
      <w:proofErr w:type="spellStart"/>
      <w:r w:rsidRPr="005F7D4D">
        <w:rPr>
          <w:sz w:val="24"/>
          <w:szCs w:val="24"/>
        </w:rPr>
        <w:t>glucoseopløsning</w:t>
      </w:r>
      <w:proofErr w:type="spellEnd"/>
      <w:r w:rsidRPr="005F7D4D">
        <w:rPr>
          <w:sz w:val="24"/>
          <w:szCs w:val="24"/>
        </w:rPr>
        <w:t xml:space="preserve"> med calcium, en fedtemulsion og en aminosyreopløsning med andre elektrolytter.</w:t>
      </w:r>
    </w:p>
    <w:p w:rsidR="00AC3FAE" w:rsidRPr="005F7D4D" w:rsidRDefault="00AC3FAE" w:rsidP="00AC3FAE">
      <w:pPr>
        <w:tabs>
          <w:tab w:val="left" w:pos="851"/>
        </w:tabs>
        <w:ind w:left="851"/>
        <w:rPr>
          <w:sz w:val="24"/>
          <w:szCs w:val="24"/>
        </w:rPr>
      </w:pPr>
    </w:p>
    <w:tbl>
      <w:tblPr>
        <w:tblW w:w="418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27"/>
        <w:gridCol w:w="1275"/>
        <w:gridCol w:w="1387"/>
        <w:gridCol w:w="1386"/>
        <w:gridCol w:w="1387"/>
      </w:tblGrid>
      <w:tr w:rsidR="00AC3FAE" w:rsidRPr="005F7D4D" w:rsidTr="003B4BCE">
        <w:trPr>
          <w:cantSplit/>
          <w:jc w:val="center"/>
        </w:trPr>
        <w:tc>
          <w:tcPr>
            <w:tcW w:w="2693" w:type="dxa"/>
            <w:vMerge w:val="restart"/>
            <w:tcBorders>
              <w:top w:val="nil"/>
              <w:left w:val="nil"/>
            </w:tcBorders>
            <w:shd w:val="clear" w:color="auto" w:fill="auto"/>
          </w:tcPr>
          <w:p w:rsidR="00AC3FAE" w:rsidRPr="005F7D4D" w:rsidRDefault="00AC3FAE" w:rsidP="003B4BCE">
            <w:pPr>
              <w:pStyle w:val="TableCenter"/>
              <w:rPr>
                <w:highlight w:val="yellow"/>
              </w:rPr>
            </w:pPr>
          </w:p>
        </w:tc>
        <w:tc>
          <w:tcPr>
            <w:tcW w:w="5556" w:type="dxa"/>
            <w:gridSpan w:val="4"/>
            <w:shd w:val="clear" w:color="auto" w:fill="auto"/>
          </w:tcPr>
          <w:p w:rsidR="00AC3FAE" w:rsidRPr="005F7D4D" w:rsidRDefault="00AC3FAE" w:rsidP="003B4BCE">
            <w:pPr>
              <w:pStyle w:val="TableCenter"/>
              <w:rPr>
                <w:b/>
              </w:rPr>
            </w:pPr>
            <w:r w:rsidRPr="005F7D4D">
              <w:rPr>
                <w:b/>
              </w:rPr>
              <w:t>Indhold pr. pose</w:t>
            </w:r>
          </w:p>
        </w:tc>
      </w:tr>
      <w:tr w:rsidR="00AC3FAE" w:rsidRPr="005F7D4D" w:rsidTr="003B4BCE">
        <w:trPr>
          <w:cantSplit/>
          <w:jc w:val="center"/>
        </w:trPr>
        <w:tc>
          <w:tcPr>
            <w:tcW w:w="2693" w:type="dxa"/>
            <w:vMerge/>
            <w:tcBorders>
              <w:left w:val="nil"/>
              <w:bottom w:val="single" w:sz="6" w:space="0" w:color="000000"/>
            </w:tcBorders>
            <w:shd w:val="clear" w:color="auto" w:fill="auto"/>
          </w:tcPr>
          <w:p w:rsidR="00AC3FAE" w:rsidRPr="005F7D4D" w:rsidRDefault="00AC3FAE" w:rsidP="003B4BCE">
            <w:pPr>
              <w:pStyle w:val="TableCenter"/>
              <w:rPr>
                <w:highlight w:val="yellow"/>
              </w:rPr>
            </w:pPr>
          </w:p>
        </w:tc>
        <w:tc>
          <w:tcPr>
            <w:tcW w:w="1303" w:type="dxa"/>
            <w:tcBorders>
              <w:bottom w:val="single" w:sz="6" w:space="0" w:color="000000"/>
            </w:tcBorders>
            <w:shd w:val="clear" w:color="auto" w:fill="auto"/>
          </w:tcPr>
          <w:p w:rsidR="00AC3FAE" w:rsidRPr="005F7D4D" w:rsidRDefault="00AC3FAE" w:rsidP="003B4BCE">
            <w:pPr>
              <w:pStyle w:val="TableCenter"/>
              <w:rPr>
                <w:b/>
                <w:highlight w:val="yellow"/>
              </w:rPr>
            </w:pPr>
            <w:r w:rsidRPr="005F7D4D">
              <w:rPr>
                <w:b/>
              </w:rPr>
              <w:t>650 ml</w:t>
            </w:r>
          </w:p>
        </w:tc>
        <w:tc>
          <w:tcPr>
            <w:tcW w:w="1418" w:type="dxa"/>
            <w:tcBorders>
              <w:bottom w:val="single" w:sz="6" w:space="0" w:color="000000"/>
            </w:tcBorders>
            <w:shd w:val="clear" w:color="auto" w:fill="auto"/>
          </w:tcPr>
          <w:p w:rsidR="00AC3FAE" w:rsidRPr="005F7D4D" w:rsidRDefault="00AC3FAE" w:rsidP="003B4BCE">
            <w:pPr>
              <w:pStyle w:val="TableCenter"/>
              <w:rPr>
                <w:b/>
                <w:highlight w:val="yellow"/>
              </w:rPr>
            </w:pPr>
            <w:r w:rsidRPr="005F7D4D">
              <w:rPr>
                <w:b/>
              </w:rPr>
              <w:t>1000 ml</w:t>
            </w:r>
          </w:p>
        </w:tc>
        <w:tc>
          <w:tcPr>
            <w:tcW w:w="1417" w:type="dxa"/>
            <w:tcBorders>
              <w:bottom w:val="single" w:sz="6" w:space="0" w:color="000000"/>
            </w:tcBorders>
            <w:shd w:val="clear" w:color="auto" w:fill="auto"/>
          </w:tcPr>
          <w:p w:rsidR="00AC3FAE" w:rsidRPr="005F7D4D" w:rsidRDefault="00AC3FAE" w:rsidP="003B4BCE">
            <w:pPr>
              <w:pStyle w:val="TableCenter"/>
              <w:rPr>
                <w:b/>
                <w:highlight w:val="yellow"/>
              </w:rPr>
            </w:pPr>
            <w:r w:rsidRPr="005F7D4D">
              <w:rPr>
                <w:b/>
              </w:rPr>
              <w:t>1500 ml</w:t>
            </w:r>
          </w:p>
        </w:tc>
        <w:tc>
          <w:tcPr>
            <w:tcW w:w="1418" w:type="dxa"/>
            <w:tcBorders>
              <w:bottom w:val="single" w:sz="6" w:space="0" w:color="000000"/>
            </w:tcBorders>
            <w:shd w:val="clear" w:color="auto" w:fill="auto"/>
          </w:tcPr>
          <w:p w:rsidR="00AC3FAE" w:rsidRPr="005F7D4D" w:rsidRDefault="00AC3FAE" w:rsidP="003B4BCE">
            <w:pPr>
              <w:pStyle w:val="TableCenter"/>
              <w:rPr>
                <w:b/>
                <w:highlight w:val="yellow"/>
              </w:rPr>
            </w:pPr>
            <w:r w:rsidRPr="005F7D4D">
              <w:rPr>
                <w:b/>
              </w:rPr>
              <w:t>2000 ml</w:t>
            </w:r>
          </w:p>
        </w:tc>
      </w:tr>
      <w:tr w:rsidR="00AC3FAE" w:rsidRPr="005F7D4D" w:rsidTr="003B4BCE">
        <w:trPr>
          <w:cantSplit/>
          <w:jc w:val="center"/>
        </w:trPr>
        <w:tc>
          <w:tcPr>
            <w:tcW w:w="2693" w:type="dxa"/>
            <w:tcBorders>
              <w:bottom w:val="single" w:sz="6" w:space="0" w:color="000000"/>
            </w:tcBorders>
            <w:shd w:val="clear" w:color="auto" w:fill="auto"/>
          </w:tcPr>
          <w:p w:rsidR="00AC3FAE" w:rsidRPr="005F7D4D" w:rsidRDefault="00AC3FAE" w:rsidP="003B4BCE">
            <w:pPr>
              <w:pStyle w:val="TableCenter"/>
            </w:pPr>
            <w:r w:rsidRPr="005F7D4D">
              <w:t xml:space="preserve">27,5 % </w:t>
            </w:r>
            <w:proofErr w:type="spellStart"/>
            <w:r w:rsidRPr="005F7D4D">
              <w:t>glucoseopløsning</w:t>
            </w:r>
            <w:proofErr w:type="spellEnd"/>
            <w:r w:rsidRPr="005F7D4D">
              <w:t xml:space="preserve"> (svarende til 27,5 g/100 ml)</w:t>
            </w:r>
          </w:p>
        </w:tc>
        <w:tc>
          <w:tcPr>
            <w:tcW w:w="1303" w:type="dxa"/>
            <w:tcBorders>
              <w:bottom w:val="single" w:sz="6" w:space="0" w:color="000000"/>
            </w:tcBorders>
            <w:shd w:val="clear" w:color="auto" w:fill="auto"/>
          </w:tcPr>
          <w:p w:rsidR="00AC3FAE" w:rsidRPr="005F7D4D" w:rsidRDefault="00AC3FAE" w:rsidP="003B4BCE">
            <w:pPr>
              <w:pStyle w:val="TableCenter"/>
            </w:pPr>
            <w:r w:rsidRPr="005F7D4D">
              <w:t>173 ml</w:t>
            </w:r>
          </w:p>
        </w:tc>
        <w:tc>
          <w:tcPr>
            <w:tcW w:w="1418" w:type="dxa"/>
            <w:tcBorders>
              <w:bottom w:val="single" w:sz="6" w:space="0" w:color="000000"/>
            </w:tcBorders>
            <w:shd w:val="clear" w:color="auto" w:fill="auto"/>
          </w:tcPr>
          <w:p w:rsidR="00AC3FAE" w:rsidRPr="005F7D4D" w:rsidRDefault="00AC3FAE" w:rsidP="003B4BCE">
            <w:pPr>
              <w:pStyle w:val="TableCenter"/>
            </w:pPr>
            <w:r w:rsidRPr="005F7D4D">
              <w:t xml:space="preserve">267 ml </w:t>
            </w:r>
          </w:p>
        </w:tc>
        <w:tc>
          <w:tcPr>
            <w:tcW w:w="1417" w:type="dxa"/>
            <w:tcBorders>
              <w:bottom w:val="single" w:sz="6" w:space="0" w:color="000000"/>
            </w:tcBorders>
            <w:shd w:val="clear" w:color="auto" w:fill="auto"/>
          </w:tcPr>
          <w:p w:rsidR="00AC3FAE" w:rsidRPr="005F7D4D" w:rsidRDefault="00AC3FAE" w:rsidP="003B4BCE">
            <w:pPr>
              <w:pStyle w:val="TableCenter"/>
            </w:pPr>
            <w:r w:rsidRPr="005F7D4D">
              <w:t>400 ml</w:t>
            </w:r>
          </w:p>
        </w:tc>
        <w:tc>
          <w:tcPr>
            <w:tcW w:w="1418" w:type="dxa"/>
            <w:tcBorders>
              <w:bottom w:val="single" w:sz="6" w:space="0" w:color="000000"/>
            </w:tcBorders>
            <w:shd w:val="clear" w:color="auto" w:fill="auto"/>
          </w:tcPr>
          <w:p w:rsidR="00AC3FAE" w:rsidRPr="005F7D4D" w:rsidRDefault="00AC3FAE" w:rsidP="003B4BCE">
            <w:pPr>
              <w:pStyle w:val="TableCenter"/>
            </w:pPr>
            <w:r w:rsidRPr="005F7D4D">
              <w:t>533 ml</w:t>
            </w:r>
          </w:p>
        </w:tc>
      </w:tr>
      <w:tr w:rsidR="00AC3FAE" w:rsidRPr="005F7D4D" w:rsidTr="003B4BCE">
        <w:trPr>
          <w:cantSplit/>
          <w:jc w:val="center"/>
        </w:trPr>
        <w:tc>
          <w:tcPr>
            <w:tcW w:w="2693" w:type="dxa"/>
            <w:tcBorders>
              <w:bottom w:val="single" w:sz="6" w:space="0" w:color="000000"/>
            </w:tcBorders>
            <w:shd w:val="clear" w:color="auto" w:fill="auto"/>
          </w:tcPr>
          <w:p w:rsidR="00AC3FAE" w:rsidRPr="005F7D4D" w:rsidRDefault="00AC3FAE" w:rsidP="003B4BCE">
            <w:pPr>
              <w:pStyle w:val="TableCenter"/>
            </w:pPr>
            <w:r w:rsidRPr="005F7D4D">
              <w:t>14,2 % aminosyreopløsning (svarende til 14,2 g/100 ml)</w:t>
            </w:r>
          </w:p>
        </w:tc>
        <w:tc>
          <w:tcPr>
            <w:tcW w:w="1303" w:type="dxa"/>
            <w:tcBorders>
              <w:bottom w:val="single" w:sz="6" w:space="0" w:color="000000"/>
            </w:tcBorders>
            <w:shd w:val="clear" w:color="auto" w:fill="auto"/>
          </w:tcPr>
          <w:p w:rsidR="00AC3FAE" w:rsidRPr="005F7D4D" w:rsidRDefault="00AC3FAE" w:rsidP="003B4BCE">
            <w:pPr>
              <w:pStyle w:val="TableCenter"/>
            </w:pPr>
            <w:r w:rsidRPr="005F7D4D">
              <w:t>347 ml</w:t>
            </w:r>
          </w:p>
        </w:tc>
        <w:tc>
          <w:tcPr>
            <w:tcW w:w="1418" w:type="dxa"/>
            <w:tcBorders>
              <w:bottom w:val="single" w:sz="6" w:space="0" w:color="000000"/>
            </w:tcBorders>
            <w:shd w:val="clear" w:color="auto" w:fill="auto"/>
          </w:tcPr>
          <w:p w:rsidR="00AC3FAE" w:rsidRPr="005F7D4D" w:rsidRDefault="00AC3FAE" w:rsidP="003B4BCE">
            <w:pPr>
              <w:pStyle w:val="TableCenter"/>
            </w:pPr>
            <w:r w:rsidRPr="005F7D4D">
              <w:t>533 ml</w:t>
            </w:r>
          </w:p>
        </w:tc>
        <w:tc>
          <w:tcPr>
            <w:tcW w:w="1417" w:type="dxa"/>
            <w:tcBorders>
              <w:bottom w:val="single" w:sz="6" w:space="0" w:color="000000"/>
            </w:tcBorders>
            <w:shd w:val="clear" w:color="auto" w:fill="auto"/>
          </w:tcPr>
          <w:p w:rsidR="00AC3FAE" w:rsidRPr="005F7D4D" w:rsidRDefault="00AC3FAE" w:rsidP="003B4BCE">
            <w:pPr>
              <w:pStyle w:val="TableCenter"/>
            </w:pPr>
            <w:r w:rsidRPr="005F7D4D">
              <w:t>800 ml</w:t>
            </w:r>
          </w:p>
        </w:tc>
        <w:tc>
          <w:tcPr>
            <w:tcW w:w="1418" w:type="dxa"/>
            <w:tcBorders>
              <w:bottom w:val="single" w:sz="6" w:space="0" w:color="000000"/>
            </w:tcBorders>
            <w:shd w:val="clear" w:color="auto" w:fill="auto"/>
          </w:tcPr>
          <w:p w:rsidR="00AC3FAE" w:rsidRPr="005F7D4D" w:rsidRDefault="00AC3FAE" w:rsidP="003B4BCE">
            <w:pPr>
              <w:pStyle w:val="TableCenter"/>
            </w:pPr>
            <w:r w:rsidRPr="005F7D4D">
              <w:t>1067 ml</w:t>
            </w:r>
          </w:p>
        </w:tc>
      </w:tr>
      <w:tr w:rsidR="00AC3FAE" w:rsidRPr="005F7D4D" w:rsidTr="003B4BCE">
        <w:trPr>
          <w:cantSplit/>
          <w:jc w:val="center"/>
        </w:trPr>
        <w:tc>
          <w:tcPr>
            <w:tcW w:w="2693" w:type="dxa"/>
            <w:shd w:val="clear" w:color="auto" w:fill="auto"/>
          </w:tcPr>
          <w:p w:rsidR="00AC3FAE" w:rsidRPr="005F7D4D" w:rsidRDefault="00AC3FAE" w:rsidP="003B4BCE">
            <w:pPr>
              <w:pStyle w:val="TableCenter"/>
            </w:pPr>
            <w:r w:rsidRPr="005F7D4D">
              <w:t>17,5 % fedtemulsion (svarende til 17,5 g/100 ml)</w:t>
            </w:r>
          </w:p>
        </w:tc>
        <w:tc>
          <w:tcPr>
            <w:tcW w:w="1303" w:type="dxa"/>
            <w:shd w:val="clear" w:color="auto" w:fill="auto"/>
          </w:tcPr>
          <w:p w:rsidR="00AC3FAE" w:rsidRPr="005F7D4D" w:rsidRDefault="00AC3FAE" w:rsidP="003B4BCE">
            <w:pPr>
              <w:pStyle w:val="TableCenter"/>
            </w:pPr>
            <w:r w:rsidRPr="005F7D4D">
              <w:t>130 ml</w:t>
            </w:r>
          </w:p>
        </w:tc>
        <w:tc>
          <w:tcPr>
            <w:tcW w:w="1418" w:type="dxa"/>
            <w:shd w:val="clear" w:color="auto" w:fill="auto"/>
          </w:tcPr>
          <w:p w:rsidR="00AC3FAE" w:rsidRPr="005F7D4D" w:rsidRDefault="00AC3FAE" w:rsidP="003B4BCE">
            <w:pPr>
              <w:pStyle w:val="TableCenter"/>
            </w:pPr>
            <w:r w:rsidRPr="005F7D4D">
              <w:t>200 ml</w:t>
            </w:r>
          </w:p>
        </w:tc>
        <w:tc>
          <w:tcPr>
            <w:tcW w:w="1417" w:type="dxa"/>
            <w:shd w:val="clear" w:color="auto" w:fill="auto"/>
          </w:tcPr>
          <w:p w:rsidR="00AC3FAE" w:rsidRPr="005F7D4D" w:rsidRDefault="00AC3FAE" w:rsidP="003B4BCE">
            <w:pPr>
              <w:pStyle w:val="TableCenter"/>
            </w:pPr>
            <w:r w:rsidRPr="005F7D4D">
              <w:t>300 ml</w:t>
            </w:r>
          </w:p>
        </w:tc>
        <w:tc>
          <w:tcPr>
            <w:tcW w:w="1418" w:type="dxa"/>
            <w:shd w:val="clear" w:color="auto" w:fill="auto"/>
          </w:tcPr>
          <w:p w:rsidR="00AC3FAE" w:rsidRPr="005F7D4D" w:rsidRDefault="00AC3FAE" w:rsidP="003B4BCE">
            <w:pPr>
              <w:pStyle w:val="TableCenter"/>
            </w:pPr>
            <w:r w:rsidRPr="005F7D4D">
              <w:t>400 ml</w:t>
            </w:r>
          </w:p>
        </w:tc>
      </w:tr>
    </w:tbl>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Når de 3 kamres indhold er blandet, er sammensætningen af den </w:t>
      </w:r>
      <w:proofErr w:type="spellStart"/>
      <w:r w:rsidRPr="005F7D4D">
        <w:rPr>
          <w:sz w:val="24"/>
          <w:szCs w:val="24"/>
        </w:rPr>
        <w:t>rekonstituerede</w:t>
      </w:r>
      <w:proofErr w:type="spellEnd"/>
      <w:r w:rsidRPr="005F7D4D">
        <w:rPr>
          <w:sz w:val="24"/>
          <w:szCs w:val="24"/>
        </w:rPr>
        <w:t xml:space="preserve"> emulsion angivet for hver posestørrelse i følgende tabel:</w:t>
      </w:r>
    </w:p>
    <w:p w:rsidR="00AC3FAE" w:rsidRPr="005F7D4D" w:rsidRDefault="00AC3FAE" w:rsidP="00AC3FAE">
      <w:pPr>
        <w:tabs>
          <w:tab w:val="left" w:pos="851"/>
        </w:tabs>
        <w:ind w:left="851"/>
        <w:rPr>
          <w:sz w:val="24"/>
          <w:szCs w:val="24"/>
        </w:rPr>
      </w:pPr>
    </w:p>
    <w:tbl>
      <w:tblPr>
        <w:tblW w:w="433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921"/>
        <w:gridCol w:w="1389"/>
        <w:gridCol w:w="1318"/>
        <w:gridCol w:w="1354"/>
        <w:gridCol w:w="1353"/>
      </w:tblGrid>
      <w:tr w:rsidR="00AC3FAE" w:rsidRPr="005F7D4D" w:rsidTr="003B4BCE">
        <w:trPr>
          <w:trHeight w:val="255"/>
          <w:tblHeader/>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Head"/>
            </w:pPr>
            <w:r w:rsidRPr="005F7D4D">
              <w:t>Aktive stoffer</w:t>
            </w:r>
          </w:p>
        </w:tc>
        <w:tc>
          <w:tcPr>
            <w:tcW w:w="1389" w:type="dxa"/>
            <w:tcBorders>
              <w:bottom w:val="single" w:sz="6" w:space="0" w:color="000000"/>
            </w:tcBorders>
            <w:shd w:val="clear" w:color="auto" w:fill="auto"/>
            <w:vAlign w:val="bottom"/>
          </w:tcPr>
          <w:p w:rsidR="00AC3FAE" w:rsidRPr="005F7D4D" w:rsidRDefault="00AC3FAE" w:rsidP="003B4BCE">
            <w:pPr>
              <w:pStyle w:val="TableHead"/>
            </w:pPr>
            <w:r w:rsidRPr="005F7D4D">
              <w:t>650 ml</w:t>
            </w:r>
          </w:p>
        </w:tc>
        <w:tc>
          <w:tcPr>
            <w:tcW w:w="1318"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Head"/>
            </w:pPr>
            <w:r w:rsidRPr="005F7D4D">
              <w:t>1000 ml</w:t>
            </w:r>
          </w:p>
        </w:tc>
        <w:tc>
          <w:tcPr>
            <w:tcW w:w="1354"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Head"/>
            </w:pPr>
            <w:r w:rsidRPr="005F7D4D">
              <w:t>1500 ml</w:t>
            </w:r>
          </w:p>
        </w:tc>
        <w:tc>
          <w:tcPr>
            <w:tcW w:w="1353" w:type="dxa"/>
            <w:tcBorders>
              <w:bottom w:val="single" w:sz="6" w:space="0" w:color="000000"/>
            </w:tcBorders>
            <w:shd w:val="clear" w:color="auto" w:fill="auto"/>
            <w:vAlign w:val="bottom"/>
          </w:tcPr>
          <w:p w:rsidR="00AC3FAE" w:rsidRPr="005F7D4D" w:rsidRDefault="00AC3FAE" w:rsidP="003B4BCE">
            <w:pPr>
              <w:pStyle w:val="TableHead"/>
            </w:pPr>
            <w:r w:rsidRPr="005F7D4D">
              <w:t>2000 ml</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r w:rsidRPr="005F7D4D">
              <w:t xml:space="preserve">Olivenolie, renset + sojaolie, </w:t>
            </w:r>
            <w:proofErr w:type="spellStart"/>
            <w:r w:rsidRPr="005F7D4D">
              <w:t>renset</w:t>
            </w:r>
            <w:r w:rsidRPr="005F7D4D">
              <w:rPr>
                <w:vertAlign w:val="superscript"/>
              </w:rPr>
              <w:fldChar w:fldCharType="begin"/>
            </w:r>
            <w:r w:rsidRPr="005F7D4D">
              <w:rPr>
                <w:vertAlign w:val="superscript"/>
              </w:rPr>
              <w:instrText xml:space="preserve"> REF _Ref496531184 \r \h  \* MERGEFORMAT </w:instrText>
            </w:r>
            <w:r w:rsidRPr="005F7D4D">
              <w:rPr>
                <w:vertAlign w:val="superscript"/>
              </w:rPr>
            </w:r>
            <w:r w:rsidRPr="005F7D4D">
              <w:rPr>
                <w:vertAlign w:val="superscript"/>
              </w:rPr>
              <w:fldChar w:fldCharType="separate"/>
            </w:r>
            <w:r>
              <w:rPr>
                <w:vertAlign w:val="superscript"/>
              </w:rPr>
              <w:t>a</w:t>
            </w:r>
            <w:proofErr w:type="spellEnd"/>
            <w:r w:rsidRPr="005F7D4D">
              <w:rPr>
                <w:vertAlign w:val="superscript"/>
              </w:rPr>
              <w:fldChar w:fldCharType="end"/>
            </w:r>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22,75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35,00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pPr>
            <w:r w:rsidRPr="005F7D4D">
              <w:t>52,50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70,00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Alanin</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7,14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10,99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16,48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21,97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Arginin</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4,84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7,44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11,16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14,88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Asparaginsyre</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1,43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2,20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3,30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4,39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Glutaminsyre</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2,46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3,79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5,69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7,58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Glycin</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3,42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5,26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7,90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10,53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lastRenderedPageBreak/>
              <w:t>Histidin</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2,94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4,53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6,79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9,06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Isoleucin</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2,46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3,79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5,69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7,58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r w:rsidRPr="005F7D4D">
              <w:t>Leucin</w:t>
            </w:r>
          </w:p>
        </w:tc>
        <w:tc>
          <w:tcPr>
            <w:tcW w:w="1389" w:type="dxa"/>
            <w:tcBorders>
              <w:bottom w:val="single" w:sz="6" w:space="0" w:color="000000"/>
            </w:tcBorders>
            <w:shd w:val="clear" w:color="auto" w:fill="auto"/>
            <w:vAlign w:val="center"/>
          </w:tcPr>
          <w:p w:rsidR="00AC3FAE" w:rsidRPr="005F7D4D" w:rsidRDefault="00AC3FAE" w:rsidP="003B4BCE">
            <w:pPr>
              <w:pStyle w:val="TableCenter"/>
            </w:pPr>
            <w:r w:rsidRPr="005F7D4D">
              <w:t>3,42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pPr>
            <w:r w:rsidRPr="005F7D4D">
              <w:t>5,26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7,90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10,53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spacing w:before="0" w:after="0"/>
            </w:pPr>
            <w:r w:rsidRPr="005F7D4D">
              <w:t xml:space="preserve">Lysin </w:t>
            </w:r>
          </w:p>
          <w:p w:rsidR="00AC3FAE" w:rsidRPr="005F7D4D" w:rsidRDefault="00AC3FAE" w:rsidP="003B4BCE">
            <w:pPr>
              <w:pStyle w:val="TableCenter"/>
              <w:spacing w:before="0" w:after="0"/>
            </w:pPr>
            <w:r w:rsidRPr="005F7D4D">
              <w:t xml:space="preserve">(som </w:t>
            </w:r>
            <w:proofErr w:type="spellStart"/>
            <w:r w:rsidRPr="005F7D4D">
              <w:t>lysineacetat</w:t>
            </w:r>
            <w:proofErr w:type="spellEnd"/>
            <w:r w:rsidRPr="005F7D4D">
              <w:t>)</w:t>
            </w:r>
          </w:p>
        </w:tc>
        <w:tc>
          <w:tcPr>
            <w:tcW w:w="1389" w:type="dxa"/>
            <w:tcBorders>
              <w:bottom w:val="single" w:sz="6" w:space="0" w:color="000000"/>
            </w:tcBorders>
            <w:shd w:val="clear" w:color="auto" w:fill="auto"/>
            <w:vAlign w:val="center"/>
          </w:tcPr>
          <w:p w:rsidR="00AC3FAE" w:rsidRPr="005F7D4D" w:rsidRDefault="00AC3FAE" w:rsidP="003B4BCE">
            <w:pPr>
              <w:pStyle w:val="TableCenter"/>
              <w:spacing w:before="0" w:after="0"/>
            </w:pPr>
            <w:r w:rsidRPr="005F7D4D">
              <w:t>3,88 g</w:t>
            </w:r>
            <w:r w:rsidRPr="005F7D4D">
              <w:br/>
              <w:t>(5,48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spacing w:before="0" w:after="0"/>
            </w:pPr>
            <w:r w:rsidRPr="005F7D4D">
              <w:t>5,97 g</w:t>
            </w:r>
            <w:r w:rsidRPr="005F7D4D">
              <w:br/>
              <w:t>(8,43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spacing w:before="0" w:after="0"/>
            </w:pPr>
            <w:r w:rsidRPr="005F7D4D">
              <w:t>8,96 g</w:t>
            </w:r>
            <w:r w:rsidRPr="005F7D4D">
              <w:br/>
              <w:t>(12,64 g)</w:t>
            </w:r>
          </w:p>
        </w:tc>
        <w:tc>
          <w:tcPr>
            <w:tcW w:w="1353" w:type="dxa"/>
            <w:tcBorders>
              <w:bottom w:val="single" w:sz="6" w:space="0" w:color="000000"/>
            </w:tcBorders>
            <w:shd w:val="clear" w:color="auto" w:fill="auto"/>
            <w:vAlign w:val="center"/>
          </w:tcPr>
          <w:p w:rsidR="00AC3FAE" w:rsidRPr="005F7D4D" w:rsidRDefault="00AC3FAE" w:rsidP="003B4BCE">
            <w:pPr>
              <w:pStyle w:val="TableCenter"/>
              <w:spacing w:before="0" w:after="0"/>
            </w:pPr>
            <w:r w:rsidRPr="005F7D4D">
              <w:t>11,95 g</w:t>
            </w:r>
            <w:r w:rsidRPr="005F7D4D">
              <w:br/>
              <w:t>(16,85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Methionin</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pPr>
            <w:r w:rsidRPr="005F7D4D">
              <w:t>2,46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pPr>
            <w:r w:rsidRPr="005F7D4D">
              <w:t>3,79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pPr>
            <w:r w:rsidRPr="005F7D4D">
              <w:t>5,69 g</w:t>
            </w:r>
          </w:p>
        </w:tc>
        <w:tc>
          <w:tcPr>
            <w:tcW w:w="1353" w:type="dxa"/>
            <w:tcBorders>
              <w:bottom w:val="single" w:sz="6" w:space="0" w:color="000000"/>
            </w:tcBorders>
            <w:shd w:val="clear" w:color="auto" w:fill="auto"/>
            <w:vAlign w:val="center"/>
          </w:tcPr>
          <w:p w:rsidR="00AC3FAE" w:rsidRPr="005F7D4D" w:rsidRDefault="00AC3FAE" w:rsidP="003B4BCE">
            <w:pPr>
              <w:pStyle w:val="TableCenter"/>
            </w:pPr>
            <w:r w:rsidRPr="005F7D4D">
              <w:t>7,58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Phenylalanin</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3,42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5,26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7,90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10,53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Prolin</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2,94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4,53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6,79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9,06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Serin</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1,95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3,00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4,50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5,99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Threonin</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2,46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3,79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5,69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7,58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r w:rsidRPr="005F7D4D">
              <w:t>Tryptophan</w:t>
            </w:r>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0,82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1,26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1,90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2,53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Tyrosin</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0,13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0,20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0,30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0,39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Valin</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3,16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4,86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7,29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9,72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r w:rsidRPr="005F7D4D">
              <w:t>Natriumacetat, trihydrat</w:t>
            </w:r>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0,97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1,5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2,24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2,99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Natriumglycerophosphat</w:t>
            </w:r>
            <w:proofErr w:type="spellEnd"/>
            <w:r w:rsidRPr="005F7D4D">
              <w:t>, hydreret</w:t>
            </w:r>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2,39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3,67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5,51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7,34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Kaliumchlorid</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1,45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2,24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3,35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4,47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Magnesiumchlorid</w:t>
            </w:r>
            <w:proofErr w:type="spellEnd"/>
            <w:r w:rsidRPr="005F7D4D">
              <w:t xml:space="preserve">, </w:t>
            </w:r>
            <w:proofErr w:type="spellStart"/>
            <w:r w:rsidRPr="005F7D4D">
              <w:t>hexahydrat</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0,53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0,81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1,22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1,62 g</w:t>
            </w:r>
          </w:p>
        </w:tc>
      </w:tr>
      <w:tr w:rsidR="00AC3FAE" w:rsidRPr="005F7D4D" w:rsidTr="003B4BCE">
        <w:trPr>
          <w:trHeight w:val="255"/>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Calciumchlorid</w:t>
            </w:r>
            <w:proofErr w:type="spellEnd"/>
            <w:r w:rsidRPr="005F7D4D">
              <w:t xml:space="preserve">, </w:t>
            </w:r>
            <w:proofErr w:type="spellStart"/>
            <w:r w:rsidRPr="005F7D4D">
              <w:t>dihydrat</w:t>
            </w:r>
            <w:proofErr w:type="spellEnd"/>
          </w:p>
        </w:tc>
        <w:tc>
          <w:tcPr>
            <w:tcW w:w="1389"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0,34 g</w:t>
            </w:r>
          </w:p>
        </w:tc>
        <w:tc>
          <w:tcPr>
            <w:tcW w:w="1318"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0,52 g</w:t>
            </w:r>
          </w:p>
        </w:tc>
        <w:tc>
          <w:tcPr>
            <w:tcW w:w="1354" w:type="dxa"/>
            <w:tcBorders>
              <w:bottom w:val="single" w:sz="6" w:space="0" w:color="000000"/>
            </w:tcBorders>
            <w:shd w:val="clear" w:color="auto" w:fill="auto"/>
            <w:noWrap/>
            <w:tcMar>
              <w:top w:w="13" w:type="dxa"/>
              <w:left w:w="13" w:type="dxa"/>
              <w:bottom w:w="0" w:type="dxa"/>
              <w:right w:w="13" w:type="dxa"/>
            </w:tcMar>
            <w:vAlign w:val="center"/>
          </w:tcPr>
          <w:p w:rsidR="00AC3FAE" w:rsidRPr="005F7D4D" w:rsidRDefault="00AC3FAE" w:rsidP="003B4BCE">
            <w:pPr>
              <w:pStyle w:val="TableCenter"/>
              <w:rPr>
                <w:rFonts w:eastAsia="Arial Unicode MS"/>
              </w:rPr>
            </w:pPr>
            <w:r w:rsidRPr="005F7D4D">
              <w:t>0,77 g</w:t>
            </w:r>
          </w:p>
        </w:tc>
        <w:tc>
          <w:tcPr>
            <w:tcW w:w="1353" w:type="dxa"/>
            <w:tcBorders>
              <w:bottom w:val="single" w:sz="6" w:space="0" w:color="000000"/>
            </w:tcBorders>
            <w:shd w:val="clear" w:color="auto" w:fill="auto"/>
            <w:vAlign w:val="center"/>
          </w:tcPr>
          <w:p w:rsidR="00AC3FAE" w:rsidRPr="005F7D4D" w:rsidRDefault="00AC3FAE" w:rsidP="003B4BCE">
            <w:pPr>
              <w:pStyle w:val="TableCenter"/>
              <w:rPr>
                <w:rFonts w:eastAsia="Arial Unicode MS"/>
              </w:rPr>
            </w:pPr>
            <w:r w:rsidRPr="005F7D4D">
              <w:t>1,03 g</w:t>
            </w:r>
          </w:p>
        </w:tc>
      </w:tr>
      <w:tr w:rsidR="00AC3FAE" w:rsidRPr="005F7D4D" w:rsidTr="003B4BCE">
        <w:trPr>
          <w:trHeight w:val="347"/>
          <w:jc w:val="center"/>
        </w:trPr>
        <w:tc>
          <w:tcPr>
            <w:tcW w:w="2921"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spacing w:before="0" w:after="0"/>
            </w:pPr>
            <w:proofErr w:type="spellStart"/>
            <w:r w:rsidRPr="005F7D4D">
              <w:t>Glucose</w:t>
            </w:r>
            <w:proofErr w:type="spellEnd"/>
            <w:r w:rsidRPr="005F7D4D">
              <w:br/>
              <w:t xml:space="preserve">(svarende til </w:t>
            </w:r>
            <w:proofErr w:type="spellStart"/>
            <w:r w:rsidRPr="005F7D4D">
              <w:t>glucosemonohydrat</w:t>
            </w:r>
            <w:proofErr w:type="spellEnd"/>
            <w:r w:rsidRPr="005F7D4D">
              <w:t>)</w:t>
            </w:r>
          </w:p>
        </w:tc>
        <w:tc>
          <w:tcPr>
            <w:tcW w:w="1389" w:type="dxa"/>
            <w:tcBorders>
              <w:bottom w:val="single" w:sz="6" w:space="0" w:color="000000"/>
            </w:tcBorders>
            <w:shd w:val="clear" w:color="auto" w:fill="auto"/>
          </w:tcPr>
          <w:p w:rsidR="00AC3FAE" w:rsidRPr="005F7D4D" w:rsidRDefault="00AC3FAE" w:rsidP="003B4BCE">
            <w:pPr>
              <w:pStyle w:val="TableCenter"/>
              <w:spacing w:before="0" w:after="0"/>
            </w:pPr>
            <w:r w:rsidRPr="005F7D4D">
              <w:t>47,67 g</w:t>
            </w:r>
            <w:r w:rsidRPr="005F7D4D">
              <w:br/>
              <w:t>(52,43 g)</w:t>
            </w:r>
          </w:p>
        </w:tc>
        <w:tc>
          <w:tcPr>
            <w:tcW w:w="1318" w:type="dxa"/>
            <w:tcBorders>
              <w:bottom w:val="single" w:sz="6" w:space="0" w:color="000000"/>
            </w:tcBorders>
            <w:shd w:val="clear" w:color="auto" w:fill="auto"/>
            <w:noWrap/>
            <w:tcMar>
              <w:top w:w="13" w:type="dxa"/>
              <w:left w:w="13" w:type="dxa"/>
              <w:bottom w:w="0" w:type="dxa"/>
              <w:right w:w="13" w:type="dxa"/>
            </w:tcMar>
          </w:tcPr>
          <w:p w:rsidR="00AC3FAE" w:rsidRPr="005F7D4D" w:rsidRDefault="00AC3FAE" w:rsidP="003B4BCE">
            <w:pPr>
              <w:pStyle w:val="TableCenter"/>
              <w:spacing w:before="0" w:after="0"/>
            </w:pPr>
            <w:r w:rsidRPr="005F7D4D">
              <w:t>73,33 g</w:t>
            </w:r>
            <w:r w:rsidRPr="005F7D4D">
              <w:br/>
              <w:t>(80,67 g)</w:t>
            </w:r>
          </w:p>
        </w:tc>
        <w:tc>
          <w:tcPr>
            <w:tcW w:w="1354" w:type="dxa"/>
            <w:tcBorders>
              <w:bottom w:val="single" w:sz="6" w:space="0" w:color="000000"/>
            </w:tcBorders>
            <w:shd w:val="clear" w:color="auto" w:fill="auto"/>
            <w:noWrap/>
            <w:tcMar>
              <w:top w:w="13" w:type="dxa"/>
              <w:left w:w="13" w:type="dxa"/>
              <w:bottom w:w="0" w:type="dxa"/>
              <w:right w:w="13" w:type="dxa"/>
            </w:tcMar>
          </w:tcPr>
          <w:p w:rsidR="00AC3FAE" w:rsidRPr="005F7D4D" w:rsidRDefault="00AC3FAE" w:rsidP="003B4BCE">
            <w:pPr>
              <w:pStyle w:val="TableCenter"/>
              <w:spacing w:before="0" w:after="0"/>
            </w:pPr>
            <w:r w:rsidRPr="005F7D4D">
              <w:t>110,00 g</w:t>
            </w:r>
            <w:r w:rsidRPr="005F7D4D">
              <w:br/>
              <w:t>(121,00 g)</w:t>
            </w:r>
          </w:p>
        </w:tc>
        <w:tc>
          <w:tcPr>
            <w:tcW w:w="1353" w:type="dxa"/>
            <w:tcBorders>
              <w:bottom w:val="single" w:sz="6" w:space="0" w:color="000000"/>
            </w:tcBorders>
            <w:shd w:val="clear" w:color="auto" w:fill="auto"/>
          </w:tcPr>
          <w:p w:rsidR="00AC3FAE" w:rsidRPr="005F7D4D" w:rsidRDefault="00AC3FAE" w:rsidP="003B4BCE">
            <w:pPr>
              <w:pStyle w:val="TableCenter"/>
              <w:spacing w:before="0" w:after="0"/>
            </w:pPr>
            <w:r w:rsidRPr="005F7D4D">
              <w:t>146,67 g</w:t>
            </w:r>
            <w:r w:rsidRPr="005F7D4D">
              <w:br/>
              <w:t>(161,33 g)</w:t>
            </w:r>
          </w:p>
        </w:tc>
      </w:tr>
      <w:tr w:rsidR="00AC3FAE" w:rsidRPr="005F7D4D" w:rsidTr="003B4BCE">
        <w:trPr>
          <w:trHeight w:val="193"/>
          <w:jc w:val="center"/>
        </w:trPr>
        <w:tc>
          <w:tcPr>
            <w:tcW w:w="8335" w:type="dxa"/>
            <w:gridSpan w:val="5"/>
            <w:tcBorders>
              <w:left w:val="nil"/>
              <w:bottom w:val="nil"/>
              <w:right w:val="nil"/>
            </w:tcBorders>
            <w:shd w:val="clear" w:color="auto" w:fill="auto"/>
            <w:tcMar>
              <w:top w:w="13" w:type="dxa"/>
              <w:left w:w="13" w:type="dxa"/>
              <w:bottom w:w="0" w:type="dxa"/>
              <w:right w:w="13" w:type="dxa"/>
            </w:tcMar>
            <w:vAlign w:val="bottom"/>
          </w:tcPr>
          <w:p w:rsidR="00AC3FAE" w:rsidRPr="005F7D4D" w:rsidRDefault="00AC3FAE" w:rsidP="003B4BCE">
            <w:pPr>
              <w:pStyle w:val="TableFootnoteLetter"/>
              <w:spacing w:before="0" w:after="0"/>
            </w:pPr>
            <w:bookmarkStart w:id="1" w:name="_Ref496531184"/>
            <w:r w:rsidRPr="005F7D4D">
              <w:t>Blanding af olivenolie, renset (ca. 80 %) og sojaolie, renset (ca. 20 %) svarende til et forhold essentielle fedtsyrer/fedtsyrer i alt på 20 %.</w:t>
            </w:r>
          </w:p>
        </w:tc>
        <w:bookmarkEnd w:id="1"/>
      </w:tr>
    </w:tbl>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Den </w:t>
      </w:r>
      <w:proofErr w:type="spellStart"/>
      <w:r w:rsidRPr="005F7D4D">
        <w:rPr>
          <w:sz w:val="24"/>
          <w:szCs w:val="24"/>
        </w:rPr>
        <w:t>rekonstituerede</w:t>
      </w:r>
      <w:proofErr w:type="spellEnd"/>
      <w:r w:rsidRPr="005F7D4D">
        <w:rPr>
          <w:sz w:val="24"/>
          <w:szCs w:val="24"/>
        </w:rPr>
        <w:t xml:space="preserve"> emulsion indeholder følgende for hver posestørrelse:</w:t>
      </w:r>
    </w:p>
    <w:p w:rsidR="00AC3FAE" w:rsidRPr="005F7D4D" w:rsidRDefault="00AC3FAE" w:rsidP="00AC3FAE">
      <w:pPr>
        <w:tabs>
          <w:tab w:val="left" w:pos="851"/>
        </w:tabs>
        <w:ind w:left="851"/>
        <w:rPr>
          <w:sz w:val="24"/>
          <w:szCs w:val="24"/>
        </w:rPr>
      </w:pPr>
    </w:p>
    <w:tbl>
      <w:tblPr>
        <w:tblW w:w="462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983"/>
        <w:gridCol w:w="1482"/>
        <w:gridCol w:w="1482"/>
        <w:gridCol w:w="1483"/>
        <w:gridCol w:w="1482"/>
      </w:tblGrid>
      <w:tr w:rsidR="00AC3FAE" w:rsidRPr="005F7D4D" w:rsidTr="003B4BCE">
        <w:trPr>
          <w:trHeight w:val="364"/>
          <w:tblHeader/>
          <w:jc w:val="center"/>
        </w:trPr>
        <w:tc>
          <w:tcPr>
            <w:tcW w:w="2983" w:type="dxa"/>
            <w:tcBorders>
              <w:top w:val="nil"/>
              <w:left w:val="nil"/>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Head"/>
            </w:pPr>
          </w:p>
        </w:tc>
        <w:tc>
          <w:tcPr>
            <w:tcW w:w="1482" w:type="dxa"/>
            <w:tcBorders>
              <w:bottom w:val="single" w:sz="6" w:space="0" w:color="000000"/>
            </w:tcBorders>
            <w:shd w:val="clear" w:color="auto" w:fill="auto"/>
            <w:vAlign w:val="bottom"/>
          </w:tcPr>
          <w:p w:rsidR="00AC3FAE" w:rsidRPr="005F7D4D" w:rsidRDefault="00AC3FAE" w:rsidP="003B4BCE">
            <w:pPr>
              <w:pStyle w:val="TableHead"/>
            </w:pPr>
            <w:r w:rsidRPr="005F7D4D">
              <w:t>650 ml</w:t>
            </w:r>
          </w:p>
        </w:tc>
        <w:tc>
          <w:tcPr>
            <w:tcW w:w="1482"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Head"/>
            </w:pPr>
            <w:r w:rsidRPr="005F7D4D">
              <w:t>1000 ml</w:t>
            </w:r>
          </w:p>
        </w:tc>
        <w:tc>
          <w:tcPr>
            <w:tcW w:w="1483" w:type="dxa"/>
            <w:tcBorders>
              <w:bottom w:val="single" w:sz="6" w:space="0" w:color="000000"/>
            </w:tcBorders>
            <w:shd w:val="clear" w:color="auto" w:fill="auto"/>
            <w:vAlign w:val="bottom"/>
          </w:tcPr>
          <w:p w:rsidR="00AC3FAE" w:rsidRPr="005F7D4D" w:rsidRDefault="00AC3FAE" w:rsidP="003B4BCE">
            <w:pPr>
              <w:pStyle w:val="TableHead"/>
            </w:pPr>
            <w:r w:rsidRPr="005F7D4D">
              <w:t>1500 ml</w:t>
            </w:r>
          </w:p>
        </w:tc>
        <w:tc>
          <w:tcPr>
            <w:tcW w:w="1482" w:type="dxa"/>
            <w:tcBorders>
              <w:bottom w:val="single" w:sz="6" w:space="0" w:color="000000"/>
            </w:tcBorders>
            <w:shd w:val="clear" w:color="auto" w:fill="auto"/>
            <w:vAlign w:val="bottom"/>
          </w:tcPr>
          <w:p w:rsidR="00AC3FAE" w:rsidRPr="005F7D4D" w:rsidRDefault="00AC3FAE" w:rsidP="003B4BCE">
            <w:pPr>
              <w:pStyle w:val="TableHead"/>
            </w:pPr>
            <w:r w:rsidRPr="005F7D4D">
              <w:t>2000 ml</w:t>
            </w:r>
          </w:p>
        </w:tc>
      </w:tr>
      <w:tr w:rsidR="00AC3FAE" w:rsidRPr="005F7D4D" w:rsidTr="003B4BCE">
        <w:trPr>
          <w:trHeight w:val="28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Fedt</w:t>
            </w:r>
          </w:p>
        </w:tc>
        <w:tc>
          <w:tcPr>
            <w:tcW w:w="1482" w:type="dxa"/>
            <w:tcBorders>
              <w:bottom w:val="single" w:sz="6" w:space="0" w:color="000000"/>
            </w:tcBorders>
            <w:shd w:val="clear" w:color="auto" w:fill="auto"/>
          </w:tcPr>
          <w:p w:rsidR="00AC3FAE" w:rsidRPr="005F7D4D" w:rsidRDefault="00AC3FAE" w:rsidP="003B4BCE">
            <w:pPr>
              <w:pStyle w:val="TableCenter"/>
            </w:pPr>
            <w:r w:rsidRPr="005F7D4D">
              <w:t>22,8 g</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35,0 g</w:t>
            </w:r>
          </w:p>
        </w:tc>
        <w:tc>
          <w:tcPr>
            <w:tcW w:w="1483"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52,5 g</w:t>
            </w:r>
          </w:p>
        </w:tc>
        <w:tc>
          <w:tcPr>
            <w:tcW w:w="1482"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70,0 g</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 xml:space="preserve">Aminosyrer </w:t>
            </w:r>
          </w:p>
        </w:tc>
        <w:tc>
          <w:tcPr>
            <w:tcW w:w="1482" w:type="dxa"/>
            <w:tcBorders>
              <w:bottom w:val="single" w:sz="6" w:space="0" w:color="000000"/>
            </w:tcBorders>
            <w:shd w:val="clear" w:color="auto" w:fill="auto"/>
          </w:tcPr>
          <w:p w:rsidR="00AC3FAE" w:rsidRPr="005F7D4D" w:rsidRDefault="00AC3FAE" w:rsidP="003B4BCE">
            <w:pPr>
              <w:pStyle w:val="TableCenter"/>
            </w:pPr>
            <w:r w:rsidRPr="005F7D4D">
              <w:t>49,4 g</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75,9 g</w:t>
            </w:r>
          </w:p>
        </w:tc>
        <w:tc>
          <w:tcPr>
            <w:tcW w:w="1483"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113,9 g</w:t>
            </w:r>
          </w:p>
        </w:tc>
        <w:tc>
          <w:tcPr>
            <w:tcW w:w="1482"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151,9 g</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 xml:space="preserve">Nitrogen </w:t>
            </w:r>
          </w:p>
        </w:tc>
        <w:tc>
          <w:tcPr>
            <w:tcW w:w="1482" w:type="dxa"/>
            <w:tcBorders>
              <w:bottom w:val="single" w:sz="6" w:space="0" w:color="000000"/>
            </w:tcBorders>
            <w:shd w:val="clear" w:color="auto" w:fill="auto"/>
          </w:tcPr>
          <w:p w:rsidR="00AC3FAE" w:rsidRPr="005F7D4D" w:rsidRDefault="00AC3FAE" w:rsidP="003B4BCE">
            <w:pPr>
              <w:pStyle w:val="TableCenter"/>
            </w:pPr>
            <w:r w:rsidRPr="005F7D4D">
              <w:t>7,8 g</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12,0 g</w:t>
            </w:r>
          </w:p>
        </w:tc>
        <w:tc>
          <w:tcPr>
            <w:tcW w:w="1483"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18,0 g</w:t>
            </w:r>
          </w:p>
        </w:tc>
        <w:tc>
          <w:tcPr>
            <w:tcW w:w="1482"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24,0 g</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proofErr w:type="spellStart"/>
            <w:r w:rsidRPr="005F7D4D">
              <w:t>Glucose</w:t>
            </w:r>
            <w:proofErr w:type="spellEnd"/>
            <w:r w:rsidRPr="005F7D4D">
              <w:t xml:space="preserve"> </w:t>
            </w:r>
          </w:p>
        </w:tc>
        <w:tc>
          <w:tcPr>
            <w:tcW w:w="1482" w:type="dxa"/>
            <w:tcBorders>
              <w:bottom w:val="single" w:sz="6" w:space="0" w:color="000000"/>
            </w:tcBorders>
            <w:shd w:val="clear" w:color="auto" w:fill="auto"/>
          </w:tcPr>
          <w:p w:rsidR="00AC3FAE" w:rsidRPr="005F7D4D" w:rsidRDefault="00AC3FAE" w:rsidP="003B4BCE">
            <w:pPr>
              <w:pStyle w:val="TableCenter"/>
            </w:pPr>
            <w:r w:rsidRPr="005F7D4D">
              <w:t>47,7 g</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73,3 g</w:t>
            </w:r>
          </w:p>
        </w:tc>
        <w:tc>
          <w:tcPr>
            <w:tcW w:w="1483"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110,0 g</w:t>
            </w:r>
          </w:p>
        </w:tc>
        <w:tc>
          <w:tcPr>
            <w:tcW w:w="1482"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146,7 g</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Energi:</w:t>
            </w:r>
          </w:p>
        </w:tc>
        <w:tc>
          <w:tcPr>
            <w:tcW w:w="1482" w:type="dxa"/>
            <w:tcBorders>
              <w:bottom w:val="single" w:sz="6" w:space="0" w:color="000000"/>
            </w:tcBorders>
            <w:shd w:val="clear" w:color="auto" w:fill="auto"/>
          </w:tcPr>
          <w:p w:rsidR="00AC3FAE" w:rsidRPr="005F7D4D" w:rsidRDefault="00AC3FAE" w:rsidP="003B4BCE">
            <w:pPr>
              <w:pStyle w:val="TableCenter"/>
              <w:rPr>
                <w:rFonts w:eastAsia="Arial Unicode MS"/>
              </w:rPr>
            </w:pP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rPr>
                <w:rFonts w:eastAsia="Arial Unicode MS"/>
              </w:rPr>
            </w:pPr>
          </w:p>
        </w:tc>
        <w:tc>
          <w:tcPr>
            <w:tcW w:w="1483"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p>
        </w:tc>
        <w:tc>
          <w:tcPr>
            <w:tcW w:w="1482"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 xml:space="preserve">Kalorier i alt ca. </w:t>
            </w:r>
          </w:p>
        </w:tc>
        <w:tc>
          <w:tcPr>
            <w:tcW w:w="1482" w:type="dxa"/>
            <w:tcBorders>
              <w:bottom w:val="single" w:sz="6" w:space="0" w:color="000000"/>
            </w:tcBorders>
            <w:shd w:val="clear" w:color="auto" w:fill="auto"/>
          </w:tcPr>
          <w:p w:rsidR="00AC3FAE" w:rsidRPr="005F7D4D" w:rsidRDefault="00AC3FAE" w:rsidP="003B4BCE">
            <w:pPr>
              <w:pStyle w:val="TableCenter"/>
            </w:pPr>
            <w:r w:rsidRPr="005F7D4D">
              <w:t>620 kcal</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950 kcal</w:t>
            </w:r>
          </w:p>
        </w:tc>
        <w:tc>
          <w:tcPr>
            <w:tcW w:w="1483"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1420 kcal</w:t>
            </w:r>
          </w:p>
        </w:tc>
        <w:tc>
          <w:tcPr>
            <w:tcW w:w="1482"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1900 kcal</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Non-proteinkalorier</w:t>
            </w:r>
          </w:p>
        </w:tc>
        <w:tc>
          <w:tcPr>
            <w:tcW w:w="1482" w:type="dxa"/>
            <w:tcBorders>
              <w:bottom w:val="single" w:sz="6" w:space="0" w:color="000000"/>
            </w:tcBorders>
            <w:shd w:val="clear" w:color="auto" w:fill="auto"/>
          </w:tcPr>
          <w:p w:rsidR="00AC3FAE" w:rsidRPr="005F7D4D" w:rsidRDefault="00AC3FAE" w:rsidP="003B4BCE">
            <w:pPr>
              <w:pStyle w:val="TableCenter"/>
            </w:pPr>
            <w:r w:rsidRPr="005F7D4D">
              <w:t>420 kcal</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640 kcal</w:t>
            </w:r>
          </w:p>
        </w:tc>
        <w:tc>
          <w:tcPr>
            <w:tcW w:w="1483"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960 kcal</w:t>
            </w:r>
          </w:p>
        </w:tc>
        <w:tc>
          <w:tcPr>
            <w:tcW w:w="1482"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1280 kcal</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proofErr w:type="spellStart"/>
            <w:r w:rsidRPr="005F7D4D">
              <w:t>Glucosekalorier</w:t>
            </w:r>
            <w:proofErr w:type="spellEnd"/>
            <w:r w:rsidRPr="005F7D4D">
              <w:t xml:space="preserve"> </w:t>
            </w:r>
          </w:p>
        </w:tc>
        <w:tc>
          <w:tcPr>
            <w:tcW w:w="1482" w:type="dxa"/>
            <w:tcBorders>
              <w:bottom w:val="single" w:sz="6" w:space="0" w:color="000000"/>
            </w:tcBorders>
            <w:shd w:val="clear" w:color="auto" w:fill="auto"/>
          </w:tcPr>
          <w:p w:rsidR="00AC3FAE" w:rsidRPr="005F7D4D" w:rsidRDefault="00AC3FAE" w:rsidP="003B4BCE">
            <w:pPr>
              <w:pStyle w:val="TableCenter"/>
            </w:pPr>
            <w:r w:rsidRPr="005F7D4D">
              <w:t>190 kcal</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pPr>
            <w:r w:rsidRPr="005F7D4D">
              <w:t>290 kcal</w:t>
            </w:r>
          </w:p>
        </w:tc>
        <w:tc>
          <w:tcPr>
            <w:tcW w:w="1483" w:type="dxa"/>
            <w:tcBorders>
              <w:bottom w:val="single" w:sz="6" w:space="0" w:color="000000"/>
            </w:tcBorders>
            <w:shd w:val="clear" w:color="auto" w:fill="auto"/>
            <w:vAlign w:val="bottom"/>
          </w:tcPr>
          <w:p w:rsidR="00AC3FAE" w:rsidRPr="005F7D4D" w:rsidRDefault="00AC3FAE" w:rsidP="003B4BCE">
            <w:pPr>
              <w:pStyle w:val="TableCenter"/>
            </w:pPr>
            <w:r w:rsidRPr="005F7D4D">
              <w:t>430 kcal</w:t>
            </w:r>
          </w:p>
        </w:tc>
        <w:tc>
          <w:tcPr>
            <w:tcW w:w="1482" w:type="dxa"/>
            <w:tcBorders>
              <w:bottom w:val="single" w:sz="6" w:space="0" w:color="000000"/>
            </w:tcBorders>
            <w:shd w:val="clear" w:color="auto" w:fill="auto"/>
            <w:vAlign w:val="bottom"/>
          </w:tcPr>
          <w:p w:rsidR="00AC3FAE" w:rsidRPr="005F7D4D" w:rsidRDefault="00AC3FAE" w:rsidP="003B4BCE">
            <w:pPr>
              <w:pStyle w:val="TableCenter"/>
            </w:pPr>
            <w:r w:rsidRPr="005F7D4D">
              <w:t>580 kcal</w:t>
            </w:r>
          </w:p>
        </w:tc>
      </w:tr>
      <w:tr w:rsidR="00AC3FAE" w:rsidRPr="005F7D4D" w:rsidTr="003B4BCE">
        <w:trPr>
          <w:trHeight w:val="28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proofErr w:type="spellStart"/>
            <w:r w:rsidRPr="005F7D4D">
              <w:t>Fedtkalorier</w:t>
            </w:r>
            <w:r w:rsidRPr="005F7D4D">
              <w:rPr>
                <w:vertAlign w:val="superscript"/>
              </w:rPr>
              <w:fldChar w:fldCharType="begin"/>
            </w:r>
            <w:r w:rsidRPr="005F7D4D">
              <w:rPr>
                <w:vertAlign w:val="superscript"/>
              </w:rPr>
              <w:instrText xml:space="preserve"> REF _Ref496531421 \r \h  \* MERGEFORMAT </w:instrText>
            </w:r>
            <w:r w:rsidRPr="005F7D4D">
              <w:rPr>
                <w:vertAlign w:val="superscript"/>
              </w:rPr>
            </w:r>
            <w:r w:rsidRPr="005F7D4D">
              <w:rPr>
                <w:vertAlign w:val="superscript"/>
              </w:rPr>
              <w:fldChar w:fldCharType="separate"/>
            </w:r>
            <w:r>
              <w:rPr>
                <w:vertAlign w:val="superscript"/>
              </w:rPr>
              <w:t>a</w:t>
            </w:r>
            <w:proofErr w:type="spellEnd"/>
            <w:r w:rsidRPr="005F7D4D">
              <w:rPr>
                <w:vertAlign w:val="superscript"/>
              </w:rPr>
              <w:fldChar w:fldCharType="end"/>
            </w:r>
          </w:p>
        </w:tc>
        <w:tc>
          <w:tcPr>
            <w:tcW w:w="1482" w:type="dxa"/>
            <w:tcBorders>
              <w:bottom w:val="single" w:sz="6" w:space="0" w:color="000000"/>
            </w:tcBorders>
            <w:shd w:val="clear" w:color="auto" w:fill="auto"/>
          </w:tcPr>
          <w:p w:rsidR="00AC3FAE" w:rsidRPr="005F7D4D" w:rsidRDefault="00AC3FAE" w:rsidP="003B4BCE">
            <w:pPr>
              <w:pStyle w:val="TableCenter"/>
            </w:pPr>
            <w:r w:rsidRPr="005F7D4D">
              <w:t>230 kcal</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350 kcal</w:t>
            </w:r>
          </w:p>
        </w:tc>
        <w:tc>
          <w:tcPr>
            <w:tcW w:w="1483"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520 kcal</w:t>
            </w:r>
          </w:p>
        </w:tc>
        <w:tc>
          <w:tcPr>
            <w:tcW w:w="1482"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700 kcal</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 xml:space="preserve">Forhold non-proteinkalorier/nitrogen </w:t>
            </w:r>
          </w:p>
        </w:tc>
        <w:tc>
          <w:tcPr>
            <w:tcW w:w="1482" w:type="dxa"/>
            <w:tcBorders>
              <w:bottom w:val="single" w:sz="6" w:space="0" w:color="000000"/>
            </w:tcBorders>
            <w:shd w:val="clear" w:color="auto" w:fill="auto"/>
          </w:tcPr>
          <w:p w:rsidR="00AC3FAE" w:rsidRPr="005F7D4D" w:rsidRDefault="00AC3FAE" w:rsidP="003B4BCE">
            <w:pPr>
              <w:pStyle w:val="TableCenter"/>
            </w:pPr>
            <w:r w:rsidRPr="005F7D4D">
              <w:t>53 kcal/g</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53 kcal/g</w:t>
            </w:r>
          </w:p>
        </w:tc>
        <w:tc>
          <w:tcPr>
            <w:tcW w:w="1483"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53 kcal/g</w:t>
            </w:r>
          </w:p>
        </w:tc>
        <w:tc>
          <w:tcPr>
            <w:tcW w:w="1482"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53 kcal/g</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 xml:space="preserve">Forhold </w:t>
            </w:r>
            <w:proofErr w:type="spellStart"/>
            <w:r w:rsidRPr="005F7D4D">
              <w:t>glucose</w:t>
            </w:r>
            <w:proofErr w:type="spellEnd"/>
            <w:r w:rsidRPr="005F7D4D">
              <w:t>/fedtkalorier</w:t>
            </w:r>
          </w:p>
        </w:tc>
        <w:tc>
          <w:tcPr>
            <w:tcW w:w="1482" w:type="dxa"/>
            <w:tcBorders>
              <w:bottom w:val="single" w:sz="6" w:space="0" w:color="000000"/>
            </w:tcBorders>
            <w:shd w:val="clear" w:color="auto" w:fill="auto"/>
          </w:tcPr>
          <w:p w:rsidR="00AC3FAE" w:rsidRPr="005F7D4D" w:rsidRDefault="00AC3FAE" w:rsidP="003B4BCE">
            <w:pPr>
              <w:pStyle w:val="TableCenter"/>
            </w:pPr>
            <w:r w:rsidRPr="005F7D4D">
              <w:t>45/55</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45/55</w:t>
            </w:r>
          </w:p>
        </w:tc>
        <w:tc>
          <w:tcPr>
            <w:tcW w:w="1483"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45/55</w:t>
            </w:r>
          </w:p>
        </w:tc>
        <w:tc>
          <w:tcPr>
            <w:tcW w:w="1482"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45/55</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 xml:space="preserve">Fedtkalorier/kalorier i alt </w:t>
            </w:r>
          </w:p>
        </w:tc>
        <w:tc>
          <w:tcPr>
            <w:tcW w:w="1482" w:type="dxa"/>
            <w:tcBorders>
              <w:bottom w:val="single" w:sz="6" w:space="0" w:color="000000"/>
            </w:tcBorders>
            <w:shd w:val="clear" w:color="auto" w:fill="auto"/>
          </w:tcPr>
          <w:p w:rsidR="00AC3FAE" w:rsidRPr="005F7D4D" w:rsidRDefault="00AC3FAE" w:rsidP="003B4BCE">
            <w:pPr>
              <w:pStyle w:val="TableCenter"/>
            </w:pPr>
            <w:r w:rsidRPr="005F7D4D">
              <w:t>37 %</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37 %</w:t>
            </w:r>
          </w:p>
        </w:tc>
        <w:tc>
          <w:tcPr>
            <w:tcW w:w="1483"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37 %</w:t>
            </w:r>
          </w:p>
        </w:tc>
        <w:tc>
          <w:tcPr>
            <w:tcW w:w="1482"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r w:rsidRPr="005F7D4D">
              <w:t>37 %</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Elektrolytter:</w:t>
            </w:r>
          </w:p>
        </w:tc>
        <w:tc>
          <w:tcPr>
            <w:tcW w:w="1482" w:type="dxa"/>
            <w:tcBorders>
              <w:bottom w:val="single" w:sz="6" w:space="0" w:color="000000"/>
            </w:tcBorders>
            <w:shd w:val="clear" w:color="auto" w:fill="auto"/>
          </w:tcPr>
          <w:p w:rsidR="00AC3FAE" w:rsidRPr="005F7D4D" w:rsidRDefault="00AC3FAE" w:rsidP="003B4BCE">
            <w:pPr>
              <w:pStyle w:val="TableCenter"/>
              <w:rPr>
                <w:rFonts w:eastAsia="Arial Unicode MS"/>
              </w:rPr>
            </w:pP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rPr>
                <w:rFonts w:eastAsia="Arial Unicode MS"/>
              </w:rPr>
            </w:pPr>
          </w:p>
        </w:tc>
        <w:tc>
          <w:tcPr>
            <w:tcW w:w="1483"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p>
        </w:tc>
        <w:tc>
          <w:tcPr>
            <w:tcW w:w="1482" w:type="dxa"/>
            <w:tcBorders>
              <w:bottom w:val="single" w:sz="6" w:space="0" w:color="000000"/>
            </w:tcBorders>
            <w:shd w:val="clear" w:color="auto" w:fill="auto"/>
            <w:vAlign w:val="bottom"/>
          </w:tcPr>
          <w:p w:rsidR="00AC3FAE" w:rsidRPr="005F7D4D" w:rsidRDefault="00AC3FAE" w:rsidP="003B4BCE">
            <w:pPr>
              <w:pStyle w:val="TableCenter"/>
              <w:rPr>
                <w:rFonts w:eastAsia="Arial Unicode MS"/>
              </w:rPr>
            </w:pPr>
          </w:p>
        </w:tc>
      </w:tr>
      <w:tr w:rsidR="00AC3FAE" w:rsidRPr="005F7D4D" w:rsidTr="003B4BCE">
        <w:trPr>
          <w:trHeight w:val="28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lastRenderedPageBreak/>
              <w:t xml:space="preserve">Natrium </w:t>
            </w:r>
          </w:p>
        </w:tc>
        <w:tc>
          <w:tcPr>
            <w:tcW w:w="1482" w:type="dxa"/>
            <w:tcBorders>
              <w:bottom w:val="single" w:sz="6" w:space="0" w:color="000000"/>
            </w:tcBorders>
            <w:shd w:val="clear" w:color="auto" w:fill="auto"/>
          </w:tcPr>
          <w:p w:rsidR="00AC3FAE" w:rsidRPr="005F7D4D" w:rsidRDefault="00AC3FAE" w:rsidP="003B4BCE">
            <w:pPr>
              <w:pStyle w:val="TableCenter"/>
            </w:pPr>
            <w:r w:rsidRPr="005F7D4D">
              <w:t>22,8 mmol</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pPr>
            <w:r w:rsidRPr="005F7D4D">
              <w:t>35,0 mmol</w:t>
            </w:r>
          </w:p>
        </w:tc>
        <w:tc>
          <w:tcPr>
            <w:tcW w:w="1483" w:type="dxa"/>
            <w:tcBorders>
              <w:bottom w:val="single" w:sz="6" w:space="0" w:color="000000"/>
            </w:tcBorders>
            <w:shd w:val="clear" w:color="auto" w:fill="auto"/>
            <w:vAlign w:val="bottom"/>
          </w:tcPr>
          <w:p w:rsidR="00AC3FAE" w:rsidRPr="005F7D4D" w:rsidRDefault="00AC3FAE" w:rsidP="003B4BCE">
            <w:pPr>
              <w:pStyle w:val="TableCenter"/>
            </w:pPr>
            <w:r w:rsidRPr="005F7D4D">
              <w:t>52,5 mmol</w:t>
            </w:r>
          </w:p>
        </w:tc>
        <w:tc>
          <w:tcPr>
            <w:tcW w:w="1482" w:type="dxa"/>
            <w:tcBorders>
              <w:bottom w:val="single" w:sz="6" w:space="0" w:color="000000"/>
            </w:tcBorders>
            <w:shd w:val="clear" w:color="auto" w:fill="auto"/>
            <w:vAlign w:val="bottom"/>
          </w:tcPr>
          <w:p w:rsidR="00AC3FAE" w:rsidRPr="005F7D4D" w:rsidRDefault="00AC3FAE" w:rsidP="003B4BCE">
            <w:pPr>
              <w:pStyle w:val="TableCenter"/>
            </w:pPr>
            <w:r w:rsidRPr="005F7D4D">
              <w:t>70,0 mmol</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 xml:space="preserve">Kalium </w:t>
            </w:r>
          </w:p>
        </w:tc>
        <w:tc>
          <w:tcPr>
            <w:tcW w:w="1482" w:type="dxa"/>
            <w:tcBorders>
              <w:bottom w:val="single" w:sz="6" w:space="0" w:color="000000"/>
            </w:tcBorders>
            <w:shd w:val="clear" w:color="auto" w:fill="auto"/>
          </w:tcPr>
          <w:p w:rsidR="00AC3FAE" w:rsidRPr="005F7D4D" w:rsidRDefault="00AC3FAE" w:rsidP="003B4BCE">
            <w:pPr>
              <w:pStyle w:val="TableCenter"/>
            </w:pPr>
            <w:r w:rsidRPr="005F7D4D">
              <w:t>19,5 mmol</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pPr>
            <w:r w:rsidRPr="005F7D4D">
              <w:t>30,0 mmol</w:t>
            </w:r>
          </w:p>
        </w:tc>
        <w:tc>
          <w:tcPr>
            <w:tcW w:w="1483" w:type="dxa"/>
            <w:tcBorders>
              <w:bottom w:val="single" w:sz="6" w:space="0" w:color="000000"/>
            </w:tcBorders>
            <w:shd w:val="clear" w:color="auto" w:fill="auto"/>
            <w:vAlign w:val="bottom"/>
          </w:tcPr>
          <w:p w:rsidR="00AC3FAE" w:rsidRPr="005F7D4D" w:rsidRDefault="00AC3FAE" w:rsidP="003B4BCE">
            <w:pPr>
              <w:pStyle w:val="TableCenter"/>
            </w:pPr>
            <w:r w:rsidRPr="005F7D4D">
              <w:t>45,0 mmol</w:t>
            </w:r>
          </w:p>
        </w:tc>
        <w:tc>
          <w:tcPr>
            <w:tcW w:w="1482" w:type="dxa"/>
            <w:tcBorders>
              <w:bottom w:val="single" w:sz="6" w:space="0" w:color="000000"/>
            </w:tcBorders>
            <w:shd w:val="clear" w:color="auto" w:fill="auto"/>
            <w:vAlign w:val="bottom"/>
          </w:tcPr>
          <w:p w:rsidR="00AC3FAE" w:rsidRPr="005F7D4D" w:rsidRDefault="00AC3FAE" w:rsidP="003B4BCE">
            <w:pPr>
              <w:pStyle w:val="TableCenter"/>
            </w:pPr>
            <w:r w:rsidRPr="005F7D4D">
              <w:t>60,0 mmol</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 xml:space="preserve">Magnesium </w:t>
            </w:r>
          </w:p>
        </w:tc>
        <w:tc>
          <w:tcPr>
            <w:tcW w:w="1482" w:type="dxa"/>
            <w:tcBorders>
              <w:bottom w:val="single" w:sz="6" w:space="0" w:color="000000"/>
            </w:tcBorders>
            <w:shd w:val="clear" w:color="auto" w:fill="auto"/>
          </w:tcPr>
          <w:p w:rsidR="00AC3FAE" w:rsidRPr="005F7D4D" w:rsidRDefault="00AC3FAE" w:rsidP="003B4BCE">
            <w:pPr>
              <w:pStyle w:val="TableCenter"/>
            </w:pPr>
            <w:r w:rsidRPr="005F7D4D">
              <w:t>2,6 mmol</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pPr>
            <w:r w:rsidRPr="005F7D4D">
              <w:t>4,0 mmol</w:t>
            </w:r>
          </w:p>
        </w:tc>
        <w:tc>
          <w:tcPr>
            <w:tcW w:w="1483" w:type="dxa"/>
            <w:tcBorders>
              <w:bottom w:val="single" w:sz="6" w:space="0" w:color="000000"/>
            </w:tcBorders>
            <w:shd w:val="clear" w:color="auto" w:fill="auto"/>
            <w:vAlign w:val="bottom"/>
          </w:tcPr>
          <w:p w:rsidR="00AC3FAE" w:rsidRPr="005F7D4D" w:rsidRDefault="00AC3FAE" w:rsidP="003B4BCE">
            <w:pPr>
              <w:pStyle w:val="TableCenter"/>
            </w:pPr>
            <w:r w:rsidRPr="005F7D4D">
              <w:t>6,0 mmol</w:t>
            </w:r>
          </w:p>
        </w:tc>
        <w:tc>
          <w:tcPr>
            <w:tcW w:w="1482" w:type="dxa"/>
            <w:tcBorders>
              <w:bottom w:val="single" w:sz="6" w:space="0" w:color="000000"/>
            </w:tcBorders>
            <w:shd w:val="clear" w:color="auto" w:fill="auto"/>
            <w:vAlign w:val="bottom"/>
          </w:tcPr>
          <w:p w:rsidR="00AC3FAE" w:rsidRPr="005F7D4D" w:rsidRDefault="00AC3FAE" w:rsidP="003B4BCE">
            <w:pPr>
              <w:pStyle w:val="TableCenter"/>
            </w:pPr>
            <w:r w:rsidRPr="005F7D4D">
              <w:t>8,0 mmol</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 xml:space="preserve">Calcium </w:t>
            </w:r>
          </w:p>
        </w:tc>
        <w:tc>
          <w:tcPr>
            <w:tcW w:w="1482" w:type="dxa"/>
            <w:tcBorders>
              <w:bottom w:val="single" w:sz="6" w:space="0" w:color="000000"/>
            </w:tcBorders>
            <w:shd w:val="clear" w:color="auto" w:fill="auto"/>
          </w:tcPr>
          <w:p w:rsidR="00AC3FAE" w:rsidRPr="005F7D4D" w:rsidRDefault="00AC3FAE" w:rsidP="003B4BCE">
            <w:pPr>
              <w:pStyle w:val="TableCenter"/>
            </w:pPr>
            <w:r w:rsidRPr="005F7D4D">
              <w:t>2,3 mmol</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pPr>
            <w:r w:rsidRPr="005F7D4D">
              <w:t>3,5 mmol</w:t>
            </w:r>
          </w:p>
        </w:tc>
        <w:tc>
          <w:tcPr>
            <w:tcW w:w="1483" w:type="dxa"/>
            <w:tcBorders>
              <w:bottom w:val="single" w:sz="6" w:space="0" w:color="000000"/>
            </w:tcBorders>
            <w:shd w:val="clear" w:color="auto" w:fill="auto"/>
            <w:vAlign w:val="bottom"/>
          </w:tcPr>
          <w:p w:rsidR="00AC3FAE" w:rsidRPr="005F7D4D" w:rsidRDefault="00AC3FAE" w:rsidP="003B4BCE">
            <w:pPr>
              <w:pStyle w:val="TableCenter"/>
            </w:pPr>
            <w:r w:rsidRPr="005F7D4D">
              <w:t>5,3 mmol</w:t>
            </w:r>
          </w:p>
        </w:tc>
        <w:tc>
          <w:tcPr>
            <w:tcW w:w="1482" w:type="dxa"/>
            <w:tcBorders>
              <w:bottom w:val="single" w:sz="6" w:space="0" w:color="000000"/>
            </w:tcBorders>
            <w:shd w:val="clear" w:color="auto" w:fill="auto"/>
            <w:vAlign w:val="bottom"/>
          </w:tcPr>
          <w:p w:rsidR="00AC3FAE" w:rsidRPr="005F7D4D" w:rsidRDefault="00AC3FAE" w:rsidP="003B4BCE">
            <w:pPr>
              <w:pStyle w:val="TableCenter"/>
            </w:pPr>
            <w:r w:rsidRPr="005F7D4D">
              <w:t>7,0 mmol</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pPr>
            <w:proofErr w:type="spellStart"/>
            <w:r w:rsidRPr="005F7D4D">
              <w:t>Phosphat</w:t>
            </w:r>
            <w:r w:rsidRPr="005F7D4D">
              <w:rPr>
                <w:vertAlign w:val="superscript"/>
              </w:rPr>
              <w:fldChar w:fldCharType="begin"/>
            </w:r>
            <w:r w:rsidRPr="005F7D4D">
              <w:rPr>
                <w:vertAlign w:val="superscript"/>
              </w:rPr>
              <w:instrText xml:space="preserve"> REF _Ref496531388 \r \h  \* MERGEFORMAT </w:instrText>
            </w:r>
            <w:r w:rsidRPr="005F7D4D">
              <w:rPr>
                <w:vertAlign w:val="superscript"/>
              </w:rPr>
            </w:r>
            <w:r w:rsidRPr="005F7D4D">
              <w:rPr>
                <w:vertAlign w:val="superscript"/>
              </w:rPr>
              <w:fldChar w:fldCharType="separate"/>
            </w:r>
            <w:r>
              <w:rPr>
                <w:vertAlign w:val="superscript"/>
              </w:rPr>
              <w:t>b</w:t>
            </w:r>
            <w:proofErr w:type="spellEnd"/>
            <w:r w:rsidRPr="005F7D4D">
              <w:rPr>
                <w:vertAlign w:val="superscript"/>
              </w:rPr>
              <w:fldChar w:fldCharType="end"/>
            </w:r>
          </w:p>
        </w:tc>
        <w:tc>
          <w:tcPr>
            <w:tcW w:w="1482" w:type="dxa"/>
            <w:tcBorders>
              <w:bottom w:val="single" w:sz="6" w:space="0" w:color="000000"/>
            </w:tcBorders>
            <w:shd w:val="clear" w:color="auto" w:fill="auto"/>
          </w:tcPr>
          <w:p w:rsidR="00AC3FAE" w:rsidRPr="005F7D4D" w:rsidRDefault="00AC3FAE" w:rsidP="003B4BCE">
            <w:pPr>
              <w:pStyle w:val="TableCenter"/>
            </w:pPr>
            <w:r w:rsidRPr="005F7D4D">
              <w:t>9,5 mmol</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pPr>
            <w:r w:rsidRPr="005F7D4D">
              <w:t>15,0 mmol</w:t>
            </w:r>
          </w:p>
        </w:tc>
        <w:tc>
          <w:tcPr>
            <w:tcW w:w="1483" w:type="dxa"/>
            <w:tcBorders>
              <w:bottom w:val="single" w:sz="6" w:space="0" w:color="000000"/>
            </w:tcBorders>
            <w:shd w:val="clear" w:color="auto" w:fill="auto"/>
            <w:vAlign w:val="bottom"/>
          </w:tcPr>
          <w:p w:rsidR="00AC3FAE" w:rsidRPr="005F7D4D" w:rsidRDefault="00AC3FAE" w:rsidP="003B4BCE">
            <w:pPr>
              <w:pStyle w:val="TableCenter"/>
            </w:pPr>
            <w:r w:rsidRPr="005F7D4D">
              <w:t>21,9 mmol</w:t>
            </w:r>
          </w:p>
        </w:tc>
        <w:tc>
          <w:tcPr>
            <w:tcW w:w="1482" w:type="dxa"/>
            <w:tcBorders>
              <w:bottom w:val="single" w:sz="6" w:space="0" w:color="000000"/>
            </w:tcBorders>
            <w:shd w:val="clear" w:color="auto" w:fill="auto"/>
            <w:vAlign w:val="bottom"/>
          </w:tcPr>
          <w:p w:rsidR="00AC3FAE" w:rsidRPr="005F7D4D" w:rsidRDefault="00AC3FAE" w:rsidP="003B4BCE">
            <w:pPr>
              <w:pStyle w:val="TableCenter"/>
            </w:pPr>
            <w:r w:rsidRPr="005F7D4D">
              <w:t>29,2 mmol</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 xml:space="preserve">Acetat </w:t>
            </w:r>
          </w:p>
        </w:tc>
        <w:tc>
          <w:tcPr>
            <w:tcW w:w="1482" w:type="dxa"/>
            <w:tcBorders>
              <w:bottom w:val="single" w:sz="6" w:space="0" w:color="000000"/>
            </w:tcBorders>
            <w:shd w:val="clear" w:color="auto" w:fill="auto"/>
          </w:tcPr>
          <w:p w:rsidR="00AC3FAE" w:rsidRPr="005F7D4D" w:rsidRDefault="00AC3FAE" w:rsidP="003B4BCE">
            <w:pPr>
              <w:pStyle w:val="TableCenter"/>
            </w:pPr>
            <w:r w:rsidRPr="005F7D4D">
              <w:t>46 mmol</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pPr>
            <w:r w:rsidRPr="005F7D4D">
              <w:t>70 mmol</w:t>
            </w:r>
          </w:p>
        </w:tc>
        <w:tc>
          <w:tcPr>
            <w:tcW w:w="1483" w:type="dxa"/>
            <w:tcBorders>
              <w:bottom w:val="single" w:sz="6" w:space="0" w:color="000000"/>
            </w:tcBorders>
            <w:shd w:val="clear" w:color="auto" w:fill="auto"/>
            <w:vAlign w:val="bottom"/>
          </w:tcPr>
          <w:p w:rsidR="00AC3FAE" w:rsidRPr="005F7D4D" w:rsidRDefault="00AC3FAE" w:rsidP="003B4BCE">
            <w:pPr>
              <w:pStyle w:val="TableCenter"/>
            </w:pPr>
            <w:r w:rsidRPr="005F7D4D">
              <w:t>105 mmol</w:t>
            </w:r>
          </w:p>
        </w:tc>
        <w:tc>
          <w:tcPr>
            <w:tcW w:w="1482" w:type="dxa"/>
            <w:tcBorders>
              <w:bottom w:val="single" w:sz="6" w:space="0" w:color="000000"/>
            </w:tcBorders>
            <w:shd w:val="clear" w:color="auto" w:fill="auto"/>
            <w:vAlign w:val="bottom"/>
          </w:tcPr>
          <w:p w:rsidR="00AC3FAE" w:rsidRPr="005F7D4D" w:rsidRDefault="00AC3FAE" w:rsidP="003B4BCE">
            <w:pPr>
              <w:pStyle w:val="TableCenter"/>
            </w:pPr>
            <w:r w:rsidRPr="005F7D4D">
              <w:t>140 mmol</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proofErr w:type="spellStart"/>
            <w:r w:rsidRPr="005F7D4D">
              <w:t>Chlorid</w:t>
            </w:r>
            <w:proofErr w:type="spellEnd"/>
          </w:p>
        </w:tc>
        <w:tc>
          <w:tcPr>
            <w:tcW w:w="1482" w:type="dxa"/>
            <w:tcBorders>
              <w:bottom w:val="single" w:sz="6" w:space="0" w:color="000000"/>
            </w:tcBorders>
            <w:shd w:val="clear" w:color="auto" w:fill="auto"/>
          </w:tcPr>
          <w:p w:rsidR="00AC3FAE" w:rsidRPr="005F7D4D" w:rsidRDefault="00AC3FAE" w:rsidP="003B4BCE">
            <w:pPr>
              <w:pStyle w:val="TableCenter"/>
            </w:pPr>
            <w:r w:rsidRPr="005F7D4D">
              <w:t>30 mmol</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pPr>
            <w:r w:rsidRPr="005F7D4D">
              <w:t>45 mmol</w:t>
            </w:r>
          </w:p>
        </w:tc>
        <w:tc>
          <w:tcPr>
            <w:tcW w:w="1483" w:type="dxa"/>
            <w:tcBorders>
              <w:bottom w:val="single" w:sz="6" w:space="0" w:color="000000"/>
            </w:tcBorders>
            <w:shd w:val="clear" w:color="auto" w:fill="auto"/>
            <w:vAlign w:val="bottom"/>
          </w:tcPr>
          <w:p w:rsidR="00AC3FAE" w:rsidRPr="005F7D4D" w:rsidRDefault="00AC3FAE" w:rsidP="003B4BCE">
            <w:pPr>
              <w:pStyle w:val="TableCenter"/>
            </w:pPr>
            <w:r w:rsidRPr="005F7D4D">
              <w:t>68 mmol</w:t>
            </w:r>
          </w:p>
        </w:tc>
        <w:tc>
          <w:tcPr>
            <w:tcW w:w="1482" w:type="dxa"/>
            <w:tcBorders>
              <w:bottom w:val="single" w:sz="6" w:space="0" w:color="000000"/>
            </w:tcBorders>
            <w:shd w:val="clear" w:color="auto" w:fill="auto"/>
            <w:vAlign w:val="bottom"/>
          </w:tcPr>
          <w:p w:rsidR="00AC3FAE" w:rsidRPr="005F7D4D" w:rsidRDefault="00AC3FAE" w:rsidP="003B4BCE">
            <w:pPr>
              <w:pStyle w:val="TableCenter"/>
            </w:pPr>
            <w:r w:rsidRPr="005F7D4D">
              <w:t>90 mmol</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r w:rsidRPr="005F7D4D">
              <w:t xml:space="preserve">pH </w:t>
            </w:r>
          </w:p>
        </w:tc>
        <w:tc>
          <w:tcPr>
            <w:tcW w:w="1482" w:type="dxa"/>
            <w:tcBorders>
              <w:bottom w:val="single" w:sz="6" w:space="0" w:color="000000"/>
            </w:tcBorders>
            <w:shd w:val="clear" w:color="auto" w:fill="auto"/>
          </w:tcPr>
          <w:p w:rsidR="00AC3FAE" w:rsidRPr="005F7D4D" w:rsidRDefault="00AC3FAE" w:rsidP="003B4BCE">
            <w:pPr>
              <w:pStyle w:val="TableCenter"/>
            </w:pPr>
            <w:r w:rsidRPr="005F7D4D">
              <w:t>6,4</w:t>
            </w:r>
          </w:p>
        </w:tc>
        <w:tc>
          <w:tcPr>
            <w:tcW w:w="1482" w:type="dxa"/>
            <w:tcBorders>
              <w:bottom w:val="single" w:sz="6" w:space="0" w:color="000000"/>
            </w:tcBorders>
            <w:shd w:val="clear" w:color="auto" w:fill="auto"/>
            <w:noWrap/>
            <w:tcMar>
              <w:top w:w="13" w:type="dxa"/>
              <w:left w:w="13" w:type="dxa"/>
              <w:bottom w:w="0" w:type="dxa"/>
              <w:right w:w="13" w:type="dxa"/>
            </w:tcMar>
          </w:tcPr>
          <w:p w:rsidR="00AC3FAE" w:rsidRPr="005F7D4D" w:rsidRDefault="00AC3FAE" w:rsidP="003B4BCE">
            <w:pPr>
              <w:pStyle w:val="TableCenter"/>
              <w:rPr>
                <w:rFonts w:eastAsia="Arial Unicode MS"/>
              </w:rPr>
            </w:pPr>
            <w:r w:rsidRPr="005F7D4D">
              <w:t>6,4</w:t>
            </w:r>
          </w:p>
        </w:tc>
        <w:tc>
          <w:tcPr>
            <w:tcW w:w="1483" w:type="dxa"/>
            <w:tcBorders>
              <w:bottom w:val="single" w:sz="6" w:space="0" w:color="000000"/>
            </w:tcBorders>
            <w:shd w:val="clear" w:color="auto" w:fill="auto"/>
          </w:tcPr>
          <w:p w:rsidR="00AC3FAE" w:rsidRPr="005F7D4D" w:rsidRDefault="00AC3FAE" w:rsidP="003B4BCE">
            <w:pPr>
              <w:pStyle w:val="TableCenter"/>
              <w:rPr>
                <w:rFonts w:eastAsia="Arial Unicode MS"/>
              </w:rPr>
            </w:pPr>
            <w:r w:rsidRPr="005F7D4D">
              <w:t>6,4</w:t>
            </w:r>
          </w:p>
        </w:tc>
        <w:tc>
          <w:tcPr>
            <w:tcW w:w="1482" w:type="dxa"/>
            <w:tcBorders>
              <w:bottom w:val="single" w:sz="6" w:space="0" w:color="000000"/>
            </w:tcBorders>
            <w:shd w:val="clear" w:color="auto" w:fill="auto"/>
          </w:tcPr>
          <w:p w:rsidR="00AC3FAE" w:rsidRPr="005F7D4D" w:rsidRDefault="00AC3FAE" w:rsidP="003B4BCE">
            <w:pPr>
              <w:pStyle w:val="TableCenter"/>
              <w:rPr>
                <w:rFonts w:eastAsia="Arial Unicode MS"/>
              </w:rPr>
            </w:pPr>
            <w:r w:rsidRPr="005F7D4D">
              <w:t>6,4</w:t>
            </w:r>
          </w:p>
        </w:tc>
      </w:tr>
      <w:tr w:rsidR="00AC3FAE" w:rsidRPr="005F7D4D" w:rsidTr="003B4BCE">
        <w:trPr>
          <w:trHeight w:val="255"/>
          <w:jc w:val="center"/>
        </w:trPr>
        <w:tc>
          <w:tcPr>
            <w:tcW w:w="2983" w:type="dxa"/>
            <w:tcBorders>
              <w:bottom w:val="single" w:sz="6" w:space="0" w:color="000000"/>
            </w:tcBorders>
            <w:shd w:val="clear" w:color="auto" w:fill="auto"/>
            <w:tcMar>
              <w:top w:w="13" w:type="dxa"/>
              <w:left w:w="13" w:type="dxa"/>
              <w:bottom w:w="0" w:type="dxa"/>
              <w:right w:w="13" w:type="dxa"/>
            </w:tcMar>
            <w:vAlign w:val="bottom"/>
          </w:tcPr>
          <w:p w:rsidR="00AC3FAE" w:rsidRPr="005F7D4D" w:rsidRDefault="00AC3FAE" w:rsidP="003B4BCE">
            <w:pPr>
              <w:pStyle w:val="TableCenter"/>
              <w:rPr>
                <w:rFonts w:eastAsia="Arial Unicode MS"/>
              </w:rPr>
            </w:pPr>
            <w:proofErr w:type="spellStart"/>
            <w:r w:rsidRPr="005F7D4D">
              <w:t>Osmolaritet</w:t>
            </w:r>
            <w:proofErr w:type="spellEnd"/>
            <w:r w:rsidRPr="005F7D4D">
              <w:t xml:space="preserve"> ca.</w:t>
            </w:r>
          </w:p>
        </w:tc>
        <w:tc>
          <w:tcPr>
            <w:tcW w:w="1482" w:type="dxa"/>
            <w:tcBorders>
              <w:bottom w:val="single" w:sz="6" w:space="0" w:color="000000"/>
            </w:tcBorders>
            <w:shd w:val="clear" w:color="auto" w:fill="auto"/>
            <w:vAlign w:val="bottom"/>
          </w:tcPr>
          <w:p w:rsidR="00AC3FAE" w:rsidRPr="005F7D4D" w:rsidRDefault="00AC3FAE" w:rsidP="003B4BCE">
            <w:pPr>
              <w:pStyle w:val="TableCenter"/>
            </w:pPr>
            <w:r w:rsidRPr="005F7D4D">
              <w:t>1270 </w:t>
            </w:r>
            <w:proofErr w:type="spellStart"/>
            <w:r w:rsidRPr="005F7D4D">
              <w:t>m</w:t>
            </w:r>
            <w:r w:rsidR="0016648D">
              <w:t>O</w:t>
            </w:r>
            <w:r w:rsidRPr="005F7D4D">
              <w:t>sm</w:t>
            </w:r>
            <w:proofErr w:type="spellEnd"/>
            <w:r w:rsidRPr="005F7D4D">
              <w:t>/l</w:t>
            </w:r>
          </w:p>
        </w:tc>
        <w:tc>
          <w:tcPr>
            <w:tcW w:w="1482" w:type="dxa"/>
            <w:tcBorders>
              <w:bottom w:val="single" w:sz="6" w:space="0" w:color="000000"/>
            </w:tcBorders>
            <w:shd w:val="clear" w:color="auto" w:fill="auto"/>
            <w:noWrap/>
            <w:tcMar>
              <w:top w:w="13" w:type="dxa"/>
              <w:left w:w="13" w:type="dxa"/>
              <w:bottom w:w="0" w:type="dxa"/>
              <w:right w:w="13" w:type="dxa"/>
            </w:tcMar>
            <w:vAlign w:val="bottom"/>
          </w:tcPr>
          <w:p w:rsidR="00AC3FAE" w:rsidRPr="005F7D4D" w:rsidRDefault="00AC3FAE" w:rsidP="003B4BCE">
            <w:pPr>
              <w:pStyle w:val="TableCenter"/>
            </w:pPr>
            <w:r w:rsidRPr="005F7D4D">
              <w:t>1270 </w:t>
            </w:r>
            <w:proofErr w:type="spellStart"/>
            <w:r w:rsidRPr="005F7D4D">
              <w:t>m</w:t>
            </w:r>
            <w:r w:rsidR="0016648D">
              <w:t>O</w:t>
            </w:r>
            <w:r w:rsidRPr="005F7D4D">
              <w:t>sm</w:t>
            </w:r>
            <w:proofErr w:type="spellEnd"/>
            <w:r w:rsidRPr="005F7D4D">
              <w:t>/l</w:t>
            </w:r>
          </w:p>
        </w:tc>
        <w:tc>
          <w:tcPr>
            <w:tcW w:w="1483" w:type="dxa"/>
            <w:tcBorders>
              <w:bottom w:val="single" w:sz="6" w:space="0" w:color="000000"/>
            </w:tcBorders>
            <w:shd w:val="clear" w:color="auto" w:fill="auto"/>
            <w:vAlign w:val="bottom"/>
          </w:tcPr>
          <w:p w:rsidR="00AC3FAE" w:rsidRPr="005F7D4D" w:rsidRDefault="00AC3FAE" w:rsidP="003B4BCE">
            <w:pPr>
              <w:pStyle w:val="TableCenter"/>
            </w:pPr>
            <w:r w:rsidRPr="005F7D4D">
              <w:t>1270 </w:t>
            </w:r>
            <w:proofErr w:type="spellStart"/>
            <w:r w:rsidRPr="005F7D4D">
              <w:t>m</w:t>
            </w:r>
            <w:r w:rsidR="0016648D">
              <w:t>O</w:t>
            </w:r>
            <w:r w:rsidRPr="005F7D4D">
              <w:t>sm</w:t>
            </w:r>
            <w:proofErr w:type="spellEnd"/>
            <w:r w:rsidRPr="005F7D4D">
              <w:t>/l</w:t>
            </w:r>
          </w:p>
        </w:tc>
        <w:tc>
          <w:tcPr>
            <w:tcW w:w="1482" w:type="dxa"/>
            <w:tcBorders>
              <w:bottom w:val="single" w:sz="6" w:space="0" w:color="000000"/>
            </w:tcBorders>
            <w:shd w:val="clear" w:color="auto" w:fill="auto"/>
            <w:vAlign w:val="bottom"/>
          </w:tcPr>
          <w:p w:rsidR="00AC3FAE" w:rsidRPr="005F7D4D" w:rsidRDefault="00AC3FAE" w:rsidP="003B4BCE">
            <w:pPr>
              <w:pStyle w:val="TableCenter"/>
            </w:pPr>
            <w:r w:rsidRPr="005F7D4D">
              <w:t>1270 </w:t>
            </w:r>
            <w:proofErr w:type="spellStart"/>
            <w:r w:rsidRPr="005F7D4D">
              <w:t>m</w:t>
            </w:r>
            <w:r w:rsidR="0016648D">
              <w:t>O</w:t>
            </w:r>
            <w:r w:rsidRPr="005F7D4D">
              <w:t>sm</w:t>
            </w:r>
            <w:proofErr w:type="spellEnd"/>
            <w:r w:rsidRPr="005F7D4D">
              <w:t>/l</w:t>
            </w:r>
          </w:p>
        </w:tc>
      </w:tr>
      <w:tr w:rsidR="00AC3FAE" w:rsidRPr="005F7D4D" w:rsidTr="003B4BCE">
        <w:trPr>
          <w:trHeight w:val="255"/>
          <w:jc w:val="center"/>
        </w:trPr>
        <w:tc>
          <w:tcPr>
            <w:tcW w:w="8912" w:type="dxa"/>
            <w:gridSpan w:val="5"/>
            <w:tcBorders>
              <w:left w:val="nil"/>
              <w:bottom w:val="nil"/>
              <w:right w:val="nil"/>
            </w:tcBorders>
            <w:shd w:val="clear" w:color="auto" w:fill="auto"/>
            <w:tcMar>
              <w:top w:w="13" w:type="dxa"/>
              <w:left w:w="13" w:type="dxa"/>
              <w:bottom w:w="0" w:type="dxa"/>
              <w:right w:w="13" w:type="dxa"/>
            </w:tcMar>
            <w:vAlign w:val="bottom"/>
          </w:tcPr>
          <w:p w:rsidR="00AC3FAE" w:rsidRPr="005F7D4D" w:rsidRDefault="00AC3FAE" w:rsidP="003B4BCE">
            <w:pPr>
              <w:pStyle w:val="TableFootnoteLetter"/>
              <w:numPr>
                <w:ilvl w:val="0"/>
                <w:numId w:val="10"/>
              </w:numPr>
              <w:spacing w:before="0" w:after="0"/>
            </w:pPr>
            <w:bookmarkStart w:id="2" w:name="_Ref496531421"/>
            <w:r w:rsidRPr="005F7D4D">
              <w:t xml:space="preserve">Inkl. kalorier fra renset </w:t>
            </w:r>
            <w:bookmarkEnd w:id="2"/>
            <w:proofErr w:type="spellStart"/>
            <w:r w:rsidR="0016648D">
              <w:t>ægphospholipider</w:t>
            </w:r>
            <w:proofErr w:type="spellEnd"/>
            <w:r w:rsidR="0016648D">
              <w:t>.</w:t>
            </w:r>
          </w:p>
          <w:p w:rsidR="00AC3FAE" w:rsidRPr="005F7D4D" w:rsidRDefault="00AC3FAE" w:rsidP="003B4BCE">
            <w:pPr>
              <w:pStyle w:val="TableFootnoteLetter"/>
              <w:numPr>
                <w:ilvl w:val="0"/>
                <w:numId w:val="10"/>
              </w:numPr>
              <w:spacing w:before="0" w:after="0"/>
            </w:pPr>
            <w:bookmarkStart w:id="3" w:name="_Ref496531388"/>
            <w:r w:rsidRPr="005F7D4D">
              <w:t xml:space="preserve">Inkl. </w:t>
            </w:r>
            <w:proofErr w:type="spellStart"/>
            <w:r w:rsidRPr="005F7D4D">
              <w:t>phosphat</w:t>
            </w:r>
            <w:proofErr w:type="spellEnd"/>
            <w:r w:rsidRPr="005F7D4D">
              <w:t xml:space="preserve"> fra fedtemulsionen</w:t>
            </w:r>
            <w:bookmarkEnd w:id="3"/>
            <w:r w:rsidRPr="005F7D4D">
              <w:t>.</w:t>
            </w:r>
          </w:p>
        </w:tc>
      </w:tr>
    </w:tbl>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3.</w:t>
      </w:r>
      <w:r w:rsidRPr="005F7D4D">
        <w:rPr>
          <w:b/>
          <w:sz w:val="24"/>
          <w:szCs w:val="24"/>
        </w:rPr>
        <w:tab/>
        <w:t>LÆGEMIDDELFORM</w:t>
      </w:r>
    </w:p>
    <w:p w:rsidR="00AC3FAE" w:rsidRPr="005F7D4D" w:rsidRDefault="00AC3FAE" w:rsidP="00AC3FAE">
      <w:pPr>
        <w:tabs>
          <w:tab w:val="left" w:pos="851"/>
        </w:tabs>
        <w:ind w:left="851"/>
        <w:rPr>
          <w:sz w:val="24"/>
          <w:szCs w:val="24"/>
        </w:rPr>
      </w:pPr>
      <w:r w:rsidRPr="005F7D4D">
        <w:rPr>
          <w:sz w:val="24"/>
          <w:szCs w:val="24"/>
        </w:rPr>
        <w:t xml:space="preserve">Efter </w:t>
      </w:r>
      <w:proofErr w:type="spellStart"/>
      <w:r w:rsidRPr="005F7D4D">
        <w:rPr>
          <w:sz w:val="24"/>
          <w:szCs w:val="24"/>
        </w:rPr>
        <w:t>rekonstitution</w:t>
      </w:r>
      <w:proofErr w:type="spellEnd"/>
      <w:r w:rsidRPr="005F7D4D">
        <w:rPr>
          <w:sz w:val="24"/>
          <w:szCs w:val="24"/>
        </w:rPr>
        <w: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Infusionsvæske, emulsion.</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Udseende inden blanding:</w:t>
      </w:r>
    </w:p>
    <w:p w:rsidR="00AC3FAE" w:rsidRPr="005F7D4D" w:rsidRDefault="00AC3FAE" w:rsidP="00AC3FAE">
      <w:pPr>
        <w:tabs>
          <w:tab w:val="left" w:pos="851"/>
        </w:tabs>
        <w:ind w:left="851"/>
        <w:rPr>
          <w:sz w:val="24"/>
          <w:szCs w:val="24"/>
        </w:rPr>
      </w:pPr>
    </w:p>
    <w:p w:rsidR="00AC3FAE" w:rsidRPr="005F7D4D" w:rsidRDefault="00AC3FAE" w:rsidP="00AC3FAE">
      <w:pPr>
        <w:numPr>
          <w:ilvl w:val="0"/>
          <w:numId w:val="11"/>
        </w:numPr>
        <w:tabs>
          <w:tab w:val="left" w:pos="851"/>
        </w:tabs>
        <w:rPr>
          <w:sz w:val="24"/>
          <w:szCs w:val="24"/>
        </w:rPr>
      </w:pPr>
      <w:r w:rsidRPr="005F7D4D">
        <w:rPr>
          <w:sz w:val="24"/>
          <w:szCs w:val="24"/>
        </w:rPr>
        <w:t xml:space="preserve">Aminosyre- og </w:t>
      </w:r>
      <w:proofErr w:type="spellStart"/>
      <w:r w:rsidRPr="005F7D4D">
        <w:rPr>
          <w:sz w:val="24"/>
          <w:szCs w:val="24"/>
        </w:rPr>
        <w:t>glucoseopløsningerne</w:t>
      </w:r>
      <w:proofErr w:type="spellEnd"/>
      <w:r w:rsidRPr="005F7D4D">
        <w:rPr>
          <w:sz w:val="24"/>
          <w:szCs w:val="24"/>
        </w:rPr>
        <w:t xml:space="preserve"> er klare, farveløse eller svagt gule. </w:t>
      </w:r>
    </w:p>
    <w:p w:rsidR="00AC3FAE" w:rsidRPr="005F7D4D" w:rsidRDefault="00AC3FAE" w:rsidP="00AC3FAE">
      <w:pPr>
        <w:numPr>
          <w:ilvl w:val="0"/>
          <w:numId w:val="11"/>
        </w:numPr>
        <w:tabs>
          <w:tab w:val="left" w:pos="851"/>
        </w:tabs>
        <w:rPr>
          <w:sz w:val="24"/>
          <w:szCs w:val="24"/>
        </w:rPr>
      </w:pPr>
      <w:r w:rsidRPr="005F7D4D">
        <w:rPr>
          <w:sz w:val="24"/>
          <w:szCs w:val="24"/>
        </w:rPr>
        <w:t>Fedtemulsionen er homogen med et mælkeagtigt udseende.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4.</w:t>
      </w:r>
      <w:r w:rsidRPr="005F7D4D">
        <w:rPr>
          <w:b/>
          <w:sz w:val="24"/>
          <w:szCs w:val="24"/>
        </w:rPr>
        <w:tab/>
        <w:t>KLINISKE OPLYSNINGER</w:t>
      </w:r>
    </w:p>
    <w:p w:rsidR="00AC3FAE" w:rsidRPr="005F7D4D" w:rsidRDefault="00AC3FAE" w:rsidP="00AC3FAE">
      <w:pPr>
        <w:tabs>
          <w:tab w:val="left" w:pos="851"/>
        </w:tabs>
        <w:ind w:left="851"/>
        <w:rPr>
          <w:b/>
          <w:sz w:val="24"/>
          <w:szCs w:val="24"/>
        </w:rPr>
      </w:pPr>
    </w:p>
    <w:p w:rsidR="00AC3FAE" w:rsidRPr="005F7D4D" w:rsidRDefault="00AC3FAE" w:rsidP="00AC3FAE">
      <w:pPr>
        <w:tabs>
          <w:tab w:val="left" w:pos="851"/>
        </w:tabs>
        <w:ind w:left="851" w:hanging="851"/>
        <w:rPr>
          <w:b/>
          <w:sz w:val="24"/>
          <w:szCs w:val="24"/>
          <w:u w:val="single"/>
        </w:rPr>
      </w:pPr>
      <w:r w:rsidRPr="005F7D4D">
        <w:rPr>
          <w:b/>
          <w:sz w:val="24"/>
          <w:szCs w:val="24"/>
        </w:rPr>
        <w:t>4.1</w:t>
      </w:r>
      <w:r w:rsidRPr="005F7D4D">
        <w:rPr>
          <w:b/>
          <w:sz w:val="24"/>
          <w:szCs w:val="24"/>
        </w:rPr>
        <w:tab/>
        <w:t>Terapeutiske indikationer</w:t>
      </w:r>
    </w:p>
    <w:p w:rsidR="00AC3FAE" w:rsidRPr="005F7D4D" w:rsidRDefault="00AC3FAE" w:rsidP="00AC3FAE">
      <w:pPr>
        <w:tabs>
          <w:tab w:val="left" w:pos="851"/>
        </w:tabs>
        <w:ind w:left="851"/>
        <w:rPr>
          <w:sz w:val="24"/>
          <w:szCs w:val="24"/>
        </w:rPr>
      </w:pPr>
      <w:proofErr w:type="spellStart"/>
      <w:r w:rsidRPr="005F7D4D">
        <w:rPr>
          <w:sz w:val="24"/>
          <w:szCs w:val="24"/>
        </w:rPr>
        <w:t>Olimel</w:t>
      </w:r>
      <w:proofErr w:type="spellEnd"/>
      <w:r w:rsidRPr="005F7D4D">
        <w:rPr>
          <w:sz w:val="24"/>
          <w:szCs w:val="24"/>
        </w:rPr>
        <w:t xml:space="preserve"> N12E er indiceret til parenteral ernæring til voksne og børn over 2 år, når oral eller </w:t>
      </w:r>
      <w:proofErr w:type="spellStart"/>
      <w:r w:rsidRPr="005F7D4D">
        <w:rPr>
          <w:sz w:val="24"/>
          <w:szCs w:val="24"/>
        </w:rPr>
        <w:t>enteral</w:t>
      </w:r>
      <w:proofErr w:type="spellEnd"/>
      <w:r w:rsidRPr="005F7D4D">
        <w:rPr>
          <w:sz w:val="24"/>
          <w:szCs w:val="24"/>
        </w:rPr>
        <w:t xml:space="preserve"> ernæring er umulig, utilstrækkelig eller kontraindiceret.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4.2</w:t>
      </w:r>
      <w:r w:rsidRPr="005F7D4D">
        <w:rPr>
          <w:b/>
          <w:sz w:val="24"/>
          <w:szCs w:val="24"/>
        </w:rPr>
        <w:tab/>
        <w:t xml:space="preserve">Dosering og </w:t>
      </w:r>
      <w:r w:rsidR="002F0B8C">
        <w:rPr>
          <w:b/>
          <w:sz w:val="24"/>
          <w:szCs w:val="24"/>
        </w:rPr>
        <w:t>administration</w:t>
      </w:r>
    </w:p>
    <w:p w:rsidR="00AC3FAE" w:rsidRPr="00C97636" w:rsidRDefault="00AC3FAE" w:rsidP="00AC3FAE">
      <w:pPr>
        <w:tabs>
          <w:tab w:val="left" w:pos="851"/>
        </w:tabs>
        <w:ind w:left="851"/>
        <w:rPr>
          <w:bCs/>
          <w:sz w:val="24"/>
          <w:szCs w:val="24"/>
        </w:rPr>
      </w:pPr>
      <w:bookmarkStart w:id="4" w:name="_ISIW_UH_7"/>
    </w:p>
    <w:p w:rsidR="00AC3FAE" w:rsidRPr="005F7D4D" w:rsidRDefault="00AC3FAE" w:rsidP="00AC3FAE">
      <w:pPr>
        <w:tabs>
          <w:tab w:val="left" w:pos="851"/>
        </w:tabs>
        <w:ind w:left="851"/>
        <w:rPr>
          <w:b/>
          <w:bCs/>
          <w:sz w:val="24"/>
          <w:szCs w:val="24"/>
        </w:rPr>
      </w:pPr>
      <w:r w:rsidRPr="005F7D4D">
        <w:rPr>
          <w:b/>
          <w:bCs/>
          <w:sz w:val="24"/>
          <w:szCs w:val="24"/>
        </w:rPr>
        <w:t>Dosering</w:t>
      </w:r>
    </w:p>
    <w:bookmarkEnd w:id="4"/>
    <w:p w:rsidR="00AC3FAE" w:rsidRPr="005F7D4D" w:rsidRDefault="00AC3FAE" w:rsidP="00AC3FAE">
      <w:pPr>
        <w:tabs>
          <w:tab w:val="left" w:pos="851"/>
        </w:tabs>
        <w:ind w:left="851"/>
        <w:rPr>
          <w:sz w:val="24"/>
          <w:szCs w:val="24"/>
        </w:rPr>
      </w:pPr>
      <w:proofErr w:type="spellStart"/>
      <w:r w:rsidRPr="005F7D4D">
        <w:rPr>
          <w:sz w:val="24"/>
          <w:szCs w:val="24"/>
        </w:rPr>
        <w:t>Olimel</w:t>
      </w:r>
      <w:proofErr w:type="spellEnd"/>
      <w:r w:rsidRPr="005F7D4D">
        <w:rPr>
          <w:sz w:val="24"/>
          <w:szCs w:val="24"/>
        </w:rPr>
        <w:t xml:space="preserve"> N12E bør ikke anvendes til børn under 2 år på grund af uhensigtsmæssig sammensætning og mængde (se pkt. 4.4, 5.1 og 5.2.).</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Den maksimale daglige dosis angivet herunder bør ikke overskrides. På grund af den faste sammensætning af flerkammerposen kan det være umuligt at opfylde patientens samtlige behov for næringsstoffer. Der kan være kliniske situationer, hvor patienten kræver en sammensætning af næringsstoffer forskellig fra den faste sammensætning i poserne. I denne situation skal man tage enhver ændring af volumen (dosis) og den resulterende effekt, som dette vil have på samtlige </w:t>
      </w:r>
      <w:proofErr w:type="spellStart"/>
      <w:r w:rsidRPr="005F7D4D">
        <w:rPr>
          <w:sz w:val="24"/>
          <w:szCs w:val="24"/>
        </w:rPr>
        <w:t>Olimel</w:t>
      </w:r>
      <w:proofErr w:type="spellEnd"/>
      <w:r w:rsidRPr="005F7D4D">
        <w:rPr>
          <w:sz w:val="24"/>
          <w:szCs w:val="24"/>
        </w:rPr>
        <w:t xml:space="preserve"> N12E’s ernæringskomponenter, i betragtning. I disse situationer kan sundhedspersonalet overveje at justere volumen (dosis) af </w:t>
      </w:r>
      <w:proofErr w:type="spellStart"/>
      <w:r w:rsidRPr="005F7D4D">
        <w:rPr>
          <w:sz w:val="24"/>
          <w:szCs w:val="24"/>
        </w:rPr>
        <w:t>Olimel</w:t>
      </w:r>
      <w:proofErr w:type="spellEnd"/>
      <w:r w:rsidRPr="005F7D4D">
        <w:rPr>
          <w:sz w:val="24"/>
          <w:szCs w:val="24"/>
        </w:rPr>
        <w:t xml:space="preserve"> N12E med henblik på at imødese disse øgede krav.</w:t>
      </w:r>
    </w:p>
    <w:p w:rsidR="00AC3FAE" w:rsidRDefault="00AC3FAE" w:rsidP="00AC3FAE">
      <w:pPr>
        <w:rPr>
          <w:b/>
          <w:bCs/>
          <w:i/>
          <w:iCs/>
          <w:sz w:val="24"/>
          <w:szCs w:val="24"/>
        </w:rPr>
      </w:pPr>
      <w:bookmarkStart w:id="5" w:name="_ISIW_UH_8"/>
      <w:r>
        <w:rPr>
          <w:b/>
          <w:bCs/>
          <w:i/>
          <w:iCs/>
          <w:sz w:val="24"/>
          <w:szCs w:val="24"/>
        </w:rPr>
        <w:br w:type="page"/>
      </w:r>
    </w:p>
    <w:p w:rsidR="00AC3FAE" w:rsidRPr="005F7D4D" w:rsidRDefault="00AC3FAE" w:rsidP="00AC3FAE">
      <w:pPr>
        <w:tabs>
          <w:tab w:val="left" w:pos="851"/>
        </w:tabs>
        <w:ind w:left="851"/>
        <w:rPr>
          <w:b/>
          <w:bCs/>
          <w:i/>
          <w:iCs/>
          <w:sz w:val="24"/>
          <w:szCs w:val="24"/>
        </w:rPr>
      </w:pPr>
    </w:p>
    <w:p w:rsidR="00AC3FAE" w:rsidRPr="005F7D4D" w:rsidRDefault="00AC3FAE" w:rsidP="00AC3FAE">
      <w:pPr>
        <w:tabs>
          <w:tab w:val="left" w:pos="851"/>
        </w:tabs>
        <w:ind w:left="851"/>
        <w:rPr>
          <w:b/>
          <w:bCs/>
          <w:i/>
          <w:iCs/>
          <w:sz w:val="24"/>
          <w:szCs w:val="24"/>
        </w:rPr>
      </w:pPr>
      <w:r w:rsidRPr="005F7D4D">
        <w:rPr>
          <w:b/>
          <w:bCs/>
          <w:i/>
          <w:iCs/>
          <w:sz w:val="24"/>
          <w:szCs w:val="24"/>
        </w:rPr>
        <w:t>Til voksne</w:t>
      </w:r>
    </w:p>
    <w:bookmarkEnd w:id="5"/>
    <w:p w:rsidR="00AC3FAE" w:rsidRPr="005F7D4D" w:rsidRDefault="00AC3FAE" w:rsidP="00AC3FAE">
      <w:pPr>
        <w:tabs>
          <w:tab w:val="left" w:pos="851"/>
        </w:tabs>
        <w:ind w:left="851"/>
        <w:rPr>
          <w:sz w:val="24"/>
          <w:szCs w:val="24"/>
        </w:rPr>
      </w:pPr>
      <w:r w:rsidRPr="005F7D4D">
        <w:rPr>
          <w:sz w:val="24"/>
          <w:szCs w:val="24"/>
        </w:rPr>
        <w:t xml:space="preserve">Dosis afhænger af patientens energiforbrug, kliniske tilstand, legemsvægt og evnen til at fordøje </w:t>
      </w:r>
      <w:proofErr w:type="spellStart"/>
      <w:r w:rsidRPr="005F7D4D">
        <w:rPr>
          <w:sz w:val="24"/>
          <w:szCs w:val="24"/>
        </w:rPr>
        <w:t>Olimel</w:t>
      </w:r>
      <w:proofErr w:type="spellEnd"/>
      <w:r w:rsidRPr="005F7D4D">
        <w:rPr>
          <w:sz w:val="24"/>
          <w:szCs w:val="24"/>
        </w:rPr>
        <w:t xml:space="preserve"> N12E’s indholdsstoffer samt af yderligere energi eller proteiner, der gives oralt/enteralt. Derfor bør posestørrelsen vælges i henhold hertil.</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De gennemsnitlige daglige behov er:</w:t>
      </w:r>
    </w:p>
    <w:p w:rsidR="00AC3FAE" w:rsidRPr="005F7D4D" w:rsidRDefault="00AC3FAE" w:rsidP="00AC3FAE">
      <w:pPr>
        <w:tabs>
          <w:tab w:val="left" w:pos="851"/>
        </w:tabs>
        <w:ind w:left="851"/>
        <w:rPr>
          <w:sz w:val="24"/>
          <w:szCs w:val="24"/>
        </w:rPr>
      </w:pPr>
    </w:p>
    <w:p w:rsidR="00AC3FAE" w:rsidRPr="005F7D4D" w:rsidRDefault="00AC3FAE" w:rsidP="00AC3FAE">
      <w:pPr>
        <w:numPr>
          <w:ilvl w:val="0"/>
          <w:numId w:val="12"/>
        </w:numPr>
        <w:tabs>
          <w:tab w:val="left" w:pos="851"/>
        </w:tabs>
        <w:rPr>
          <w:sz w:val="24"/>
          <w:szCs w:val="24"/>
        </w:rPr>
      </w:pPr>
      <w:r w:rsidRPr="005F7D4D">
        <w:rPr>
          <w:sz w:val="24"/>
          <w:szCs w:val="24"/>
        </w:rPr>
        <w:t xml:space="preserve">0,16 til 0,35 g nitrogen /kg legemsvægt (1 til 2 g aminosyrer/kg), afhængigt af patientens ernæringstilstand og grad af </w:t>
      </w:r>
      <w:proofErr w:type="spellStart"/>
      <w:r w:rsidRPr="005F7D4D">
        <w:rPr>
          <w:sz w:val="24"/>
          <w:szCs w:val="24"/>
        </w:rPr>
        <w:t>katabolisme</w:t>
      </w:r>
      <w:proofErr w:type="spellEnd"/>
      <w:r w:rsidRPr="005F7D4D">
        <w:rPr>
          <w:sz w:val="24"/>
          <w:szCs w:val="24"/>
        </w:rPr>
        <w:t xml:space="preserve">. </w:t>
      </w:r>
      <w:r w:rsidRPr="005F7D4D">
        <w:rPr>
          <w:bCs/>
          <w:sz w:val="24"/>
          <w:szCs w:val="24"/>
        </w:rPr>
        <w:t>Specielle befolkningsgrupper kan kræve op til 0,4 g nitrogen/kg legemsvægt (2,5 g aminosyrer/kg).</w:t>
      </w:r>
    </w:p>
    <w:p w:rsidR="00AC3FAE" w:rsidRPr="005F7D4D" w:rsidRDefault="00AC3FAE" w:rsidP="00AC3FAE">
      <w:pPr>
        <w:numPr>
          <w:ilvl w:val="0"/>
          <w:numId w:val="12"/>
        </w:numPr>
        <w:tabs>
          <w:tab w:val="left" w:pos="851"/>
        </w:tabs>
        <w:rPr>
          <w:sz w:val="24"/>
          <w:szCs w:val="24"/>
        </w:rPr>
      </w:pPr>
      <w:r w:rsidRPr="005F7D4D">
        <w:rPr>
          <w:sz w:val="24"/>
          <w:szCs w:val="24"/>
        </w:rPr>
        <w:t xml:space="preserve">20 til 40 kcal/kg, </w:t>
      </w:r>
    </w:p>
    <w:p w:rsidR="00AC3FAE" w:rsidRPr="005F7D4D" w:rsidRDefault="00AC3FAE" w:rsidP="00AC3FAE">
      <w:pPr>
        <w:numPr>
          <w:ilvl w:val="0"/>
          <w:numId w:val="12"/>
        </w:numPr>
        <w:tabs>
          <w:tab w:val="left" w:pos="851"/>
        </w:tabs>
        <w:rPr>
          <w:sz w:val="24"/>
          <w:szCs w:val="24"/>
        </w:rPr>
      </w:pPr>
      <w:r w:rsidRPr="005F7D4D">
        <w:rPr>
          <w:sz w:val="24"/>
          <w:szCs w:val="24"/>
        </w:rPr>
        <w:t>20 til 40 ml væske/kg eller 1 til 1,5 ml pr. forbrugt kcal.</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For </w:t>
      </w:r>
      <w:proofErr w:type="spellStart"/>
      <w:r w:rsidRPr="005F7D4D">
        <w:rPr>
          <w:sz w:val="24"/>
          <w:szCs w:val="24"/>
        </w:rPr>
        <w:t>Olimel</w:t>
      </w:r>
      <w:proofErr w:type="spellEnd"/>
      <w:r w:rsidRPr="005F7D4D">
        <w:rPr>
          <w:sz w:val="24"/>
          <w:szCs w:val="24"/>
        </w:rPr>
        <w:t xml:space="preserve"> N12E bestemmes den maksimale daglige dosis af indtagelse af aminosyrer, 26 ml/kg svarende til 2,0 g/kg aminosyrer, 1,9 g/kg </w:t>
      </w:r>
      <w:proofErr w:type="spellStart"/>
      <w:r w:rsidRPr="005F7D4D">
        <w:rPr>
          <w:sz w:val="24"/>
          <w:szCs w:val="24"/>
        </w:rPr>
        <w:t>glucose</w:t>
      </w:r>
      <w:proofErr w:type="spellEnd"/>
      <w:r w:rsidRPr="005F7D4D">
        <w:rPr>
          <w:sz w:val="24"/>
          <w:szCs w:val="24"/>
        </w:rPr>
        <w:t xml:space="preserve"> og 0,9 g/kg fedt. For en patient på 70 kg svarer dette til 1820 ml </w:t>
      </w:r>
      <w:proofErr w:type="spellStart"/>
      <w:r w:rsidRPr="005F7D4D">
        <w:rPr>
          <w:sz w:val="24"/>
          <w:szCs w:val="24"/>
        </w:rPr>
        <w:t>Olimel</w:t>
      </w:r>
      <w:proofErr w:type="spellEnd"/>
      <w:r w:rsidRPr="005F7D4D">
        <w:rPr>
          <w:sz w:val="24"/>
          <w:szCs w:val="24"/>
        </w:rPr>
        <w:t xml:space="preserve"> N12E pr. dag, hvilket betyder en indtagelse af 138 g aminosyrer, 133 g </w:t>
      </w:r>
      <w:proofErr w:type="spellStart"/>
      <w:r w:rsidRPr="005F7D4D">
        <w:rPr>
          <w:sz w:val="24"/>
          <w:szCs w:val="24"/>
        </w:rPr>
        <w:t>glucose</w:t>
      </w:r>
      <w:proofErr w:type="spellEnd"/>
      <w:r w:rsidRPr="005F7D4D">
        <w:rPr>
          <w:sz w:val="24"/>
          <w:szCs w:val="24"/>
        </w:rPr>
        <w:t xml:space="preserve"> og 64 g fedt (dvs. 1171 non-protein-kcal og 1723 kcal i alt).</w:t>
      </w:r>
    </w:p>
    <w:p w:rsidR="00AC3FAE" w:rsidRPr="005F7D4D" w:rsidRDefault="00AC3FAE" w:rsidP="00AC3FAE">
      <w:pPr>
        <w:tabs>
          <w:tab w:val="left" w:pos="851"/>
        </w:tabs>
        <w:ind w:left="851"/>
        <w:rPr>
          <w:i/>
          <w:sz w:val="24"/>
          <w:szCs w:val="24"/>
        </w:rPr>
      </w:pPr>
    </w:p>
    <w:p w:rsidR="00AC3FAE" w:rsidRPr="005F7D4D" w:rsidRDefault="00AC3FAE" w:rsidP="00AC3FAE">
      <w:pPr>
        <w:tabs>
          <w:tab w:val="left" w:pos="851"/>
        </w:tabs>
        <w:ind w:left="851"/>
        <w:rPr>
          <w:sz w:val="24"/>
          <w:szCs w:val="24"/>
        </w:rPr>
      </w:pPr>
      <w:r w:rsidRPr="005F7D4D">
        <w:rPr>
          <w:i/>
          <w:sz w:val="24"/>
          <w:szCs w:val="24"/>
        </w:rPr>
        <w:t xml:space="preserve">Kontinuerlig nyreerstatningsbehandling (CRRT): </w:t>
      </w:r>
      <w:r w:rsidRPr="005F7D4D">
        <w:rPr>
          <w:sz w:val="24"/>
          <w:szCs w:val="24"/>
        </w:rPr>
        <w:t xml:space="preserve">For </w:t>
      </w:r>
      <w:proofErr w:type="spellStart"/>
      <w:r w:rsidRPr="005F7D4D">
        <w:rPr>
          <w:sz w:val="24"/>
          <w:szCs w:val="24"/>
        </w:rPr>
        <w:t>Olimel</w:t>
      </w:r>
      <w:proofErr w:type="spellEnd"/>
      <w:r w:rsidRPr="005F7D4D">
        <w:rPr>
          <w:sz w:val="24"/>
          <w:szCs w:val="24"/>
        </w:rPr>
        <w:t xml:space="preserve"> N12E bestemmes den maksimale daglige dosis af indtagelse af aminosyrer, 33 ml/kg svarende til 2,5 g/kg aminosyrer, 2,4 g/kg </w:t>
      </w:r>
      <w:proofErr w:type="spellStart"/>
      <w:r w:rsidRPr="005F7D4D">
        <w:rPr>
          <w:sz w:val="24"/>
          <w:szCs w:val="24"/>
        </w:rPr>
        <w:t>glucose</w:t>
      </w:r>
      <w:proofErr w:type="spellEnd"/>
      <w:r w:rsidRPr="005F7D4D">
        <w:rPr>
          <w:sz w:val="24"/>
          <w:szCs w:val="24"/>
        </w:rPr>
        <w:t xml:space="preserve"> og 1,2 g/kg fedt. For en patient på 70 kg svarer dette til 2310 ml </w:t>
      </w:r>
      <w:proofErr w:type="spellStart"/>
      <w:r w:rsidRPr="005F7D4D">
        <w:rPr>
          <w:sz w:val="24"/>
          <w:szCs w:val="24"/>
        </w:rPr>
        <w:t>Olimel</w:t>
      </w:r>
      <w:proofErr w:type="spellEnd"/>
      <w:r w:rsidRPr="005F7D4D">
        <w:rPr>
          <w:sz w:val="24"/>
          <w:szCs w:val="24"/>
        </w:rPr>
        <w:t xml:space="preserve"> N12E pr. dag, hvilket betyder en indtagelse af 175 g aminosyrer, 169 g </w:t>
      </w:r>
      <w:proofErr w:type="spellStart"/>
      <w:r w:rsidRPr="005F7D4D">
        <w:rPr>
          <w:sz w:val="24"/>
          <w:szCs w:val="24"/>
        </w:rPr>
        <w:t>glucose</w:t>
      </w:r>
      <w:proofErr w:type="spellEnd"/>
      <w:r w:rsidRPr="005F7D4D">
        <w:rPr>
          <w:sz w:val="24"/>
          <w:szCs w:val="24"/>
        </w:rPr>
        <w:t xml:space="preserve"> og 81 g fedt (dvs. 1486 non-protein-kcal og 2187 kcal i alt).</w:t>
      </w:r>
    </w:p>
    <w:p w:rsidR="00AC3FAE" w:rsidRPr="005F7D4D" w:rsidRDefault="00AC3FAE" w:rsidP="00AC3FAE">
      <w:pPr>
        <w:tabs>
          <w:tab w:val="left" w:pos="851"/>
        </w:tabs>
        <w:ind w:left="851"/>
        <w:rPr>
          <w:i/>
          <w:sz w:val="24"/>
          <w:szCs w:val="24"/>
        </w:rPr>
      </w:pPr>
    </w:p>
    <w:p w:rsidR="00AC3FAE" w:rsidRPr="005F7D4D" w:rsidRDefault="00AC3FAE" w:rsidP="00AC3FAE">
      <w:pPr>
        <w:tabs>
          <w:tab w:val="left" w:pos="851"/>
        </w:tabs>
        <w:ind w:left="851"/>
        <w:rPr>
          <w:sz w:val="24"/>
          <w:szCs w:val="24"/>
        </w:rPr>
      </w:pPr>
      <w:r w:rsidRPr="005F7D4D">
        <w:rPr>
          <w:i/>
          <w:sz w:val="24"/>
          <w:szCs w:val="24"/>
        </w:rPr>
        <w:t xml:space="preserve">Patienter med sygelig overvægt: </w:t>
      </w:r>
      <w:r w:rsidRPr="005F7D4D">
        <w:rPr>
          <w:sz w:val="24"/>
          <w:szCs w:val="24"/>
        </w:rPr>
        <w:t>Dosis skal beregnes på basis af idealvægten (IBW).</w:t>
      </w:r>
      <w:r w:rsidRPr="005F7D4D">
        <w:rPr>
          <w:i/>
          <w:sz w:val="24"/>
          <w:szCs w:val="24"/>
        </w:rPr>
        <w:t xml:space="preserve"> </w:t>
      </w:r>
      <w:r w:rsidRPr="005F7D4D">
        <w:rPr>
          <w:sz w:val="24"/>
          <w:szCs w:val="24"/>
        </w:rPr>
        <w:t xml:space="preserve">For </w:t>
      </w:r>
      <w:proofErr w:type="spellStart"/>
      <w:r w:rsidRPr="005F7D4D">
        <w:rPr>
          <w:sz w:val="24"/>
          <w:szCs w:val="24"/>
        </w:rPr>
        <w:t>Olimel</w:t>
      </w:r>
      <w:proofErr w:type="spellEnd"/>
      <w:r w:rsidRPr="005F7D4D">
        <w:rPr>
          <w:sz w:val="24"/>
          <w:szCs w:val="24"/>
        </w:rPr>
        <w:t xml:space="preserve"> N12E bestemmes den maksimale daglige dosis af indtagelse af aminosyrer, 33 ml/kg/IBW svarende til 2,5 g/kg aminosyrer, 2,4 g/kg </w:t>
      </w:r>
      <w:proofErr w:type="spellStart"/>
      <w:r w:rsidRPr="005F7D4D">
        <w:rPr>
          <w:sz w:val="24"/>
          <w:szCs w:val="24"/>
        </w:rPr>
        <w:t>glucose</w:t>
      </w:r>
      <w:proofErr w:type="spellEnd"/>
      <w:r w:rsidRPr="005F7D4D">
        <w:rPr>
          <w:sz w:val="24"/>
          <w:szCs w:val="24"/>
        </w:rPr>
        <w:t xml:space="preserve"> og 1,2 g/kg fedt. For en patient på 70 kg svarer dette til 2310 ml </w:t>
      </w:r>
      <w:proofErr w:type="spellStart"/>
      <w:r w:rsidRPr="005F7D4D">
        <w:rPr>
          <w:sz w:val="24"/>
          <w:szCs w:val="24"/>
        </w:rPr>
        <w:t>Olimel</w:t>
      </w:r>
      <w:proofErr w:type="spellEnd"/>
      <w:r w:rsidRPr="005F7D4D">
        <w:rPr>
          <w:sz w:val="24"/>
          <w:szCs w:val="24"/>
        </w:rPr>
        <w:t xml:space="preserve"> N12E pr. dag, hvilket betyder en indtagelse af 175 g aminosyrer, 169 g </w:t>
      </w:r>
      <w:proofErr w:type="spellStart"/>
      <w:r w:rsidRPr="005F7D4D">
        <w:rPr>
          <w:sz w:val="24"/>
          <w:szCs w:val="24"/>
        </w:rPr>
        <w:t>glucose</w:t>
      </w:r>
      <w:proofErr w:type="spellEnd"/>
      <w:r w:rsidRPr="005F7D4D">
        <w:rPr>
          <w:sz w:val="24"/>
          <w:szCs w:val="24"/>
        </w:rPr>
        <w:t xml:space="preserve"> og 81 g fedt (dvs. 1486 non-protein-kcal og 2187 kcal i alt).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Normalt skal indgivelseshastigheden øges gradvist i løbet af den første time og derefter justeres i forhold til den indgivne dosis, den daglige mængde, der indgives, og infusionens varighed.</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For </w:t>
      </w:r>
      <w:proofErr w:type="spellStart"/>
      <w:r w:rsidRPr="005F7D4D">
        <w:rPr>
          <w:sz w:val="24"/>
          <w:szCs w:val="24"/>
        </w:rPr>
        <w:t>Olimel</w:t>
      </w:r>
      <w:proofErr w:type="spellEnd"/>
      <w:r w:rsidRPr="005F7D4D">
        <w:rPr>
          <w:sz w:val="24"/>
          <w:szCs w:val="24"/>
        </w:rPr>
        <w:t xml:space="preserve"> N12E er den maksimale infusionshastighed 1,3 ml/kg/time, svarende til 0,10 g/kg/time aminosyrer, 0,10 g/kg/time </w:t>
      </w:r>
      <w:proofErr w:type="spellStart"/>
      <w:r w:rsidRPr="005F7D4D">
        <w:rPr>
          <w:sz w:val="24"/>
          <w:szCs w:val="24"/>
        </w:rPr>
        <w:t>glucose</w:t>
      </w:r>
      <w:proofErr w:type="spellEnd"/>
      <w:r w:rsidRPr="005F7D4D">
        <w:rPr>
          <w:sz w:val="24"/>
          <w:szCs w:val="24"/>
        </w:rPr>
        <w:t xml:space="preserve"> og 0,05 g/kg/time fedt.</w:t>
      </w:r>
    </w:p>
    <w:p w:rsidR="00AC3FAE" w:rsidRPr="00C97636" w:rsidRDefault="00AC3FAE" w:rsidP="00AC3FAE">
      <w:pPr>
        <w:tabs>
          <w:tab w:val="left" w:pos="851"/>
        </w:tabs>
        <w:ind w:left="851"/>
        <w:rPr>
          <w:bCs/>
          <w:iCs/>
          <w:sz w:val="24"/>
          <w:szCs w:val="24"/>
        </w:rPr>
      </w:pPr>
      <w:bookmarkStart w:id="6" w:name="_ISIW_UH_9"/>
    </w:p>
    <w:p w:rsidR="00AC3FAE" w:rsidRPr="005F7D4D" w:rsidRDefault="00AC3FAE" w:rsidP="00AC3FAE">
      <w:pPr>
        <w:tabs>
          <w:tab w:val="left" w:pos="851"/>
        </w:tabs>
        <w:ind w:left="851"/>
        <w:rPr>
          <w:b/>
          <w:bCs/>
          <w:i/>
          <w:iCs/>
          <w:sz w:val="24"/>
          <w:szCs w:val="24"/>
        </w:rPr>
      </w:pPr>
      <w:r w:rsidRPr="005F7D4D">
        <w:rPr>
          <w:b/>
          <w:bCs/>
          <w:i/>
          <w:iCs/>
          <w:sz w:val="24"/>
          <w:szCs w:val="24"/>
        </w:rPr>
        <w:t>Børn over to år og unge</w:t>
      </w:r>
    </w:p>
    <w:bookmarkEnd w:id="6"/>
    <w:p w:rsidR="00AC3FAE" w:rsidRPr="005F7D4D" w:rsidRDefault="00AC3FAE" w:rsidP="00AC3FAE">
      <w:pPr>
        <w:tabs>
          <w:tab w:val="left" w:pos="851"/>
        </w:tabs>
        <w:ind w:left="851"/>
        <w:rPr>
          <w:sz w:val="24"/>
          <w:szCs w:val="24"/>
        </w:rPr>
      </w:pPr>
      <w:r w:rsidRPr="005F7D4D">
        <w:rPr>
          <w:sz w:val="24"/>
          <w:szCs w:val="24"/>
        </w:rPr>
        <w:t>Der er ikke foretaget undersøgelser med pædiatriske patienter.</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Dosis afhænger af patientens energiforbrug, kliniske tilstand, legemsvægt og evnen til at fordøje </w:t>
      </w:r>
      <w:proofErr w:type="spellStart"/>
      <w:r w:rsidRPr="005F7D4D">
        <w:rPr>
          <w:sz w:val="24"/>
          <w:szCs w:val="24"/>
        </w:rPr>
        <w:t>Olimel</w:t>
      </w:r>
      <w:proofErr w:type="spellEnd"/>
      <w:r w:rsidRPr="005F7D4D">
        <w:rPr>
          <w:sz w:val="24"/>
          <w:szCs w:val="24"/>
        </w:rPr>
        <w:t xml:space="preserve"> N12E’s indholdsstoffer samt af yderligere energi eller proteiner, der gives oralt/enteralt. Derfor bør posestørrelsen vælges i henhold hertil.</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Desuden aftager det daglige behov for væsker, nitrogen og energi med alderen, se opdeling i to aldersgrupper, 2 til 11 år og 12 til 18 år:</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lastRenderedPageBreak/>
        <w:t xml:space="preserve">For </w:t>
      </w:r>
      <w:proofErr w:type="spellStart"/>
      <w:r w:rsidRPr="005F7D4D">
        <w:rPr>
          <w:sz w:val="24"/>
          <w:szCs w:val="24"/>
        </w:rPr>
        <w:t>Olimel</w:t>
      </w:r>
      <w:proofErr w:type="spellEnd"/>
      <w:r w:rsidRPr="005F7D4D">
        <w:rPr>
          <w:sz w:val="24"/>
          <w:szCs w:val="24"/>
        </w:rPr>
        <w:t xml:space="preserve"> N12E i aldersgruppen 2 til 11 år er aminosyre- og magnesiumkoncentrationen den begrænsende faktor i henhold til den daglige dosis. I denne aldersgruppe er aminosyrekoncentrationen den begrænsende faktor i henhold til indgivelseshastigheden pr. time. For aldersgruppen 12 til 18 år er aminosyre- og magnesiumkoncentrationen den begrænsende faktor i henhold den daglige dosis. I denne aldersgruppe er aminosyrekoncentrationen den begrænsende faktor i henhold til indgivelseshastigheden pr. time. Det giver følgende indtagelse:</w:t>
      </w:r>
    </w:p>
    <w:p w:rsidR="00AC3FAE" w:rsidRPr="005F7D4D" w:rsidRDefault="00AC3FAE" w:rsidP="00AC3FAE">
      <w:pPr>
        <w:tabs>
          <w:tab w:val="left" w:pos="851"/>
        </w:tabs>
        <w:ind w:left="851"/>
        <w:rPr>
          <w:sz w:val="24"/>
          <w:szCs w:val="24"/>
        </w:rPr>
      </w:pPr>
    </w:p>
    <w:tbl>
      <w:tblPr>
        <w:tblW w:w="457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1989"/>
        <w:gridCol w:w="1560"/>
        <w:gridCol w:w="1721"/>
        <w:gridCol w:w="1524"/>
      </w:tblGrid>
      <w:tr w:rsidR="00AC3FAE" w:rsidRPr="00C97636" w:rsidTr="003B4BCE">
        <w:trPr>
          <w:trHeight w:val="242"/>
        </w:trPr>
        <w:tc>
          <w:tcPr>
            <w:tcW w:w="2010" w:type="dxa"/>
            <w:vMerge w:val="restart"/>
            <w:vAlign w:val="bottom"/>
          </w:tcPr>
          <w:p w:rsidR="00AC3FAE" w:rsidRPr="00C97636" w:rsidRDefault="00AC3FAE" w:rsidP="003B4BCE">
            <w:pPr>
              <w:spacing w:before="60" w:after="60"/>
              <w:jc w:val="center"/>
              <w:rPr>
                <w:sz w:val="20"/>
                <w:lang w:eastAsia="ja-JP"/>
              </w:rPr>
            </w:pPr>
            <w:r w:rsidRPr="00C97636">
              <w:rPr>
                <w:sz w:val="20"/>
                <w:lang w:eastAsia="ja-JP"/>
              </w:rPr>
              <w:t>Indholdsstof</w:t>
            </w:r>
          </w:p>
        </w:tc>
        <w:tc>
          <w:tcPr>
            <w:tcW w:w="3549" w:type="dxa"/>
            <w:gridSpan w:val="2"/>
            <w:vAlign w:val="center"/>
          </w:tcPr>
          <w:p w:rsidR="00AC3FAE" w:rsidRPr="00C97636" w:rsidRDefault="00AC3FAE" w:rsidP="003B4BCE">
            <w:pPr>
              <w:spacing w:before="60" w:after="60"/>
              <w:jc w:val="center"/>
              <w:rPr>
                <w:sz w:val="20"/>
                <w:lang w:eastAsia="ja-JP"/>
              </w:rPr>
            </w:pPr>
            <w:r w:rsidRPr="00C97636">
              <w:rPr>
                <w:sz w:val="20"/>
                <w:lang w:eastAsia="ja-JP"/>
              </w:rPr>
              <w:t>2 til 11 år</w:t>
            </w:r>
          </w:p>
        </w:tc>
        <w:tc>
          <w:tcPr>
            <w:tcW w:w="3245" w:type="dxa"/>
            <w:gridSpan w:val="2"/>
            <w:vAlign w:val="center"/>
          </w:tcPr>
          <w:p w:rsidR="00AC3FAE" w:rsidRPr="00C97636" w:rsidRDefault="00AC3FAE" w:rsidP="003B4BCE">
            <w:pPr>
              <w:spacing w:before="60" w:after="60"/>
              <w:jc w:val="center"/>
              <w:rPr>
                <w:sz w:val="20"/>
                <w:lang w:eastAsia="ja-JP"/>
              </w:rPr>
            </w:pPr>
            <w:r w:rsidRPr="00C97636">
              <w:rPr>
                <w:sz w:val="20"/>
                <w:lang w:eastAsia="ja-JP"/>
              </w:rPr>
              <w:t>12 til 18 år</w:t>
            </w:r>
          </w:p>
        </w:tc>
      </w:tr>
      <w:tr w:rsidR="00AC3FAE" w:rsidRPr="00C97636" w:rsidTr="003B4BCE">
        <w:trPr>
          <w:trHeight w:val="260"/>
        </w:trPr>
        <w:tc>
          <w:tcPr>
            <w:tcW w:w="2010" w:type="dxa"/>
            <w:vMerge/>
          </w:tcPr>
          <w:p w:rsidR="00AC3FAE" w:rsidRPr="00C97636" w:rsidRDefault="00AC3FAE" w:rsidP="003B4BCE">
            <w:pPr>
              <w:spacing w:before="60" w:after="60"/>
              <w:jc w:val="center"/>
              <w:rPr>
                <w:sz w:val="20"/>
                <w:lang w:eastAsia="ja-JP"/>
              </w:rPr>
            </w:pPr>
          </w:p>
        </w:tc>
        <w:tc>
          <w:tcPr>
            <w:tcW w:w="1989" w:type="dxa"/>
            <w:vAlign w:val="center"/>
          </w:tcPr>
          <w:p w:rsidR="00AC3FAE" w:rsidRPr="00C97636" w:rsidRDefault="00AC3FAE" w:rsidP="003B4BCE">
            <w:pPr>
              <w:spacing w:before="60" w:after="60"/>
              <w:jc w:val="center"/>
              <w:rPr>
                <w:sz w:val="20"/>
                <w:lang w:eastAsia="ja-JP"/>
              </w:rPr>
            </w:pPr>
            <w:r w:rsidRPr="00C97636">
              <w:rPr>
                <w:sz w:val="20"/>
                <w:lang w:eastAsia="ja-JP"/>
              </w:rPr>
              <w:t>Anbefalet</w:t>
            </w:r>
            <w:r w:rsidRPr="00C97636">
              <w:rPr>
                <w:sz w:val="20"/>
                <w:vertAlign w:val="superscript"/>
                <w:lang w:eastAsia="ja-JP"/>
              </w:rPr>
              <w:fldChar w:fldCharType="begin"/>
            </w:r>
            <w:r w:rsidRPr="00C97636">
              <w:rPr>
                <w:sz w:val="20"/>
                <w:vertAlign w:val="superscript"/>
                <w:lang w:eastAsia="ja-JP"/>
              </w:rPr>
              <w:instrText xml:space="preserve"> REF _Ref496531588 \r \h  \* MERGEFORMAT </w:instrText>
            </w:r>
            <w:r w:rsidRPr="00C97636">
              <w:rPr>
                <w:sz w:val="20"/>
                <w:vertAlign w:val="superscript"/>
                <w:lang w:eastAsia="ja-JP"/>
              </w:rPr>
            </w:r>
            <w:r w:rsidRPr="00C97636">
              <w:rPr>
                <w:sz w:val="20"/>
                <w:vertAlign w:val="superscript"/>
                <w:lang w:eastAsia="ja-JP"/>
              </w:rPr>
              <w:fldChar w:fldCharType="separate"/>
            </w:r>
            <w:r>
              <w:rPr>
                <w:sz w:val="20"/>
                <w:vertAlign w:val="superscript"/>
                <w:lang w:eastAsia="ja-JP"/>
              </w:rPr>
              <w:t>0</w:t>
            </w:r>
            <w:r w:rsidRPr="00C97636">
              <w:rPr>
                <w:sz w:val="20"/>
                <w:vertAlign w:val="superscript"/>
                <w:lang w:eastAsia="ja-JP"/>
              </w:rPr>
              <w:fldChar w:fldCharType="end"/>
            </w:r>
          </w:p>
        </w:tc>
        <w:tc>
          <w:tcPr>
            <w:tcW w:w="1560" w:type="dxa"/>
            <w:vAlign w:val="center"/>
          </w:tcPr>
          <w:p w:rsidR="00AC3FAE" w:rsidRPr="00C97636" w:rsidRDefault="00AC3FAE" w:rsidP="003B4BCE">
            <w:pPr>
              <w:spacing w:before="60" w:after="60"/>
              <w:jc w:val="center"/>
              <w:rPr>
                <w:sz w:val="20"/>
                <w:lang w:eastAsia="ja-JP"/>
              </w:rPr>
            </w:pPr>
            <w:proofErr w:type="spellStart"/>
            <w:r w:rsidRPr="00C97636">
              <w:rPr>
                <w:sz w:val="20"/>
                <w:lang w:eastAsia="ja-JP"/>
              </w:rPr>
              <w:t>Olimel</w:t>
            </w:r>
            <w:proofErr w:type="spellEnd"/>
            <w:r w:rsidRPr="00C97636">
              <w:rPr>
                <w:sz w:val="20"/>
                <w:lang w:eastAsia="ja-JP"/>
              </w:rPr>
              <w:t xml:space="preserve"> N12E maks. volumen</w:t>
            </w:r>
          </w:p>
        </w:tc>
        <w:tc>
          <w:tcPr>
            <w:tcW w:w="1721" w:type="dxa"/>
            <w:vAlign w:val="center"/>
          </w:tcPr>
          <w:p w:rsidR="00AC3FAE" w:rsidRPr="00C97636" w:rsidRDefault="00AC3FAE" w:rsidP="003B4BCE">
            <w:pPr>
              <w:spacing w:before="60" w:after="60"/>
              <w:jc w:val="center"/>
              <w:rPr>
                <w:sz w:val="20"/>
                <w:lang w:eastAsia="ja-JP"/>
              </w:rPr>
            </w:pPr>
            <w:r w:rsidRPr="00C97636">
              <w:rPr>
                <w:sz w:val="20"/>
                <w:lang w:eastAsia="ja-JP"/>
              </w:rPr>
              <w:t>Anbefalet</w:t>
            </w:r>
            <w:r w:rsidRPr="00C97636">
              <w:rPr>
                <w:sz w:val="20"/>
                <w:vertAlign w:val="superscript"/>
                <w:lang w:eastAsia="ja-JP"/>
              </w:rPr>
              <w:fldChar w:fldCharType="begin"/>
            </w:r>
            <w:r w:rsidRPr="00C97636">
              <w:rPr>
                <w:sz w:val="20"/>
                <w:vertAlign w:val="superscript"/>
                <w:lang w:eastAsia="ja-JP"/>
              </w:rPr>
              <w:instrText xml:space="preserve"> REF _Ref496531588 \r \h  \* MERGEFORMAT </w:instrText>
            </w:r>
            <w:r w:rsidRPr="00C97636">
              <w:rPr>
                <w:sz w:val="20"/>
                <w:vertAlign w:val="superscript"/>
                <w:lang w:eastAsia="ja-JP"/>
              </w:rPr>
            </w:r>
            <w:r w:rsidRPr="00C97636">
              <w:rPr>
                <w:sz w:val="20"/>
                <w:vertAlign w:val="superscript"/>
                <w:lang w:eastAsia="ja-JP"/>
              </w:rPr>
              <w:fldChar w:fldCharType="separate"/>
            </w:r>
            <w:r>
              <w:rPr>
                <w:sz w:val="20"/>
                <w:vertAlign w:val="superscript"/>
                <w:lang w:eastAsia="ja-JP"/>
              </w:rPr>
              <w:t>0</w:t>
            </w:r>
            <w:r w:rsidRPr="00C97636">
              <w:rPr>
                <w:sz w:val="20"/>
                <w:vertAlign w:val="superscript"/>
                <w:lang w:eastAsia="ja-JP"/>
              </w:rPr>
              <w:fldChar w:fldCharType="end"/>
            </w:r>
          </w:p>
        </w:tc>
        <w:tc>
          <w:tcPr>
            <w:tcW w:w="1524" w:type="dxa"/>
            <w:vAlign w:val="center"/>
          </w:tcPr>
          <w:p w:rsidR="00AC3FAE" w:rsidRPr="00C97636" w:rsidRDefault="00AC3FAE" w:rsidP="003B4BCE">
            <w:pPr>
              <w:spacing w:before="60" w:after="60"/>
              <w:jc w:val="center"/>
              <w:rPr>
                <w:sz w:val="20"/>
                <w:lang w:eastAsia="ja-JP"/>
              </w:rPr>
            </w:pPr>
            <w:proofErr w:type="spellStart"/>
            <w:r w:rsidRPr="00C97636">
              <w:rPr>
                <w:sz w:val="20"/>
                <w:lang w:eastAsia="ja-JP"/>
              </w:rPr>
              <w:t>Olimel</w:t>
            </w:r>
            <w:proofErr w:type="spellEnd"/>
            <w:r w:rsidRPr="00C97636">
              <w:rPr>
                <w:sz w:val="20"/>
                <w:lang w:eastAsia="ja-JP"/>
              </w:rPr>
              <w:t xml:space="preserve"> N12E maks. volumen</w:t>
            </w:r>
          </w:p>
        </w:tc>
      </w:tr>
      <w:tr w:rsidR="00AC3FAE" w:rsidRPr="00C97636" w:rsidTr="003B4BCE">
        <w:tc>
          <w:tcPr>
            <w:tcW w:w="8804" w:type="dxa"/>
            <w:gridSpan w:val="5"/>
            <w:vAlign w:val="center"/>
          </w:tcPr>
          <w:p w:rsidR="00AC3FAE" w:rsidRPr="00C97636" w:rsidRDefault="00AC3FAE" w:rsidP="003B4BCE">
            <w:pPr>
              <w:spacing w:before="60" w:after="60"/>
              <w:jc w:val="center"/>
              <w:rPr>
                <w:sz w:val="20"/>
                <w:lang w:eastAsia="ja-JP"/>
              </w:rPr>
            </w:pPr>
            <w:r w:rsidRPr="00C97636">
              <w:rPr>
                <w:sz w:val="20"/>
                <w:lang w:eastAsia="ja-JP"/>
              </w:rPr>
              <w:t>Maks. daglig dosis</w:t>
            </w:r>
          </w:p>
        </w:tc>
      </w:tr>
      <w:tr w:rsidR="00AC3FAE" w:rsidRPr="00C97636" w:rsidTr="003B4BCE">
        <w:tc>
          <w:tcPr>
            <w:tcW w:w="2010" w:type="dxa"/>
          </w:tcPr>
          <w:p w:rsidR="00AC3FAE" w:rsidRPr="00C97636" w:rsidRDefault="00AC3FAE" w:rsidP="003B4BCE">
            <w:pPr>
              <w:spacing w:before="60" w:after="60"/>
              <w:jc w:val="center"/>
              <w:rPr>
                <w:sz w:val="20"/>
                <w:lang w:eastAsia="ja-JP"/>
              </w:rPr>
            </w:pPr>
            <w:r w:rsidRPr="00C97636">
              <w:rPr>
                <w:sz w:val="20"/>
                <w:lang w:eastAsia="ja-JP"/>
              </w:rPr>
              <w:t>Væske (ml/kg/d)</w:t>
            </w:r>
          </w:p>
        </w:tc>
        <w:tc>
          <w:tcPr>
            <w:tcW w:w="1989" w:type="dxa"/>
            <w:vAlign w:val="center"/>
          </w:tcPr>
          <w:p w:rsidR="00AC3FAE" w:rsidRPr="00C97636" w:rsidRDefault="00AC3FAE" w:rsidP="003B4BCE">
            <w:pPr>
              <w:spacing w:before="60" w:after="60"/>
              <w:jc w:val="center"/>
              <w:rPr>
                <w:sz w:val="20"/>
                <w:lang w:eastAsia="ja-JP"/>
              </w:rPr>
            </w:pPr>
            <w:r w:rsidRPr="00C97636">
              <w:rPr>
                <w:sz w:val="20"/>
                <w:lang w:eastAsia="ja-JP"/>
              </w:rPr>
              <w:t>60 – 120</w:t>
            </w:r>
          </w:p>
        </w:tc>
        <w:tc>
          <w:tcPr>
            <w:tcW w:w="1560" w:type="dxa"/>
            <w:vAlign w:val="center"/>
          </w:tcPr>
          <w:p w:rsidR="00AC3FAE" w:rsidRPr="00C97636" w:rsidRDefault="00AC3FAE" w:rsidP="003B4BCE">
            <w:pPr>
              <w:spacing w:before="60" w:after="60"/>
              <w:jc w:val="center"/>
              <w:rPr>
                <w:sz w:val="20"/>
                <w:lang w:eastAsia="ja-JP"/>
              </w:rPr>
            </w:pPr>
            <w:r w:rsidRPr="00C97636">
              <w:rPr>
                <w:sz w:val="20"/>
                <w:lang w:eastAsia="ja-JP"/>
              </w:rPr>
              <w:t>33</w:t>
            </w:r>
          </w:p>
        </w:tc>
        <w:tc>
          <w:tcPr>
            <w:tcW w:w="1721" w:type="dxa"/>
            <w:vAlign w:val="center"/>
          </w:tcPr>
          <w:p w:rsidR="00AC3FAE" w:rsidRPr="00C97636" w:rsidRDefault="00AC3FAE" w:rsidP="003B4BCE">
            <w:pPr>
              <w:spacing w:before="60" w:after="60"/>
              <w:jc w:val="center"/>
              <w:rPr>
                <w:sz w:val="20"/>
                <w:lang w:eastAsia="ja-JP"/>
              </w:rPr>
            </w:pPr>
            <w:r w:rsidRPr="00C97636">
              <w:rPr>
                <w:sz w:val="20"/>
                <w:lang w:eastAsia="ja-JP"/>
              </w:rPr>
              <w:t>50 – 80</w:t>
            </w:r>
          </w:p>
        </w:tc>
        <w:tc>
          <w:tcPr>
            <w:tcW w:w="1524" w:type="dxa"/>
            <w:vAlign w:val="center"/>
          </w:tcPr>
          <w:p w:rsidR="00AC3FAE" w:rsidRPr="00C97636" w:rsidRDefault="00AC3FAE" w:rsidP="003B4BCE">
            <w:pPr>
              <w:spacing w:before="60" w:after="60"/>
              <w:jc w:val="center"/>
              <w:rPr>
                <w:sz w:val="20"/>
                <w:lang w:eastAsia="ja-JP"/>
              </w:rPr>
            </w:pPr>
            <w:r w:rsidRPr="00C97636">
              <w:rPr>
                <w:sz w:val="20"/>
                <w:lang w:eastAsia="ja-JP"/>
              </w:rPr>
              <w:t>26</w:t>
            </w:r>
          </w:p>
        </w:tc>
      </w:tr>
      <w:tr w:rsidR="00AC3FAE" w:rsidRPr="00C97636" w:rsidTr="003B4BCE">
        <w:tc>
          <w:tcPr>
            <w:tcW w:w="2010" w:type="dxa"/>
          </w:tcPr>
          <w:p w:rsidR="00AC3FAE" w:rsidRPr="00C97636" w:rsidRDefault="00AC3FAE" w:rsidP="003B4BCE">
            <w:pPr>
              <w:spacing w:before="60" w:after="60"/>
              <w:jc w:val="center"/>
              <w:rPr>
                <w:sz w:val="20"/>
                <w:lang w:eastAsia="ja-JP"/>
              </w:rPr>
            </w:pPr>
            <w:r w:rsidRPr="00C97636">
              <w:rPr>
                <w:sz w:val="20"/>
                <w:lang w:eastAsia="ja-JP"/>
              </w:rPr>
              <w:t>Aminosyrer (g/kg/d)</w:t>
            </w:r>
          </w:p>
        </w:tc>
        <w:tc>
          <w:tcPr>
            <w:tcW w:w="1989" w:type="dxa"/>
            <w:vAlign w:val="center"/>
          </w:tcPr>
          <w:p w:rsidR="00AC3FAE" w:rsidRPr="00C97636" w:rsidRDefault="00AC3FAE" w:rsidP="003B4BCE">
            <w:pPr>
              <w:spacing w:before="60" w:after="60"/>
              <w:jc w:val="center"/>
              <w:rPr>
                <w:sz w:val="20"/>
                <w:lang w:eastAsia="ja-JP"/>
              </w:rPr>
            </w:pPr>
            <w:r w:rsidRPr="00C97636">
              <w:rPr>
                <w:sz w:val="20"/>
                <w:lang w:eastAsia="ja-JP"/>
              </w:rPr>
              <w:t>1 – 2 (op til 2,5)</w:t>
            </w:r>
          </w:p>
        </w:tc>
        <w:tc>
          <w:tcPr>
            <w:tcW w:w="1560" w:type="dxa"/>
            <w:vAlign w:val="center"/>
          </w:tcPr>
          <w:p w:rsidR="00AC3FAE" w:rsidRPr="00C97636" w:rsidRDefault="00AC3FAE" w:rsidP="003B4BCE">
            <w:pPr>
              <w:spacing w:before="60" w:after="60"/>
              <w:jc w:val="center"/>
              <w:rPr>
                <w:sz w:val="20"/>
                <w:lang w:eastAsia="ja-JP"/>
              </w:rPr>
            </w:pPr>
            <w:r w:rsidRPr="00C97636">
              <w:rPr>
                <w:sz w:val="20"/>
                <w:lang w:eastAsia="ja-JP"/>
              </w:rPr>
              <w:t>2,5</w:t>
            </w:r>
          </w:p>
        </w:tc>
        <w:tc>
          <w:tcPr>
            <w:tcW w:w="1721" w:type="dxa"/>
            <w:vAlign w:val="center"/>
          </w:tcPr>
          <w:p w:rsidR="00AC3FAE" w:rsidRPr="00C97636" w:rsidRDefault="00AC3FAE" w:rsidP="003B4BCE">
            <w:pPr>
              <w:spacing w:before="60" w:after="60"/>
              <w:jc w:val="center"/>
              <w:rPr>
                <w:sz w:val="20"/>
                <w:lang w:eastAsia="ja-JP"/>
              </w:rPr>
            </w:pPr>
            <w:r w:rsidRPr="00C97636">
              <w:rPr>
                <w:sz w:val="20"/>
                <w:lang w:eastAsia="ja-JP"/>
              </w:rPr>
              <w:t>1 – 2</w:t>
            </w:r>
          </w:p>
        </w:tc>
        <w:tc>
          <w:tcPr>
            <w:tcW w:w="1524" w:type="dxa"/>
            <w:vAlign w:val="center"/>
          </w:tcPr>
          <w:p w:rsidR="00AC3FAE" w:rsidRPr="00C97636" w:rsidRDefault="00AC3FAE" w:rsidP="003B4BCE">
            <w:pPr>
              <w:spacing w:before="60" w:after="60"/>
              <w:jc w:val="center"/>
              <w:rPr>
                <w:sz w:val="20"/>
                <w:lang w:eastAsia="ja-JP"/>
              </w:rPr>
            </w:pPr>
            <w:r w:rsidRPr="00C97636">
              <w:rPr>
                <w:sz w:val="20"/>
                <w:lang w:eastAsia="ja-JP"/>
              </w:rPr>
              <w:t>2</w:t>
            </w:r>
          </w:p>
        </w:tc>
      </w:tr>
      <w:tr w:rsidR="00AC3FAE" w:rsidRPr="00C97636" w:rsidTr="003B4BCE">
        <w:tc>
          <w:tcPr>
            <w:tcW w:w="2010" w:type="dxa"/>
          </w:tcPr>
          <w:p w:rsidR="00AC3FAE" w:rsidRPr="00C97636" w:rsidRDefault="00AC3FAE" w:rsidP="003B4BCE">
            <w:pPr>
              <w:spacing w:before="60" w:after="60"/>
              <w:jc w:val="center"/>
              <w:rPr>
                <w:sz w:val="20"/>
                <w:lang w:eastAsia="ja-JP"/>
              </w:rPr>
            </w:pPr>
            <w:proofErr w:type="spellStart"/>
            <w:r w:rsidRPr="00C97636">
              <w:rPr>
                <w:sz w:val="20"/>
                <w:lang w:eastAsia="ja-JP"/>
              </w:rPr>
              <w:t>Glucose</w:t>
            </w:r>
            <w:proofErr w:type="spellEnd"/>
            <w:r w:rsidRPr="00C97636">
              <w:rPr>
                <w:sz w:val="20"/>
                <w:lang w:eastAsia="ja-JP"/>
              </w:rPr>
              <w:t xml:space="preserve"> (g/kg/d)</w:t>
            </w:r>
          </w:p>
        </w:tc>
        <w:tc>
          <w:tcPr>
            <w:tcW w:w="1989" w:type="dxa"/>
            <w:vAlign w:val="center"/>
          </w:tcPr>
          <w:p w:rsidR="00AC3FAE" w:rsidRPr="00C97636" w:rsidRDefault="00AC3FAE" w:rsidP="003B4BCE">
            <w:pPr>
              <w:spacing w:before="60" w:after="60"/>
              <w:jc w:val="center"/>
              <w:rPr>
                <w:sz w:val="20"/>
                <w:lang w:eastAsia="ja-JP"/>
              </w:rPr>
            </w:pPr>
            <w:r w:rsidRPr="00C97636">
              <w:rPr>
                <w:sz w:val="20"/>
                <w:lang w:eastAsia="ja-JP"/>
              </w:rPr>
              <w:t>1,4 – 8,6</w:t>
            </w:r>
          </w:p>
        </w:tc>
        <w:tc>
          <w:tcPr>
            <w:tcW w:w="1560" w:type="dxa"/>
            <w:vAlign w:val="center"/>
          </w:tcPr>
          <w:p w:rsidR="00AC3FAE" w:rsidRPr="00C97636" w:rsidRDefault="00AC3FAE" w:rsidP="003B4BCE">
            <w:pPr>
              <w:spacing w:before="60" w:after="60"/>
              <w:jc w:val="center"/>
              <w:rPr>
                <w:sz w:val="20"/>
                <w:lang w:eastAsia="ja-JP"/>
              </w:rPr>
            </w:pPr>
            <w:r w:rsidRPr="00C97636">
              <w:rPr>
                <w:sz w:val="20"/>
                <w:lang w:eastAsia="ja-JP"/>
              </w:rPr>
              <w:t>2,4</w:t>
            </w:r>
          </w:p>
        </w:tc>
        <w:tc>
          <w:tcPr>
            <w:tcW w:w="1721" w:type="dxa"/>
            <w:vAlign w:val="center"/>
          </w:tcPr>
          <w:p w:rsidR="00AC3FAE" w:rsidRPr="00C97636" w:rsidRDefault="00AC3FAE" w:rsidP="003B4BCE">
            <w:pPr>
              <w:spacing w:before="60" w:after="60"/>
              <w:jc w:val="center"/>
              <w:rPr>
                <w:sz w:val="20"/>
                <w:lang w:eastAsia="ja-JP"/>
              </w:rPr>
            </w:pPr>
            <w:r w:rsidRPr="00C97636">
              <w:rPr>
                <w:sz w:val="20"/>
                <w:lang w:eastAsia="ja-JP"/>
              </w:rPr>
              <w:t>0,7 – 5,8</w:t>
            </w:r>
          </w:p>
        </w:tc>
        <w:tc>
          <w:tcPr>
            <w:tcW w:w="1524" w:type="dxa"/>
            <w:vAlign w:val="center"/>
          </w:tcPr>
          <w:p w:rsidR="00AC3FAE" w:rsidRPr="00C97636" w:rsidRDefault="00AC3FAE" w:rsidP="003B4BCE">
            <w:pPr>
              <w:spacing w:before="60" w:after="60"/>
              <w:jc w:val="center"/>
              <w:rPr>
                <w:sz w:val="20"/>
                <w:lang w:eastAsia="ja-JP"/>
              </w:rPr>
            </w:pPr>
            <w:r w:rsidRPr="00C97636">
              <w:rPr>
                <w:sz w:val="20"/>
                <w:lang w:eastAsia="ja-JP"/>
              </w:rPr>
              <w:t>1,9</w:t>
            </w:r>
          </w:p>
        </w:tc>
      </w:tr>
      <w:tr w:rsidR="00AC3FAE" w:rsidRPr="00C97636" w:rsidTr="003B4BCE">
        <w:tc>
          <w:tcPr>
            <w:tcW w:w="2010" w:type="dxa"/>
          </w:tcPr>
          <w:p w:rsidR="00AC3FAE" w:rsidRPr="00C97636" w:rsidRDefault="00AC3FAE" w:rsidP="003B4BCE">
            <w:pPr>
              <w:spacing w:before="60" w:after="60"/>
              <w:jc w:val="center"/>
              <w:rPr>
                <w:sz w:val="20"/>
                <w:lang w:eastAsia="ja-JP"/>
              </w:rPr>
            </w:pPr>
            <w:r w:rsidRPr="00C97636">
              <w:rPr>
                <w:sz w:val="20"/>
                <w:lang w:eastAsia="ja-JP"/>
              </w:rPr>
              <w:t>Fedt (g/kg/d)</w:t>
            </w:r>
          </w:p>
        </w:tc>
        <w:tc>
          <w:tcPr>
            <w:tcW w:w="1989" w:type="dxa"/>
            <w:vAlign w:val="center"/>
          </w:tcPr>
          <w:p w:rsidR="00AC3FAE" w:rsidRPr="00C97636" w:rsidRDefault="00AC3FAE" w:rsidP="003B4BCE">
            <w:pPr>
              <w:spacing w:before="60" w:after="60"/>
              <w:jc w:val="center"/>
              <w:rPr>
                <w:sz w:val="20"/>
                <w:lang w:eastAsia="ja-JP"/>
              </w:rPr>
            </w:pPr>
            <w:r w:rsidRPr="00C97636">
              <w:rPr>
                <w:sz w:val="20"/>
                <w:lang w:eastAsia="ja-JP"/>
              </w:rPr>
              <w:t>0,5 – 3</w:t>
            </w:r>
          </w:p>
        </w:tc>
        <w:tc>
          <w:tcPr>
            <w:tcW w:w="1560" w:type="dxa"/>
            <w:vAlign w:val="center"/>
          </w:tcPr>
          <w:p w:rsidR="00AC3FAE" w:rsidRPr="00C97636" w:rsidRDefault="00AC3FAE" w:rsidP="003B4BCE">
            <w:pPr>
              <w:spacing w:before="60" w:after="60"/>
              <w:jc w:val="center"/>
              <w:rPr>
                <w:sz w:val="20"/>
                <w:lang w:eastAsia="ja-JP"/>
              </w:rPr>
            </w:pPr>
            <w:r w:rsidRPr="00C97636">
              <w:rPr>
                <w:sz w:val="20"/>
                <w:lang w:eastAsia="ja-JP"/>
              </w:rPr>
              <w:t>1,2</w:t>
            </w:r>
          </w:p>
        </w:tc>
        <w:tc>
          <w:tcPr>
            <w:tcW w:w="1721" w:type="dxa"/>
            <w:vAlign w:val="center"/>
          </w:tcPr>
          <w:p w:rsidR="00AC3FAE" w:rsidRPr="00C97636" w:rsidRDefault="00AC3FAE" w:rsidP="003B4BCE">
            <w:pPr>
              <w:spacing w:before="60" w:after="60"/>
              <w:jc w:val="center"/>
              <w:rPr>
                <w:sz w:val="20"/>
                <w:lang w:eastAsia="ja-JP"/>
              </w:rPr>
            </w:pPr>
            <w:r w:rsidRPr="00C97636">
              <w:rPr>
                <w:sz w:val="20"/>
                <w:lang w:eastAsia="ja-JP"/>
              </w:rPr>
              <w:t>0,5 – 2 (op til 3)</w:t>
            </w:r>
          </w:p>
        </w:tc>
        <w:tc>
          <w:tcPr>
            <w:tcW w:w="1524" w:type="dxa"/>
            <w:vAlign w:val="center"/>
          </w:tcPr>
          <w:p w:rsidR="00AC3FAE" w:rsidRPr="00C97636" w:rsidRDefault="00AC3FAE" w:rsidP="003B4BCE">
            <w:pPr>
              <w:spacing w:before="60" w:after="60"/>
              <w:jc w:val="center"/>
              <w:rPr>
                <w:sz w:val="20"/>
                <w:lang w:eastAsia="ja-JP"/>
              </w:rPr>
            </w:pPr>
            <w:r w:rsidRPr="00C97636">
              <w:rPr>
                <w:sz w:val="20"/>
                <w:lang w:eastAsia="ja-JP"/>
              </w:rPr>
              <w:t>0,9</w:t>
            </w:r>
          </w:p>
        </w:tc>
      </w:tr>
      <w:tr w:rsidR="00AC3FAE" w:rsidRPr="00C97636" w:rsidTr="003B4BCE">
        <w:tc>
          <w:tcPr>
            <w:tcW w:w="2010" w:type="dxa"/>
          </w:tcPr>
          <w:p w:rsidR="00AC3FAE" w:rsidRPr="00C97636" w:rsidRDefault="00AC3FAE" w:rsidP="003B4BCE">
            <w:pPr>
              <w:spacing w:before="60" w:after="60"/>
              <w:jc w:val="center"/>
              <w:rPr>
                <w:sz w:val="20"/>
                <w:lang w:val="nb-NO" w:eastAsia="ja-JP"/>
              </w:rPr>
            </w:pPr>
            <w:r w:rsidRPr="00C97636">
              <w:rPr>
                <w:sz w:val="20"/>
                <w:lang w:val="nb-NO" w:eastAsia="ja-JP"/>
              </w:rPr>
              <w:t>Energi i alt (kcal/kg/d)</w:t>
            </w:r>
          </w:p>
        </w:tc>
        <w:tc>
          <w:tcPr>
            <w:tcW w:w="1989" w:type="dxa"/>
            <w:vAlign w:val="center"/>
          </w:tcPr>
          <w:p w:rsidR="00AC3FAE" w:rsidRPr="00C97636" w:rsidRDefault="00AC3FAE" w:rsidP="003B4BCE">
            <w:pPr>
              <w:spacing w:before="60" w:after="60"/>
              <w:jc w:val="center"/>
              <w:rPr>
                <w:sz w:val="20"/>
                <w:lang w:eastAsia="ja-JP"/>
              </w:rPr>
            </w:pPr>
            <w:r w:rsidRPr="00C97636">
              <w:rPr>
                <w:sz w:val="20"/>
                <w:lang w:eastAsia="ja-JP"/>
              </w:rPr>
              <w:t>30 – 75</w:t>
            </w:r>
          </w:p>
        </w:tc>
        <w:tc>
          <w:tcPr>
            <w:tcW w:w="1560" w:type="dxa"/>
            <w:vAlign w:val="center"/>
          </w:tcPr>
          <w:p w:rsidR="00AC3FAE" w:rsidRPr="00C97636" w:rsidRDefault="00AC3FAE" w:rsidP="003B4BCE">
            <w:pPr>
              <w:spacing w:before="60" w:after="60"/>
              <w:jc w:val="center"/>
              <w:rPr>
                <w:sz w:val="20"/>
                <w:lang w:eastAsia="ja-JP"/>
              </w:rPr>
            </w:pPr>
            <w:r w:rsidRPr="00C97636">
              <w:rPr>
                <w:sz w:val="20"/>
                <w:lang w:eastAsia="ja-JP"/>
              </w:rPr>
              <w:t>31,4</w:t>
            </w:r>
          </w:p>
        </w:tc>
        <w:tc>
          <w:tcPr>
            <w:tcW w:w="1721" w:type="dxa"/>
            <w:vAlign w:val="center"/>
          </w:tcPr>
          <w:p w:rsidR="00AC3FAE" w:rsidRPr="00C97636" w:rsidRDefault="00AC3FAE" w:rsidP="003B4BCE">
            <w:pPr>
              <w:spacing w:before="60" w:after="60"/>
              <w:jc w:val="center"/>
              <w:rPr>
                <w:sz w:val="20"/>
                <w:lang w:eastAsia="ja-JP"/>
              </w:rPr>
            </w:pPr>
            <w:r w:rsidRPr="00C97636">
              <w:rPr>
                <w:sz w:val="20"/>
                <w:lang w:eastAsia="ja-JP"/>
              </w:rPr>
              <w:t>20 – 55</w:t>
            </w:r>
          </w:p>
        </w:tc>
        <w:tc>
          <w:tcPr>
            <w:tcW w:w="1524" w:type="dxa"/>
            <w:vAlign w:val="center"/>
          </w:tcPr>
          <w:p w:rsidR="00AC3FAE" w:rsidRPr="00C97636" w:rsidRDefault="00AC3FAE" w:rsidP="003B4BCE">
            <w:pPr>
              <w:spacing w:before="60" w:after="60"/>
              <w:jc w:val="center"/>
              <w:rPr>
                <w:sz w:val="20"/>
                <w:lang w:eastAsia="ja-JP"/>
              </w:rPr>
            </w:pPr>
            <w:r w:rsidRPr="00C97636">
              <w:rPr>
                <w:sz w:val="20"/>
                <w:lang w:eastAsia="ja-JP"/>
              </w:rPr>
              <w:t>24,7</w:t>
            </w:r>
          </w:p>
        </w:tc>
      </w:tr>
      <w:tr w:rsidR="00AC3FAE" w:rsidRPr="00C97636" w:rsidTr="003B4BCE">
        <w:tc>
          <w:tcPr>
            <w:tcW w:w="8804" w:type="dxa"/>
            <w:gridSpan w:val="5"/>
            <w:vAlign w:val="center"/>
          </w:tcPr>
          <w:p w:rsidR="00AC3FAE" w:rsidRPr="00C97636" w:rsidRDefault="00AC3FAE" w:rsidP="003B4BCE">
            <w:pPr>
              <w:spacing w:before="60" w:after="60"/>
              <w:jc w:val="center"/>
              <w:rPr>
                <w:sz w:val="20"/>
                <w:lang w:eastAsia="ja-JP"/>
              </w:rPr>
            </w:pPr>
            <w:r w:rsidRPr="00C97636">
              <w:rPr>
                <w:sz w:val="20"/>
                <w:lang w:eastAsia="ja-JP"/>
              </w:rPr>
              <w:t>Maks. hastighed/t</w:t>
            </w:r>
          </w:p>
        </w:tc>
      </w:tr>
      <w:tr w:rsidR="00AC3FAE" w:rsidRPr="00C97636" w:rsidTr="003B4BCE">
        <w:tc>
          <w:tcPr>
            <w:tcW w:w="2010" w:type="dxa"/>
          </w:tcPr>
          <w:p w:rsidR="00AC3FAE" w:rsidRPr="00FE52C4" w:rsidRDefault="00AC3FAE" w:rsidP="003B4BCE">
            <w:pPr>
              <w:spacing w:before="60" w:after="60"/>
              <w:jc w:val="center"/>
              <w:rPr>
                <w:sz w:val="20"/>
                <w:lang w:val="de-DE" w:eastAsia="ja-JP"/>
              </w:rPr>
            </w:pPr>
            <w:proofErr w:type="spellStart"/>
            <w:r w:rsidRPr="00FE52C4">
              <w:rPr>
                <w:sz w:val="20"/>
                <w:lang w:val="de-DE" w:eastAsia="ja-JP"/>
              </w:rPr>
              <w:t>Olimel</w:t>
            </w:r>
            <w:proofErr w:type="spellEnd"/>
            <w:r w:rsidRPr="00FE52C4">
              <w:rPr>
                <w:sz w:val="20"/>
                <w:lang w:val="de-DE" w:eastAsia="ja-JP"/>
              </w:rPr>
              <w:t xml:space="preserve"> N12E (ml/kg/t)</w:t>
            </w:r>
          </w:p>
        </w:tc>
        <w:tc>
          <w:tcPr>
            <w:tcW w:w="1989" w:type="dxa"/>
            <w:vAlign w:val="center"/>
          </w:tcPr>
          <w:p w:rsidR="00AC3FAE" w:rsidRPr="00FE52C4" w:rsidRDefault="00AC3FAE" w:rsidP="003B4BCE">
            <w:pPr>
              <w:spacing w:before="60" w:after="60"/>
              <w:jc w:val="center"/>
              <w:rPr>
                <w:sz w:val="20"/>
                <w:lang w:val="de-DE" w:eastAsia="ja-JP"/>
              </w:rPr>
            </w:pPr>
          </w:p>
        </w:tc>
        <w:tc>
          <w:tcPr>
            <w:tcW w:w="1560" w:type="dxa"/>
            <w:vAlign w:val="center"/>
          </w:tcPr>
          <w:p w:rsidR="00AC3FAE" w:rsidRPr="00C97636" w:rsidRDefault="00AC3FAE" w:rsidP="003B4BCE">
            <w:pPr>
              <w:spacing w:before="60" w:after="60"/>
              <w:jc w:val="center"/>
              <w:rPr>
                <w:sz w:val="20"/>
                <w:lang w:eastAsia="ja-JP"/>
              </w:rPr>
            </w:pPr>
            <w:r w:rsidRPr="00C97636">
              <w:rPr>
                <w:sz w:val="20"/>
                <w:lang w:eastAsia="ja-JP"/>
              </w:rPr>
              <w:t>2,6</w:t>
            </w:r>
          </w:p>
        </w:tc>
        <w:tc>
          <w:tcPr>
            <w:tcW w:w="1721" w:type="dxa"/>
            <w:vAlign w:val="center"/>
          </w:tcPr>
          <w:p w:rsidR="00AC3FAE" w:rsidRPr="00C97636" w:rsidRDefault="00AC3FAE" w:rsidP="003B4BCE">
            <w:pPr>
              <w:spacing w:before="60" w:after="60"/>
              <w:jc w:val="center"/>
              <w:rPr>
                <w:sz w:val="20"/>
                <w:lang w:eastAsia="ja-JP"/>
              </w:rPr>
            </w:pPr>
          </w:p>
        </w:tc>
        <w:tc>
          <w:tcPr>
            <w:tcW w:w="1524" w:type="dxa"/>
            <w:vAlign w:val="center"/>
          </w:tcPr>
          <w:p w:rsidR="00AC3FAE" w:rsidRPr="00C97636" w:rsidRDefault="00AC3FAE" w:rsidP="003B4BCE">
            <w:pPr>
              <w:spacing w:before="60" w:after="60"/>
              <w:jc w:val="center"/>
              <w:rPr>
                <w:sz w:val="20"/>
                <w:lang w:eastAsia="ja-JP"/>
              </w:rPr>
            </w:pPr>
            <w:r w:rsidRPr="00C97636">
              <w:rPr>
                <w:sz w:val="20"/>
                <w:lang w:eastAsia="ja-JP"/>
              </w:rPr>
              <w:t>1,6</w:t>
            </w:r>
          </w:p>
        </w:tc>
      </w:tr>
      <w:tr w:rsidR="00AC3FAE" w:rsidRPr="00C97636" w:rsidTr="003B4BCE">
        <w:tc>
          <w:tcPr>
            <w:tcW w:w="2010" w:type="dxa"/>
          </w:tcPr>
          <w:p w:rsidR="00AC3FAE" w:rsidRPr="00C97636" w:rsidRDefault="00AC3FAE" w:rsidP="003B4BCE">
            <w:pPr>
              <w:spacing w:before="60" w:after="60"/>
              <w:jc w:val="center"/>
              <w:rPr>
                <w:sz w:val="20"/>
                <w:lang w:eastAsia="ja-JP"/>
              </w:rPr>
            </w:pPr>
            <w:r w:rsidRPr="00C97636">
              <w:rPr>
                <w:sz w:val="20"/>
                <w:lang w:eastAsia="ja-JP"/>
              </w:rPr>
              <w:t>Aminosyrer (g/kg/t)</w:t>
            </w:r>
          </w:p>
        </w:tc>
        <w:tc>
          <w:tcPr>
            <w:tcW w:w="1989" w:type="dxa"/>
            <w:vAlign w:val="center"/>
          </w:tcPr>
          <w:p w:rsidR="00AC3FAE" w:rsidRPr="00C97636" w:rsidRDefault="00AC3FAE" w:rsidP="003B4BCE">
            <w:pPr>
              <w:spacing w:before="60" w:after="60"/>
              <w:jc w:val="center"/>
              <w:rPr>
                <w:sz w:val="20"/>
                <w:lang w:eastAsia="ja-JP"/>
              </w:rPr>
            </w:pPr>
            <w:r w:rsidRPr="00C97636">
              <w:rPr>
                <w:sz w:val="20"/>
                <w:lang w:eastAsia="ja-JP"/>
              </w:rPr>
              <w:t>0,20</w:t>
            </w:r>
          </w:p>
        </w:tc>
        <w:tc>
          <w:tcPr>
            <w:tcW w:w="1560" w:type="dxa"/>
            <w:vAlign w:val="center"/>
          </w:tcPr>
          <w:p w:rsidR="00AC3FAE" w:rsidRPr="00C97636" w:rsidRDefault="00AC3FAE" w:rsidP="003B4BCE">
            <w:pPr>
              <w:spacing w:before="60" w:after="60"/>
              <w:jc w:val="center"/>
              <w:rPr>
                <w:sz w:val="20"/>
                <w:lang w:eastAsia="ja-JP"/>
              </w:rPr>
            </w:pPr>
            <w:r w:rsidRPr="00C97636">
              <w:rPr>
                <w:sz w:val="20"/>
                <w:lang w:eastAsia="ja-JP"/>
              </w:rPr>
              <w:t>0,20</w:t>
            </w:r>
          </w:p>
        </w:tc>
        <w:tc>
          <w:tcPr>
            <w:tcW w:w="1721" w:type="dxa"/>
            <w:vAlign w:val="center"/>
          </w:tcPr>
          <w:p w:rsidR="00AC3FAE" w:rsidRPr="00C97636" w:rsidRDefault="00AC3FAE" w:rsidP="003B4BCE">
            <w:pPr>
              <w:spacing w:before="60" w:after="60"/>
              <w:jc w:val="center"/>
              <w:rPr>
                <w:sz w:val="20"/>
                <w:lang w:eastAsia="ja-JP"/>
              </w:rPr>
            </w:pPr>
            <w:r w:rsidRPr="00C97636">
              <w:rPr>
                <w:sz w:val="20"/>
                <w:lang w:eastAsia="ja-JP"/>
              </w:rPr>
              <w:t>0,12</w:t>
            </w:r>
          </w:p>
        </w:tc>
        <w:tc>
          <w:tcPr>
            <w:tcW w:w="1524" w:type="dxa"/>
            <w:vAlign w:val="center"/>
          </w:tcPr>
          <w:p w:rsidR="00AC3FAE" w:rsidRPr="00C97636" w:rsidRDefault="00AC3FAE" w:rsidP="003B4BCE">
            <w:pPr>
              <w:spacing w:before="60" w:after="60"/>
              <w:jc w:val="center"/>
              <w:rPr>
                <w:sz w:val="20"/>
                <w:lang w:eastAsia="ja-JP"/>
              </w:rPr>
            </w:pPr>
            <w:r w:rsidRPr="00C97636">
              <w:rPr>
                <w:sz w:val="20"/>
                <w:lang w:eastAsia="ja-JP"/>
              </w:rPr>
              <w:t>0,12</w:t>
            </w:r>
          </w:p>
        </w:tc>
      </w:tr>
      <w:tr w:rsidR="00AC3FAE" w:rsidRPr="00C97636" w:rsidTr="003B4BCE">
        <w:tc>
          <w:tcPr>
            <w:tcW w:w="2010" w:type="dxa"/>
          </w:tcPr>
          <w:p w:rsidR="00AC3FAE" w:rsidRPr="00C97636" w:rsidRDefault="00AC3FAE" w:rsidP="003B4BCE">
            <w:pPr>
              <w:spacing w:before="60" w:after="60"/>
              <w:jc w:val="center"/>
              <w:rPr>
                <w:sz w:val="20"/>
                <w:lang w:eastAsia="ja-JP"/>
              </w:rPr>
            </w:pPr>
            <w:proofErr w:type="spellStart"/>
            <w:r w:rsidRPr="00C97636">
              <w:rPr>
                <w:sz w:val="20"/>
                <w:lang w:eastAsia="ja-JP"/>
              </w:rPr>
              <w:t>Glucose</w:t>
            </w:r>
            <w:proofErr w:type="spellEnd"/>
            <w:r w:rsidRPr="00C97636">
              <w:rPr>
                <w:sz w:val="20"/>
                <w:lang w:eastAsia="ja-JP"/>
              </w:rPr>
              <w:t xml:space="preserve"> (g/kg/t)</w:t>
            </w:r>
          </w:p>
        </w:tc>
        <w:tc>
          <w:tcPr>
            <w:tcW w:w="1989" w:type="dxa"/>
            <w:vAlign w:val="center"/>
          </w:tcPr>
          <w:p w:rsidR="00AC3FAE" w:rsidRPr="00C97636" w:rsidRDefault="00AC3FAE" w:rsidP="003B4BCE">
            <w:pPr>
              <w:spacing w:before="60" w:after="60"/>
              <w:jc w:val="center"/>
              <w:rPr>
                <w:sz w:val="20"/>
                <w:lang w:eastAsia="ja-JP"/>
              </w:rPr>
            </w:pPr>
            <w:r w:rsidRPr="00C97636">
              <w:rPr>
                <w:sz w:val="20"/>
                <w:lang w:eastAsia="ja-JP"/>
              </w:rPr>
              <w:t>0,36</w:t>
            </w:r>
          </w:p>
        </w:tc>
        <w:tc>
          <w:tcPr>
            <w:tcW w:w="1560" w:type="dxa"/>
            <w:vAlign w:val="center"/>
          </w:tcPr>
          <w:p w:rsidR="00AC3FAE" w:rsidRPr="00C97636" w:rsidRDefault="00AC3FAE" w:rsidP="003B4BCE">
            <w:pPr>
              <w:spacing w:before="60" w:after="60"/>
              <w:jc w:val="center"/>
              <w:rPr>
                <w:sz w:val="20"/>
                <w:lang w:eastAsia="ja-JP"/>
              </w:rPr>
            </w:pPr>
            <w:r w:rsidRPr="00C97636">
              <w:rPr>
                <w:sz w:val="20"/>
                <w:lang w:eastAsia="ja-JP"/>
              </w:rPr>
              <w:t>0,19</w:t>
            </w:r>
          </w:p>
        </w:tc>
        <w:tc>
          <w:tcPr>
            <w:tcW w:w="1721" w:type="dxa"/>
            <w:vAlign w:val="center"/>
          </w:tcPr>
          <w:p w:rsidR="00AC3FAE" w:rsidRPr="00C97636" w:rsidRDefault="00AC3FAE" w:rsidP="003B4BCE">
            <w:pPr>
              <w:spacing w:before="60" w:after="60"/>
              <w:jc w:val="center"/>
              <w:rPr>
                <w:sz w:val="20"/>
                <w:lang w:eastAsia="ja-JP"/>
              </w:rPr>
            </w:pPr>
            <w:r w:rsidRPr="00C97636">
              <w:rPr>
                <w:sz w:val="20"/>
                <w:lang w:eastAsia="ja-JP"/>
              </w:rPr>
              <w:t>0,24</w:t>
            </w:r>
          </w:p>
        </w:tc>
        <w:tc>
          <w:tcPr>
            <w:tcW w:w="1524" w:type="dxa"/>
            <w:vAlign w:val="center"/>
          </w:tcPr>
          <w:p w:rsidR="00AC3FAE" w:rsidRPr="00C97636" w:rsidRDefault="00AC3FAE" w:rsidP="003B4BCE">
            <w:pPr>
              <w:spacing w:before="60" w:after="60"/>
              <w:jc w:val="center"/>
              <w:rPr>
                <w:sz w:val="20"/>
                <w:lang w:eastAsia="ja-JP"/>
              </w:rPr>
            </w:pPr>
            <w:r w:rsidRPr="00C97636">
              <w:rPr>
                <w:sz w:val="20"/>
                <w:lang w:eastAsia="ja-JP"/>
              </w:rPr>
              <w:t>0,12</w:t>
            </w:r>
          </w:p>
        </w:tc>
      </w:tr>
      <w:tr w:rsidR="00AC3FAE" w:rsidRPr="00C97636" w:rsidTr="003B4BCE">
        <w:tc>
          <w:tcPr>
            <w:tcW w:w="2010" w:type="dxa"/>
            <w:tcBorders>
              <w:bottom w:val="single" w:sz="6" w:space="0" w:color="000000"/>
            </w:tcBorders>
          </w:tcPr>
          <w:p w:rsidR="00AC3FAE" w:rsidRPr="00C97636" w:rsidRDefault="00AC3FAE" w:rsidP="003B4BCE">
            <w:pPr>
              <w:spacing w:before="60" w:after="60"/>
              <w:jc w:val="center"/>
              <w:rPr>
                <w:sz w:val="20"/>
                <w:lang w:eastAsia="ja-JP"/>
              </w:rPr>
            </w:pPr>
            <w:r w:rsidRPr="00C97636">
              <w:rPr>
                <w:sz w:val="20"/>
                <w:lang w:eastAsia="ja-JP"/>
              </w:rPr>
              <w:t>Fedt (g/kg/t)</w:t>
            </w:r>
          </w:p>
        </w:tc>
        <w:tc>
          <w:tcPr>
            <w:tcW w:w="1989" w:type="dxa"/>
            <w:tcBorders>
              <w:bottom w:val="single" w:sz="6" w:space="0" w:color="000000"/>
            </w:tcBorders>
            <w:vAlign w:val="center"/>
          </w:tcPr>
          <w:p w:rsidR="00AC3FAE" w:rsidRPr="00C97636" w:rsidRDefault="00AC3FAE" w:rsidP="003B4BCE">
            <w:pPr>
              <w:spacing w:before="60" w:after="60"/>
              <w:jc w:val="center"/>
              <w:rPr>
                <w:sz w:val="20"/>
                <w:lang w:eastAsia="ja-JP"/>
              </w:rPr>
            </w:pPr>
            <w:r w:rsidRPr="00C97636">
              <w:rPr>
                <w:sz w:val="20"/>
                <w:lang w:eastAsia="ja-JP"/>
              </w:rPr>
              <w:t>0,13</w:t>
            </w:r>
          </w:p>
        </w:tc>
        <w:tc>
          <w:tcPr>
            <w:tcW w:w="1560" w:type="dxa"/>
            <w:tcBorders>
              <w:bottom w:val="single" w:sz="6" w:space="0" w:color="000000"/>
            </w:tcBorders>
            <w:vAlign w:val="center"/>
          </w:tcPr>
          <w:p w:rsidR="00AC3FAE" w:rsidRPr="00C97636" w:rsidRDefault="00AC3FAE" w:rsidP="003B4BCE">
            <w:pPr>
              <w:spacing w:before="60" w:after="60"/>
              <w:jc w:val="center"/>
              <w:rPr>
                <w:sz w:val="20"/>
                <w:lang w:eastAsia="ja-JP"/>
              </w:rPr>
            </w:pPr>
            <w:r w:rsidRPr="00C97636">
              <w:rPr>
                <w:sz w:val="20"/>
                <w:lang w:eastAsia="ja-JP"/>
              </w:rPr>
              <w:t>0,09</w:t>
            </w:r>
          </w:p>
        </w:tc>
        <w:tc>
          <w:tcPr>
            <w:tcW w:w="1721" w:type="dxa"/>
            <w:tcBorders>
              <w:bottom w:val="single" w:sz="6" w:space="0" w:color="000000"/>
            </w:tcBorders>
            <w:vAlign w:val="center"/>
          </w:tcPr>
          <w:p w:rsidR="00AC3FAE" w:rsidRPr="00C97636" w:rsidRDefault="00AC3FAE" w:rsidP="003B4BCE">
            <w:pPr>
              <w:spacing w:before="60" w:after="60"/>
              <w:jc w:val="center"/>
              <w:rPr>
                <w:sz w:val="20"/>
                <w:lang w:eastAsia="ja-JP"/>
              </w:rPr>
            </w:pPr>
            <w:r w:rsidRPr="00C97636">
              <w:rPr>
                <w:sz w:val="20"/>
                <w:lang w:eastAsia="ja-JP"/>
              </w:rPr>
              <w:t>0,13</w:t>
            </w:r>
          </w:p>
        </w:tc>
        <w:tc>
          <w:tcPr>
            <w:tcW w:w="1524" w:type="dxa"/>
            <w:tcBorders>
              <w:bottom w:val="single" w:sz="6" w:space="0" w:color="000000"/>
            </w:tcBorders>
            <w:vAlign w:val="center"/>
          </w:tcPr>
          <w:p w:rsidR="00AC3FAE" w:rsidRPr="00C97636" w:rsidRDefault="00AC3FAE" w:rsidP="003B4BCE">
            <w:pPr>
              <w:spacing w:before="60" w:after="60"/>
              <w:jc w:val="center"/>
              <w:rPr>
                <w:sz w:val="20"/>
                <w:lang w:eastAsia="ja-JP"/>
              </w:rPr>
            </w:pPr>
            <w:r w:rsidRPr="00C97636">
              <w:rPr>
                <w:sz w:val="20"/>
                <w:lang w:eastAsia="ja-JP"/>
              </w:rPr>
              <w:t>0,06</w:t>
            </w:r>
          </w:p>
        </w:tc>
      </w:tr>
      <w:tr w:rsidR="00AC3FAE" w:rsidRPr="00C97636" w:rsidTr="003B4BCE">
        <w:tc>
          <w:tcPr>
            <w:tcW w:w="8804" w:type="dxa"/>
            <w:gridSpan w:val="5"/>
            <w:tcBorders>
              <w:top w:val="single" w:sz="6" w:space="0" w:color="000000"/>
              <w:left w:val="nil"/>
              <w:bottom w:val="nil"/>
              <w:right w:val="nil"/>
            </w:tcBorders>
            <w:shd w:val="clear" w:color="auto" w:fill="auto"/>
          </w:tcPr>
          <w:p w:rsidR="00AC3FAE" w:rsidRPr="00C97636" w:rsidRDefault="00AC3FAE" w:rsidP="003B4BCE">
            <w:pPr>
              <w:pStyle w:val="TableFootnoteLetter"/>
              <w:numPr>
                <w:ilvl w:val="0"/>
                <w:numId w:val="0"/>
              </w:numPr>
              <w:ind w:left="115" w:hanging="115"/>
            </w:pPr>
            <w:bookmarkStart w:id="7" w:name="_Ref496531588"/>
            <w:proofErr w:type="spellStart"/>
            <w:r w:rsidRPr="00F52241">
              <w:rPr>
                <w:vertAlign w:val="superscript"/>
              </w:rPr>
              <w:t>a</w:t>
            </w:r>
            <w:r w:rsidRPr="00C97636">
              <w:t>Anbefalede</w:t>
            </w:r>
            <w:proofErr w:type="spellEnd"/>
            <w:r w:rsidRPr="00C97636">
              <w:t xml:space="preserve"> værdier fra 2018 ESPGHAN/ESPEN/ESPR Guidelines</w:t>
            </w:r>
            <w:bookmarkEnd w:id="7"/>
          </w:p>
        </w:tc>
      </w:tr>
    </w:tbl>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Normalt skal indgivelseshastigheden øges gradvist i løbet af den første time og derefter justeres i forhold til den indgivne dosis, den daglige mængde, der indgives, og infusionens varighed.</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Det anbefales generelt at begynde infusionen til små børn med en lav daglig dosis og efterhånden sætte den op til maksimal dosis (se ovenstående).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Den maksimale infusionshastighed er 2,6 ml/kg/time til børn i aldersgruppen 2 til 11 år og 1,6 ml/kg/t til børn i aldersgruppen 12 til 18 år.</w:t>
      </w:r>
    </w:p>
    <w:p w:rsidR="00AC3FAE" w:rsidRPr="005F7D4D" w:rsidRDefault="00AC3FAE" w:rsidP="00AC3FAE">
      <w:pPr>
        <w:tabs>
          <w:tab w:val="left" w:pos="851"/>
        </w:tabs>
        <w:ind w:left="851"/>
        <w:rPr>
          <w:b/>
          <w:bCs/>
          <w:sz w:val="24"/>
          <w:szCs w:val="24"/>
        </w:rPr>
      </w:pPr>
      <w:bookmarkStart w:id="8" w:name="_ISIW_UH_10"/>
    </w:p>
    <w:p w:rsidR="00AC3FAE" w:rsidRPr="005F7D4D" w:rsidRDefault="00AC3FAE" w:rsidP="00AC3FAE">
      <w:pPr>
        <w:tabs>
          <w:tab w:val="left" w:pos="851"/>
        </w:tabs>
        <w:ind w:left="851"/>
        <w:rPr>
          <w:b/>
          <w:bCs/>
          <w:sz w:val="24"/>
          <w:szCs w:val="24"/>
        </w:rPr>
      </w:pPr>
      <w:r w:rsidRPr="005F7D4D">
        <w:rPr>
          <w:b/>
          <w:bCs/>
          <w:sz w:val="24"/>
          <w:szCs w:val="24"/>
        </w:rPr>
        <w:t>Administration</w:t>
      </w:r>
    </w:p>
    <w:bookmarkEnd w:id="8"/>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Udelukkende til engangsbrug</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Efter åbning af posen anbefales det, at indholdet bruges straks og ikke opbevares til senere infusion.</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Udseende efter </w:t>
      </w:r>
      <w:proofErr w:type="spellStart"/>
      <w:r w:rsidRPr="005F7D4D">
        <w:rPr>
          <w:sz w:val="24"/>
          <w:szCs w:val="24"/>
        </w:rPr>
        <w:t>rekonstitution</w:t>
      </w:r>
      <w:proofErr w:type="spellEnd"/>
      <w:r w:rsidRPr="005F7D4D">
        <w:rPr>
          <w:sz w:val="24"/>
          <w:szCs w:val="24"/>
        </w:rPr>
        <w:t>: Homogen væske med et mælkeagtigt udseende.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Se pkt. 6.6 for instruktioner om tilberedning og håndtering af emulsionen til infusion.</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lastRenderedPageBreak/>
        <w:t xml:space="preserve">På grund af den høje </w:t>
      </w:r>
      <w:proofErr w:type="spellStart"/>
      <w:r w:rsidRPr="005F7D4D">
        <w:rPr>
          <w:sz w:val="24"/>
          <w:szCs w:val="24"/>
        </w:rPr>
        <w:t>osmolaritet</w:t>
      </w:r>
      <w:proofErr w:type="spellEnd"/>
      <w:r w:rsidRPr="005F7D4D">
        <w:rPr>
          <w:sz w:val="24"/>
          <w:szCs w:val="24"/>
        </w:rPr>
        <w:t xml:space="preserve"> må </w:t>
      </w:r>
      <w:proofErr w:type="spellStart"/>
      <w:r w:rsidRPr="005F7D4D">
        <w:rPr>
          <w:sz w:val="24"/>
          <w:szCs w:val="24"/>
        </w:rPr>
        <w:t>Olimel</w:t>
      </w:r>
      <w:proofErr w:type="spellEnd"/>
      <w:r w:rsidRPr="005F7D4D">
        <w:rPr>
          <w:sz w:val="24"/>
          <w:szCs w:val="24"/>
        </w:rPr>
        <w:t xml:space="preserve"> N12E kun indgives gennem en central vene.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Den anbefalede varighed af infusionen af en pose med parenteral ernæring er mellem 12 og 24 timer.</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b/>
          <w:sz w:val="24"/>
          <w:szCs w:val="24"/>
        </w:rPr>
      </w:pPr>
      <w:r w:rsidRPr="005F7D4D">
        <w:rPr>
          <w:sz w:val="24"/>
          <w:szCs w:val="24"/>
        </w:rPr>
        <w:t>Behandling med parenteral ernæring kan fortsættes, så længe det er nødvendigt af hensyn til patientens kliniske tilstand.</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4.3</w:t>
      </w:r>
      <w:r w:rsidRPr="005F7D4D">
        <w:rPr>
          <w:b/>
          <w:sz w:val="24"/>
          <w:szCs w:val="24"/>
        </w:rPr>
        <w:tab/>
        <w:t>Kontraindikationer</w:t>
      </w:r>
    </w:p>
    <w:p w:rsidR="00AC3FAE" w:rsidRPr="005F7D4D" w:rsidRDefault="00AC3FAE" w:rsidP="00AC3FAE">
      <w:pPr>
        <w:tabs>
          <w:tab w:val="left" w:pos="851"/>
        </w:tabs>
        <w:ind w:left="851"/>
        <w:rPr>
          <w:sz w:val="24"/>
          <w:szCs w:val="24"/>
        </w:rPr>
      </w:pPr>
      <w:r w:rsidRPr="005F7D4D">
        <w:rPr>
          <w:sz w:val="24"/>
          <w:szCs w:val="24"/>
        </w:rPr>
        <w:t xml:space="preserve">Anvendelsen af </w:t>
      </w:r>
      <w:proofErr w:type="spellStart"/>
      <w:r w:rsidRPr="005F7D4D">
        <w:rPr>
          <w:sz w:val="24"/>
          <w:szCs w:val="24"/>
        </w:rPr>
        <w:t>Olimel</w:t>
      </w:r>
      <w:proofErr w:type="spellEnd"/>
      <w:r w:rsidRPr="005F7D4D">
        <w:rPr>
          <w:sz w:val="24"/>
          <w:szCs w:val="24"/>
        </w:rPr>
        <w:t xml:space="preserve"> N12E er kontraindiceret i følgende situationer:</w:t>
      </w:r>
    </w:p>
    <w:p w:rsidR="00AC3FAE" w:rsidRPr="005F7D4D" w:rsidRDefault="00AC3FAE" w:rsidP="00AC3FAE">
      <w:pPr>
        <w:pStyle w:val="Opstilling-punkttegn2"/>
        <w:numPr>
          <w:ilvl w:val="0"/>
          <w:numId w:val="13"/>
        </w:numPr>
        <w:spacing w:before="0" w:after="0" w:line="240" w:lineRule="auto"/>
      </w:pPr>
      <w:r w:rsidRPr="005F7D4D">
        <w:t>til præmature nyfødte, spædbørn og børn under 2 år</w:t>
      </w:r>
    </w:p>
    <w:p w:rsidR="00AC3FAE" w:rsidRPr="005F7D4D" w:rsidRDefault="00AC3FAE" w:rsidP="00AC3FAE">
      <w:pPr>
        <w:pStyle w:val="Opstilling-punkttegn2"/>
        <w:numPr>
          <w:ilvl w:val="0"/>
          <w:numId w:val="13"/>
        </w:numPr>
        <w:spacing w:before="0" w:after="0" w:line="240" w:lineRule="auto"/>
      </w:pPr>
      <w:r w:rsidRPr="005F7D4D">
        <w:t>overfølsomhed over for proteiner fra æg, sojabønner eller peanuts eller over for majs/majsprodukter (se pkt. 4.4) eller et af de aktive stoffer eller hjælpestofferne anført i pkt. 6.1</w:t>
      </w:r>
    </w:p>
    <w:p w:rsidR="00AC3FAE" w:rsidRPr="005F7D4D" w:rsidRDefault="00AC3FAE" w:rsidP="00AC3FAE">
      <w:pPr>
        <w:pStyle w:val="Opstilling-punkttegn2"/>
        <w:numPr>
          <w:ilvl w:val="0"/>
          <w:numId w:val="13"/>
        </w:numPr>
        <w:spacing w:before="0" w:after="0" w:line="240" w:lineRule="auto"/>
      </w:pPr>
      <w:r w:rsidRPr="005F7D4D">
        <w:t>medfødte anomalier i metabolismen af aminosyrer</w:t>
      </w:r>
    </w:p>
    <w:p w:rsidR="00AC3FAE" w:rsidRPr="005F7D4D" w:rsidRDefault="00AC3FAE" w:rsidP="00AC3FAE">
      <w:pPr>
        <w:pStyle w:val="Opstilling-punkttegn2"/>
        <w:numPr>
          <w:ilvl w:val="0"/>
          <w:numId w:val="13"/>
        </w:numPr>
        <w:spacing w:before="0" w:after="0" w:line="240" w:lineRule="auto"/>
      </w:pPr>
      <w:r w:rsidRPr="005F7D4D">
        <w:t xml:space="preserve">alvorlig </w:t>
      </w:r>
      <w:proofErr w:type="spellStart"/>
      <w:r w:rsidRPr="005F7D4D">
        <w:t>hyperlipidæmi</w:t>
      </w:r>
      <w:proofErr w:type="spellEnd"/>
      <w:r w:rsidRPr="005F7D4D">
        <w:t xml:space="preserve"> eller alvorlige forstyrrelser i fedtmetabolismen karakteriseret ved </w:t>
      </w:r>
      <w:proofErr w:type="spellStart"/>
      <w:r w:rsidRPr="005F7D4D">
        <w:t>hypertriglyceridæmi</w:t>
      </w:r>
      <w:proofErr w:type="spellEnd"/>
    </w:p>
    <w:p w:rsidR="00AC3FAE" w:rsidRPr="005F7D4D" w:rsidRDefault="00AC3FAE" w:rsidP="00AC3FAE">
      <w:pPr>
        <w:pStyle w:val="Opstilling-punkttegn2"/>
        <w:numPr>
          <w:ilvl w:val="0"/>
          <w:numId w:val="13"/>
        </w:numPr>
        <w:spacing w:before="0" w:after="0" w:line="240" w:lineRule="auto"/>
      </w:pPr>
      <w:r w:rsidRPr="005F7D4D">
        <w:t xml:space="preserve">alvorlig </w:t>
      </w:r>
      <w:proofErr w:type="spellStart"/>
      <w:r w:rsidRPr="005F7D4D">
        <w:t>hyperglykæmi</w:t>
      </w:r>
      <w:proofErr w:type="spellEnd"/>
    </w:p>
    <w:p w:rsidR="00AC3FAE" w:rsidRPr="005F7D4D" w:rsidRDefault="00AC3FAE" w:rsidP="00AC3FAE">
      <w:pPr>
        <w:pStyle w:val="Opstilling-punkttegn2"/>
        <w:numPr>
          <w:ilvl w:val="0"/>
          <w:numId w:val="13"/>
        </w:numPr>
        <w:spacing w:before="0" w:after="0" w:line="240" w:lineRule="auto"/>
      </w:pPr>
      <w:r w:rsidRPr="005F7D4D">
        <w:t xml:space="preserve">patologisk forhøjede plasmakoncentrationer af natrium, kalium, magnesium, calcium og/eller </w:t>
      </w:r>
      <w:proofErr w:type="spellStart"/>
      <w:r w:rsidRPr="005F7D4D">
        <w:t>phosphor</w:t>
      </w:r>
      <w:proofErr w:type="spellEnd"/>
      <w:r w:rsidRPr="005F7D4D">
        <w: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4.4</w:t>
      </w:r>
      <w:r w:rsidRPr="005F7D4D">
        <w:rPr>
          <w:b/>
          <w:sz w:val="24"/>
          <w:szCs w:val="24"/>
        </w:rPr>
        <w:tab/>
        <w:t>Særlige advarsler og forsigtighedsregler vedrørende brugen</w:t>
      </w:r>
    </w:p>
    <w:p w:rsidR="00AC3FAE" w:rsidRPr="005F7D4D" w:rsidRDefault="00AC3FAE" w:rsidP="00AC3FAE">
      <w:pPr>
        <w:tabs>
          <w:tab w:val="left" w:pos="851"/>
        </w:tabs>
        <w:ind w:left="851"/>
        <w:rPr>
          <w:sz w:val="24"/>
          <w:szCs w:val="24"/>
        </w:rPr>
      </w:pPr>
      <w:r w:rsidRPr="005F7D4D">
        <w:rPr>
          <w:sz w:val="24"/>
          <w:szCs w:val="24"/>
        </w:rPr>
        <w:t>En for hurtig indgivelse af total parenteral ernæring (TPN) kan få alvorlige eller dødelige konsekvenser.</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Infusionen skal straks afbrydes, hvis der opstår tegn eller symptomer på en allergisk reaktion (f.eks. svedtendens, feber, kulderystelser, hovedpine, hududslæt eller dyspnø). Dette lægemiddel indeholder sojaolie og </w:t>
      </w:r>
      <w:proofErr w:type="spellStart"/>
      <w:r w:rsidR="004914D2">
        <w:rPr>
          <w:sz w:val="24"/>
          <w:szCs w:val="24"/>
        </w:rPr>
        <w:t>ægphospholipider</w:t>
      </w:r>
      <w:proofErr w:type="spellEnd"/>
      <w:r w:rsidRPr="005F7D4D">
        <w:rPr>
          <w:sz w:val="24"/>
          <w:szCs w:val="24"/>
        </w:rPr>
        <w:t>. Proteiner fra sojabønner og æg kan give overfølsomhedsreaktioner. Krydsallergiske reaktioner mellem proteiner fra sojabønner og peanuts er forekommet.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proofErr w:type="spellStart"/>
      <w:r w:rsidRPr="005F7D4D">
        <w:rPr>
          <w:sz w:val="24"/>
          <w:szCs w:val="24"/>
        </w:rPr>
        <w:t>Olimel</w:t>
      </w:r>
      <w:proofErr w:type="spellEnd"/>
      <w:r w:rsidRPr="005F7D4D">
        <w:rPr>
          <w:sz w:val="24"/>
          <w:szCs w:val="24"/>
        </w:rPr>
        <w:t xml:space="preserve"> N12E indeholder </w:t>
      </w:r>
      <w:proofErr w:type="spellStart"/>
      <w:r w:rsidRPr="005F7D4D">
        <w:rPr>
          <w:sz w:val="24"/>
          <w:szCs w:val="24"/>
        </w:rPr>
        <w:t>glucose</w:t>
      </w:r>
      <w:proofErr w:type="spellEnd"/>
      <w:r w:rsidRPr="005F7D4D">
        <w:rPr>
          <w:sz w:val="24"/>
          <w:szCs w:val="24"/>
        </w:rPr>
        <w:t xml:space="preserve"> udvundet fra majs, som kan forårsage en allergisk reaktion hos patienter, der er allergiske over for majs eller majsprodukter (se pkt. 4.3).</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proofErr w:type="spellStart"/>
      <w:r w:rsidRPr="005F7D4D">
        <w:rPr>
          <w:sz w:val="24"/>
          <w:szCs w:val="24"/>
        </w:rPr>
        <w:t>Ceftriaxon</w:t>
      </w:r>
      <w:proofErr w:type="spellEnd"/>
      <w:r w:rsidRPr="005F7D4D">
        <w:rPr>
          <w:sz w:val="24"/>
          <w:szCs w:val="24"/>
        </w:rPr>
        <w:t xml:space="preserve"> må ikke blandes eller administreres samtidig med calciumholdige intravenøse opløsninger, heller ikke via forskellige infusionsslanger eller forskellige infusionssteder. </w:t>
      </w:r>
      <w:proofErr w:type="spellStart"/>
      <w:r w:rsidRPr="005F7D4D">
        <w:rPr>
          <w:sz w:val="24"/>
          <w:szCs w:val="24"/>
        </w:rPr>
        <w:t>Ceftriaxon</w:t>
      </w:r>
      <w:proofErr w:type="spellEnd"/>
      <w:r w:rsidRPr="005F7D4D">
        <w:rPr>
          <w:sz w:val="24"/>
          <w:szCs w:val="24"/>
        </w:rPr>
        <w:t xml:space="preserve"> og calciumholdige opløsninger kan indgives sekventielt, den ene efter den anden, hvis der anvendes infusionsslanger på forskellige steder, eller hvis infusions</w:t>
      </w:r>
      <w:r>
        <w:rPr>
          <w:sz w:val="24"/>
          <w:szCs w:val="24"/>
        </w:rPr>
        <w:softHyphen/>
      </w:r>
      <w:r w:rsidRPr="005F7D4D">
        <w:rPr>
          <w:sz w:val="24"/>
          <w:szCs w:val="24"/>
        </w:rPr>
        <w:t xml:space="preserve">slangerne bliver udskiftet eller skyllet grundigt med fysiologisk saltvandsopløsning mellem infusionerne for at undgå udfældning. Hos patienter, der har behov for kontinuerlig infusion af calciumholdige TPN-opløsninger, kan sundhedspersonalet overveje at anvende alternative antibakterielle behandlinger, som ikke har samme risiko for udfældning. Hvis det vurderes nødvendigt at indgive </w:t>
      </w:r>
      <w:proofErr w:type="spellStart"/>
      <w:r w:rsidRPr="005F7D4D">
        <w:rPr>
          <w:sz w:val="24"/>
          <w:szCs w:val="24"/>
        </w:rPr>
        <w:t>ceftriaxon</w:t>
      </w:r>
      <w:proofErr w:type="spellEnd"/>
      <w:r w:rsidRPr="005F7D4D">
        <w:rPr>
          <w:sz w:val="24"/>
          <w:szCs w:val="24"/>
        </w:rPr>
        <w:t xml:space="preserve"> til patienter, der har behov for kontinuerlig ernæring, kan TPN-opløsninger og </w:t>
      </w:r>
      <w:proofErr w:type="spellStart"/>
      <w:r w:rsidRPr="005F7D4D">
        <w:rPr>
          <w:sz w:val="24"/>
          <w:szCs w:val="24"/>
        </w:rPr>
        <w:t>ceftriaxon</w:t>
      </w:r>
      <w:proofErr w:type="spellEnd"/>
      <w:r w:rsidRPr="005F7D4D">
        <w:rPr>
          <w:sz w:val="24"/>
          <w:szCs w:val="24"/>
        </w:rPr>
        <w:t xml:space="preserve"> indgives samtidig, dog via forskellige infusionsslanger på forskellige steder. Alternativt kan infusionen af TPN-opløsningen afbrydes i den periode, der gives infusion med </w:t>
      </w:r>
      <w:proofErr w:type="spellStart"/>
      <w:r w:rsidRPr="005F7D4D">
        <w:rPr>
          <w:sz w:val="24"/>
          <w:szCs w:val="24"/>
        </w:rPr>
        <w:t>ceftriaxon</w:t>
      </w:r>
      <w:proofErr w:type="spellEnd"/>
      <w:r w:rsidRPr="005F7D4D">
        <w:rPr>
          <w:sz w:val="24"/>
          <w:szCs w:val="24"/>
        </w:rPr>
        <w:t>, hvor det skal overvejes at skylle infusionsslangerne mellem opløsningerne (se pkt. 4.5 og 6.2).</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iCs/>
          <w:sz w:val="24"/>
          <w:szCs w:val="24"/>
        </w:rPr>
      </w:pPr>
      <w:r w:rsidRPr="005F7D4D">
        <w:rPr>
          <w:sz w:val="24"/>
          <w:szCs w:val="24"/>
        </w:rPr>
        <w:t xml:space="preserve">Der er rapporteret om </w:t>
      </w:r>
      <w:proofErr w:type="spellStart"/>
      <w:r w:rsidRPr="005F7D4D">
        <w:rPr>
          <w:sz w:val="24"/>
          <w:szCs w:val="24"/>
        </w:rPr>
        <w:t>pulmonale</w:t>
      </w:r>
      <w:proofErr w:type="spellEnd"/>
      <w:r w:rsidRPr="005F7D4D">
        <w:rPr>
          <w:sz w:val="24"/>
          <w:szCs w:val="24"/>
        </w:rPr>
        <w:t xml:space="preserve"> </w:t>
      </w:r>
      <w:proofErr w:type="spellStart"/>
      <w:r w:rsidRPr="005F7D4D">
        <w:rPr>
          <w:sz w:val="24"/>
          <w:szCs w:val="24"/>
        </w:rPr>
        <w:t>vaskulære</w:t>
      </w:r>
      <w:proofErr w:type="spellEnd"/>
      <w:r w:rsidRPr="005F7D4D">
        <w:rPr>
          <w:sz w:val="24"/>
          <w:szCs w:val="24"/>
        </w:rPr>
        <w:t xml:space="preserve"> udfældninger, som har medført </w:t>
      </w:r>
      <w:proofErr w:type="spellStart"/>
      <w:r w:rsidRPr="005F7D4D">
        <w:rPr>
          <w:sz w:val="24"/>
          <w:szCs w:val="24"/>
        </w:rPr>
        <w:t>pulmonal</w:t>
      </w:r>
      <w:proofErr w:type="spellEnd"/>
      <w:r w:rsidRPr="005F7D4D">
        <w:rPr>
          <w:sz w:val="24"/>
          <w:szCs w:val="24"/>
        </w:rPr>
        <w:t xml:space="preserve"> </w:t>
      </w:r>
      <w:proofErr w:type="spellStart"/>
      <w:r w:rsidRPr="005F7D4D">
        <w:rPr>
          <w:sz w:val="24"/>
          <w:szCs w:val="24"/>
        </w:rPr>
        <w:t>vaskulær</w:t>
      </w:r>
      <w:proofErr w:type="spellEnd"/>
      <w:r w:rsidRPr="005F7D4D">
        <w:rPr>
          <w:sz w:val="24"/>
          <w:szCs w:val="24"/>
        </w:rPr>
        <w:t xml:space="preserve"> </w:t>
      </w:r>
      <w:proofErr w:type="spellStart"/>
      <w:r w:rsidRPr="005F7D4D">
        <w:rPr>
          <w:sz w:val="24"/>
          <w:szCs w:val="24"/>
        </w:rPr>
        <w:t>embolisme</w:t>
      </w:r>
      <w:proofErr w:type="spellEnd"/>
      <w:r w:rsidRPr="005F7D4D">
        <w:rPr>
          <w:sz w:val="24"/>
          <w:szCs w:val="24"/>
        </w:rPr>
        <w:t xml:space="preserve"> og åndedrætsbesvær, hos patienter, som har fået </w:t>
      </w:r>
      <w:proofErr w:type="spellStart"/>
      <w:r w:rsidRPr="005F7D4D">
        <w:rPr>
          <w:sz w:val="24"/>
          <w:szCs w:val="24"/>
        </w:rPr>
        <w:t>parentereal</w:t>
      </w:r>
      <w:proofErr w:type="spellEnd"/>
      <w:r w:rsidRPr="005F7D4D">
        <w:rPr>
          <w:sz w:val="24"/>
          <w:szCs w:val="24"/>
        </w:rPr>
        <w:t xml:space="preserve"> ernæring. I nogle tilfælde har det haft dødelig udgang. Uforholdsmæssig stor tilsætning af calcium og </w:t>
      </w:r>
      <w:proofErr w:type="spellStart"/>
      <w:r w:rsidRPr="005F7D4D">
        <w:rPr>
          <w:sz w:val="24"/>
          <w:szCs w:val="24"/>
        </w:rPr>
        <w:lastRenderedPageBreak/>
        <w:t>phosphat</w:t>
      </w:r>
      <w:proofErr w:type="spellEnd"/>
      <w:r w:rsidRPr="005F7D4D">
        <w:rPr>
          <w:sz w:val="24"/>
          <w:szCs w:val="24"/>
        </w:rPr>
        <w:t xml:space="preserve"> øger risikoen for dannelsen af </w:t>
      </w:r>
      <w:proofErr w:type="spellStart"/>
      <w:r w:rsidRPr="005F7D4D">
        <w:rPr>
          <w:sz w:val="24"/>
          <w:szCs w:val="24"/>
        </w:rPr>
        <w:t>calciumphosphat</w:t>
      </w:r>
      <w:proofErr w:type="spellEnd"/>
      <w:r w:rsidRPr="005F7D4D">
        <w:rPr>
          <w:sz w:val="24"/>
          <w:szCs w:val="24"/>
        </w:rPr>
        <w:t xml:space="preserve">-udfældninger (se pkt. 6.2). Der er også rapporteret mistanke om dannelse af udfældninger i blodårerne. </w:t>
      </w:r>
      <w:r w:rsidRPr="005F7D4D">
        <w:rPr>
          <w:sz w:val="24"/>
          <w:szCs w:val="24"/>
        </w:rPr>
        <w:br/>
        <w:t xml:space="preserve">Ud over at kontrollere opløsningen skal infusionssættet og kateteret også kontrolleres regelmæssigt for udfældninger. </w:t>
      </w:r>
      <w:r w:rsidRPr="005F7D4D">
        <w:rPr>
          <w:sz w:val="24"/>
          <w:szCs w:val="24"/>
        </w:rPr>
        <w:br/>
        <w:t>Hvis der kommer tegn på åndedrætsbesvær, skal infusionen afbrydes og medicinsk evaluering initieres.</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iCs/>
          <w:sz w:val="24"/>
          <w:szCs w:val="24"/>
        </w:rPr>
      </w:pPr>
      <w:r w:rsidRPr="005F7D4D">
        <w:rPr>
          <w:sz w:val="24"/>
          <w:szCs w:val="24"/>
        </w:rPr>
        <w:t xml:space="preserve">Tilsæt ikke andre lægemidler eller stoffer til nogen af komponenterne i posen eller til den </w:t>
      </w:r>
      <w:proofErr w:type="spellStart"/>
      <w:r w:rsidRPr="005F7D4D">
        <w:rPr>
          <w:sz w:val="24"/>
          <w:szCs w:val="24"/>
        </w:rPr>
        <w:t>rekonstituerede</w:t>
      </w:r>
      <w:proofErr w:type="spellEnd"/>
      <w:r w:rsidRPr="005F7D4D">
        <w:rPr>
          <w:sz w:val="24"/>
          <w:szCs w:val="24"/>
        </w:rPr>
        <w:t xml:space="preserve"> emulsion uden først at kontrollere deres forligelighed og stabiliteten af den færdige blanding (især stabiliteten af fedtemulsionen). Dannelse af udfældning eller destabilisering af fedtemulsionen kan føre til </w:t>
      </w:r>
      <w:proofErr w:type="spellStart"/>
      <w:r w:rsidRPr="005F7D4D">
        <w:rPr>
          <w:sz w:val="24"/>
          <w:szCs w:val="24"/>
        </w:rPr>
        <w:t>vaskulær</w:t>
      </w:r>
      <w:proofErr w:type="spellEnd"/>
      <w:r w:rsidRPr="005F7D4D">
        <w:rPr>
          <w:sz w:val="24"/>
          <w:szCs w:val="24"/>
        </w:rPr>
        <w:t xml:space="preserve"> </w:t>
      </w:r>
      <w:proofErr w:type="spellStart"/>
      <w:r w:rsidRPr="005F7D4D">
        <w:rPr>
          <w:sz w:val="24"/>
          <w:szCs w:val="24"/>
        </w:rPr>
        <w:t>okklusion</w:t>
      </w:r>
      <w:proofErr w:type="spellEnd"/>
      <w:r w:rsidRPr="005F7D4D">
        <w:rPr>
          <w:sz w:val="24"/>
          <w:szCs w:val="24"/>
        </w:rPr>
        <w:t xml:space="preserve"> (se pkt. 6.2 og 6.6).</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Infektion og sepsis i den </w:t>
      </w:r>
      <w:proofErr w:type="spellStart"/>
      <w:r w:rsidRPr="005F7D4D">
        <w:rPr>
          <w:sz w:val="24"/>
          <w:szCs w:val="24"/>
        </w:rPr>
        <w:t>vaskulære</w:t>
      </w:r>
      <w:proofErr w:type="spellEnd"/>
      <w:r w:rsidRPr="005F7D4D">
        <w:rPr>
          <w:sz w:val="24"/>
          <w:szCs w:val="24"/>
        </w:rPr>
        <w:t xml:space="preserve"> adgang er komplikationer, som kan forekomme hos patienter, der modtager parenteral ernæring, især i tilfælde af dårlig vedligeholdelse af katetre, immunsuppressive virkninger af sygdom eller lægemidler. Omhyggelig overvågning af tegn og symptomer samt resultater af laboratorieundersøgelser for feber/kulderystelser, leukocytose, tekniske komplikationer med udstyret og </w:t>
      </w:r>
      <w:proofErr w:type="spellStart"/>
      <w:r w:rsidRPr="005F7D4D">
        <w:rPr>
          <w:sz w:val="24"/>
          <w:szCs w:val="24"/>
        </w:rPr>
        <w:t>hyperglykæmi</w:t>
      </w:r>
      <w:proofErr w:type="spellEnd"/>
      <w:r w:rsidRPr="005F7D4D">
        <w:rPr>
          <w:sz w:val="24"/>
          <w:szCs w:val="24"/>
        </w:rPr>
        <w:t xml:space="preserve"> kan være med til at opdage tidlige infektioner. Patienter, der har behov for parenteral ernæring, er ofte disponerede for infektiøse komplikationer på grund af fejlernæring og/eller den grundliggende sygdom. Forekomsten af septiske komplikationer kan reduceres ved øget vægt på aseptisk teknik i forbindelse med placering og vedligeholdelse af kateter samt ved aseptisk teknik under fremstilling af ernæringsblandingen.</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Specifik klinisk overvågning er påkrævet, når en intravenøs infusion påbegyndes.</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Alvorlige forstyrrelser i vand- og elektrolytbalancen, alvorlig væskeophobning og alvorlige metaboliske lidelser skal korrigeres, før infusionen påbegyndes.</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Under hele behandlingen skal vand- og elektrolytbalancen, </w:t>
      </w:r>
      <w:proofErr w:type="spellStart"/>
      <w:r w:rsidRPr="005F7D4D">
        <w:rPr>
          <w:sz w:val="24"/>
          <w:szCs w:val="24"/>
        </w:rPr>
        <w:t>serumosmolaritet</w:t>
      </w:r>
      <w:proofErr w:type="spellEnd"/>
      <w:r w:rsidRPr="005F7D4D">
        <w:rPr>
          <w:sz w:val="24"/>
          <w:szCs w:val="24"/>
        </w:rPr>
        <w:t xml:space="preserve">, serumtriglycerider, syre/base-balancen, </w:t>
      </w:r>
      <w:proofErr w:type="spellStart"/>
      <w:r w:rsidRPr="005F7D4D">
        <w:rPr>
          <w:sz w:val="24"/>
          <w:szCs w:val="24"/>
        </w:rPr>
        <w:t>blodglucose</w:t>
      </w:r>
      <w:proofErr w:type="spellEnd"/>
      <w:r w:rsidRPr="005F7D4D">
        <w:rPr>
          <w:sz w:val="24"/>
          <w:szCs w:val="24"/>
        </w:rPr>
        <w:t>, lever- og nyrefunktion, koagulationsprøver samt blodtal, herunder blodplader, overvåges.</w:t>
      </w:r>
    </w:p>
    <w:p w:rsidR="00AC3FAE" w:rsidRPr="005F7D4D" w:rsidRDefault="00AC3FAE" w:rsidP="00AC3FAE">
      <w:pPr>
        <w:tabs>
          <w:tab w:val="left" w:pos="851"/>
        </w:tabs>
        <w:ind w:left="851"/>
        <w:rPr>
          <w:sz w:val="24"/>
          <w:szCs w:val="24"/>
        </w:rPr>
      </w:pPr>
    </w:p>
    <w:p w:rsidR="00AC3FAE" w:rsidRPr="0049187E" w:rsidRDefault="00AC3FAE" w:rsidP="00AC3FAE">
      <w:pPr>
        <w:tabs>
          <w:tab w:val="left" w:pos="851"/>
        </w:tabs>
        <w:ind w:left="851"/>
        <w:rPr>
          <w:sz w:val="24"/>
          <w:szCs w:val="24"/>
        </w:rPr>
      </w:pPr>
      <w:r w:rsidRPr="005F7D4D">
        <w:rPr>
          <w:sz w:val="24"/>
          <w:szCs w:val="24"/>
        </w:rPr>
        <w:t xml:space="preserve">Forhøjede leverenzymer og </w:t>
      </w:r>
      <w:proofErr w:type="spellStart"/>
      <w:r w:rsidRPr="005F7D4D">
        <w:rPr>
          <w:sz w:val="24"/>
          <w:szCs w:val="24"/>
        </w:rPr>
        <w:t>cholestase</w:t>
      </w:r>
      <w:proofErr w:type="spellEnd"/>
      <w:r w:rsidRPr="005F7D4D">
        <w:rPr>
          <w:sz w:val="24"/>
          <w:szCs w:val="24"/>
        </w:rPr>
        <w:t xml:space="preserve"> er rapporteret for lignende produkter. Overvågning af serum-ammonium bør overvejes, hvis der er mistanke om leverinsufficiens.</w:t>
      </w:r>
    </w:p>
    <w:p w:rsidR="00AC3FAE" w:rsidRPr="0049187E" w:rsidRDefault="00AC3FAE" w:rsidP="00AC3FAE">
      <w:pPr>
        <w:tabs>
          <w:tab w:val="left" w:pos="851"/>
        </w:tabs>
        <w:ind w:left="851"/>
        <w:rPr>
          <w:sz w:val="24"/>
          <w:szCs w:val="24"/>
        </w:rPr>
      </w:pPr>
    </w:p>
    <w:p w:rsidR="00AC3FAE" w:rsidRPr="0049187E" w:rsidRDefault="00AC3FAE" w:rsidP="00AC3FAE">
      <w:pPr>
        <w:tabs>
          <w:tab w:val="left" w:pos="851"/>
        </w:tabs>
        <w:ind w:left="851"/>
        <w:rPr>
          <w:sz w:val="24"/>
          <w:szCs w:val="24"/>
        </w:rPr>
      </w:pPr>
      <w:r w:rsidRPr="005F7D4D">
        <w:rPr>
          <w:sz w:val="24"/>
          <w:szCs w:val="24"/>
        </w:rPr>
        <w:t>Metaboliske komplikationer kan opstå, hvis ernæringsindtagelsen ikke tilpasses patientens behov, eller hvis den metaboliske kapacitet for et givet næringsstof ikke er nøjagtigt vurderet. Metaboliske bivirkninger kan opstå som følge af indgivelse af utilstrækkelige eller for store mængder næringsstoffer eller uhensigtsmæssig sammensætning af et tilsætningsstof i forhold til en bestemt patients behov.</w:t>
      </w:r>
    </w:p>
    <w:p w:rsidR="00AC3FAE" w:rsidRPr="0049187E"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Indgivelse af aminosyreopløsninger kan fremkalde akut </w:t>
      </w:r>
      <w:proofErr w:type="spellStart"/>
      <w:r w:rsidRPr="005F7D4D">
        <w:rPr>
          <w:sz w:val="24"/>
          <w:szCs w:val="24"/>
        </w:rPr>
        <w:t>folatmangel</w:t>
      </w:r>
      <w:proofErr w:type="spellEnd"/>
      <w:r w:rsidRPr="005F7D4D">
        <w:rPr>
          <w:sz w:val="24"/>
          <w:szCs w:val="24"/>
        </w:rPr>
        <w:t xml:space="preserve">. Det anbefales derfor at give </w:t>
      </w:r>
      <w:proofErr w:type="spellStart"/>
      <w:r w:rsidRPr="005F7D4D">
        <w:rPr>
          <w:sz w:val="24"/>
          <w:szCs w:val="24"/>
        </w:rPr>
        <w:t>folsyre</w:t>
      </w:r>
      <w:proofErr w:type="spellEnd"/>
      <w:r w:rsidRPr="005F7D4D">
        <w:rPr>
          <w:sz w:val="24"/>
          <w:szCs w:val="24"/>
        </w:rPr>
        <w:t xml:space="preserve"> dagligt.</w:t>
      </w:r>
    </w:p>
    <w:p w:rsidR="00AC3FAE" w:rsidRPr="005F7D4D" w:rsidRDefault="00AC3FAE" w:rsidP="00AC3FAE">
      <w:pPr>
        <w:tabs>
          <w:tab w:val="left" w:pos="851"/>
        </w:tabs>
        <w:ind w:left="851"/>
        <w:rPr>
          <w:i/>
          <w:iCs/>
          <w:sz w:val="24"/>
          <w:szCs w:val="24"/>
        </w:rPr>
      </w:pPr>
    </w:p>
    <w:p w:rsidR="00AC3FAE" w:rsidRPr="005F7D4D" w:rsidRDefault="00AC3FAE" w:rsidP="00AC3FAE">
      <w:pPr>
        <w:tabs>
          <w:tab w:val="left" w:pos="851"/>
        </w:tabs>
        <w:ind w:left="851"/>
        <w:rPr>
          <w:i/>
          <w:iCs/>
          <w:sz w:val="24"/>
          <w:szCs w:val="24"/>
        </w:rPr>
      </w:pPr>
      <w:proofErr w:type="spellStart"/>
      <w:r w:rsidRPr="005F7D4D">
        <w:rPr>
          <w:i/>
          <w:iCs/>
          <w:sz w:val="24"/>
          <w:szCs w:val="24"/>
        </w:rPr>
        <w:t>Ekstravasation</w:t>
      </w:r>
      <w:proofErr w:type="spellEnd"/>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Kateterstedet skal monitoreres regelmæssigt for tegn på </w:t>
      </w:r>
      <w:proofErr w:type="spellStart"/>
      <w:r w:rsidRPr="005F7D4D">
        <w:rPr>
          <w:sz w:val="24"/>
          <w:szCs w:val="24"/>
        </w:rPr>
        <w:t>ekstravasation</w:t>
      </w:r>
      <w:proofErr w:type="spellEnd"/>
      <w:r w:rsidRPr="005F7D4D">
        <w:rPr>
          <w:sz w:val="24"/>
          <w:szCs w:val="24"/>
        </w:rPr>
        <w:t>.</w:t>
      </w:r>
      <w:r w:rsidRPr="005F7D4D">
        <w:rPr>
          <w:sz w:val="24"/>
          <w:szCs w:val="24"/>
        </w:rPr>
        <w:br/>
        <w:t xml:space="preserve">I tilfælde af </w:t>
      </w:r>
      <w:proofErr w:type="spellStart"/>
      <w:r w:rsidRPr="005F7D4D">
        <w:rPr>
          <w:sz w:val="24"/>
          <w:szCs w:val="24"/>
        </w:rPr>
        <w:t>ekstravasation</w:t>
      </w:r>
      <w:proofErr w:type="spellEnd"/>
      <w:r w:rsidRPr="005F7D4D">
        <w:rPr>
          <w:sz w:val="24"/>
          <w:szCs w:val="24"/>
        </w:rPr>
        <w:t xml:space="preserve"> skal administrationen omgående stoppes. Kateteret eller sprøjten skal blive siddende, så patienten straks kan behandles. Hvis det er muligt, skal aspiration foretages igennem det anlagte kateter/sprøjten for at reducere mængden af væske i vævet, før kateteret/sprøjten fjernes. </w:t>
      </w:r>
      <w:r w:rsidRPr="005F7D4D">
        <w:rPr>
          <w:sz w:val="24"/>
          <w:szCs w:val="24"/>
        </w:rPr>
        <w:br/>
      </w:r>
      <w:r w:rsidRPr="005F7D4D">
        <w:rPr>
          <w:sz w:val="24"/>
          <w:szCs w:val="24"/>
        </w:rPr>
        <w:lastRenderedPageBreak/>
        <w:t xml:space="preserve">Afhængigt af det ekstravaserede produkt (herunder produkt(er) blandet med </w:t>
      </w:r>
      <w:proofErr w:type="spellStart"/>
      <w:r w:rsidRPr="005F7D4D">
        <w:rPr>
          <w:sz w:val="24"/>
          <w:szCs w:val="24"/>
        </w:rPr>
        <w:t>Olimel</w:t>
      </w:r>
      <w:proofErr w:type="spellEnd"/>
      <w:r w:rsidRPr="005F7D4D">
        <w:rPr>
          <w:sz w:val="24"/>
          <w:szCs w:val="24"/>
        </w:rPr>
        <w:t xml:space="preserve"> N12E, hvis relevant) og skadens stadie/omfang skal der igangsættes relevante, specifikke modbehandlinger. Behandlingsmuligheder kan være ikke-farmakologiske, farmakologiske og/eller kirurgisk intervention. I tilfælde af omfattende </w:t>
      </w:r>
      <w:proofErr w:type="spellStart"/>
      <w:r w:rsidRPr="005F7D4D">
        <w:rPr>
          <w:sz w:val="24"/>
          <w:szCs w:val="24"/>
        </w:rPr>
        <w:t>ekstravasation</w:t>
      </w:r>
      <w:proofErr w:type="spellEnd"/>
      <w:r w:rsidRPr="005F7D4D">
        <w:rPr>
          <w:sz w:val="24"/>
          <w:szCs w:val="24"/>
        </w:rPr>
        <w:t xml:space="preserve"> skal en plastikkirurg konsulteres inden for de første 72 timer.</w:t>
      </w:r>
      <w:r w:rsidRPr="005F7D4D">
        <w:rPr>
          <w:sz w:val="24"/>
          <w:szCs w:val="24"/>
        </w:rPr>
        <w:br/>
      </w:r>
      <w:proofErr w:type="spellStart"/>
      <w:r w:rsidRPr="005F7D4D">
        <w:rPr>
          <w:sz w:val="24"/>
          <w:szCs w:val="24"/>
        </w:rPr>
        <w:t>Ekstravasationsstedet</w:t>
      </w:r>
      <w:proofErr w:type="spellEnd"/>
      <w:r w:rsidRPr="005F7D4D">
        <w:rPr>
          <w:sz w:val="24"/>
          <w:szCs w:val="24"/>
        </w:rPr>
        <w:t xml:space="preserve"> bør </w:t>
      </w:r>
      <w:proofErr w:type="spellStart"/>
      <w:r w:rsidRPr="005F7D4D">
        <w:rPr>
          <w:sz w:val="24"/>
          <w:szCs w:val="24"/>
        </w:rPr>
        <w:t>monitereres</w:t>
      </w:r>
      <w:proofErr w:type="spellEnd"/>
      <w:r w:rsidRPr="005F7D4D">
        <w:rPr>
          <w:sz w:val="24"/>
          <w:szCs w:val="24"/>
        </w:rPr>
        <w:t xml:space="preserve"> mindst hver 4. time i de første 24 timer og derefter en gang dagligt. </w:t>
      </w:r>
      <w:r w:rsidRPr="005F7D4D">
        <w:rPr>
          <w:sz w:val="24"/>
          <w:szCs w:val="24"/>
        </w:rPr>
        <w:br/>
        <w:t xml:space="preserve">Infusionen må ikke genoptages i samme centrale vene. </w:t>
      </w:r>
    </w:p>
    <w:p w:rsidR="00AC3FAE" w:rsidRPr="005F7D4D" w:rsidRDefault="00AC3FAE" w:rsidP="00AC3FAE">
      <w:pPr>
        <w:tabs>
          <w:tab w:val="left" w:pos="851"/>
        </w:tabs>
        <w:ind w:left="851"/>
        <w:rPr>
          <w:i/>
          <w:iCs/>
          <w:sz w:val="24"/>
          <w:szCs w:val="24"/>
        </w:rPr>
      </w:pPr>
    </w:p>
    <w:p w:rsidR="00AC3FAE" w:rsidRPr="005F7D4D" w:rsidRDefault="00AC3FAE" w:rsidP="00AC3FAE">
      <w:pPr>
        <w:tabs>
          <w:tab w:val="left" w:pos="851"/>
        </w:tabs>
        <w:ind w:left="851"/>
        <w:rPr>
          <w:i/>
          <w:iCs/>
          <w:sz w:val="24"/>
          <w:szCs w:val="24"/>
        </w:rPr>
      </w:pPr>
      <w:r w:rsidRPr="005F7D4D">
        <w:rPr>
          <w:i/>
          <w:iCs/>
          <w:sz w:val="24"/>
          <w:szCs w:val="24"/>
        </w:rPr>
        <w:t>Leverinsufficiens</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Anvendes med forsigtighed til patienter med leverinsufficiens på grund af risikoen for udvikling eller forværring af neurologiske sygdomme forbundet med </w:t>
      </w:r>
      <w:proofErr w:type="spellStart"/>
      <w:r w:rsidRPr="005F7D4D">
        <w:rPr>
          <w:sz w:val="24"/>
          <w:szCs w:val="24"/>
        </w:rPr>
        <w:t>hyperammoniæmi</w:t>
      </w:r>
      <w:proofErr w:type="spellEnd"/>
      <w:r w:rsidRPr="005F7D4D">
        <w:rPr>
          <w:sz w:val="24"/>
          <w:szCs w:val="24"/>
        </w:rPr>
        <w:t xml:space="preserve">. Regelmæssige kliniske undersøgelser og laboratorieundersøgelser er påkrævet, især leverfunktionsparametre, </w:t>
      </w:r>
      <w:proofErr w:type="spellStart"/>
      <w:r w:rsidRPr="005F7D4D">
        <w:rPr>
          <w:sz w:val="24"/>
          <w:szCs w:val="24"/>
        </w:rPr>
        <w:t>blodglucose</w:t>
      </w:r>
      <w:proofErr w:type="spellEnd"/>
      <w:r w:rsidRPr="005F7D4D">
        <w:rPr>
          <w:sz w:val="24"/>
          <w:szCs w:val="24"/>
        </w:rPr>
        <w:t xml:space="preserve">, elektrolytter og triglycerider. </w:t>
      </w:r>
    </w:p>
    <w:p w:rsidR="00AC3FAE" w:rsidRPr="005F7D4D" w:rsidRDefault="00AC3FAE" w:rsidP="00AC3FAE">
      <w:pPr>
        <w:tabs>
          <w:tab w:val="left" w:pos="851"/>
        </w:tabs>
        <w:ind w:left="851"/>
        <w:rPr>
          <w:i/>
          <w:iCs/>
          <w:sz w:val="24"/>
          <w:szCs w:val="24"/>
        </w:rPr>
      </w:pPr>
    </w:p>
    <w:p w:rsidR="00AC3FAE" w:rsidRPr="005F7D4D" w:rsidRDefault="00AC3FAE" w:rsidP="00AC3FAE">
      <w:pPr>
        <w:tabs>
          <w:tab w:val="left" w:pos="851"/>
        </w:tabs>
        <w:ind w:left="851"/>
        <w:rPr>
          <w:i/>
          <w:iCs/>
          <w:sz w:val="24"/>
          <w:szCs w:val="24"/>
        </w:rPr>
      </w:pPr>
      <w:r w:rsidRPr="005F7D4D">
        <w:rPr>
          <w:i/>
          <w:iCs/>
          <w:sz w:val="24"/>
          <w:szCs w:val="24"/>
        </w:rPr>
        <w:t>Nyreinsufficiens</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Anvendes med forsigtighed til patienter med nyreinsufficiens, især i tilfælde af </w:t>
      </w:r>
      <w:proofErr w:type="spellStart"/>
      <w:r w:rsidRPr="005F7D4D">
        <w:rPr>
          <w:sz w:val="24"/>
          <w:szCs w:val="24"/>
        </w:rPr>
        <w:t>hyperkaliæmi</w:t>
      </w:r>
      <w:proofErr w:type="spellEnd"/>
      <w:r w:rsidRPr="005F7D4D">
        <w:rPr>
          <w:sz w:val="24"/>
          <w:szCs w:val="24"/>
        </w:rPr>
        <w:t xml:space="preserve">, på grund af risikoen for udvikling eller forværring af metabolisk </w:t>
      </w:r>
      <w:proofErr w:type="spellStart"/>
      <w:r w:rsidRPr="005F7D4D">
        <w:rPr>
          <w:sz w:val="24"/>
          <w:szCs w:val="24"/>
        </w:rPr>
        <w:t>acidose</w:t>
      </w:r>
      <w:proofErr w:type="spellEnd"/>
      <w:r w:rsidRPr="005F7D4D">
        <w:rPr>
          <w:sz w:val="24"/>
          <w:szCs w:val="24"/>
        </w:rPr>
        <w:t xml:space="preserve"> og </w:t>
      </w:r>
      <w:proofErr w:type="spellStart"/>
      <w:r w:rsidRPr="005F7D4D">
        <w:rPr>
          <w:sz w:val="24"/>
          <w:szCs w:val="24"/>
        </w:rPr>
        <w:t>hyperazotæmi</w:t>
      </w:r>
      <w:proofErr w:type="spellEnd"/>
      <w:r w:rsidRPr="005F7D4D">
        <w:rPr>
          <w:sz w:val="24"/>
          <w:szCs w:val="24"/>
        </w:rPr>
        <w:t xml:space="preserve">, hvis der ikke sikres fjernelse af </w:t>
      </w:r>
      <w:proofErr w:type="spellStart"/>
      <w:r w:rsidRPr="005F7D4D">
        <w:rPr>
          <w:sz w:val="24"/>
          <w:szCs w:val="24"/>
        </w:rPr>
        <w:t>renale</w:t>
      </w:r>
      <w:proofErr w:type="spellEnd"/>
      <w:r w:rsidRPr="005F7D4D">
        <w:rPr>
          <w:sz w:val="24"/>
          <w:szCs w:val="24"/>
        </w:rPr>
        <w:t xml:space="preserve"> affaldsstoffer. Status for væske, triglycerider og elektrolytter bør overvåges nøje hos disse patienter.</w:t>
      </w:r>
    </w:p>
    <w:p w:rsidR="00AC3FAE" w:rsidRPr="005F7D4D" w:rsidRDefault="00AC3FAE" w:rsidP="00AC3FAE">
      <w:pPr>
        <w:tabs>
          <w:tab w:val="left" w:pos="851"/>
        </w:tabs>
        <w:ind w:left="851"/>
        <w:rPr>
          <w:i/>
          <w:iCs/>
          <w:sz w:val="24"/>
          <w:szCs w:val="24"/>
        </w:rPr>
      </w:pPr>
    </w:p>
    <w:p w:rsidR="00AC3FAE" w:rsidRPr="005F7D4D" w:rsidRDefault="00AC3FAE" w:rsidP="00AC3FAE">
      <w:pPr>
        <w:tabs>
          <w:tab w:val="left" w:pos="851"/>
        </w:tabs>
        <w:ind w:left="851"/>
        <w:rPr>
          <w:i/>
          <w:iCs/>
          <w:sz w:val="24"/>
          <w:szCs w:val="24"/>
        </w:rPr>
      </w:pPr>
      <w:r w:rsidRPr="005F7D4D">
        <w:rPr>
          <w:i/>
          <w:iCs/>
          <w:sz w:val="24"/>
          <w:szCs w:val="24"/>
        </w:rPr>
        <w:t>Hæmatologi</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Anvendes med forsigtighed til patienter med koagulationsforstyrrelser og anæmi. Blodtal og koagulationsparametre bør overvåges nøje.</w:t>
      </w:r>
    </w:p>
    <w:p w:rsidR="00AC3FAE" w:rsidRPr="005F7D4D" w:rsidRDefault="00AC3FAE" w:rsidP="00AC3FAE">
      <w:pPr>
        <w:tabs>
          <w:tab w:val="left" w:pos="851"/>
        </w:tabs>
        <w:ind w:left="851"/>
        <w:rPr>
          <w:i/>
          <w:iCs/>
          <w:sz w:val="24"/>
          <w:szCs w:val="24"/>
        </w:rPr>
      </w:pPr>
    </w:p>
    <w:p w:rsidR="00AC3FAE" w:rsidRPr="005F7D4D" w:rsidRDefault="00AC3FAE" w:rsidP="00AC3FAE">
      <w:pPr>
        <w:tabs>
          <w:tab w:val="left" w:pos="851"/>
        </w:tabs>
        <w:ind w:left="851"/>
        <w:rPr>
          <w:i/>
          <w:iCs/>
          <w:sz w:val="24"/>
          <w:szCs w:val="24"/>
        </w:rPr>
      </w:pPr>
      <w:r w:rsidRPr="005F7D4D">
        <w:rPr>
          <w:i/>
          <w:iCs/>
          <w:sz w:val="24"/>
          <w:szCs w:val="24"/>
        </w:rPr>
        <w:t>Endokrin og metabolisme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Anvendes med forsigtighed til patienter med:</w:t>
      </w:r>
    </w:p>
    <w:p w:rsidR="00AC3FAE" w:rsidRPr="005F7D4D" w:rsidRDefault="00AC3FAE" w:rsidP="00AC3FAE">
      <w:pPr>
        <w:pStyle w:val="Opstilling-punkttegn2"/>
        <w:numPr>
          <w:ilvl w:val="0"/>
          <w:numId w:val="14"/>
        </w:numPr>
        <w:spacing w:before="0" w:after="0" w:line="240" w:lineRule="auto"/>
        <w:rPr>
          <w:snapToGrid w:val="0"/>
        </w:rPr>
      </w:pPr>
      <w:r w:rsidRPr="005F7D4D">
        <w:rPr>
          <w:snapToGrid w:val="0"/>
        </w:rPr>
        <w:t xml:space="preserve">Metabolisk </w:t>
      </w:r>
      <w:proofErr w:type="spellStart"/>
      <w:r w:rsidRPr="005F7D4D">
        <w:rPr>
          <w:snapToGrid w:val="0"/>
        </w:rPr>
        <w:t>acidose</w:t>
      </w:r>
      <w:proofErr w:type="spellEnd"/>
      <w:r w:rsidRPr="005F7D4D">
        <w:rPr>
          <w:snapToGrid w:val="0"/>
        </w:rPr>
        <w:t xml:space="preserve">. Indgivelse af kulhydrater frarådes ved tilstedeværelse af </w:t>
      </w:r>
      <w:proofErr w:type="spellStart"/>
      <w:r w:rsidRPr="005F7D4D">
        <w:rPr>
          <w:snapToGrid w:val="0"/>
        </w:rPr>
        <w:t>lactatacidose</w:t>
      </w:r>
      <w:proofErr w:type="spellEnd"/>
      <w:r w:rsidRPr="005F7D4D">
        <w:rPr>
          <w:snapToGrid w:val="0"/>
        </w:rPr>
        <w:t>. Regelmæssige kliniske prøver og laboratorieundersøgelser er påkrævet.</w:t>
      </w:r>
    </w:p>
    <w:p w:rsidR="00AC3FAE" w:rsidRPr="005F7D4D" w:rsidRDefault="00AC3FAE" w:rsidP="00AC3FAE">
      <w:pPr>
        <w:pStyle w:val="Opstilling-punkttegn2"/>
        <w:numPr>
          <w:ilvl w:val="0"/>
          <w:numId w:val="14"/>
        </w:numPr>
        <w:spacing w:before="0" w:after="0" w:line="240" w:lineRule="auto"/>
        <w:rPr>
          <w:snapToGrid w:val="0"/>
        </w:rPr>
      </w:pPr>
      <w:r w:rsidRPr="005F7D4D">
        <w:rPr>
          <w:snapToGrid w:val="0"/>
        </w:rPr>
        <w:t xml:space="preserve">Diabetes mellitus. Overvågning af </w:t>
      </w:r>
      <w:proofErr w:type="spellStart"/>
      <w:r w:rsidRPr="005F7D4D">
        <w:rPr>
          <w:snapToGrid w:val="0"/>
        </w:rPr>
        <w:t>glucosekoncentrationer</w:t>
      </w:r>
      <w:proofErr w:type="spellEnd"/>
      <w:r w:rsidRPr="005F7D4D">
        <w:rPr>
          <w:snapToGrid w:val="0"/>
        </w:rPr>
        <w:t xml:space="preserve">, </w:t>
      </w:r>
      <w:proofErr w:type="spellStart"/>
      <w:r w:rsidRPr="005F7D4D">
        <w:rPr>
          <w:snapToGrid w:val="0"/>
        </w:rPr>
        <w:t>glukosuri</w:t>
      </w:r>
      <w:proofErr w:type="spellEnd"/>
      <w:r w:rsidRPr="005F7D4D">
        <w:rPr>
          <w:snapToGrid w:val="0"/>
        </w:rPr>
        <w:t xml:space="preserve">, </w:t>
      </w:r>
      <w:proofErr w:type="spellStart"/>
      <w:r w:rsidRPr="005F7D4D">
        <w:rPr>
          <w:snapToGrid w:val="0"/>
        </w:rPr>
        <w:t>ketonuri</w:t>
      </w:r>
      <w:proofErr w:type="spellEnd"/>
      <w:r w:rsidRPr="005F7D4D">
        <w:rPr>
          <w:snapToGrid w:val="0"/>
        </w:rPr>
        <w:t xml:space="preserve"> og, hvor det er nødvendigt, justering af insulindosis.</w:t>
      </w:r>
    </w:p>
    <w:p w:rsidR="00AC3FAE" w:rsidRPr="005F7D4D" w:rsidRDefault="00AC3FAE" w:rsidP="00AC3FAE">
      <w:pPr>
        <w:pStyle w:val="Opstilling-punkttegn2"/>
        <w:numPr>
          <w:ilvl w:val="0"/>
          <w:numId w:val="14"/>
        </w:numPr>
        <w:spacing w:before="0" w:after="0" w:line="240" w:lineRule="auto"/>
        <w:rPr>
          <w:snapToGrid w:val="0"/>
        </w:rPr>
      </w:pPr>
      <w:proofErr w:type="spellStart"/>
      <w:r w:rsidRPr="005F7D4D">
        <w:rPr>
          <w:snapToGrid w:val="0"/>
        </w:rPr>
        <w:t>Hyperlipidæmi</w:t>
      </w:r>
      <w:proofErr w:type="spellEnd"/>
      <w:r w:rsidRPr="005F7D4D">
        <w:rPr>
          <w:snapToGrid w:val="0"/>
        </w:rPr>
        <w:t xml:space="preserve"> på grund af tilstedeværelsen af lipider i emulsionen til infusion. Regelmæssige kliniske prøver og laboratorieundersøgelser er påkrævet.</w:t>
      </w:r>
    </w:p>
    <w:p w:rsidR="00AC3FAE" w:rsidRPr="005F7D4D" w:rsidRDefault="00AC3FAE" w:rsidP="00AC3FAE">
      <w:pPr>
        <w:pStyle w:val="Opstilling-punkttegn2"/>
        <w:numPr>
          <w:ilvl w:val="0"/>
          <w:numId w:val="14"/>
        </w:numPr>
        <w:spacing w:before="0" w:after="0" w:line="240" w:lineRule="auto"/>
        <w:rPr>
          <w:snapToGrid w:val="0"/>
        </w:rPr>
      </w:pPr>
      <w:r w:rsidRPr="005F7D4D">
        <w:rPr>
          <w:snapToGrid w:val="0"/>
        </w:rPr>
        <w:t>Forstyrrelser i aminosyremetabolismen.</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i/>
          <w:sz w:val="24"/>
          <w:szCs w:val="24"/>
        </w:rPr>
      </w:pPr>
      <w:r w:rsidRPr="005F7D4D">
        <w:rPr>
          <w:i/>
          <w:sz w:val="24"/>
          <w:szCs w:val="24"/>
        </w:rPr>
        <w:t>Lever og galdeveje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Lever- og galdevejssygdomme, herunder </w:t>
      </w:r>
      <w:proofErr w:type="spellStart"/>
      <w:r w:rsidRPr="005F7D4D">
        <w:rPr>
          <w:sz w:val="24"/>
          <w:szCs w:val="24"/>
        </w:rPr>
        <w:t>cholestase</w:t>
      </w:r>
      <w:proofErr w:type="spellEnd"/>
      <w:r w:rsidRPr="005F7D4D">
        <w:rPr>
          <w:sz w:val="24"/>
          <w:szCs w:val="24"/>
        </w:rPr>
        <w:t xml:space="preserve">, </w:t>
      </w:r>
      <w:proofErr w:type="spellStart"/>
      <w:r w:rsidRPr="005F7D4D">
        <w:rPr>
          <w:sz w:val="24"/>
          <w:szCs w:val="24"/>
        </w:rPr>
        <w:t>hepatisk</w:t>
      </w:r>
      <w:proofErr w:type="spellEnd"/>
      <w:r w:rsidRPr="005F7D4D">
        <w:rPr>
          <w:sz w:val="24"/>
          <w:szCs w:val="24"/>
        </w:rPr>
        <w:t xml:space="preserve"> </w:t>
      </w:r>
      <w:proofErr w:type="spellStart"/>
      <w:r w:rsidRPr="005F7D4D">
        <w:rPr>
          <w:sz w:val="24"/>
          <w:szCs w:val="24"/>
        </w:rPr>
        <w:t>steatose</w:t>
      </w:r>
      <w:proofErr w:type="spellEnd"/>
      <w:r w:rsidRPr="005F7D4D">
        <w:rPr>
          <w:sz w:val="24"/>
          <w:szCs w:val="24"/>
        </w:rPr>
        <w:t xml:space="preserve">, fibrose og cirrose, som muligvis fører til leversvigt, samt </w:t>
      </w:r>
      <w:proofErr w:type="spellStart"/>
      <w:r w:rsidRPr="005F7D4D">
        <w:rPr>
          <w:sz w:val="24"/>
          <w:szCs w:val="24"/>
        </w:rPr>
        <w:t>cholecystitis</w:t>
      </w:r>
      <w:proofErr w:type="spellEnd"/>
      <w:r w:rsidRPr="005F7D4D">
        <w:rPr>
          <w:sz w:val="24"/>
          <w:szCs w:val="24"/>
        </w:rPr>
        <w:t xml:space="preserve"> og </w:t>
      </w:r>
      <w:proofErr w:type="spellStart"/>
      <w:r w:rsidRPr="005F7D4D">
        <w:rPr>
          <w:sz w:val="24"/>
          <w:szCs w:val="24"/>
        </w:rPr>
        <w:t>cholelithiasis</w:t>
      </w:r>
      <w:proofErr w:type="spellEnd"/>
      <w:r w:rsidRPr="005F7D4D">
        <w:rPr>
          <w:sz w:val="24"/>
          <w:szCs w:val="24"/>
        </w:rPr>
        <w:t xml:space="preserve">, er kendt for at udvikles hos nogle patienter på parenteral ernæring. Ætiologien af disse symptomer menes at være </w:t>
      </w:r>
      <w:proofErr w:type="spellStart"/>
      <w:r w:rsidRPr="005F7D4D">
        <w:rPr>
          <w:sz w:val="24"/>
          <w:szCs w:val="24"/>
        </w:rPr>
        <w:t>multifaktoriel</w:t>
      </w:r>
      <w:proofErr w:type="spellEnd"/>
      <w:r w:rsidRPr="005F7D4D">
        <w:rPr>
          <w:sz w:val="24"/>
          <w:szCs w:val="24"/>
        </w:rPr>
        <w:t xml:space="preserve"> og kan være forskellig fra patient til patient. Patienter, som udvikler abnorme laboratorietests eller andre tegn på lever- og galdevejssygdomme, bør undersøges tidligt af en læge med kendskab til leversygdomme for at identificere mulige kausale og medvirkende faktorer og mulige terapeutiske og forebyggende interventioner.</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lastRenderedPageBreak/>
        <w:t>Serumkoncentrationer af triglycerid og kroppens evne til at eliminere fedt skal kontrolleres regelmæssigt. Koncentrationer af triglycerid i serum må ikke overstige 3 mmol/l under infusionen.</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Hvis der er mistanke om en unormal lipidmetabolisme, anbefales det at måle niveauerne af serumtriglycerider dagligt efter et tidsrum på 5 til 6 timer uden fedtindgivelse. Hos voksne skal serum være uden uklarheder senest 6 timer efter, at infusionen af fedtemulsionen er ophørt. Den næste infusion må først indgives, når koncentrationen af triglycerider i serum er vendt tilbage til </w:t>
      </w:r>
      <w:r w:rsidRPr="005F7D4D">
        <w:rPr>
          <w:i/>
          <w:iCs/>
          <w:sz w:val="24"/>
          <w:szCs w:val="24"/>
        </w:rPr>
        <w:t>baseline</w:t>
      </w:r>
      <w:r w:rsidRPr="005F7D4D">
        <w:rPr>
          <w:sz w:val="24"/>
          <w:szCs w:val="24"/>
        </w:rPr>
        <w:t>-værdierne.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Fedtoverbelastningssyndrom er rapporteret med lignende produkter. Den nedsatte eller begrænsede evne til at </w:t>
      </w:r>
      <w:proofErr w:type="spellStart"/>
      <w:r w:rsidRPr="005F7D4D">
        <w:rPr>
          <w:sz w:val="24"/>
          <w:szCs w:val="24"/>
        </w:rPr>
        <w:t>metabolisere</w:t>
      </w:r>
      <w:proofErr w:type="spellEnd"/>
      <w:r w:rsidRPr="005F7D4D">
        <w:rPr>
          <w:sz w:val="24"/>
          <w:szCs w:val="24"/>
        </w:rPr>
        <w:t xml:space="preserve"> fedtstofferne i </w:t>
      </w:r>
      <w:proofErr w:type="spellStart"/>
      <w:r w:rsidRPr="005F7D4D">
        <w:rPr>
          <w:sz w:val="24"/>
          <w:szCs w:val="24"/>
        </w:rPr>
        <w:t>Olimel</w:t>
      </w:r>
      <w:proofErr w:type="spellEnd"/>
      <w:r w:rsidRPr="005F7D4D">
        <w:rPr>
          <w:sz w:val="24"/>
          <w:szCs w:val="24"/>
        </w:rPr>
        <w:t xml:space="preserve"> N12E kan medføre et </w:t>
      </w:r>
      <w:r>
        <w:rPr>
          <w:sz w:val="24"/>
          <w:szCs w:val="24"/>
        </w:rPr>
        <w:t>"fedtoverbelastningssyndrom"</w:t>
      </w:r>
      <w:r w:rsidRPr="005F7D4D">
        <w:rPr>
          <w:sz w:val="24"/>
          <w:szCs w:val="24"/>
        </w:rPr>
        <w:t>, der kan skyldes en overdosis. Tegn og symptomer på syndromet kan imidlertid også forekomme, når produktet indgives i henhold til instruktionerne (se også pkt. 4.8).</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I tilfælde af </w:t>
      </w:r>
      <w:proofErr w:type="spellStart"/>
      <w:r w:rsidRPr="005F7D4D">
        <w:rPr>
          <w:sz w:val="24"/>
          <w:szCs w:val="24"/>
        </w:rPr>
        <w:t>hyperglykæmi</w:t>
      </w:r>
      <w:proofErr w:type="spellEnd"/>
      <w:r w:rsidRPr="005F7D4D">
        <w:rPr>
          <w:sz w:val="24"/>
          <w:szCs w:val="24"/>
        </w:rPr>
        <w:t xml:space="preserve"> skal infusionshastigheden af </w:t>
      </w:r>
      <w:proofErr w:type="spellStart"/>
      <w:r w:rsidRPr="005F7D4D">
        <w:rPr>
          <w:sz w:val="24"/>
          <w:szCs w:val="24"/>
        </w:rPr>
        <w:t>Olimel</w:t>
      </w:r>
      <w:proofErr w:type="spellEnd"/>
      <w:r w:rsidRPr="005F7D4D">
        <w:rPr>
          <w:sz w:val="24"/>
          <w:szCs w:val="24"/>
        </w:rPr>
        <w:t xml:space="preserve"> N12E justeres, og/eller insulin skal indgives.</w:t>
      </w:r>
    </w:p>
    <w:p w:rsidR="00AC3FAE" w:rsidRPr="005F7D4D" w:rsidRDefault="00AC3FAE" w:rsidP="00AC3FAE">
      <w:pPr>
        <w:tabs>
          <w:tab w:val="left" w:pos="851"/>
        </w:tabs>
        <w:ind w:left="851"/>
        <w:rPr>
          <w:sz w:val="24"/>
          <w:szCs w:val="24"/>
        </w:rPr>
      </w:pPr>
    </w:p>
    <w:p w:rsidR="00AC3FAE" w:rsidRPr="005F7D4D" w:rsidRDefault="00AC3FAE" w:rsidP="00AC3FAE">
      <w:pPr>
        <w:pStyle w:val="Paragraph"/>
        <w:spacing w:before="0" w:after="0" w:line="240" w:lineRule="auto"/>
        <w:ind w:left="851"/>
        <w:rPr>
          <w:caps/>
        </w:rPr>
      </w:pPr>
      <w:r w:rsidRPr="005F7D4D">
        <w:rPr>
          <w:caps/>
        </w:rPr>
        <w:t>Må ikke indgives gennem en perifer vene.</w:t>
      </w:r>
    </w:p>
    <w:p w:rsidR="00AC3FAE" w:rsidRPr="005F7D4D" w:rsidRDefault="00AC3FAE" w:rsidP="00AC3FAE">
      <w:pPr>
        <w:tabs>
          <w:tab w:val="left" w:pos="851"/>
        </w:tabs>
        <w:ind w:left="851"/>
        <w:rPr>
          <w:sz w:val="24"/>
          <w:szCs w:val="24"/>
        </w:rPr>
      </w:pPr>
    </w:p>
    <w:p w:rsidR="004914D2" w:rsidRDefault="004914D2" w:rsidP="004914D2">
      <w:pPr>
        <w:tabs>
          <w:tab w:val="left" w:pos="851"/>
        </w:tabs>
        <w:ind w:left="851"/>
        <w:rPr>
          <w:sz w:val="24"/>
          <w:szCs w:val="24"/>
        </w:rPr>
      </w:pPr>
      <w:r>
        <w:rPr>
          <w:sz w:val="24"/>
          <w:szCs w:val="24"/>
        </w:rPr>
        <w:t>Selvom der er et naturligt indhold af sporstoffer og vitaminer i produktet, er niveauerne utilstrækkelige til at opfylde kroppens behov. Sporstoffer og vitaminer bør tilsættes i tilstrækkelige mængder for at opfylde individuelle patientkrav og for at undgå, at der opstår udvikling af mangler. Se vejledning for tilsætning til dette produkt.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Der bør udvises forsigtighed ved indgivelse af </w:t>
      </w:r>
      <w:proofErr w:type="spellStart"/>
      <w:r w:rsidRPr="005F7D4D">
        <w:rPr>
          <w:sz w:val="24"/>
          <w:szCs w:val="24"/>
        </w:rPr>
        <w:t>Olimel</w:t>
      </w:r>
      <w:proofErr w:type="spellEnd"/>
      <w:r w:rsidRPr="005F7D4D">
        <w:rPr>
          <w:sz w:val="24"/>
          <w:szCs w:val="24"/>
        </w:rPr>
        <w:t xml:space="preserve"> N12E til patienter med øget </w:t>
      </w:r>
      <w:proofErr w:type="spellStart"/>
      <w:r w:rsidRPr="005F7D4D">
        <w:rPr>
          <w:sz w:val="24"/>
          <w:szCs w:val="24"/>
        </w:rPr>
        <w:t>osmolaritet</w:t>
      </w:r>
      <w:proofErr w:type="spellEnd"/>
      <w:r w:rsidRPr="005F7D4D">
        <w:rPr>
          <w:sz w:val="24"/>
          <w:szCs w:val="24"/>
        </w:rPr>
        <w:t xml:space="preserve">, </w:t>
      </w:r>
      <w:proofErr w:type="spellStart"/>
      <w:r w:rsidRPr="005F7D4D">
        <w:rPr>
          <w:sz w:val="24"/>
          <w:szCs w:val="24"/>
        </w:rPr>
        <w:t>adrenal</w:t>
      </w:r>
      <w:proofErr w:type="spellEnd"/>
      <w:r w:rsidRPr="005F7D4D">
        <w:rPr>
          <w:sz w:val="24"/>
          <w:szCs w:val="24"/>
        </w:rPr>
        <w:t xml:space="preserve"> insufficiens, hjertesvigt eller </w:t>
      </w:r>
      <w:proofErr w:type="spellStart"/>
      <w:r w:rsidRPr="005F7D4D">
        <w:rPr>
          <w:sz w:val="24"/>
          <w:szCs w:val="24"/>
        </w:rPr>
        <w:t>pulmonal</w:t>
      </w:r>
      <w:proofErr w:type="spellEnd"/>
      <w:r w:rsidRPr="005F7D4D">
        <w:rPr>
          <w:sz w:val="24"/>
          <w:szCs w:val="24"/>
        </w:rPr>
        <w:t xml:space="preserve"> dysfun</w:t>
      </w:r>
      <w:r>
        <w:rPr>
          <w:sz w:val="24"/>
          <w:szCs w:val="24"/>
        </w:rPr>
        <w:t>k</w:t>
      </w:r>
      <w:r w:rsidRPr="005F7D4D">
        <w:rPr>
          <w:sz w:val="24"/>
          <w:szCs w:val="24"/>
        </w:rPr>
        <w:t>tion.</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Hos fejlernærede patienter kan initiering af parenteral ernæring fremskynde væskeskift, som kan fremkalde lungeødem og kongestiv hjerteinsufficiens samt reduktion af serumkoncentrationen af kalium, </w:t>
      </w:r>
      <w:proofErr w:type="spellStart"/>
      <w:r w:rsidRPr="005F7D4D">
        <w:rPr>
          <w:sz w:val="24"/>
          <w:szCs w:val="24"/>
        </w:rPr>
        <w:t>phosphor</w:t>
      </w:r>
      <w:proofErr w:type="spellEnd"/>
      <w:r w:rsidRPr="005F7D4D">
        <w:rPr>
          <w:sz w:val="24"/>
          <w:szCs w:val="24"/>
        </w:rPr>
        <w:t>, magnesium eller vandopløselige vitaminer. Disse forandringer kan forekomme i løbet af 24 til 48 timer. Forsigtig og langsom initiering af parenteral ernæring anbefales derfor med en nøje overvågning og passende justeringer af væske, elektrolytter, sporstoffer og vitaminer.</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b/>
          <w:sz w:val="24"/>
          <w:szCs w:val="24"/>
        </w:rPr>
      </w:pPr>
      <w:r w:rsidRPr="005F7D4D">
        <w:rPr>
          <w:sz w:val="24"/>
          <w:szCs w:val="24"/>
        </w:rPr>
        <w:t xml:space="preserve">Poser må ikke serieforbindes, da dette kan medføre </w:t>
      </w:r>
      <w:proofErr w:type="spellStart"/>
      <w:r w:rsidRPr="005F7D4D">
        <w:rPr>
          <w:sz w:val="24"/>
          <w:szCs w:val="24"/>
        </w:rPr>
        <w:t>luftemboli</w:t>
      </w:r>
      <w:proofErr w:type="spellEnd"/>
      <w:r w:rsidRPr="005F7D4D">
        <w:rPr>
          <w:sz w:val="24"/>
          <w:szCs w:val="24"/>
        </w:rPr>
        <w:t xml:space="preserve"> på grund af den resterende luft i den primære pose.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For at undgå risici i forbindelse med for høje infusionshastigheder anbefales en konstant og kontrolleret infusionshastighed.</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proofErr w:type="spellStart"/>
      <w:r w:rsidRPr="005F7D4D">
        <w:rPr>
          <w:sz w:val="24"/>
          <w:szCs w:val="24"/>
        </w:rPr>
        <w:t>Olimel</w:t>
      </w:r>
      <w:proofErr w:type="spellEnd"/>
      <w:r w:rsidRPr="005F7D4D">
        <w:rPr>
          <w:sz w:val="24"/>
          <w:szCs w:val="24"/>
        </w:rPr>
        <w:t xml:space="preserve"> N12E skal anvendes med forsigtighed til patienter med tendens til tilbageholdelse af elektrolytter.</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Intravenøs infusion af aminosyrer ledsages af øget </w:t>
      </w:r>
      <w:proofErr w:type="spellStart"/>
      <w:r w:rsidRPr="005F7D4D">
        <w:rPr>
          <w:sz w:val="24"/>
          <w:szCs w:val="24"/>
        </w:rPr>
        <w:t>urinær</w:t>
      </w:r>
      <w:proofErr w:type="spellEnd"/>
      <w:r w:rsidRPr="005F7D4D">
        <w:rPr>
          <w:sz w:val="24"/>
          <w:szCs w:val="24"/>
        </w:rPr>
        <w:t xml:space="preserve"> udskillelse af sporstoffer, især kobber og zink. Dette bør tages i betragtning ved dosering af sporstoffer, især hvor der gives intravenøs ernæring gennem længere tid.</w:t>
      </w:r>
    </w:p>
    <w:p w:rsidR="00AC3FAE" w:rsidRPr="005F7D4D" w:rsidRDefault="00AC3FAE" w:rsidP="00AC3FAE">
      <w:pPr>
        <w:tabs>
          <w:tab w:val="left" w:pos="851"/>
        </w:tabs>
        <w:ind w:left="851"/>
        <w:rPr>
          <w:i/>
          <w:iCs/>
          <w:sz w:val="24"/>
          <w:szCs w:val="24"/>
        </w:rPr>
      </w:pPr>
    </w:p>
    <w:p w:rsidR="00AC3FAE" w:rsidRPr="005F7D4D" w:rsidRDefault="00AC3FAE" w:rsidP="00415674">
      <w:pPr>
        <w:keepNext/>
        <w:tabs>
          <w:tab w:val="left" w:pos="851"/>
        </w:tabs>
        <w:ind w:left="851"/>
        <w:rPr>
          <w:i/>
          <w:iCs/>
          <w:sz w:val="24"/>
          <w:szCs w:val="24"/>
        </w:rPr>
      </w:pPr>
      <w:r w:rsidRPr="005F7D4D">
        <w:rPr>
          <w:i/>
          <w:iCs/>
          <w:sz w:val="24"/>
          <w:szCs w:val="24"/>
        </w:rPr>
        <w:lastRenderedPageBreak/>
        <w:t>Interferens med laboratorieundersøgelser</w:t>
      </w:r>
    </w:p>
    <w:p w:rsidR="00AC3FAE" w:rsidRPr="005F7D4D" w:rsidRDefault="00AC3FAE" w:rsidP="00415674">
      <w:pPr>
        <w:keepNext/>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Fedtstofferne i denne emulsion kan påvirke resultaterne af visse laboratorieundersøgelser (se pkt. 4.5).</w:t>
      </w:r>
    </w:p>
    <w:p w:rsidR="00AC3FAE" w:rsidRPr="005F7D4D" w:rsidRDefault="00AC3FAE" w:rsidP="00AC3FAE">
      <w:pPr>
        <w:tabs>
          <w:tab w:val="left" w:pos="851"/>
        </w:tabs>
        <w:ind w:left="851"/>
        <w:rPr>
          <w:i/>
          <w:iCs/>
          <w:sz w:val="24"/>
          <w:szCs w:val="24"/>
        </w:rPr>
      </w:pPr>
    </w:p>
    <w:p w:rsidR="00AC3FAE" w:rsidRPr="005F7D4D" w:rsidRDefault="00AC3FAE" w:rsidP="00AC3FAE">
      <w:pPr>
        <w:tabs>
          <w:tab w:val="left" w:pos="851"/>
        </w:tabs>
        <w:ind w:left="851"/>
        <w:rPr>
          <w:i/>
          <w:iCs/>
          <w:sz w:val="24"/>
          <w:szCs w:val="24"/>
        </w:rPr>
      </w:pPr>
      <w:r w:rsidRPr="005F7D4D">
        <w:rPr>
          <w:i/>
          <w:iCs/>
          <w:sz w:val="24"/>
          <w:szCs w:val="24"/>
        </w:rPr>
        <w:t>Særlige forholdsregler hos pædiatriske patienter</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Ved indgivelse til børn over 2 år er det vigtigt at anvende en pose, som har en volumen, der svarer til den daglige dosis.</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proofErr w:type="spellStart"/>
      <w:r w:rsidRPr="005F7D4D">
        <w:rPr>
          <w:sz w:val="24"/>
          <w:szCs w:val="24"/>
        </w:rPr>
        <w:t>Olimel</w:t>
      </w:r>
      <w:proofErr w:type="spellEnd"/>
      <w:r w:rsidRPr="005F7D4D">
        <w:rPr>
          <w:sz w:val="24"/>
          <w:szCs w:val="24"/>
        </w:rPr>
        <w:t xml:space="preserve"> N12E er ikke egnet til brug til børn under 2 år, fordi:</w:t>
      </w:r>
    </w:p>
    <w:p w:rsidR="00AC3FAE" w:rsidRPr="005F7D4D" w:rsidRDefault="00AC3FAE" w:rsidP="00AC3FAE">
      <w:pPr>
        <w:numPr>
          <w:ilvl w:val="0"/>
          <w:numId w:val="15"/>
        </w:numPr>
        <w:rPr>
          <w:sz w:val="24"/>
          <w:szCs w:val="24"/>
        </w:rPr>
      </w:pPr>
      <w:proofErr w:type="spellStart"/>
      <w:r w:rsidRPr="005F7D4D">
        <w:rPr>
          <w:sz w:val="24"/>
          <w:szCs w:val="24"/>
        </w:rPr>
        <w:t>glucoseindtagelsen</w:t>
      </w:r>
      <w:proofErr w:type="spellEnd"/>
      <w:r w:rsidRPr="005F7D4D">
        <w:rPr>
          <w:sz w:val="24"/>
          <w:szCs w:val="24"/>
        </w:rPr>
        <w:t xml:space="preserve"> er for lav, hvilket fører til et lavt </w:t>
      </w:r>
      <w:proofErr w:type="spellStart"/>
      <w:r w:rsidRPr="005F7D4D">
        <w:rPr>
          <w:sz w:val="24"/>
          <w:szCs w:val="24"/>
        </w:rPr>
        <w:t>glucose</w:t>
      </w:r>
      <w:proofErr w:type="spellEnd"/>
      <w:r w:rsidRPr="005F7D4D">
        <w:rPr>
          <w:sz w:val="24"/>
          <w:szCs w:val="24"/>
        </w:rPr>
        <w:t xml:space="preserve">/fedt-forhold </w:t>
      </w:r>
    </w:p>
    <w:p w:rsidR="00AC3FAE" w:rsidRPr="005F7D4D" w:rsidRDefault="00AC3FAE" w:rsidP="00AC3FAE">
      <w:pPr>
        <w:numPr>
          <w:ilvl w:val="0"/>
          <w:numId w:val="15"/>
        </w:numPr>
        <w:rPr>
          <w:sz w:val="24"/>
          <w:szCs w:val="24"/>
        </w:rPr>
      </w:pPr>
      <w:r w:rsidRPr="005F7D4D">
        <w:rPr>
          <w:sz w:val="24"/>
          <w:szCs w:val="24"/>
        </w:rPr>
        <w:t xml:space="preserve">manglende </w:t>
      </w:r>
      <w:proofErr w:type="spellStart"/>
      <w:r w:rsidRPr="005F7D4D">
        <w:rPr>
          <w:sz w:val="24"/>
          <w:szCs w:val="24"/>
        </w:rPr>
        <w:t>cystein</w:t>
      </w:r>
      <w:proofErr w:type="spellEnd"/>
      <w:r w:rsidRPr="005F7D4D">
        <w:rPr>
          <w:sz w:val="24"/>
          <w:szCs w:val="24"/>
        </w:rPr>
        <w:t xml:space="preserve"> gør aminosyreprofilen uegnet </w:t>
      </w:r>
    </w:p>
    <w:p w:rsidR="00AC3FAE" w:rsidRPr="005F7D4D" w:rsidRDefault="00AC3FAE" w:rsidP="00AC3FAE">
      <w:pPr>
        <w:numPr>
          <w:ilvl w:val="0"/>
          <w:numId w:val="15"/>
        </w:numPr>
        <w:rPr>
          <w:sz w:val="24"/>
          <w:szCs w:val="24"/>
        </w:rPr>
      </w:pPr>
      <w:r w:rsidRPr="005F7D4D">
        <w:rPr>
          <w:sz w:val="24"/>
          <w:szCs w:val="24"/>
        </w:rPr>
        <w:t>calciumniveauet er for lavt</w:t>
      </w:r>
    </w:p>
    <w:p w:rsidR="00AC3FAE" w:rsidRPr="005F7D4D" w:rsidRDefault="00AC3FAE" w:rsidP="00AC3FAE">
      <w:pPr>
        <w:ind w:left="851"/>
        <w:rPr>
          <w:sz w:val="24"/>
          <w:szCs w:val="24"/>
        </w:rPr>
      </w:pPr>
    </w:p>
    <w:p w:rsidR="00AC3FAE" w:rsidRPr="005F7D4D" w:rsidRDefault="00AC3FAE" w:rsidP="00AC3FAE">
      <w:pPr>
        <w:ind w:left="851"/>
        <w:rPr>
          <w:sz w:val="24"/>
          <w:szCs w:val="24"/>
        </w:rPr>
      </w:pPr>
      <w:r w:rsidRPr="005F7D4D">
        <w:rPr>
          <w:sz w:val="24"/>
          <w:szCs w:val="24"/>
        </w:rPr>
        <w:t>Supplering med vitaminer og sporstoffer er altid nødvendigt. Der skal bruges pædiatriske formuleringer.</w:t>
      </w:r>
    </w:p>
    <w:p w:rsidR="00AC3FAE" w:rsidRPr="005F7D4D" w:rsidRDefault="00AC3FAE" w:rsidP="00AC3FAE">
      <w:pPr>
        <w:ind w:left="851"/>
        <w:rPr>
          <w:i/>
          <w:sz w:val="24"/>
          <w:szCs w:val="24"/>
        </w:rPr>
      </w:pPr>
    </w:p>
    <w:p w:rsidR="00AC3FAE" w:rsidRPr="005F7D4D" w:rsidRDefault="00AC3FAE" w:rsidP="00AC3FAE">
      <w:pPr>
        <w:ind w:left="851"/>
        <w:rPr>
          <w:sz w:val="24"/>
          <w:szCs w:val="24"/>
        </w:rPr>
      </w:pPr>
      <w:r w:rsidRPr="005F7D4D">
        <w:rPr>
          <w:i/>
          <w:sz w:val="24"/>
          <w:szCs w:val="24"/>
        </w:rPr>
        <w:t>Ældre</w:t>
      </w:r>
    </w:p>
    <w:p w:rsidR="00AC3FAE" w:rsidRPr="005F7D4D" w:rsidRDefault="00AC3FAE" w:rsidP="00AC3FAE">
      <w:pPr>
        <w:ind w:left="851"/>
        <w:rPr>
          <w:sz w:val="24"/>
          <w:szCs w:val="24"/>
        </w:rPr>
      </w:pPr>
    </w:p>
    <w:p w:rsidR="00AC3FAE" w:rsidRPr="005F7D4D" w:rsidRDefault="00AC3FAE" w:rsidP="00AC3FAE">
      <w:pPr>
        <w:ind w:left="851"/>
        <w:rPr>
          <w:sz w:val="24"/>
          <w:szCs w:val="24"/>
        </w:rPr>
      </w:pPr>
      <w:r w:rsidRPr="005F7D4D">
        <w:rPr>
          <w:sz w:val="24"/>
          <w:szCs w:val="24"/>
        </w:rPr>
        <w:t>Generelt bør dosis til ældre patienter vælges med forsigtighed og afspejle den større frekvens af nedsat lever-, nyre- eller hjertefunktion og anden samtidig sygdom eller lægemiddelbehandling.</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4.5</w:t>
      </w:r>
      <w:r w:rsidRPr="005F7D4D">
        <w:rPr>
          <w:b/>
          <w:sz w:val="24"/>
          <w:szCs w:val="24"/>
        </w:rPr>
        <w:tab/>
        <w:t>Interaktion med andre lægemidler og andre former for interaktion</w:t>
      </w:r>
    </w:p>
    <w:p w:rsidR="00AC3FAE" w:rsidRPr="005F7D4D" w:rsidRDefault="00AC3FAE" w:rsidP="00AC3FAE">
      <w:pPr>
        <w:tabs>
          <w:tab w:val="left" w:pos="851"/>
        </w:tabs>
        <w:ind w:left="851"/>
        <w:rPr>
          <w:sz w:val="24"/>
          <w:szCs w:val="24"/>
        </w:rPr>
      </w:pPr>
      <w:r w:rsidRPr="005F7D4D">
        <w:rPr>
          <w:sz w:val="24"/>
          <w:szCs w:val="24"/>
        </w:rPr>
        <w:t>Der er ikke udført interaktionsstudier.</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proofErr w:type="spellStart"/>
      <w:r w:rsidRPr="005F7D4D">
        <w:rPr>
          <w:sz w:val="24"/>
          <w:szCs w:val="24"/>
        </w:rPr>
        <w:t>Olimel</w:t>
      </w:r>
      <w:proofErr w:type="spellEnd"/>
      <w:r w:rsidRPr="005F7D4D">
        <w:rPr>
          <w:sz w:val="24"/>
          <w:szCs w:val="24"/>
        </w:rPr>
        <w:t xml:space="preserve"> N12E må ikke indgives samtidig med blod via samme infusionsudstyr på grund af risikoen for pseudoagglutination.</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Fedtstofferne i denne emulsion kan påvirke resultaterne af visse laboratorieprøver (for eksempel bilirubin, </w:t>
      </w:r>
      <w:proofErr w:type="spellStart"/>
      <w:r w:rsidRPr="005F7D4D">
        <w:rPr>
          <w:sz w:val="24"/>
          <w:szCs w:val="24"/>
        </w:rPr>
        <w:t>lactatdehydrogenase</w:t>
      </w:r>
      <w:proofErr w:type="spellEnd"/>
      <w:r w:rsidRPr="005F7D4D">
        <w:rPr>
          <w:sz w:val="24"/>
          <w:szCs w:val="24"/>
        </w:rPr>
        <w:t>, iltmætning, blodets hæmoglobin), hvis blodprøven tages, før fedtstofferne er elimineret (disse elimineres normalt efter en periode på 5-6 timer uden tilførsel af fedtstoffer).</w:t>
      </w:r>
    </w:p>
    <w:p w:rsidR="00AC3FAE" w:rsidRPr="005F7D4D" w:rsidRDefault="00AC3FAE" w:rsidP="00AC3FAE">
      <w:pPr>
        <w:tabs>
          <w:tab w:val="left" w:pos="851"/>
        </w:tabs>
        <w:ind w:left="851"/>
        <w:rPr>
          <w:sz w:val="24"/>
          <w:szCs w:val="24"/>
        </w:rPr>
      </w:pPr>
    </w:p>
    <w:p w:rsidR="00AC3FAE" w:rsidRPr="005F7D4D" w:rsidDel="00FA1CBB" w:rsidRDefault="00AC3FAE" w:rsidP="00AC3FAE">
      <w:pPr>
        <w:tabs>
          <w:tab w:val="left" w:pos="851"/>
        </w:tabs>
        <w:ind w:left="851"/>
        <w:rPr>
          <w:sz w:val="24"/>
          <w:szCs w:val="24"/>
        </w:rPr>
      </w:pPr>
      <w:r w:rsidRPr="005F7D4D">
        <w:rPr>
          <w:sz w:val="24"/>
          <w:szCs w:val="24"/>
        </w:rPr>
        <w:t xml:space="preserve">Der kan forekomme udfældning af </w:t>
      </w:r>
      <w:proofErr w:type="spellStart"/>
      <w:r w:rsidRPr="005F7D4D">
        <w:rPr>
          <w:sz w:val="24"/>
          <w:szCs w:val="24"/>
        </w:rPr>
        <w:t>ceftriaxon</w:t>
      </w:r>
      <w:proofErr w:type="spellEnd"/>
      <w:r w:rsidRPr="005F7D4D">
        <w:rPr>
          <w:sz w:val="24"/>
          <w:szCs w:val="24"/>
        </w:rPr>
        <w:t xml:space="preserve">-calcium, når </w:t>
      </w:r>
      <w:proofErr w:type="spellStart"/>
      <w:r w:rsidRPr="005F7D4D">
        <w:rPr>
          <w:sz w:val="24"/>
          <w:szCs w:val="24"/>
        </w:rPr>
        <w:t>ceftriaxon</w:t>
      </w:r>
      <w:proofErr w:type="spellEnd"/>
      <w:r w:rsidRPr="005F7D4D">
        <w:rPr>
          <w:sz w:val="24"/>
          <w:szCs w:val="24"/>
        </w:rPr>
        <w:t xml:space="preserve"> blandes med calciumholdige opløsninger i samme intravenøse </w:t>
      </w:r>
      <w:proofErr w:type="spellStart"/>
      <w:r w:rsidRPr="005F7D4D">
        <w:rPr>
          <w:sz w:val="24"/>
          <w:szCs w:val="24"/>
        </w:rPr>
        <w:t>infussionsslange</w:t>
      </w:r>
      <w:proofErr w:type="spellEnd"/>
      <w:r w:rsidRPr="005F7D4D">
        <w:rPr>
          <w:sz w:val="24"/>
          <w:szCs w:val="24"/>
        </w:rPr>
        <w:t xml:space="preserve">. </w:t>
      </w:r>
      <w:proofErr w:type="spellStart"/>
      <w:r w:rsidRPr="005F7D4D">
        <w:rPr>
          <w:sz w:val="24"/>
          <w:szCs w:val="24"/>
        </w:rPr>
        <w:t>Ceftriaxon</w:t>
      </w:r>
      <w:proofErr w:type="spellEnd"/>
      <w:r w:rsidRPr="005F7D4D">
        <w:rPr>
          <w:sz w:val="24"/>
          <w:szCs w:val="24"/>
        </w:rPr>
        <w:t xml:space="preserve"> må ikke blandes eller indgives samtidig med calciumholdige intravenøse opløsninger, herunder </w:t>
      </w:r>
      <w:proofErr w:type="spellStart"/>
      <w:r w:rsidRPr="005F7D4D">
        <w:rPr>
          <w:sz w:val="24"/>
          <w:szCs w:val="24"/>
        </w:rPr>
        <w:t>Olimel</w:t>
      </w:r>
      <w:proofErr w:type="spellEnd"/>
      <w:r w:rsidRPr="005F7D4D">
        <w:rPr>
          <w:sz w:val="24"/>
          <w:szCs w:val="24"/>
        </w:rPr>
        <w:t xml:space="preserve"> N12E, gennem den samme infusionsslange (f.eks. en Y-kobling). Dog kan man indgive </w:t>
      </w:r>
      <w:proofErr w:type="spellStart"/>
      <w:r w:rsidRPr="005F7D4D">
        <w:rPr>
          <w:sz w:val="24"/>
          <w:szCs w:val="24"/>
        </w:rPr>
        <w:t>ceftriaxon</w:t>
      </w:r>
      <w:proofErr w:type="spellEnd"/>
      <w:r w:rsidRPr="005F7D4D">
        <w:rPr>
          <w:sz w:val="24"/>
          <w:szCs w:val="24"/>
        </w:rPr>
        <w:t xml:space="preserve"> og calciumholdige opløsninger sekventielt, den ene efter den anden, hvis infusionsslangerne bliver skyllet grundigt mellem infusionerne med en kompatibel væske (se pkt. 4.4 og 6.2).</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proofErr w:type="spellStart"/>
      <w:r w:rsidRPr="005F7D4D">
        <w:rPr>
          <w:sz w:val="24"/>
          <w:szCs w:val="24"/>
        </w:rPr>
        <w:t>Olimel</w:t>
      </w:r>
      <w:proofErr w:type="spellEnd"/>
      <w:r w:rsidRPr="005F7D4D">
        <w:rPr>
          <w:sz w:val="24"/>
          <w:szCs w:val="24"/>
        </w:rPr>
        <w:t xml:space="preserve"> N12E indeholder vitamin K, der er naturligt til stede i fedtemulsioner. Anbefalede doser af vitamin K i </w:t>
      </w:r>
      <w:proofErr w:type="spellStart"/>
      <w:r w:rsidRPr="005F7D4D">
        <w:rPr>
          <w:sz w:val="24"/>
          <w:szCs w:val="24"/>
        </w:rPr>
        <w:t>Olimel</w:t>
      </w:r>
      <w:proofErr w:type="spellEnd"/>
      <w:r w:rsidRPr="005F7D4D">
        <w:rPr>
          <w:sz w:val="24"/>
          <w:szCs w:val="24"/>
        </w:rPr>
        <w:t xml:space="preserve"> N12E forventes ikke at have indflydelse på virkningen af </w:t>
      </w:r>
      <w:proofErr w:type="spellStart"/>
      <w:r w:rsidRPr="005F7D4D">
        <w:rPr>
          <w:sz w:val="24"/>
          <w:szCs w:val="24"/>
        </w:rPr>
        <w:t>cumarin</w:t>
      </w:r>
      <w:proofErr w:type="spellEnd"/>
      <w:r w:rsidRPr="005F7D4D">
        <w:rPr>
          <w:sz w:val="24"/>
          <w:szCs w:val="24"/>
        </w:rPr>
        <w:t>-derivater.</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På grund af kaliumindholdet i </w:t>
      </w:r>
      <w:proofErr w:type="spellStart"/>
      <w:r w:rsidRPr="005F7D4D">
        <w:rPr>
          <w:sz w:val="24"/>
          <w:szCs w:val="24"/>
        </w:rPr>
        <w:t>Olimel</w:t>
      </w:r>
      <w:proofErr w:type="spellEnd"/>
      <w:r w:rsidRPr="005F7D4D">
        <w:rPr>
          <w:sz w:val="24"/>
          <w:szCs w:val="24"/>
        </w:rPr>
        <w:t xml:space="preserve"> N12E bør der udvises særlig forsigtighed hos patienter, der behandles med kalium-besparende </w:t>
      </w:r>
      <w:proofErr w:type="spellStart"/>
      <w:r w:rsidRPr="005F7D4D">
        <w:rPr>
          <w:sz w:val="24"/>
          <w:szCs w:val="24"/>
        </w:rPr>
        <w:t>diuretika</w:t>
      </w:r>
      <w:proofErr w:type="spellEnd"/>
      <w:r w:rsidRPr="005F7D4D">
        <w:rPr>
          <w:sz w:val="24"/>
          <w:szCs w:val="24"/>
        </w:rPr>
        <w:t xml:space="preserve"> (f.eks. </w:t>
      </w:r>
      <w:proofErr w:type="spellStart"/>
      <w:r w:rsidRPr="005F7D4D">
        <w:rPr>
          <w:sz w:val="24"/>
          <w:szCs w:val="24"/>
        </w:rPr>
        <w:t>amilorid</w:t>
      </w:r>
      <w:proofErr w:type="spellEnd"/>
      <w:r w:rsidRPr="005F7D4D">
        <w:rPr>
          <w:sz w:val="24"/>
          <w:szCs w:val="24"/>
        </w:rPr>
        <w:t xml:space="preserve">, </w:t>
      </w:r>
      <w:proofErr w:type="spellStart"/>
      <w:r w:rsidRPr="005F7D4D">
        <w:rPr>
          <w:sz w:val="24"/>
          <w:szCs w:val="24"/>
        </w:rPr>
        <w:t>spironolacton</w:t>
      </w:r>
      <w:proofErr w:type="spellEnd"/>
      <w:r w:rsidRPr="005F7D4D">
        <w:rPr>
          <w:sz w:val="24"/>
          <w:szCs w:val="24"/>
        </w:rPr>
        <w:t xml:space="preserve">, </w:t>
      </w:r>
      <w:proofErr w:type="spellStart"/>
      <w:r w:rsidRPr="005F7D4D">
        <w:rPr>
          <w:sz w:val="24"/>
          <w:szCs w:val="24"/>
        </w:rPr>
        <w:t>triamteren</w:t>
      </w:r>
      <w:proofErr w:type="spellEnd"/>
      <w:r w:rsidRPr="005F7D4D">
        <w:rPr>
          <w:sz w:val="24"/>
          <w:szCs w:val="24"/>
        </w:rPr>
        <w:t>), ACE-</w:t>
      </w:r>
      <w:proofErr w:type="spellStart"/>
      <w:r w:rsidRPr="005F7D4D">
        <w:rPr>
          <w:sz w:val="24"/>
          <w:szCs w:val="24"/>
        </w:rPr>
        <w:t>hæmmere</w:t>
      </w:r>
      <w:proofErr w:type="spellEnd"/>
      <w:r w:rsidRPr="005F7D4D">
        <w:rPr>
          <w:sz w:val="24"/>
          <w:szCs w:val="24"/>
        </w:rPr>
        <w:t xml:space="preserve">, </w:t>
      </w:r>
      <w:proofErr w:type="spellStart"/>
      <w:r w:rsidRPr="005F7D4D">
        <w:rPr>
          <w:sz w:val="24"/>
          <w:szCs w:val="24"/>
        </w:rPr>
        <w:t>angiotensin</w:t>
      </w:r>
      <w:proofErr w:type="spellEnd"/>
      <w:r w:rsidRPr="005F7D4D">
        <w:rPr>
          <w:sz w:val="24"/>
          <w:szCs w:val="24"/>
        </w:rPr>
        <w:t xml:space="preserve"> II-receptorantagonister eller immunsuppressive midler med </w:t>
      </w:r>
      <w:proofErr w:type="spellStart"/>
      <w:r w:rsidRPr="005F7D4D">
        <w:rPr>
          <w:sz w:val="24"/>
          <w:szCs w:val="24"/>
        </w:rPr>
        <w:t>tacrolimus</w:t>
      </w:r>
      <w:proofErr w:type="spellEnd"/>
      <w:r w:rsidRPr="005F7D4D">
        <w:rPr>
          <w:sz w:val="24"/>
          <w:szCs w:val="24"/>
        </w:rPr>
        <w:t xml:space="preserve"> eller </w:t>
      </w:r>
      <w:proofErr w:type="spellStart"/>
      <w:r w:rsidRPr="005F7D4D">
        <w:rPr>
          <w:sz w:val="24"/>
          <w:szCs w:val="24"/>
        </w:rPr>
        <w:t>cyclosporin</w:t>
      </w:r>
      <w:proofErr w:type="spellEnd"/>
      <w:r w:rsidRPr="005F7D4D">
        <w:rPr>
          <w:sz w:val="24"/>
          <w:szCs w:val="24"/>
        </w:rPr>
        <w:t xml:space="preserve"> på grund af risikoen for </w:t>
      </w:r>
      <w:proofErr w:type="spellStart"/>
      <w:r w:rsidRPr="005F7D4D">
        <w:rPr>
          <w:sz w:val="24"/>
          <w:szCs w:val="24"/>
        </w:rPr>
        <w:t>hyperkaliæmi</w:t>
      </w:r>
      <w:proofErr w:type="spellEnd"/>
      <w:r w:rsidRPr="005F7D4D">
        <w:rPr>
          <w:sz w:val="24"/>
          <w:szCs w:val="24"/>
        </w:rPr>
        <w: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Nogle lægemidler, f.eks. insulin, kan påvirke kroppens </w:t>
      </w:r>
      <w:proofErr w:type="spellStart"/>
      <w:r w:rsidRPr="005F7D4D">
        <w:rPr>
          <w:sz w:val="24"/>
          <w:szCs w:val="24"/>
        </w:rPr>
        <w:t>lipase</w:t>
      </w:r>
      <w:proofErr w:type="spellEnd"/>
      <w:r w:rsidRPr="005F7D4D">
        <w:rPr>
          <w:sz w:val="24"/>
          <w:szCs w:val="24"/>
        </w:rPr>
        <w:t xml:space="preserve"> system. Denne form for interaktion har umiddelbart kun begrænset klinisk betydning. </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proofErr w:type="spellStart"/>
      <w:r w:rsidRPr="005F7D4D">
        <w:rPr>
          <w:sz w:val="24"/>
          <w:szCs w:val="24"/>
        </w:rPr>
        <w:t>Heparin</w:t>
      </w:r>
      <w:proofErr w:type="spellEnd"/>
      <w:r w:rsidRPr="005F7D4D">
        <w:rPr>
          <w:sz w:val="24"/>
          <w:szCs w:val="24"/>
        </w:rPr>
        <w:t xml:space="preserve"> givet i kliniske doser forårsager en forbigående frigivelse af </w:t>
      </w:r>
      <w:proofErr w:type="spellStart"/>
      <w:r w:rsidRPr="005F7D4D">
        <w:rPr>
          <w:sz w:val="24"/>
          <w:szCs w:val="24"/>
        </w:rPr>
        <w:t>lipoproteinlipase</w:t>
      </w:r>
      <w:proofErr w:type="spellEnd"/>
      <w:r w:rsidRPr="005F7D4D">
        <w:rPr>
          <w:sz w:val="24"/>
          <w:szCs w:val="24"/>
        </w:rPr>
        <w:t xml:space="preserve"> i kredsløbet. Dette kan i første omgang resultere i øget plasma </w:t>
      </w:r>
      <w:proofErr w:type="spellStart"/>
      <w:r w:rsidRPr="005F7D4D">
        <w:rPr>
          <w:sz w:val="24"/>
          <w:szCs w:val="24"/>
        </w:rPr>
        <w:t>lipolyse</w:t>
      </w:r>
      <w:proofErr w:type="spellEnd"/>
      <w:r w:rsidRPr="005F7D4D">
        <w:rPr>
          <w:sz w:val="24"/>
          <w:szCs w:val="24"/>
        </w:rPr>
        <w:t xml:space="preserve"> efterfulgt af et forbigående fald i triglycerid </w:t>
      </w:r>
      <w:proofErr w:type="spellStart"/>
      <w:r w:rsidRPr="005F7D4D">
        <w:rPr>
          <w:sz w:val="24"/>
          <w:szCs w:val="24"/>
        </w:rPr>
        <w:t>clearance</w:t>
      </w:r>
      <w:proofErr w:type="spellEnd"/>
      <w:r w:rsidRPr="005F7D4D">
        <w:rPr>
          <w:sz w:val="24"/>
          <w:szCs w:val="24"/>
        </w:rPr>
        <w: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4.6</w:t>
      </w:r>
      <w:r w:rsidRPr="005F7D4D">
        <w:rPr>
          <w:b/>
          <w:sz w:val="24"/>
          <w:szCs w:val="24"/>
        </w:rPr>
        <w:tab/>
      </w:r>
      <w:r w:rsidR="002F0B8C">
        <w:rPr>
          <w:b/>
          <w:sz w:val="24"/>
          <w:szCs w:val="24"/>
        </w:rPr>
        <w:t>Fertilitet, g</w:t>
      </w:r>
      <w:r w:rsidRPr="005F7D4D">
        <w:rPr>
          <w:b/>
          <w:sz w:val="24"/>
          <w:szCs w:val="24"/>
        </w:rPr>
        <w:t>raviditet og amning</w:t>
      </w:r>
    </w:p>
    <w:p w:rsidR="00AC3FAE" w:rsidRDefault="00AC3FAE" w:rsidP="00AC3FAE">
      <w:pPr>
        <w:tabs>
          <w:tab w:val="left" w:pos="851"/>
        </w:tabs>
        <w:ind w:left="851"/>
        <w:rPr>
          <w:sz w:val="24"/>
          <w:szCs w:val="24"/>
          <w:u w:val="single"/>
        </w:rPr>
      </w:pPr>
    </w:p>
    <w:p w:rsidR="00AC3FAE" w:rsidRPr="005F7D4D" w:rsidRDefault="00AC3FAE" w:rsidP="00AC3FAE">
      <w:pPr>
        <w:tabs>
          <w:tab w:val="left" w:pos="851"/>
        </w:tabs>
        <w:ind w:left="851"/>
        <w:rPr>
          <w:sz w:val="24"/>
          <w:szCs w:val="24"/>
          <w:u w:val="single"/>
        </w:rPr>
      </w:pPr>
      <w:r w:rsidRPr="005F7D4D">
        <w:rPr>
          <w:sz w:val="24"/>
          <w:szCs w:val="24"/>
          <w:u w:val="single"/>
        </w:rPr>
        <w:t>Graviditet</w:t>
      </w:r>
    </w:p>
    <w:p w:rsidR="00AC3FAE" w:rsidRPr="005F7D4D" w:rsidRDefault="00AC3FAE" w:rsidP="00AC3FAE">
      <w:pPr>
        <w:tabs>
          <w:tab w:val="left" w:pos="851"/>
        </w:tabs>
        <w:ind w:left="851"/>
        <w:rPr>
          <w:bCs/>
          <w:sz w:val="24"/>
          <w:szCs w:val="24"/>
        </w:rPr>
      </w:pPr>
      <w:r w:rsidRPr="005F7D4D">
        <w:rPr>
          <w:sz w:val="24"/>
          <w:szCs w:val="24"/>
        </w:rPr>
        <w:t xml:space="preserve">Der er ingen kliniske data fra anvendelse af </w:t>
      </w:r>
      <w:proofErr w:type="spellStart"/>
      <w:r w:rsidRPr="005F7D4D">
        <w:rPr>
          <w:sz w:val="24"/>
          <w:szCs w:val="24"/>
        </w:rPr>
        <w:t>Olimel</w:t>
      </w:r>
      <w:proofErr w:type="spellEnd"/>
      <w:r w:rsidRPr="005F7D4D">
        <w:rPr>
          <w:sz w:val="24"/>
          <w:szCs w:val="24"/>
        </w:rPr>
        <w:t xml:space="preserve"> N12E til gravide kvinder. Der er ikke udført dyrereproduktionsstudier med </w:t>
      </w:r>
      <w:proofErr w:type="spellStart"/>
      <w:r w:rsidRPr="005F7D4D">
        <w:rPr>
          <w:sz w:val="24"/>
          <w:szCs w:val="24"/>
        </w:rPr>
        <w:t>Olimel</w:t>
      </w:r>
      <w:proofErr w:type="spellEnd"/>
      <w:r w:rsidRPr="005F7D4D">
        <w:rPr>
          <w:sz w:val="24"/>
          <w:szCs w:val="24"/>
        </w:rPr>
        <w:t xml:space="preserve"> N12E (se pkt. 5.3). Under hensyntagen til anvendelsen af og indikationerne for </w:t>
      </w:r>
      <w:proofErr w:type="spellStart"/>
      <w:r w:rsidRPr="005F7D4D">
        <w:rPr>
          <w:sz w:val="24"/>
          <w:szCs w:val="24"/>
        </w:rPr>
        <w:t>Olimel</w:t>
      </w:r>
      <w:proofErr w:type="spellEnd"/>
      <w:r w:rsidRPr="005F7D4D">
        <w:rPr>
          <w:sz w:val="24"/>
          <w:szCs w:val="24"/>
        </w:rPr>
        <w:t xml:space="preserve"> N12E kan produktet om nødvendigt anvendes under graviditet. </w:t>
      </w:r>
      <w:proofErr w:type="spellStart"/>
      <w:r w:rsidRPr="005F7D4D">
        <w:rPr>
          <w:sz w:val="24"/>
          <w:szCs w:val="24"/>
        </w:rPr>
        <w:t>Olimel</w:t>
      </w:r>
      <w:proofErr w:type="spellEnd"/>
      <w:r w:rsidRPr="005F7D4D">
        <w:rPr>
          <w:sz w:val="24"/>
          <w:szCs w:val="24"/>
        </w:rPr>
        <w:t xml:space="preserve"> N12E bør kun gives til gravide kvinder efter nøje overvejelser.</w:t>
      </w:r>
    </w:p>
    <w:p w:rsidR="00AC3FAE" w:rsidRPr="005F7D4D" w:rsidRDefault="00AC3FAE" w:rsidP="00AC3FAE">
      <w:pPr>
        <w:tabs>
          <w:tab w:val="left" w:pos="851"/>
        </w:tabs>
        <w:ind w:left="851"/>
        <w:rPr>
          <w:sz w:val="24"/>
          <w:szCs w:val="24"/>
          <w:u w:val="single"/>
        </w:rPr>
      </w:pPr>
    </w:p>
    <w:p w:rsidR="00AC3FAE" w:rsidRPr="005F7D4D" w:rsidRDefault="00AC3FAE" w:rsidP="00AC3FAE">
      <w:pPr>
        <w:tabs>
          <w:tab w:val="left" w:pos="851"/>
        </w:tabs>
        <w:ind w:left="851"/>
        <w:rPr>
          <w:sz w:val="24"/>
          <w:szCs w:val="24"/>
          <w:u w:val="single"/>
        </w:rPr>
      </w:pPr>
      <w:r w:rsidRPr="005F7D4D">
        <w:rPr>
          <w:sz w:val="24"/>
          <w:szCs w:val="24"/>
          <w:u w:val="single"/>
        </w:rPr>
        <w:t>Amning</w:t>
      </w:r>
    </w:p>
    <w:p w:rsidR="00AC3FAE" w:rsidRPr="005F7D4D" w:rsidRDefault="00AC3FAE" w:rsidP="00AC3FAE">
      <w:pPr>
        <w:tabs>
          <w:tab w:val="left" w:pos="851"/>
        </w:tabs>
        <w:ind w:left="851"/>
        <w:rPr>
          <w:sz w:val="24"/>
          <w:szCs w:val="24"/>
          <w:u w:val="single"/>
        </w:rPr>
      </w:pPr>
      <w:r w:rsidRPr="005F7D4D">
        <w:rPr>
          <w:sz w:val="24"/>
          <w:szCs w:val="24"/>
        </w:rPr>
        <w:t xml:space="preserve">Data for udskillelse af </w:t>
      </w:r>
      <w:proofErr w:type="spellStart"/>
      <w:r w:rsidRPr="005F7D4D">
        <w:rPr>
          <w:sz w:val="24"/>
          <w:szCs w:val="24"/>
        </w:rPr>
        <w:t>Olimel</w:t>
      </w:r>
      <w:proofErr w:type="spellEnd"/>
      <w:r w:rsidRPr="005F7D4D">
        <w:rPr>
          <w:sz w:val="24"/>
          <w:szCs w:val="24"/>
        </w:rPr>
        <w:t xml:space="preserve"> N12E-komponenter/metabolitter i human mælk er utilstrækkelige. Parenteral ernæring kan blive nødvendig under amning. </w:t>
      </w:r>
      <w:proofErr w:type="spellStart"/>
      <w:r w:rsidRPr="005F7D4D">
        <w:rPr>
          <w:sz w:val="24"/>
          <w:szCs w:val="24"/>
        </w:rPr>
        <w:t>Olimel</w:t>
      </w:r>
      <w:proofErr w:type="spellEnd"/>
      <w:r w:rsidRPr="005F7D4D">
        <w:rPr>
          <w:sz w:val="24"/>
          <w:szCs w:val="24"/>
        </w:rPr>
        <w:t xml:space="preserve"> N12E bør kun gives til ammende kvinder efter nøje overvejelser.</w:t>
      </w:r>
    </w:p>
    <w:p w:rsidR="00AC3FAE" w:rsidRPr="005F7D4D" w:rsidRDefault="00AC3FAE" w:rsidP="00AC3FAE">
      <w:pPr>
        <w:tabs>
          <w:tab w:val="left" w:pos="851"/>
        </w:tabs>
        <w:ind w:left="851"/>
        <w:rPr>
          <w:sz w:val="24"/>
          <w:szCs w:val="24"/>
          <w:u w:val="single"/>
        </w:rPr>
      </w:pPr>
    </w:p>
    <w:p w:rsidR="00AC3FAE" w:rsidRPr="005F7D4D" w:rsidRDefault="00AC3FAE" w:rsidP="00AC3FAE">
      <w:pPr>
        <w:tabs>
          <w:tab w:val="left" w:pos="851"/>
        </w:tabs>
        <w:ind w:left="851"/>
        <w:rPr>
          <w:sz w:val="24"/>
          <w:szCs w:val="24"/>
          <w:u w:val="single"/>
        </w:rPr>
      </w:pPr>
      <w:r w:rsidRPr="005F7D4D">
        <w:rPr>
          <w:sz w:val="24"/>
          <w:szCs w:val="24"/>
          <w:u w:val="single"/>
        </w:rPr>
        <w:t>Fertilitet</w:t>
      </w:r>
    </w:p>
    <w:p w:rsidR="00AC3FAE" w:rsidRPr="005F7D4D" w:rsidRDefault="00AC3FAE" w:rsidP="00AC3FAE">
      <w:pPr>
        <w:tabs>
          <w:tab w:val="left" w:pos="851"/>
        </w:tabs>
        <w:ind w:left="851"/>
        <w:rPr>
          <w:sz w:val="24"/>
          <w:szCs w:val="24"/>
        </w:rPr>
      </w:pPr>
      <w:r w:rsidRPr="005F7D4D">
        <w:rPr>
          <w:sz w:val="24"/>
          <w:szCs w:val="24"/>
        </w:rPr>
        <w:t>Der foreligger ingen relevante data.</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4.7</w:t>
      </w:r>
      <w:r w:rsidRPr="005F7D4D">
        <w:rPr>
          <w:b/>
          <w:sz w:val="24"/>
          <w:szCs w:val="24"/>
        </w:rPr>
        <w:tab/>
        <w:t xml:space="preserve">Virkninger på evnen til at føre motorkøretøj </w:t>
      </w:r>
      <w:r w:rsidR="002F0B8C">
        <w:rPr>
          <w:b/>
          <w:sz w:val="24"/>
          <w:szCs w:val="24"/>
        </w:rPr>
        <w:t>og</w:t>
      </w:r>
      <w:r w:rsidRPr="005F7D4D">
        <w:rPr>
          <w:b/>
          <w:sz w:val="24"/>
          <w:szCs w:val="24"/>
        </w:rPr>
        <w:t xml:space="preserve"> betjene maskiner</w:t>
      </w:r>
    </w:p>
    <w:p w:rsidR="00AC3FAE" w:rsidRDefault="00AC3FAE" w:rsidP="00AC3FAE">
      <w:pPr>
        <w:tabs>
          <w:tab w:val="left" w:pos="851"/>
        </w:tabs>
        <w:ind w:left="851"/>
        <w:rPr>
          <w:sz w:val="24"/>
          <w:szCs w:val="24"/>
        </w:rPr>
      </w:pPr>
      <w:r>
        <w:rPr>
          <w:sz w:val="24"/>
          <w:szCs w:val="24"/>
        </w:rPr>
        <w:t>Ikke mærkning.</w:t>
      </w:r>
    </w:p>
    <w:p w:rsidR="00AC3FAE" w:rsidRPr="005F7D4D" w:rsidRDefault="00AC3FAE" w:rsidP="00AC3FAE">
      <w:pPr>
        <w:tabs>
          <w:tab w:val="left" w:pos="851"/>
        </w:tabs>
        <w:ind w:left="851"/>
        <w:rPr>
          <w:sz w:val="24"/>
          <w:szCs w:val="24"/>
        </w:rPr>
      </w:pPr>
      <w:r w:rsidRPr="005F7D4D">
        <w:rPr>
          <w:sz w:val="24"/>
          <w:szCs w:val="24"/>
        </w:rPr>
        <w:t>Der er ikke foretaget undersøgelser af virkningen på evnen til at føre motorkøretøj eller betjene maskiner.</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4.8</w:t>
      </w:r>
      <w:r w:rsidRPr="005F7D4D">
        <w:rPr>
          <w:b/>
          <w:sz w:val="24"/>
          <w:szCs w:val="24"/>
        </w:rPr>
        <w:tab/>
        <w:t>Bivirkninger</w:t>
      </w:r>
    </w:p>
    <w:p w:rsidR="00AC3FAE" w:rsidRPr="005F7D4D" w:rsidRDefault="00AC3FAE" w:rsidP="00AC3FAE">
      <w:pPr>
        <w:tabs>
          <w:tab w:val="left" w:pos="851"/>
        </w:tabs>
        <w:ind w:left="851"/>
        <w:rPr>
          <w:sz w:val="24"/>
          <w:szCs w:val="24"/>
        </w:rPr>
      </w:pPr>
      <w:r w:rsidRPr="005F7D4D">
        <w:rPr>
          <w:sz w:val="24"/>
          <w:szCs w:val="24"/>
        </w:rPr>
        <w:t>Potentielle bivirkninger kan opstå som et resultat af forkert anvendelse (f.eks. overdosering eller for høj infusionshastighed) (se pkt. 4.4 og 4.9).</w:t>
      </w:r>
    </w:p>
    <w:p w:rsidR="00AC3FAE" w:rsidRPr="005F7D4D" w:rsidRDefault="00AC3FAE" w:rsidP="00AC3FAE">
      <w:pPr>
        <w:tabs>
          <w:tab w:val="left" w:pos="851"/>
        </w:tabs>
        <w:ind w:left="851"/>
        <w:rPr>
          <w:sz w:val="24"/>
          <w:szCs w:val="24"/>
        </w:rPr>
      </w:pPr>
    </w:p>
    <w:p w:rsidR="00A51E4B" w:rsidRDefault="00A51E4B" w:rsidP="00A51E4B">
      <w:pPr>
        <w:tabs>
          <w:tab w:val="left" w:pos="851"/>
        </w:tabs>
        <w:ind w:left="851"/>
        <w:rPr>
          <w:sz w:val="24"/>
          <w:szCs w:val="24"/>
        </w:rPr>
      </w:pPr>
      <w:r>
        <w:rPr>
          <w:sz w:val="24"/>
          <w:szCs w:val="24"/>
        </w:rPr>
        <w:t>Ved infusionens begyndelse bør ethvert af følgende unormale tegn (svedtendens, feber, kulderystelse, hovedpine, hududslæt, dyspnø) medføre, at infusionen omgående afbrydes.</w:t>
      </w:r>
    </w:p>
    <w:p w:rsidR="00A51E4B" w:rsidRDefault="00A51E4B" w:rsidP="00A51E4B">
      <w:pPr>
        <w:tabs>
          <w:tab w:val="left" w:pos="851"/>
        </w:tabs>
        <w:ind w:left="851"/>
        <w:rPr>
          <w:sz w:val="24"/>
          <w:szCs w:val="24"/>
        </w:rPr>
      </w:pPr>
    </w:p>
    <w:p w:rsidR="00A51E4B" w:rsidRDefault="00A51E4B" w:rsidP="00A51E4B">
      <w:pPr>
        <w:tabs>
          <w:tab w:val="left" w:pos="851"/>
        </w:tabs>
        <w:ind w:left="851"/>
        <w:rPr>
          <w:sz w:val="24"/>
          <w:szCs w:val="24"/>
        </w:rPr>
      </w:pPr>
      <w:r>
        <w:rPr>
          <w:sz w:val="24"/>
          <w:szCs w:val="24"/>
        </w:rPr>
        <w:t xml:space="preserve">Nedenstående tabel viser bivirkninger der blev rapporteret med </w:t>
      </w:r>
      <w:proofErr w:type="spellStart"/>
      <w:r>
        <w:rPr>
          <w:sz w:val="24"/>
          <w:szCs w:val="24"/>
        </w:rPr>
        <w:t>Olimel</w:t>
      </w:r>
      <w:proofErr w:type="spellEnd"/>
      <w:r>
        <w:rPr>
          <w:sz w:val="24"/>
          <w:szCs w:val="24"/>
        </w:rPr>
        <w:t xml:space="preserve"> N9-840 i et randomiseret, dobbeltblindet, aktivt-kontrolleret virknings- og sikkerhedsforsøg. 28 patienter med forskellige medicinske tilstande (dvs. postoperativ faste, svær fejlernæring eller utilstrækkelig eller kontraindiceret </w:t>
      </w:r>
      <w:proofErr w:type="spellStart"/>
      <w:r>
        <w:rPr>
          <w:sz w:val="24"/>
          <w:szCs w:val="24"/>
        </w:rPr>
        <w:t>enteral</w:t>
      </w:r>
      <w:proofErr w:type="spellEnd"/>
      <w:r>
        <w:rPr>
          <w:sz w:val="24"/>
          <w:szCs w:val="24"/>
        </w:rPr>
        <w:t xml:space="preserve"> indtagelse) blev inkluderet og behandlet. Patienterne i </w:t>
      </w:r>
      <w:proofErr w:type="spellStart"/>
      <w:r>
        <w:rPr>
          <w:sz w:val="24"/>
          <w:szCs w:val="24"/>
        </w:rPr>
        <w:t>Olimel</w:t>
      </w:r>
      <w:proofErr w:type="spellEnd"/>
      <w:r>
        <w:rPr>
          <w:sz w:val="24"/>
          <w:szCs w:val="24"/>
        </w:rPr>
        <w:t>-gruppen fik op til 40 ml/kg/d af produktet over 5 dage.</w:t>
      </w:r>
    </w:p>
    <w:p w:rsidR="00AC3FAE" w:rsidRPr="005F7D4D" w:rsidRDefault="00AC3FAE" w:rsidP="00AC3FAE">
      <w:pPr>
        <w:tabs>
          <w:tab w:val="left" w:pos="851"/>
        </w:tabs>
        <w:ind w:left="851"/>
        <w:rPr>
          <w:sz w:val="24"/>
          <w:szCs w:val="24"/>
        </w:rPr>
      </w:pPr>
    </w:p>
    <w:p w:rsidR="00AC3FAE" w:rsidRDefault="00AC3FAE" w:rsidP="00AC3FAE">
      <w:pPr>
        <w:tabs>
          <w:tab w:val="left" w:pos="851"/>
        </w:tabs>
        <w:ind w:left="851"/>
        <w:rPr>
          <w:sz w:val="24"/>
          <w:szCs w:val="24"/>
        </w:rPr>
      </w:pPr>
      <w:r w:rsidRPr="005F7D4D">
        <w:rPr>
          <w:sz w:val="24"/>
          <w:szCs w:val="24"/>
        </w:rPr>
        <w:t xml:space="preserve">De samlede data fra kliniske forsøg og erfaring efter markedsføring indikerer følgende bivirkninger relateret til </w:t>
      </w:r>
      <w:proofErr w:type="spellStart"/>
      <w:r w:rsidRPr="005F7D4D">
        <w:rPr>
          <w:sz w:val="24"/>
          <w:szCs w:val="24"/>
        </w:rPr>
        <w:t>Olimel</w:t>
      </w:r>
      <w:proofErr w:type="spellEnd"/>
      <w:r w:rsidRPr="005F7D4D">
        <w:rPr>
          <w:sz w:val="24"/>
          <w:szCs w:val="24"/>
        </w:rPr>
        <w:t>:</w:t>
      </w:r>
    </w:p>
    <w:p w:rsidR="00A51E4B" w:rsidRDefault="00A51E4B" w:rsidP="00A51E4B">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2991"/>
        <w:gridCol w:w="2984"/>
        <w:gridCol w:w="2802"/>
      </w:tblGrid>
      <w:tr w:rsidR="00A51E4B" w:rsidTr="00A51E4B">
        <w:tc>
          <w:tcPr>
            <w:tcW w:w="2991"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r>
              <w:rPr>
                <w:rFonts w:eastAsia="MS Mincho"/>
                <w:b/>
                <w:sz w:val="20"/>
                <w:szCs w:val="24"/>
              </w:rPr>
              <w:t>Systemorganklasse</w:t>
            </w:r>
          </w:p>
        </w:tc>
        <w:tc>
          <w:tcPr>
            <w:tcW w:w="2984"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r>
              <w:rPr>
                <w:rFonts w:eastAsia="MS Mincho"/>
                <w:b/>
                <w:sz w:val="20"/>
                <w:szCs w:val="24"/>
              </w:rPr>
              <w:t xml:space="preserve">Foretrukken </w:t>
            </w:r>
            <w:proofErr w:type="spellStart"/>
            <w:r>
              <w:rPr>
                <w:rFonts w:eastAsia="MS Mincho"/>
                <w:b/>
                <w:sz w:val="20"/>
                <w:szCs w:val="24"/>
              </w:rPr>
              <w:t>MedDRA</w:t>
            </w:r>
            <w:proofErr w:type="spellEnd"/>
            <w:r>
              <w:rPr>
                <w:rFonts w:eastAsia="MS Mincho"/>
                <w:b/>
                <w:sz w:val="20"/>
                <w:szCs w:val="24"/>
              </w:rPr>
              <w:t xml:space="preserve"> term</w:t>
            </w:r>
          </w:p>
        </w:tc>
        <w:tc>
          <w:tcPr>
            <w:tcW w:w="2802"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proofErr w:type="spellStart"/>
            <w:r>
              <w:rPr>
                <w:rFonts w:eastAsia="MS Mincho"/>
                <w:b/>
                <w:sz w:val="20"/>
                <w:szCs w:val="24"/>
              </w:rPr>
              <w:t>Hyppighed</w:t>
            </w:r>
            <w:r>
              <w:rPr>
                <w:rFonts w:eastAsia="MS Mincho"/>
                <w:b/>
                <w:sz w:val="20"/>
                <w:szCs w:val="24"/>
                <w:vertAlign w:val="superscript"/>
              </w:rPr>
              <w:t>a</w:t>
            </w:r>
            <w:proofErr w:type="spellEnd"/>
          </w:p>
        </w:tc>
      </w:tr>
      <w:tr w:rsidR="00A51E4B" w:rsidTr="00A51E4B">
        <w:tc>
          <w:tcPr>
            <w:tcW w:w="2991"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rFonts w:eastAsia="MS Mincho"/>
                <w:sz w:val="20"/>
                <w:szCs w:val="24"/>
              </w:rPr>
            </w:pPr>
            <w:r>
              <w:rPr>
                <w:rFonts w:eastAsia="MS Mincho"/>
                <w:sz w:val="20"/>
                <w:szCs w:val="24"/>
              </w:rPr>
              <w:t>Immunsystemet</w:t>
            </w:r>
          </w:p>
        </w:tc>
        <w:tc>
          <w:tcPr>
            <w:tcW w:w="2984"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rFonts w:eastAsia="MS Mincho"/>
                <w:sz w:val="20"/>
                <w:szCs w:val="24"/>
              </w:rPr>
            </w:pPr>
            <w:r>
              <w:rPr>
                <w:rFonts w:eastAsia="MS Mincho"/>
                <w:sz w:val="20"/>
                <w:szCs w:val="24"/>
              </w:rPr>
              <w:t xml:space="preserve">Overfølsomhedsreaktioner inklusive </w:t>
            </w:r>
            <w:proofErr w:type="spellStart"/>
            <w:r>
              <w:rPr>
                <w:rFonts w:eastAsia="MS Mincho"/>
                <w:sz w:val="20"/>
                <w:szCs w:val="24"/>
              </w:rPr>
              <w:t>hyperhidrose</w:t>
            </w:r>
            <w:proofErr w:type="spellEnd"/>
            <w:r>
              <w:rPr>
                <w:rFonts w:eastAsia="MS Mincho"/>
                <w:sz w:val="20"/>
                <w:szCs w:val="24"/>
              </w:rPr>
              <w:t xml:space="preserve">, </w:t>
            </w:r>
            <w:proofErr w:type="spellStart"/>
            <w:r>
              <w:rPr>
                <w:rFonts w:eastAsia="MS Mincho"/>
                <w:sz w:val="20"/>
                <w:szCs w:val="24"/>
              </w:rPr>
              <w:t>pyrexia</w:t>
            </w:r>
            <w:proofErr w:type="spellEnd"/>
            <w:r>
              <w:rPr>
                <w:rFonts w:eastAsia="MS Mincho"/>
                <w:sz w:val="20"/>
                <w:szCs w:val="24"/>
              </w:rPr>
              <w:t>, kulderystelser, hovedpine, hududslæt (</w:t>
            </w:r>
            <w:proofErr w:type="spellStart"/>
            <w:r>
              <w:rPr>
                <w:rFonts w:eastAsia="MS Mincho"/>
                <w:sz w:val="20"/>
                <w:szCs w:val="24"/>
              </w:rPr>
              <w:t>erytematøs</w:t>
            </w:r>
            <w:proofErr w:type="spellEnd"/>
            <w:r>
              <w:rPr>
                <w:rFonts w:eastAsia="MS Mincho"/>
                <w:sz w:val="20"/>
                <w:szCs w:val="24"/>
              </w:rPr>
              <w:t xml:space="preserve">, </w:t>
            </w:r>
            <w:proofErr w:type="spellStart"/>
            <w:r>
              <w:rPr>
                <w:rFonts w:eastAsia="MS Mincho"/>
                <w:sz w:val="20"/>
                <w:szCs w:val="24"/>
              </w:rPr>
              <w:t>papular</w:t>
            </w:r>
            <w:proofErr w:type="spellEnd"/>
            <w:r>
              <w:rPr>
                <w:rFonts w:eastAsia="MS Mincho"/>
                <w:sz w:val="20"/>
                <w:szCs w:val="24"/>
              </w:rPr>
              <w:t xml:space="preserve">, </w:t>
            </w:r>
            <w:proofErr w:type="spellStart"/>
            <w:r>
              <w:rPr>
                <w:rFonts w:eastAsia="MS Mincho"/>
                <w:sz w:val="20"/>
                <w:szCs w:val="24"/>
              </w:rPr>
              <w:t>pustulær</w:t>
            </w:r>
            <w:proofErr w:type="spellEnd"/>
            <w:r>
              <w:rPr>
                <w:rFonts w:eastAsia="MS Mincho"/>
                <w:sz w:val="20"/>
                <w:szCs w:val="24"/>
              </w:rPr>
              <w:t xml:space="preserve">, </w:t>
            </w:r>
            <w:proofErr w:type="spellStart"/>
            <w:r>
              <w:rPr>
                <w:rFonts w:eastAsia="MS Mincho"/>
                <w:sz w:val="20"/>
                <w:szCs w:val="24"/>
              </w:rPr>
              <w:t>makulær</w:t>
            </w:r>
            <w:proofErr w:type="spellEnd"/>
            <w:r>
              <w:rPr>
                <w:rFonts w:eastAsia="MS Mincho"/>
                <w:sz w:val="20"/>
                <w:szCs w:val="24"/>
              </w:rPr>
              <w:t>, generaliseret udslæt), kløe, hedeture, dyspnø</w:t>
            </w:r>
          </w:p>
        </w:tc>
        <w:tc>
          <w:tcPr>
            <w:tcW w:w="2802"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r>
              <w:rPr>
                <w:rFonts w:eastAsia="MS Mincho"/>
                <w:sz w:val="20"/>
                <w:szCs w:val="24"/>
              </w:rPr>
              <w:t xml:space="preserve">Ikke </w:t>
            </w:r>
            <w:proofErr w:type="spellStart"/>
            <w:r>
              <w:rPr>
                <w:rFonts w:eastAsia="MS Mincho"/>
                <w:sz w:val="20"/>
                <w:szCs w:val="24"/>
              </w:rPr>
              <w:t>kendt</w:t>
            </w:r>
            <w:r>
              <w:rPr>
                <w:rFonts w:eastAsia="MS Mincho"/>
                <w:sz w:val="20"/>
                <w:szCs w:val="24"/>
                <w:vertAlign w:val="superscript"/>
              </w:rPr>
              <w:t>b</w:t>
            </w:r>
            <w:proofErr w:type="spellEnd"/>
          </w:p>
        </w:tc>
      </w:tr>
      <w:tr w:rsidR="00A51E4B" w:rsidTr="00A51E4B">
        <w:tc>
          <w:tcPr>
            <w:tcW w:w="2991"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r>
              <w:rPr>
                <w:rFonts w:eastAsia="MS Mincho"/>
                <w:sz w:val="20"/>
                <w:szCs w:val="24"/>
              </w:rPr>
              <w:lastRenderedPageBreak/>
              <w:t>Hjerte</w:t>
            </w:r>
          </w:p>
        </w:tc>
        <w:tc>
          <w:tcPr>
            <w:tcW w:w="2984"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proofErr w:type="spellStart"/>
            <w:r>
              <w:rPr>
                <w:rFonts w:eastAsia="MS Mincho"/>
                <w:sz w:val="20"/>
                <w:szCs w:val="24"/>
              </w:rPr>
              <w:t>Takykardi</w:t>
            </w:r>
            <w:proofErr w:type="spellEnd"/>
          </w:p>
        </w:tc>
        <w:tc>
          <w:tcPr>
            <w:tcW w:w="2802"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r>
              <w:rPr>
                <w:sz w:val="20"/>
                <w:szCs w:val="24"/>
              </w:rPr>
              <w:t>Almindelig</w:t>
            </w:r>
          </w:p>
        </w:tc>
      </w:tr>
      <w:tr w:rsidR="00A51E4B" w:rsidTr="00A51E4B">
        <w:tc>
          <w:tcPr>
            <w:tcW w:w="2991" w:type="dxa"/>
            <w:vMerge w:val="restart"/>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r>
              <w:rPr>
                <w:rFonts w:eastAsia="MS Mincho"/>
                <w:sz w:val="20"/>
                <w:szCs w:val="24"/>
              </w:rPr>
              <w:t>Metabolisme og ernæring</w:t>
            </w:r>
          </w:p>
        </w:tc>
        <w:tc>
          <w:tcPr>
            <w:tcW w:w="2984"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r>
              <w:rPr>
                <w:rFonts w:eastAsia="MS Mincho"/>
                <w:sz w:val="20"/>
                <w:szCs w:val="24"/>
              </w:rPr>
              <w:t>Nedsat appetit</w:t>
            </w:r>
          </w:p>
        </w:tc>
        <w:tc>
          <w:tcPr>
            <w:tcW w:w="2802"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r>
              <w:rPr>
                <w:sz w:val="20"/>
                <w:szCs w:val="24"/>
              </w:rPr>
              <w:t>Almindelig</w:t>
            </w:r>
          </w:p>
        </w:tc>
      </w:tr>
      <w:tr w:rsidR="00A51E4B" w:rsidTr="00A51E4B">
        <w:tc>
          <w:tcPr>
            <w:tcW w:w="0" w:type="auto"/>
            <w:vMerge/>
            <w:tcBorders>
              <w:top w:val="single" w:sz="4" w:space="0" w:color="auto"/>
              <w:left w:val="single" w:sz="4" w:space="0" w:color="auto"/>
              <w:bottom w:val="single" w:sz="4" w:space="0" w:color="auto"/>
              <w:right w:val="single" w:sz="4" w:space="0" w:color="auto"/>
            </w:tcBorders>
            <w:vAlign w:val="center"/>
            <w:hideMark/>
          </w:tcPr>
          <w:p w:rsidR="00A51E4B" w:rsidRDefault="00A51E4B">
            <w:pPr>
              <w:rPr>
                <w:sz w:val="20"/>
                <w:szCs w:val="24"/>
              </w:rPr>
            </w:pPr>
          </w:p>
        </w:tc>
        <w:tc>
          <w:tcPr>
            <w:tcW w:w="2984"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proofErr w:type="spellStart"/>
            <w:r>
              <w:rPr>
                <w:rFonts w:eastAsia="MS Mincho"/>
                <w:sz w:val="20"/>
                <w:szCs w:val="24"/>
              </w:rPr>
              <w:t>Hypertriglyceridæmi</w:t>
            </w:r>
            <w:proofErr w:type="spellEnd"/>
          </w:p>
        </w:tc>
        <w:tc>
          <w:tcPr>
            <w:tcW w:w="2802"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r>
              <w:rPr>
                <w:sz w:val="20"/>
                <w:szCs w:val="24"/>
              </w:rPr>
              <w:t>Almindelig</w:t>
            </w:r>
          </w:p>
        </w:tc>
      </w:tr>
      <w:tr w:rsidR="00A51E4B" w:rsidTr="00A51E4B">
        <w:tc>
          <w:tcPr>
            <w:tcW w:w="2991" w:type="dxa"/>
            <w:vMerge w:val="restart"/>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r>
              <w:rPr>
                <w:rFonts w:eastAsia="MS Mincho"/>
                <w:sz w:val="20"/>
                <w:szCs w:val="24"/>
              </w:rPr>
              <w:t>Mave-tarm-kanalen</w:t>
            </w:r>
          </w:p>
        </w:tc>
        <w:tc>
          <w:tcPr>
            <w:tcW w:w="2984"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rFonts w:eastAsia="MS Mincho"/>
                <w:sz w:val="20"/>
                <w:szCs w:val="24"/>
              </w:rPr>
            </w:pPr>
            <w:proofErr w:type="spellStart"/>
            <w:r>
              <w:rPr>
                <w:rFonts w:eastAsia="MS Mincho"/>
                <w:sz w:val="20"/>
                <w:szCs w:val="24"/>
              </w:rPr>
              <w:t>Abdominale</w:t>
            </w:r>
            <w:proofErr w:type="spellEnd"/>
            <w:r>
              <w:rPr>
                <w:rFonts w:eastAsia="MS Mincho"/>
                <w:sz w:val="20"/>
                <w:szCs w:val="24"/>
              </w:rPr>
              <w:t xml:space="preserve"> smerter</w:t>
            </w:r>
          </w:p>
        </w:tc>
        <w:tc>
          <w:tcPr>
            <w:tcW w:w="2802"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r>
              <w:rPr>
                <w:sz w:val="20"/>
                <w:szCs w:val="24"/>
              </w:rPr>
              <w:t>Almindelig</w:t>
            </w:r>
          </w:p>
        </w:tc>
      </w:tr>
      <w:tr w:rsidR="00A51E4B" w:rsidTr="00A51E4B">
        <w:tc>
          <w:tcPr>
            <w:tcW w:w="0" w:type="auto"/>
            <w:vMerge/>
            <w:tcBorders>
              <w:top w:val="single" w:sz="4" w:space="0" w:color="auto"/>
              <w:left w:val="single" w:sz="4" w:space="0" w:color="auto"/>
              <w:bottom w:val="single" w:sz="4" w:space="0" w:color="auto"/>
              <w:right w:val="single" w:sz="4" w:space="0" w:color="auto"/>
            </w:tcBorders>
            <w:vAlign w:val="center"/>
            <w:hideMark/>
          </w:tcPr>
          <w:p w:rsidR="00A51E4B" w:rsidRDefault="00A51E4B">
            <w:pPr>
              <w:rPr>
                <w:sz w:val="20"/>
                <w:szCs w:val="24"/>
              </w:rPr>
            </w:pPr>
          </w:p>
        </w:tc>
        <w:tc>
          <w:tcPr>
            <w:tcW w:w="2984"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rFonts w:eastAsia="MS Mincho"/>
                <w:sz w:val="20"/>
                <w:szCs w:val="24"/>
              </w:rPr>
            </w:pPr>
            <w:r>
              <w:rPr>
                <w:rFonts w:eastAsia="MS Mincho"/>
                <w:sz w:val="20"/>
                <w:szCs w:val="24"/>
              </w:rPr>
              <w:t>Diarré</w:t>
            </w:r>
          </w:p>
        </w:tc>
        <w:tc>
          <w:tcPr>
            <w:tcW w:w="2802"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r>
              <w:rPr>
                <w:sz w:val="20"/>
                <w:szCs w:val="24"/>
              </w:rPr>
              <w:t>Almindelig</w:t>
            </w:r>
          </w:p>
        </w:tc>
      </w:tr>
      <w:tr w:rsidR="00A51E4B" w:rsidTr="00A51E4B">
        <w:tc>
          <w:tcPr>
            <w:tcW w:w="0" w:type="auto"/>
            <w:vMerge/>
            <w:tcBorders>
              <w:top w:val="single" w:sz="4" w:space="0" w:color="auto"/>
              <w:left w:val="single" w:sz="4" w:space="0" w:color="auto"/>
              <w:bottom w:val="single" w:sz="4" w:space="0" w:color="auto"/>
              <w:right w:val="single" w:sz="4" w:space="0" w:color="auto"/>
            </w:tcBorders>
            <w:vAlign w:val="center"/>
            <w:hideMark/>
          </w:tcPr>
          <w:p w:rsidR="00A51E4B" w:rsidRDefault="00A51E4B">
            <w:pPr>
              <w:rPr>
                <w:sz w:val="20"/>
                <w:szCs w:val="24"/>
              </w:rPr>
            </w:pPr>
          </w:p>
        </w:tc>
        <w:tc>
          <w:tcPr>
            <w:tcW w:w="2984"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rFonts w:eastAsia="MS Mincho"/>
                <w:sz w:val="20"/>
                <w:szCs w:val="24"/>
              </w:rPr>
            </w:pPr>
            <w:r>
              <w:rPr>
                <w:rFonts w:eastAsia="MS Mincho"/>
                <w:sz w:val="20"/>
                <w:szCs w:val="24"/>
              </w:rPr>
              <w:t>Kvalme</w:t>
            </w:r>
          </w:p>
        </w:tc>
        <w:tc>
          <w:tcPr>
            <w:tcW w:w="2802"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r>
              <w:rPr>
                <w:sz w:val="20"/>
                <w:szCs w:val="24"/>
              </w:rPr>
              <w:t>Almindelig</w:t>
            </w:r>
          </w:p>
        </w:tc>
      </w:tr>
      <w:tr w:rsidR="00A51E4B" w:rsidTr="00A51E4B">
        <w:tc>
          <w:tcPr>
            <w:tcW w:w="0" w:type="auto"/>
            <w:vMerge/>
            <w:tcBorders>
              <w:top w:val="single" w:sz="4" w:space="0" w:color="auto"/>
              <w:left w:val="single" w:sz="4" w:space="0" w:color="auto"/>
              <w:bottom w:val="single" w:sz="4" w:space="0" w:color="auto"/>
              <w:right w:val="single" w:sz="4" w:space="0" w:color="auto"/>
            </w:tcBorders>
            <w:vAlign w:val="center"/>
            <w:hideMark/>
          </w:tcPr>
          <w:p w:rsidR="00A51E4B" w:rsidRDefault="00A51E4B">
            <w:pPr>
              <w:rPr>
                <w:sz w:val="20"/>
                <w:szCs w:val="24"/>
              </w:rPr>
            </w:pPr>
          </w:p>
        </w:tc>
        <w:tc>
          <w:tcPr>
            <w:tcW w:w="2984"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rFonts w:eastAsia="MS Mincho"/>
                <w:sz w:val="20"/>
                <w:szCs w:val="24"/>
              </w:rPr>
            </w:pPr>
            <w:r>
              <w:rPr>
                <w:rFonts w:eastAsia="MS Mincho"/>
                <w:sz w:val="20"/>
                <w:szCs w:val="24"/>
              </w:rPr>
              <w:t>Opkastning</w:t>
            </w:r>
          </w:p>
        </w:tc>
        <w:tc>
          <w:tcPr>
            <w:tcW w:w="2802"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r>
              <w:rPr>
                <w:rFonts w:eastAsia="MS Mincho"/>
                <w:sz w:val="20"/>
                <w:szCs w:val="24"/>
              </w:rPr>
              <w:t xml:space="preserve">Ikke </w:t>
            </w:r>
            <w:proofErr w:type="spellStart"/>
            <w:r>
              <w:rPr>
                <w:rFonts w:eastAsia="MS Mincho"/>
                <w:sz w:val="20"/>
                <w:szCs w:val="24"/>
              </w:rPr>
              <w:t>kendt</w:t>
            </w:r>
            <w:r>
              <w:rPr>
                <w:rFonts w:eastAsia="MS Mincho"/>
                <w:sz w:val="20"/>
                <w:szCs w:val="24"/>
                <w:vertAlign w:val="superscript"/>
              </w:rPr>
              <w:t>b</w:t>
            </w:r>
            <w:proofErr w:type="spellEnd"/>
          </w:p>
        </w:tc>
      </w:tr>
      <w:tr w:rsidR="00A51E4B" w:rsidTr="00A51E4B">
        <w:tc>
          <w:tcPr>
            <w:tcW w:w="2991"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rFonts w:eastAsia="MS Mincho"/>
                <w:sz w:val="20"/>
                <w:szCs w:val="24"/>
              </w:rPr>
            </w:pPr>
            <w:proofErr w:type="spellStart"/>
            <w:r>
              <w:rPr>
                <w:rFonts w:eastAsia="MS Mincho"/>
                <w:sz w:val="20"/>
                <w:szCs w:val="24"/>
              </w:rPr>
              <w:t>Vaskulære</w:t>
            </w:r>
            <w:proofErr w:type="spellEnd"/>
            <w:r>
              <w:rPr>
                <w:rFonts w:eastAsia="MS Mincho"/>
                <w:sz w:val="20"/>
                <w:szCs w:val="24"/>
              </w:rPr>
              <w:t xml:space="preserve"> sygdomme</w:t>
            </w:r>
          </w:p>
        </w:tc>
        <w:tc>
          <w:tcPr>
            <w:tcW w:w="2984"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rFonts w:eastAsia="MS Mincho"/>
                <w:sz w:val="20"/>
                <w:szCs w:val="24"/>
              </w:rPr>
            </w:pPr>
            <w:r>
              <w:rPr>
                <w:rFonts w:eastAsia="MS Mincho"/>
                <w:sz w:val="20"/>
                <w:szCs w:val="24"/>
              </w:rPr>
              <w:t>Hypertension</w:t>
            </w:r>
          </w:p>
        </w:tc>
        <w:tc>
          <w:tcPr>
            <w:tcW w:w="2802"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r>
              <w:rPr>
                <w:sz w:val="20"/>
                <w:szCs w:val="24"/>
              </w:rPr>
              <w:t>Almindelig</w:t>
            </w:r>
          </w:p>
        </w:tc>
      </w:tr>
      <w:tr w:rsidR="00A51E4B" w:rsidTr="00A51E4B">
        <w:tc>
          <w:tcPr>
            <w:tcW w:w="2991"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rFonts w:eastAsia="MS Mincho"/>
                <w:sz w:val="20"/>
                <w:szCs w:val="24"/>
              </w:rPr>
            </w:pPr>
            <w:r>
              <w:rPr>
                <w:rFonts w:eastAsia="MS Mincho"/>
                <w:sz w:val="20"/>
                <w:szCs w:val="24"/>
              </w:rPr>
              <w:t>Almene symptomer og reaktioner på administrationsstedet</w:t>
            </w:r>
          </w:p>
        </w:tc>
        <w:tc>
          <w:tcPr>
            <w:tcW w:w="2984"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rFonts w:eastAsia="MS Mincho"/>
                <w:sz w:val="20"/>
                <w:szCs w:val="24"/>
              </w:rPr>
            </w:pPr>
            <w:proofErr w:type="spellStart"/>
            <w:r>
              <w:rPr>
                <w:rFonts w:eastAsia="MS Mincho"/>
                <w:sz w:val="20"/>
                <w:szCs w:val="24"/>
              </w:rPr>
              <w:t>Ekstravasation</w:t>
            </w:r>
            <w:proofErr w:type="spellEnd"/>
            <w:r>
              <w:rPr>
                <w:rFonts w:eastAsia="MS Mincho"/>
                <w:sz w:val="20"/>
                <w:szCs w:val="24"/>
              </w:rPr>
              <w:t xml:space="preserve">, som på infusionsstedet kan medføre smerter, irritation, hævelse/ødem, </w:t>
            </w:r>
            <w:proofErr w:type="spellStart"/>
            <w:r>
              <w:rPr>
                <w:rFonts w:eastAsia="MS Mincho"/>
                <w:sz w:val="20"/>
                <w:szCs w:val="24"/>
              </w:rPr>
              <w:t>erytem</w:t>
            </w:r>
            <w:proofErr w:type="spellEnd"/>
            <w:r>
              <w:rPr>
                <w:rFonts w:eastAsia="MS Mincho"/>
                <w:sz w:val="20"/>
                <w:szCs w:val="24"/>
              </w:rPr>
              <w:t>/varme, hudnekrose, blister/</w:t>
            </w:r>
            <w:proofErr w:type="spellStart"/>
            <w:r>
              <w:rPr>
                <w:rFonts w:eastAsia="MS Mincho"/>
                <w:sz w:val="20"/>
                <w:szCs w:val="24"/>
              </w:rPr>
              <w:t>vesikler</w:t>
            </w:r>
            <w:proofErr w:type="spellEnd"/>
            <w:r>
              <w:rPr>
                <w:rFonts w:eastAsia="MS Mincho"/>
                <w:sz w:val="20"/>
                <w:szCs w:val="24"/>
              </w:rPr>
              <w:t xml:space="preserve">, inflammation, </w:t>
            </w:r>
            <w:proofErr w:type="spellStart"/>
            <w:r>
              <w:rPr>
                <w:rFonts w:eastAsia="MS Mincho"/>
                <w:sz w:val="20"/>
                <w:szCs w:val="24"/>
              </w:rPr>
              <w:t>induration</w:t>
            </w:r>
            <w:proofErr w:type="spellEnd"/>
            <w:r>
              <w:rPr>
                <w:rFonts w:eastAsia="MS Mincho"/>
                <w:sz w:val="20"/>
                <w:szCs w:val="24"/>
              </w:rPr>
              <w:t>, sammentrækning af huden</w:t>
            </w:r>
          </w:p>
        </w:tc>
        <w:tc>
          <w:tcPr>
            <w:tcW w:w="2802" w:type="dxa"/>
            <w:tcBorders>
              <w:top w:val="single" w:sz="4" w:space="0" w:color="auto"/>
              <w:left w:val="single" w:sz="4" w:space="0" w:color="auto"/>
              <w:bottom w:val="single" w:sz="4" w:space="0" w:color="auto"/>
              <w:right w:val="single" w:sz="4" w:space="0" w:color="auto"/>
            </w:tcBorders>
            <w:hideMark/>
          </w:tcPr>
          <w:p w:rsidR="00A51E4B" w:rsidRDefault="00A51E4B">
            <w:pPr>
              <w:tabs>
                <w:tab w:val="left" w:pos="851"/>
              </w:tabs>
              <w:rPr>
                <w:sz w:val="20"/>
                <w:szCs w:val="24"/>
              </w:rPr>
            </w:pPr>
            <w:r>
              <w:rPr>
                <w:rFonts w:eastAsia="MS Mincho"/>
                <w:sz w:val="20"/>
                <w:szCs w:val="24"/>
              </w:rPr>
              <w:t xml:space="preserve">Ikke </w:t>
            </w:r>
            <w:proofErr w:type="spellStart"/>
            <w:r>
              <w:rPr>
                <w:rFonts w:eastAsia="MS Mincho"/>
                <w:sz w:val="20"/>
                <w:szCs w:val="24"/>
              </w:rPr>
              <w:t>kendt</w:t>
            </w:r>
            <w:r>
              <w:rPr>
                <w:rFonts w:eastAsia="MS Mincho"/>
                <w:sz w:val="20"/>
                <w:szCs w:val="24"/>
                <w:vertAlign w:val="superscript"/>
              </w:rPr>
              <w:t>b</w:t>
            </w:r>
            <w:proofErr w:type="spellEnd"/>
          </w:p>
        </w:tc>
      </w:tr>
      <w:tr w:rsidR="00A51E4B" w:rsidTr="00A51E4B">
        <w:tc>
          <w:tcPr>
            <w:tcW w:w="8777" w:type="dxa"/>
            <w:gridSpan w:val="3"/>
            <w:tcBorders>
              <w:top w:val="single" w:sz="4" w:space="0" w:color="auto"/>
              <w:left w:val="single" w:sz="4" w:space="0" w:color="auto"/>
              <w:bottom w:val="single" w:sz="4" w:space="0" w:color="auto"/>
              <w:right w:val="single" w:sz="4" w:space="0" w:color="auto"/>
            </w:tcBorders>
            <w:hideMark/>
          </w:tcPr>
          <w:p w:rsidR="00A51E4B" w:rsidRDefault="00A51E4B">
            <w:pPr>
              <w:pStyle w:val="TableFootnoteLetter"/>
              <w:numPr>
                <w:ilvl w:val="0"/>
                <w:numId w:val="0"/>
              </w:numPr>
              <w:tabs>
                <w:tab w:val="left" w:pos="1304"/>
              </w:tabs>
              <w:spacing w:before="0" w:after="0"/>
              <w:rPr>
                <w:rFonts w:eastAsia="MS Mincho"/>
                <w:szCs w:val="24"/>
              </w:rPr>
            </w:pPr>
            <w:bookmarkStart w:id="9" w:name="_Ref496532388"/>
            <w:proofErr w:type="spellStart"/>
            <w:r>
              <w:rPr>
                <w:rFonts w:eastAsia="MS Mincho"/>
                <w:szCs w:val="24"/>
                <w:vertAlign w:val="superscript"/>
              </w:rPr>
              <w:t>a</w:t>
            </w:r>
            <w:r>
              <w:rPr>
                <w:rFonts w:eastAsia="MS Mincho"/>
                <w:szCs w:val="24"/>
              </w:rPr>
              <w:t>Hyppigheden</w:t>
            </w:r>
            <w:proofErr w:type="spellEnd"/>
            <w:r>
              <w:rPr>
                <w:rFonts w:eastAsia="MS Mincho"/>
                <w:szCs w:val="24"/>
              </w:rPr>
              <w:t xml:space="preserve"> er defineret som meget almindelig (≥1/10); almindelig (≥1/100 til &lt;1/10); ikke almindelig (≥1/1.000 til &lt;1/100); sjælden (≥1/10.000 til &lt;1/1.000); meget sjælden (&lt;1/10.000) eller ikke kendt (kan ikke estimeres ud fra forhåndenværende data)</w:t>
            </w:r>
            <w:bookmarkEnd w:id="9"/>
            <w:r>
              <w:rPr>
                <w:rFonts w:eastAsia="MS Mincho"/>
                <w:szCs w:val="24"/>
              </w:rPr>
              <w:t>.</w:t>
            </w:r>
          </w:p>
          <w:p w:rsidR="00A51E4B" w:rsidRDefault="00A51E4B">
            <w:pPr>
              <w:tabs>
                <w:tab w:val="left" w:pos="851"/>
              </w:tabs>
              <w:rPr>
                <w:rFonts w:eastAsia="MS Mincho"/>
                <w:sz w:val="20"/>
                <w:szCs w:val="24"/>
              </w:rPr>
            </w:pPr>
            <w:bookmarkStart w:id="10" w:name="_Ref496532396"/>
            <w:proofErr w:type="spellStart"/>
            <w:r>
              <w:rPr>
                <w:rFonts w:eastAsia="MS Mincho"/>
                <w:sz w:val="20"/>
                <w:szCs w:val="24"/>
                <w:vertAlign w:val="superscript"/>
              </w:rPr>
              <w:t>b</w:t>
            </w:r>
            <w:r>
              <w:rPr>
                <w:rFonts w:eastAsia="MS Mincho"/>
                <w:sz w:val="20"/>
                <w:szCs w:val="24"/>
              </w:rPr>
              <w:t>Bivirkninger</w:t>
            </w:r>
            <w:proofErr w:type="spellEnd"/>
            <w:r>
              <w:rPr>
                <w:rFonts w:eastAsia="MS Mincho"/>
                <w:sz w:val="20"/>
                <w:szCs w:val="24"/>
              </w:rPr>
              <w:t xml:space="preserve"> rapporteret post-marketing for </w:t>
            </w:r>
            <w:proofErr w:type="spellStart"/>
            <w:r>
              <w:rPr>
                <w:rFonts w:eastAsia="MS Mincho"/>
                <w:sz w:val="20"/>
                <w:szCs w:val="24"/>
              </w:rPr>
              <w:t>Olimel</w:t>
            </w:r>
            <w:proofErr w:type="spellEnd"/>
            <w:r>
              <w:rPr>
                <w:rFonts w:eastAsia="MS Mincho"/>
                <w:sz w:val="20"/>
                <w:szCs w:val="24"/>
              </w:rPr>
              <w:t xml:space="preserve"> N12E.</w:t>
            </w:r>
            <w:bookmarkEnd w:id="10"/>
          </w:p>
        </w:tc>
      </w:tr>
    </w:tbl>
    <w:p w:rsidR="00A51E4B" w:rsidRDefault="00A51E4B" w:rsidP="00A51E4B">
      <w:pPr>
        <w:pStyle w:val="Sidehoved"/>
        <w:tabs>
          <w:tab w:val="left" w:pos="851"/>
        </w:tabs>
        <w:ind w:left="851"/>
        <w:rPr>
          <w:szCs w:val="24"/>
        </w:rPr>
      </w:pPr>
    </w:p>
    <w:p w:rsidR="00AC3FAE" w:rsidRPr="005F7D4D" w:rsidRDefault="00AC3FAE" w:rsidP="00AC3FAE">
      <w:pPr>
        <w:pStyle w:val="Sidehoved"/>
        <w:tabs>
          <w:tab w:val="left" w:pos="851"/>
        </w:tabs>
        <w:ind w:left="851"/>
        <w:rPr>
          <w:szCs w:val="24"/>
        </w:rPr>
      </w:pPr>
      <w:r w:rsidRPr="005F7D4D">
        <w:rPr>
          <w:szCs w:val="24"/>
        </w:rPr>
        <w:t>Følgende klasselignende bivirkninger er beskrevet i andre kilder i forbindelse med lignende parenterale ernæringsprodukter. Hyppigheden af disse bivirkninger er ikke kendt.</w:t>
      </w:r>
    </w:p>
    <w:p w:rsidR="00AC3FAE" w:rsidRPr="005F7D4D" w:rsidRDefault="00AC3FAE" w:rsidP="00AC3FAE">
      <w:pPr>
        <w:pStyle w:val="Sidehoved"/>
        <w:tabs>
          <w:tab w:val="clear" w:pos="4819"/>
          <w:tab w:val="clear" w:pos="9638"/>
          <w:tab w:val="left" w:pos="851"/>
        </w:tabs>
        <w:ind w:left="851"/>
        <w:rPr>
          <w:szCs w:val="24"/>
        </w:rPr>
      </w:pPr>
    </w:p>
    <w:p w:rsidR="00AC3FAE" w:rsidRPr="005F7D4D" w:rsidRDefault="00AC3FAE" w:rsidP="00AC3FAE">
      <w:pPr>
        <w:numPr>
          <w:ilvl w:val="0"/>
          <w:numId w:val="16"/>
        </w:numPr>
        <w:rPr>
          <w:sz w:val="24"/>
          <w:szCs w:val="24"/>
        </w:rPr>
      </w:pPr>
      <w:r w:rsidRPr="005F7D4D">
        <w:rPr>
          <w:sz w:val="24"/>
          <w:szCs w:val="24"/>
        </w:rPr>
        <w:t xml:space="preserve">Blod og lymfesystem: </w:t>
      </w:r>
      <w:proofErr w:type="spellStart"/>
      <w:r>
        <w:rPr>
          <w:sz w:val="24"/>
          <w:szCs w:val="24"/>
        </w:rPr>
        <w:t>T</w:t>
      </w:r>
      <w:r w:rsidRPr="005F7D4D">
        <w:rPr>
          <w:sz w:val="24"/>
          <w:szCs w:val="24"/>
        </w:rPr>
        <w:t>rombocytopeni</w:t>
      </w:r>
      <w:proofErr w:type="spellEnd"/>
    </w:p>
    <w:p w:rsidR="00AC3FAE" w:rsidRPr="005F7D4D" w:rsidRDefault="00AC3FAE" w:rsidP="00AC3FAE">
      <w:pPr>
        <w:numPr>
          <w:ilvl w:val="0"/>
          <w:numId w:val="16"/>
        </w:numPr>
        <w:rPr>
          <w:sz w:val="24"/>
          <w:szCs w:val="24"/>
        </w:rPr>
      </w:pPr>
      <w:r w:rsidRPr="005F7D4D">
        <w:rPr>
          <w:sz w:val="24"/>
          <w:szCs w:val="24"/>
        </w:rPr>
        <w:t xml:space="preserve">Lever og galdeveje: </w:t>
      </w:r>
      <w:proofErr w:type="spellStart"/>
      <w:r>
        <w:rPr>
          <w:sz w:val="24"/>
          <w:szCs w:val="24"/>
        </w:rPr>
        <w:t>C</w:t>
      </w:r>
      <w:r w:rsidRPr="005F7D4D">
        <w:rPr>
          <w:sz w:val="24"/>
          <w:szCs w:val="24"/>
        </w:rPr>
        <w:t>holestase</w:t>
      </w:r>
      <w:proofErr w:type="spellEnd"/>
      <w:r w:rsidRPr="005F7D4D">
        <w:rPr>
          <w:sz w:val="24"/>
          <w:szCs w:val="24"/>
        </w:rPr>
        <w:t xml:space="preserve">, </w:t>
      </w:r>
      <w:proofErr w:type="spellStart"/>
      <w:r w:rsidRPr="005F7D4D">
        <w:rPr>
          <w:sz w:val="24"/>
          <w:szCs w:val="24"/>
        </w:rPr>
        <w:t>hepatomegali</w:t>
      </w:r>
      <w:proofErr w:type="spellEnd"/>
      <w:r w:rsidRPr="005F7D4D">
        <w:rPr>
          <w:sz w:val="24"/>
          <w:szCs w:val="24"/>
        </w:rPr>
        <w:t>, gulsot</w:t>
      </w:r>
    </w:p>
    <w:p w:rsidR="00AC3FAE" w:rsidRPr="005F7D4D" w:rsidRDefault="00AC3FAE" w:rsidP="00AC3FAE">
      <w:pPr>
        <w:numPr>
          <w:ilvl w:val="0"/>
          <w:numId w:val="16"/>
        </w:numPr>
        <w:rPr>
          <w:sz w:val="24"/>
          <w:szCs w:val="24"/>
        </w:rPr>
      </w:pPr>
      <w:r w:rsidRPr="005F7D4D">
        <w:rPr>
          <w:sz w:val="24"/>
          <w:szCs w:val="24"/>
        </w:rPr>
        <w:t>Immunsystemet: Hypersensitivitet</w:t>
      </w:r>
    </w:p>
    <w:p w:rsidR="00AC3FAE" w:rsidRPr="005F7D4D" w:rsidRDefault="00AC3FAE" w:rsidP="00AC3FAE">
      <w:pPr>
        <w:numPr>
          <w:ilvl w:val="0"/>
          <w:numId w:val="16"/>
        </w:numPr>
        <w:rPr>
          <w:sz w:val="24"/>
          <w:szCs w:val="24"/>
        </w:rPr>
      </w:pPr>
      <w:r w:rsidRPr="005F7D4D">
        <w:rPr>
          <w:sz w:val="24"/>
          <w:szCs w:val="24"/>
        </w:rPr>
        <w:t>Traumer, forgiftninger og behandlingskomplikationer: Leversygdom associeret med parenteral ernæring (se pkt. 4.4)</w:t>
      </w:r>
    </w:p>
    <w:p w:rsidR="00AC3FAE" w:rsidRPr="005F7D4D" w:rsidRDefault="00AC3FAE" w:rsidP="00AC3FAE">
      <w:pPr>
        <w:numPr>
          <w:ilvl w:val="0"/>
          <w:numId w:val="16"/>
        </w:numPr>
        <w:rPr>
          <w:sz w:val="24"/>
          <w:szCs w:val="24"/>
        </w:rPr>
      </w:pPr>
      <w:r w:rsidRPr="005F7D4D">
        <w:rPr>
          <w:sz w:val="24"/>
          <w:szCs w:val="24"/>
        </w:rPr>
        <w:t xml:space="preserve">Undersøgelser: </w:t>
      </w:r>
      <w:r>
        <w:rPr>
          <w:sz w:val="24"/>
          <w:szCs w:val="24"/>
        </w:rPr>
        <w:t>Ø</w:t>
      </w:r>
      <w:r w:rsidRPr="005F7D4D">
        <w:rPr>
          <w:sz w:val="24"/>
          <w:szCs w:val="24"/>
        </w:rPr>
        <w:t xml:space="preserve">get alkalisk </w:t>
      </w:r>
      <w:proofErr w:type="spellStart"/>
      <w:r w:rsidRPr="005F7D4D">
        <w:rPr>
          <w:sz w:val="24"/>
          <w:szCs w:val="24"/>
        </w:rPr>
        <w:t>phosphatase</w:t>
      </w:r>
      <w:proofErr w:type="spellEnd"/>
      <w:r w:rsidRPr="005F7D4D">
        <w:rPr>
          <w:sz w:val="24"/>
          <w:szCs w:val="24"/>
        </w:rPr>
        <w:t xml:space="preserve"> i blodet, øget </w:t>
      </w:r>
      <w:proofErr w:type="spellStart"/>
      <w:r w:rsidRPr="005F7D4D">
        <w:rPr>
          <w:sz w:val="24"/>
          <w:szCs w:val="24"/>
        </w:rPr>
        <w:t>transaminase</w:t>
      </w:r>
      <w:proofErr w:type="spellEnd"/>
      <w:r w:rsidRPr="005F7D4D">
        <w:rPr>
          <w:sz w:val="24"/>
          <w:szCs w:val="24"/>
        </w:rPr>
        <w:t>, øget bilirubin i blodet, forhøjede leverenzymer</w:t>
      </w:r>
    </w:p>
    <w:p w:rsidR="00AC3FAE" w:rsidRPr="005F7D4D" w:rsidRDefault="00AC3FAE" w:rsidP="00AC3FAE">
      <w:pPr>
        <w:numPr>
          <w:ilvl w:val="0"/>
          <w:numId w:val="16"/>
        </w:numPr>
        <w:rPr>
          <w:sz w:val="24"/>
          <w:szCs w:val="24"/>
        </w:rPr>
      </w:pPr>
      <w:r w:rsidRPr="005F7D4D">
        <w:rPr>
          <w:sz w:val="24"/>
          <w:szCs w:val="24"/>
        </w:rPr>
        <w:t xml:space="preserve">Nyrer og urinveje: </w:t>
      </w:r>
      <w:proofErr w:type="spellStart"/>
      <w:r>
        <w:rPr>
          <w:sz w:val="24"/>
          <w:szCs w:val="24"/>
        </w:rPr>
        <w:t>A</w:t>
      </w:r>
      <w:r w:rsidRPr="005F7D4D">
        <w:rPr>
          <w:sz w:val="24"/>
          <w:szCs w:val="24"/>
        </w:rPr>
        <w:t>zotæmi</w:t>
      </w:r>
      <w:proofErr w:type="spellEnd"/>
    </w:p>
    <w:p w:rsidR="00AC3FAE" w:rsidRPr="005F7D4D" w:rsidRDefault="00AC3FAE" w:rsidP="00AC3FAE">
      <w:pPr>
        <w:numPr>
          <w:ilvl w:val="0"/>
          <w:numId w:val="16"/>
        </w:numPr>
        <w:rPr>
          <w:sz w:val="24"/>
          <w:szCs w:val="24"/>
        </w:rPr>
      </w:pPr>
      <w:proofErr w:type="spellStart"/>
      <w:r w:rsidRPr="005F7D4D">
        <w:rPr>
          <w:sz w:val="24"/>
          <w:szCs w:val="24"/>
        </w:rPr>
        <w:t>Vaskulære</w:t>
      </w:r>
      <w:proofErr w:type="spellEnd"/>
      <w:r w:rsidRPr="005F7D4D">
        <w:rPr>
          <w:sz w:val="24"/>
          <w:szCs w:val="24"/>
        </w:rPr>
        <w:t xml:space="preserve"> sygdomme: </w:t>
      </w:r>
      <w:proofErr w:type="spellStart"/>
      <w:r>
        <w:rPr>
          <w:sz w:val="24"/>
          <w:szCs w:val="24"/>
        </w:rPr>
        <w:t>P</w:t>
      </w:r>
      <w:r w:rsidRPr="005F7D4D">
        <w:rPr>
          <w:sz w:val="24"/>
          <w:szCs w:val="24"/>
        </w:rPr>
        <w:t>ulmonale</w:t>
      </w:r>
      <w:proofErr w:type="spellEnd"/>
      <w:r w:rsidRPr="005F7D4D">
        <w:rPr>
          <w:sz w:val="24"/>
          <w:szCs w:val="24"/>
        </w:rPr>
        <w:t xml:space="preserve"> </w:t>
      </w:r>
      <w:proofErr w:type="spellStart"/>
      <w:r w:rsidRPr="005F7D4D">
        <w:rPr>
          <w:sz w:val="24"/>
          <w:szCs w:val="24"/>
        </w:rPr>
        <w:t>vaskulære</w:t>
      </w:r>
      <w:proofErr w:type="spellEnd"/>
      <w:r w:rsidRPr="005F7D4D">
        <w:rPr>
          <w:sz w:val="24"/>
          <w:szCs w:val="24"/>
        </w:rPr>
        <w:t xml:space="preserve"> udfældninger (</w:t>
      </w:r>
      <w:proofErr w:type="spellStart"/>
      <w:r w:rsidRPr="005F7D4D">
        <w:rPr>
          <w:sz w:val="24"/>
          <w:szCs w:val="24"/>
        </w:rPr>
        <w:t>pulmonal</w:t>
      </w:r>
      <w:proofErr w:type="spellEnd"/>
      <w:r w:rsidRPr="005F7D4D">
        <w:rPr>
          <w:sz w:val="24"/>
          <w:szCs w:val="24"/>
        </w:rPr>
        <w:t xml:space="preserve"> </w:t>
      </w:r>
      <w:proofErr w:type="spellStart"/>
      <w:r w:rsidRPr="005F7D4D">
        <w:rPr>
          <w:sz w:val="24"/>
          <w:szCs w:val="24"/>
        </w:rPr>
        <w:t>vaskulær</w:t>
      </w:r>
      <w:proofErr w:type="spellEnd"/>
      <w:r w:rsidRPr="005F7D4D">
        <w:rPr>
          <w:sz w:val="24"/>
          <w:szCs w:val="24"/>
        </w:rPr>
        <w:t xml:space="preserve"> </w:t>
      </w:r>
      <w:proofErr w:type="spellStart"/>
      <w:r w:rsidRPr="005F7D4D">
        <w:rPr>
          <w:sz w:val="24"/>
          <w:szCs w:val="24"/>
        </w:rPr>
        <w:t>embolisme</w:t>
      </w:r>
      <w:proofErr w:type="spellEnd"/>
      <w:r w:rsidRPr="005F7D4D">
        <w:rPr>
          <w:sz w:val="24"/>
          <w:szCs w:val="24"/>
        </w:rPr>
        <w:t xml:space="preserve"> og åndedrætsbesvær) (se pkt. 4.4).</w:t>
      </w:r>
    </w:p>
    <w:p w:rsidR="00AC3FAE" w:rsidRPr="005F7D4D" w:rsidRDefault="00AC3FAE" w:rsidP="00AC3FAE">
      <w:pPr>
        <w:pStyle w:val="Sidehoved"/>
        <w:tabs>
          <w:tab w:val="clear" w:pos="4819"/>
          <w:tab w:val="clear" w:pos="9638"/>
          <w:tab w:val="left" w:pos="851"/>
        </w:tabs>
        <w:ind w:left="851"/>
        <w:rPr>
          <w:szCs w:val="24"/>
        </w:rPr>
      </w:pPr>
    </w:p>
    <w:p w:rsidR="00AC3FAE" w:rsidRPr="005F7D4D" w:rsidRDefault="00AC3FAE" w:rsidP="00AC3FAE">
      <w:pPr>
        <w:pStyle w:val="Sidehoved"/>
        <w:tabs>
          <w:tab w:val="left" w:pos="851"/>
        </w:tabs>
        <w:ind w:left="851"/>
        <w:rPr>
          <w:i/>
          <w:iCs/>
          <w:szCs w:val="24"/>
        </w:rPr>
      </w:pPr>
      <w:r w:rsidRPr="005F7D4D">
        <w:rPr>
          <w:i/>
          <w:iCs/>
          <w:szCs w:val="24"/>
        </w:rPr>
        <w:t>Fedtoverbelastningssyndrom (meget sjælden)</w:t>
      </w:r>
    </w:p>
    <w:p w:rsidR="00AC3FAE" w:rsidRPr="005F7D4D" w:rsidRDefault="00AC3FAE" w:rsidP="00AC3FAE">
      <w:pPr>
        <w:pStyle w:val="Sidehoved"/>
        <w:tabs>
          <w:tab w:val="left" w:pos="851"/>
        </w:tabs>
        <w:ind w:left="851"/>
        <w:rPr>
          <w:szCs w:val="24"/>
        </w:rPr>
      </w:pPr>
    </w:p>
    <w:p w:rsidR="00AC3FAE" w:rsidRPr="005F7D4D" w:rsidRDefault="00AC3FAE" w:rsidP="00AC3FAE">
      <w:pPr>
        <w:pStyle w:val="Sidehoved"/>
        <w:tabs>
          <w:tab w:val="left" w:pos="851"/>
        </w:tabs>
        <w:ind w:left="851"/>
        <w:rPr>
          <w:szCs w:val="24"/>
        </w:rPr>
      </w:pPr>
      <w:r w:rsidRPr="005F7D4D">
        <w:rPr>
          <w:szCs w:val="24"/>
        </w:rPr>
        <w:t xml:space="preserve">Fedtoverbelastningssyndrom er rapporteret med lignende produkter. Dette kan skyldes en ukorrekt administration (f.eks. overdosis og/eller en infusionshastighed, som er højere end anbefalet, se pkt. 4.9). Tegn og symptomer på syndromet kan imidlertid også opstå ved begyndelsen af en infusion, når produktet indgives i henhold til instruktionerne. Den reducerede eller begrænsede evne til at </w:t>
      </w:r>
      <w:proofErr w:type="spellStart"/>
      <w:r w:rsidRPr="005F7D4D">
        <w:rPr>
          <w:szCs w:val="24"/>
        </w:rPr>
        <w:t>metabolisere</w:t>
      </w:r>
      <w:proofErr w:type="spellEnd"/>
      <w:r w:rsidRPr="005F7D4D">
        <w:rPr>
          <w:szCs w:val="24"/>
        </w:rPr>
        <w:t xml:space="preserve"> fedtstofferne i </w:t>
      </w:r>
      <w:proofErr w:type="spellStart"/>
      <w:r w:rsidRPr="005F7D4D">
        <w:rPr>
          <w:szCs w:val="24"/>
        </w:rPr>
        <w:t>Olimel</w:t>
      </w:r>
      <w:proofErr w:type="spellEnd"/>
      <w:r w:rsidRPr="005F7D4D">
        <w:rPr>
          <w:szCs w:val="24"/>
        </w:rPr>
        <w:t xml:space="preserve"> N12E kan sammen med forlænget </w:t>
      </w:r>
      <w:proofErr w:type="spellStart"/>
      <w:r w:rsidRPr="005F7D4D">
        <w:rPr>
          <w:szCs w:val="24"/>
        </w:rPr>
        <w:t>plasmaclearance</w:t>
      </w:r>
      <w:proofErr w:type="spellEnd"/>
      <w:r w:rsidRPr="005F7D4D">
        <w:rPr>
          <w:szCs w:val="24"/>
        </w:rPr>
        <w:t xml:space="preserve"> medføre et </w:t>
      </w:r>
      <w:r>
        <w:rPr>
          <w:szCs w:val="24"/>
        </w:rPr>
        <w:t>"</w:t>
      </w:r>
      <w:r w:rsidRPr="005F7D4D">
        <w:rPr>
          <w:szCs w:val="24"/>
        </w:rPr>
        <w:t>fedtoverbelastningssyndrom</w:t>
      </w:r>
      <w:r>
        <w:rPr>
          <w:szCs w:val="24"/>
        </w:rPr>
        <w:t>"</w:t>
      </w:r>
      <w:r w:rsidRPr="005F7D4D">
        <w:rPr>
          <w:szCs w:val="24"/>
        </w:rPr>
        <w:t xml:space="preserve">. Syndromet er knyttet til en pludselig forværring i patientens kliniske tilstand og er karakteriseret ved feber, anæmi, </w:t>
      </w:r>
      <w:proofErr w:type="spellStart"/>
      <w:r w:rsidRPr="005F7D4D">
        <w:rPr>
          <w:szCs w:val="24"/>
        </w:rPr>
        <w:t>leukopeni</w:t>
      </w:r>
      <w:proofErr w:type="spellEnd"/>
      <w:r w:rsidRPr="005F7D4D">
        <w:rPr>
          <w:szCs w:val="24"/>
        </w:rPr>
        <w:t xml:space="preserve">, </w:t>
      </w:r>
      <w:proofErr w:type="spellStart"/>
      <w:r w:rsidRPr="005F7D4D">
        <w:rPr>
          <w:szCs w:val="24"/>
        </w:rPr>
        <w:t>trombocytopeni</w:t>
      </w:r>
      <w:proofErr w:type="spellEnd"/>
      <w:r w:rsidRPr="005F7D4D">
        <w:rPr>
          <w:szCs w:val="24"/>
        </w:rPr>
        <w:t xml:space="preserve">, koagulationsforstyrrelser, </w:t>
      </w:r>
      <w:proofErr w:type="spellStart"/>
      <w:r w:rsidRPr="005F7D4D">
        <w:rPr>
          <w:szCs w:val="24"/>
        </w:rPr>
        <w:t>hyperlipidæmi</w:t>
      </w:r>
      <w:proofErr w:type="spellEnd"/>
      <w:r w:rsidRPr="005F7D4D">
        <w:rPr>
          <w:szCs w:val="24"/>
        </w:rPr>
        <w:t>, leverfedtinfiltration (</w:t>
      </w:r>
      <w:proofErr w:type="spellStart"/>
      <w:r w:rsidRPr="005F7D4D">
        <w:rPr>
          <w:szCs w:val="24"/>
        </w:rPr>
        <w:t>hepatomegali</w:t>
      </w:r>
      <w:proofErr w:type="spellEnd"/>
      <w:r w:rsidRPr="005F7D4D">
        <w:rPr>
          <w:szCs w:val="24"/>
        </w:rPr>
        <w:t>), nedsat leverfunktion og manifestationer i centralnervesystemet (f.eks. koma). Syndromet er som regel reversibelt, når infusionen af fedtemulsionen stoppes.</w:t>
      </w:r>
    </w:p>
    <w:p w:rsidR="00AC3FAE" w:rsidRPr="005F7D4D" w:rsidRDefault="00AC3FAE" w:rsidP="00AC3FAE">
      <w:pPr>
        <w:pStyle w:val="Sidehoved"/>
        <w:tabs>
          <w:tab w:val="left" w:pos="851"/>
        </w:tabs>
        <w:ind w:left="851"/>
        <w:rPr>
          <w:i/>
          <w:iCs/>
          <w:szCs w:val="24"/>
        </w:rPr>
      </w:pPr>
    </w:p>
    <w:p w:rsidR="00AC3FAE" w:rsidRPr="005F7D4D" w:rsidRDefault="00AC3FAE" w:rsidP="00AC3FAE">
      <w:pPr>
        <w:pStyle w:val="Sidehoved"/>
        <w:tabs>
          <w:tab w:val="left" w:pos="851"/>
        </w:tabs>
        <w:ind w:left="851"/>
        <w:rPr>
          <w:i/>
          <w:iCs/>
          <w:szCs w:val="24"/>
        </w:rPr>
      </w:pPr>
      <w:r w:rsidRPr="005F7D4D">
        <w:rPr>
          <w:i/>
          <w:iCs/>
          <w:szCs w:val="24"/>
        </w:rPr>
        <w:t>Indberetning af formodede bivirkninger</w:t>
      </w:r>
    </w:p>
    <w:p w:rsidR="00AC3FAE" w:rsidRPr="005F7D4D" w:rsidRDefault="00AC3FAE" w:rsidP="00AC3FAE">
      <w:pPr>
        <w:pStyle w:val="Sidehoved"/>
        <w:tabs>
          <w:tab w:val="clear" w:pos="4819"/>
          <w:tab w:val="clear" w:pos="9638"/>
          <w:tab w:val="left" w:pos="851"/>
        </w:tabs>
        <w:ind w:left="851"/>
        <w:rPr>
          <w:szCs w:val="24"/>
        </w:rPr>
      </w:pPr>
    </w:p>
    <w:p w:rsidR="00AC3FAE" w:rsidRPr="005F7D4D" w:rsidRDefault="00AC3FAE" w:rsidP="00AC3FAE">
      <w:pPr>
        <w:pStyle w:val="Sidehoved"/>
        <w:tabs>
          <w:tab w:val="clear" w:pos="4819"/>
          <w:tab w:val="clear" w:pos="9638"/>
          <w:tab w:val="left" w:pos="851"/>
        </w:tabs>
        <w:ind w:left="851"/>
        <w:rPr>
          <w:szCs w:val="24"/>
        </w:rPr>
      </w:pPr>
      <w:r w:rsidRPr="005F7D4D">
        <w:rPr>
          <w:szCs w:val="24"/>
        </w:rPr>
        <w:t>Når lægemidlet er godkendt, er indberetning af formodede bivirkninger vigtig. Det muliggør løbende overvågning af benefit/</w:t>
      </w:r>
      <w:proofErr w:type="spellStart"/>
      <w:r w:rsidRPr="005F7D4D">
        <w:rPr>
          <w:szCs w:val="24"/>
        </w:rPr>
        <w:t>risk</w:t>
      </w:r>
      <w:proofErr w:type="spellEnd"/>
      <w:r w:rsidRPr="005F7D4D">
        <w:rPr>
          <w:szCs w:val="24"/>
        </w:rPr>
        <w:t xml:space="preserve">-forholdet for lægemidlet. </w:t>
      </w:r>
      <w:r w:rsidR="00A51E4B">
        <w:rPr>
          <w:szCs w:val="24"/>
        </w:rPr>
        <w:t>S</w:t>
      </w:r>
      <w:r w:rsidRPr="005F7D4D">
        <w:rPr>
          <w:szCs w:val="24"/>
        </w:rPr>
        <w:t>undhedsperson</w:t>
      </w:r>
      <w:r w:rsidR="00A51E4B">
        <w:rPr>
          <w:szCs w:val="24"/>
        </w:rPr>
        <w:t>er</w:t>
      </w:r>
      <w:r w:rsidRPr="005F7D4D">
        <w:rPr>
          <w:szCs w:val="24"/>
        </w:rPr>
        <w:t xml:space="preserve"> anmodes om at indberette alle formodede bivirkninger via:</w:t>
      </w:r>
    </w:p>
    <w:p w:rsidR="00AC3FAE" w:rsidRPr="005F7D4D" w:rsidRDefault="00AC3FAE" w:rsidP="00AC3FAE">
      <w:pPr>
        <w:pStyle w:val="Sidehoved"/>
        <w:tabs>
          <w:tab w:val="clear" w:pos="4819"/>
          <w:tab w:val="clear" w:pos="9638"/>
          <w:tab w:val="left" w:pos="851"/>
        </w:tabs>
        <w:ind w:left="851"/>
        <w:rPr>
          <w:szCs w:val="24"/>
        </w:rPr>
      </w:pPr>
    </w:p>
    <w:p w:rsidR="00AC3FAE" w:rsidRPr="005F7D4D" w:rsidRDefault="00AC3FAE" w:rsidP="00AC3FAE">
      <w:pPr>
        <w:pStyle w:val="Sidehoved"/>
        <w:tabs>
          <w:tab w:val="left" w:pos="851"/>
        </w:tabs>
        <w:ind w:left="851"/>
        <w:rPr>
          <w:szCs w:val="24"/>
        </w:rPr>
      </w:pPr>
      <w:r w:rsidRPr="005F7D4D">
        <w:rPr>
          <w:szCs w:val="24"/>
        </w:rPr>
        <w:lastRenderedPageBreak/>
        <w:t xml:space="preserve">Lægemiddelstyrelsen </w:t>
      </w:r>
    </w:p>
    <w:p w:rsidR="00AC3FAE" w:rsidRPr="005F7D4D" w:rsidRDefault="00AC3FAE" w:rsidP="00AC3FAE">
      <w:pPr>
        <w:pStyle w:val="Sidehoved"/>
        <w:tabs>
          <w:tab w:val="left" w:pos="851"/>
        </w:tabs>
        <w:ind w:left="851"/>
        <w:rPr>
          <w:szCs w:val="24"/>
        </w:rPr>
      </w:pPr>
      <w:r w:rsidRPr="005F7D4D">
        <w:rPr>
          <w:szCs w:val="24"/>
        </w:rPr>
        <w:t xml:space="preserve">Axel Heides Gade 1 </w:t>
      </w:r>
    </w:p>
    <w:p w:rsidR="00AC3FAE" w:rsidRPr="005F7D4D" w:rsidRDefault="00AC3FAE" w:rsidP="00AC3FAE">
      <w:pPr>
        <w:pStyle w:val="Sidehoved"/>
        <w:tabs>
          <w:tab w:val="left" w:pos="851"/>
        </w:tabs>
        <w:ind w:left="851"/>
        <w:rPr>
          <w:szCs w:val="24"/>
        </w:rPr>
      </w:pPr>
      <w:r w:rsidRPr="005F7D4D">
        <w:rPr>
          <w:szCs w:val="24"/>
        </w:rPr>
        <w:t xml:space="preserve">DK-2300 København S </w:t>
      </w:r>
    </w:p>
    <w:p w:rsidR="00AC3FAE" w:rsidRPr="00EC1C49" w:rsidRDefault="00AC3FAE" w:rsidP="00AC3FAE">
      <w:pPr>
        <w:pStyle w:val="Sidehoved"/>
        <w:tabs>
          <w:tab w:val="left" w:pos="851"/>
        </w:tabs>
        <w:ind w:left="851"/>
        <w:rPr>
          <w:szCs w:val="24"/>
        </w:rPr>
      </w:pPr>
      <w:r w:rsidRPr="00EC1C49">
        <w:rPr>
          <w:szCs w:val="24"/>
        </w:rPr>
        <w:t xml:space="preserve">Websted: www.meldenbivirkning.dk </w:t>
      </w:r>
    </w:p>
    <w:p w:rsidR="00AC3FAE" w:rsidRPr="00EC1C49" w:rsidRDefault="00AC3FAE" w:rsidP="00AC3FAE">
      <w:pPr>
        <w:pStyle w:val="Sidehoved"/>
        <w:tabs>
          <w:tab w:val="left" w:pos="851"/>
        </w:tabs>
        <w:ind w:left="851"/>
        <w:rPr>
          <w:szCs w:val="24"/>
        </w:rPr>
      </w:pPr>
    </w:p>
    <w:p w:rsidR="00AC3FAE" w:rsidRPr="005F7D4D" w:rsidRDefault="00AC3FAE" w:rsidP="00AC3FAE">
      <w:pPr>
        <w:tabs>
          <w:tab w:val="left" w:pos="851"/>
        </w:tabs>
        <w:ind w:left="851" w:hanging="851"/>
        <w:rPr>
          <w:b/>
          <w:sz w:val="24"/>
          <w:szCs w:val="24"/>
        </w:rPr>
      </w:pPr>
      <w:r w:rsidRPr="005F7D4D">
        <w:rPr>
          <w:b/>
          <w:sz w:val="24"/>
          <w:szCs w:val="24"/>
        </w:rPr>
        <w:t>4.9</w:t>
      </w:r>
      <w:r w:rsidRPr="005F7D4D">
        <w:rPr>
          <w:b/>
          <w:sz w:val="24"/>
          <w:szCs w:val="24"/>
        </w:rPr>
        <w:tab/>
        <w:t>Overdosering</w:t>
      </w:r>
    </w:p>
    <w:p w:rsidR="00AC3FAE" w:rsidRPr="005F7D4D" w:rsidRDefault="00AC3FAE" w:rsidP="00AC3FAE">
      <w:pPr>
        <w:tabs>
          <w:tab w:val="left" w:pos="851"/>
        </w:tabs>
        <w:ind w:left="851"/>
        <w:rPr>
          <w:sz w:val="24"/>
          <w:szCs w:val="24"/>
        </w:rPr>
      </w:pPr>
      <w:r w:rsidRPr="005F7D4D">
        <w:rPr>
          <w:sz w:val="24"/>
          <w:szCs w:val="24"/>
        </w:rPr>
        <w:t xml:space="preserve">I tilfælde af ukorrekt indgivelse (overdosis og/eller højere infusionshastighed end anbefalet) kan der opstå kvalme, opkastning, kulderystelser, hovedpine, hedeture, </w:t>
      </w:r>
      <w:proofErr w:type="spellStart"/>
      <w:r w:rsidRPr="005F7D4D">
        <w:rPr>
          <w:sz w:val="24"/>
          <w:szCs w:val="24"/>
        </w:rPr>
        <w:t>hyperhidrose</w:t>
      </w:r>
      <w:proofErr w:type="spellEnd"/>
      <w:r w:rsidRPr="005F7D4D">
        <w:rPr>
          <w:sz w:val="24"/>
          <w:szCs w:val="24"/>
        </w:rPr>
        <w:t xml:space="preserve"> og elektrolytforstyrrelser samt tegn på </w:t>
      </w:r>
      <w:proofErr w:type="spellStart"/>
      <w:r w:rsidRPr="005F7D4D">
        <w:rPr>
          <w:sz w:val="24"/>
          <w:szCs w:val="24"/>
        </w:rPr>
        <w:t>hypervolæmi</w:t>
      </w:r>
      <w:proofErr w:type="spellEnd"/>
      <w:r w:rsidRPr="005F7D4D">
        <w:rPr>
          <w:sz w:val="24"/>
          <w:szCs w:val="24"/>
        </w:rPr>
        <w:t xml:space="preserve"> eller </w:t>
      </w:r>
      <w:proofErr w:type="spellStart"/>
      <w:r w:rsidRPr="005F7D4D">
        <w:rPr>
          <w:sz w:val="24"/>
          <w:szCs w:val="24"/>
        </w:rPr>
        <w:t>acidose</w:t>
      </w:r>
      <w:proofErr w:type="spellEnd"/>
      <w:r w:rsidRPr="005F7D4D">
        <w:rPr>
          <w:sz w:val="24"/>
          <w:szCs w:val="24"/>
        </w:rPr>
        <w:t xml:space="preserve">, og det kan medføre alvorlige eller dødelige konsekvenser. Hvis det sker, skal infusionen straks stoppes. Hvis det er medicinsk relevant, kan yderligere intervention være indiceret. </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Der kan udvikles </w:t>
      </w:r>
      <w:proofErr w:type="spellStart"/>
      <w:r w:rsidRPr="005F7D4D">
        <w:rPr>
          <w:sz w:val="24"/>
          <w:szCs w:val="24"/>
        </w:rPr>
        <w:t>hyperglykæmi</w:t>
      </w:r>
      <w:proofErr w:type="spellEnd"/>
      <w:r w:rsidRPr="005F7D4D">
        <w:rPr>
          <w:sz w:val="24"/>
          <w:szCs w:val="24"/>
        </w:rPr>
        <w:t xml:space="preserve">, </w:t>
      </w:r>
      <w:proofErr w:type="spellStart"/>
      <w:r w:rsidRPr="005F7D4D">
        <w:rPr>
          <w:sz w:val="24"/>
          <w:szCs w:val="24"/>
        </w:rPr>
        <w:t>glukosuri</w:t>
      </w:r>
      <w:proofErr w:type="spellEnd"/>
      <w:r w:rsidRPr="005F7D4D">
        <w:rPr>
          <w:sz w:val="24"/>
          <w:szCs w:val="24"/>
        </w:rPr>
        <w:t xml:space="preserve"> og </w:t>
      </w:r>
      <w:proofErr w:type="spellStart"/>
      <w:r w:rsidRPr="005F7D4D">
        <w:rPr>
          <w:sz w:val="24"/>
          <w:szCs w:val="24"/>
        </w:rPr>
        <w:t>hyperosmolært</w:t>
      </w:r>
      <w:proofErr w:type="spellEnd"/>
      <w:r w:rsidRPr="005F7D4D">
        <w:rPr>
          <w:sz w:val="24"/>
          <w:szCs w:val="24"/>
        </w:rPr>
        <w:t xml:space="preserve"> syndrom, hvis infusionshastigheden af </w:t>
      </w:r>
      <w:proofErr w:type="spellStart"/>
      <w:r w:rsidRPr="005F7D4D">
        <w:rPr>
          <w:sz w:val="24"/>
          <w:szCs w:val="24"/>
        </w:rPr>
        <w:t>glucose</w:t>
      </w:r>
      <w:proofErr w:type="spellEnd"/>
      <w:r w:rsidRPr="005F7D4D">
        <w:rPr>
          <w:sz w:val="24"/>
          <w:szCs w:val="24"/>
        </w:rPr>
        <w:t xml:space="preserve"> overstiger </w:t>
      </w:r>
      <w:proofErr w:type="spellStart"/>
      <w:r w:rsidRPr="005F7D4D">
        <w:rPr>
          <w:sz w:val="24"/>
          <w:szCs w:val="24"/>
        </w:rPr>
        <w:t>clearance</w:t>
      </w:r>
      <w:proofErr w:type="spellEnd"/>
      <w:r w:rsidRPr="005F7D4D">
        <w:rPr>
          <w:sz w:val="24"/>
          <w:szCs w:val="24"/>
        </w:rPr>
        <w: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Den nedsatte eller begrænsede evne til at </w:t>
      </w:r>
      <w:proofErr w:type="spellStart"/>
      <w:r w:rsidRPr="005F7D4D">
        <w:rPr>
          <w:sz w:val="24"/>
          <w:szCs w:val="24"/>
        </w:rPr>
        <w:t>metabolisere</w:t>
      </w:r>
      <w:proofErr w:type="spellEnd"/>
      <w:r w:rsidRPr="005F7D4D">
        <w:rPr>
          <w:sz w:val="24"/>
          <w:szCs w:val="24"/>
        </w:rPr>
        <w:t xml:space="preserve"> fedt kan føre til et “fedtoverbelastningssyndrom</w:t>
      </w:r>
      <w:r>
        <w:rPr>
          <w:sz w:val="24"/>
          <w:szCs w:val="24"/>
        </w:rPr>
        <w:t>"</w:t>
      </w:r>
      <w:r w:rsidRPr="005F7D4D">
        <w:rPr>
          <w:sz w:val="24"/>
          <w:szCs w:val="24"/>
        </w:rPr>
        <w:t>, hvis virkninger sædvanligvis er reversible, når fedtinfusionen stoppes (se også pkt. 4.8).</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I nogle alvorlige situationer kan hæmodialyse, </w:t>
      </w:r>
      <w:proofErr w:type="spellStart"/>
      <w:r w:rsidRPr="005F7D4D">
        <w:rPr>
          <w:sz w:val="24"/>
          <w:szCs w:val="24"/>
        </w:rPr>
        <w:t>hæmofiltrering</w:t>
      </w:r>
      <w:proofErr w:type="spellEnd"/>
      <w:r w:rsidRPr="005F7D4D">
        <w:rPr>
          <w:sz w:val="24"/>
          <w:szCs w:val="24"/>
        </w:rPr>
        <w:t xml:space="preserve"> eller </w:t>
      </w:r>
      <w:proofErr w:type="spellStart"/>
      <w:r w:rsidRPr="005F7D4D">
        <w:rPr>
          <w:sz w:val="24"/>
          <w:szCs w:val="24"/>
        </w:rPr>
        <w:t>hæmodiafiltrering</w:t>
      </w:r>
      <w:proofErr w:type="spellEnd"/>
      <w:r w:rsidRPr="005F7D4D">
        <w:rPr>
          <w:sz w:val="24"/>
          <w:szCs w:val="24"/>
        </w:rPr>
        <w:t xml:space="preserve"> være nødvendig.</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4.10</w:t>
      </w:r>
      <w:r w:rsidRPr="005F7D4D">
        <w:rPr>
          <w:b/>
          <w:sz w:val="24"/>
          <w:szCs w:val="24"/>
        </w:rPr>
        <w:tab/>
        <w:t>Udlevering</w:t>
      </w:r>
    </w:p>
    <w:p w:rsidR="00AC3FAE" w:rsidRPr="005F7D4D" w:rsidRDefault="00AC3FAE" w:rsidP="00AC3FAE">
      <w:pPr>
        <w:tabs>
          <w:tab w:val="left" w:pos="851"/>
        </w:tabs>
        <w:ind w:left="851"/>
        <w:rPr>
          <w:sz w:val="24"/>
          <w:szCs w:val="24"/>
        </w:rPr>
      </w:pPr>
      <w:r w:rsidRPr="005F7D4D">
        <w:rPr>
          <w:sz w:val="24"/>
          <w:szCs w:val="24"/>
        </w:rPr>
        <w:t>B</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5.</w:t>
      </w:r>
      <w:r w:rsidRPr="005F7D4D">
        <w:rPr>
          <w:b/>
          <w:sz w:val="24"/>
          <w:szCs w:val="24"/>
        </w:rPr>
        <w:tab/>
        <w:t>FARMAKOLOGISKE EGENSKABER</w:t>
      </w:r>
    </w:p>
    <w:p w:rsidR="00AC3FAE" w:rsidRPr="005F7D4D" w:rsidRDefault="00AC3FAE" w:rsidP="00AC3FAE">
      <w:pPr>
        <w:tabs>
          <w:tab w:val="left" w:pos="851"/>
        </w:tabs>
        <w:ind w:left="851"/>
        <w:rPr>
          <w:sz w:val="24"/>
          <w:szCs w:val="24"/>
        </w:rPr>
      </w:pPr>
    </w:p>
    <w:p w:rsidR="00AC3FAE" w:rsidRPr="005F7D4D" w:rsidRDefault="00AC3FAE" w:rsidP="00AC3FAE">
      <w:pPr>
        <w:tabs>
          <w:tab w:val="num" w:pos="851"/>
        </w:tabs>
        <w:ind w:left="851" w:hanging="851"/>
        <w:rPr>
          <w:b/>
          <w:sz w:val="24"/>
          <w:szCs w:val="24"/>
        </w:rPr>
      </w:pPr>
      <w:r w:rsidRPr="005F7D4D">
        <w:rPr>
          <w:b/>
          <w:sz w:val="24"/>
          <w:szCs w:val="24"/>
        </w:rPr>
        <w:t>5.1</w:t>
      </w:r>
      <w:r w:rsidRPr="005F7D4D">
        <w:rPr>
          <w:b/>
          <w:sz w:val="24"/>
          <w:szCs w:val="24"/>
        </w:rPr>
        <w:tab/>
      </w:r>
      <w:proofErr w:type="spellStart"/>
      <w:r w:rsidRPr="005F7D4D">
        <w:rPr>
          <w:b/>
          <w:sz w:val="24"/>
          <w:szCs w:val="24"/>
        </w:rPr>
        <w:t>Farmakodynamiske</w:t>
      </w:r>
      <w:proofErr w:type="spellEnd"/>
      <w:r w:rsidRPr="005F7D4D">
        <w:rPr>
          <w:b/>
          <w:sz w:val="24"/>
          <w:szCs w:val="24"/>
        </w:rPr>
        <w:t xml:space="preserve"> egenskaber</w:t>
      </w:r>
    </w:p>
    <w:p w:rsidR="002F0B8C" w:rsidRPr="005F7D4D" w:rsidRDefault="002F0B8C" w:rsidP="002F0B8C">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5F7D4D">
        <w:rPr>
          <w:sz w:val="24"/>
          <w:szCs w:val="24"/>
        </w:rPr>
        <w:t>Opløsninger til parenteral ernæring/kombinationer</w:t>
      </w:r>
      <w:r>
        <w:rPr>
          <w:sz w:val="24"/>
          <w:szCs w:val="24"/>
        </w:rPr>
        <w:t>.</w:t>
      </w:r>
    </w:p>
    <w:p w:rsidR="002F0B8C" w:rsidRDefault="002F0B8C" w:rsidP="00AC3FAE">
      <w:pPr>
        <w:tabs>
          <w:tab w:val="left" w:pos="851"/>
        </w:tabs>
        <w:ind w:left="851"/>
        <w:rPr>
          <w:sz w:val="24"/>
          <w:szCs w:val="24"/>
        </w:rPr>
      </w:pPr>
      <w:r w:rsidRPr="005F7D4D">
        <w:rPr>
          <w:sz w:val="24"/>
          <w:szCs w:val="24"/>
        </w:rPr>
        <w:t>ATC-kode: B</w:t>
      </w:r>
      <w:r>
        <w:rPr>
          <w:sz w:val="24"/>
          <w:szCs w:val="24"/>
        </w:rPr>
        <w:t xml:space="preserve"> </w:t>
      </w:r>
      <w:r w:rsidRPr="005F7D4D">
        <w:rPr>
          <w:sz w:val="24"/>
          <w:szCs w:val="24"/>
        </w:rPr>
        <w:t>05</w:t>
      </w:r>
      <w:r>
        <w:rPr>
          <w:sz w:val="24"/>
          <w:szCs w:val="24"/>
        </w:rPr>
        <w:t xml:space="preserve"> </w:t>
      </w:r>
      <w:r w:rsidRPr="005F7D4D">
        <w:rPr>
          <w:sz w:val="24"/>
          <w:szCs w:val="24"/>
        </w:rPr>
        <w:t>BA</w:t>
      </w:r>
      <w:r>
        <w:rPr>
          <w:sz w:val="24"/>
          <w:szCs w:val="24"/>
        </w:rPr>
        <w:t xml:space="preserve"> </w:t>
      </w:r>
      <w:r w:rsidRPr="005F7D4D">
        <w:rPr>
          <w:sz w:val="24"/>
          <w:szCs w:val="24"/>
        </w:rPr>
        <w:t>10.</w:t>
      </w:r>
    </w:p>
    <w:p w:rsidR="002F0B8C" w:rsidRDefault="002F0B8C"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Indholdet af nitrogen (aminosyrer i L-serien) og energi (</w:t>
      </w:r>
      <w:proofErr w:type="spellStart"/>
      <w:r w:rsidRPr="005F7D4D">
        <w:rPr>
          <w:sz w:val="24"/>
          <w:szCs w:val="24"/>
        </w:rPr>
        <w:t>glucose</w:t>
      </w:r>
      <w:proofErr w:type="spellEnd"/>
      <w:r w:rsidRPr="005F7D4D">
        <w:rPr>
          <w:sz w:val="24"/>
          <w:szCs w:val="24"/>
        </w:rPr>
        <w:t xml:space="preserve"> og triglycerider) i </w:t>
      </w:r>
      <w:proofErr w:type="spellStart"/>
      <w:r w:rsidRPr="005F7D4D">
        <w:rPr>
          <w:sz w:val="24"/>
          <w:szCs w:val="24"/>
        </w:rPr>
        <w:t>Olimel</w:t>
      </w:r>
      <w:proofErr w:type="spellEnd"/>
      <w:r w:rsidRPr="005F7D4D">
        <w:rPr>
          <w:sz w:val="24"/>
          <w:szCs w:val="24"/>
        </w:rPr>
        <w:t xml:space="preserve"> N12E gør det muligt at opretholde en passende nitrogen-/energibalance.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Formuleringen indeholder også elektrolytter.</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Fedtemulsionen i </w:t>
      </w:r>
      <w:proofErr w:type="spellStart"/>
      <w:r w:rsidRPr="005F7D4D">
        <w:rPr>
          <w:sz w:val="24"/>
          <w:szCs w:val="24"/>
        </w:rPr>
        <w:t>Olimel</w:t>
      </w:r>
      <w:proofErr w:type="spellEnd"/>
      <w:r w:rsidRPr="005F7D4D">
        <w:rPr>
          <w:sz w:val="24"/>
          <w:szCs w:val="24"/>
        </w:rPr>
        <w:t xml:space="preserve"> N12E er en blanding af olivenolie, renset, og sojaolie, renset (forhold 80/20), med følgende tilnærmelsesvise fordeling af fedtsyrer:</w:t>
      </w:r>
    </w:p>
    <w:p w:rsidR="00AC3FAE" w:rsidRPr="005F7D4D" w:rsidRDefault="00AC3FAE" w:rsidP="00AC3FAE">
      <w:pPr>
        <w:numPr>
          <w:ilvl w:val="0"/>
          <w:numId w:val="17"/>
        </w:numPr>
        <w:rPr>
          <w:sz w:val="24"/>
          <w:szCs w:val="24"/>
        </w:rPr>
      </w:pPr>
      <w:r w:rsidRPr="005F7D4D">
        <w:rPr>
          <w:sz w:val="24"/>
          <w:szCs w:val="24"/>
        </w:rPr>
        <w:t>15 % mættede fedtsyrer (SFA)</w:t>
      </w:r>
    </w:p>
    <w:p w:rsidR="00AC3FAE" w:rsidRPr="005F7D4D" w:rsidRDefault="00AC3FAE" w:rsidP="00AC3FAE">
      <w:pPr>
        <w:numPr>
          <w:ilvl w:val="0"/>
          <w:numId w:val="17"/>
        </w:numPr>
        <w:rPr>
          <w:sz w:val="24"/>
          <w:szCs w:val="24"/>
        </w:rPr>
      </w:pPr>
      <w:r w:rsidRPr="005F7D4D">
        <w:rPr>
          <w:sz w:val="24"/>
          <w:szCs w:val="24"/>
        </w:rPr>
        <w:t>65 % monoumættede fedtsyrer (MUFA)</w:t>
      </w:r>
    </w:p>
    <w:p w:rsidR="00AC3FAE" w:rsidRPr="005F7D4D" w:rsidRDefault="00AC3FAE" w:rsidP="00AC3FAE">
      <w:pPr>
        <w:numPr>
          <w:ilvl w:val="0"/>
          <w:numId w:val="17"/>
        </w:numPr>
        <w:rPr>
          <w:sz w:val="24"/>
          <w:szCs w:val="24"/>
        </w:rPr>
      </w:pPr>
      <w:r w:rsidRPr="005F7D4D">
        <w:rPr>
          <w:sz w:val="24"/>
          <w:szCs w:val="24"/>
        </w:rPr>
        <w:t>20 % essentielle polyumættede fedtsyrer (PUFA).</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Forholdet </w:t>
      </w:r>
      <w:proofErr w:type="spellStart"/>
      <w:r w:rsidRPr="005F7D4D">
        <w:rPr>
          <w:sz w:val="24"/>
          <w:szCs w:val="24"/>
        </w:rPr>
        <w:t>phospholipid</w:t>
      </w:r>
      <w:proofErr w:type="spellEnd"/>
      <w:r w:rsidRPr="005F7D4D">
        <w:rPr>
          <w:sz w:val="24"/>
          <w:szCs w:val="24"/>
        </w:rPr>
        <w:t>/triglycerid er 0,06.</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Olivenolie indeholder betydelige mængder af alfa-</w:t>
      </w:r>
      <w:proofErr w:type="spellStart"/>
      <w:r w:rsidRPr="005F7D4D">
        <w:rPr>
          <w:sz w:val="24"/>
          <w:szCs w:val="24"/>
        </w:rPr>
        <w:t>tocopherol</w:t>
      </w:r>
      <w:proofErr w:type="spellEnd"/>
      <w:r w:rsidRPr="005F7D4D">
        <w:rPr>
          <w:sz w:val="24"/>
          <w:szCs w:val="24"/>
        </w:rPr>
        <w:t xml:space="preserve">, som kombineret med et moderat PUFA-indtag er med til at forbedre status af vitamin E og nedsætte </w:t>
      </w:r>
      <w:proofErr w:type="spellStart"/>
      <w:r w:rsidRPr="005F7D4D">
        <w:rPr>
          <w:sz w:val="24"/>
          <w:szCs w:val="24"/>
        </w:rPr>
        <w:t>lipidperoxidation</w:t>
      </w:r>
      <w:proofErr w:type="spellEnd"/>
      <w:r w:rsidRPr="005F7D4D">
        <w:rPr>
          <w:sz w:val="24"/>
          <w:szCs w:val="24"/>
        </w:rPr>
        <w: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Aminosyreopløsningen indeholder 17 aminosyrer i L-serien (inkl. 8 essentielle aminosyrer), som er påkrævet til proteinsyntesen.</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Aminosyrer er også en energikilde, idet deres oxidering medfører en udskillelse af nitrogen i form af urinstof.</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Aminosyreprofilen er følgende:</w:t>
      </w:r>
    </w:p>
    <w:p w:rsidR="00AC3FAE" w:rsidRPr="005F7D4D" w:rsidRDefault="00AC3FAE" w:rsidP="00AC3FAE">
      <w:pPr>
        <w:tabs>
          <w:tab w:val="left" w:pos="851"/>
        </w:tabs>
        <w:ind w:left="851"/>
        <w:rPr>
          <w:sz w:val="24"/>
          <w:szCs w:val="24"/>
        </w:rPr>
      </w:pPr>
    </w:p>
    <w:p w:rsidR="00AC3FAE" w:rsidRPr="005F7D4D" w:rsidRDefault="00AC3FAE" w:rsidP="00AC3FAE">
      <w:pPr>
        <w:numPr>
          <w:ilvl w:val="0"/>
          <w:numId w:val="17"/>
        </w:numPr>
        <w:tabs>
          <w:tab w:val="left" w:pos="851"/>
        </w:tabs>
        <w:rPr>
          <w:sz w:val="24"/>
          <w:szCs w:val="24"/>
        </w:rPr>
      </w:pPr>
      <w:r w:rsidRPr="005F7D4D">
        <w:rPr>
          <w:sz w:val="24"/>
          <w:szCs w:val="24"/>
        </w:rPr>
        <w:t>Essentielle aminosyrer/aminosyrer i alt: 44,8 %</w:t>
      </w:r>
    </w:p>
    <w:p w:rsidR="00AC3FAE" w:rsidRPr="005F7D4D" w:rsidRDefault="00AC3FAE" w:rsidP="00AC3FAE">
      <w:pPr>
        <w:numPr>
          <w:ilvl w:val="0"/>
          <w:numId w:val="17"/>
        </w:numPr>
        <w:tabs>
          <w:tab w:val="left" w:pos="851"/>
        </w:tabs>
        <w:rPr>
          <w:sz w:val="24"/>
          <w:szCs w:val="24"/>
        </w:rPr>
      </w:pPr>
      <w:r w:rsidRPr="005F7D4D">
        <w:rPr>
          <w:sz w:val="24"/>
          <w:szCs w:val="24"/>
        </w:rPr>
        <w:t>Essentielle aminosyrer (g)/nitrogen (g) i alt: 2,8 %</w:t>
      </w:r>
    </w:p>
    <w:p w:rsidR="00AC3FAE" w:rsidRPr="005F7D4D" w:rsidRDefault="00AC3FAE" w:rsidP="00AC3FAE">
      <w:pPr>
        <w:numPr>
          <w:ilvl w:val="0"/>
          <w:numId w:val="17"/>
        </w:numPr>
        <w:tabs>
          <w:tab w:val="left" w:pos="851"/>
        </w:tabs>
        <w:rPr>
          <w:sz w:val="24"/>
          <w:szCs w:val="24"/>
        </w:rPr>
      </w:pPr>
      <w:r w:rsidRPr="005F7D4D">
        <w:rPr>
          <w:sz w:val="24"/>
          <w:szCs w:val="24"/>
        </w:rPr>
        <w:t>Forgrenede aminosyrer/aminosyrer i alt: 18,3 %.</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Kilden til kulhydrater er </w:t>
      </w:r>
      <w:proofErr w:type="spellStart"/>
      <w:r w:rsidRPr="005F7D4D">
        <w:rPr>
          <w:sz w:val="24"/>
          <w:szCs w:val="24"/>
        </w:rPr>
        <w:t>glucose</w:t>
      </w:r>
      <w:proofErr w:type="spellEnd"/>
      <w:r w:rsidRPr="005F7D4D">
        <w:rPr>
          <w:sz w:val="24"/>
          <w:szCs w:val="24"/>
        </w:rPr>
        <w: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5.2</w:t>
      </w:r>
      <w:r w:rsidRPr="005F7D4D">
        <w:rPr>
          <w:b/>
          <w:sz w:val="24"/>
          <w:szCs w:val="24"/>
        </w:rPr>
        <w:tab/>
      </w:r>
      <w:proofErr w:type="spellStart"/>
      <w:r w:rsidRPr="005F7D4D">
        <w:rPr>
          <w:b/>
          <w:sz w:val="24"/>
          <w:szCs w:val="24"/>
        </w:rPr>
        <w:t>Farmakokinetiske</w:t>
      </w:r>
      <w:proofErr w:type="spellEnd"/>
      <w:r w:rsidRPr="005F7D4D">
        <w:rPr>
          <w:b/>
          <w:sz w:val="24"/>
          <w:szCs w:val="24"/>
        </w:rPr>
        <w:t xml:space="preserve"> egenskaber</w:t>
      </w:r>
    </w:p>
    <w:p w:rsidR="00AC3FAE" w:rsidRPr="005F7D4D" w:rsidRDefault="00AC3FAE" w:rsidP="00AC3FAE">
      <w:pPr>
        <w:tabs>
          <w:tab w:val="left" w:pos="851"/>
        </w:tabs>
        <w:ind w:left="851"/>
        <w:rPr>
          <w:sz w:val="24"/>
          <w:szCs w:val="24"/>
        </w:rPr>
      </w:pPr>
      <w:r w:rsidRPr="005F7D4D">
        <w:rPr>
          <w:sz w:val="24"/>
          <w:szCs w:val="24"/>
        </w:rPr>
        <w:t xml:space="preserve">Indholdsstofferne i </w:t>
      </w:r>
      <w:proofErr w:type="spellStart"/>
      <w:r w:rsidRPr="005F7D4D">
        <w:rPr>
          <w:sz w:val="24"/>
          <w:szCs w:val="24"/>
        </w:rPr>
        <w:t>Olimel</w:t>
      </w:r>
      <w:proofErr w:type="spellEnd"/>
      <w:r w:rsidRPr="005F7D4D">
        <w:rPr>
          <w:sz w:val="24"/>
          <w:szCs w:val="24"/>
        </w:rPr>
        <w:t xml:space="preserve"> N12E (aminosyrer, elektrolytter, </w:t>
      </w:r>
      <w:proofErr w:type="spellStart"/>
      <w:r w:rsidRPr="005F7D4D">
        <w:rPr>
          <w:sz w:val="24"/>
          <w:szCs w:val="24"/>
        </w:rPr>
        <w:t>glucose</w:t>
      </w:r>
      <w:proofErr w:type="spellEnd"/>
      <w:r w:rsidRPr="005F7D4D">
        <w:rPr>
          <w:sz w:val="24"/>
          <w:szCs w:val="24"/>
        </w:rPr>
        <w:t xml:space="preserve"> og fedt) fordeles, </w:t>
      </w:r>
      <w:proofErr w:type="spellStart"/>
      <w:r w:rsidRPr="005F7D4D">
        <w:rPr>
          <w:sz w:val="24"/>
          <w:szCs w:val="24"/>
        </w:rPr>
        <w:t>metaboliseres</w:t>
      </w:r>
      <w:proofErr w:type="spellEnd"/>
      <w:r w:rsidRPr="005F7D4D">
        <w:rPr>
          <w:sz w:val="24"/>
          <w:szCs w:val="24"/>
        </w:rPr>
        <w:t xml:space="preserve"> og elimineres på samme måde, som hvis de var blevet indgivet enkeltvis.</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5.3</w:t>
      </w:r>
      <w:r w:rsidRPr="005F7D4D">
        <w:rPr>
          <w:b/>
          <w:sz w:val="24"/>
          <w:szCs w:val="24"/>
        </w:rPr>
        <w:tab/>
      </w:r>
      <w:r w:rsidR="002F0B8C">
        <w:rPr>
          <w:b/>
          <w:sz w:val="24"/>
          <w:szCs w:val="24"/>
        </w:rPr>
        <w:t>Non-</w:t>
      </w:r>
      <w:r w:rsidRPr="005F7D4D">
        <w:rPr>
          <w:b/>
          <w:sz w:val="24"/>
          <w:szCs w:val="24"/>
        </w:rPr>
        <w:t>kliniske sikkerhedsdata</w:t>
      </w:r>
    </w:p>
    <w:p w:rsidR="00AC3FAE" w:rsidRPr="005F7D4D" w:rsidRDefault="00AC3FAE" w:rsidP="00AC3FAE">
      <w:pPr>
        <w:tabs>
          <w:tab w:val="left" w:pos="851"/>
        </w:tabs>
        <w:ind w:left="851"/>
        <w:rPr>
          <w:sz w:val="24"/>
          <w:szCs w:val="24"/>
        </w:rPr>
      </w:pPr>
      <w:r w:rsidRPr="005F7D4D">
        <w:rPr>
          <w:sz w:val="24"/>
          <w:szCs w:val="24"/>
        </w:rPr>
        <w:t xml:space="preserve">Der er ikke foretaget prækliniske undersøgelser med </w:t>
      </w:r>
      <w:proofErr w:type="spellStart"/>
      <w:r w:rsidRPr="005F7D4D">
        <w:rPr>
          <w:sz w:val="24"/>
          <w:szCs w:val="24"/>
        </w:rPr>
        <w:t>Olimel</w:t>
      </w:r>
      <w:proofErr w:type="spellEnd"/>
      <w:r w:rsidRPr="005F7D4D">
        <w:rPr>
          <w:sz w:val="24"/>
          <w:szCs w:val="24"/>
        </w:rPr>
        <w:t xml:space="preserve"> N12E. </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Prækliniske toksicitetsundersøgelser, der er udført med den fedtemulsion, der findes i </w:t>
      </w:r>
      <w:proofErr w:type="spellStart"/>
      <w:r w:rsidRPr="005F7D4D">
        <w:rPr>
          <w:sz w:val="24"/>
          <w:szCs w:val="24"/>
        </w:rPr>
        <w:t>Olimel</w:t>
      </w:r>
      <w:proofErr w:type="spellEnd"/>
      <w:r w:rsidRPr="005F7D4D">
        <w:rPr>
          <w:sz w:val="24"/>
          <w:szCs w:val="24"/>
        </w:rPr>
        <w:t xml:space="preserve"> N12E, har påvist ændringer, der traditionelt optræder i forbindelse med et højt indtag af en fedtemulsion: fedtlever, </w:t>
      </w:r>
      <w:proofErr w:type="spellStart"/>
      <w:r w:rsidRPr="005F7D4D">
        <w:rPr>
          <w:sz w:val="24"/>
          <w:szCs w:val="24"/>
        </w:rPr>
        <w:t>trombocytopeni</w:t>
      </w:r>
      <w:proofErr w:type="spellEnd"/>
      <w:r w:rsidRPr="005F7D4D">
        <w:rPr>
          <w:sz w:val="24"/>
          <w:szCs w:val="24"/>
        </w:rPr>
        <w:t xml:space="preserve"> og forhøjet kolesterol.</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Prækliniske undersøgelser udført med forskellige kvalitative sammensætninger og koncentrationer af de opløsninger af aminosyre og </w:t>
      </w:r>
      <w:proofErr w:type="spellStart"/>
      <w:r w:rsidRPr="005F7D4D">
        <w:rPr>
          <w:sz w:val="24"/>
          <w:szCs w:val="24"/>
        </w:rPr>
        <w:t>glucose</w:t>
      </w:r>
      <w:proofErr w:type="spellEnd"/>
      <w:r w:rsidRPr="005F7D4D">
        <w:rPr>
          <w:sz w:val="24"/>
          <w:szCs w:val="24"/>
        </w:rPr>
        <w:t xml:space="preserve">, der findes i </w:t>
      </w:r>
      <w:proofErr w:type="spellStart"/>
      <w:r w:rsidRPr="005F7D4D">
        <w:rPr>
          <w:sz w:val="24"/>
          <w:szCs w:val="24"/>
        </w:rPr>
        <w:t>Olimel</w:t>
      </w:r>
      <w:proofErr w:type="spellEnd"/>
      <w:r w:rsidRPr="005F7D4D">
        <w:rPr>
          <w:sz w:val="24"/>
          <w:szCs w:val="24"/>
        </w:rPr>
        <w:t xml:space="preserve"> N12E, har imidlertid ikke afsløret nogen specifik toksicitet.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6.</w:t>
      </w:r>
      <w:r w:rsidRPr="005F7D4D">
        <w:rPr>
          <w:b/>
          <w:sz w:val="24"/>
          <w:szCs w:val="24"/>
        </w:rPr>
        <w:tab/>
        <w:t>FARMACEUTISKE OPLYSNINGER</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6.1</w:t>
      </w:r>
      <w:r w:rsidRPr="005F7D4D">
        <w:rPr>
          <w:b/>
          <w:sz w:val="24"/>
          <w:szCs w:val="24"/>
        </w:rPr>
        <w:tab/>
        <w:t>Hjælpestoffer</w:t>
      </w:r>
    </w:p>
    <w:p w:rsidR="00AC3FAE" w:rsidRDefault="00AC3FAE" w:rsidP="00AC3FAE">
      <w:pPr>
        <w:tabs>
          <w:tab w:val="left" w:pos="851"/>
        </w:tabs>
        <w:ind w:left="851"/>
        <w:rPr>
          <w:sz w:val="24"/>
          <w:szCs w:val="24"/>
          <w:u w:val="single"/>
        </w:rPr>
      </w:pPr>
    </w:p>
    <w:p w:rsidR="00AC3FAE" w:rsidRPr="005F7D4D" w:rsidRDefault="00AC3FAE" w:rsidP="00AC3FAE">
      <w:pPr>
        <w:tabs>
          <w:tab w:val="left" w:pos="851"/>
        </w:tabs>
        <w:ind w:left="851"/>
        <w:rPr>
          <w:sz w:val="24"/>
          <w:szCs w:val="24"/>
          <w:u w:val="single"/>
        </w:rPr>
      </w:pPr>
      <w:r w:rsidRPr="005F7D4D">
        <w:rPr>
          <w:sz w:val="24"/>
          <w:szCs w:val="24"/>
          <w:u w:val="single"/>
        </w:rPr>
        <w:t>Kammer med fedtemulsion</w:t>
      </w:r>
    </w:p>
    <w:p w:rsidR="00AC3FAE" w:rsidRPr="005F7D4D" w:rsidRDefault="00AC3FAE" w:rsidP="00AC3FAE">
      <w:pPr>
        <w:numPr>
          <w:ilvl w:val="0"/>
          <w:numId w:val="18"/>
        </w:numPr>
        <w:tabs>
          <w:tab w:val="left" w:pos="851"/>
        </w:tabs>
        <w:rPr>
          <w:sz w:val="24"/>
          <w:szCs w:val="24"/>
        </w:rPr>
      </w:pPr>
      <w:r w:rsidRPr="005F7D4D">
        <w:rPr>
          <w:sz w:val="24"/>
          <w:szCs w:val="24"/>
        </w:rPr>
        <w:t xml:space="preserve">Renset </w:t>
      </w:r>
      <w:proofErr w:type="spellStart"/>
      <w:r w:rsidR="00A51E4B">
        <w:rPr>
          <w:sz w:val="24"/>
          <w:szCs w:val="24"/>
        </w:rPr>
        <w:t>ægphospholipider</w:t>
      </w:r>
      <w:proofErr w:type="spellEnd"/>
    </w:p>
    <w:p w:rsidR="00AC3FAE" w:rsidRPr="005F7D4D" w:rsidRDefault="00AC3FAE" w:rsidP="00AC3FAE">
      <w:pPr>
        <w:numPr>
          <w:ilvl w:val="0"/>
          <w:numId w:val="18"/>
        </w:numPr>
        <w:tabs>
          <w:tab w:val="left" w:pos="851"/>
        </w:tabs>
        <w:rPr>
          <w:sz w:val="24"/>
          <w:szCs w:val="24"/>
        </w:rPr>
      </w:pPr>
      <w:r w:rsidRPr="005F7D4D">
        <w:rPr>
          <w:sz w:val="24"/>
          <w:szCs w:val="24"/>
        </w:rPr>
        <w:t>Glycerol</w:t>
      </w:r>
    </w:p>
    <w:p w:rsidR="00AC3FAE" w:rsidRPr="005F7D4D" w:rsidRDefault="00AC3FAE" w:rsidP="00AC3FAE">
      <w:pPr>
        <w:numPr>
          <w:ilvl w:val="0"/>
          <w:numId w:val="18"/>
        </w:numPr>
        <w:tabs>
          <w:tab w:val="left" w:pos="851"/>
        </w:tabs>
        <w:rPr>
          <w:sz w:val="24"/>
          <w:szCs w:val="24"/>
        </w:rPr>
      </w:pPr>
      <w:proofErr w:type="spellStart"/>
      <w:r w:rsidRPr="005F7D4D">
        <w:rPr>
          <w:sz w:val="24"/>
          <w:szCs w:val="24"/>
        </w:rPr>
        <w:t>Natriumoleat</w:t>
      </w:r>
      <w:proofErr w:type="spellEnd"/>
    </w:p>
    <w:p w:rsidR="00AC3FAE" w:rsidRPr="005F7D4D" w:rsidRDefault="00AC3FAE" w:rsidP="00AC3FAE">
      <w:pPr>
        <w:numPr>
          <w:ilvl w:val="0"/>
          <w:numId w:val="18"/>
        </w:numPr>
        <w:tabs>
          <w:tab w:val="left" w:pos="851"/>
        </w:tabs>
        <w:rPr>
          <w:sz w:val="24"/>
          <w:szCs w:val="24"/>
        </w:rPr>
      </w:pPr>
      <w:r w:rsidRPr="005F7D4D">
        <w:rPr>
          <w:sz w:val="24"/>
          <w:szCs w:val="24"/>
        </w:rPr>
        <w:t>Natriumhydroxid (til pH-justering)</w:t>
      </w:r>
    </w:p>
    <w:p w:rsidR="00AC3FAE" w:rsidRPr="005F7D4D" w:rsidRDefault="00AC3FAE" w:rsidP="00AC3FAE">
      <w:pPr>
        <w:numPr>
          <w:ilvl w:val="0"/>
          <w:numId w:val="18"/>
        </w:numPr>
        <w:tabs>
          <w:tab w:val="left" w:pos="851"/>
        </w:tabs>
        <w:rPr>
          <w:sz w:val="24"/>
          <w:szCs w:val="24"/>
        </w:rPr>
      </w:pPr>
      <w:r w:rsidRPr="005F7D4D">
        <w:rPr>
          <w:sz w:val="24"/>
          <w:szCs w:val="24"/>
        </w:rPr>
        <w:t>Vand til injektionsvæsker</w:t>
      </w:r>
    </w:p>
    <w:p w:rsidR="00AC3FAE" w:rsidRPr="005F7D4D" w:rsidRDefault="00AC3FAE" w:rsidP="00AC3FAE">
      <w:pPr>
        <w:tabs>
          <w:tab w:val="left" w:pos="851"/>
        </w:tabs>
        <w:rPr>
          <w:sz w:val="24"/>
          <w:szCs w:val="24"/>
        </w:rPr>
      </w:pPr>
    </w:p>
    <w:p w:rsidR="00AC3FAE" w:rsidRPr="005F7D4D" w:rsidRDefault="00AC3FAE" w:rsidP="00AC3FAE">
      <w:pPr>
        <w:tabs>
          <w:tab w:val="left" w:pos="851"/>
        </w:tabs>
        <w:ind w:left="851"/>
        <w:rPr>
          <w:sz w:val="24"/>
          <w:szCs w:val="24"/>
        </w:rPr>
      </w:pPr>
      <w:r w:rsidRPr="005F7D4D">
        <w:rPr>
          <w:sz w:val="24"/>
          <w:szCs w:val="24"/>
          <w:u w:val="single"/>
        </w:rPr>
        <w:t>Kammer med aminosyreopløsning med elektrolytter</w:t>
      </w:r>
    </w:p>
    <w:p w:rsidR="00AC3FAE" w:rsidRPr="005F7D4D" w:rsidRDefault="00AC3FAE" w:rsidP="00AC3FAE">
      <w:pPr>
        <w:numPr>
          <w:ilvl w:val="0"/>
          <w:numId w:val="18"/>
        </w:numPr>
        <w:tabs>
          <w:tab w:val="left" w:pos="851"/>
        </w:tabs>
        <w:rPr>
          <w:sz w:val="24"/>
          <w:szCs w:val="24"/>
        </w:rPr>
      </w:pPr>
      <w:r w:rsidRPr="005F7D4D">
        <w:rPr>
          <w:sz w:val="24"/>
          <w:szCs w:val="24"/>
        </w:rPr>
        <w:t>Iseddikesyre (til pH-justering)</w:t>
      </w:r>
    </w:p>
    <w:p w:rsidR="00AC3FAE" w:rsidRPr="005F7D4D" w:rsidRDefault="00AC3FAE" w:rsidP="00AC3FAE">
      <w:pPr>
        <w:numPr>
          <w:ilvl w:val="0"/>
          <w:numId w:val="18"/>
        </w:numPr>
        <w:tabs>
          <w:tab w:val="left" w:pos="851"/>
        </w:tabs>
        <w:rPr>
          <w:sz w:val="24"/>
          <w:szCs w:val="24"/>
        </w:rPr>
      </w:pPr>
      <w:r w:rsidRPr="005F7D4D">
        <w:rPr>
          <w:sz w:val="24"/>
          <w:szCs w:val="24"/>
        </w:rPr>
        <w:t>Vand til injektionsvæsker</w:t>
      </w:r>
    </w:p>
    <w:p w:rsidR="00AC3FAE" w:rsidRPr="005F7D4D" w:rsidRDefault="00AC3FAE" w:rsidP="00AC3FAE">
      <w:pPr>
        <w:tabs>
          <w:tab w:val="left" w:pos="851"/>
        </w:tabs>
        <w:ind w:left="851"/>
        <w:rPr>
          <w:sz w:val="24"/>
          <w:szCs w:val="24"/>
          <w:u w:val="single"/>
        </w:rPr>
      </w:pPr>
    </w:p>
    <w:p w:rsidR="00AC3FAE" w:rsidRPr="005F7D4D" w:rsidRDefault="00AC3FAE" w:rsidP="00AC3FAE">
      <w:pPr>
        <w:tabs>
          <w:tab w:val="left" w:pos="851"/>
        </w:tabs>
        <w:ind w:left="851"/>
        <w:rPr>
          <w:sz w:val="24"/>
          <w:szCs w:val="24"/>
        </w:rPr>
      </w:pPr>
      <w:r w:rsidRPr="005F7D4D">
        <w:rPr>
          <w:sz w:val="24"/>
          <w:szCs w:val="24"/>
          <w:u w:val="single"/>
        </w:rPr>
        <w:t xml:space="preserve">Kammer med </w:t>
      </w:r>
      <w:proofErr w:type="spellStart"/>
      <w:r w:rsidRPr="005F7D4D">
        <w:rPr>
          <w:sz w:val="24"/>
          <w:szCs w:val="24"/>
          <w:u w:val="single"/>
        </w:rPr>
        <w:t>glucoseopløsning</w:t>
      </w:r>
      <w:proofErr w:type="spellEnd"/>
      <w:r w:rsidRPr="005F7D4D">
        <w:rPr>
          <w:sz w:val="24"/>
          <w:szCs w:val="24"/>
          <w:u w:val="single"/>
        </w:rPr>
        <w:t xml:space="preserve"> med calcium</w:t>
      </w:r>
    </w:p>
    <w:p w:rsidR="00AC3FAE" w:rsidRPr="005F7D4D" w:rsidRDefault="00AC3FAE" w:rsidP="00AC3FAE">
      <w:pPr>
        <w:numPr>
          <w:ilvl w:val="0"/>
          <w:numId w:val="18"/>
        </w:numPr>
        <w:tabs>
          <w:tab w:val="left" w:pos="851"/>
        </w:tabs>
        <w:rPr>
          <w:sz w:val="24"/>
          <w:szCs w:val="24"/>
        </w:rPr>
      </w:pPr>
      <w:r w:rsidRPr="005F7D4D">
        <w:rPr>
          <w:sz w:val="24"/>
          <w:szCs w:val="24"/>
        </w:rPr>
        <w:t>Saltsyre (til pH-justering)</w:t>
      </w:r>
    </w:p>
    <w:p w:rsidR="00AC3FAE" w:rsidRPr="005F7D4D" w:rsidRDefault="00AC3FAE" w:rsidP="00AC3FAE">
      <w:pPr>
        <w:numPr>
          <w:ilvl w:val="0"/>
          <w:numId w:val="18"/>
        </w:numPr>
        <w:tabs>
          <w:tab w:val="left" w:pos="851"/>
        </w:tabs>
        <w:rPr>
          <w:sz w:val="24"/>
          <w:szCs w:val="24"/>
        </w:rPr>
      </w:pPr>
      <w:r w:rsidRPr="005F7D4D">
        <w:rPr>
          <w:sz w:val="24"/>
          <w:szCs w:val="24"/>
        </w:rPr>
        <w:t>Vand til injektionsvæsker</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6.2</w:t>
      </w:r>
      <w:r w:rsidRPr="005F7D4D">
        <w:rPr>
          <w:b/>
          <w:sz w:val="24"/>
          <w:szCs w:val="24"/>
        </w:rPr>
        <w:tab/>
        <w:t>Uforligeligheder</w:t>
      </w:r>
    </w:p>
    <w:p w:rsidR="00AC3FAE" w:rsidRPr="005F7D4D" w:rsidRDefault="00AC3FAE" w:rsidP="00AC3FAE">
      <w:pPr>
        <w:tabs>
          <w:tab w:val="left" w:pos="851"/>
        </w:tabs>
        <w:ind w:left="851"/>
        <w:rPr>
          <w:sz w:val="24"/>
          <w:szCs w:val="24"/>
        </w:rPr>
      </w:pPr>
      <w:r w:rsidRPr="005F7D4D">
        <w:rPr>
          <w:sz w:val="24"/>
          <w:szCs w:val="24"/>
        </w:rPr>
        <w:t xml:space="preserve">Tilsæt ikke andre lægemidler eller stoffer til nogen af komponenterne i posen eller til den </w:t>
      </w:r>
      <w:proofErr w:type="spellStart"/>
      <w:r w:rsidRPr="005F7D4D">
        <w:rPr>
          <w:sz w:val="24"/>
          <w:szCs w:val="24"/>
        </w:rPr>
        <w:t>rekonstituerede</w:t>
      </w:r>
      <w:proofErr w:type="spellEnd"/>
      <w:r w:rsidRPr="005F7D4D">
        <w:rPr>
          <w:sz w:val="24"/>
          <w:szCs w:val="24"/>
        </w:rPr>
        <w:t xml:space="preserve"> emulsion uden først at kontrollere deres forligelighed og stabiliteten af den færdige blanding (især stabiliteten af fedtemulsionen).</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Uforligeligheder kan f.eks. forekomme ved forhøjet syreindhold (lav pH) eller et uhensigtsmæssigt indhold af divalente kationer (Ca2+ og Mg2+), der kan destabilisere fedtemulsionen.</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Som for alle blandinger af parenteral ernæring skal forholdet mellem calcium og </w:t>
      </w:r>
      <w:proofErr w:type="spellStart"/>
      <w:r w:rsidRPr="005F7D4D">
        <w:rPr>
          <w:sz w:val="24"/>
          <w:szCs w:val="24"/>
        </w:rPr>
        <w:t>phosphat</w:t>
      </w:r>
      <w:proofErr w:type="spellEnd"/>
      <w:r w:rsidRPr="005F7D4D">
        <w:rPr>
          <w:sz w:val="24"/>
          <w:szCs w:val="24"/>
        </w:rPr>
        <w:t xml:space="preserve"> tages i betragtning. Yderligere tilførsel af calcium og </w:t>
      </w:r>
      <w:proofErr w:type="spellStart"/>
      <w:r w:rsidRPr="005F7D4D">
        <w:rPr>
          <w:sz w:val="24"/>
          <w:szCs w:val="24"/>
        </w:rPr>
        <w:t>phosphat</w:t>
      </w:r>
      <w:proofErr w:type="spellEnd"/>
      <w:r w:rsidRPr="005F7D4D">
        <w:rPr>
          <w:sz w:val="24"/>
          <w:szCs w:val="24"/>
        </w:rPr>
        <w:t xml:space="preserve">, særligt i form af mineralsalte, kan resultere i udfældninger af </w:t>
      </w:r>
      <w:proofErr w:type="spellStart"/>
      <w:r w:rsidRPr="005F7D4D">
        <w:rPr>
          <w:sz w:val="24"/>
          <w:szCs w:val="24"/>
        </w:rPr>
        <w:t>calciumphosphat</w:t>
      </w:r>
      <w:proofErr w:type="spellEnd"/>
      <w:r w:rsidRPr="005F7D4D">
        <w:rPr>
          <w:sz w:val="24"/>
          <w:szCs w:val="24"/>
        </w:rPr>
        <w: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proofErr w:type="spellStart"/>
      <w:r w:rsidRPr="005F7D4D">
        <w:rPr>
          <w:sz w:val="24"/>
          <w:szCs w:val="24"/>
        </w:rPr>
        <w:t>Olimel</w:t>
      </w:r>
      <w:proofErr w:type="spellEnd"/>
      <w:r w:rsidRPr="005F7D4D">
        <w:rPr>
          <w:sz w:val="24"/>
          <w:szCs w:val="24"/>
        </w:rPr>
        <w:t xml:space="preserve"> N12E indeholder </w:t>
      </w:r>
      <w:proofErr w:type="spellStart"/>
      <w:r w:rsidRPr="005F7D4D">
        <w:rPr>
          <w:sz w:val="24"/>
          <w:szCs w:val="24"/>
        </w:rPr>
        <w:t>calciumioner</w:t>
      </w:r>
      <w:proofErr w:type="spellEnd"/>
      <w:r w:rsidRPr="005F7D4D">
        <w:rPr>
          <w:sz w:val="24"/>
          <w:szCs w:val="24"/>
        </w:rPr>
        <w:t xml:space="preserve">, som udgør en yderligere risiko for udfældning i citratantikoaguleret/konserveret blod eller blodkomponenter. </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proofErr w:type="spellStart"/>
      <w:r w:rsidRPr="005F7D4D">
        <w:rPr>
          <w:sz w:val="24"/>
          <w:szCs w:val="24"/>
        </w:rPr>
        <w:t>Ceftriaxon</w:t>
      </w:r>
      <w:proofErr w:type="spellEnd"/>
      <w:r w:rsidRPr="005F7D4D">
        <w:rPr>
          <w:sz w:val="24"/>
          <w:szCs w:val="24"/>
        </w:rPr>
        <w:t xml:space="preserve"> må ikke blandes eller indgives samtidig med intravenøse calciumholdige opløsninger, herunder </w:t>
      </w:r>
      <w:proofErr w:type="spellStart"/>
      <w:r w:rsidRPr="005F7D4D">
        <w:rPr>
          <w:sz w:val="24"/>
          <w:szCs w:val="24"/>
        </w:rPr>
        <w:t>Olimel</w:t>
      </w:r>
      <w:proofErr w:type="spellEnd"/>
      <w:r w:rsidRPr="005F7D4D">
        <w:rPr>
          <w:sz w:val="24"/>
          <w:szCs w:val="24"/>
        </w:rPr>
        <w:t xml:space="preserve"> N12E, igennem den samme infusionsslange (f.eks. via Y-kobling) på grund af risikoen for udfældning af </w:t>
      </w:r>
      <w:proofErr w:type="spellStart"/>
      <w:r w:rsidRPr="005F7D4D">
        <w:rPr>
          <w:sz w:val="24"/>
          <w:szCs w:val="24"/>
        </w:rPr>
        <w:t>ceftriaxon</w:t>
      </w:r>
      <w:proofErr w:type="spellEnd"/>
      <w:r w:rsidRPr="005F7D4D">
        <w:rPr>
          <w:sz w:val="24"/>
          <w:szCs w:val="24"/>
        </w:rPr>
        <w:t xml:space="preserve">-calciumsalt (se pkt. 4.4 og 4.5). </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På grund af risikoen for udfældninger må </w:t>
      </w:r>
      <w:proofErr w:type="spellStart"/>
      <w:r w:rsidRPr="005F7D4D">
        <w:rPr>
          <w:sz w:val="24"/>
          <w:szCs w:val="24"/>
        </w:rPr>
        <w:t>Olimel</w:t>
      </w:r>
      <w:proofErr w:type="spellEnd"/>
      <w:r w:rsidRPr="005F7D4D">
        <w:rPr>
          <w:sz w:val="24"/>
          <w:szCs w:val="24"/>
        </w:rPr>
        <w:t xml:space="preserve"> N12E ikke indgives via samme infusionsudstyr eller blandes med </w:t>
      </w:r>
      <w:proofErr w:type="spellStart"/>
      <w:r w:rsidRPr="005F7D4D">
        <w:rPr>
          <w:sz w:val="24"/>
          <w:szCs w:val="24"/>
        </w:rPr>
        <w:t>ampicillin</w:t>
      </w:r>
      <w:proofErr w:type="spellEnd"/>
      <w:r w:rsidRPr="005F7D4D">
        <w:rPr>
          <w:sz w:val="24"/>
          <w:szCs w:val="24"/>
        </w:rPr>
        <w:t xml:space="preserve"> eller </w:t>
      </w:r>
      <w:proofErr w:type="spellStart"/>
      <w:r w:rsidRPr="005F7D4D">
        <w:rPr>
          <w:sz w:val="24"/>
          <w:szCs w:val="24"/>
        </w:rPr>
        <w:t>fosfenytoin</w:t>
      </w:r>
      <w:proofErr w:type="spellEnd"/>
      <w:r w:rsidRPr="005F7D4D">
        <w:rPr>
          <w:sz w:val="24"/>
          <w:szCs w:val="24"/>
        </w:rPr>
        <w:t xml:space="preserve">. </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Kontrollér forligeligheden med opløsninger, der indgives samtidigt via samme indgivelsessæt, kateter eller kanyle.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På grund af risikoen for pseudoagglutination må </w:t>
      </w:r>
      <w:proofErr w:type="spellStart"/>
      <w:r w:rsidRPr="005F7D4D">
        <w:rPr>
          <w:sz w:val="24"/>
          <w:szCs w:val="24"/>
        </w:rPr>
        <w:t>Olimel</w:t>
      </w:r>
      <w:proofErr w:type="spellEnd"/>
      <w:r w:rsidRPr="005F7D4D">
        <w:rPr>
          <w:sz w:val="24"/>
          <w:szCs w:val="24"/>
        </w:rPr>
        <w:t xml:space="preserve"> N12E ikke indgives før, samtidig med eller efter blod via samme infusionsudstyr.</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6.3</w:t>
      </w:r>
      <w:r w:rsidRPr="005F7D4D">
        <w:rPr>
          <w:b/>
          <w:sz w:val="24"/>
          <w:szCs w:val="24"/>
        </w:rPr>
        <w:tab/>
        <w:t>Opbevaringstid</w:t>
      </w:r>
    </w:p>
    <w:p w:rsidR="00AC3FAE" w:rsidRPr="005F7D4D" w:rsidRDefault="00AC3FAE" w:rsidP="00AC3FAE">
      <w:pPr>
        <w:tabs>
          <w:tab w:val="left" w:pos="851"/>
        </w:tabs>
        <w:ind w:left="851"/>
        <w:rPr>
          <w:sz w:val="24"/>
          <w:szCs w:val="24"/>
        </w:rPr>
      </w:pPr>
      <w:r w:rsidRPr="005F7D4D">
        <w:rPr>
          <w:sz w:val="24"/>
          <w:szCs w:val="24"/>
        </w:rPr>
        <w:t>2 år, hvis yderposen er intakt.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b/>
          <w:bCs/>
          <w:i/>
          <w:iCs/>
          <w:sz w:val="24"/>
          <w:szCs w:val="24"/>
        </w:rPr>
      </w:pPr>
      <w:bookmarkStart w:id="11" w:name="_ISIW_UH_26"/>
      <w:r w:rsidRPr="005F7D4D">
        <w:rPr>
          <w:b/>
          <w:bCs/>
          <w:i/>
          <w:iCs/>
          <w:sz w:val="24"/>
          <w:szCs w:val="24"/>
        </w:rPr>
        <w:t xml:space="preserve">Efter </w:t>
      </w:r>
      <w:proofErr w:type="spellStart"/>
      <w:r w:rsidRPr="005F7D4D">
        <w:rPr>
          <w:b/>
          <w:bCs/>
          <w:i/>
          <w:iCs/>
          <w:sz w:val="24"/>
          <w:szCs w:val="24"/>
        </w:rPr>
        <w:t>rekonstitution</w:t>
      </w:r>
      <w:proofErr w:type="spellEnd"/>
    </w:p>
    <w:bookmarkEnd w:id="11"/>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Kemisk og fysisk stabilitet er påvist i 7 dage ved 2–8 °C efterfulgt af 48 timer ved højst 30 °C.</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Ud fra et mikrobiologisk synspunkt bør produktet anvendes med det samme. Hvis produktet ikke anvendes med det samme, er opbevaringstiden og betingelser før anvendelse brugerens ansvar og må normalt ikke overstige 24 timer ved 2–8 °C, medmindre </w:t>
      </w:r>
      <w:proofErr w:type="spellStart"/>
      <w:r w:rsidRPr="005F7D4D">
        <w:rPr>
          <w:sz w:val="24"/>
          <w:szCs w:val="24"/>
        </w:rPr>
        <w:t>rekonstitution</w:t>
      </w:r>
      <w:proofErr w:type="spellEnd"/>
      <w:r w:rsidRPr="005F7D4D">
        <w:rPr>
          <w:sz w:val="24"/>
          <w:szCs w:val="24"/>
        </w:rPr>
        <w:t xml:space="preserve"> er foretaget under kontrollerede og validerede aseptiske forhold.</w:t>
      </w:r>
    </w:p>
    <w:p w:rsidR="00AC3FAE" w:rsidRPr="005F7D4D" w:rsidRDefault="00AC3FAE" w:rsidP="00AC3FAE">
      <w:pPr>
        <w:tabs>
          <w:tab w:val="left" w:pos="851"/>
        </w:tabs>
        <w:ind w:left="851"/>
        <w:rPr>
          <w:b/>
          <w:bCs/>
          <w:i/>
          <w:iCs/>
          <w:sz w:val="24"/>
          <w:szCs w:val="24"/>
        </w:rPr>
      </w:pPr>
      <w:bookmarkStart w:id="12" w:name="_ISIW_UH_27"/>
    </w:p>
    <w:p w:rsidR="00AC3FAE" w:rsidRPr="005F7D4D" w:rsidRDefault="00AC3FAE" w:rsidP="00AC3FAE">
      <w:pPr>
        <w:tabs>
          <w:tab w:val="left" w:pos="851"/>
        </w:tabs>
        <w:ind w:left="851"/>
        <w:rPr>
          <w:b/>
          <w:bCs/>
          <w:i/>
          <w:iCs/>
          <w:sz w:val="24"/>
          <w:szCs w:val="24"/>
        </w:rPr>
      </w:pPr>
      <w:r w:rsidRPr="005F7D4D">
        <w:rPr>
          <w:b/>
          <w:bCs/>
          <w:i/>
          <w:iCs/>
          <w:sz w:val="24"/>
          <w:szCs w:val="24"/>
        </w:rPr>
        <w:t>Efter tilsætning (elektrolytter, sporstoffer og vitaminer, se pkt. 6.6)</w:t>
      </w:r>
    </w:p>
    <w:bookmarkEnd w:id="12"/>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Kemisk og fysisk stabilitet er påvist ved specifikke blandinger i 7 dage ved 2–8 °C efterfulgt af 48 timer ved højst 30 °C.</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Ud fra et mikrobiologisk synspunkt bør enhver blanding anvendes med det samme. Hvis den ikke anvendes med det samme, er opbevaringstiden og betingelser efter blanding og før anvendelse brugerens ansvar og må normalt ikke overstige 24 timer ved 2–8 °C, medmindre tilsætningerne er foretaget under kontrollerede og validerede aseptiske forhold.</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6.4</w:t>
      </w:r>
      <w:r w:rsidRPr="005F7D4D">
        <w:rPr>
          <w:b/>
          <w:sz w:val="24"/>
          <w:szCs w:val="24"/>
        </w:rPr>
        <w:tab/>
        <w:t>Særlige opbevaringsforhold</w:t>
      </w:r>
    </w:p>
    <w:p w:rsidR="00AC3FAE" w:rsidRPr="005F7D4D" w:rsidRDefault="00AC3FAE" w:rsidP="00AC3FAE">
      <w:pPr>
        <w:tabs>
          <w:tab w:val="left" w:pos="851"/>
        </w:tabs>
        <w:ind w:left="851"/>
        <w:rPr>
          <w:sz w:val="24"/>
          <w:szCs w:val="24"/>
        </w:rPr>
      </w:pPr>
      <w:r w:rsidRPr="005F7D4D">
        <w:rPr>
          <w:sz w:val="24"/>
          <w:szCs w:val="24"/>
        </w:rPr>
        <w:t>Må ikke nedfryses.</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lastRenderedPageBreak/>
        <w:t>Opbevares i yderposen.</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Opbevaringsforhold for det </w:t>
      </w:r>
      <w:proofErr w:type="spellStart"/>
      <w:r w:rsidRPr="005F7D4D">
        <w:rPr>
          <w:sz w:val="24"/>
          <w:szCs w:val="24"/>
        </w:rPr>
        <w:t>rekonstituerede</w:t>
      </w:r>
      <w:proofErr w:type="spellEnd"/>
      <w:r w:rsidRPr="005F7D4D">
        <w:rPr>
          <w:sz w:val="24"/>
          <w:szCs w:val="24"/>
        </w:rPr>
        <w:t xml:space="preserve"> lægemiddel, se pkt. 6.3.</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6.5</w:t>
      </w:r>
      <w:r w:rsidRPr="005F7D4D">
        <w:rPr>
          <w:b/>
          <w:sz w:val="24"/>
          <w:szCs w:val="24"/>
        </w:rPr>
        <w:tab/>
        <w:t>Emballagetype og pakningsstørrelser</w:t>
      </w:r>
    </w:p>
    <w:p w:rsidR="00AC3FAE" w:rsidRPr="005F7D4D" w:rsidRDefault="00AC3FAE" w:rsidP="00AC3FAE">
      <w:pPr>
        <w:tabs>
          <w:tab w:val="left" w:pos="851"/>
        </w:tabs>
        <w:ind w:left="851"/>
        <w:rPr>
          <w:sz w:val="24"/>
          <w:szCs w:val="24"/>
        </w:rPr>
      </w:pPr>
      <w:r w:rsidRPr="005F7D4D">
        <w:rPr>
          <w:sz w:val="24"/>
          <w:szCs w:val="24"/>
        </w:rPr>
        <w:t xml:space="preserve">Trekammerposen er en flerlags-plastpose. Posens indvendige (kontakt-)lag er fremstillet af en blanding af </w:t>
      </w:r>
      <w:proofErr w:type="spellStart"/>
      <w:r w:rsidRPr="005F7D4D">
        <w:rPr>
          <w:sz w:val="24"/>
          <w:szCs w:val="24"/>
        </w:rPr>
        <w:t>polyolefine</w:t>
      </w:r>
      <w:proofErr w:type="spellEnd"/>
      <w:r w:rsidRPr="005F7D4D">
        <w:rPr>
          <w:sz w:val="24"/>
          <w:szCs w:val="24"/>
        </w:rPr>
        <w:t xml:space="preserve"> </w:t>
      </w:r>
      <w:proofErr w:type="spellStart"/>
      <w:r w:rsidRPr="005F7D4D">
        <w:rPr>
          <w:sz w:val="24"/>
          <w:szCs w:val="24"/>
        </w:rPr>
        <w:t>copolymerer</w:t>
      </w:r>
      <w:proofErr w:type="spellEnd"/>
      <w:r w:rsidRPr="005F7D4D">
        <w:rPr>
          <w:sz w:val="24"/>
          <w:szCs w:val="24"/>
        </w:rPr>
        <w:t xml:space="preserve"> og er forligelig med aminosyreopløsninger, </w:t>
      </w:r>
      <w:proofErr w:type="spellStart"/>
      <w:r w:rsidRPr="005F7D4D">
        <w:rPr>
          <w:sz w:val="24"/>
          <w:szCs w:val="24"/>
        </w:rPr>
        <w:t>glucoseopløsninger</w:t>
      </w:r>
      <w:proofErr w:type="spellEnd"/>
      <w:r w:rsidRPr="005F7D4D">
        <w:rPr>
          <w:sz w:val="24"/>
          <w:szCs w:val="24"/>
        </w:rPr>
        <w:t xml:space="preserve"> og fedtemulsioner. De andre lag er fremstillet af EVA (</w:t>
      </w:r>
      <w:proofErr w:type="spellStart"/>
      <w:r w:rsidRPr="005F7D4D">
        <w:rPr>
          <w:sz w:val="24"/>
          <w:szCs w:val="24"/>
        </w:rPr>
        <w:t>polyethylenvinylacetat</w:t>
      </w:r>
      <w:proofErr w:type="spellEnd"/>
      <w:r w:rsidRPr="005F7D4D">
        <w:rPr>
          <w:sz w:val="24"/>
          <w:szCs w:val="24"/>
        </w:rPr>
        <w:t xml:space="preserve">) og </w:t>
      </w:r>
      <w:proofErr w:type="spellStart"/>
      <w:r w:rsidRPr="005F7D4D">
        <w:rPr>
          <w:sz w:val="24"/>
          <w:szCs w:val="24"/>
        </w:rPr>
        <w:t>copolyester</w:t>
      </w:r>
      <w:proofErr w:type="spellEnd"/>
      <w:r w:rsidRPr="005F7D4D">
        <w:rPr>
          <w:sz w:val="24"/>
          <w:szCs w:val="24"/>
        </w:rPr>
        <w: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proofErr w:type="spellStart"/>
      <w:r w:rsidRPr="005F7D4D">
        <w:rPr>
          <w:sz w:val="24"/>
          <w:szCs w:val="24"/>
        </w:rPr>
        <w:t>Glucosekammeret</w:t>
      </w:r>
      <w:proofErr w:type="spellEnd"/>
      <w:r w:rsidRPr="005F7D4D">
        <w:rPr>
          <w:sz w:val="24"/>
          <w:szCs w:val="24"/>
        </w:rPr>
        <w:t xml:space="preserve"> er udstyret med en injektionsport, der kan anvendes til tilsætninger.</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Aminosyrekammeret er udstyret med en indgivelsesport til indsættelse af infusionssættets spyd.</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Posen er pakket i en yderpose med iltbarriere, som indeholder en iltabsorber.</w:t>
      </w:r>
    </w:p>
    <w:p w:rsidR="00AC3FAE" w:rsidRPr="005F7D4D" w:rsidRDefault="00AC3FAE" w:rsidP="00AC3FAE">
      <w:pPr>
        <w:tabs>
          <w:tab w:val="left" w:pos="851"/>
        </w:tabs>
        <w:ind w:left="851"/>
        <w:rPr>
          <w:b/>
          <w:bCs/>
          <w:sz w:val="24"/>
          <w:szCs w:val="24"/>
        </w:rPr>
      </w:pPr>
      <w:bookmarkStart w:id="13" w:name="_ISIW_UH_30"/>
    </w:p>
    <w:p w:rsidR="00AC3FAE" w:rsidRPr="005F7D4D" w:rsidRDefault="00AC3FAE" w:rsidP="00AC3FAE">
      <w:pPr>
        <w:tabs>
          <w:tab w:val="left" w:pos="851"/>
        </w:tabs>
        <w:ind w:left="851"/>
        <w:rPr>
          <w:b/>
          <w:bCs/>
          <w:sz w:val="24"/>
          <w:szCs w:val="24"/>
        </w:rPr>
      </w:pPr>
      <w:r w:rsidRPr="005F7D4D">
        <w:rPr>
          <w:b/>
          <w:bCs/>
          <w:sz w:val="24"/>
          <w:szCs w:val="24"/>
        </w:rPr>
        <w:t>Pakningsstørrelser:</w:t>
      </w:r>
    </w:p>
    <w:bookmarkEnd w:id="13"/>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650 ml pose: 1 kasse med 10 poser</w:t>
      </w:r>
    </w:p>
    <w:p w:rsidR="00AC3FAE" w:rsidRPr="005F7D4D" w:rsidRDefault="00AC3FAE" w:rsidP="00AC3FAE">
      <w:pPr>
        <w:tabs>
          <w:tab w:val="left" w:pos="851"/>
        </w:tabs>
        <w:ind w:left="851"/>
        <w:rPr>
          <w:sz w:val="24"/>
          <w:szCs w:val="24"/>
        </w:rPr>
      </w:pPr>
      <w:r w:rsidRPr="005F7D4D">
        <w:rPr>
          <w:sz w:val="24"/>
          <w:szCs w:val="24"/>
        </w:rPr>
        <w:t>1000 ml pose: 1 kasse med 6 poser</w:t>
      </w:r>
    </w:p>
    <w:p w:rsidR="00AC3FAE" w:rsidRPr="005F7D4D" w:rsidRDefault="00AC3FAE" w:rsidP="00AC3FAE">
      <w:pPr>
        <w:tabs>
          <w:tab w:val="left" w:pos="851"/>
        </w:tabs>
        <w:ind w:left="851"/>
        <w:rPr>
          <w:sz w:val="24"/>
          <w:szCs w:val="24"/>
        </w:rPr>
      </w:pPr>
      <w:r w:rsidRPr="005F7D4D">
        <w:rPr>
          <w:sz w:val="24"/>
          <w:szCs w:val="24"/>
        </w:rPr>
        <w:t>1500 ml pose: 1 kasse med 4 poser</w:t>
      </w:r>
    </w:p>
    <w:p w:rsidR="00AC3FAE" w:rsidRPr="005F7D4D" w:rsidRDefault="00AC3FAE" w:rsidP="00AC3FAE">
      <w:pPr>
        <w:tabs>
          <w:tab w:val="left" w:pos="851"/>
        </w:tabs>
        <w:ind w:left="851"/>
        <w:rPr>
          <w:sz w:val="24"/>
          <w:szCs w:val="24"/>
        </w:rPr>
      </w:pPr>
      <w:r w:rsidRPr="005F7D4D">
        <w:rPr>
          <w:sz w:val="24"/>
          <w:szCs w:val="24"/>
        </w:rPr>
        <w:t>2000 ml pose: 1 kasse med 4 poser</w:t>
      </w:r>
    </w:p>
    <w:p w:rsidR="00AC3FAE" w:rsidRPr="005F7D4D" w:rsidRDefault="00AC3FAE" w:rsidP="00AC3FAE">
      <w:pPr>
        <w:tabs>
          <w:tab w:val="left" w:pos="851"/>
        </w:tabs>
        <w:ind w:left="851"/>
        <w:rPr>
          <w:sz w:val="24"/>
          <w:szCs w:val="24"/>
        </w:rPr>
      </w:pPr>
      <w:r w:rsidRPr="005F7D4D">
        <w:rPr>
          <w:sz w:val="24"/>
          <w:szCs w:val="24"/>
        </w:rPr>
        <w:t>1 pose med 650 ml, 1000 ml, 1500 ml, 2000 ml.</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Ikke alle pakningsstørrelser er nødvendigvis markedsført.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6.6</w:t>
      </w:r>
      <w:r w:rsidRPr="005F7D4D">
        <w:rPr>
          <w:b/>
          <w:sz w:val="24"/>
          <w:szCs w:val="24"/>
        </w:rPr>
        <w:tab/>
        <w:t xml:space="preserve">Regler for </w:t>
      </w:r>
      <w:r w:rsidR="002F0B8C">
        <w:rPr>
          <w:b/>
          <w:sz w:val="24"/>
          <w:szCs w:val="24"/>
        </w:rPr>
        <w:t>bortskaffelse</w:t>
      </w:r>
      <w:r w:rsidRPr="005F7D4D">
        <w:rPr>
          <w:b/>
          <w:sz w:val="24"/>
          <w:szCs w:val="24"/>
        </w:rPr>
        <w:t xml:space="preserve"> og anden håndtering</w:t>
      </w:r>
    </w:p>
    <w:p w:rsidR="00AC3FAE" w:rsidRDefault="00AC3FAE" w:rsidP="00AC3FAE">
      <w:pPr>
        <w:tabs>
          <w:tab w:val="left" w:pos="851"/>
        </w:tabs>
        <w:ind w:left="851"/>
        <w:rPr>
          <w:b/>
          <w:bCs/>
          <w:sz w:val="24"/>
          <w:szCs w:val="24"/>
        </w:rPr>
      </w:pPr>
      <w:bookmarkStart w:id="14" w:name="_ISIW_UH_32"/>
    </w:p>
    <w:p w:rsidR="00AC3FAE" w:rsidRPr="005F7D4D" w:rsidRDefault="00AC3FAE" w:rsidP="00AC3FAE">
      <w:pPr>
        <w:tabs>
          <w:tab w:val="left" w:pos="851"/>
        </w:tabs>
        <w:ind w:left="851"/>
        <w:rPr>
          <w:b/>
          <w:bCs/>
          <w:sz w:val="24"/>
          <w:szCs w:val="24"/>
        </w:rPr>
      </w:pPr>
      <w:r w:rsidRPr="005F7D4D">
        <w:rPr>
          <w:b/>
          <w:bCs/>
          <w:sz w:val="24"/>
          <w:szCs w:val="24"/>
        </w:rPr>
        <w:t>Sådan åbnes pakningen</w:t>
      </w:r>
    </w:p>
    <w:bookmarkEnd w:id="14"/>
    <w:p w:rsidR="00AC3FAE" w:rsidRPr="005F7D4D" w:rsidRDefault="00AC3FAE" w:rsidP="00AC3FAE">
      <w:pPr>
        <w:tabs>
          <w:tab w:val="left" w:pos="851"/>
        </w:tabs>
        <w:ind w:left="851"/>
        <w:rPr>
          <w:sz w:val="24"/>
          <w:szCs w:val="24"/>
        </w:rPr>
      </w:pPr>
      <w:r w:rsidRPr="005F7D4D">
        <w:rPr>
          <w:bCs/>
          <w:sz w:val="24"/>
          <w:szCs w:val="24"/>
        </w:rPr>
        <w:t>Fjern den beskyttende yderpose.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Fjern iltabsorberen. </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Kontrollér, at posen og de ikke-permanente forseglinger er hele og uskadte. Må kun anvendes, hvis posen ikke er beskadiget, hvis de ikke-permanente forseglinger er intakte (dvs. uden at indholdet af de tre kamre er blandet), hvis aminosyreopløsningen og </w:t>
      </w:r>
      <w:proofErr w:type="spellStart"/>
      <w:r w:rsidRPr="005F7D4D">
        <w:rPr>
          <w:sz w:val="24"/>
          <w:szCs w:val="24"/>
        </w:rPr>
        <w:t>glucoseopløsningen</w:t>
      </w:r>
      <w:proofErr w:type="spellEnd"/>
      <w:r w:rsidRPr="005F7D4D">
        <w:rPr>
          <w:sz w:val="24"/>
          <w:szCs w:val="24"/>
        </w:rPr>
        <w:t xml:space="preserve"> er klare, farveløse eller svagt gule og så godt som fri for synlige partikler, og hvis fedtemulsionen er en homogen væske med et mælkeagtigt udseende.</w:t>
      </w:r>
    </w:p>
    <w:p w:rsidR="00AC3FAE" w:rsidRPr="005F7D4D" w:rsidRDefault="00AC3FAE" w:rsidP="00AC3FAE">
      <w:pPr>
        <w:tabs>
          <w:tab w:val="left" w:pos="851"/>
        </w:tabs>
        <w:ind w:left="851"/>
        <w:rPr>
          <w:b/>
          <w:bCs/>
          <w:sz w:val="24"/>
          <w:szCs w:val="24"/>
        </w:rPr>
      </w:pPr>
      <w:bookmarkStart w:id="15" w:name="_ISIW_UH_33"/>
    </w:p>
    <w:p w:rsidR="00AC3FAE" w:rsidRPr="005F7D4D" w:rsidRDefault="00AC3FAE" w:rsidP="00AC3FAE">
      <w:pPr>
        <w:tabs>
          <w:tab w:val="left" w:pos="851"/>
        </w:tabs>
        <w:ind w:left="851"/>
        <w:rPr>
          <w:b/>
          <w:bCs/>
          <w:sz w:val="24"/>
          <w:szCs w:val="24"/>
        </w:rPr>
      </w:pPr>
      <w:r w:rsidRPr="005F7D4D">
        <w:rPr>
          <w:b/>
          <w:bCs/>
          <w:sz w:val="24"/>
          <w:szCs w:val="24"/>
        </w:rPr>
        <w:t>Sådan blandes opløsningerne og emulsionen</w:t>
      </w:r>
    </w:p>
    <w:bookmarkEnd w:id="15"/>
    <w:p w:rsidR="00AC3FAE" w:rsidRPr="005F7D4D" w:rsidRDefault="00AC3FAE" w:rsidP="00AC3FAE">
      <w:pPr>
        <w:tabs>
          <w:tab w:val="left" w:pos="851"/>
        </w:tabs>
        <w:ind w:left="851"/>
        <w:rPr>
          <w:sz w:val="24"/>
          <w:szCs w:val="24"/>
        </w:rPr>
      </w:pPr>
      <w:r w:rsidRPr="005F7D4D">
        <w:rPr>
          <w:sz w:val="24"/>
          <w:szCs w:val="24"/>
        </w:rPr>
        <w:t>Sørg for, at produktet har stuetemperatur, når de ikke-permanente forseglinger brydes.</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Rul posen sammen manuelt, idet du begynder foroven på posen (ophængningsenden). De ikke-permanente forseglinger forsvinder fra siden i nærheden af portene. Fortsæt med at rulle, indtil forseglingerne er halvvejs åbne.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Bland ved at vende posen mindst 3 gange.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Efter </w:t>
      </w:r>
      <w:proofErr w:type="spellStart"/>
      <w:r w:rsidRPr="005F7D4D">
        <w:rPr>
          <w:sz w:val="24"/>
          <w:szCs w:val="24"/>
        </w:rPr>
        <w:t>rekonstitution</w:t>
      </w:r>
      <w:proofErr w:type="spellEnd"/>
      <w:r w:rsidRPr="005F7D4D">
        <w:rPr>
          <w:sz w:val="24"/>
          <w:szCs w:val="24"/>
        </w:rPr>
        <w:t xml:space="preserve"> fremtræder blandingen som en homogen mælkeagtig emulsion.</w:t>
      </w:r>
    </w:p>
    <w:p w:rsidR="00AC3FAE" w:rsidRPr="005F7D4D" w:rsidRDefault="00AC3FAE" w:rsidP="00AC3FAE">
      <w:pPr>
        <w:tabs>
          <w:tab w:val="left" w:pos="851"/>
        </w:tabs>
        <w:ind w:left="851"/>
        <w:rPr>
          <w:b/>
          <w:bCs/>
          <w:sz w:val="24"/>
          <w:szCs w:val="24"/>
        </w:rPr>
      </w:pPr>
      <w:bookmarkStart w:id="16" w:name="_ISIW_UH_34"/>
    </w:p>
    <w:p w:rsidR="00AC3FAE" w:rsidRPr="005F7D4D" w:rsidRDefault="00AC3FAE" w:rsidP="00AC3FAE">
      <w:pPr>
        <w:tabs>
          <w:tab w:val="left" w:pos="851"/>
        </w:tabs>
        <w:ind w:left="851"/>
        <w:rPr>
          <w:b/>
          <w:bCs/>
          <w:sz w:val="24"/>
          <w:szCs w:val="24"/>
        </w:rPr>
      </w:pPr>
      <w:r w:rsidRPr="005F7D4D">
        <w:rPr>
          <w:b/>
          <w:bCs/>
          <w:sz w:val="24"/>
          <w:szCs w:val="24"/>
        </w:rPr>
        <w:lastRenderedPageBreak/>
        <w:t>Tilsætninger</w:t>
      </w:r>
    </w:p>
    <w:bookmarkEnd w:id="16"/>
    <w:p w:rsidR="00AC3FAE" w:rsidRPr="005F7D4D" w:rsidRDefault="00AC3FAE" w:rsidP="00AC3FAE">
      <w:pPr>
        <w:tabs>
          <w:tab w:val="left" w:pos="851"/>
        </w:tabs>
        <w:ind w:left="851"/>
        <w:rPr>
          <w:sz w:val="24"/>
          <w:szCs w:val="24"/>
        </w:rPr>
      </w:pPr>
      <w:r w:rsidRPr="005F7D4D">
        <w:rPr>
          <w:sz w:val="24"/>
          <w:szCs w:val="24"/>
        </w:rPr>
        <w:t xml:space="preserve">Posen er stor nok til, at det er muligt at tilsætte vitaminer, elektrolytter og sporstoffer. Alle tilsætninger (inklusive vitaminer) kan foretages i den </w:t>
      </w:r>
      <w:proofErr w:type="spellStart"/>
      <w:r w:rsidRPr="005F7D4D">
        <w:rPr>
          <w:sz w:val="24"/>
          <w:szCs w:val="24"/>
        </w:rPr>
        <w:t>rekonstituerede</w:t>
      </w:r>
      <w:proofErr w:type="spellEnd"/>
      <w:r w:rsidRPr="005F7D4D">
        <w:rPr>
          <w:sz w:val="24"/>
          <w:szCs w:val="24"/>
        </w:rPr>
        <w:t xml:space="preserve"> blanding (efter at de ikke-permanente forseglinger er åbnet, og indholdet af de tre kamre er blevet blandet).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Vitaminer kan ligeledes tilsættes i </w:t>
      </w:r>
      <w:proofErr w:type="spellStart"/>
      <w:r w:rsidRPr="005F7D4D">
        <w:rPr>
          <w:sz w:val="24"/>
          <w:szCs w:val="24"/>
        </w:rPr>
        <w:t>glucosekammeret</w:t>
      </w:r>
      <w:proofErr w:type="spellEnd"/>
      <w:r w:rsidRPr="005F7D4D">
        <w:rPr>
          <w:sz w:val="24"/>
          <w:szCs w:val="24"/>
        </w:rPr>
        <w:t xml:space="preserve">, før blandingen </w:t>
      </w:r>
      <w:proofErr w:type="spellStart"/>
      <w:r w:rsidRPr="005F7D4D">
        <w:rPr>
          <w:sz w:val="24"/>
          <w:szCs w:val="24"/>
        </w:rPr>
        <w:t>rekonstitueres</w:t>
      </w:r>
      <w:proofErr w:type="spellEnd"/>
      <w:r w:rsidRPr="005F7D4D">
        <w:rPr>
          <w:sz w:val="24"/>
          <w:szCs w:val="24"/>
        </w:rPr>
        <w:t xml:space="preserve"> (før de ikke-permanente forseglinger åbnes, og før indholdet af de tre kamre blandes).</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Tilsætninger skal foretages under aseptiske forhold og af kvalificeret personale.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Der kan tilsættes elektrolytter, uorganisk/organisk </w:t>
      </w:r>
      <w:proofErr w:type="spellStart"/>
      <w:r w:rsidRPr="005F7D4D">
        <w:rPr>
          <w:sz w:val="24"/>
          <w:szCs w:val="24"/>
        </w:rPr>
        <w:t>phosphat</w:t>
      </w:r>
      <w:proofErr w:type="spellEnd"/>
      <w:r w:rsidRPr="005F7D4D">
        <w:rPr>
          <w:sz w:val="24"/>
          <w:szCs w:val="24"/>
        </w:rPr>
        <w:t xml:space="preserve"> og kommercielt tilgængelige multivitaminprodukter (f.eks. </w:t>
      </w:r>
      <w:proofErr w:type="spellStart"/>
      <w:r w:rsidRPr="005F7D4D">
        <w:rPr>
          <w:sz w:val="24"/>
          <w:szCs w:val="24"/>
        </w:rPr>
        <w:t>Cernevit</w:t>
      </w:r>
      <w:proofErr w:type="spellEnd"/>
      <w:r w:rsidRPr="005F7D4D">
        <w:rPr>
          <w:sz w:val="24"/>
          <w:szCs w:val="24"/>
        </w:rPr>
        <w:t xml:space="preserve">) og multisporstoffer (f.eks. </w:t>
      </w:r>
      <w:proofErr w:type="spellStart"/>
      <w:r w:rsidRPr="005F7D4D">
        <w:rPr>
          <w:sz w:val="24"/>
          <w:szCs w:val="24"/>
        </w:rPr>
        <w:t>Nutryelt</w:t>
      </w:r>
      <w:proofErr w:type="spellEnd"/>
      <w:r w:rsidRPr="005F7D4D">
        <w:rPr>
          <w:sz w:val="24"/>
          <w:szCs w:val="24"/>
        </w:rPr>
        <w:t xml:space="preserve">) til </w:t>
      </w:r>
      <w:proofErr w:type="spellStart"/>
      <w:r w:rsidRPr="005F7D4D">
        <w:rPr>
          <w:sz w:val="24"/>
          <w:szCs w:val="24"/>
        </w:rPr>
        <w:t>Olimel</w:t>
      </w:r>
      <w:proofErr w:type="spellEnd"/>
      <w:r w:rsidRPr="005F7D4D">
        <w:rPr>
          <w:sz w:val="24"/>
          <w:szCs w:val="24"/>
        </w:rPr>
        <w:t xml:space="preserve"> N12E. Det maksimale totale niveau af tilsætninger angivet i tabellen nedenfor er påvist ved stabilitetsdata og skal ikke betragtes som dosisanbefalinger. Tilsætninger bør bestemmes af patientens kliniske behov og bør ikke overstige retningslinjerne for ernæring. Der skal tages højde for de elektrolytter, der allerede er til stede i posen, i forbindelse med opnåelse af det maksimale totale niveau.</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iCs/>
          <w:sz w:val="24"/>
          <w:szCs w:val="24"/>
        </w:rPr>
      </w:pPr>
      <w:r w:rsidRPr="005F7D4D">
        <w:rPr>
          <w:sz w:val="24"/>
          <w:szCs w:val="24"/>
        </w:rPr>
        <w:t xml:space="preserve">Kompatibiliteten kan variere mellem produkter fra forskellige kilder, og sundhedsfagligt personale tilrådes at udvise passende kontrol, når </w:t>
      </w:r>
      <w:proofErr w:type="spellStart"/>
      <w:r w:rsidRPr="005F7D4D">
        <w:rPr>
          <w:sz w:val="24"/>
          <w:szCs w:val="24"/>
        </w:rPr>
        <w:t>Olimel</w:t>
      </w:r>
      <w:proofErr w:type="spellEnd"/>
      <w:r w:rsidRPr="005F7D4D">
        <w:rPr>
          <w:sz w:val="24"/>
          <w:szCs w:val="24"/>
        </w:rPr>
        <w:t xml:space="preserve"> N12E blandes med andre parenterale opløsninger.</w:t>
      </w:r>
    </w:p>
    <w:p w:rsidR="00A51E4B" w:rsidRDefault="00A51E4B" w:rsidP="00A51E4B">
      <w:pPr>
        <w:tabs>
          <w:tab w:val="left" w:pos="851"/>
        </w:tabs>
        <w:ind w:left="851"/>
        <w:rPr>
          <w:sz w:val="24"/>
          <w:szCs w:val="24"/>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169"/>
        <w:gridCol w:w="2082"/>
        <w:gridCol w:w="2785"/>
        <w:gridCol w:w="2586"/>
      </w:tblGrid>
      <w:tr w:rsidR="00A51E4B" w:rsidTr="00A51E4B">
        <w:trPr>
          <w:jc w:val="center"/>
        </w:trPr>
        <w:tc>
          <w:tcPr>
            <w:tcW w:w="5000" w:type="pct"/>
            <w:gridSpan w:val="4"/>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b/>
                <w:sz w:val="20"/>
                <w:lang w:eastAsia="ja-JP"/>
              </w:rPr>
            </w:pPr>
            <w:r>
              <w:rPr>
                <w:b/>
                <w:sz w:val="20"/>
              </w:rPr>
              <w:t xml:space="preserve">Mulige tilsætninger for 1000 ml </w:t>
            </w:r>
            <w:proofErr w:type="spellStart"/>
            <w:r>
              <w:rPr>
                <w:b/>
                <w:sz w:val="20"/>
              </w:rPr>
              <w:t>Olimel</w:t>
            </w:r>
            <w:proofErr w:type="spellEnd"/>
            <w:r>
              <w:rPr>
                <w:b/>
                <w:sz w:val="20"/>
              </w:rPr>
              <w:t xml:space="preserve"> N12E (for pædiatriske patienter)</w:t>
            </w:r>
          </w:p>
        </w:tc>
      </w:tr>
      <w:tr w:rsidR="00A51E4B" w:rsidTr="00A51E4B">
        <w:trPr>
          <w:jc w:val="center"/>
        </w:trPr>
        <w:tc>
          <w:tcPr>
            <w:tcW w:w="1127" w:type="pct"/>
            <w:tcBorders>
              <w:top w:val="single" w:sz="6" w:space="0" w:color="000000"/>
              <w:left w:val="single" w:sz="6" w:space="0" w:color="000000"/>
              <w:bottom w:val="single" w:sz="6" w:space="0" w:color="000000"/>
              <w:right w:val="single" w:sz="6" w:space="0" w:color="000000"/>
            </w:tcBorders>
          </w:tcPr>
          <w:p w:rsidR="00A51E4B" w:rsidRDefault="00A51E4B">
            <w:pPr>
              <w:spacing w:before="60" w:after="60"/>
              <w:jc w:val="center"/>
              <w:rPr>
                <w:sz w:val="20"/>
                <w:lang w:eastAsia="ja-JP"/>
              </w:rPr>
            </w:pPr>
          </w:p>
        </w:tc>
        <w:tc>
          <w:tcPr>
            <w:tcW w:w="1082"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Inkluderet niveau</w:t>
            </w:r>
          </w:p>
        </w:tc>
        <w:tc>
          <w:tcPr>
            <w:tcW w:w="1447"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Maksimal yderligere tilsætning</w:t>
            </w:r>
          </w:p>
        </w:tc>
        <w:tc>
          <w:tcPr>
            <w:tcW w:w="1344"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Maksimalt samlet niveau</w:t>
            </w:r>
          </w:p>
        </w:tc>
      </w:tr>
      <w:tr w:rsidR="00A51E4B" w:rsidTr="00A51E4B">
        <w:trPr>
          <w:jc w:val="center"/>
        </w:trPr>
        <w:tc>
          <w:tcPr>
            <w:tcW w:w="1127"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Natrium</w:t>
            </w:r>
          </w:p>
        </w:tc>
        <w:tc>
          <w:tcPr>
            <w:tcW w:w="1082"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35 mmol</w:t>
            </w:r>
          </w:p>
        </w:tc>
        <w:tc>
          <w:tcPr>
            <w:tcW w:w="1447"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115 mmol</w:t>
            </w:r>
          </w:p>
        </w:tc>
        <w:tc>
          <w:tcPr>
            <w:tcW w:w="1344"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150 mmol</w:t>
            </w:r>
          </w:p>
        </w:tc>
      </w:tr>
      <w:tr w:rsidR="00A51E4B" w:rsidTr="00A51E4B">
        <w:trPr>
          <w:jc w:val="center"/>
        </w:trPr>
        <w:tc>
          <w:tcPr>
            <w:tcW w:w="1127"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Kalium</w:t>
            </w:r>
          </w:p>
        </w:tc>
        <w:tc>
          <w:tcPr>
            <w:tcW w:w="1082"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30 mmol</w:t>
            </w:r>
          </w:p>
        </w:tc>
        <w:tc>
          <w:tcPr>
            <w:tcW w:w="1447"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120 mmol</w:t>
            </w:r>
          </w:p>
        </w:tc>
        <w:tc>
          <w:tcPr>
            <w:tcW w:w="1344"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150 mmol</w:t>
            </w:r>
          </w:p>
        </w:tc>
      </w:tr>
      <w:tr w:rsidR="00A51E4B" w:rsidTr="00A51E4B">
        <w:trPr>
          <w:jc w:val="center"/>
        </w:trPr>
        <w:tc>
          <w:tcPr>
            <w:tcW w:w="1127"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Magnesium</w:t>
            </w:r>
          </w:p>
        </w:tc>
        <w:tc>
          <w:tcPr>
            <w:tcW w:w="1082"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4,0 mmol</w:t>
            </w:r>
          </w:p>
        </w:tc>
        <w:tc>
          <w:tcPr>
            <w:tcW w:w="1447"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1,6 mmol</w:t>
            </w:r>
          </w:p>
        </w:tc>
        <w:tc>
          <w:tcPr>
            <w:tcW w:w="1344"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5,6 mmol</w:t>
            </w:r>
          </w:p>
        </w:tc>
      </w:tr>
      <w:tr w:rsidR="00A51E4B" w:rsidTr="00A51E4B">
        <w:trPr>
          <w:trHeight w:val="393"/>
          <w:jc w:val="center"/>
        </w:trPr>
        <w:tc>
          <w:tcPr>
            <w:tcW w:w="1127"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Calcium</w:t>
            </w:r>
          </w:p>
        </w:tc>
        <w:tc>
          <w:tcPr>
            <w:tcW w:w="1082"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3,5 mmol</w:t>
            </w:r>
          </w:p>
        </w:tc>
        <w:tc>
          <w:tcPr>
            <w:tcW w:w="1447"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1,5 mmol</w:t>
            </w:r>
          </w:p>
        </w:tc>
        <w:tc>
          <w:tcPr>
            <w:tcW w:w="1344"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5,0 mmol</w:t>
            </w:r>
          </w:p>
        </w:tc>
      </w:tr>
      <w:tr w:rsidR="00A51E4B" w:rsidTr="00A51E4B">
        <w:trPr>
          <w:jc w:val="center"/>
        </w:trPr>
        <w:tc>
          <w:tcPr>
            <w:tcW w:w="1127"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 xml:space="preserve">Uorganisk </w:t>
            </w:r>
            <w:proofErr w:type="spellStart"/>
            <w:r>
              <w:rPr>
                <w:sz w:val="20"/>
                <w:lang w:eastAsia="ja-JP"/>
              </w:rPr>
              <w:t>phosphat</w:t>
            </w:r>
            <w:proofErr w:type="spellEnd"/>
          </w:p>
        </w:tc>
        <w:tc>
          <w:tcPr>
            <w:tcW w:w="1082"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0 mmol</w:t>
            </w:r>
          </w:p>
        </w:tc>
        <w:tc>
          <w:tcPr>
            <w:tcW w:w="1447" w:type="pct"/>
            <w:vMerge w:val="restar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10 mmol Pi</w:t>
            </w:r>
          </w:p>
          <w:p w:rsidR="00A51E4B" w:rsidRDefault="00A51E4B">
            <w:pPr>
              <w:spacing w:before="60" w:after="60"/>
              <w:jc w:val="center"/>
              <w:rPr>
                <w:sz w:val="20"/>
                <w:lang w:eastAsia="ja-JP"/>
              </w:rPr>
            </w:pPr>
            <w:r>
              <w:rPr>
                <w:sz w:val="20"/>
                <w:lang w:eastAsia="ja-JP"/>
              </w:rPr>
              <w:t>eller</w:t>
            </w:r>
          </w:p>
          <w:p w:rsidR="00A51E4B" w:rsidRDefault="00A51E4B">
            <w:pPr>
              <w:spacing w:before="60" w:after="60"/>
              <w:jc w:val="center"/>
              <w:rPr>
                <w:sz w:val="20"/>
                <w:lang w:eastAsia="ja-JP"/>
              </w:rPr>
            </w:pPr>
            <w:r>
              <w:rPr>
                <w:sz w:val="20"/>
                <w:lang w:eastAsia="ja-JP"/>
              </w:rPr>
              <w:t xml:space="preserve">10 mmol </w:t>
            </w:r>
            <w:proofErr w:type="spellStart"/>
            <w:r>
              <w:rPr>
                <w:sz w:val="20"/>
                <w:lang w:eastAsia="ja-JP"/>
              </w:rPr>
              <w:t>Po</w:t>
            </w:r>
            <w:r>
              <w:rPr>
                <w:sz w:val="20"/>
                <w:vertAlign w:val="superscript"/>
                <w:lang w:eastAsia="ja-JP"/>
              </w:rPr>
              <w:t>b</w:t>
            </w:r>
            <w:proofErr w:type="spellEnd"/>
          </w:p>
        </w:tc>
        <w:tc>
          <w:tcPr>
            <w:tcW w:w="1344" w:type="pct"/>
            <w:vMerge w:val="restar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10 mmol Pi + 15 mmol Po</w:t>
            </w:r>
          </w:p>
          <w:p w:rsidR="00A51E4B" w:rsidRDefault="00A51E4B">
            <w:pPr>
              <w:spacing w:before="60" w:after="60"/>
              <w:jc w:val="center"/>
              <w:rPr>
                <w:sz w:val="20"/>
                <w:lang w:eastAsia="ja-JP"/>
              </w:rPr>
            </w:pPr>
            <w:r>
              <w:rPr>
                <w:sz w:val="20"/>
                <w:lang w:eastAsia="ja-JP"/>
              </w:rPr>
              <w:t>eller</w:t>
            </w:r>
          </w:p>
          <w:p w:rsidR="00A51E4B" w:rsidRDefault="00A51E4B">
            <w:pPr>
              <w:spacing w:before="60" w:after="60"/>
              <w:jc w:val="center"/>
              <w:rPr>
                <w:sz w:val="20"/>
                <w:vertAlign w:val="superscript"/>
                <w:lang w:eastAsia="ja-JP"/>
              </w:rPr>
            </w:pPr>
            <w:r>
              <w:rPr>
                <w:sz w:val="20"/>
                <w:lang w:eastAsia="ja-JP"/>
              </w:rPr>
              <w:t xml:space="preserve">25 mmol </w:t>
            </w:r>
            <w:proofErr w:type="spellStart"/>
            <w:r>
              <w:rPr>
                <w:sz w:val="20"/>
                <w:lang w:eastAsia="ja-JP"/>
              </w:rPr>
              <w:t>Po</w:t>
            </w:r>
            <w:r>
              <w:rPr>
                <w:sz w:val="20"/>
                <w:vertAlign w:val="superscript"/>
                <w:lang w:eastAsia="ja-JP"/>
              </w:rPr>
              <w:t>a</w:t>
            </w:r>
            <w:proofErr w:type="spellEnd"/>
            <w:r>
              <w:rPr>
                <w:sz w:val="20"/>
                <w:vertAlign w:val="superscript"/>
                <w:lang w:eastAsia="ja-JP"/>
              </w:rPr>
              <w:t>, b</w:t>
            </w:r>
            <w:r>
              <w:rPr>
                <w:sz w:val="20"/>
                <w:lang w:eastAsia="ja-JP"/>
              </w:rPr>
              <w:t xml:space="preserve"> </w:t>
            </w:r>
          </w:p>
        </w:tc>
      </w:tr>
      <w:tr w:rsidR="00A51E4B" w:rsidTr="00A51E4B">
        <w:trPr>
          <w:jc w:val="center"/>
        </w:trPr>
        <w:tc>
          <w:tcPr>
            <w:tcW w:w="1127"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 xml:space="preserve">Organisk </w:t>
            </w:r>
            <w:proofErr w:type="spellStart"/>
            <w:r>
              <w:rPr>
                <w:sz w:val="20"/>
                <w:lang w:eastAsia="ja-JP"/>
              </w:rPr>
              <w:t>phosphat</w:t>
            </w:r>
            <w:proofErr w:type="spellEnd"/>
          </w:p>
        </w:tc>
        <w:tc>
          <w:tcPr>
            <w:tcW w:w="1082"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vertAlign w:val="superscript"/>
                <w:lang w:eastAsia="ja-JP"/>
              </w:rPr>
            </w:pPr>
            <w:r>
              <w:rPr>
                <w:sz w:val="20"/>
                <w:lang w:eastAsia="ja-JP"/>
              </w:rPr>
              <w:t xml:space="preserve">15 </w:t>
            </w:r>
            <w:proofErr w:type="spellStart"/>
            <w:r>
              <w:rPr>
                <w:sz w:val="20"/>
                <w:lang w:eastAsia="ja-JP"/>
              </w:rPr>
              <w:t>mmol</w:t>
            </w:r>
            <w:r>
              <w:rPr>
                <w:sz w:val="20"/>
                <w:vertAlign w:val="superscript"/>
                <w:lang w:eastAsia="ja-JP"/>
              </w:rPr>
              <w:t>a</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E4B" w:rsidRDefault="00A51E4B">
            <w:pPr>
              <w:rPr>
                <w:sz w:val="20"/>
                <w:lang w:eastAsia="ja-JP"/>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E4B" w:rsidRDefault="00A51E4B">
            <w:pPr>
              <w:rPr>
                <w:sz w:val="20"/>
                <w:vertAlign w:val="superscript"/>
                <w:lang w:eastAsia="ja-JP"/>
              </w:rPr>
            </w:pPr>
          </w:p>
        </w:tc>
      </w:tr>
      <w:tr w:rsidR="00A51E4B" w:rsidTr="00A51E4B">
        <w:trPr>
          <w:jc w:val="center"/>
        </w:trPr>
        <w:tc>
          <w:tcPr>
            <w:tcW w:w="5000" w:type="pct"/>
            <w:gridSpan w:val="4"/>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b/>
                <w:sz w:val="20"/>
                <w:vertAlign w:val="superscript"/>
                <w:lang w:eastAsia="ja-JP"/>
              </w:rPr>
            </w:pPr>
            <w:r>
              <w:rPr>
                <w:b/>
                <w:sz w:val="20"/>
                <w:lang w:eastAsia="ja-JP"/>
              </w:rPr>
              <w:t xml:space="preserve">Andre tilsætninger (sporstoffer, vitaminer, selen og </w:t>
            </w:r>
            <w:proofErr w:type="gramStart"/>
            <w:r>
              <w:rPr>
                <w:b/>
                <w:sz w:val="20"/>
                <w:lang w:eastAsia="ja-JP"/>
              </w:rPr>
              <w:t>zink)</w:t>
            </w:r>
            <w:r>
              <w:rPr>
                <w:b/>
                <w:sz w:val="20"/>
                <w:vertAlign w:val="superscript"/>
                <w:lang w:eastAsia="ja-JP"/>
              </w:rPr>
              <w:t>c</w:t>
            </w:r>
            <w:proofErr w:type="gramEnd"/>
          </w:p>
        </w:tc>
      </w:tr>
      <w:tr w:rsidR="00A51E4B" w:rsidTr="00A51E4B">
        <w:trPr>
          <w:trHeight w:val="476"/>
          <w:jc w:val="center"/>
        </w:trPr>
        <w:tc>
          <w:tcPr>
            <w:tcW w:w="1127"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 xml:space="preserve">Sporstoffer – </w:t>
            </w:r>
            <w:proofErr w:type="spellStart"/>
            <w:r>
              <w:rPr>
                <w:sz w:val="20"/>
                <w:lang w:eastAsia="ja-JP"/>
              </w:rPr>
              <w:t>Junyelt</w:t>
            </w:r>
            <w:r>
              <w:rPr>
                <w:sz w:val="20"/>
                <w:vertAlign w:val="superscript"/>
                <w:lang w:eastAsia="ja-JP"/>
              </w:rPr>
              <w:t>d</w:t>
            </w:r>
            <w:proofErr w:type="spellEnd"/>
          </w:p>
        </w:tc>
        <w:tc>
          <w:tcPr>
            <w:tcW w:w="3873" w:type="pct"/>
            <w:gridSpan w:val="3"/>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1 ampul pr. pose (10 ml koncentreret opløsning)</w:t>
            </w:r>
          </w:p>
        </w:tc>
      </w:tr>
      <w:tr w:rsidR="00A51E4B" w:rsidTr="00A51E4B">
        <w:trPr>
          <w:jc w:val="center"/>
        </w:trPr>
        <w:tc>
          <w:tcPr>
            <w:tcW w:w="1127"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proofErr w:type="spellStart"/>
            <w:r>
              <w:rPr>
                <w:sz w:val="20"/>
                <w:lang w:eastAsia="ja-JP"/>
              </w:rPr>
              <w:t>Vitaminer</w:t>
            </w:r>
            <w:r>
              <w:rPr>
                <w:sz w:val="20"/>
                <w:vertAlign w:val="superscript"/>
                <w:lang w:eastAsia="ja-JP"/>
              </w:rPr>
              <w:t>e</w:t>
            </w:r>
            <w:proofErr w:type="spellEnd"/>
          </w:p>
        </w:tc>
        <w:tc>
          <w:tcPr>
            <w:tcW w:w="3873" w:type="pct"/>
            <w:gridSpan w:val="3"/>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1 hætteglas (</w:t>
            </w:r>
            <w:proofErr w:type="spellStart"/>
            <w:r>
              <w:rPr>
                <w:sz w:val="20"/>
                <w:lang w:eastAsia="ja-JP"/>
              </w:rPr>
              <w:t>lyofilisat</w:t>
            </w:r>
            <w:proofErr w:type="spellEnd"/>
            <w:r>
              <w:rPr>
                <w:sz w:val="20"/>
                <w:lang w:eastAsia="ja-JP"/>
              </w:rPr>
              <w:t>)</w:t>
            </w:r>
          </w:p>
        </w:tc>
      </w:tr>
      <w:tr w:rsidR="00A51E4B" w:rsidTr="00A51E4B">
        <w:trPr>
          <w:jc w:val="center"/>
        </w:trPr>
        <w:tc>
          <w:tcPr>
            <w:tcW w:w="1127"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Selen</w:t>
            </w:r>
          </w:p>
        </w:tc>
        <w:tc>
          <w:tcPr>
            <w:tcW w:w="3873" w:type="pct"/>
            <w:gridSpan w:val="3"/>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 xml:space="preserve">60 </w:t>
            </w:r>
            <w:proofErr w:type="spellStart"/>
            <w:r>
              <w:rPr>
                <w:sz w:val="20"/>
                <w:lang w:eastAsia="ja-JP"/>
              </w:rPr>
              <w:t>mikrog</w:t>
            </w:r>
            <w:proofErr w:type="spellEnd"/>
            <w:r>
              <w:rPr>
                <w:sz w:val="20"/>
                <w:lang w:eastAsia="ja-JP"/>
              </w:rPr>
              <w:t xml:space="preserve"> pr. pose</w:t>
            </w:r>
          </w:p>
        </w:tc>
      </w:tr>
      <w:tr w:rsidR="00A51E4B" w:rsidTr="00A51E4B">
        <w:trPr>
          <w:jc w:val="center"/>
        </w:trPr>
        <w:tc>
          <w:tcPr>
            <w:tcW w:w="1127" w:type="pct"/>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Zink</w:t>
            </w:r>
          </w:p>
        </w:tc>
        <w:tc>
          <w:tcPr>
            <w:tcW w:w="3873" w:type="pct"/>
            <w:gridSpan w:val="3"/>
            <w:tcBorders>
              <w:top w:val="single" w:sz="6" w:space="0" w:color="000000"/>
              <w:left w:val="single" w:sz="6" w:space="0" w:color="000000"/>
              <w:bottom w:val="single" w:sz="6" w:space="0" w:color="000000"/>
              <w:right w:val="single" w:sz="6" w:space="0" w:color="000000"/>
            </w:tcBorders>
            <w:hideMark/>
          </w:tcPr>
          <w:p w:rsidR="00A51E4B" w:rsidRDefault="00A51E4B">
            <w:pPr>
              <w:spacing w:before="60" w:after="60"/>
              <w:jc w:val="center"/>
              <w:rPr>
                <w:sz w:val="20"/>
                <w:lang w:eastAsia="ja-JP"/>
              </w:rPr>
            </w:pPr>
            <w:r>
              <w:rPr>
                <w:sz w:val="20"/>
                <w:lang w:eastAsia="ja-JP"/>
              </w:rPr>
              <w:t>3 mg pr. pose</w:t>
            </w:r>
          </w:p>
        </w:tc>
      </w:tr>
    </w:tbl>
    <w:p w:rsidR="00A51E4B" w:rsidRDefault="00A51E4B" w:rsidP="00A51E4B">
      <w:pPr>
        <w:numPr>
          <w:ilvl w:val="0"/>
          <w:numId w:val="22"/>
        </w:numPr>
        <w:spacing w:line="260" w:lineRule="exact"/>
        <w:ind w:left="284" w:hanging="284"/>
        <w:rPr>
          <w:sz w:val="20"/>
          <w:szCs w:val="22"/>
          <w:lang w:eastAsia="ja-JP"/>
        </w:rPr>
      </w:pPr>
      <w:r>
        <w:rPr>
          <w:sz w:val="20"/>
          <w:szCs w:val="22"/>
          <w:lang w:eastAsia="ja-JP"/>
        </w:rPr>
        <w:t xml:space="preserve">Inkl. </w:t>
      </w:r>
      <w:proofErr w:type="spellStart"/>
      <w:r>
        <w:rPr>
          <w:sz w:val="20"/>
          <w:szCs w:val="22"/>
          <w:lang w:eastAsia="ja-JP"/>
        </w:rPr>
        <w:t>phosphat</w:t>
      </w:r>
      <w:proofErr w:type="spellEnd"/>
      <w:r>
        <w:rPr>
          <w:sz w:val="20"/>
          <w:szCs w:val="22"/>
          <w:lang w:eastAsia="ja-JP"/>
        </w:rPr>
        <w:t xml:space="preserve"> fra fedtemulsionen.</w:t>
      </w:r>
    </w:p>
    <w:p w:rsidR="00A51E4B" w:rsidRDefault="00A51E4B" w:rsidP="00A51E4B">
      <w:pPr>
        <w:pStyle w:val="TableFootnoteLetter"/>
        <w:numPr>
          <w:ilvl w:val="0"/>
          <w:numId w:val="22"/>
        </w:numPr>
        <w:tabs>
          <w:tab w:val="clear" w:pos="115"/>
          <w:tab w:val="left" w:pos="1304"/>
        </w:tabs>
        <w:spacing w:before="0" w:after="0"/>
        <w:ind w:left="284" w:hanging="284"/>
        <w:rPr>
          <w:szCs w:val="22"/>
        </w:rPr>
      </w:pPr>
      <w:r>
        <w:rPr>
          <w:szCs w:val="22"/>
        </w:rPr>
        <w:t xml:space="preserve">Pi = Uorganisk </w:t>
      </w:r>
      <w:proofErr w:type="spellStart"/>
      <w:r>
        <w:rPr>
          <w:szCs w:val="22"/>
        </w:rPr>
        <w:t>phosphat</w:t>
      </w:r>
      <w:proofErr w:type="spellEnd"/>
      <w:r>
        <w:rPr>
          <w:szCs w:val="22"/>
        </w:rPr>
        <w:t xml:space="preserve">; Po = Organisk </w:t>
      </w:r>
      <w:proofErr w:type="spellStart"/>
      <w:r>
        <w:rPr>
          <w:szCs w:val="22"/>
        </w:rPr>
        <w:t>phosphat</w:t>
      </w:r>
      <w:proofErr w:type="spellEnd"/>
      <w:r>
        <w:rPr>
          <w:szCs w:val="22"/>
        </w:rPr>
        <w:t>.</w:t>
      </w:r>
    </w:p>
    <w:p w:rsidR="00A51E4B" w:rsidRDefault="00A51E4B" w:rsidP="00A51E4B">
      <w:pPr>
        <w:numPr>
          <w:ilvl w:val="0"/>
          <w:numId w:val="22"/>
        </w:numPr>
        <w:spacing w:line="260" w:lineRule="exact"/>
        <w:ind w:left="284" w:hanging="284"/>
        <w:rPr>
          <w:sz w:val="20"/>
          <w:szCs w:val="22"/>
          <w:lang w:eastAsia="ja-JP"/>
        </w:rPr>
      </w:pPr>
      <w:r>
        <w:rPr>
          <w:sz w:val="20"/>
          <w:szCs w:val="22"/>
          <w:lang w:eastAsia="ja-JP"/>
        </w:rPr>
        <w:t>For alle posestørrelser kan tilsætningen af sporstoffer, vitaminer, selen og zink være den samme som for 1000 ml poser.</w:t>
      </w:r>
    </w:p>
    <w:p w:rsidR="00A51E4B" w:rsidRDefault="00A51E4B" w:rsidP="00A51E4B">
      <w:pPr>
        <w:numPr>
          <w:ilvl w:val="0"/>
          <w:numId w:val="22"/>
        </w:numPr>
        <w:spacing w:line="260" w:lineRule="exact"/>
        <w:ind w:left="284" w:hanging="284"/>
        <w:rPr>
          <w:sz w:val="20"/>
          <w:szCs w:val="22"/>
          <w:lang w:eastAsia="ja-JP"/>
        </w:rPr>
      </w:pPr>
      <w:proofErr w:type="spellStart"/>
      <w:r>
        <w:rPr>
          <w:sz w:val="20"/>
          <w:szCs w:val="22"/>
          <w:lang w:eastAsia="ja-JP"/>
        </w:rPr>
        <w:t>Junyelt</w:t>
      </w:r>
      <w:proofErr w:type="spellEnd"/>
      <w:r>
        <w:rPr>
          <w:sz w:val="20"/>
          <w:szCs w:val="22"/>
          <w:lang w:eastAsia="ja-JP"/>
        </w:rPr>
        <w:t xml:space="preserve"> </w:t>
      </w:r>
      <w:r>
        <w:rPr>
          <w:iCs/>
          <w:sz w:val="20"/>
          <w:szCs w:val="22"/>
          <w:lang w:eastAsia="ja-JP"/>
        </w:rPr>
        <w:t>(sammensætning pr. ampul: zink 15,3 </w:t>
      </w:r>
      <w:r>
        <w:rPr>
          <w:sz w:val="20"/>
          <w:szCs w:val="22"/>
          <w:lang w:eastAsia="ja-JP"/>
        </w:rPr>
        <w:t>mikro</w:t>
      </w:r>
      <w:r>
        <w:rPr>
          <w:iCs/>
          <w:sz w:val="20"/>
          <w:szCs w:val="22"/>
          <w:lang w:eastAsia="ja-JP"/>
        </w:rPr>
        <w:t xml:space="preserve">mol; </w:t>
      </w:r>
      <w:r>
        <w:rPr>
          <w:sz w:val="20"/>
          <w:szCs w:val="22"/>
          <w:lang w:eastAsia="ja-JP"/>
        </w:rPr>
        <w:t>kobber 3,15 mikromol; mangan 0,091 mikromol; jod 0,079 mikromol; selen 0,253 mikromol).</w:t>
      </w:r>
    </w:p>
    <w:p w:rsidR="00A51E4B" w:rsidRDefault="00A51E4B" w:rsidP="00A51E4B">
      <w:pPr>
        <w:numPr>
          <w:ilvl w:val="0"/>
          <w:numId w:val="22"/>
        </w:numPr>
        <w:spacing w:line="260" w:lineRule="exact"/>
        <w:ind w:left="284" w:hanging="284"/>
        <w:rPr>
          <w:sz w:val="20"/>
          <w:szCs w:val="22"/>
          <w:lang w:eastAsia="ja-JP"/>
        </w:rPr>
      </w:pPr>
      <w:r>
        <w:rPr>
          <w:sz w:val="20"/>
          <w:szCs w:val="22"/>
          <w:lang w:eastAsia="ja-JP"/>
        </w:rPr>
        <w:t xml:space="preserve">Kombination af 1 hætteglas multivitaminprodukt (sammensætning per hætteglas: </w:t>
      </w:r>
      <w:proofErr w:type="spellStart"/>
      <w:r>
        <w:rPr>
          <w:sz w:val="20"/>
          <w:szCs w:val="22"/>
          <w:lang w:eastAsia="ja-JP"/>
        </w:rPr>
        <w:t>vit</w:t>
      </w:r>
      <w:proofErr w:type="spellEnd"/>
      <w:r>
        <w:rPr>
          <w:sz w:val="20"/>
          <w:szCs w:val="22"/>
          <w:lang w:eastAsia="ja-JP"/>
        </w:rPr>
        <w:t>. B</w:t>
      </w:r>
      <w:r>
        <w:rPr>
          <w:sz w:val="20"/>
          <w:szCs w:val="22"/>
          <w:vertAlign w:val="subscript"/>
          <w:lang w:eastAsia="ja-JP"/>
        </w:rPr>
        <w:t>1</w:t>
      </w:r>
      <w:r>
        <w:rPr>
          <w:sz w:val="20"/>
          <w:szCs w:val="22"/>
          <w:lang w:eastAsia="ja-JP"/>
        </w:rPr>
        <w:t xml:space="preserve"> (</w:t>
      </w:r>
      <w:proofErr w:type="spellStart"/>
      <w:r>
        <w:rPr>
          <w:sz w:val="20"/>
          <w:szCs w:val="22"/>
          <w:lang w:eastAsia="ja-JP"/>
        </w:rPr>
        <w:t>thiamin</w:t>
      </w:r>
      <w:proofErr w:type="spellEnd"/>
      <w:r>
        <w:rPr>
          <w:sz w:val="20"/>
          <w:szCs w:val="22"/>
          <w:lang w:eastAsia="ja-JP"/>
        </w:rPr>
        <w:t xml:space="preserve">) 2,5 mg, </w:t>
      </w:r>
      <w:proofErr w:type="spellStart"/>
      <w:r>
        <w:rPr>
          <w:sz w:val="20"/>
          <w:szCs w:val="22"/>
          <w:lang w:eastAsia="ja-JP"/>
        </w:rPr>
        <w:t>vit</w:t>
      </w:r>
      <w:proofErr w:type="spellEnd"/>
      <w:r>
        <w:rPr>
          <w:sz w:val="20"/>
          <w:szCs w:val="22"/>
          <w:lang w:eastAsia="ja-JP"/>
        </w:rPr>
        <w:t>. B</w:t>
      </w:r>
      <w:r>
        <w:rPr>
          <w:sz w:val="20"/>
          <w:szCs w:val="22"/>
          <w:vertAlign w:val="subscript"/>
          <w:lang w:eastAsia="ja-JP"/>
        </w:rPr>
        <w:t>2</w:t>
      </w:r>
      <w:r>
        <w:rPr>
          <w:sz w:val="20"/>
          <w:szCs w:val="22"/>
          <w:lang w:eastAsia="ja-JP"/>
        </w:rPr>
        <w:t xml:space="preserve"> (</w:t>
      </w:r>
      <w:proofErr w:type="spellStart"/>
      <w:r>
        <w:rPr>
          <w:sz w:val="20"/>
          <w:szCs w:val="22"/>
          <w:lang w:eastAsia="ja-JP"/>
        </w:rPr>
        <w:t>riboflavin</w:t>
      </w:r>
      <w:proofErr w:type="spellEnd"/>
      <w:r>
        <w:rPr>
          <w:sz w:val="20"/>
          <w:szCs w:val="22"/>
          <w:lang w:eastAsia="ja-JP"/>
        </w:rPr>
        <w:t xml:space="preserve">) 3,6 mg, </w:t>
      </w:r>
      <w:proofErr w:type="spellStart"/>
      <w:r>
        <w:rPr>
          <w:sz w:val="20"/>
          <w:szCs w:val="22"/>
          <w:lang w:eastAsia="ja-JP"/>
        </w:rPr>
        <w:t>vit</w:t>
      </w:r>
      <w:proofErr w:type="spellEnd"/>
      <w:r>
        <w:rPr>
          <w:sz w:val="20"/>
          <w:szCs w:val="22"/>
          <w:lang w:eastAsia="ja-JP"/>
        </w:rPr>
        <w:t>. B</w:t>
      </w:r>
      <w:r>
        <w:rPr>
          <w:sz w:val="20"/>
          <w:szCs w:val="22"/>
          <w:vertAlign w:val="subscript"/>
          <w:lang w:eastAsia="ja-JP"/>
        </w:rPr>
        <w:t>6</w:t>
      </w:r>
      <w:r>
        <w:rPr>
          <w:sz w:val="20"/>
          <w:szCs w:val="22"/>
          <w:lang w:eastAsia="ja-JP"/>
        </w:rPr>
        <w:t xml:space="preserve"> (</w:t>
      </w:r>
      <w:proofErr w:type="spellStart"/>
      <w:r>
        <w:rPr>
          <w:sz w:val="20"/>
          <w:szCs w:val="22"/>
          <w:lang w:eastAsia="ja-JP"/>
        </w:rPr>
        <w:t>pyridoxin</w:t>
      </w:r>
      <w:proofErr w:type="spellEnd"/>
      <w:r>
        <w:rPr>
          <w:sz w:val="20"/>
          <w:szCs w:val="22"/>
          <w:lang w:eastAsia="ja-JP"/>
        </w:rPr>
        <w:t xml:space="preserve">) 4,0 mg, </w:t>
      </w:r>
      <w:proofErr w:type="spellStart"/>
      <w:r>
        <w:rPr>
          <w:sz w:val="20"/>
          <w:szCs w:val="22"/>
          <w:lang w:eastAsia="ja-JP"/>
        </w:rPr>
        <w:t>vit</w:t>
      </w:r>
      <w:proofErr w:type="spellEnd"/>
      <w:r>
        <w:rPr>
          <w:sz w:val="20"/>
          <w:szCs w:val="22"/>
          <w:lang w:eastAsia="ja-JP"/>
        </w:rPr>
        <w:t>. B</w:t>
      </w:r>
      <w:r>
        <w:rPr>
          <w:sz w:val="20"/>
          <w:szCs w:val="22"/>
          <w:vertAlign w:val="subscript"/>
          <w:lang w:eastAsia="ja-JP"/>
        </w:rPr>
        <w:t>5</w:t>
      </w:r>
      <w:r>
        <w:rPr>
          <w:sz w:val="20"/>
          <w:szCs w:val="22"/>
          <w:lang w:eastAsia="ja-JP"/>
        </w:rPr>
        <w:t xml:space="preserve"> (</w:t>
      </w:r>
      <w:proofErr w:type="spellStart"/>
      <w:r>
        <w:rPr>
          <w:sz w:val="20"/>
          <w:szCs w:val="22"/>
          <w:lang w:eastAsia="ja-JP"/>
        </w:rPr>
        <w:t>pantothensyre</w:t>
      </w:r>
      <w:proofErr w:type="spellEnd"/>
      <w:r>
        <w:rPr>
          <w:sz w:val="20"/>
          <w:szCs w:val="22"/>
          <w:lang w:eastAsia="ja-JP"/>
        </w:rPr>
        <w:t xml:space="preserve">) 15 mg, </w:t>
      </w:r>
      <w:proofErr w:type="spellStart"/>
      <w:r>
        <w:rPr>
          <w:sz w:val="20"/>
          <w:szCs w:val="22"/>
          <w:lang w:eastAsia="ja-JP"/>
        </w:rPr>
        <w:t>vit</w:t>
      </w:r>
      <w:proofErr w:type="spellEnd"/>
      <w:r>
        <w:rPr>
          <w:sz w:val="20"/>
          <w:szCs w:val="22"/>
          <w:lang w:eastAsia="ja-JP"/>
        </w:rPr>
        <w:t>. C (</w:t>
      </w:r>
      <w:proofErr w:type="spellStart"/>
      <w:r>
        <w:rPr>
          <w:sz w:val="20"/>
          <w:szCs w:val="22"/>
          <w:lang w:eastAsia="ja-JP"/>
        </w:rPr>
        <w:t>ascorbinsyre</w:t>
      </w:r>
      <w:proofErr w:type="spellEnd"/>
      <w:r>
        <w:rPr>
          <w:sz w:val="20"/>
          <w:szCs w:val="22"/>
          <w:lang w:eastAsia="ja-JP"/>
        </w:rPr>
        <w:t xml:space="preserve">) 100 mg, </w:t>
      </w:r>
      <w:proofErr w:type="spellStart"/>
      <w:r>
        <w:rPr>
          <w:sz w:val="20"/>
          <w:szCs w:val="22"/>
          <w:lang w:eastAsia="ja-JP"/>
        </w:rPr>
        <w:t>vit</w:t>
      </w:r>
      <w:proofErr w:type="spellEnd"/>
      <w:r>
        <w:rPr>
          <w:sz w:val="20"/>
          <w:szCs w:val="22"/>
          <w:lang w:eastAsia="ja-JP"/>
        </w:rPr>
        <w:t>. B</w:t>
      </w:r>
      <w:r>
        <w:rPr>
          <w:sz w:val="20"/>
          <w:szCs w:val="22"/>
          <w:vertAlign w:val="subscript"/>
          <w:lang w:eastAsia="ja-JP"/>
        </w:rPr>
        <w:t>8</w:t>
      </w:r>
      <w:r>
        <w:rPr>
          <w:sz w:val="20"/>
          <w:szCs w:val="22"/>
          <w:lang w:eastAsia="ja-JP"/>
        </w:rPr>
        <w:t xml:space="preserve"> (biotin) 0,06 mg, </w:t>
      </w:r>
      <w:proofErr w:type="spellStart"/>
      <w:r>
        <w:rPr>
          <w:sz w:val="20"/>
          <w:szCs w:val="22"/>
          <w:lang w:eastAsia="ja-JP"/>
        </w:rPr>
        <w:t>vit</w:t>
      </w:r>
      <w:proofErr w:type="spellEnd"/>
      <w:r>
        <w:rPr>
          <w:sz w:val="20"/>
          <w:szCs w:val="22"/>
          <w:lang w:eastAsia="ja-JP"/>
        </w:rPr>
        <w:t>. B</w:t>
      </w:r>
      <w:r>
        <w:rPr>
          <w:sz w:val="20"/>
          <w:szCs w:val="22"/>
          <w:vertAlign w:val="subscript"/>
          <w:lang w:eastAsia="ja-JP"/>
        </w:rPr>
        <w:t>9</w:t>
      </w:r>
      <w:r>
        <w:rPr>
          <w:sz w:val="20"/>
          <w:szCs w:val="22"/>
          <w:lang w:eastAsia="ja-JP"/>
        </w:rPr>
        <w:t xml:space="preserve"> (</w:t>
      </w:r>
      <w:proofErr w:type="spellStart"/>
      <w:r>
        <w:rPr>
          <w:sz w:val="20"/>
          <w:szCs w:val="22"/>
          <w:lang w:eastAsia="ja-JP"/>
        </w:rPr>
        <w:t>folinsyre</w:t>
      </w:r>
      <w:proofErr w:type="spellEnd"/>
      <w:r>
        <w:rPr>
          <w:sz w:val="20"/>
          <w:szCs w:val="22"/>
          <w:lang w:eastAsia="ja-JP"/>
        </w:rPr>
        <w:t xml:space="preserve">) 0,4 mg, </w:t>
      </w:r>
      <w:proofErr w:type="spellStart"/>
      <w:r>
        <w:rPr>
          <w:sz w:val="20"/>
          <w:szCs w:val="22"/>
          <w:lang w:eastAsia="ja-JP"/>
        </w:rPr>
        <w:t>vit</w:t>
      </w:r>
      <w:proofErr w:type="spellEnd"/>
      <w:r>
        <w:rPr>
          <w:sz w:val="20"/>
          <w:szCs w:val="22"/>
          <w:lang w:eastAsia="ja-JP"/>
        </w:rPr>
        <w:t>. B</w:t>
      </w:r>
      <w:r>
        <w:rPr>
          <w:sz w:val="20"/>
          <w:szCs w:val="22"/>
          <w:vertAlign w:val="subscript"/>
          <w:lang w:eastAsia="ja-JP"/>
        </w:rPr>
        <w:t>12</w:t>
      </w:r>
      <w:r>
        <w:rPr>
          <w:sz w:val="20"/>
          <w:szCs w:val="22"/>
          <w:lang w:eastAsia="ja-JP"/>
        </w:rPr>
        <w:t xml:space="preserve"> (</w:t>
      </w:r>
      <w:proofErr w:type="spellStart"/>
      <w:r>
        <w:rPr>
          <w:sz w:val="20"/>
          <w:szCs w:val="22"/>
          <w:lang w:eastAsia="ja-JP"/>
        </w:rPr>
        <w:t>cyanocobalamin</w:t>
      </w:r>
      <w:proofErr w:type="spellEnd"/>
      <w:r>
        <w:rPr>
          <w:sz w:val="20"/>
          <w:szCs w:val="22"/>
          <w:lang w:eastAsia="ja-JP"/>
        </w:rPr>
        <w:t xml:space="preserve">) 0,005 mg, </w:t>
      </w:r>
      <w:proofErr w:type="spellStart"/>
      <w:r>
        <w:rPr>
          <w:sz w:val="20"/>
          <w:szCs w:val="22"/>
          <w:lang w:eastAsia="ja-JP"/>
        </w:rPr>
        <w:t>vit</w:t>
      </w:r>
      <w:proofErr w:type="spellEnd"/>
      <w:r>
        <w:rPr>
          <w:sz w:val="20"/>
          <w:szCs w:val="22"/>
          <w:lang w:eastAsia="ja-JP"/>
        </w:rPr>
        <w:t>. PP (</w:t>
      </w:r>
      <w:proofErr w:type="spellStart"/>
      <w:r>
        <w:rPr>
          <w:sz w:val="20"/>
          <w:szCs w:val="22"/>
          <w:lang w:eastAsia="ja-JP"/>
        </w:rPr>
        <w:t>nicotinamid</w:t>
      </w:r>
      <w:proofErr w:type="spellEnd"/>
      <w:r>
        <w:rPr>
          <w:sz w:val="20"/>
          <w:szCs w:val="22"/>
          <w:lang w:eastAsia="ja-JP"/>
        </w:rPr>
        <w:t xml:space="preserve">) 40 mg) og 1 hætteglas multivitaminprodukt (sammensætning per hætteglas: </w:t>
      </w:r>
      <w:proofErr w:type="spellStart"/>
      <w:proofErr w:type="gramStart"/>
      <w:r>
        <w:rPr>
          <w:sz w:val="20"/>
          <w:szCs w:val="22"/>
          <w:lang w:eastAsia="ja-JP"/>
        </w:rPr>
        <w:t>vit.A</w:t>
      </w:r>
      <w:proofErr w:type="spellEnd"/>
      <w:proofErr w:type="gramEnd"/>
      <w:r>
        <w:rPr>
          <w:sz w:val="20"/>
          <w:szCs w:val="22"/>
          <w:lang w:eastAsia="ja-JP"/>
        </w:rPr>
        <w:t xml:space="preserve"> (</w:t>
      </w:r>
      <w:r>
        <w:rPr>
          <w:iCs/>
          <w:sz w:val="20"/>
          <w:szCs w:val="22"/>
          <w:lang w:eastAsia="ja-JP"/>
        </w:rPr>
        <w:t xml:space="preserve">som </w:t>
      </w:r>
      <w:proofErr w:type="spellStart"/>
      <w:r>
        <w:rPr>
          <w:iCs/>
          <w:sz w:val="20"/>
          <w:szCs w:val="22"/>
          <w:lang w:eastAsia="ja-JP"/>
        </w:rPr>
        <w:t>retinolpalmitat</w:t>
      </w:r>
      <w:proofErr w:type="spellEnd"/>
      <w:r>
        <w:rPr>
          <w:sz w:val="20"/>
          <w:szCs w:val="22"/>
          <w:lang w:eastAsia="ja-JP"/>
        </w:rPr>
        <w:t xml:space="preserve">) 2300 IE, </w:t>
      </w:r>
      <w:proofErr w:type="spellStart"/>
      <w:r>
        <w:rPr>
          <w:sz w:val="20"/>
          <w:szCs w:val="22"/>
          <w:lang w:eastAsia="ja-JP"/>
        </w:rPr>
        <w:t>vit.D</w:t>
      </w:r>
      <w:proofErr w:type="spellEnd"/>
      <w:r>
        <w:rPr>
          <w:sz w:val="20"/>
          <w:szCs w:val="22"/>
          <w:lang w:eastAsia="ja-JP"/>
        </w:rPr>
        <w:t xml:space="preserve"> (som </w:t>
      </w:r>
      <w:proofErr w:type="spellStart"/>
      <w:r>
        <w:rPr>
          <w:sz w:val="20"/>
          <w:szCs w:val="22"/>
          <w:lang w:eastAsia="ja-JP"/>
        </w:rPr>
        <w:t>ergocalciferol</w:t>
      </w:r>
      <w:proofErr w:type="spellEnd"/>
      <w:r>
        <w:rPr>
          <w:sz w:val="20"/>
          <w:szCs w:val="22"/>
          <w:lang w:eastAsia="ja-JP"/>
        </w:rPr>
        <w:t xml:space="preserve">) 400 IE, </w:t>
      </w:r>
      <w:proofErr w:type="spellStart"/>
      <w:r>
        <w:rPr>
          <w:sz w:val="20"/>
          <w:szCs w:val="22"/>
          <w:lang w:eastAsia="ja-JP"/>
        </w:rPr>
        <w:t>vit.E</w:t>
      </w:r>
      <w:proofErr w:type="spellEnd"/>
      <w:r>
        <w:rPr>
          <w:sz w:val="20"/>
          <w:szCs w:val="22"/>
          <w:lang w:eastAsia="ja-JP"/>
        </w:rPr>
        <w:t xml:space="preserve"> (Alpha-</w:t>
      </w:r>
      <w:proofErr w:type="spellStart"/>
      <w:r>
        <w:rPr>
          <w:sz w:val="20"/>
          <w:szCs w:val="22"/>
          <w:lang w:eastAsia="ja-JP"/>
        </w:rPr>
        <w:t>tocopherol</w:t>
      </w:r>
      <w:proofErr w:type="spellEnd"/>
      <w:r>
        <w:rPr>
          <w:sz w:val="20"/>
          <w:szCs w:val="22"/>
          <w:lang w:eastAsia="ja-JP"/>
        </w:rPr>
        <w:t xml:space="preserve">) 6,4 mg, </w:t>
      </w:r>
      <w:proofErr w:type="spellStart"/>
      <w:r>
        <w:rPr>
          <w:sz w:val="20"/>
          <w:szCs w:val="22"/>
          <w:lang w:eastAsia="ja-JP"/>
        </w:rPr>
        <w:t>vit</w:t>
      </w:r>
      <w:proofErr w:type="spellEnd"/>
      <w:r>
        <w:rPr>
          <w:sz w:val="20"/>
          <w:szCs w:val="22"/>
          <w:lang w:eastAsia="ja-JP"/>
        </w:rPr>
        <w:t>. K (</w:t>
      </w:r>
      <w:proofErr w:type="spellStart"/>
      <w:r>
        <w:rPr>
          <w:sz w:val="20"/>
          <w:szCs w:val="22"/>
          <w:lang w:eastAsia="ja-JP"/>
        </w:rPr>
        <w:t>phytomenadion</w:t>
      </w:r>
      <w:proofErr w:type="spellEnd"/>
      <w:r>
        <w:rPr>
          <w:sz w:val="20"/>
          <w:szCs w:val="22"/>
          <w:lang w:eastAsia="ja-JP"/>
        </w:rPr>
        <w:t xml:space="preserve">) 200 </w:t>
      </w:r>
      <w:proofErr w:type="spellStart"/>
      <w:r>
        <w:rPr>
          <w:sz w:val="20"/>
          <w:szCs w:val="22"/>
          <w:lang w:eastAsia="ja-JP"/>
        </w:rPr>
        <w:t>mikrog</w:t>
      </w:r>
      <w:proofErr w:type="spellEnd"/>
      <w:r>
        <w:rPr>
          <w:sz w:val="20"/>
          <w:szCs w:val="22"/>
          <w:lang w:eastAsia="ja-JP"/>
        </w:rPr>
        <w:t>).</w:t>
      </w:r>
    </w:p>
    <w:p w:rsidR="00A51E4B" w:rsidRDefault="00A51E4B" w:rsidP="00A51E4B"/>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165"/>
        <w:gridCol w:w="2082"/>
        <w:gridCol w:w="2785"/>
        <w:gridCol w:w="2590"/>
      </w:tblGrid>
      <w:tr w:rsidR="00A51E4B" w:rsidTr="00A51E4B">
        <w:trPr>
          <w:jc w:val="center"/>
        </w:trPr>
        <w:tc>
          <w:tcPr>
            <w:tcW w:w="5000" w:type="pct"/>
            <w:gridSpan w:val="4"/>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rPr>
                <w:b/>
              </w:rPr>
            </w:pPr>
            <w:r>
              <w:rPr>
                <w:b/>
              </w:rPr>
              <w:t xml:space="preserve">Mulige tilsætninger for 1000 ml </w:t>
            </w:r>
            <w:proofErr w:type="spellStart"/>
            <w:r>
              <w:rPr>
                <w:b/>
              </w:rPr>
              <w:t>Olimel</w:t>
            </w:r>
            <w:proofErr w:type="spellEnd"/>
            <w:r>
              <w:rPr>
                <w:b/>
              </w:rPr>
              <w:t xml:space="preserve"> N12E (for voksne)</w:t>
            </w:r>
          </w:p>
        </w:tc>
      </w:tr>
      <w:tr w:rsidR="00A51E4B" w:rsidTr="00A51E4B">
        <w:trPr>
          <w:jc w:val="center"/>
        </w:trPr>
        <w:tc>
          <w:tcPr>
            <w:tcW w:w="1125" w:type="pct"/>
            <w:tcBorders>
              <w:top w:val="single" w:sz="6" w:space="0" w:color="000000"/>
              <w:left w:val="single" w:sz="6" w:space="0" w:color="000000"/>
              <w:bottom w:val="single" w:sz="6" w:space="0" w:color="000000"/>
              <w:right w:val="single" w:sz="6" w:space="0" w:color="000000"/>
            </w:tcBorders>
          </w:tcPr>
          <w:p w:rsidR="00A51E4B" w:rsidRDefault="00A51E4B">
            <w:pPr>
              <w:pStyle w:val="TableCenter"/>
            </w:pPr>
          </w:p>
        </w:tc>
        <w:tc>
          <w:tcPr>
            <w:tcW w:w="1082"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Inkluderet niveau</w:t>
            </w:r>
          </w:p>
        </w:tc>
        <w:tc>
          <w:tcPr>
            <w:tcW w:w="1447"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Maksimal yderligere tilsætning</w:t>
            </w:r>
          </w:p>
        </w:tc>
        <w:tc>
          <w:tcPr>
            <w:tcW w:w="1346"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Maksimalt niveau i alt</w:t>
            </w:r>
          </w:p>
        </w:tc>
      </w:tr>
      <w:tr w:rsidR="00A51E4B" w:rsidTr="00A51E4B">
        <w:trPr>
          <w:jc w:val="center"/>
        </w:trPr>
        <w:tc>
          <w:tcPr>
            <w:tcW w:w="1125"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Natrium</w:t>
            </w:r>
          </w:p>
        </w:tc>
        <w:tc>
          <w:tcPr>
            <w:tcW w:w="1082"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35 mmol</w:t>
            </w:r>
          </w:p>
        </w:tc>
        <w:tc>
          <w:tcPr>
            <w:tcW w:w="1447"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115 mmol</w:t>
            </w:r>
          </w:p>
        </w:tc>
        <w:tc>
          <w:tcPr>
            <w:tcW w:w="1346"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150 mmol</w:t>
            </w:r>
          </w:p>
        </w:tc>
      </w:tr>
      <w:tr w:rsidR="00A51E4B" w:rsidTr="00A51E4B">
        <w:trPr>
          <w:jc w:val="center"/>
        </w:trPr>
        <w:tc>
          <w:tcPr>
            <w:tcW w:w="1125"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Kalium</w:t>
            </w:r>
          </w:p>
        </w:tc>
        <w:tc>
          <w:tcPr>
            <w:tcW w:w="1082"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30 mmol</w:t>
            </w:r>
          </w:p>
        </w:tc>
        <w:tc>
          <w:tcPr>
            <w:tcW w:w="1447"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120 mmol</w:t>
            </w:r>
          </w:p>
        </w:tc>
        <w:tc>
          <w:tcPr>
            <w:tcW w:w="1346"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150 mmol</w:t>
            </w:r>
          </w:p>
        </w:tc>
      </w:tr>
      <w:tr w:rsidR="00A51E4B" w:rsidTr="00A51E4B">
        <w:trPr>
          <w:jc w:val="center"/>
        </w:trPr>
        <w:tc>
          <w:tcPr>
            <w:tcW w:w="1125"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Magnesium</w:t>
            </w:r>
          </w:p>
        </w:tc>
        <w:tc>
          <w:tcPr>
            <w:tcW w:w="1082"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4,0 mmol</w:t>
            </w:r>
          </w:p>
        </w:tc>
        <w:tc>
          <w:tcPr>
            <w:tcW w:w="1447"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1,6 mmol</w:t>
            </w:r>
          </w:p>
        </w:tc>
        <w:tc>
          <w:tcPr>
            <w:tcW w:w="1346"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5,6 mmol</w:t>
            </w:r>
          </w:p>
        </w:tc>
      </w:tr>
      <w:tr w:rsidR="00A51E4B" w:rsidTr="00A51E4B">
        <w:trPr>
          <w:trHeight w:val="393"/>
          <w:jc w:val="center"/>
        </w:trPr>
        <w:tc>
          <w:tcPr>
            <w:tcW w:w="1125"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Calcium</w:t>
            </w:r>
          </w:p>
        </w:tc>
        <w:tc>
          <w:tcPr>
            <w:tcW w:w="1082"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3,5 mmol</w:t>
            </w:r>
          </w:p>
        </w:tc>
        <w:tc>
          <w:tcPr>
            <w:tcW w:w="1447"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1,5 mmol</w:t>
            </w:r>
          </w:p>
        </w:tc>
        <w:tc>
          <w:tcPr>
            <w:tcW w:w="1346"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5,0 mmol</w:t>
            </w:r>
          </w:p>
        </w:tc>
      </w:tr>
      <w:tr w:rsidR="00A51E4B" w:rsidTr="00A51E4B">
        <w:trPr>
          <w:jc w:val="center"/>
        </w:trPr>
        <w:tc>
          <w:tcPr>
            <w:tcW w:w="1125"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 xml:space="preserve">Uorganisk </w:t>
            </w:r>
            <w:proofErr w:type="spellStart"/>
            <w:r>
              <w:t>phosphat</w:t>
            </w:r>
            <w:proofErr w:type="spellEnd"/>
          </w:p>
        </w:tc>
        <w:tc>
          <w:tcPr>
            <w:tcW w:w="1082"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0 mmol</w:t>
            </w:r>
          </w:p>
        </w:tc>
        <w:tc>
          <w:tcPr>
            <w:tcW w:w="1447" w:type="pct"/>
            <w:vMerge w:val="restar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10 mmol Pi</w:t>
            </w:r>
          </w:p>
          <w:p w:rsidR="00A51E4B" w:rsidRDefault="00A51E4B">
            <w:pPr>
              <w:pStyle w:val="TableCenter"/>
            </w:pPr>
            <w:r>
              <w:t>eller</w:t>
            </w:r>
          </w:p>
          <w:p w:rsidR="00A51E4B" w:rsidRDefault="00A51E4B">
            <w:pPr>
              <w:pStyle w:val="TableCenter"/>
            </w:pPr>
            <w:r>
              <w:t xml:space="preserve">10 mmol </w:t>
            </w:r>
            <w:proofErr w:type="spellStart"/>
            <w:r>
              <w:t>Po</w:t>
            </w:r>
            <w:r>
              <w:rPr>
                <w:vertAlign w:val="superscript"/>
              </w:rPr>
              <w:t>b</w:t>
            </w:r>
            <w:proofErr w:type="spellEnd"/>
          </w:p>
        </w:tc>
        <w:tc>
          <w:tcPr>
            <w:tcW w:w="1346" w:type="pct"/>
            <w:vMerge w:val="restar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10 mmol Pi + 15 mmol Po</w:t>
            </w:r>
          </w:p>
          <w:p w:rsidR="00A51E4B" w:rsidRDefault="00A51E4B">
            <w:pPr>
              <w:pStyle w:val="TableCenter"/>
            </w:pPr>
            <w:r>
              <w:t>eller</w:t>
            </w:r>
          </w:p>
          <w:p w:rsidR="00A51E4B" w:rsidRDefault="00A51E4B">
            <w:pPr>
              <w:pStyle w:val="TableCenter"/>
              <w:rPr>
                <w:vertAlign w:val="superscript"/>
              </w:rPr>
            </w:pPr>
            <w:r>
              <w:t xml:space="preserve">25 mmol </w:t>
            </w:r>
            <w:proofErr w:type="spellStart"/>
            <w:r>
              <w:t>Po</w:t>
            </w:r>
            <w:r>
              <w:rPr>
                <w:vertAlign w:val="superscript"/>
              </w:rPr>
              <w:t>a</w:t>
            </w:r>
            <w:proofErr w:type="spellEnd"/>
            <w:r>
              <w:rPr>
                <w:vertAlign w:val="superscript"/>
              </w:rPr>
              <w:t xml:space="preserve">, b </w:t>
            </w:r>
          </w:p>
        </w:tc>
      </w:tr>
      <w:tr w:rsidR="00A51E4B" w:rsidTr="00A51E4B">
        <w:trPr>
          <w:jc w:val="center"/>
        </w:trPr>
        <w:tc>
          <w:tcPr>
            <w:tcW w:w="1125"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 xml:space="preserve">Organisk </w:t>
            </w:r>
            <w:proofErr w:type="spellStart"/>
            <w:r>
              <w:t>phosphat</w:t>
            </w:r>
            <w:proofErr w:type="spellEnd"/>
          </w:p>
        </w:tc>
        <w:tc>
          <w:tcPr>
            <w:tcW w:w="1082"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rPr>
                <w:vertAlign w:val="superscript"/>
              </w:rPr>
            </w:pPr>
            <w:r>
              <w:t xml:space="preserve">15 </w:t>
            </w:r>
            <w:proofErr w:type="spellStart"/>
            <w:r>
              <w:t>mmol</w:t>
            </w:r>
            <w:r>
              <w:rPr>
                <w:vertAlign w:val="superscript"/>
              </w:rPr>
              <w:t>a</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E4B" w:rsidRDefault="00A51E4B">
            <w:pPr>
              <w:rPr>
                <w:sz w:val="20"/>
                <w:lang w:eastAsia="ja-JP"/>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51E4B" w:rsidRDefault="00A51E4B">
            <w:pPr>
              <w:rPr>
                <w:sz w:val="20"/>
                <w:vertAlign w:val="superscript"/>
                <w:lang w:eastAsia="ja-JP"/>
              </w:rPr>
            </w:pPr>
          </w:p>
        </w:tc>
      </w:tr>
      <w:tr w:rsidR="00A51E4B" w:rsidTr="00A51E4B">
        <w:trPr>
          <w:jc w:val="center"/>
        </w:trPr>
        <w:tc>
          <w:tcPr>
            <w:tcW w:w="5000" w:type="pct"/>
            <w:gridSpan w:val="4"/>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rPr>
                <w:b/>
                <w:vertAlign w:val="superscript"/>
              </w:rPr>
            </w:pPr>
            <w:r>
              <w:rPr>
                <w:b/>
              </w:rPr>
              <w:t xml:space="preserve">Andre tilsætninger (sporstoffer, vitaminer, selen og </w:t>
            </w:r>
            <w:proofErr w:type="gramStart"/>
            <w:r>
              <w:rPr>
                <w:b/>
              </w:rPr>
              <w:t>zink)</w:t>
            </w:r>
            <w:r>
              <w:rPr>
                <w:b/>
                <w:vertAlign w:val="superscript"/>
              </w:rPr>
              <w:t>c</w:t>
            </w:r>
            <w:proofErr w:type="gramEnd"/>
          </w:p>
        </w:tc>
      </w:tr>
      <w:tr w:rsidR="00A51E4B" w:rsidTr="00A51E4B">
        <w:trPr>
          <w:trHeight w:val="476"/>
          <w:jc w:val="center"/>
        </w:trPr>
        <w:tc>
          <w:tcPr>
            <w:tcW w:w="1125"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 xml:space="preserve">Sporstoffer – </w:t>
            </w:r>
            <w:proofErr w:type="spellStart"/>
            <w:r>
              <w:t>Nutryelt</w:t>
            </w:r>
            <w:r>
              <w:rPr>
                <w:vertAlign w:val="superscript"/>
              </w:rPr>
              <w:t>d</w:t>
            </w:r>
            <w:proofErr w:type="spellEnd"/>
          </w:p>
        </w:tc>
        <w:tc>
          <w:tcPr>
            <w:tcW w:w="3875" w:type="pct"/>
            <w:gridSpan w:val="3"/>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2 ampuller pr. pose (10 ml koncentreret opløsning)</w:t>
            </w:r>
          </w:p>
        </w:tc>
      </w:tr>
      <w:tr w:rsidR="00A51E4B" w:rsidTr="00A51E4B">
        <w:trPr>
          <w:jc w:val="center"/>
        </w:trPr>
        <w:tc>
          <w:tcPr>
            <w:tcW w:w="1125"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 xml:space="preserve">Vitaminer – </w:t>
            </w:r>
            <w:proofErr w:type="spellStart"/>
            <w:r>
              <w:t>Cernevit</w:t>
            </w:r>
            <w:r>
              <w:rPr>
                <w:vertAlign w:val="superscript"/>
              </w:rPr>
              <w:t>e</w:t>
            </w:r>
            <w:proofErr w:type="spellEnd"/>
          </w:p>
        </w:tc>
        <w:tc>
          <w:tcPr>
            <w:tcW w:w="3875" w:type="pct"/>
            <w:gridSpan w:val="3"/>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 xml:space="preserve">1 hætteglas (5 ml </w:t>
            </w:r>
            <w:proofErr w:type="spellStart"/>
            <w:r>
              <w:t>lyofilisat</w:t>
            </w:r>
            <w:proofErr w:type="spellEnd"/>
            <w:r>
              <w:t>)</w:t>
            </w:r>
          </w:p>
        </w:tc>
      </w:tr>
      <w:tr w:rsidR="00A51E4B" w:rsidTr="00A51E4B">
        <w:trPr>
          <w:jc w:val="center"/>
        </w:trPr>
        <w:tc>
          <w:tcPr>
            <w:tcW w:w="1125"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Selen</w:t>
            </w:r>
          </w:p>
        </w:tc>
        <w:tc>
          <w:tcPr>
            <w:tcW w:w="3875" w:type="pct"/>
            <w:gridSpan w:val="3"/>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500 </w:t>
            </w:r>
            <w:proofErr w:type="spellStart"/>
            <w:r>
              <w:t>mikrog</w:t>
            </w:r>
            <w:proofErr w:type="spellEnd"/>
            <w:r>
              <w:t xml:space="preserve"> pr. pose</w:t>
            </w:r>
          </w:p>
        </w:tc>
      </w:tr>
      <w:tr w:rsidR="00A51E4B" w:rsidTr="00A51E4B">
        <w:trPr>
          <w:jc w:val="center"/>
        </w:trPr>
        <w:tc>
          <w:tcPr>
            <w:tcW w:w="1125" w:type="pct"/>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Zink</w:t>
            </w:r>
          </w:p>
        </w:tc>
        <w:tc>
          <w:tcPr>
            <w:tcW w:w="3875" w:type="pct"/>
            <w:gridSpan w:val="3"/>
            <w:tcBorders>
              <w:top w:val="single" w:sz="6" w:space="0" w:color="000000"/>
              <w:left w:val="single" w:sz="6" w:space="0" w:color="000000"/>
              <w:bottom w:val="single" w:sz="6" w:space="0" w:color="000000"/>
              <w:right w:val="single" w:sz="6" w:space="0" w:color="000000"/>
            </w:tcBorders>
            <w:hideMark/>
          </w:tcPr>
          <w:p w:rsidR="00A51E4B" w:rsidRDefault="00A51E4B">
            <w:pPr>
              <w:pStyle w:val="TableCenter"/>
            </w:pPr>
            <w:r>
              <w:t>20 mg pr. pose</w:t>
            </w:r>
          </w:p>
        </w:tc>
      </w:tr>
    </w:tbl>
    <w:p w:rsidR="00A51E4B" w:rsidRDefault="00A51E4B" w:rsidP="00A51E4B">
      <w:pPr>
        <w:pStyle w:val="TableFootnoteLetter"/>
        <w:numPr>
          <w:ilvl w:val="0"/>
          <w:numId w:val="23"/>
        </w:numPr>
        <w:tabs>
          <w:tab w:val="clear" w:pos="115"/>
          <w:tab w:val="left" w:pos="1304"/>
        </w:tabs>
        <w:spacing w:before="0" w:after="0"/>
        <w:ind w:left="284" w:hanging="284"/>
        <w:rPr>
          <w:szCs w:val="22"/>
        </w:rPr>
      </w:pPr>
      <w:bookmarkStart w:id="17" w:name="_Ref495667160"/>
      <w:r>
        <w:rPr>
          <w:szCs w:val="22"/>
        </w:rPr>
        <w:t xml:space="preserve">Inkl. </w:t>
      </w:r>
      <w:proofErr w:type="spellStart"/>
      <w:r>
        <w:rPr>
          <w:szCs w:val="22"/>
        </w:rPr>
        <w:t>phosphat</w:t>
      </w:r>
      <w:proofErr w:type="spellEnd"/>
      <w:r>
        <w:rPr>
          <w:szCs w:val="22"/>
        </w:rPr>
        <w:t xml:space="preserve"> fra fedtemulsionen</w:t>
      </w:r>
      <w:bookmarkEnd w:id="17"/>
      <w:r>
        <w:rPr>
          <w:szCs w:val="22"/>
        </w:rPr>
        <w:t>.</w:t>
      </w:r>
    </w:p>
    <w:p w:rsidR="00A51E4B" w:rsidRDefault="00A51E4B" w:rsidP="00A51E4B">
      <w:pPr>
        <w:pStyle w:val="TableFootnoteLetter"/>
        <w:numPr>
          <w:ilvl w:val="0"/>
          <w:numId w:val="23"/>
        </w:numPr>
        <w:tabs>
          <w:tab w:val="clear" w:pos="115"/>
          <w:tab w:val="left" w:pos="1304"/>
        </w:tabs>
        <w:spacing w:before="0" w:after="0"/>
        <w:ind w:left="284" w:hanging="284"/>
        <w:rPr>
          <w:szCs w:val="22"/>
        </w:rPr>
      </w:pPr>
      <w:bookmarkStart w:id="18" w:name="_Ref495667173"/>
      <w:r>
        <w:rPr>
          <w:szCs w:val="22"/>
        </w:rPr>
        <w:t xml:space="preserve">Pi = Uorganisk </w:t>
      </w:r>
      <w:proofErr w:type="spellStart"/>
      <w:r>
        <w:rPr>
          <w:szCs w:val="22"/>
        </w:rPr>
        <w:t>phosphat</w:t>
      </w:r>
      <w:proofErr w:type="spellEnd"/>
      <w:r>
        <w:rPr>
          <w:szCs w:val="22"/>
        </w:rPr>
        <w:t xml:space="preserve">; Po = Organisk </w:t>
      </w:r>
      <w:proofErr w:type="spellStart"/>
      <w:r>
        <w:rPr>
          <w:szCs w:val="22"/>
        </w:rPr>
        <w:t>phosphat</w:t>
      </w:r>
      <w:proofErr w:type="spellEnd"/>
      <w:r>
        <w:rPr>
          <w:szCs w:val="22"/>
        </w:rPr>
        <w:t>.</w:t>
      </w:r>
    </w:p>
    <w:p w:rsidR="00A51E4B" w:rsidRDefault="00A51E4B" w:rsidP="00A51E4B">
      <w:pPr>
        <w:numPr>
          <w:ilvl w:val="0"/>
          <w:numId w:val="23"/>
        </w:numPr>
        <w:tabs>
          <w:tab w:val="clear" w:pos="115"/>
          <w:tab w:val="left" w:pos="567"/>
        </w:tabs>
        <w:spacing w:line="260" w:lineRule="exact"/>
        <w:ind w:left="284" w:hanging="284"/>
        <w:rPr>
          <w:sz w:val="20"/>
          <w:szCs w:val="22"/>
          <w:lang w:eastAsia="ja-JP"/>
        </w:rPr>
      </w:pPr>
      <w:r>
        <w:rPr>
          <w:sz w:val="20"/>
          <w:szCs w:val="22"/>
          <w:lang w:eastAsia="ja-JP"/>
        </w:rPr>
        <w:t>For alle posestørrelser kan tilsætningen af sporstoffer, vitaminer, selen og zink være den samme som for 1000 ml poser.</w:t>
      </w:r>
    </w:p>
    <w:bookmarkEnd w:id="18"/>
    <w:p w:rsidR="00A51E4B" w:rsidRDefault="00A51E4B" w:rsidP="00A51E4B">
      <w:pPr>
        <w:pStyle w:val="TableFootnoteLetter"/>
        <w:numPr>
          <w:ilvl w:val="0"/>
          <w:numId w:val="23"/>
        </w:numPr>
        <w:tabs>
          <w:tab w:val="clear" w:pos="115"/>
          <w:tab w:val="left" w:pos="851"/>
        </w:tabs>
        <w:spacing w:before="0" w:after="0"/>
        <w:ind w:left="284" w:hanging="284"/>
        <w:rPr>
          <w:szCs w:val="22"/>
        </w:rPr>
      </w:pPr>
      <w:proofErr w:type="spellStart"/>
      <w:r>
        <w:rPr>
          <w:szCs w:val="22"/>
        </w:rPr>
        <w:t>Nutryelt</w:t>
      </w:r>
      <w:proofErr w:type="spellEnd"/>
      <w:r>
        <w:rPr>
          <w:szCs w:val="22"/>
        </w:rPr>
        <w:t xml:space="preserve"> (sammensætning pr. ampul: zink 153 mikromol; kobber 4,7 mikromol; mangan 1,0 mikromol; </w:t>
      </w:r>
      <w:proofErr w:type="spellStart"/>
      <w:r>
        <w:rPr>
          <w:szCs w:val="22"/>
        </w:rPr>
        <w:t>fluorin</w:t>
      </w:r>
      <w:proofErr w:type="spellEnd"/>
      <w:r>
        <w:rPr>
          <w:szCs w:val="22"/>
        </w:rPr>
        <w:t xml:space="preserve"> 50 </w:t>
      </w:r>
      <w:proofErr w:type="spellStart"/>
      <w:r>
        <w:rPr>
          <w:szCs w:val="22"/>
        </w:rPr>
        <w:t>mikrool</w:t>
      </w:r>
      <w:proofErr w:type="spellEnd"/>
      <w:r>
        <w:rPr>
          <w:szCs w:val="22"/>
        </w:rPr>
        <w:t xml:space="preserve">; jod 1,0 mikromol; selen 0,9 mikromol; molybdæn 0,21 mikromol; </w:t>
      </w:r>
      <w:proofErr w:type="spellStart"/>
      <w:r>
        <w:rPr>
          <w:szCs w:val="22"/>
        </w:rPr>
        <w:t>chrom</w:t>
      </w:r>
      <w:proofErr w:type="spellEnd"/>
      <w:r>
        <w:rPr>
          <w:szCs w:val="22"/>
        </w:rPr>
        <w:t xml:space="preserve"> 0,19 mikromol; jern 18 mikromol).</w:t>
      </w:r>
    </w:p>
    <w:p w:rsidR="00A51E4B" w:rsidRPr="00A51E4B" w:rsidRDefault="00A51E4B" w:rsidP="00A51E4B">
      <w:pPr>
        <w:pStyle w:val="TableFootnoteLetter"/>
        <w:numPr>
          <w:ilvl w:val="0"/>
          <w:numId w:val="23"/>
        </w:numPr>
        <w:tabs>
          <w:tab w:val="clear" w:pos="115"/>
          <w:tab w:val="left" w:pos="851"/>
        </w:tabs>
        <w:spacing w:before="0" w:after="0"/>
        <w:ind w:left="284" w:hanging="284"/>
        <w:rPr>
          <w:szCs w:val="22"/>
        </w:rPr>
      </w:pPr>
      <w:proofErr w:type="spellStart"/>
      <w:r>
        <w:rPr>
          <w:szCs w:val="22"/>
        </w:rPr>
        <w:t>Cernevit</w:t>
      </w:r>
      <w:proofErr w:type="spellEnd"/>
      <w:r>
        <w:rPr>
          <w:szCs w:val="22"/>
        </w:rPr>
        <w:t xml:space="preserve"> (sammensætning pr. hætteglas: </w:t>
      </w:r>
      <w:proofErr w:type="spellStart"/>
      <w:r>
        <w:rPr>
          <w:szCs w:val="22"/>
        </w:rPr>
        <w:t>vit</w:t>
      </w:r>
      <w:proofErr w:type="spellEnd"/>
      <w:r>
        <w:rPr>
          <w:szCs w:val="22"/>
        </w:rPr>
        <w:t xml:space="preserve">. A (som </w:t>
      </w:r>
      <w:proofErr w:type="spellStart"/>
      <w:r>
        <w:rPr>
          <w:szCs w:val="22"/>
        </w:rPr>
        <w:t>retinolpalmitat</w:t>
      </w:r>
      <w:proofErr w:type="spellEnd"/>
      <w:r>
        <w:rPr>
          <w:szCs w:val="22"/>
        </w:rPr>
        <w:t xml:space="preserve">) 3500 IE, </w:t>
      </w:r>
      <w:proofErr w:type="spellStart"/>
      <w:r>
        <w:rPr>
          <w:szCs w:val="22"/>
        </w:rPr>
        <w:t>vit</w:t>
      </w:r>
      <w:proofErr w:type="spellEnd"/>
      <w:r>
        <w:rPr>
          <w:szCs w:val="22"/>
        </w:rPr>
        <w:t xml:space="preserve">. </w:t>
      </w:r>
      <w:r w:rsidRPr="00EC1C49">
        <w:rPr>
          <w:szCs w:val="22"/>
          <w:lang w:val="en-US"/>
        </w:rPr>
        <w:t>D</w:t>
      </w:r>
      <w:r w:rsidRPr="00EC1C49">
        <w:rPr>
          <w:szCs w:val="22"/>
          <w:vertAlign w:val="subscript"/>
          <w:lang w:val="en-US"/>
        </w:rPr>
        <w:t>3</w:t>
      </w:r>
      <w:r w:rsidRPr="00EC1C49">
        <w:rPr>
          <w:szCs w:val="22"/>
          <w:lang w:val="en-US"/>
        </w:rPr>
        <w:t xml:space="preserve"> (cholecalciferol) 220 IE, vit. E (alfa-tocopherol) 11,2 IE, vit. C (</w:t>
      </w:r>
      <w:proofErr w:type="spellStart"/>
      <w:r w:rsidRPr="00EC1C49">
        <w:rPr>
          <w:szCs w:val="22"/>
          <w:lang w:val="en-US"/>
        </w:rPr>
        <w:t>ascorbinsyre</w:t>
      </w:r>
      <w:proofErr w:type="spellEnd"/>
      <w:r w:rsidRPr="00EC1C49">
        <w:rPr>
          <w:szCs w:val="22"/>
          <w:lang w:val="en-US"/>
        </w:rPr>
        <w:t>) 125 mg, vit. B</w:t>
      </w:r>
      <w:r w:rsidRPr="00EC1C49">
        <w:rPr>
          <w:szCs w:val="22"/>
          <w:vertAlign w:val="subscript"/>
          <w:lang w:val="en-US"/>
        </w:rPr>
        <w:t>1</w:t>
      </w:r>
      <w:r w:rsidRPr="00EC1C49">
        <w:rPr>
          <w:szCs w:val="22"/>
          <w:lang w:val="en-US"/>
        </w:rPr>
        <w:t xml:space="preserve"> (thiamin) 3,51 mg, vit. B</w:t>
      </w:r>
      <w:r w:rsidRPr="00EC1C49">
        <w:rPr>
          <w:szCs w:val="22"/>
          <w:vertAlign w:val="subscript"/>
          <w:lang w:val="en-US"/>
        </w:rPr>
        <w:t>2</w:t>
      </w:r>
      <w:r w:rsidRPr="00EC1C49">
        <w:rPr>
          <w:szCs w:val="22"/>
          <w:lang w:val="en-US"/>
        </w:rPr>
        <w:t xml:space="preserve"> (riboflavin) 4,14 mg, vit. B</w:t>
      </w:r>
      <w:r w:rsidRPr="00EC1C49">
        <w:rPr>
          <w:szCs w:val="22"/>
          <w:vertAlign w:val="subscript"/>
          <w:lang w:val="en-US"/>
        </w:rPr>
        <w:t>6</w:t>
      </w:r>
      <w:r w:rsidRPr="00EC1C49">
        <w:rPr>
          <w:szCs w:val="22"/>
          <w:lang w:val="en-US"/>
        </w:rPr>
        <w:t xml:space="preserve"> (</w:t>
      </w:r>
      <w:proofErr w:type="spellStart"/>
      <w:r w:rsidRPr="00EC1C49">
        <w:rPr>
          <w:szCs w:val="22"/>
          <w:lang w:val="en-US"/>
        </w:rPr>
        <w:t>pyridoksin</w:t>
      </w:r>
      <w:proofErr w:type="spellEnd"/>
      <w:r w:rsidRPr="00EC1C49">
        <w:rPr>
          <w:szCs w:val="22"/>
          <w:lang w:val="en-US"/>
        </w:rPr>
        <w:t xml:space="preserve">) 4,53 mg, vit. </w:t>
      </w:r>
      <w:r w:rsidRPr="00A51E4B">
        <w:rPr>
          <w:szCs w:val="22"/>
        </w:rPr>
        <w:t>B</w:t>
      </w:r>
      <w:r w:rsidRPr="00A51E4B">
        <w:rPr>
          <w:szCs w:val="22"/>
          <w:vertAlign w:val="subscript"/>
        </w:rPr>
        <w:t>12</w:t>
      </w:r>
      <w:r w:rsidRPr="00A51E4B">
        <w:rPr>
          <w:szCs w:val="22"/>
        </w:rPr>
        <w:t xml:space="preserve"> (</w:t>
      </w:r>
      <w:proofErr w:type="spellStart"/>
      <w:r w:rsidRPr="00A51E4B">
        <w:rPr>
          <w:szCs w:val="22"/>
        </w:rPr>
        <w:t>cyanocobalamin</w:t>
      </w:r>
      <w:proofErr w:type="spellEnd"/>
      <w:r w:rsidRPr="00A51E4B">
        <w:rPr>
          <w:szCs w:val="22"/>
        </w:rPr>
        <w:t xml:space="preserve">) 6 </w:t>
      </w:r>
      <w:proofErr w:type="spellStart"/>
      <w:r w:rsidRPr="00A51E4B">
        <w:rPr>
          <w:szCs w:val="22"/>
        </w:rPr>
        <w:t>mikrog</w:t>
      </w:r>
      <w:proofErr w:type="spellEnd"/>
      <w:r w:rsidRPr="00A51E4B">
        <w:rPr>
          <w:szCs w:val="22"/>
        </w:rPr>
        <w:t xml:space="preserve">, </w:t>
      </w:r>
      <w:proofErr w:type="spellStart"/>
      <w:r w:rsidRPr="00A51E4B">
        <w:rPr>
          <w:szCs w:val="22"/>
        </w:rPr>
        <w:t>vit</w:t>
      </w:r>
      <w:proofErr w:type="spellEnd"/>
      <w:r w:rsidRPr="00A51E4B">
        <w:rPr>
          <w:szCs w:val="22"/>
        </w:rPr>
        <w:t>. B</w:t>
      </w:r>
      <w:r w:rsidRPr="00A51E4B">
        <w:rPr>
          <w:szCs w:val="22"/>
          <w:vertAlign w:val="subscript"/>
        </w:rPr>
        <w:t>9</w:t>
      </w:r>
      <w:r w:rsidRPr="00A51E4B">
        <w:rPr>
          <w:szCs w:val="22"/>
        </w:rPr>
        <w:t xml:space="preserve"> (</w:t>
      </w:r>
      <w:proofErr w:type="spellStart"/>
      <w:r w:rsidRPr="00A51E4B">
        <w:rPr>
          <w:szCs w:val="22"/>
        </w:rPr>
        <w:t>folsyre</w:t>
      </w:r>
      <w:proofErr w:type="spellEnd"/>
      <w:r w:rsidRPr="00A51E4B">
        <w:rPr>
          <w:szCs w:val="22"/>
        </w:rPr>
        <w:t>) 414 </w:t>
      </w:r>
      <w:proofErr w:type="spellStart"/>
      <w:r w:rsidRPr="00A51E4B">
        <w:rPr>
          <w:szCs w:val="22"/>
        </w:rPr>
        <w:t>mikrog</w:t>
      </w:r>
      <w:proofErr w:type="spellEnd"/>
      <w:r w:rsidRPr="00A51E4B">
        <w:rPr>
          <w:szCs w:val="22"/>
        </w:rPr>
        <w:t xml:space="preserve">, </w:t>
      </w:r>
      <w:proofErr w:type="spellStart"/>
      <w:r w:rsidRPr="00A51E4B">
        <w:rPr>
          <w:szCs w:val="22"/>
        </w:rPr>
        <w:t>vit</w:t>
      </w:r>
      <w:proofErr w:type="spellEnd"/>
      <w:r w:rsidRPr="00A51E4B">
        <w:rPr>
          <w:szCs w:val="22"/>
        </w:rPr>
        <w:t>. B</w:t>
      </w:r>
      <w:r w:rsidRPr="00A51E4B">
        <w:rPr>
          <w:szCs w:val="22"/>
          <w:vertAlign w:val="subscript"/>
        </w:rPr>
        <w:t>5</w:t>
      </w:r>
      <w:r w:rsidRPr="00A51E4B">
        <w:rPr>
          <w:szCs w:val="22"/>
        </w:rPr>
        <w:t xml:space="preserve"> (</w:t>
      </w:r>
      <w:proofErr w:type="spellStart"/>
      <w:r w:rsidRPr="00A51E4B">
        <w:rPr>
          <w:szCs w:val="22"/>
        </w:rPr>
        <w:t>pantotensyre</w:t>
      </w:r>
      <w:proofErr w:type="spellEnd"/>
      <w:r w:rsidRPr="00A51E4B">
        <w:rPr>
          <w:szCs w:val="22"/>
        </w:rPr>
        <w:t xml:space="preserve">) 17,25 mg, </w:t>
      </w:r>
      <w:proofErr w:type="spellStart"/>
      <w:r w:rsidRPr="00A51E4B">
        <w:rPr>
          <w:szCs w:val="22"/>
        </w:rPr>
        <w:t>vit</w:t>
      </w:r>
      <w:proofErr w:type="spellEnd"/>
      <w:r w:rsidRPr="00A51E4B">
        <w:rPr>
          <w:szCs w:val="22"/>
        </w:rPr>
        <w:t>. B</w:t>
      </w:r>
      <w:r w:rsidRPr="00A51E4B">
        <w:rPr>
          <w:szCs w:val="22"/>
          <w:vertAlign w:val="subscript"/>
        </w:rPr>
        <w:t>8</w:t>
      </w:r>
      <w:r w:rsidRPr="00A51E4B">
        <w:rPr>
          <w:szCs w:val="22"/>
        </w:rPr>
        <w:t xml:space="preserve"> (biotin) 69 </w:t>
      </w:r>
      <w:proofErr w:type="spellStart"/>
      <w:r w:rsidRPr="00A51E4B">
        <w:rPr>
          <w:szCs w:val="22"/>
        </w:rPr>
        <w:t>mikrog</w:t>
      </w:r>
      <w:proofErr w:type="spellEnd"/>
      <w:r w:rsidRPr="00A51E4B">
        <w:rPr>
          <w:szCs w:val="22"/>
        </w:rPr>
        <w:t xml:space="preserve">, </w:t>
      </w:r>
      <w:proofErr w:type="spellStart"/>
      <w:r w:rsidRPr="00A51E4B">
        <w:rPr>
          <w:szCs w:val="22"/>
        </w:rPr>
        <w:t>vit</w:t>
      </w:r>
      <w:proofErr w:type="spellEnd"/>
      <w:r w:rsidRPr="00A51E4B">
        <w:rPr>
          <w:szCs w:val="22"/>
        </w:rPr>
        <w:t>. PP (</w:t>
      </w:r>
      <w:proofErr w:type="spellStart"/>
      <w:r w:rsidRPr="00A51E4B">
        <w:rPr>
          <w:szCs w:val="22"/>
        </w:rPr>
        <w:t>nicotinamid</w:t>
      </w:r>
      <w:proofErr w:type="spellEnd"/>
      <w:r w:rsidRPr="00A51E4B">
        <w:rPr>
          <w:szCs w:val="22"/>
        </w:rPr>
        <w:t>) 46 mg).</w:t>
      </w:r>
    </w:p>
    <w:p w:rsidR="00A51E4B" w:rsidRPr="00A51E4B" w:rsidRDefault="00A51E4B" w:rsidP="00A51E4B">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Sådan foretages en tilsætning:</w:t>
      </w:r>
    </w:p>
    <w:p w:rsidR="00AC3FAE" w:rsidRPr="005F7D4D" w:rsidRDefault="00AC3FAE" w:rsidP="00AC3FAE">
      <w:pPr>
        <w:tabs>
          <w:tab w:val="left" w:pos="851"/>
        </w:tabs>
        <w:ind w:left="851"/>
        <w:rPr>
          <w:sz w:val="24"/>
          <w:szCs w:val="24"/>
        </w:rPr>
      </w:pPr>
    </w:p>
    <w:p w:rsidR="00AC3FAE" w:rsidRPr="005F7D4D" w:rsidRDefault="00AC3FAE" w:rsidP="00AC3FAE">
      <w:pPr>
        <w:numPr>
          <w:ilvl w:val="0"/>
          <w:numId w:val="21"/>
        </w:numPr>
        <w:rPr>
          <w:sz w:val="24"/>
          <w:szCs w:val="24"/>
        </w:rPr>
      </w:pPr>
      <w:r w:rsidRPr="005F7D4D">
        <w:rPr>
          <w:sz w:val="24"/>
          <w:szCs w:val="24"/>
        </w:rPr>
        <w:t>Anvend aseptisk teknik.</w:t>
      </w:r>
    </w:p>
    <w:p w:rsidR="00AC3FAE" w:rsidRPr="005F7D4D" w:rsidRDefault="00AC3FAE" w:rsidP="00AC3FAE">
      <w:pPr>
        <w:numPr>
          <w:ilvl w:val="0"/>
          <w:numId w:val="21"/>
        </w:numPr>
        <w:rPr>
          <w:sz w:val="24"/>
          <w:szCs w:val="24"/>
        </w:rPr>
      </w:pPr>
      <w:r w:rsidRPr="005F7D4D">
        <w:rPr>
          <w:sz w:val="24"/>
          <w:szCs w:val="24"/>
        </w:rPr>
        <w:t>Klargør posens injektionssted.</w:t>
      </w:r>
    </w:p>
    <w:p w:rsidR="00AC3FAE" w:rsidRPr="005F7D4D" w:rsidRDefault="00AC3FAE" w:rsidP="00AC3FAE">
      <w:pPr>
        <w:numPr>
          <w:ilvl w:val="0"/>
          <w:numId w:val="21"/>
        </w:numPr>
        <w:rPr>
          <w:sz w:val="24"/>
          <w:szCs w:val="24"/>
        </w:rPr>
      </w:pPr>
      <w:r w:rsidRPr="005F7D4D">
        <w:rPr>
          <w:sz w:val="24"/>
          <w:szCs w:val="24"/>
        </w:rPr>
        <w:t xml:space="preserve">Punktér injektionsstedet, og injicer additiverne ved hjælp af en injektionsnål eller et </w:t>
      </w:r>
      <w:proofErr w:type="spellStart"/>
      <w:r w:rsidRPr="005F7D4D">
        <w:rPr>
          <w:sz w:val="24"/>
          <w:szCs w:val="24"/>
        </w:rPr>
        <w:t>rekonstitutionsudstyr</w:t>
      </w:r>
      <w:proofErr w:type="spellEnd"/>
      <w:r w:rsidRPr="005F7D4D">
        <w:rPr>
          <w:sz w:val="24"/>
          <w:szCs w:val="24"/>
        </w:rPr>
        <w:t>.</w:t>
      </w:r>
    </w:p>
    <w:p w:rsidR="00AC3FAE" w:rsidRPr="005F7D4D" w:rsidRDefault="00AC3FAE" w:rsidP="00AC3FAE">
      <w:pPr>
        <w:numPr>
          <w:ilvl w:val="0"/>
          <w:numId w:val="21"/>
        </w:numPr>
        <w:rPr>
          <w:sz w:val="24"/>
          <w:szCs w:val="24"/>
        </w:rPr>
      </w:pPr>
      <w:r w:rsidRPr="005F7D4D">
        <w:rPr>
          <w:sz w:val="24"/>
          <w:szCs w:val="24"/>
        </w:rPr>
        <w:t>Bland posens indhold med additiverne.</w:t>
      </w:r>
    </w:p>
    <w:p w:rsidR="00AC3FAE" w:rsidRPr="005F7D4D" w:rsidRDefault="00AC3FAE" w:rsidP="00AC3FAE">
      <w:pPr>
        <w:tabs>
          <w:tab w:val="left" w:pos="851"/>
        </w:tabs>
        <w:ind w:left="851"/>
        <w:rPr>
          <w:b/>
          <w:bCs/>
          <w:sz w:val="24"/>
          <w:szCs w:val="24"/>
        </w:rPr>
      </w:pPr>
      <w:bookmarkStart w:id="19" w:name="_ISIW_UH_35"/>
    </w:p>
    <w:p w:rsidR="00AC3FAE" w:rsidRPr="005F7D4D" w:rsidRDefault="00AC3FAE" w:rsidP="00AC3FAE">
      <w:pPr>
        <w:tabs>
          <w:tab w:val="left" w:pos="851"/>
        </w:tabs>
        <w:ind w:left="851"/>
        <w:rPr>
          <w:b/>
          <w:bCs/>
          <w:sz w:val="24"/>
          <w:szCs w:val="24"/>
        </w:rPr>
      </w:pPr>
      <w:r w:rsidRPr="005F7D4D">
        <w:rPr>
          <w:b/>
          <w:bCs/>
          <w:sz w:val="24"/>
          <w:szCs w:val="24"/>
        </w:rPr>
        <w:t>Forberedelse af infusionen</w:t>
      </w:r>
    </w:p>
    <w:bookmarkEnd w:id="19"/>
    <w:p w:rsidR="00AC3FAE" w:rsidRPr="005F7D4D" w:rsidRDefault="00AC3FAE" w:rsidP="00AC3FAE">
      <w:pPr>
        <w:tabs>
          <w:tab w:val="left" w:pos="851"/>
        </w:tabs>
        <w:ind w:left="851"/>
        <w:rPr>
          <w:sz w:val="24"/>
          <w:szCs w:val="24"/>
        </w:rPr>
      </w:pPr>
      <w:r w:rsidRPr="005F7D4D">
        <w:rPr>
          <w:sz w:val="24"/>
          <w:szCs w:val="24"/>
        </w:rPr>
        <w:t>Anvend aseptisk teknik.</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Hæng posen op.</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Fjern plastbeskyttelsen fra indgivelsesporten.</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Sæt infusionssættets spyd godt fast i indgivelsesporten.</w:t>
      </w:r>
    </w:p>
    <w:p w:rsidR="00AC3FAE" w:rsidRPr="005F7D4D" w:rsidRDefault="00AC3FAE" w:rsidP="00AC3FAE">
      <w:pPr>
        <w:tabs>
          <w:tab w:val="left" w:pos="851"/>
        </w:tabs>
        <w:ind w:left="851"/>
        <w:rPr>
          <w:b/>
          <w:bCs/>
          <w:sz w:val="24"/>
          <w:szCs w:val="24"/>
        </w:rPr>
      </w:pPr>
      <w:bookmarkStart w:id="20" w:name="_ISIW_UH_36"/>
    </w:p>
    <w:p w:rsidR="00AC3FAE" w:rsidRPr="005F7D4D" w:rsidRDefault="00AC3FAE" w:rsidP="00AC3FAE">
      <w:pPr>
        <w:tabs>
          <w:tab w:val="left" w:pos="851"/>
        </w:tabs>
        <w:ind w:left="851"/>
        <w:rPr>
          <w:b/>
          <w:bCs/>
          <w:sz w:val="24"/>
          <w:szCs w:val="24"/>
        </w:rPr>
      </w:pPr>
      <w:r w:rsidRPr="005F7D4D">
        <w:rPr>
          <w:b/>
          <w:bCs/>
          <w:sz w:val="24"/>
          <w:szCs w:val="24"/>
        </w:rPr>
        <w:t>Indgivelse</w:t>
      </w:r>
    </w:p>
    <w:bookmarkEnd w:id="20"/>
    <w:p w:rsidR="00AC3FAE" w:rsidRPr="005F7D4D" w:rsidRDefault="00AC3FAE" w:rsidP="00AC3FAE">
      <w:pPr>
        <w:tabs>
          <w:tab w:val="left" w:pos="851"/>
        </w:tabs>
        <w:ind w:left="851"/>
        <w:rPr>
          <w:sz w:val="24"/>
          <w:szCs w:val="24"/>
        </w:rPr>
      </w:pPr>
      <w:r w:rsidRPr="005F7D4D">
        <w:rPr>
          <w:sz w:val="24"/>
          <w:szCs w:val="24"/>
        </w:rPr>
        <w:t>Udelukkende til engangsbrug.</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lastRenderedPageBreak/>
        <w:t>Produktet må kun indgives, efter at de ikke-permanente forseglinger mellem de tre kamre er blevet åbnet og indholdet af de tre kamre blandet.</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Kontrollér, at den endelige infusionsemulsion ikke viser tegn på faseadskillelse.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Når posen er åbnet, skal indholdet anvendes straks. Den åbne pose må aldrig opbevares til senere infusion. En delvist brugt pose må ikke tilkobles.</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 xml:space="preserve">Poser må ikke serieforbindes, da dette kan medføre </w:t>
      </w:r>
      <w:proofErr w:type="spellStart"/>
      <w:r w:rsidRPr="005F7D4D">
        <w:rPr>
          <w:sz w:val="24"/>
          <w:szCs w:val="24"/>
        </w:rPr>
        <w:t>luftemboli</w:t>
      </w:r>
      <w:proofErr w:type="spellEnd"/>
      <w:r w:rsidRPr="005F7D4D">
        <w:rPr>
          <w:sz w:val="24"/>
          <w:szCs w:val="24"/>
        </w:rPr>
        <w:t xml:space="preserve"> på grund af luften i den primære pose.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rPr>
          <w:sz w:val="24"/>
          <w:szCs w:val="24"/>
        </w:rPr>
      </w:pPr>
      <w:r w:rsidRPr="005F7D4D">
        <w:rPr>
          <w:sz w:val="24"/>
          <w:szCs w:val="24"/>
        </w:rPr>
        <w:t>Ikke anvendt lægemiddel samt affald heraf skal bortskaffes i henhold til lokale retningslinjer.</w:t>
      </w:r>
    </w:p>
    <w:p w:rsidR="00AC3FAE" w:rsidRPr="005F7D4D" w:rsidRDefault="00AC3FAE" w:rsidP="00AC3FAE">
      <w:pPr>
        <w:tabs>
          <w:tab w:val="left" w:pos="851"/>
        </w:tabs>
        <w:ind w:left="851"/>
        <w:jc w:val="both"/>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7.</w:t>
      </w:r>
      <w:r w:rsidRPr="005F7D4D">
        <w:rPr>
          <w:b/>
          <w:sz w:val="24"/>
          <w:szCs w:val="24"/>
        </w:rPr>
        <w:tab/>
        <w:t>INDEHAVER AF MARKEDSFØRINGSTILLADELSEN</w:t>
      </w:r>
    </w:p>
    <w:p w:rsidR="00AC3FAE" w:rsidRPr="005F7D4D" w:rsidRDefault="00AC3FAE" w:rsidP="00AC3FAE">
      <w:pPr>
        <w:tabs>
          <w:tab w:val="left" w:pos="851"/>
        </w:tabs>
        <w:ind w:left="851"/>
        <w:rPr>
          <w:sz w:val="24"/>
          <w:szCs w:val="24"/>
        </w:rPr>
      </w:pPr>
      <w:r w:rsidRPr="005F7D4D">
        <w:rPr>
          <w:sz w:val="24"/>
          <w:szCs w:val="24"/>
        </w:rPr>
        <w:t>Baxter A/S</w:t>
      </w:r>
    </w:p>
    <w:p w:rsidR="00AC3FAE" w:rsidRPr="005F7D4D" w:rsidRDefault="00AC3FAE" w:rsidP="00AC3FAE">
      <w:pPr>
        <w:tabs>
          <w:tab w:val="left" w:pos="851"/>
        </w:tabs>
        <w:ind w:left="851"/>
        <w:rPr>
          <w:sz w:val="24"/>
          <w:szCs w:val="24"/>
        </w:rPr>
      </w:pPr>
      <w:r w:rsidRPr="005F7D4D">
        <w:rPr>
          <w:sz w:val="24"/>
          <w:szCs w:val="24"/>
        </w:rPr>
        <w:t>Tobaksvejen 2</w:t>
      </w:r>
      <w:r w:rsidR="002F0B8C">
        <w:rPr>
          <w:sz w:val="24"/>
          <w:szCs w:val="24"/>
        </w:rPr>
        <w:t>3</w:t>
      </w:r>
      <w:r w:rsidRPr="005F7D4D">
        <w:rPr>
          <w:sz w:val="24"/>
          <w:szCs w:val="24"/>
        </w:rPr>
        <w:t>A</w:t>
      </w:r>
    </w:p>
    <w:p w:rsidR="00AC3FAE" w:rsidRPr="005F7D4D" w:rsidRDefault="00AC3FAE" w:rsidP="00AC3FAE">
      <w:pPr>
        <w:tabs>
          <w:tab w:val="left" w:pos="851"/>
        </w:tabs>
        <w:ind w:left="851"/>
        <w:rPr>
          <w:sz w:val="24"/>
          <w:szCs w:val="24"/>
        </w:rPr>
      </w:pPr>
      <w:r w:rsidRPr="005F7D4D">
        <w:rPr>
          <w:sz w:val="24"/>
          <w:szCs w:val="24"/>
        </w:rPr>
        <w:t>2860 Søborg</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8.</w:t>
      </w:r>
      <w:r w:rsidRPr="005F7D4D">
        <w:rPr>
          <w:b/>
          <w:sz w:val="24"/>
          <w:szCs w:val="24"/>
        </w:rPr>
        <w:tab/>
        <w:t>MARKEDSFØRINGSTILLADELSESNUMMER (</w:t>
      </w:r>
      <w:r w:rsidR="002F0B8C">
        <w:rPr>
          <w:b/>
          <w:sz w:val="24"/>
          <w:szCs w:val="24"/>
        </w:rPr>
        <w:t>-</w:t>
      </w:r>
      <w:r w:rsidRPr="005F7D4D">
        <w:rPr>
          <w:b/>
          <w:sz w:val="24"/>
          <w:szCs w:val="24"/>
        </w:rPr>
        <w:t>NUMRE)</w:t>
      </w:r>
    </w:p>
    <w:p w:rsidR="00AC3FAE" w:rsidRPr="005F7D4D" w:rsidRDefault="00AC3FAE" w:rsidP="00AC3FAE">
      <w:pPr>
        <w:tabs>
          <w:tab w:val="left" w:pos="851"/>
        </w:tabs>
        <w:ind w:left="851"/>
        <w:rPr>
          <w:sz w:val="24"/>
          <w:szCs w:val="24"/>
        </w:rPr>
      </w:pPr>
      <w:r w:rsidRPr="005F7D4D">
        <w:rPr>
          <w:sz w:val="24"/>
          <w:szCs w:val="24"/>
        </w:rPr>
        <w:t>60579</w:t>
      </w:r>
    </w:p>
    <w:p w:rsidR="00AC3FAE" w:rsidRPr="005F7D4D" w:rsidRDefault="00AC3FAE" w:rsidP="00AC3FAE">
      <w:pPr>
        <w:tabs>
          <w:tab w:val="left" w:pos="851"/>
        </w:tabs>
        <w:ind w:left="851"/>
        <w:jc w:val="both"/>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9.</w:t>
      </w:r>
      <w:r w:rsidRPr="005F7D4D">
        <w:rPr>
          <w:b/>
          <w:sz w:val="24"/>
          <w:szCs w:val="24"/>
        </w:rPr>
        <w:tab/>
        <w:t>DATO FOR FØRSTE MARKEDSFØRINGSTILLADELSE</w:t>
      </w:r>
    </w:p>
    <w:p w:rsidR="00AC3FAE" w:rsidRPr="005F7D4D" w:rsidRDefault="00AC3FAE" w:rsidP="00AC3FAE">
      <w:pPr>
        <w:tabs>
          <w:tab w:val="left" w:pos="851"/>
        </w:tabs>
        <w:ind w:left="851"/>
        <w:rPr>
          <w:sz w:val="24"/>
          <w:szCs w:val="24"/>
        </w:rPr>
      </w:pPr>
      <w:r w:rsidRPr="005F7D4D">
        <w:rPr>
          <w:sz w:val="24"/>
          <w:szCs w:val="24"/>
        </w:rPr>
        <w:t>22. december 2009 (</w:t>
      </w:r>
      <w:proofErr w:type="spellStart"/>
      <w:r w:rsidRPr="005F7D4D">
        <w:rPr>
          <w:sz w:val="24"/>
          <w:szCs w:val="24"/>
        </w:rPr>
        <w:t>Olimel</w:t>
      </w:r>
      <w:proofErr w:type="spellEnd"/>
      <w:r w:rsidRPr="005F7D4D">
        <w:rPr>
          <w:sz w:val="24"/>
          <w:szCs w:val="24"/>
        </w:rPr>
        <w:t xml:space="preserve"> N5E, N7E, N7, N9E, N9, Perifer N4E)</w:t>
      </w:r>
    </w:p>
    <w:p w:rsidR="00AC3FAE" w:rsidRPr="005F7D4D" w:rsidRDefault="00AC3FAE" w:rsidP="00AC3FAE">
      <w:pPr>
        <w:tabs>
          <w:tab w:val="left" w:pos="851"/>
        </w:tabs>
        <w:ind w:left="851"/>
        <w:rPr>
          <w:sz w:val="24"/>
          <w:szCs w:val="24"/>
        </w:rPr>
      </w:pPr>
    </w:p>
    <w:p w:rsidR="00AC3FAE" w:rsidRPr="005F7D4D" w:rsidRDefault="00AC3FAE" w:rsidP="00AC3FAE">
      <w:pPr>
        <w:tabs>
          <w:tab w:val="left" w:pos="851"/>
        </w:tabs>
        <w:ind w:left="851" w:hanging="851"/>
        <w:rPr>
          <w:b/>
          <w:sz w:val="24"/>
          <w:szCs w:val="24"/>
        </w:rPr>
      </w:pPr>
      <w:r w:rsidRPr="005F7D4D">
        <w:rPr>
          <w:b/>
          <w:sz w:val="24"/>
          <w:szCs w:val="24"/>
        </w:rPr>
        <w:t>10.</w:t>
      </w:r>
      <w:r w:rsidRPr="005F7D4D">
        <w:rPr>
          <w:b/>
          <w:sz w:val="24"/>
          <w:szCs w:val="24"/>
        </w:rPr>
        <w:tab/>
        <w:t>DATO FOR ÆNDRING AF TEKSTEN</w:t>
      </w:r>
    </w:p>
    <w:p w:rsidR="00AC3FAE" w:rsidRPr="005F7D4D" w:rsidRDefault="002F0B8C" w:rsidP="00AC3FAE">
      <w:pPr>
        <w:tabs>
          <w:tab w:val="left" w:pos="851"/>
        </w:tabs>
        <w:ind w:left="851"/>
        <w:rPr>
          <w:sz w:val="24"/>
          <w:szCs w:val="24"/>
        </w:rPr>
      </w:pPr>
      <w:r>
        <w:rPr>
          <w:sz w:val="24"/>
          <w:szCs w:val="24"/>
        </w:rPr>
        <w:t>11. april 2023</w:t>
      </w:r>
    </w:p>
    <w:p w:rsidR="00AC3FAE" w:rsidRPr="00093A80" w:rsidRDefault="00AC3FAE" w:rsidP="00AC3FAE"/>
    <w:p w:rsidR="00AC3FAE" w:rsidRPr="008671DB" w:rsidRDefault="00AC3FAE" w:rsidP="00AC3FAE"/>
    <w:p w:rsidR="009260DE" w:rsidRPr="00AC3FAE" w:rsidRDefault="009260DE" w:rsidP="00AC3FAE"/>
    <w:sectPr w:rsidR="009260DE" w:rsidRPr="00AC3FA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FAE" w:rsidRDefault="00AC3FAE">
      <w:r>
        <w:separator/>
      </w:r>
    </w:p>
  </w:endnote>
  <w:endnote w:type="continuationSeparator" w:id="0">
    <w:p w:rsidR="00AC3FAE" w:rsidRDefault="00AC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6648D">
      <w:rPr>
        <w:i/>
        <w:noProof/>
        <w:sz w:val="18"/>
        <w:szCs w:val="18"/>
      </w:rPr>
      <w:t>Olimel N12E, infusionsvæske, emulsion</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FAE" w:rsidRDefault="00AC3FAE">
      <w:r>
        <w:separator/>
      </w:r>
    </w:p>
  </w:footnote>
  <w:footnote w:type="continuationSeparator" w:id="0">
    <w:p w:rsidR="00AC3FAE" w:rsidRDefault="00AC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3F4"/>
    <w:multiLevelType w:val="singleLevel"/>
    <w:tmpl w:val="67CA28C0"/>
    <w:lvl w:ilvl="0">
      <w:start w:val="1"/>
      <w:numFmt w:val="lowerLetter"/>
      <w:lvlText w:val="%1"/>
      <w:lvlJc w:val="left"/>
      <w:pPr>
        <w:tabs>
          <w:tab w:val="num" w:pos="115"/>
        </w:tabs>
        <w:ind w:left="115" w:hanging="115"/>
      </w:pPr>
      <w:rPr>
        <w:rFonts w:ascii="Times New Roman" w:hAnsi="Times New Roman" w:cs="Times New Roman"/>
        <w:b w:val="0"/>
        <w:i w:val="0"/>
        <w:caps w:val="0"/>
        <w:sz w:val="20"/>
        <w:u w:val="none"/>
        <w:vertAlign w:val="superscript"/>
      </w:rPr>
    </w:lvl>
  </w:abstractNum>
  <w:abstractNum w:abstractNumId="1" w15:restartNumberingAfterBreak="0">
    <w:nsid w:val="076F4B63"/>
    <w:multiLevelType w:val="hybridMultilevel"/>
    <w:tmpl w:val="99B07D62"/>
    <w:lvl w:ilvl="0" w:tplc="0406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9E84AB7"/>
    <w:multiLevelType w:val="singleLevel"/>
    <w:tmpl w:val="26FCE1E4"/>
    <w:name w:val="BXTFL"/>
    <w:lvl w:ilvl="0">
      <w:start w:val="1"/>
      <w:numFmt w:val="lowerLetter"/>
      <w:pStyle w:val="TableFootnoteLetter"/>
      <w:lvlText w:val="%1"/>
      <w:lvlJc w:val="left"/>
      <w:pPr>
        <w:tabs>
          <w:tab w:val="num" w:pos="115"/>
        </w:tabs>
        <w:ind w:left="115" w:hanging="115"/>
      </w:pPr>
      <w:rPr>
        <w:rFonts w:ascii="Times New Roman" w:hAnsi="Times New Roman" w:cs="Times New Roman"/>
        <w:sz w:val="20"/>
        <w:vertAlign w:val="superscript"/>
      </w:rPr>
    </w:lvl>
  </w:abstractNum>
  <w:abstractNum w:abstractNumId="3" w15:restartNumberingAfterBreak="0">
    <w:nsid w:val="0CA24EAB"/>
    <w:multiLevelType w:val="hybridMultilevel"/>
    <w:tmpl w:val="6F6877AA"/>
    <w:lvl w:ilvl="0" w:tplc="2C66C30E">
      <w:numFmt w:val="bullet"/>
      <w:lvlText w:val="-"/>
      <w:lvlJc w:val="left"/>
      <w:pPr>
        <w:ind w:left="1211" w:hanging="360"/>
      </w:pPr>
      <w:rPr>
        <w:rFonts w:ascii="Times New Roman" w:eastAsia="MS Mincho" w:hAnsi="Times New Roman" w:cs="Times New Roman"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D6B48FF"/>
    <w:multiLevelType w:val="hybridMultilevel"/>
    <w:tmpl w:val="61D0D088"/>
    <w:lvl w:ilvl="0" w:tplc="2C66C30E">
      <w:numFmt w:val="bullet"/>
      <w:lvlText w:val="-"/>
      <w:lvlJc w:val="left"/>
      <w:pPr>
        <w:ind w:left="1211" w:hanging="360"/>
      </w:pPr>
      <w:rPr>
        <w:rFonts w:ascii="Times New Roman" w:eastAsia="MS Mincho"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2E7A2E4C"/>
    <w:multiLevelType w:val="hybridMultilevel"/>
    <w:tmpl w:val="8914599C"/>
    <w:lvl w:ilvl="0" w:tplc="2C66C30E">
      <w:numFmt w:val="bullet"/>
      <w:lvlText w:val="-"/>
      <w:lvlJc w:val="left"/>
      <w:pPr>
        <w:ind w:left="1211" w:hanging="360"/>
      </w:pPr>
      <w:rPr>
        <w:rFonts w:ascii="Times New Roman" w:eastAsia="MS Mincho" w:hAnsi="Times New Roman" w:cs="Times New Roman"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15B7881"/>
    <w:multiLevelType w:val="hybridMultilevel"/>
    <w:tmpl w:val="A1BAC998"/>
    <w:lvl w:ilvl="0" w:tplc="2C66C30E">
      <w:numFmt w:val="bullet"/>
      <w:lvlText w:val="-"/>
      <w:lvlJc w:val="left"/>
      <w:pPr>
        <w:ind w:left="1211" w:hanging="360"/>
      </w:pPr>
      <w:rPr>
        <w:rFonts w:ascii="Times New Roman" w:eastAsia="MS Mincho"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944BEA"/>
    <w:multiLevelType w:val="hybridMultilevel"/>
    <w:tmpl w:val="17162162"/>
    <w:lvl w:ilvl="0" w:tplc="2C66C30E">
      <w:numFmt w:val="bullet"/>
      <w:lvlText w:val="-"/>
      <w:lvlJc w:val="left"/>
      <w:pPr>
        <w:ind w:left="1211" w:hanging="360"/>
      </w:pPr>
      <w:rPr>
        <w:rFonts w:ascii="Times New Roman" w:eastAsia="MS Mincho" w:hAnsi="Times New Roman" w:cs="Times New Roman"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13" w15:restartNumberingAfterBreak="0">
    <w:nsid w:val="4D771999"/>
    <w:multiLevelType w:val="hybridMultilevel"/>
    <w:tmpl w:val="90EE84EC"/>
    <w:lvl w:ilvl="0" w:tplc="2C66C30E">
      <w:numFmt w:val="bullet"/>
      <w:lvlText w:val="-"/>
      <w:lvlJc w:val="left"/>
      <w:pPr>
        <w:ind w:left="1211" w:hanging="360"/>
      </w:pPr>
      <w:rPr>
        <w:rFonts w:ascii="Times New Roman" w:eastAsia="MS Mincho" w:hAnsi="Times New Roman" w:cs="Times New Roman"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1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4F86BAC"/>
    <w:multiLevelType w:val="hybridMultilevel"/>
    <w:tmpl w:val="E24E550C"/>
    <w:lvl w:ilvl="0" w:tplc="2C66C30E">
      <w:numFmt w:val="bullet"/>
      <w:lvlText w:val="-"/>
      <w:lvlJc w:val="left"/>
      <w:pPr>
        <w:ind w:left="1211" w:hanging="360"/>
      </w:pPr>
      <w:rPr>
        <w:rFonts w:ascii="Times New Roman" w:eastAsia="MS Mincho"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15:restartNumberingAfterBreak="0">
    <w:nsid w:val="55475601"/>
    <w:multiLevelType w:val="singleLevel"/>
    <w:tmpl w:val="67CA28C0"/>
    <w:lvl w:ilvl="0">
      <w:start w:val="1"/>
      <w:numFmt w:val="lowerLetter"/>
      <w:lvlText w:val="%1"/>
      <w:lvlJc w:val="left"/>
      <w:pPr>
        <w:tabs>
          <w:tab w:val="num" w:pos="115"/>
        </w:tabs>
        <w:ind w:left="115" w:hanging="115"/>
      </w:pPr>
      <w:rPr>
        <w:rFonts w:ascii="Times New Roman" w:hAnsi="Times New Roman" w:cs="Times New Roman"/>
        <w:b w:val="0"/>
        <w:i w:val="0"/>
        <w:caps w:val="0"/>
        <w:sz w:val="20"/>
        <w:u w:val="none"/>
        <w:vertAlign w:val="superscript"/>
      </w:rPr>
    </w:lvl>
  </w:abstractNum>
  <w:abstractNum w:abstractNumId="1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B44541A"/>
    <w:multiLevelType w:val="hybridMultilevel"/>
    <w:tmpl w:val="5762BF30"/>
    <w:lvl w:ilvl="0" w:tplc="2C66C30E">
      <w:numFmt w:val="bullet"/>
      <w:lvlText w:val="-"/>
      <w:lvlJc w:val="left"/>
      <w:pPr>
        <w:ind w:left="1211" w:hanging="360"/>
      </w:pPr>
      <w:rPr>
        <w:rFonts w:ascii="Times New Roman" w:eastAsia="MS Mincho" w:hAnsi="Times New Roman" w:cs="Times New Roman"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14"/>
  </w:num>
  <w:num w:numId="9">
    <w:abstractNumId w:val="2"/>
  </w:num>
  <w:num w:numId="10">
    <w:abstractNumId w:val="2"/>
    <w:lvlOverride w:ilvl="0">
      <w:startOverride w:val="1"/>
    </w:lvlOverride>
  </w:num>
  <w:num w:numId="11">
    <w:abstractNumId w:val="6"/>
  </w:num>
  <w:num w:numId="12">
    <w:abstractNumId w:val="10"/>
  </w:num>
  <w:num w:numId="13">
    <w:abstractNumId w:val="3"/>
  </w:num>
  <w:num w:numId="14">
    <w:abstractNumId w:val="12"/>
  </w:num>
  <w:num w:numId="15">
    <w:abstractNumId w:val="13"/>
  </w:num>
  <w:num w:numId="16">
    <w:abstractNumId w:val="15"/>
  </w:num>
  <w:num w:numId="17">
    <w:abstractNumId w:val="19"/>
  </w:num>
  <w:num w:numId="18">
    <w:abstractNumId w:val="1"/>
  </w:num>
  <w:num w:numId="19">
    <w:abstractNumId w:val="0"/>
  </w:num>
  <w:num w:numId="20">
    <w:abstractNumId w:val="16"/>
  </w:num>
  <w:num w:numId="21">
    <w:abstractNumId w:val="5"/>
  </w:num>
  <w:num w:numId="22">
    <w:abstractNumId w:val="0"/>
    <w:lvlOverride w:ilvl="0">
      <w:startOverride w:val="1"/>
    </w:lvlOverride>
  </w:num>
  <w:num w:numId="23">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AE"/>
    <w:rsid w:val="000259B9"/>
    <w:rsid w:val="00041491"/>
    <w:rsid w:val="00050D16"/>
    <w:rsid w:val="00074F2A"/>
    <w:rsid w:val="000A1CA8"/>
    <w:rsid w:val="000A466B"/>
    <w:rsid w:val="000B058C"/>
    <w:rsid w:val="000E4EE6"/>
    <w:rsid w:val="001454E2"/>
    <w:rsid w:val="0016648D"/>
    <w:rsid w:val="00206CE8"/>
    <w:rsid w:val="0021526C"/>
    <w:rsid w:val="00283A2B"/>
    <w:rsid w:val="002B30AD"/>
    <w:rsid w:val="002C2C01"/>
    <w:rsid w:val="002F0B8C"/>
    <w:rsid w:val="003A29AE"/>
    <w:rsid w:val="003A32D7"/>
    <w:rsid w:val="003B4074"/>
    <w:rsid w:val="003C769A"/>
    <w:rsid w:val="003F1838"/>
    <w:rsid w:val="00415674"/>
    <w:rsid w:val="0045746C"/>
    <w:rsid w:val="0049104B"/>
    <w:rsid w:val="004914D2"/>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C1664"/>
    <w:rsid w:val="0081546F"/>
    <w:rsid w:val="0082576E"/>
    <w:rsid w:val="00907F75"/>
    <w:rsid w:val="009260DE"/>
    <w:rsid w:val="0093258A"/>
    <w:rsid w:val="009C7BA3"/>
    <w:rsid w:val="009D1F5A"/>
    <w:rsid w:val="00A51E4B"/>
    <w:rsid w:val="00AC3FAE"/>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C1C49"/>
    <w:rsid w:val="00ED5E9F"/>
    <w:rsid w:val="00F66D4F"/>
    <w:rsid w:val="00FB6D01"/>
    <w:rsid w:val="00FE52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928BA"/>
  <w15:chartTrackingRefBased/>
  <w15:docId w15:val="{D9773C0A-A072-4417-91A0-3A82223C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B8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AC3FAE"/>
    <w:rPr>
      <w:color w:val="808080"/>
    </w:rPr>
  </w:style>
  <w:style w:type="paragraph" w:customStyle="1" w:styleId="TableCenter">
    <w:name w:val="Table Center"/>
    <w:rsid w:val="00AC3FAE"/>
    <w:pPr>
      <w:spacing w:before="60" w:after="60"/>
      <w:jc w:val="center"/>
    </w:pPr>
    <w:rPr>
      <w:lang w:eastAsia="ja-JP"/>
    </w:rPr>
  </w:style>
  <w:style w:type="paragraph" w:customStyle="1" w:styleId="TableFootnoteLetter">
    <w:name w:val="Table Footnote Letter"/>
    <w:rsid w:val="00AC3FAE"/>
    <w:pPr>
      <w:numPr>
        <w:numId w:val="9"/>
      </w:numPr>
      <w:spacing w:before="60" w:after="60"/>
    </w:pPr>
    <w:rPr>
      <w:lang w:eastAsia="ja-JP"/>
    </w:rPr>
  </w:style>
  <w:style w:type="paragraph" w:customStyle="1" w:styleId="TableHead">
    <w:name w:val="Table Head"/>
    <w:rsid w:val="00AC3FAE"/>
    <w:pPr>
      <w:keepNext/>
      <w:spacing w:before="60" w:after="60"/>
      <w:jc w:val="center"/>
    </w:pPr>
    <w:rPr>
      <w:rFonts w:eastAsia="MS Mincho"/>
      <w:b/>
      <w:lang w:eastAsia="ja-JP"/>
    </w:rPr>
  </w:style>
  <w:style w:type="paragraph" w:styleId="Opstilling-punkttegn2">
    <w:name w:val="List Bullet 2"/>
    <w:rsid w:val="00AC3FAE"/>
    <w:pPr>
      <w:spacing w:before="60" w:after="60" w:line="360" w:lineRule="exact"/>
    </w:pPr>
    <w:rPr>
      <w:rFonts w:eastAsia="MS Mincho"/>
      <w:sz w:val="24"/>
      <w:szCs w:val="24"/>
      <w:lang w:eastAsia="ja-JP"/>
    </w:rPr>
  </w:style>
  <w:style w:type="paragraph" w:customStyle="1" w:styleId="Paragraph">
    <w:name w:val="Paragraph"/>
    <w:link w:val="ParagraphChar"/>
    <w:rsid w:val="00AC3FAE"/>
    <w:pPr>
      <w:spacing w:before="120" w:after="240" w:line="288" w:lineRule="auto"/>
    </w:pPr>
    <w:rPr>
      <w:rFonts w:eastAsia="MS Mincho"/>
      <w:sz w:val="24"/>
      <w:szCs w:val="24"/>
      <w:lang w:eastAsia="ja-JP"/>
    </w:rPr>
  </w:style>
  <w:style w:type="character" w:customStyle="1" w:styleId="ParagraphChar">
    <w:name w:val="Paragraph Char"/>
    <w:link w:val="Paragraph"/>
    <w:rsid w:val="00AC3FAE"/>
    <w:rPr>
      <w:rFonts w:eastAsia="MS Mincho"/>
      <w:sz w:val="24"/>
      <w:szCs w:val="24"/>
      <w:lang w:eastAsia="ja-JP"/>
    </w:rPr>
  </w:style>
  <w:style w:type="paragraph" w:customStyle="1" w:styleId="TableLeft">
    <w:name w:val="Table Left"/>
    <w:rsid w:val="00AC3FAE"/>
    <w:pPr>
      <w:spacing w:before="60" w:after="60"/>
    </w:pPr>
    <w:rPr>
      <w:lang w:eastAsia="ja-JP"/>
    </w:rPr>
  </w:style>
  <w:style w:type="paragraph" w:customStyle="1" w:styleId="TableTitle">
    <w:name w:val="Table Title"/>
    <w:next w:val="Normal"/>
    <w:rsid w:val="00AC3FAE"/>
    <w:pPr>
      <w:keepNext/>
      <w:spacing w:before="120" w:after="120"/>
      <w:jc w:val="center"/>
    </w:pPr>
    <w:rPr>
      <w:rFonts w:eastAsia="MS Mincho"/>
      <w:b/>
      <w:bCs/>
      <w:sz w:val="24"/>
      <w:szCs w:val="24"/>
      <w:lang w:eastAsia="ja-JP"/>
    </w:rPr>
  </w:style>
  <w:style w:type="table" w:styleId="Tabel-Gitter">
    <w:name w:val="Table Grid"/>
    <w:basedOn w:val="Tabel-Normal"/>
    <w:uiPriority w:val="59"/>
    <w:rsid w:val="00AC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325360">
      <w:bodyDiv w:val="1"/>
      <w:marLeft w:val="0"/>
      <w:marRight w:val="0"/>
      <w:marTop w:val="0"/>
      <w:marBottom w:val="0"/>
      <w:divBdr>
        <w:top w:val="none" w:sz="0" w:space="0" w:color="auto"/>
        <w:left w:val="none" w:sz="0" w:space="0" w:color="auto"/>
        <w:bottom w:val="none" w:sz="0" w:space="0" w:color="auto"/>
        <w:right w:val="none" w:sz="0" w:space="0" w:color="auto"/>
      </w:divBdr>
    </w:div>
    <w:div w:id="318536999">
      <w:bodyDiv w:val="1"/>
      <w:marLeft w:val="0"/>
      <w:marRight w:val="0"/>
      <w:marTop w:val="0"/>
      <w:marBottom w:val="0"/>
      <w:divBdr>
        <w:top w:val="none" w:sz="0" w:space="0" w:color="auto"/>
        <w:left w:val="none" w:sz="0" w:space="0" w:color="auto"/>
        <w:bottom w:val="none" w:sz="0" w:space="0" w:color="auto"/>
        <w:right w:val="none" w:sz="0" w:space="0" w:color="auto"/>
      </w:divBdr>
    </w:div>
    <w:div w:id="423377906">
      <w:bodyDiv w:val="1"/>
      <w:marLeft w:val="0"/>
      <w:marRight w:val="0"/>
      <w:marTop w:val="0"/>
      <w:marBottom w:val="0"/>
      <w:divBdr>
        <w:top w:val="none" w:sz="0" w:space="0" w:color="auto"/>
        <w:left w:val="none" w:sz="0" w:space="0" w:color="auto"/>
        <w:bottom w:val="none" w:sz="0" w:space="0" w:color="auto"/>
        <w:right w:val="none" w:sz="0" w:space="0" w:color="auto"/>
      </w:divBdr>
    </w:div>
    <w:div w:id="603879579">
      <w:bodyDiv w:val="1"/>
      <w:marLeft w:val="0"/>
      <w:marRight w:val="0"/>
      <w:marTop w:val="0"/>
      <w:marBottom w:val="0"/>
      <w:divBdr>
        <w:top w:val="none" w:sz="0" w:space="0" w:color="auto"/>
        <w:left w:val="none" w:sz="0" w:space="0" w:color="auto"/>
        <w:bottom w:val="none" w:sz="0" w:space="0" w:color="auto"/>
        <w:right w:val="none" w:sz="0" w:space="0" w:color="auto"/>
      </w:divBdr>
    </w:div>
    <w:div w:id="147764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19</Pages>
  <Words>5820</Words>
  <Characters>36253</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2023013315_x000d_
Ændring af MAH adresse</dc:description>
  <cp:lastModifiedBy>Marianne Ott Jensen</cp:lastModifiedBy>
  <cp:revision>3</cp:revision>
  <cp:lastPrinted>2012-08-22T08:53:00Z</cp:lastPrinted>
  <dcterms:created xsi:type="dcterms:W3CDTF">2023-04-11T12:28:00Z</dcterms:created>
  <dcterms:modified xsi:type="dcterms:W3CDTF">2023-04-11T12:30:00Z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