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D02B" w14:textId="77777777" w:rsidR="009260DE" w:rsidRPr="00D76FE5" w:rsidRDefault="0021526C" w:rsidP="009260DE">
      <w:pPr>
        <w:rPr>
          <w:sz w:val="24"/>
          <w:szCs w:val="24"/>
        </w:rPr>
      </w:pPr>
      <w:r w:rsidRPr="00D76FE5">
        <w:rPr>
          <w:noProof/>
          <w:sz w:val="24"/>
          <w:szCs w:val="24"/>
          <w:lang w:eastAsia="da-DK"/>
        </w:rPr>
        <w:drawing>
          <wp:anchor distT="0" distB="0" distL="114300" distR="114300" simplePos="0" relativeHeight="251658240" behindDoc="0" locked="0" layoutInCell="1" allowOverlap="1" wp14:anchorId="30EC104D" wp14:editId="6B3A1F5B">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D76FE5">
        <w:rPr>
          <w:sz w:val="24"/>
          <w:szCs w:val="24"/>
        </w:rPr>
        <w:br w:type="textWrapping" w:clear="all"/>
      </w:r>
    </w:p>
    <w:p w14:paraId="0634D052" w14:textId="0DBF3A9F" w:rsidR="009260DE" w:rsidRPr="00D76FE5" w:rsidRDefault="009260DE" w:rsidP="009260DE">
      <w:pPr>
        <w:pStyle w:val="Titel"/>
        <w:tabs>
          <w:tab w:val="right" w:pos="9356"/>
        </w:tabs>
        <w:jc w:val="left"/>
        <w:rPr>
          <w:b w:val="0"/>
          <w:szCs w:val="24"/>
          <w:lang w:eastAsia="en-US"/>
        </w:rPr>
      </w:pPr>
      <w:r w:rsidRPr="00D76FE5">
        <w:rPr>
          <w:b w:val="0"/>
          <w:szCs w:val="24"/>
          <w:lang w:eastAsia="en-US"/>
        </w:rPr>
        <w:tab/>
      </w:r>
      <w:r w:rsidR="00B36134">
        <w:rPr>
          <w:szCs w:val="24"/>
        </w:rPr>
        <w:t>14. august 2026</w:t>
      </w:r>
    </w:p>
    <w:p w14:paraId="33287F2E" w14:textId="77777777" w:rsidR="009260DE" w:rsidRPr="00D76FE5" w:rsidRDefault="009260DE" w:rsidP="009260DE">
      <w:pPr>
        <w:pStyle w:val="Titel"/>
        <w:tabs>
          <w:tab w:val="left" w:pos="8222"/>
        </w:tabs>
        <w:jc w:val="left"/>
        <w:rPr>
          <w:b w:val="0"/>
          <w:szCs w:val="24"/>
        </w:rPr>
      </w:pPr>
    </w:p>
    <w:p w14:paraId="33A3D3B0" w14:textId="77777777" w:rsidR="009260DE" w:rsidRDefault="009260DE" w:rsidP="009260DE">
      <w:pPr>
        <w:pStyle w:val="Titel"/>
        <w:jc w:val="left"/>
        <w:rPr>
          <w:b w:val="0"/>
          <w:szCs w:val="24"/>
        </w:rPr>
      </w:pPr>
    </w:p>
    <w:p w14:paraId="4211A0DA" w14:textId="77777777" w:rsidR="00B36134" w:rsidRPr="00D76FE5" w:rsidRDefault="00B36134" w:rsidP="009260DE">
      <w:pPr>
        <w:pStyle w:val="Titel"/>
        <w:jc w:val="left"/>
        <w:rPr>
          <w:b w:val="0"/>
          <w:szCs w:val="24"/>
        </w:rPr>
      </w:pPr>
    </w:p>
    <w:p w14:paraId="375637CF" w14:textId="77777777" w:rsidR="009260DE" w:rsidRPr="00D76FE5" w:rsidRDefault="009260DE" w:rsidP="009260DE">
      <w:pPr>
        <w:jc w:val="center"/>
        <w:rPr>
          <w:b/>
          <w:sz w:val="24"/>
          <w:szCs w:val="24"/>
        </w:rPr>
      </w:pPr>
      <w:r w:rsidRPr="00D76FE5">
        <w:rPr>
          <w:b/>
          <w:sz w:val="24"/>
          <w:szCs w:val="24"/>
        </w:rPr>
        <w:t>PRODUKTRESUMÉ</w:t>
      </w:r>
    </w:p>
    <w:p w14:paraId="01A7D5D9" w14:textId="77777777" w:rsidR="009260DE" w:rsidRPr="00D76FE5" w:rsidRDefault="009260DE" w:rsidP="009260DE">
      <w:pPr>
        <w:jc w:val="center"/>
        <w:rPr>
          <w:b/>
          <w:sz w:val="24"/>
          <w:szCs w:val="24"/>
        </w:rPr>
      </w:pPr>
    </w:p>
    <w:p w14:paraId="1EC38A8D" w14:textId="77777777" w:rsidR="009260DE" w:rsidRPr="00D76FE5" w:rsidRDefault="009260DE" w:rsidP="009260DE">
      <w:pPr>
        <w:jc w:val="center"/>
        <w:rPr>
          <w:b/>
          <w:sz w:val="24"/>
          <w:szCs w:val="24"/>
        </w:rPr>
      </w:pPr>
      <w:r w:rsidRPr="00D76FE5">
        <w:rPr>
          <w:b/>
          <w:sz w:val="24"/>
          <w:szCs w:val="24"/>
        </w:rPr>
        <w:t>for</w:t>
      </w:r>
    </w:p>
    <w:p w14:paraId="4EA6F6D9" w14:textId="77777777" w:rsidR="000B058C" w:rsidRPr="00D76FE5" w:rsidRDefault="000B058C" w:rsidP="009260DE">
      <w:pPr>
        <w:jc w:val="center"/>
        <w:rPr>
          <w:b/>
          <w:sz w:val="24"/>
          <w:szCs w:val="24"/>
        </w:rPr>
      </w:pPr>
    </w:p>
    <w:p w14:paraId="7658CDF0" w14:textId="4ABD311B" w:rsidR="009260DE" w:rsidRPr="00D76FE5" w:rsidRDefault="00E02DDF" w:rsidP="009260DE">
      <w:pPr>
        <w:jc w:val="center"/>
        <w:rPr>
          <w:b/>
          <w:sz w:val="24"/>
          <w:szCs w:val="24"/>
        </w:rPr>
      </w:pPr>
      <w:r w:rsidRPr="00D76FE5">
        <w:rPr>
          <w:b/>
          <w:sz w:val="24"/>
          <w:szCs w:val="24"/>
        </w:rPr>
        <w:t xml:space="preserve">Olopatadin </w:t>
      </w:r>
      <w:r w:rsidR="00E3086B">
        <w:rPr>
          <w:b/>
          <w:sz w:val="24"/>
          <w:szCs w:val="24"/>
        </w:rPr>
        <w:t>"</w:t>
      </w:r>
      <w:r w:rsidR="00B36134">
        <w:rPr>
          <w:b/>
          <w:sz w:val="24"/>
          <w:szCs w:val="24"/>
        </w:rPr>
        <w:t>Brown &amp; Burk</w:t>
      </w:r>
      <w:r w:rsidR="00E3086B">
        <w:rPr>
          <w:b/>
          <w:sz w:val="24"/>
          <w:szCs w:val="24"/>
        </w:rPr>
        <w:t>"</w:t>
      </w:r>
      <w:r w:rsidRPr="00D76FE5">
        <w:rPr>
          <w:b/>
          <w:sz w:val="24"/>
          <w:szCs w:val="24"/>
        </w:rPr>
        <w:t>, øjendråber, opløsning</w:t>
      </w:r>
    </w:p>
    <w:p w14:paraId="47E1764F" w14:textId="77777777" w:rsidR="009260DE" w:rsidRPr="00D76FE5" w:rsidRDefault="009260DE" w:rsidP="009260DE">
      <w:pPr>
        <w:jc w:val="both"/>
        <w:rPr>
          <w:sz w:val="24"/>
          <w:szCs w:val="24"/>
        </w:rPr>
      </w:pPr>
    </w:p>
    <w:p w14:paraId="2F8493EF" w14:textId="77777777" w:rsidR="009260DE" w:rsidRPr="00D76FE5" w:rsidRDefault="009260DE" w:rsidP="009260DE">
      <w:pPr>
        <w:jc w:val="both"/>
        <w:rPr>
          <w:sz w:val="24"/>
          <w:szCs w:val="24"/>
        </w:rPr>
      </w:pPr>
    </w:p>
    <w:p w14:paraId="0C2C0C7F" w14:textId="77777777" w:rsidR="009260DE" w:rsidRPr="00D76FE5" w:rsidRDefault="009260DE" w:rsidP="009260DE">
      <w:pPr>
        <w:tabs>
          <w:tab w:val="left" w:pos="851"/>
        </w:tabs>
        <w:ind w:left="851" w:hanging="851"/>
        <w:rPr>
          <w:b/>
          <w:sz w:val="24"/>
          <w:szCs w:val="24"/>
        </w:rPr>
      </w:pPr>
      <w:r w:rsidRPr="00D76FE5">
        <w:rPr>
          <w:b/>
          <w:sz w:val="24"/>
          <w:szCs w:val="24"/>
        </w:rPr>
        <w:t>0.</w:t>
      </w:r>
      <w:r w:rsidRPr="00D76FE5">
        <w:rPr>
          <w:b/>
          <w:sz w:val="24"/>
          <w:szCs w:val="24"/>
        </w:rPr>
        <w:tab/>
        <w:t>D.SP.NR.</w:t>
      </w:r>
    </w:p>
    <w:p w14:paraId="10E8215B" w14:textId="563B55C1" w:rsidR="009260DE" w:rsidRPr="00D76FE5" w:rsidRDefault="00E02DDF" w:rsidP="009260DE">
      <w:pPr>
        <w:tabs>
          <w:tab w:val="left" w:pos="851"/>
        </w:tabs>
        <w:ind w:left="851"/>
        <w:rPr>
          <w:sz w:val="24"/>
          <w:szCs w:val="24"/>
        </w:rPr>
      </w:pPr>
      <w:r w:rsidRPr="00D76FE5">
        <w:rPr>
          <w:sz w:val="24"/>
          <w:szCs w:val="24"/>
        </w:rPr>
        <w:t>32979</w:t>
      </w:r>
    </w:p>
    <w:p w14:paraId="345462E5" w14:textId="77777777" w:rsidR="009260DE" w:rsidRPr="00D76FE5" w:rsidRDefault="009260DE" w:rsidP="009260DE">
      <w:pPr>
        <w:tabs>
          <w:tab w:val="left" w:pos="851"/>
        </w:tabs>
        <w:ind w:left="851"/>
        <w:rPr>
          <w:sz w:val="24"/>
          <w:szCs w:val="24"/>
        </w:rPr>
      </w:pPr>
    </w:p>
    <w:p w14:paraId="2462C5EE" w14:textId="77777777" w:rsidR="009260DE" w:rsidRPr="00D76FE5" w:rsidRDefault="009260DE" w:rsidP="009260DE">
      <w:pPr>
        <w:tabs>
          <w:tab w:val="left" w:pos="851"/>
        </w:tabs>
        <w:ind w:left="851" w:hanging="851"/>
        <w:rPr>
          <w:b/>
          <w:sz w:val="24"/>
          <w:szCs w:val="24"/>
        </w:rPr>
      </w:pPr>
      <w:r w:rsidRPr="00D76FE5">
        <w:rPr>
          <w:b/>
          <w:sz w:val="24"/>
          <w:szCs w:val="24"/>
        </w:rPr>
        <w:t>1.</w:t>
      </w:r>
      <w:r w:rsidRPr="00D76FE5">
        <w:rPr>
          <w:b/>
          <w:sz w:val="24"/>
          <w:szCs w:val="24"/>
        </w:rPr>
        <w:tab/>
        <w:t>LÆGEMIDLETS NAVN</w:t>
      </w:r>
    </w:p>
    <w:p w14:paraId="7C501406" w14:textId="5F49C198" w:rsidR="009260DE" w:rsidRPr="00D76FE5" w:rsidRDefault="00E02DDF" w:rsidP="009260DE">
      <w:pPr>
        <w:tabs>
          <w:tab w:val="left" w:pos="851"/>
        </w:tabs>
        <w:ind w:left="851"/>
        <w:rPr>
          <w:sz w:val="24"/>
          <w:szCs w:val="24"/>
        </w:rPr>
      </w:pPr>
      <w:r w:rsidRPr="00D76FE5">
        <w:rPr>
          <w:sz w:val="24"/>
          <w:szCs w:val="24"/>
        </w:rPr>
        <w:t xml:space="preserve">Olopatadin </w:t>
      </w:r>
      <w:r w:rsidR="00E3086B">
        <w:rPr>
          <w:sz w:val="24"/>
          <w:szCs w:val="24"/>
        </w:rPr>
        <w:t>"</w:t>
      </w:r>
      <w:r w:rsidR="00B36134">
        <w:rPr>
          <w:sz w:val="24"/>
          <w:szCs w:val="24"/>
        </w:rPr>
        <w:t>Brown &amp; Burk</w:t>
      </w:r>
      <w:r w:rsidR="00E3086B">
        <w:rPr>
          <w:sz w:val="24"/>
          <w:szCs w:val="24"/>
        </w:rPr>
        <w:t>"</w:t>
      </w:r>
    </w:p>
    <w:p w14:paraId="271D1ED8" w14:textId="77777777" w:rsidR="009260DE" w:rsidRPr="00D76FE5" w:rsidRDefault="009260DE" w:rsidP="009260DE">
      <w:pPr>
        <w:tabs>
          <w:tab w:val="left" w:pos="851"/>
        </w:tabs>
        <w:ind w:left="851"/>
        <w:rPr>
          <w:sz w:val="24"/>
          <w:szCs w:val="24"/>
        </w:rPr>
      </w:pPr>
    </w:p>
    <w:p w14:paraId="23351744" w14:textId="77777777" w:rsidR="009260DE" w:rsidRPr="00D76FE5" w:rsidRDefault="009260DE" w:rsidP="009260DE">
      <w:pPr>
        <w:tabs>
          <w:tab w:val="left" w:pos="851"/>
        </w:tabs>
        <w:ind w:left="851" w:hanging="851"/>
        <w:rPr>
          <w:b/>
          <w:sz w:val="24"/>
          <w:szCs w:val="24"/>
        </w:rPr>
      </w:pPr>
      <w:r w:rsidRPr="00D76FE5">
        <w:rPr>
          <w:b/>
          <w:sz w:val="24"/>
          <w:szCs w:val="24"/>
        </w:rPr>
        <w:t>2.</w:t>
      </w:r>
      <w:r w:rsidRPr="00D76FE5">
        <w:rPr>
          <w:b/>
          <w:sz w:val="24"/>
          <w:szCs w:val="24"/>
        </w:rPr>
        <w:tab/>
        <w:t>KVALITATIV OG KVANTITATIV SAMMENSÆTNING</w:t>
      </w:r>
    </w:p>
    <w:p w14:paraId="1A5511DE" w14:textId="77777777" w:rsidR="00B2416F" w:rsidRPr="00D76FE5" w:rsidRDefault="00B2416F" w:rsidP="00B2416F">
      <w:pPr>
        <w:ind w:left="851"/>
        <w:rPr>
          <w:sz w:val="24"/>
          <w:szCs w:val="24"/>
        </w:rPr>
      </w:pPr>
      <w:r w:rsidRPr="00D76FE5">
        <w:rPr>
          <w:sz w:val="24"/>
          <w:szCs w:val="24"/>
        </w:rPr>
        <w:t>1 ml opløsning indeholder olopatadinhydrochlorid svarende til 1 mg olopatadin.</w:t>
      </w:r>
    </w:p>
    <w:p w14:paraId="4C9B359C" w14:textId="77777777" w:rsidR="00B2416F" w:rsidRPr="00D76FE5" w:rsidRDefault="00B2416F" w:rsidP="00B2416F">
      <w:pPr>
        <w:ind w:left="851"/>
        <w:rPr>
          <w:sz w:val="24"/>
          <w:szCs w:val="24"/>
          <w:u w:val="single"/>
        </w:rPr>
      </w:pPr>
      <w:r w:rsidRPr="00D76FE5">
        <w:rPr>
          <w:sz w:val="24"/>
          <w:szCs w:val="24"/>
        </w:rPr>
        <w:t>Én dråbe opløsning (ca. 0,03 ml) indeholder 0,03 mg olopatadin.</w:t>
      </w:r>
      <w:r w:rsidRPr="00D76FE5">
        <w:rPr>
          <w:sz w:val="24"/>
          <w:szCs w:val="24"/>
        </w:rPr>
        <w:br/>
      </w:r>
    </w:p>
    <w:p w14:paraId="796471D8" w14:textId="77777777" w:rsidR="00B2416F" w:rsidRPr="00D76FE5" w:rsidRDefault="00B2416F" w:rsidP="00B2416F">
      <w:pPr>
        <w:ind w:left="851"/>
        <w:rPr>
          <w:sz w:val="24"/>
          <w:szCs w:val="24"/>
        </w:rPr>
      </w:pPr>
      <w:r w:rsidRPr="00D76FE5">
        <w:rPr>
          <w:sz w:val="24"/>
          <w:szCs w:val="24"/>
          <w:u w:val="single"/>
        </w:rPr>
        <w:t>Hjælpestoffer med kendt effekt:</w:t>
      </w:r>
    </w:p>
    <w:p w14:paraId="1D7052F2" w14:textId="2494E583" w:rsidR="00B2416F" w:rsidRPr="00D76FE5" w:rsidRDefault="00B2416F" w:rsidP="00B2416F">
      <w:pPr>
        <w:ind w:left="851"/>
        <w:rPr>
          <w:sz w:val="24"/>
          <w:szCs w:val="24"/>
        </w:rPr>
      </w:pPr>
      <w:r w:rsidRPr="00D76FE5">
        <w:rPr>
          <w:sz w:val="24"/>
          <w:szCs w:val="24"/>
        </w:rPr>
        <w:t>Hver ml indeholder 0,1 mg benzalkoniumchlorid og dinatriumphosphat svarende til 3,34</w:t>
      </w:r>
      <w:r w:rsidR="00E3086B">
        <w:rPr>
          <w:sz w:val="24"/>
          <w:szCs w:val="24"/>
        </w:rPr>
        <w:t> </w:t>
      </w:r>
      <w:r w:rsidRPr="00D76FE5">
        <w:rPr>
          <w:sz w:val="24"/>
          <w:szCs w:val="24"/>
        </w:rPr>
        <w:t>mg phosphater.</w:t>
      </w:r>
    </w:p>
    <w:p w14:paraId="792AE1E8" w14:textId="77777777" w:rsidR="00B2416F" w:rsidRPr="00D76FE5" w:rsidRDefault="00B2416F" w:rsidP="00B2416F">
      <w:pPr>
        <w:ind w:left="851"/>
        <w:rPr>
          <w:sz w:val="24"/>
          <w:szCs w:val="24"/>
        </w:rPr>
      </w:pPr>
      <w:r w:rsidRPr="00D76FE5">
        <w:rPr>
          <w:sz w:val="24"/>
          <w:szCs w:val="24"/>
        </w:rPr>
        <w:t>Én dråbe opløsning (ca. 0,03 ml) indeholder 0,003 mg benzalkoniumchlorid og dinatriumphosphat svarende til 0,1 mg phosphater.</w:t>
      </w:r>
    </w:p>
    <w:p w14:paraId="7D2972DE" w14:textId="77777777" w:rsidR="00B2416F" w:rsidRPr="00D76FE5" w:rsidRDefault="00B2416F" w:rsidP="00B2416F">
      <w:pPr>
        <w:ind w:left="851"/>
        <w:rPr>
          <w:sz w:val="24"/>
          <w:szCs w:val="24"/>
        </w:rPr>
      </w:pPr>
    </w:p>
    <w:p w14:paraId="5BFFCA2D" w14:textId="07171B4C" w:rsidR="009260DE" w:rsidRPr="00D76FE5" w:rsidRDefault="00B2416F" w:rsidP="00B2416F">
      <w:pPr>
        <w:ind w:left="851"/>
        <w:rPr>
          <w:sz w:val="24"/>
          <w:szCs w:val="24"/>
        </w:rPr>
      </w:pPr>
      <w:r w:rsidRPr="00D76FE5">
        <w:rPr>
          <w:sz w:val="24"/>
          <w:szCs w:val="24"/>
        </w:rPr>
        <w:t>Alle hjælpestoffer er anført under pkt. 6.1.</w:t>
      </w:r>
    </w:p>
    <w:p w14:paraId="1C7EDDB2" w14:textId="77777777" w:rsidR="00B2416F" w:rsidRPr="00D76FE5" w:rsidRDefault="00B2416F" w:rsidP="00B2416F">
      <w:pPr>
        <w:ind w:left="851"/>
        <w:rPr>
          <w:sz w:val="24"/>
          <w:szCs w:val="24"/>
        </w:rPr>
      </w:pPr>
    </w:p>
    <w:p w14:paraId="7EFC1814" w14:textId="77777777" w:rsidR="009260DE" w:rsidRPr="00D76FE5" w:rsidRDefault="009260DE" w:rsidP="009260DE">
      <w:pPr>
        <w:tabs>
          <w:tab w:val="left" w:pos="851"/>
        </w:tabs>
        <w:ind w:left="851" w:hanging="851"/>
        <w:rPr>
          <w:b/>
          <w:sz w:val="24"/>
          <w:szCs w:val="24"/>
        </w:rPr>
      </w:pPr>
      <w:r w:rsidRPr="00D76FE5">
        <w:rPr>
          <w:b/>
          <w:sz w:val="24"/>
          <w:szCs w:val="24"/>
        </w:rPr>
        <w:t>3.</w:t>
      </w:r>
      <w:r w:rsidRPr="00D76FE5">
        <w:rPr>
          <w:b/>
          <w:sz w:val="24"/>
          <w:szCs w:val="24"/>
        </w:rPr>
        <w:tab/>
        <w:t>LÆGEMIDDELFORM</w:t>
      </w:r>
    </w:p>
    <w:p w14:paraId="36FF0814" w14:textId="77777777" w:rsidR="00B2416F" w:rsidRPr="00D76FE5" w:rsidRDefault="00B2416F" w:rsidP="00B2416F">
      <w:pPr>
        <w:ind w:left="851"/>
        <w:rPr>
          <w:sz w:val="24"/>
          <w:szCs w:val="24"/>
        </w:rPr>
      </w:pPr>
      <w:r w:rsidRPr="00D76FE5">
        <w:rPr>
          <w:sz w:val="24"/>
          <w:szCs w:val="24"/>
        </w:rPr>
        <w:t>Øjendråber, opløsning (øjendråber)</w:t>
      </w:r>
    </w:p>
    <w:p w14:paraId="70E5BA49" w14:textId="77777777" w:rsidR="00B2416F" w:rsidRPr="00D76FE5" w:rsidRDefault="00B2416F" w:rsidP="00B2416F">
      <w:pPr>
        <w:ind w:left="851"/>
        <w:rPr>
          <w:sz w:val="24"/>
          <w:szCs w:val="24"/>
        </w:rPr>
      </w:pPr>
      <w:r w:rsidRPr="00D76FE5">
        <w:rPr>
          <w:sz w:val="24"/>
          <w:szCs w:val="24"/>
        </w:rPr>
        <w:t>Klar, farveløs opløsning, praktisk talt fri for partikler, med en pH på 5,5 til 7,5 og en osmolalitet på 260 til 340 mOsmol/kg.</w:t>
      </w:r>
    </w:p>
    <w:p w14:paraId="0AF07704" w14:textId="77777777" w:rsidR="009260DE" w:rsidRPr="00D76FE5" w:rsidRDefault="009260DE" w:rsidP="009260DE">
      <w:pPr>
        <w:tabs>
          <w:tab w:val="left" w:pos="851"/>
        </w:tabs>
        <w:ind w:left="851"/>
        <w:rPr>
          <w:sz w:val="24"/>
          <w:szCs w:val="24"/>
        </w:rPr>
      </w:pPr>
    </w:p>
    <w:p w14:paraId="46127F50" w14:textId="77777777" w:rsidR="009260DE" w:rsidRPr="00D76FE5" w:rsidRDefault="009260DE" w:rsidP="009260DE">
      <w:pPr>
        <w:tabs>
          <w:tab w:val="left" w:pos="851"/>
        </w:tabs>
        <w:ind w:left="851"/>
        <w:rPr>
          <w:sz w:val="24"/>
          <w:szCs w:val="24"/>
        </w:rPr>
      </w:pPr>
    </w:p>
    <w:p w14:paraId="4EAAF601" w14:textId="77777777" w:rsidR="009260DE" w:rsidRPr="00D76FE5" w:rsidRDefault="009260DE" w:rsidP="009260DE">
      <w:pPr>
        <w:tabs>
          <w:tab w:val="left" w:pos="851"/>
        </w:tabs>
        <w:ind w:left="851" w:hanging="851"/>
        <w:rPr>
          <w:b/>
          <w:sz w:val="24"/>
          <w:szCs w:val="24"/>
        </w:rPr>
      </w:pPr>
      <w:r w:rsidRPr="00D76FE5">
        <w:rPr>
          <w:b/>
          <w:sz w:val="24"/>
          <w:szCs w:val="24"/>
        </w:rPr>
        <w:t>4.</w:t>
      </w:r>
      <w:r w:rsidRPr="00D76FE5">
        <w:rPr>
          <w:b/>
          <w:sz w:val="24"/>
          <w:szCs w:val="24"/>
        </w:rPr>
        <w:tab/>
        <w:t>KLINISKE OPLYSNINGER</w:t>
      </w:r>
    </w:p>
    <w:p w14:paraId="0FAC6B51" w14:textId="77777777" w:rsidR="009260DE" w:rsidRPr="00D76FE5" w:rsidRDefault="009260DE" w:rsidP="009260DE">
      <w:pPr>
        <w:tabs>
          <w:tab w:val="left" w:pos="851"/>
        </w:tabs>
        <w:ind w:left="851"/>
        <w:rPr>
          <w:b/>
          <w:sz w:val="24"/>
          <w:szCs w:val="24"/>
        </w:rPr>
      </w:pPr>
    </w:p>
    <w:p w14:paraId="649DCBEE" w14:textId="77777777" w:rsidR="009260DE" w:rsidRPr="00D76FE5" w:rsidRDefault="009260DE" w:rsidP="009260DE">
      <w:pPr>
        <w:tabs>
          <w:tab w:val="left" w:pos="851"/>
        </w:tabs>
        <w:ind w:left="851" w:hanging="851"/>
        <w:rPr>
          <w:b/>
          <w:sz w:val="24"/>
          <w:szCs w:val="24"/>
          <w:u w:val="single"/>
        </w:rPr>
      </w:pPr>
      <w:r w:rsidRPr="00D76FE5">
        <w:rPr>
          <w:b/>
          <w:sz w:val="24"/>
          <w:szCs w:val="24"/>
        </w:rPr>
        <w:t>4.1</w:t>
      </w:r>
      <w:r w:rsidRPr="00D76FE5">
        <w:rPr>
          <w:b/>
          <w:sz w:val="24"/>
          <w:szCs w:val="24"/>
        </w:rPr>
        <w:tab/>
        <w:t>Terapeutiske indikationer</w:t>
      </w:r>
    </w:p>
    <w:p w14:paraId="65C96DCB" w14:textId="77777777" w:rsidR="00B2416F" w:rsidRPr="00D76FE5" w:rsidRDefault="00B2416F" w:rsidP="00B2416F">
      <w:pPr>
        <w:ind w:left="851"/>
        <w:rPr>
          <w:sz w:val="24"/>
          <w:szCs w:val="24"/>
        </w:rPr>
      </w:pPr>
      <w:r w:rsidRPr="00D76FE5">
        <w:rPr>
          <w:sz w:val="24"/>
          <w:szCs w:val="24"/>
        </w:rPr>
        <w:t>Behandling af okulære tegn og symptomer på sæsonbetinget allergisk konjunktivitis.</w:t>
      </w:r>
    </w:p>
    <w:p w14:paraId="242A861A" w14:textId="7F359679" w:rsidR="00E3086B" w:rsidRDefault="00E3086B">
      <w:pPr>
        <w:rPr>
          <w:sz w:val="24"/>
          <w:szCs w:val="24"/>
        </w:rPr>
      </w:pPr>
      <w:r>
        <w:rPr>
          <w:sz w:val="24"/>
          <w:szCs w:val="24"/>
        </w:rPr>
        <w:br w:type="page"/>
      </w:r>
    </w:p>
    <w:p w14:paraId="45DA8F86" w14:textId="77777777" w:rsidR="009260DE" w:rsidRPr="00D76FE5" w:rsidRDefault="009260DE" w:rsidP="009260DE">
      <w:pPr>
        <w:tabs>
          <w:tab w:val="left" w:pos="851"/>
        </w:tabs>
        <w:ind w:left="851"/>
        <w:rPr>
          <w:sz w:val="24"/>
          <w:szCs w:val="24"/>
        </w:rPr>
      </w:pPr>
    </w:p>
    <w:p w14:paraId="0E675CBB" w14:textId="77777777" w:rsidR="009260DE" w:rsidRPr="00D76FE5" w:rsidRDefault="009260DE" w:rsidP="009260DE">
      <w:pPr>
        <w:tabs>
          <w:tab w:val="left" w:pos="851"/>
        </w:tabs>
        <w:ind w:left="851" w:hanging="851"/>
        <w:rPr>
          <w:b/>
          <w:sz w:val="24"/>
          <w:szCs w:val="24"/>
        </w:rPr>
      </w:pPr>
      <w:r w:rsidRPr="00D76FE5">
        <w:rPr>
          <w:b/>
          <w:sz w:val="24"/>
          <w:szCs w:val="24"/>
        </w:rPr>
        <w:t>4.2</w:t>
      </w:r>
      <w:r w:rsidRPr="00D76FE5">
        <w:rPr>
          <w:b/>
          <w:sz w:val="24"/>
          <w:szCs w:val="24"/>
        </w:rPr>
        <w:tab/>
        <w:t xml:space="preserve">Dosering og </w:t>
      </w:r>
      <w:r w:rsidR="002C1EC0" w:rsidRPr="00D76FE5">
        <w:rPr>
          <w:b/>
          <w:sz w:val="24"/>
          <w:szCs w:val="24"/>
        </w:rPr>
        <w:t>administration</w:t>
      </w:r>
    </w:p>
    <w:p w14:paraId="0E2434A3" w14:textId="77777777" w:rsidR="004254FF" w:rsidRDefault="004254FF" w:rsidP="00B2416F">
      <w:pPr>
        <w:ind w:left="851"/>
        <w:rPr>
          <w:sz w:val="24"/>
          <w:szCs w:val="24"/>
        </w:rPr>
      </w:pPr>
    </w:p>
    <w:p w14:paraId="0C8092FB" w14:textId="78707ACE" w:rsidR="00B2416F" w:rsidRPr="004254FF" w:rsidRDefault="00B2416F" w:rsidP="00B2416F">
      <w:pPr>
        <w:ind w:left="851"/>
        <w:rPr>
          <w:sz w:val="24"/>
          <w:szCs w:val="24"/>
          <w:u w:val="single"/>
        </w:rPr>
      </w:pPr>
      <w:r w:rsidRPr="004254FF">
        <w:rPr>
          <w:sz w:val="24"/>
          <w:szCs w:val="24"/>
          <w:u w:val="single"/>
        </w:rPr>
        <w:t>Dosering</w:t>
      </w:r>
    </w:p>
    <w:p w14:paraId="3B93697F" w14:textId="77777777" w:rsidR="00B2416F" w:rsidRPr="00D76FE5" w:rsidRDefault="00B2416F" w:rsidP="00B2416F">
      <w:pPr>
        <w:ind w:left="851"/>
        <w:rPr>
          <w:sz w:val="24"/>
          <w:szCs w:val="24"/>
        </w:rPr>
      </w:pPr>
    </w:p>
    <w:p w14:paraId="2142FD76" w14:textId="04B95236" w:rsidR="00B2416F" w:rsidRPr="00D76FE5" w:rsidRDefault="00B2416F" w:rsidP="00B2416F">
      <w:pPr>
        <w:ind w:left="851"/>
        <w:rPr>
          <w:sz w:val="24"/>
          <w:szCs w:val="24"/>
        </w:rPr>
      </w:pPr>
      <w:r w:rsidRPr="00D76FE5">
        <w:rPr>
          <w:sz w:val="24"/>
          <w:szCs w:val="24"/>
        </w:rPr>
        <w:t xml:space="preserve">Dosis er én dråbe 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i konjunktivalsækken i det/de berørte øje/øjne to gange dagligt (med 8 timers interval). Behandling kan fortsættes i op til fire måneder, hvis det anses for nødvendigt. </w:t>
      </w:r>
    </w:p>
    <w:p w14:paraId="220266EB" w14:textId="77777777" w:rsidR="00B2416F" w:rsidRPr="00D76FE5" w:rsidRDefault="00B2416F" w:rsidP="00B2416F">
      <w:pPr>
        <w:ind w:left="851"/>
        <w:rPr>
          <w:sz w:val="24"/>
          <w:szCs w:val="24"/>
        </w:rPr>
      </w:pPr>
    </w:p>
    <w:p w14:paraId="5133110C" w14:textId="1E04182D" w:rsidR="00B2416F" w:rsidRPr="004254FF" w:rsidRDefault="00B2416F" w:rsidP="00B2416F">
      <w:pPr>
        <w:ind w:left="851"/>
        <w:rPr>
          <w:i/>
          <w:sz w:val="24"/>
          <w:szCs w:val="24"/>
          <w:u w:val="single"/>
        </w:rPr>
      </w:pPr>
      <w:r w:rsidRPr="004254FF">
        <w:rPr>
          <w:i/>
          <w:sz w:val="24"/>
          <w:szCs w:val="24"/>
          <w:u w:val="single"/>
        </w:rPr>
        <w:t xml:space="preserve">Brug hos </w:t>
      </w:r>
      <w:r w:rsidR="004254FF" w:rsidRPr="004254FF">
        <w:rPr>
          <w:i/>
          <w:sz w:val="24"/>
          <w:szCs w:val="24"/>
          <w:u w:val="single"/>
        </w:rPr>
        <w:t>æ</w:t>
      </w:r>
      <w:r w:rsidRPr="004254FF">
        <w:rPr>
          <w:i/>
          <w:sz w:val="24"/>
          <w:szCs w:val="24"/>
          <w:u w:val="single"/>
        </w:rPr>
        <w:t>ldre</w:t>
      </w:r>
    </w:p>
    <w:p w14:paraId="2F21E4BC" w14:textId="77777777" w:rsidR="00B2416F" w:rsidRPr="00D76FE5" w:rsidRDefault="00B2416F" w:rsidP="00B2416F">
      <w:pPr>
        <w:ind w:left="851"/>
        <w:rPr>
          <w:i/>
          <w:sz w:val="24"/>
          <w:szCs w:val="24"/>
        </w:rPr>
      </w:pPr>
    </w:p>
    <w:p w14:paraId="4250BEF0" w14:textId="77777777" w:rsidR="00B2416F" w:rsidRPr="00D76FE5" w:rsidRDefault="00B2416F" w:rsidP="00B2416F">
      <w:pPr>
        <w:ind w:left="851"/>
        <w:rPr>
          <w:sz w:val="24"/>
          <w:szCs w:val="24"/>
        </w:rPr>
      </w:pPr>
      <w:r w:rsidRPr="00D76FE5">
        <w:rPr>
          <w:sz w:val="24"/>
          <w:szCs w:val="24"/>
        </w:rPr>
        <w:t>Dosisjustering hos ældre patienter er ikke nødvendig.</w:t>
      </w:r>
    </w:p>
    <w:p w14:paraId="2EB9D155" w14:textId="77777777" w:rsidR="00B2416F" w:rsidRPr="00D76FE5" w:rsidRDefault="00B2416F" w:rsidP="00B2416F">
      <w:pPr>
        <w:ind w:left="851"/>
        <w:rPr>
          <w:sz w:val="24"/>
          <w:szCs w:val="24"/>
        </w:rPr>
      </w:pPr>
    </w:p>
    <w:p w14:paraId="29A0830C" w14:textId="77777777" w:rsidR="00B2416F" w:rsidRPr="004254FF" w:rsidRDefault="00B2416F" w:rsidP="00B2416F">
      <w:pPr>
        <w:ind w:left="851"/>
        <w:rPr>
          <w:i/>
          <w:iCs/>
          <w:sz w:val="24"/>
          <w:szCs w:val="24"/>
          <w:u w:val="single"/>
        </w:rPr>
      </w:pPr>
      <w:r w:rsidRPr="004254FF">
        <w:rPr>
          <w:i/>
          <w:sz w:val="24"/>
          <w:szCs w:val="24"/>
          <w:u w:val="single"/>
        </w:rPr>
        <w:t>Pædiatrisk population</w:t>
      </w:r>
      <w:r w:rsidRPr="004254FF">
        <w:rPr>
          <w:i/>
          <w:iCs/>
          <w:sz w:val="24"/>
          <w:szCs w:val="24"/>
          <w:u w:val="single"/>
        </w:rPr>
        <w:t xml:space="preserve"> </w:t>
      </w:r>
    </w:p>
    <w:p w14:paraId="0DD01CAF" w14:textId="77777777" w:rsidR="00B2416F" w:rsidRPr="00D76FE5" w:rsidRDefault="00B2416F" w:rsidP="00B2416F">
      <w:pPr>
        <w:ind w:left="851"/>
        <w:rPr>
          <w:i/>
          <w:sz w:val="24"/>
          <w:szCs w:val="24"/>
        </w:rPr>
      </w:pPr>
    </w:p>
    <w:p w14:paraId="03E91755" w14:textId="2E02DB56" w:rsidR="00B2416F" w:rsidRPr="00D76FE5" w:rsidRDefault="00B2416F" w:rsidP="00B2416F">
      <w:pPr>
        <w:ind w:left="851"/>
        <w:rPr>
          <w:sz w:val="24"/>
          <w:szCs w:val="24"/>
        </w:rPr>
      </w:pPr>
      <w:r w:rsidRPr="00D76FE5">
        <w:rPr>
          <w:sz w:val="24"/>
          <w:szCs w:val="24"/>
        </w:rPr>
        <w:t xml:space="preserve">Børn (3 år og ældre) kan behandles med 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med samme dosis som voksne. Sikkerhed og virkning af 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hos børn under 3 år er ikke klarlagt. Der foreligger ingen data.</w:t>
      </w:r>
    </w:p>
    <w:p w14:paraId="2030BC5F" w14:textId="77777777" w:rsidR="00B2416F" w:rsidRPr="00D76FE5" w:rsidRDefault="00B2416F" w:rsidP="00B2416F">
      <w:pPr>
        <w:ind w:left="851"/>
        <w:rPr>
          <w:sz w:val="24"/>
          <w:szCs w:val="24"/>
        </w:rPr>
      </w:pPr>
    </w:p>
    <w:p w14:paraId="08B74D99" w14:textId="77777777" w:rsidR="00B2416F" w:rsidRPr="004254FF" w:rsidRDefault="00B2416F" w:rsidP="00B2416F">
      <w:pPr>
        <w:ind w:left="851"/>
        <w:rPr>
          <w:i/>
          <w:sz w:val="24"/>
          <w:szCs w:val="24"/>
          <w:u w:val="single"/>
        </w:rPr>
      </w:pPr>
      <w:r w:rsidRPr="004254FF">
        <w:rPr>
          <w:i/>
          <w:sz w:val="24"/>
          <w:szCs w:val="24"/>
          <w:u w:val="single"/>
        </w:rPr>
        <w:t>Brug ved nedsat lever- og nyrefunktion</w:t>
      </w:r>
    </w:p>
    <w:p w14:paraId="6262A3D3" w14:textId="669E10B6" w:rsidR="00B2416F" w:rsidRPr="00D76FE5" w:rsidRDefault="00B2416F" w:rsidP="00B2416F">
      <w:pPr>
        <w:ind w:left="851"/>
        <w:rPr>
          <w:sz w:val="24"/>
          <w:szCs w:val="24"/>
        </w:rPr>
      </w:pPr>
      <w:r w:rsidRPr="00D76FE5">
        <w:rPr>
          <w:sz w:val="24"/>
          <w:szCs w:val="24"/>
        </w:rPr>
        <w:t xml:space="preserve">Olopatadin som øjendråber (Olopatadin </w:t>
      </w:r>
      <w:r w:rsidR="00E3086B">
        <w:rPr>
          <w:sz w:val="24"/>
          <w:szCs w:val="24"/>
        </w:rPr>
        <w:t>"</w:t>
      </w:r>
      <w:r w:rsidR="00B36134">
        <w:rPr>
          <w:sz w:val="24"/>
          <w:szCs w:val="24"/>
        </w:rPr>
        <w:t>Brown &amp; Burk</w:t>
      </w:r>
      <w:r w:rsidR="00E3086B">
        <w:rPr>
          <w:sz w:val="24"/>
          <w:szCs w:val="24"/>
        </w:rPr>
        <w:t>"</w:t>
      </w:r>
      <w:r w:rsidRPr="00D76FE5">
        <w:rPr>
          <w:sz w:val="24"/>
          <w:szCs w:val="24"/>
        </w:rPr>
        <w:t>) er ikke undersøgt hos patienter med lever- eller nyresygdom. Det forventes imidlertid, at dosisjustering ikke er nødvendig ved nedsat lever- og nyrefunktion (se pkt. 5.2).</w:t>
      </w:r>
    </w:p>
    <w:p w14:paraId="7D33AF30" w14:textId="77777777" w:rsidR="00B2416F" w:rsidRPr="00D76FE5" w:rsidRDefault="00B2416F" w:rsidP="00B2416F">
      <w:pPr>
        <w:ind w:left="851"/>
        <w:rPr>
          <w:sz w:val="24"/>
          <w:szCs w:val="24"/>
        </w:rPr>
      </w:pPr>
    </w:p>
    <w:p w14:paraId="42D4C6F6" w14:textId="77777777" w:rsidR="00B2416F" w:rsidRPr="004254FF" w:rsidRDefault="00B2416F" w:rsidP="00B2416F">
      <w:pPr>
        <w:ind w:left="851"/>
        <w:rPr>
          <w:sz w:val="24"/>
          <w:szCs w:val="24"/>
          <w:u w:val="single"/>
        </w:rPr>
      </w:pPr>
      <w:bookmarkStart w:id="0" w:name="_Hlk184900465"/>
      <w:r w:rsidRPr="004254FF">
        <w:rPr>
          <w:sz w:val="24"/>
          <w:szCs w:val="24"/>
          <w:u w:val="single"/>
        </w:rPr>
        <w:t>Administrationsmåde</w:t>
      </w:r>
    </w:p>
    <w:p w14:paraId="77E1B563" w14:textId="77777777" w:rsidR="00B2416F" w:rsidRPr="00D76FE5" w:rsidRDefault="00B2416F" w:rsidP="00B2416F">
      <w:pPr>
        <w:ind w:left="851"/>
        <w:rPr>
          <w:sz w:val="24"/>
          <w:szCs w:val="24"/>
        </w:rPr>
      </w:pPr>
      <w:r w:rsidRPr="00D76FE5">
        <w:rPr>
          <w:sz w:val="24"/>
          <w:szCs w:val="24"/>
        </w:rPr>
        <w:t xml:space="preserve">Kun til okulær anvendelse. </w:t>
      </w:r>
    </w:p>
    <w:bookmarkEnd w:id="0"/>
    <w:p w14:paraId="28F897FE" w14:textId="77777777" w:rsidR="00B2416F" w:rsidRPr="00D76FE5" w:rsidRDefault="00B2416F" w:rsidP="00B2416F">
      <w:pPr>
        <w:ind w:left="851"/>
        <w:rPr>
          <w:sz w:val="24"/>
          <w:szCs w:val="24"/>
        </w:rPr>
      </w:pPr>
    </w:p>
    <w:p w14:paraId="63EBBD05" w14:textId="77777777" w:rsidR="00B2416F" w:rsidRPr="00D76FE5" w:rsidRDefault="00B2416F" w:rsidP="00B2416F">
      <w:pPr>
        <w:ind w:left="851"/>
        <w:rPr>
          <w:sz w:val="24"/>
          <w:szCs w:val="24"/>
        </w:rPr>
      </w:pPr>
      <w:r w:rsidRPr="00D76FE5">
        <w:rPr>
          <w:sz w:val="24"/>
          <w:szCs w:val="24"/>
        </w:rPr>
        <w:t>Ved anvendelse af nasolakrimal okklusion eller ved at lukke øjenlågene i 2 minutter reduceres den systemiske absorption. Dette kan medføre færre systemiske bivirkninger og en forstærket lokal virkning.</w:t>
      </w:r>
    </w:p>
    <w:p w14:paraId="5305746B" w14:textId="77777777" w:rsidR="004254FF" w:rsidRDefault="004254FF" w:rsidP="00B2416F">
      <w:pPr>
        <w:ind w:left="851"/>
        <w:rPr>
          <w:sz w:val="24"/>
          <w:szCs w:val="24"/>
        </w:rPr>
      </w:pPr>
    </w:p>
    <w:p w14:paraId="65BF492C" w14:textId="1E202A5A" w:rsidR="00B2416F" w:rsidRPr="00D76FE5" w:rsidRDefault="00B2416F" w:rsidP="00B2416F">
      <w:pPr>
        <w:ind w:left="851"/>
        <w:rPr>
          <w:sz w:val="24"/>
          <w:szCs w:val="24"/>
        </w:rPr>
      </w:pPr>
      <w:r w:rsidRPr="00D76FE5">
        <w:rPr>
          <w:sz w:val="24"/>
          <w:szCs w:val="24"/>
        </w:rPr>
        <w:t>For at undgå kontaminering af dråbespidsen og opløsningen skal forsigtighed udvises for at sikre, at spidsen ikke berører øjenlågene, omgivende områder eller andre overflader. Instruér patienter i at holde flasken tæt lukket, når den ikke er i brug.</w:t>
      </w:r>
    </w:p>
    <w:p w14:paraId="017A1625" w14:textId="77777777" w:rsidR="004254FF" w:rsidRDefault="004254FF" w:rsidP="00B2416F">
      <w:pPr>
        <w:ind w:left="851"/>
        <w:rPr>
          <w:bCs/>
          <w:sz w:val="24"/>
          <w:szCs w:val="24"/>
        </w:rPr>
      </w:pPr>
    </w:p>
    <w:p w14:paraId="76670D73" w14:textId="13500FC8" w:rsidR="00B2416F" w:rsidRPr="00D76FE5" w:rsidRDefault="00B2416F" w:rsidP="00B2416F">
      <w:pPr>
        <w:ind w:left="851"/>
        <w:rPr>
          <w:bCs/>
          <w:sz w:val="24"/>
          <w:szCs w:val="24"/>
        </w:rPr>
      </w:pPr>
      <w:r w:rsidRPr="00D76FE5">
        <w:rPr>
          <w:bCs/>
          <w:sz w:val="24"/>
          <w:szCs w:val="24"/>
        </w:rPr>
        <w:t>Ved samtidig anvendelse af andre topikale øjenpræparater bør der gå mindst 5 minutter mellem applikationerne. Øjensalve skal administreres til sidst.</w:t>
      </w:r>
    </w:p>
    <w:p w14:paraId="4465D65B" w14:textId="77777777" w:rsidR="009260DE" w:rsidRPr="00D76FE5" w:rsidRDefault="009260DE" w:rsidP="009260DE">
      <w:pPr>
        <w:tabs>
          <w:tab w:val="left" w:pos="851"/>
        </w:tabs>
        <w:ind w:left="851"/>
        <w:rPr>
          <w:sz w:val="24"/>
          <w:szCs w:val="24"/>
        </w:rPr>
      </w:pPr>
    </w:p>
    <w:p w14:paraId="11DD2938" w14:textId="77777777" w:rsidR="009260DE" w:rsidRPr="00D76FE5" w:rsidRDefault="009260DE" w:rsidP="009260DE">
      <w:pPr>
        <w:tabs>
          <w:tab w:val="left" w:pos="851"/>
        </w:tabs>
        <w:ind w:left="851" w:hanging="851"/>
        <w:rPr>
          <w:b/>
          <w:sz w:val="24"/>
          <w:szCs w:val="24"/>
        </w:rPr>
      </w:pPr>
      <w:r w:rsidRPr="00D76FE5">
        <w:rPr>
          <w:b/>
          <w:sz w:val="24"/>
          <w:szCs w:val="24"/>
        </w:rPr>
        <w:t>4.3</w:t>
      </w:r>
      <w:r w:rsidRPr="00D76FE5">
        <w:rPr>
          <w:b/>
          <w:sz w:val="24"/>
          <w:szCs w:val="24"/>
        </w:rPr>
        <w:tab/>
        <w:t>Kontraindikationer</w:t>
      </w:r>
    </w:p>
    <w:p w14:paraId="178B887F" w14:textId="77777777" w:rsidR="00B2416F" w:rsidRPr="00D76FE5" w:rsidRDefault="00B2416F" w:rsidP="00B2416F">
      <w:pPr>
        <w:ind w:left="851"/>
        <w:rPr>
          <w:sz w:val="24"/>
          <w:szCs w:val="24"/>
        </w:rPr>
      </w:pPr>
      <w:r w:rsidRPr="00D76FE5">
        <w:rPr>
          <w:sz w:val="24"/>
          <w:szCs w:val="24"/>
        </w:rPr>
        <w:t>Overfølsomhed over for det aktive stof eller over for et eller flere af hjælpestofferne anført i pkt. 6.1.</w:t>
      </w:r>
    </w:p>
    <w:p w14:paraId="77B3FB43" w14:textId="77777777" w:rsidR="009260DE" w:rsidRPr="00D76FE5" w:rsidRDefault="009260DE" w:rsidP="009260DE">
      <w:pPr>
        <w:tabs>
          <w:tab w:val="left" w:pos="851"/>
        </w:tabs>
        <w:ind w:left="851"/>
        <w:rPr>
          <w:sz w:val="24"/>
          <w:szCs w:val="24"/>
        </w:rPr>
      </w:pPr>
    </w:p>
    <w:p w14:paraId="4EBB2250" w14:textId="77777777" w:rsidR="009260DE" w:rsidRPr="00D76FE5" w:rsidRDefault="009260DE" w:rsidP="009260DE">
      <w:pPr>
        <w:tabs>
          <w:tab w:val="left" w:pos="851"/>
        </w:tabs>
        <w:ind w:left="851" w:hanging="851"/>
        <w:rPr>
          <w:b/>
          <w:sz w:val="24"/>
          <w:szCs w:val="24"/>
        </w:rPr>
      </w:pPr>
      <w:r w:rsidRPr="00D76FE5">
        <w:rPr>
          <w:b/>
          <w:sz w:val="24"/>
          <w:szCs w:val="24"/>
        </w:rPr>
        <w:t>4.4</w:t>
      </w:r>
      <w:r w:rsidRPr="00D76FE5">
        <w:rPr>
          <w:b/>
          <w:sz w:val="24"/>
          <w:szCs w:val="24"/>
        </w:rPr>
        <w:tab/>
        <w:t>Særlige advarsler og forsigtighedsregler vedrørende brugen</w:t>
      </w:r>
    </w:p>
    <w:p w14:paraId="01E273FA" w14:textId="261D6411" w:rsidR="00B2416F" w:rsidRPr="00D76FE5" w:rsidRDefault="00B2416F" w:rsidP="00B2416F">
      <w:pPr>
        <w:ind w:left="851"/>
        <w:rPr>
          <w:sz w:val="24"/>
          <w:szCs w:val="24"/>
        </w:rPr>
      </w:pPr>
      <w:r w:rsidRPr="00D76FE5">
        <w:rPr>
          <w:sz w:val="24"/>
          <w:szCs w:val="24"/>
        </w:rPr>
        <w:t xml:space="preserve">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er et antiallergikum/antihistaminikum som, selv ved topikal administration, kan absorberes systemisk. Hvis der forekommer tegn på alvorlige bivirkninger eller overfølsomhed, skal behandlingen stoppes.</w:t>
      </w:r>
    </w:p>
    <w:p w14:paraId="6787EF6C" w14:textId="77777777" w:rsidR="00B2416F" w:rsidRPr="00D76FE5" w:rsidRDefault="00B2416F" w:rsidP="00B2416F">
      <w:pPr>
        <w:ind w:left="851"/>
        <w:rPr>
          <w:sz w:val="24"/>
          <w:szCs w:val="24"/>
        </w:rPr>
      </w:pPr>
    </w:p>
    <w:p w14:paraId="64F8E584" w14:textId="77777777" w:rsidR="00B2416F" w:rsidRPr="00D76FE5" w:rsidRDefault="00B2416F" w:rsidP="00B2416F">
      <w:pPr>
        <w:ind w:left="851"/>
        <w:rPr>
          <w:sz w:val="24"/>
          <w:szCs w:val="24"/>
          <w:u w:val="single"/>
        </w:rPr>
      </w:pPr>
      <w:r w:rsidRPr="00D76FE5">
        <w:rPr>
          <w:sz w:val="24"/>
          <w:szCs w:val="24"/>
          <w:u w:val="single"/>
        </w:rPr>
        <w:t xml:space="preserve">Benzalkoniumchlorid </w:t>
      </w:r>
    </w:p>
    <w:p w14:paraId="3B89DD48" w14:textId="77777777" w:rsidR="00B2416F" w:rsidRPr="00D76FE5" w:rsidRDefault="00B2416F" w:rsidP="00B2416F">
      <w:pPr>
        <w:ind w:left="851"/>
        <w:rPr>
          <w:sz w:val="24"/>
          <w:szCs w:val="24"/>
        </w:rPr>
      </w:pPr>
      <w:r w:rsidRPr="00D76FE5">
        <w:rPr>
          <w:sz w:val="24"/>
          <w:szCs w:val="24"/>
        </w:rPr>
        <w:t xml:space="preserve">Dette lægemiddel indeholder 0,1 mg benzalkoniumchlorid pr. ml opløsning. </w:t>
      </w:r>
    </w:p>
    <w:p w14:paraId="32FAF550" w14:textId="77777777" w:rsidR="00B2416F" w:rsidRPr="00D76FE5" w:rsidRDefault="00B2416F" w:rsidP="00B2416F">
      <w:pPr>
        <w:ind w:left="851"/>
        <w:rPr>
          <w:sz w:val="24"/>
          <w:szCs w:val="24"/>
        </w:rPr>
      </w:pPr>
      <w:r w:rsidRPr="00D76FE5">
        <w:rPr>
          <w:sz w:val="24"/>
          <w:szCs w:val="24"/>
        </w:rPr>
        <w:t xml:space="preserve">Ud fra de begrænsede data, der foreligger, er der ingen forskel i bivirkningsprofilen hos børn sammenlignet med voksne. </w:t>
      </w:r>
    </w:p>
    <w:p w14:paraId="60A1D5F4" w14:textId="77777777" w:rsidR="00B2416F" w:rsidRPr="00D76FE5" w:rsidRDefault="00B2416F" w:rsidP="00B2416F">
      <w:pPr>
        <w:ind w:left="851"/>
        <w:rPr>
          <w:sz w:val="24"/>
          <w:szCs w:val="24"/>
        </w:rPr>
      </w:pPr>
      <w:r w:rsidRPr="00D76FE5">
        <w:rPr>
          <w:sz w:val="24"/>
          <w:szCs w:val="24"/>
        </w:rPr>
        <w:lastRenderedPageBreak/>
        <w:t xml:space="preserve">Generelt viser børns øjne dog en stærkere reaktion på en given stimulus end voksne øjne. </w:t>
      </w:r>
    </w:p>
    <w:p w14:paraId="3B99CDF4" w14:textId="77777777" w:rsidR="00B2416F" w:rsidRPr="00D76FE5" w:rsidRDefault="00B2416F" w:rsidP="00B2416F">
      <w:pPr>
        <w:ind w:left="851"/>
        <w:rPr>
          <w:sz w:val="24"/>
          <w:szCs w:val="24"/>
        </w:rPr>
      </w:pPr>
      <w:r w:rsidRPr="00D76FE5">
        <w:rPr>
          <w:sz w:val="24"/>
          <w:szCs w:val="24"/>
        </w:rPr>
        <w:t>Irritation kan påvirke behandlingsadhærens hos børn.</w:t>
      </w:r>
    </w:p>
    <w:p w14:paraId="167EDB17" w14:textId="77777777" w:rsidR="00B2416F" w:rsidRPr="00D76FE5" w:rsidRDefault="00B2416F" w:rsidP="00B2416F">
      <w:pPr>
        <w:ind w:left="851"/>
        <w:rPr>
          <w:sz w:val="24"/>
          <w:szCs w:val="24"/>
        </w:rPr>
      </w:pPr>
      <w:r w:rsidRPr="00D76FE5">
        <w:rPr>
          <w:sz w:val="24"/>
          <w:szCs w:val="24"/>
        </w:rPr>
        <w:t>Benzalkoniumchlorid er rapporteret at forårsage øjenirritation, symptomer på tørre øjne og kan påvirke tårefilmen og hornhindens overflade. Skal anvendes med forsigtighed hos patienter med tørre øjne og hos patienter med kompromitteret hornhinde. Patienter bør overvåges ved langvarig brug.</w:t>
      </w:r>
    </w:p>
    <w:p w14:paraId="1BA7C5D8" w14:textId="77777777" w:rsidR="00B2416F" w:rsidRPr="00D76FE5" w:rsidRDefault="00B2416F" w:rsidP="00B2416F">
      <w:pPr>
        <w:ind w:left="851"/>
        <w:rPr>
          <w:sz w:val="24"/>
          <w:szCs w:val="24"/>
        </w:rPr>
      </w:pPr>
    </w:p>
    <w:p w14:paraId="0E5DA3B2" w14:textId="77777777" w:rsidR="00B2416F" w:rsidRPr="00D76FE5" w:rsidRDefault="00B2416F" w:rsidP="00B2416F">
      <w:pPr>
        <w:ind w:left="851"/>
        <w:rPr>
          <w:sz w:val="24"/>
          <w:szCs w:val="24"/>
          <w:u w:val="single"/>
        </w:rPr>
      </w:pPr>
      <w:r w:rsidRPr="00D76FE5">
        <w:rPr>
          <w:sz w:val="24"/>
          <w:szCs w:val="24"/>
          <w:u w:val="single"/>
        </w:rPr>
        <w:t>Benzalkoniumchlorid og kontaktlinser</w:t>
      </w:r>
    </w:p>
    <w:p w14:paraId="59F449C9" w14:textId="77777777" w:rsidR="00B2416F" w:rsidRPr="00D76FE5" w:rsidRDefault="00B2416F" w:rsidP="00B2416F">
      <w:pPr>
        <w:ind w:left="851"/>
        <w:rPr>
          <w:sz w:val="24"/>
          <w:szCs w:val="24"/>
        </w:rPr>
      </w:pPr>
      <w:r w:rsidRPr="00D76FE5">
        <w:rPr>
          <w:sz w:val="24"/>
          <w:szCs w:val="24"/>
        </w:rPr>
        <w:t>Benzalkoniumchlorid kan absorberes af bløde kontaktlinser og kan ændre farven på kontaktlinserne. Kontaktlinser bør fjernes før brug af dette lægemiddel og kan indsættes igen 15 minutter efter anvendelse.</w:t>
      </w:r>
    </w:p>
    <w:p w14:paraId="0BBF9C5C" w14:textId="77777777" w:rsidR="00B2416F" w:rsidRPr="00D76FE5" w:rsidRDefault="00B2416F" w:rsidP="00B2416F">
      <w:pPr>
        <w:ind w:left="851"/>
        <w:rPr>
          <w:sz w:val="24"/>
          <w:szCs w:val="24"/>
        </w:rPr>
      </w:pPr>
    </w:p>
    <w:p w14:paraId="50DE1DF5" w14:textId="77777777" w:rsidR="00B2416F" w:rsidRPr="00D76FE5" w:rsidRDefault="00B2416F" w:rsidP="00B2416F">
      <w:pPr>
        <w:ind w:left="851"/>
        <w:rPr>
          <w:sz w:val="24"/>
          <w:szCs w:val="24"/>
          <w:u w:val="single"/>
        </w:rPr>
      </w:pPr>
      <w:r w:rsidRPr="00D76FE5">
        <w:rPr>
          <w:sz w:val="24"/>
          <w:szCs w:val="24"/>
          <w:u w:val="single"/>
        </w:rPr>
        <w:t xml:space="preserve">Phosphatbuffer </w:t>
      </w:r>
    </w:p>
    <w:p w14:paraId="7430241B" w14:textId="77777777" w:rsidR="00B2416F" w:rsidRPr="00D76FE5" w:rsidRDefault="00B2416F" w:rsidP="00B2416F">
      <w:pPr>
        <w:ind w:left="851"/>
        <w:rPr>
          <w:sz w:val="24"/>
          <w:szCs w:val="24"/>
        </w:rPr>
      </w:pPr>
      <w:r w:rsidRPr="00D76FE5">
        <w:rPr>
          <w:sz w:val="24"/>
          <w:szCs w:val="24"/>
        </w:rPr>
        <w:t>Dette lægemiddel indeholder 3,34 mg phosphater pr. ml opløsning (se pkt. 4.8 Bivirkninger, korneal forkalkning).</w:t>
      </w:r>
    </w:p>
    <w:p w14:paraId="7CC3FFC6" w14:textId="77777777" w:rsidR="009260DE" w:rsidRPr="00D76FE5" w:rsidRDefault="009260DE" w:rsidP="009260DE">
      <w:pPr>
        <w:tabs>
          <w:tab w:val="left" w:pos="851"/>
        </w:tabs>
        <w:ind w:left="851"/>
        <w:rPr>
          <w:sz w:val="24"/>
          <w:szCs w:val="24"/>
        </w:rPr>
      </w:pPr>
    </w:p>
    <w:p w14:paraId="06383E5A" w14:textId="77777777" w:rsidR="009260DE" w:rsidRPr="00D76FE5" w:rsidRDefault="009260DE" w:rsidP="009260DE">
      <w:pPr>
        <w:tabs>
          <w:tab w:val="left" w:pos="851"/>
        </w:tabs>
        <w:ind w:left="851" w:hanging="851"/>
        <w:rPr>
          <w:b/>
          <w:sz w:val="24"/>
          <w:szCs w:val="24"/>
        </w:rPr>
      </w:pPr>
      <w:r w:rsidRPr="00D76FE5">
        <w:rPr>
          <w:b/>
          <w:sz w:val="24"/>
          <w:szCs w:val="24"/>
        </w:rPr>
        <w:t>4.5</w:t>
      </w:r>
      <w:r w:rsidRPr="00D76FE5">
        <w:rPr>
          <w:b/>
          <w:sz w:val="24"/>
          <w:szCs w:val="24"/>
        </w:rPr>
        <w:tab/>
        <w:t>Interaktion med andre lægemidler og andre former for interaktion</w:t>
      </w:r>
    </w:p>
    <w:p w14:paraId="51B78E4F" w14:textId="77777777" w:rsidR="00B2416F" w:rsidRPr="00D76FE5" w:rsidRDefault="00B2416F" w:rsidP="00B2416F">
      <w:pPr>
        <w:ind w:left="851"/>
        <w:rPr>
          <w:sz w:val="24"/>
          <w:szCs w:val="24"/>
        </w:rPr>
      </w:pPr>
      <w:r w:rsidRPr="00D76FE5">
        <w:rPr>
          <w:sz w:val="24"/>
          <w:szCs w:val="24"/>
        </w:rPr>
        <w:t>Der er ikke udført interaktionsstudier med andre lægemidler.</w:t>
      </w:r>
    </w:p>
    <w:p w14:paraId="09DB44F8" w14:textId="77777777" w:rsidR="00B2416F" w:rsidRPr="00D76FE5" w:rsidRDefault="00B2416F" w:rsidP="00B2416F">
      <w:pPr>
        <w:ind w:left="851"/>
        <w:rPr>
          <w:sz w:val="24"/>
          <w:szCs w:val="24"/>
        </w:rPr>
      </w:pPr>
    </w:p>
    <w:p w14:paraId="3D422186" w14:textId="590919EE" w:rsidR="00B2416F" w:rsidRPr="00D76FE5" w:rsidRDefault="00B2416F" w:rsidP="00B2416F">
      <w:pPr>
        <w:ind w:left="851"/>
        <w:rPr>
          <w:i/>
          <w:sz w:val="24"/>
          <w:szCs w:val="24"/>
        </w:rPr>
      </w:pPr>
      <w:r w:rsidRPr="00D76FE5">
        <w:rPr>
          <w:i/>
          <w:sz w:val="24"/>
          <w:szCs w:val="24"/>
        </w:rPr>
        <w:t>In vitro-</w:t>
      </w:r>
      <w:r w:rsidRPr="00D76FE5">
        <w:rPr>
          <w:iCs/>
          <w:sz w:val="24"/>
          <w:szCs w:val="24"/>
        </w:rPr>
        <w:t>studier har vist, at olopatadin ikke hæmmer metaboliske reaktioner, der involverer cytochrom P-450-isozymerne 1A2, 2C8, 2C9, 2C19, 2D6, 2E1 og 3A4. Disse resultater antyder, at det er usandsynligt, at olopatadin er årsag til metaboliske interaktioner med andre samtidigt administrerede aktive substanser.</w:t>
      </w:r>
    </w:p>
    <w:p w14:paraId="013B00EF" w14:textId="77777777" w:rsidR="009260DE" w:rsidRPr="00D76FE5" w:rsidRDefault="009260DE" w:rsidP="009260DE">
      <w:pPr>
        <w:tabs>
          <w:tab w:val="left" w:pos="851"/>
        </w:tabs>
        <w:ind w:left="851"/>
        <w:rPr>
          <w:sz w:val="24"/>
          <w:szCs w:val="24"/>
        </w:rPr>
      </w:pPr>
    </w:p>
    <w:p w14:paraId="4F9F93BC" w14:textId="77777777" w:rsidR="009260DE" w:rsidRPr="00D76FE5" w:rsidRDefault="009260DE" w:rsidP="009260DE">
      <w:pPr>
        <w:tabs>
          <w:tab w:val="left" w:pos="851"/>
        </w:tabs>
        <w:ind w:left="851" w:hanging="851"/>
        <w:rPr>
          <w:b/>
          <w:sz w:val="24"/>
          <w:szCs w:val="24"/>
        </w:rPr>
      </w:pPr>
      <w:r w:rsidRPr="00D76FE5">
        <w:rPr>
          <w:b/>
          <w:sz w:val="24"/>
          <w:szCs w:val="24"/>
        </w:rPr>
        <w:t>4.6</w:t>
      </w:r>
      <w:r w:rsidRPr="00D76FE5">
        <w:rPr>
          <w:b/>
          <w:sz w:val="24"/>
          <w:szCs w:val="24"/>
        </w:rPr>
        <w:tab/>
      </w:r>
      <w:r w:rsidR="0071241E" w:rsidRPr="00D76FE5">
        <w:rPr>
          <w:b/>
          <w:sz w:val="24"/>
          <w:szCs w:val="24"/>
        </w:rPr>
        <w:t>Fertilitet, g</w:t>
      </w:r>
      <w:r w:rsidRPr="00D76FE5">
        <w:rPr>
          <w:b/>
          <w:sz w:val="24"/>
          <w:szCs w:val="24"/>
        </w:rPr>
        <w:t>raviditet og amning</w:t>
      </w:r>
    </w:p>
    <w:p w14:paraId="03213F65" w14:textId="77777777" w:rsidR="004254FF" w:rsidRDefault="004254FF" w:rsidP="00B2416F">
      <w:pPr>
        <w:ind w:left="851"/>
        <w:rPr>
          <w:sz w:val="24"/>
          <w:szCs w:val="24"/>
        </w:rPr>
      </w:pPr>
    </w:p>
    <w:p w14:paraId="02AAF75F" w14:textId="7B22DA65" w:rsidR="00B2416F" w:rsidRPr="004254FF" w:rsidRDefault="00B2416F" w:rsidP="00B2416F">
      <w:pPr>
        <w:ind w:left="851"/>
        <w:rPr>
          <w:sz w:val="24"/>
          <w:szCs w:val="24"/>
          <w:u w:val="single"/>
        </w:rPr>
      </w:pPr>
      <w:r w:rsidRPr="004254FF">
        <w:rPr>
          <w:sz w:val="24"/>
          <w:szCs w:val="24"/>
          <w:u w:val="single"/>
        </w:rPr>
        <w:t>Graviditet</w:t>
      </w:r>
    </w:p>
    <w:p w14:paraId="73E09781" w14:textId="77777777" w:rsidR="00B2416F" w:rsidRPr="00D76FE5" w:rsidRDefault="00B2416F" w:rsidP="00B2416F">
      <w:pPr>
        <w:ind w:left="851"/>
        <w:rPr>
          <w:sz w:val="24"/>
          <w:szCs w:val="24"/>
        </w:rPr>
      </w:pPr>
    </w:p>
    <w:p w14:paraId="33B72206" w14:textId="0B82C54A" w:rsidR="00B2416F" w:rsidRPr="00D76FE5" w:rsidRDefault="00B2416F" w:rsidP="00B2416F">
      <w:pPr>
        <w:ind w:left="851"/>
        <w:rPr>
          <w:sz w:val="24"/>
          <w:szCs w:val="24"/>
        </w:rPr>
      </w:pPr>
      <w:r w:rsidRPr="00D76FE5">
        <w:rPr>
          <w:sz w:val="24"/>
          <w:szCs w:val="24"/>
        </w:rPr>
        <w:t xml:space="preserve">Der er ingen eller utilstrækkelige data fra anvendelse af oftalmisk olopatadin til gravide kvinder. Dyrestudier har påvist reproduktionstoksicitet efter systemisk administration (se </w:t>
      </w:r>
      <w:r w:rsidR="00E3086B">
        <w:rPr>
          <w:sz w:val="24"/>
          <w:szCs w:val="24"/>
        </w:rPr>
        <w:t>pkt.</w:t>
      </w:r>
      <w:r w:rsidRPr="00D76FE5">
        <w:rPr>
          <w:sz w:val="24"/>
          <w:szCs w:val="24"/>
        </w:rPr>
        <w:t xml:space="preserve"> 5.3).</w:t>
      </w:r>
    </w:p>
    <w:p w14:paraId="13A11DFE" w14:textId="77777777" w:rsidR="00B2416F" w:rsidRPr="00D76FE5" w:rsidRDefault="00B2416F" w:rsidP="00B2416F">
      <w:pPr>
        <w:ind w:left="851"/>
        <w:rPr>
          <w:sz w:val="24"/>
          <w:szCs w:val="24"/>
        </w:rPr>
      </w:pPr>
      <w:r w:rsidRPr="00D76FE5">
        <w:rPr>
          <w:sz w:val="24"/>
          <w:szCs w:val="24"/>
        </w:rPr>
        <w:t xml:space="preserve">Olopatadin frarådes under graviditet og til kvinder i den fertile alder, der ikke anvender præventionsmidler. </w:t>
      </w:r>
    </w:p>
    <w:p w14:paraId="7257F8E1" w14:textId="77777777" w:rsidR="004254FF" w:rsidRDefault="004254FF" w:rsidP="00B2416F">
      <w:pPr>
        <w:ind w:left="851"/>
        <w:rPr>
          <w:sz w:val="24"/>
          <w:szCs w:val="24"/>
        </w:rPr>
      </w:pPr>
    </w:p>
    <w:p w14:paraId="27085CA3" w14:textId="15978F0F" w:rsidR="00B2416F" w:rsidRPr="004254FF" w:rsidRDefault="00B2416F" w:rsidP="00B2416F">
      <w:pPr>
        <w:ind w:left="851"/>
        <w:rPr>
          <w:sz w:val="24"/>
          <w:szCs w:val="24"/>
          <w:u w:val="single"/>
        </w:rPr>
      </w:pPr>
      <w:r w:rsidRPr="004254FF">
        <w:rPr>
          <w:sz w:val="24"/>
          <w:szCs w:val="24"/>
          <w:u w:val="single"/>
        </w:rPr>
        <w:t>Amning</w:t>
      </w:r>
    </w:p>
    <w:p w14:paraId="71924071" w14:textId="33F3C60D" w:rsidR="00B2416F" w:rsidRPr="00D76FE5" w:rsidRDefault="00B2416F" w:rsidP="00B2416F">
      <w:pPr>
        <w:ind w:left="851"/>
        <w:rPr>
          <w:sz w:val="24"/>
          <w:szCs w:val="24"/>
        </w:rPr>
      </w:pPr>
      <w:r w:rsidRPr="00D76FE5">
        <w:rPr>
          <w:sz w:val="24"/>
          <w:szCs w:val="24"/>
        </w:rPr>
        <w:t>De tilgængelige data fra dyrestudier viser, at olopatadin udskilles i mælk efter oral administration (se pkt. 5.3 for detaljer).</w:t>
      </w:r>
    </w:p>
    <w:p w14:paraId="12BF2657" w14:textId="77777777" w:rsidR="00B2416F" w:rsidRPr="00D76FE5" w:rsidRDefault="00B2416F" w:rsidP="00B2416F">
      <w:pPr>
        <w:ind w:left="851"/>
        <w:rPr>
          <w:sz w:val="24"/>
          <w:szCs w:val="24"/>
        </w:rPr>
      </w:pPr>
      <w:r w:rsidRPr="00D76FE5">
        <w:rPr>
          <w:sz w:val="24"/>
          <w:szCs w:val="24"/>
        </w:rPr>
        <w:t>En risiko for nyfødte/spædbørn kan ikke udelukkes.</w:t>
      </w:r>
    </w:p>
    <w:p w14:paraId="4A2E91AD" w14:textId="77777777" w:rsidR="00B2416F" w:rsidRPr="00D76FE5" w:rsidRDefault="00B2416F" w:rsidP="00B2416F">
      <w:pPr>
        <w:ind w:left="851"/>
        <w:rPr>
          <w:sz w:val="24"/>
          <w:szCs w:val="24"/>
        </w:rPr>
      </w:pPr>
    </w:p>
    <w:p w14:paraId="77976AEB" w14:textId="73860A92" w:rsidR="00B2416F" w:rsidRPr="00D76FE5" w:rsidRDefault="00B2416F" w:rsidP="00B2416F">
      <w:pPr>
        <w:ind w:left="851"/>
        <w:rPr>
          <w:sz w:val="24"/>
          <w:szCs w:val="24"/>
        </w:rPr>
      </w:pPr>
      <w:r w:rsidRPr="00D76FE5">
        <w:rPr>
          <w:sz w:val="24"/>
          <w:szCs w:val="24"/>
        </w:rPr>
        <w:t xml:space="preserve">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må ikke anvendes under amning.</w:t>
      </w:r>
    </w:p>
    <w:p w14:paraId="06EDA7BF" w14:textId="77777777" w:rsidR="00B2416F" w:rsidRPr="00D76FE5" w:rsidRDefault="00B2416F" w:rsidP="00B2416F">
      <w:pPr>
        <w:ind w:left="851"/>
        <w:rPr>
          <w:sz w:val="24"/>
          <w:szCs w:val="24"/>
        </w:rPr>
      </w:pPr>
    </w:p>
    <w:p w14:paraId="6648ECED" w14:textId="77777777" w:rsidR="00B2416F" w:rsidRPr="004254FF" w:rsidRDefault="00B2416F" w:rsidP="00B2416F">
      <w:pPr>
        <w:ind w:left="851"/>
        <w:rPr>
          <w:sz w:val="24"/>
          <w:szCs w:val="24"/>
          <w:u w:val="single"/>
        </w:rPr>
      </w:pPr>
      <w:r w:rsidRPr="004254FF">
        <w:rPr>
          <w:sz w:val="24"/>
          <w:szCs w:val="24"/>
          <w:u w:val="single"/>
        </w:rPr>
        <w:t>Fertilitet</w:t>
      </w:r>
    </w:p>
    <w:p w14:paraId="67498D1A" w14:textId="2A01B35F" w:rsidR="00B2416F" w:rsidRPr="00D76FE5" w:rsidRDefault="00B2416F" w:rsidP="00B2416F">
      <w:pPr>
        <w:ind w:left="851"/>
        <w:rPr>
          <w:sz w:val="24"/>
          <w:szCs w:val="24"/>
        </w:rPr>
      </w:pPr>
      <w:r w:rsidRPr="00D76FE5">
        <w:rPr>
          <w:sz w:val="24"/>
          <w:szCs w:val="24"/>
        </w:rPr>
        <w:t>Der er ikke udført studier for at evaluere indvirkningen på human fertilitet efter okulær administration af olopatadin</w:t>
      </w:r>
    </w:p>
    <w:p w14:paraId="11DC8746" w14:textId="77777777" w:rsidR="009260DE" w:rsidRPr="00D76FE5" w:rsidRDefault="009260DE" w:rsidP="009260DE">
      <w:pPr>
        <w:tabs>
          <w:tab w:val="left" w:pos="851"/>
        </w:tabs>
        <w:ind w:left="851"/>
        <w:rPr>
          <w:sz w:val="24"/>
          <w:szCs w:val="24"/>
        </w:rPr>
      </w:pPr>
    </w:p>
    <w:p w14:paraId="543E4F16" w14:textId="77777777" w:rsidR="009260DE" w:rsidRPr="00D76FE5" w:rsidRDefault="009260DE" w:rsidP="009260DE">
      <w:pPr>
        <w:tabs>
          <w:tab w:val="left" w:pos="851"/>
        </w:tabs>
        <w:ind w:left="851" w:hanging="851"/>
        <w:rPr>
          <w:b/>
          <w:sz w:val="24"/>
          <w:szCs w:val="24"/>
        </w:rPr>
      </w:pPr>
      <w:r w:rsidRPr="00D76FE5">
        <w:rPr>
          <w:b/>
          <w:sz w:val="24"/>
          <w:szCs w:val="24"/>
        </w:rPr>
        <w:t>4.7</w:t>
      </w:r>
      <w:r w:rsidRPr="00D76FE5">
        <w:rPr>
          <w:b/>
          <w:sz w:val="24"/>
          <w:szCs w:val="24"/>
        </w:rPr>
        <w:tab/>
        <w:t xml:space="preserve">Virkning på evnen til at føre motorkøretøj </w:t>
      </w:r>
      <w:r w:rsidR="0071241E" w:rsidRPr="00D76FE5">
        <w:rPr>
          <w:b/>
          <w:sz w:val="24"/>
          <w:szCs w:val="24"/>
        </w:rPr>
        <w:t>og</w:t>
      </w:r>
      <w:r w:rsidRPr="00D76FE5">
        <w:rPr>
          <w:b/>
          <w:sz w:val="24"/>
          <w:szCs w:val="24"/>
        </w:rPr>
        <w:t xml:space="preserve"> betjene maskiner</w:t>
      </w:r>
    </w:p>
    <w:p w14:paraId="57286720" w14:textId="77777777" w:rsidR="00B2416F" w:rsidRPr="00D76FE5" w:rsidRDefault="00B2416F" w:rsidP="00B2416F">
      <w:pPr>
        <w:ind w:left="851"/>
        <w:rPr>
          <w:sz w:val="24"/>
          <w:szCs w:val="24"/>
        </w:rPr>
      </w:pPr>
      <w:r w:rsidRPr="00D76FE5">
        <w:rPr>
          <w:sz w:val="24"/>
          <w:szCs w:val="24"/>
        </w:rPr>
        <w:t>Ikke mærkning.</w:t>
      </w:r>
    </w:p>
    <w:p w14:paraId="44092718" w14:textId="44B368AA" w:rsidR="00B2416F" w:rsidRPr="00D76FE5" w:rsidRDefault="00B2416F" w:rsidP="00B2416F">
      <w:pPr>
        <w:ind w:left="851"/>
        <w:rPr>
          <w:sz w:val="24"/>
          <w:szCs w:val="24"/>
        </w:rPr>
      </w:pPr>
      <w:r w:rsidRPr="00D76FE5">
        <w:rPr>
          <w:sz w:val="24"/>
          <w:szCs w:val="24"/>
        </w:rPr>
        <w:t xml:space="preserve">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påvirker ikke eller kun i ubetydelig grad evnen til at føre motorkøretøj og betjene maskiner.</w:t>
      </w:r>
    </w:p>
    <w:p w14:paraId="2E2D8FD9" w14:textId="77777777" w:rsidR="00B2416F" w:rsidRPr="00D76FE5" w:rsidRDefault="00B2416F" w:rsidP="00B2416F">
      <w:pPr>
        <w:ind w:left="851"/>
        <w:rPr>
          <w:sz w:val="24"/>
          <w:szCs w:val="24"/>
        </w:rPr>
      </w:pPr>
    </w:p>
    <w:p w14:paraId="1578B24A" w14:textId="0E8E1894" w:rsidR="00B2416F" w:rsidRPr="00D76FE5" w:rsidRDefault="00B2416F" w:rsidP="00B2416F">
      <w:pPr>
        <w:ind w:left="851"/>
        <w:rPr>
          <w:rFonts w:eastAsia="SimSun"/>
          <w:sz w:val="24"/>
          <w:szCs w:val="24"/>
          <w:lang w:eastAsia="da-DK"/>
        </w:rPr>
      </w:pPr>
      <w:r w:rsidRPr="00D76FE5">
        <w:rPr>
          <w:sz w:val="24"/>
          <w:szCs w:val="24"/>
        </w:rPr>
        <w:t>Som ved enhver anden type øjendråber kan forbigående sløret syn eller andre synsforstyrrelser påvirke evnen til at føre motorkøretøj eller betjene maskiner. Hvis der forekommer sløret syn ved drypning, skal patienten vente, indtil synet bliver klart igen, før der kan føres motorkøretøj eller betjenes maskiner.</w:t>
      </w:r>
      <w:r w:rsidRPr="00D76FE5">
        <w:rPr>
          <w:rFonts w:eastAsia="SimSun"/>
          <w:sz w:val="24"/>
          <w:szCs w:val="24"/>
          <w:lang w:eastAsia="da-DK"/>
        </w:rPr>
        <w:t xml:space="preserve"> </w:t>
      </w:r>
    </w:p>
    <w:p w14:paraId="6D6DC20A" w14:textId="77777777" w:rsidR="009260DE" w:rsidRPr="00D76FE5" w:rsidRDefault="009260DE" w:rsidP="009260DE">
      <w:pPr>
        <w:tabs>
          <w:tab w:val="left" w:pos="851"/>
        </w:tabs>
        <w:ind w:left="851"/>
        <w:rPr>
          <w:sz w:val="24"/>
          <w:szCs w:val="24"/>
        </w:rPr>
      </w:pPr>
    </w:p>
    <w:p w14:paraId="26B9DB1E" w14:textId="77777777" w:rsidR="009260DE" w:rsidRPr="00D76FE5" w:rsidRDefault="009260DE" w:rsidP="009260DE">
      <w:pPr>
        <w:tabs>
          <w:tab w:val="left" w:pos="851"/>
        </w:tabs>
        <w:ind w:left="851" w:hanging="851"/>
        <w:rPr>
          <w:b/>
          <w:sz w:val="24"/>
          <w:szCs w:val="24"/>
        </w:rPr>
      </w:pPr>
      <w:r w:rsidRPr="00D76FE5">
        <w:rPr>
          <w:b/>
          <w:sz w:val="24"/>
          <w:szCs w:val="24"/>
        </w:rPr>
        <w:t>4.8</w:t>
      </w:r>
      <w:r w:rsidRPr="00D76FE5">
        <w:rPr>
          <w:b/>
          <w:sz w:val="24"/>
          <w:szCs w:val="24"/>
        </w:rPr>
        <w:tab/>
        <w:t>Bivirkninger</w:t>
      </w:r>
    </w:p>
    <w:p w14:paraId="3EF4A26F" w14:textId="77777777" w:rsidR="004254FF" w:rsidRDefault="004254FF" w:rsidP="00B2416F">
      <w:pPr>
        <w:ind w:left="851"/>
        <w:rPr>
          <w:sz w:val="24"/>
          <w:szCs w:val="24"/>
        </w:rPr>
      </w:pPr>
    </w:p>
    <w:p w14:paraId="1F3B5771" w14:textId="1E4B0467" w:rsidR="00B2416F" w:rsidRPr="004254FF" w:rsidRDefault="00B2416F" w:rsidP="00B2416F">
      <w:pPr>
        <w:ind w:left="851"/>
        <w:rPr>
          <w:sz w:val="24"/>
          <w:szCs w:val="24"/>
          <w:u w:val="single"/>
        </w:rPr>
      </w:pPr>
      <w:r w:rsidRPr="004254FF">
        <w:rPr>
          <w:sz w:val="24"/>
          <w:szCs w:val="24"/>
          <w:u w:val="single"/>
        </w:rPr>
        <w:t>Oversigt over sikkerhedsprofilen</w:t>
      </w:r>
    </w:p>
    <w:p w14:paraId="28B233BC" w14:textId="7B8E0F19" w:rsidR="00B2416F" w:rsidRPr="00D76FE5" w:rsidRDefault="00B2416F" w:rsidP="00B2416F">
      <w:pPr>
        <w:ind w:left="851"/>
        <w:rPr>
          <w:sz w:val="24"/>
          <w:szCs w:val="24"/>
        </w:rPr>
      </w:pPr>
      <w:r w:rsidRPr="00D76FE5">
        <w:rPr>
          <w:sz w:val="24"/>
          <w:szCs w:val="24"/>
        </w:rPr>
        <w:t>I kliniske studier med 1680 patienter blev olopatadin administreret fra 1 til 4 gange dagligt i begge øjne i op til 4 måneder som monoterapi eller som supplerende terapi til 10 mg loratadin. Ca. 4,5</w:t>
      </w:r>
      <w:r w:rsidR="00E3086B">
        <w:rPr>
          <w:sz w:val="24"/>
          <w:szCs w:val="24"/>
        </w:rPr>
        <w:t xml:space="preserve"> %</w:t>
      </w:r>
      <w:r w:rsidRPr="00D76FE5">
        <w:rPr>
          <w:sz w:val="24"/>
          <w:szCs w:val="24"/>
        </w:rPr>
        <w:t xml:space="preserve"> af patienterne kan forventes at opleve bivirkninger i forbindelse med brugen af olopatadin. Det var dog kun 1,6</w:t>
      </w:r>
      <w:r w:rsidR="00E3086B">
        <w:rPr>
          <w:sz w:val="24"/>
          <w:szCs w:val="24"/>
        </w:rPr>
        <w:t xml:space="preserve"> %</w:t>
      </w:r>
      <w:r w:rsidRPr="00D76FE5">
        <w:rPr>
          <w:sz w:val="24"/>
          <w:szCs w:val="24"/>
        </w:rPr>
        <w:t xml:space="preserve"> af patienterne, som udgik af de kliniske studier som følge af disse bivirkninger. Ingen alvorlige oftalmologiske eller systemiske bivirkninger relateret til olopatadin er blevet rapporteret i kliniske studier. Den hyppigste behandlingsrelaterede bivirkning var øjensmerter, der blev rapporteret med en generel forekomst på 0,7</w:t>
      </w:r>
      <w:r w:rsidR="00E3086B">
        <w:rPr>
          <w:sz w:val="24"/>
          <w:szCs w:val="24"/>
        </w:rPr>
        <w:t xml:space="preserve"> %</w:t>
      </w:r>
      <w:r w:rsidRPr="00D76FE5">
        <w:rPr>
          <w:sz w:val="24"/>
          <w:szCs w:val="24"/>
        </w:rPr>
        <w:t xml:space="preserve">. </w:t>
      </w:r>
    </w:p>
    <w:p w14:paraId="3B7CCAD6" w14:textId="77777777" w:rsidR="004254FF" w:rsidRDefault="004254FF" w:rsidP="00B2416F">
      <w:pPr>
        <w:ind w:left="851"/>
        <w:rPr>
          <w:sz w:val="24"/>
          <w:szCs w:val="24"/>
        </w:rPr>
      </w:pPr>
    </w:p>
    <w:p w14:paraId="57777CF3" w14:textId="4A084CF2" w:rsidR="00B2416F" w:rsidRPr="004254FF" w:rsidRDefault="00B2416F" w:rsidP="00B2416F">
      <w:pPr>
        <w:ind w:left="851"/>
        <w:rPr>
          <w:sz w:val="24"/>
          <w:szCs w:val="24"/>
          <w:u w:val="single"/>
        </w:rPr>
      </w:pPr>
      <w:r w:rsidRPr="004254FF">
        <w:rPr>
          <w:sz w:val="24"/>
          <w:szCs w:val="24"/>
          <w:u w:val="single"/>
        </w:rPr>
        <w:t>Tabel over bivirkninger</w:t>
      </w:r>
    </w:p>
    <w:p w14:paraId="36D91F4D" w14:textId="32D763FA" w:rsidR="00B2416F" w:rsidRPr="00D76FE5" w:rsidRDefault="00B2416F" w:rsidP="00B2416F">
      <w:pPr>
        <w:ind w:left="851"/>
        <w:rPr>
          <w:sz w:val="24"/>
          <w:szCs w:val="24"/>
        </w:rPr>
      </w:pPr>
      <w:r w:rsidRPr="00D76FE5">
        <w:rPr>
          <w:sz w:val="24"/>
          <w:szCs w:val="24"/>
        </w:rPr>
        <w:t>Følgende bivirkninger blev rapporteret under kliniske studier eller i post-markedsførings</w:t>
      </w:r>
      <w:r w:rsidR="00E3086B">
        <w:rPr>
          <w:sz w:val="24"/>
          <w:szCs w:val="24"/>
        </w:rPr>
        <w:softHyphen/>
      </w:r>
      <w:r w:rsidRPr="00D76FE5">
        <w:rPr>
          <w:sz w:val="24"/>
          <w:szCs w:val="24"/>
        </w:rPr>
        <w:t>data og er klassificeret i overensstemmelse med følgende konvention: Meget almindelig (≥1/10), almindelig (&gt;1/100 til &lt;1/10), ikke almindelig (&gt;1/1.000 til ≤1/100), sjælden (&gt;1/10.000 til ≤1/1000), meget sjælden (≤1/10.000) eller ukendt (kan ikke estimeres ud fra forhåndenværende data). Inden for hver gruppe af bivirkninger med samme frekvens er bivirkningerne opstillet efter, hvor alvorlige de er. De alvorligste er</w:t>
      </w:r>
      <w:r w:rsidR="00DC576E" w:rsidRPr="00D76FE5">
        <w:rPr>
          <w:sz w:val="24"/>
          <w:szCs w:val="24"/>
        </w:rPr>
        <w:t xml:space="preserve"> </w:t>
      </w:r>
      <w:r w:rsidRPr="00D76FE5">
        <w:rPr>
          <w:sz w:val="24"/>
          <w:szCs w:val="24"/>
        </w:rPr>
        <w:t xml:space="preserve">anført først. </w:t>
      </w:r>
    </w:p>
    <w:p w14:paraId="04C8B7A3" w14:textId="77777777" w:rsidR="00DC576E" w:rsidRPr="004254FF" w:rsidRDefault="00DC576E" w:rsidP="00B2416F">
      <w:pPr>
        <w:ind w:left="851"/>
        <w:rPr>
          <w:bCs/>
          <w:sz w:val="24"/>
          <w:szCs w:val="24"/>
        </w:rPr>
      </w:pPr>
    </w:p>
    <w:tbl>
      <w:tblPr>
        <w:tblStyle w:val="Tabel-Gitter"/>
        <w:tblW w:w="5000" w:type="pct"/>
        <w:tblInd w:w="0" w:type="dxa"/>
        <w:tblLook w:val="04A0" w:firstRow="1" w:lastRow="0" w:firstColumn="1" w:lastColumn="0" w:noHBand="0" w:noVBand="1"/>
      </w:tblPr>
      <w:tblGrid>
        <w:gridCol w:w="3210"/>
        <w:gridCol w:w="2459"/>
        <w:gridCol w:w="3959"/>
      </w:tblGrid>
      <w:tr w:rsidR="00B2416F" w:rsidRPr="004254FF" w14:paraId="76194DDD" w14:textId="77777777" w:rsidTr="004254FF">
        <w:trPr>
          <w:tblHeader/>
        </w:trPr>
        <w:tc>
          <w:tcPr>
            <w:tcW w:w="1667" w:type="pct"/>
            <w:tcBorders>
              <w:top w:val="single" w:sz="4" w:space="0" w:color="auto"/>
              <w:left w:val="single" w:sz="4" w:space="0" w:color="auto"/>
              <w:bottom w:val="single" w:sz="4" w:space="0" w:color="auto"/>
              <w:right w:val="single" w:sz="4" w:space="0" w:color="auto"/>
            </w:tcBorders>
            <w:hideMark/>
          </w:tcPr>
          <w:p w14:paraId="4292A6E3" w14:textId="77777777" w:rsidR="00B2416F" w:rsidRPr="004254FF" w:rsidRDefault="00B2416F">
            <w:pPr>
              <w:tabs>
                <w:tab w:val="left" w:pos="450"/>
                <w:tab w:val="left" w:pos="810"/>
                <w:tab w:val="left" w:pos="900"/>
              </w:tabs>
              <w:rPr>
                <w:b/>
                <w:sz w:val="24"/>
                <w:szCs w:val="24"/>
                <w:lang w:val="da-DK"/>
              </w:rPr>
            </w:pPr>
            <w:r w:rsidRPr="004254FF">
              <w:rPr>
                <w:b/>
                <w:sz w:val="24"/>
                <w:szCs w:val="24"/>
                <w:lang w:val="da-DK"/>
              </w:rPr>
              <w:t>Systemorganklasser</w:t>
            </w:r>
          </w:p>
        </w:tc>
        <w:tc>
          <w:tcPr>
            <w:tcW w:w="1277" w:type="pct"/>
            <w:tcBorders>
              <w:top w:val="single" w:sz="4" w:space="0" w:color="auto"/>
              <w:left w:val="single" w:sz="4" w:space="0" w:color="auto"/>
              <w:bottom w:val="single" w:sz="4" w:space="0" w:color="auto"/>
              <w:right w:val="single" w:sz="4" w:space="0" w:color="auto"/>
            </w:tcBorders>
            <w:hideMark/>
          </w:tcPr>
          <w:p w14:paraId="0F192B1C" w14:textId="77777777" w:rsidR="00B2416F" w:rsidRPr="004254FF" w:rsidRDefault="00B2416F">
            <w:pPr>
              <w:tabs>
                <w:tab w:val="left" w:pos="450"/>
                <w:tab w:val="left" w:pos="810"/>
                <w:tab w:val="left" w:pos="900"/>
              </w:tabs>
              <w:rPr>
                <w:b/>
                <w:sz w:val="24"/>
                <w:szCs w:val="24"/>
                <w:lang w:val="da-DK"/>
              </w:rPr>
            </w:pPr>
            <w:r w:rsidRPr="004254FF">
              <w:rPr>
                <w:b/>
                <w:sz w:val="24"/>
                <w:szCs w:val="24"/>
                <w:lang w:val="da-DK"/>
              </w:rPr>
              <w:t>Hyppighed</w:t>
            </w:r>
          </w:p>
        </w:tc>
        <w:tc>
          <w:tcPr>
            <w:tcW w:w="2056" w:type="pct"/>
            <w:tcBorders>
              <w:top w:val="single" w:sz="4" w:space="0" w:color="auto"/>
              <w:left w:val="single" w:sz="4" w:space="0" w:color="auto"/>
              <w:bottom w:val="single" w:sz="4" w:space="0" w:color="auto"/>
              <w:right w:val="single" w:sz="4" w:space="0" w:color="auto"/>
            </w:tcBorders>
            <w:hideMark/>
          </w:tcPr>
          <w:p w14:paraId="53978013" w14:textId="77777777" w:rsidR="00B2416F" w:rsidRPr="004254FF" w:rsidRDefault="00B2416F">
            <w:pPr>
              <w:tabs>
                <w:tab w:val="left" w:pos="450"/>
                <w:tab w:val="left" w:pos="810"/>
                <w:tab w:val="left" w:pos="900"/>
              </w:tabs>
              <w:rPr>
                <w:b/>
                <w:sz w:val="24"/>
                <w:szCs w:val="24"/>
                <w:lang w:val="da-DK"/>
              </w:rPr>
            </w:pPr>
            <w:r w:rsidRPr="004254FF">
              <w:rPr>
                <w:b/>
                <w:sz w:val="24"/>
                <w:szCs w:val="24"/>
                <w:lang w:val="da-DK"/>
              </w:rPr>
              <w:t>Bivirkninger</w:t>
            </w:r>
          </w:p>
        </w:tc>
      </w:tr>
      <w:tr w:rsidR="00B2416F" w:rsidRPr="004254FF" w14:paraId="1481B965" w14:textId="77777777" w:rsidTr="004254FF">
        <w:tc>
          <w:tcPr>
            <w:tcW w:w="1667" w:type="pct"/>
            <w:tcBorders>
              <w:top w:val="single" w:sz="4" w:space="0" w:color="auto"/>
              <w:left w:val="single" w:sz="4" w:space="0" w:color="auto"/>
              <w:bottom w:val="single" w:sz="4" w:space="0" w:color="auto"/>
              <w:right w:val="single" w:sz="4" w:space="0" w:color="auto"/>
            </w:tcBorders>
            <w:hideMark/>
          </w:tcPr>
          <w:p w14:paraId="43CD05E1"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Infektioner og parasitære sygdomme</w:t>
            </w:r>
          </w:p>
        </w:tc>
        <w:tc>
          <w:tcPr>
            <w:tcW w:w="1277" w:type="pct"/>
            <w:tcBorders>
              <w:top w:val="single" w:sz="4" w:space="0" w:color="auto"/>
              <w:left w:val="single" w:sz="4" w:space="0" w:color="auto"/>
              <w:bottom w:val="single" w:sz="4" w:space="0" w:color="auto"/>
              <w:right w:val="single" w:sz="4" w:space="0" w:color="auto"/>
            </w:tcBorders>
            <w:hideMark/>
          </w:tcPr>
          <w:p w14:paraId="2B67667A"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almindelig</w:t>
            </w:r>
          </w:p>
        </w:tc>
        <w:tc>
          <w:tcPr>
            <w:tcW w:w="2056" w:type="pct"/>
            <w:tcBorders>
              <w:top w:val="single" w:sz="4" w:space="0" w:color="auto"/>
              <w:left w:val="single" w:sz="4" w:space="0" w:color="auto"/>
              <w:bottom w:val="single" w:sz="4" w:space="0" w:color="auto"/>
              <w:right w:val="single" w:sz="4" w:space="0" w:color="auto"/>
            </w:tcBorders>
            <w:hideMark/>
          </w:tcPr>
          <w:p w14:paraId="38D312B7"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Rhinitis</w:t>
            </w:r>
          </w:p>
        </w:tc>
      </w:tr>
      <w:tr w:rsidR="00B2416F" w:rsidRPr="004254FF" w14:paraId="101EF0E2" w14:textId="77777777" w:rsidTr="004254FF">
        <w:tc>
          <w:tcPr>
            <w:tcW w:w="1667" w:type="pct"/>
            <w:tcBorders>
              <w:top w:val="single" w:sz="4" w:space="0" w:color="auto"/>
              <w:left w:val="single" w:sz="4" w:space="0" w:color="auto"/>
              <w:bottom w:val="single" w:sz="4" w:space="0" w:color="auto"/>
              <w:right w:val="single" w:sz="4" w:space="0" w:color="auto"/>
            </w:tcBorders>
            <w:hideMark/>
          </w:tcPr>
          <w:p w14:paraId="4FB21309" w14:textId="233997CC" w:rsidR="00B2416F" w:rsidRPr="004254FF" w:rsidRDefault="00B2416F">
            <w:pPr>
              <w:tabs>
                <w:tab w:val="left" w:pos="450"/>
                <w:tab w:val="left" w:pos="810"/>
                <w:tab w:val="left" w:pos="900"/>
              </w:tabs>
              <w:rPr>
                <w:sz w:val="24"/>
                <w:szCs w:val="24"/>
                <w:lang w:val="da-DK"/>
              </w:rPr>
            </w:pPr>
            <w:r w:rsidRPr="004254FF">
              <w:rPr>
                <w:sz w:val="24"/>
                <w:szCs w:val="24"/>
                <w:lang w:val="da-DK"/>
              </w:rPr>
              <w:t>Immunsystemet</w:t>
            </w:r>
          </w:p>
        </w:tc>
        <w:tc>
          <w:tcPr>
            <w:tcW w:w="1277" w:type="pct"/>
            <w:tcBorders>
              <w:top w:val="single" w:sz="4" w:space="0" w:color="auto"/>
              <w:left w:val="single" w:sz="4" w:space="0" w:color="auto"/>
              <w:bottom w:val="single" w:sz="4" w:space="0" w:color="auto"/>
              <w:right w:val="single" w:sz="4" w:space="0" w:color="auto"/>
            </w:tcBorders>
            <w:hideMark/>
          </w:tcPr>
          <w:p w14:paraId="7D9114B6"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41D47F28"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Overfølsomhed, hævelser i ansigtet</w:t>
            </w:r>
          </w:p>
        </w:tc>
      </w:tr>
      <w:tr w:rsidR="004254FF" w:rsidRPr="004254FF" w14:paraId="242CF899" w14:textId="77777777" w:rsidTr="004254FF">
        <w:tc>
          <w:tcPr>
            <w:tcW w:w="1667" w:type="pct"/>
            <w:vMerge w:val="restart"/>
            <w:tcBorders>
              <w:top w:val="single" w:sz="4" w:space="0" w:color="auto"/>
              <w:left w:val="single" w:sz="4" w:space="0" w:color="auto"/>
              <w:right w:val="single" w:sz="4" w:space="0" w:color="auto"/>
            </w:tcBorders>
            <w:hideMark/>
          </w:tcPr>
          <w:p w14:paraId="0E0BCF4B"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Nervesystemet</w:t>
            </w:r>
          </w:p>
        </w:tc>
        <w:tc>
          <w:tcPr>
            <w:tcW w:w="1277" w:type="pct"/>
            <w:tcBorders>
              <w:top w:val="single" w:sz="4" w:space="0" w:color="auto"/>
              <w:left w:val="single" w:sz="4" w:space="0" w:color="auto"/>
              <w:bottom w:val="single" w:sz="4" w:space="0" w:color="auto"/>
              <w:right w:val="single" w:sz="4" w:space="0" w:color="auto"/>
            </w:tcBorders>
            <w:hideMark/>
          </w:tcPr>
          <w:p w14:paraId="761C24C5"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Almindelig</w:t>
            </w:r>
          </w:p>
        </w:tc>
        <w:tc>
          <w:tcPr>
            <w:tcW w:w="2056" w:type="pct"/>
            <w:tcBorders>
              <w:top w:val="single" w:sz="4" w:space="0" w:color="auto"/>
              <w:left w:val="single" w:sz="4" w:space="0" w:color="auto"/>
              <w:bottom w:val="single" w:sz="4" w:space="0" w:color="auto"/>
              <w:right w:val="single" w:sz="4" w:space="0" w:color="auto"/>
            </w:tcBorders>
            <w:hideMark/>
          </w:tcPr>
          <w:p w14:paraId="30BB8012"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Hovedpine, dysgeusi</w:t>
            </w:r>
          </w:p>
        </w:tc>
      </w:tr>
      <w:tr w:rsidR="004254FF" w:rsidRPr="004254FF" w14:paraId="47DB3758" w14:textId="77777777" w:rsidTr="004254FF">
        <w:tc>
          <w:tcPr>
            <w:tcW w:w="1667" w:type="pct"/>
            <w:vMerge/>
            <w:tcBorders>
              <w:left w:val="single" w:sz="4" w:space="0" w:color="auto"/>
              <w:right w:val="single" w:sz="4" w:space="0" w:color="auto"/>
            </w:tcBorders>
          </w:tcPr>
          <w:p w14:paraId="6C49D90D" w14:textId="77777777" w:rsidR="004254FF" w:rsidRPr="004254FF" w:rsidRDefault="004254FF">
            <w:pPr>
              <w:tabs>
                <w:tab w:val="left" w:pos="450"/>
                <w:tab w:val="left" w:pos="810"/>
                <w:tab w:val="left" w:pos="900"/>
              </w:tabs>
              <w:rPr>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6818AEE6"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Ikke almindelig</w:t>
            </w:r>
          </w:p>
        </w:tc>
        <w:tc>
          <w:tcPr>
            <w:tcW w:w="2056" w:type="pct"/>
            <w:tcBorders>
              <w:top w:val="single" w:sz="4" w:space="0" w:color="auto"/>
              <w:left w:val="single" w:sz="4" w:space="0" w:color="auto"/>
              <w:bottom w:val="single" w:sz="4" w:space="0" w:color="auto"/>
              <w:right w:val="single" w:sz="4" w:space="0" w:color="auto"/>
            </w:tcBorders>
            <w:hideMark/>
          </w:tcPr>
          <w:p w14:paraId="15FA8C0B"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Svimmelhed, hypæstesi</w:t>
            </w:r>
          </w:p>
        </w:tc>
      </w:tr>
      <w:tr w:rsidR="004254FF" w:rsidRPr="004254FF" w14:paraId="6623ADB5" w14:textId="77777777" w:rsidTr="004254FF">
        <w:tc>
          <w:tcPr>
            <w:tcW w:w="1667" w:type="pct"/>
            <w:vMerge/>
            <w:tcBorders>
              <w:left w:val="single" w:sz="4" w:space="0" w:color="auto"/>
              <w:bottom w:val="single" w:sz="4" w:space="0" w:color="auto"/>
              <w:right w:val="single" w:sz="4" w:space="0" w:color="auto"/>
            </w:tcBorders>
          </w:tcPr>
          <w:p w14:paraId="3FE71165" w14:textId="77777777" w:rsidR="004254FF" w:rsidRPr="004254FF" w:rsidRDefault="004254FF">
            <w:pPr>
              <w:tabs>
                <w:tab w:val="left" w:pos="450"/>
                <w:tab w:val="left" w:pos="810"/>
                <w:tab w:val="left" w:pos="900"/>
              </w:tabs>
              <w:rPr>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1E933526"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106AA409"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Døsighed</w:t>
            </w:r>
          </w:p>
        </w:tc>
      </w:tr>
      <w:tr w:rsidR="004254FF" w:rsidRPr="004254FF" w14:paraId="33290576" w14:textId="77777777" w:rsidTr="00B55FB1">
        <w:tc>
          <w:tcPr>
            <w:tcW w:w="1667" w:type="pct"/>
            <w:vMerge w:val="restart"/>
            <w:tcBorders>
              <w:top w:val="single" w:sz="4" w:space="0" w:color="auto"/>
              <w:left w:val="single" w:sz="4" w:space="0" w:color="auto"/>
              <w:right w:val="single" w:sz="4" w:space="0" w:color="auto"/>
            </w:tcBorders>
            <w:hideMark/>
          </w:tcPr>
          <w:p w14:paraId="01CBDAB0"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Øjne</w:t>
            </w:r>
          </w:p>
        </w:tc>
        <w:tc>
          <w:tcPr>
            <w:tcW w:w="1277" w:type="pct"/>
            <w:tcBorders>
              <w:top w:val="single" w:sz="4" w:space="0" w:color="auto"/>
              <w:left w:val="single" w:sz="4" w:space="0" w:color="auto"/>
              <w:bottom w:val="single" w:sz="4" w:space="0" w:color="auto"/>
              <w:right w:val="single" w:sz="4" w:space="0" w:color="auto"/>
            </w:tcBorders>
            <w:hideMark/>
          </w:tcPr>
          <w:p w14:paraId="049154ED"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Almindelig</w:t>
            </w:r>
          </w:p>
        </w:tc>
        <w:tc>
          <w:tcPr>
            <w:tcW w:w="2056" w:type="pct"/>
            <w:tcBorders>
              <w:top w:val="single" w:sz="4" w:space="0" w:color="auto"/>
              <w:left w:val="single" w:sz="4" w:space="0" w:color="auto"/>
              <w:bottom w:val="single" w:sz="4" w:space="0" w:color="auto"/>
              <w:right w:val="single" w:sz="4" w:space="0" w:color="auto"/>
            </w:tcBorders>
            <w:hideMark/>
          </w:tcPr>
          <w:p w14:paraId="5673CA69" w14:textId="77777777" w:rsidR="004254FF" w:rsidRPr="004254FF" w:rsidRDefault="004254FF">
            <w:pPr>
              <w:tabs>
                <w:tab w:val="left" w:pos="450"/>
                <w:tab w:val="left" w:pos="810"/>
                <w:tab w:val="left" w:pos="900"/>
              </w:tabs>
              <w:autoSpaceDE w:val="0"/>
              <w:autoSpaceDN w:val="0"/>
              <w:adjustRightInd w:val="0"/>
              <w:rPr>
                <w:sz w:val="24"/>
                <w:szCs w:val="24"/>
                <w:lang w:val="da-DK"/>
              </w:rPr>
            </w:pPr>
            <w:r w:rsidRPr="004254FF">
              <w:rPr>
                <w:sz w:val="24"/>
                <w:szCs w:val="24"/>
                <w:lang w:val="da-DK"/>
              </w:rPr>
              <w:t>Øjensmerter, øjenirritation, tørre øjne, abnorm følelse i øjnene</w:t>
            </w:r>
          </w:p>
        </w:tc>
      </w:tr>
      <w:tr w:rsidR="004254FF" w:rsidRPr="004254FF" w14:paraId="7681FEF3" w14:textId="77777777" w:rsidTr="00B55FB1">
        <w:tc>
          <w:tcPr>
            <w:tcW w:w="1667" w:type="pct"/>
            <w:vMerge/>
            <w:tcBorders>
              <w:left w:val="single" w:sz="4" w:space="0" w:color="auto"/>
              <w:right w:val="single" w:sz="4" w:space="0" w:color="auto"/>
            </w:tcBorders>
          </w:tcPr>
          <w:p w14:paraId="47C35CEE" w14:textId="77777777" w:rsidR="004254FF" w:rsidRPr="004254FF" w:rsidRDefault="004254FF">
            <w:pPr>
              <w:tabs>
                <w:tab w:val="left" w:pos="450"/>
                <w:tab w:val="left" w:pos="810"/>
                <w:tab w:val="left" w:pos="900"/>
              </w:tabs>
              <w:rPr>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2CD0E0DE"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Ikke almindelig</w:t>
            </w:r>
          </w:p>
        </w:tc>
        <w:tc>
          <w:tcPr>
            <w:tcW w:w="2056" w:type="pct"/>
            <w:tcBorders>
              <w:top w:val="single" w:sz="4" w:space="0" w:color="auto"/>
              <w:left w:val="single" w:sz="4" w:space="0" w:color="auto"/>
              <w:bottom w:val="single" w:sz="4" w:space="0" w:color="auto"/>
              <w:right w:val="single" w:sz="4" w:space="0" w:color="auto"/>
            </w:tcBorders>
            <w:hideMark/>
          </w:tcPr>
          <w:p w14:paraId="7CA58F93" w14:textId="15B39C2A" w:rsidR="004254FF" w:rsidRPr="004254FF" w:rsidRDefault="004254FF" w:rsidP="00DC576E">
            <w:pPr>
              <w:tabs>
                <w:tab w:val="left" w:pos="450"/>
                <w:tab w:val="left" w:pos="810"/>
                <w:tab w:val="left" w:pos="900"/>
              </w:tabs>
              <w:autoSpaceDE w:val="0"/>
              <w:autoSpaceDN w:val="0"/>
              <w:adjustRightInd w:val="0"/>
              <w:rPr>
                <w:sz w:val="24"/>
                <w:szCs w:val="24"/>
                <w:lang w:val="da-DK"/>
              </w:rPr>
            </w:pPr>
            <w:r w:rsidRPr="004254FF">
              <w:rPr>
                <w:sz w:val="24"/>
                <w:szCs w:val="24"/>
                <w:lang w:val="da-DK"/>
              </w:rPr>
              <w:t>Corneaerosion, corneaepiteldefekt, corneaepitellidelse, punktformed keratitis, keratitis, cornea-pletter, flåd fra øjet, fotofobi, sløret syn, nedsat skarpsyn, blefarospasme, okulært ubehag, øjenkløe, konjunktivale follikler, konjunktivalidelser, følelse af fremmedlegeme i øjet, øget tåredannelse, øjenlågserytem, øjenlågsødem, øjenlågslidelser, okulær hyperæm</w:t>
            </w:r>
          </w:p>
        </w:tc>
      </w:tr>
      <w:tr w:rsidR="004254FF" w:rsidRPr="004254FF" w14:paraId="45B064D2" w14:textId="77777777" w:rsidTr="00B55FB1">
        <w:tc>
          <w:tcPr>
            <w:tcW w:w="1667" w:type="pct"/>
            <w:vMerge/>
            <w:tcBorders>
              <w:left w:val="single" w:sz="4" w:space="0" w:color="auto"/>
              <w:bottom w:val="single" w:sz="4" w:space="0" w:color="auto"/>
              <w:right w:val="single" w:sz="4" w:space="0" w:color="auto"/>
            </w:tcBorders>
          </w:tcPr>
          <w:p w14:paraId="741E968D" w14:textId="77777777" w:rsidR="004254FF" w:rsidRPr="004254FF" w:rsidRDefault="004254FF">
            <w:pPr>
              <w:tabs>
                <w:tab w:val="left" w:pos="450"/>
                <w:tab w:val="left" w:pos="810"/>
                <w:tab w:val="left" w:pos="900"/>
              </w:tabs>
              <w:rPr>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54829D2D" w14:textId="77777777" w:rsidR="004254FF" w:rsidRPr="004254FF" w:rsidRDefault="004254F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1773848A" w14:textId="4AC6C20A" w:rsidR="004254FF" w:rsidRPr="004254FF" w:rsidRDefault="004254FF" w:rsidP="00DC576E">
            <w:pPr>
              <w:tabs>
                <w:tab w:val="left" w:pos="450"/>
                <w:tab w:val="left" w:pos="810"/>
                <w:tab w:val="left" w:pos="900"/>
              </w:tabs>
              <w:autoSpaceDE w:val="0"/>
              <w:autoSpaceDN w:val="0"/>
              <w:adjustRightInd w:val="0"/>
              <w:rPr>
                <w:sz w:val="24"/>
                <w:szCs w:val="24"/>
                <w:lang w:val="da-DK"/>
              </w:rPr>
            </w:pPr>
            <w:r w:rsidRPr="004254FF">
              <w:rPr>
                <w:sz w:val="24"/>
                <w:szCs w:val="24"/>
                <w:lang w:val="da-DK"/>
              </w:rPr>
              <w:t>Kornealt ødem, øjenødem, hævelse af øjet, konjunktivit, mydriasis, synsforstyrrelser, skorper på øjenlågsrand</w:t>
            </w:r>
          </w:p>
        </w:tc>
      </w:tr>
      <w:tr w:rsidR="00B2416F" w:rsidRPr="004254FF" w14:paraId="5AC6BEF6" w14:textId="77777777" w:rsidTr="004254FF">
        <w:tc>
          <w:tcPr>
            <w:tcW w:w="1667" w:type="pct"/>
            <w:vMerge w:val="restart"/>
            <w:tcBorders>
              <w:top w:val="single" w:sz="4" w:space="0" w:color="auto"/>
              <w:left w:val="single" w:sz="4" w:space="0" w:color="auto"/>
              <w:bottom w:val="single" w:sz="4" w:space="0" w:color="auto"/>
              <w:right w:val="single" w:sz="4" w:space="0" w:color="auto"/>
            </w:tcBorders>
            <w:hideMark/>
          </w:tcPr>
          <w:p w14:paraId="1B189918" w14:textId="77777777" w:rsidR="00B2416F" w:rsidRPr="004254FF" w:rsidRDefault="00B2416F">
            <w:pPr>
              <w:tabs>
                <w:tab w:val="left" w:pos="450"/>
                <w:tab w:val="left" w:pos="810"/>
                <w:tab w:val="left" w:pos="900"/>
              </w:tabs>
              <w:autoSpaceDE w:val="0"/>
              <w:autoSpaceDN w:val="0"/>
              <w:adjustRightInd w:val="0"/>
              <w:rPr>
                <w:sz w:val="24"/>
                <w:szCs w:val="24"/>
                <w:lang w:val="da-DK"/>
              </w:rPr>
            </w:pPr>
            <w:r w:rsidRPr="004254FF">
              <w:rPr>
                <w:sz w:val="24"/>
                <w:szCs w:val="24"/>
                <w:lang w:val="da-DK"/>
              </w:rPr>
              <w:t>Luftveje, thorax og mediastinum</w:t>
            </w:r>
          </w:p>
        </w:tc>
        <w:tc>
          <w:tcPr>
            <w:tcW w:w="1277" w:type="pct"/>
            <w:tcBorders>
              <w:top w:val="single" w:sz="4" w:space="0" w:color="auto"/>
              <w:left w:val="single" w:sz="4" w:space="0" w:color="auto"/>
              <w:bottom w:val="single" w:sz="4" w:space="0" w:color="auto"/>
              <w:right w:val="single" w:sz="4" w:space="0" w:color="auto"/>
            </w:tcBorders>
            <w:hideMark/>
          </w:tcPr>
          <w:p w14:paraId="19B5E82A"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Almindelig</w:t>
            </w:r>
          </w:p>
        </w:tc>
        <w:tc>
          <w:tcPr>
            <w:tcW w:w="2056" w:type="pct"/>
            <w:tcBorders>
              <w:top w:val="single" w:sz="4" w:space="0" w:color="auto"/>
              <w:left w:val="single" w:sz="4" w:space="0" w:color="auto"/>
              <w:bottom w:val="single" w:sz="4" w:space="0" w:color="auto"/>
              <w:right w:val="single" w:sz="4" w:space="0" w:color="auto"/>
            </w:tcBorders>
            <w:hideMark/>
          </w:tcPr>
          <w:p w14:paraId="729860CE"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Nasal tørhed</w:t>
            </w:r>
          </w:p>
        </w:tc>
      </w:tr>
      <w:tr w:rsidR="00B2416F" w:rsidRPr="004254FF" w14:paraId="09AB14E7" w14:textId="77777777" w:rsidTr="004254FF">
        <w:tc>
          <w:tcPr>
            <w:tcW w:w="1667" w:type="pct"/>
            <w:vMerge/>
            <w:tcBorders>
              <w:top w:val="single" w:sz="4" w:space="0" w:color="auto"/>
              <w:left w:val="single" w:sz="4" w:space="0" w:color="auto"/>
              <w:bottom w:val="single" w:sz="4" w:space="0" w:color="auto"/>
              <w:right w:val="single" w:sz="4" w:space="0" w:color="auto"/>
            </w:tcBorders>
            <w:vAlign w:val="center"/>
            <w:hideMark/>
          </w:tcPr>
          <w:p w14:paraId="1598D496" w14:textId="77777777" w:rsidR="00B2416F" w:rsidRPr="004254FF" w:rsidRDefault="00B2416F">
            <w:pPr>
              <w:rPr>
                <w:rFonts w:eastAsiaTheme="minorHAnsi"/>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23204394"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27CD4A60"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Dyspnø, sinusitis</w:t>
            </w:r>
          </w:p>
        </w:tc>
      </w:tr>
      <w:tr w:rsidR="00B2416F" w:rsidRPr="004254FF" w14:paraId="5475E4C4" w14:textId="77777777" w:rsidTr="004254FF">
        <w:tc>
          <w:tcPr>
            <w:tcW w:w="1667" w:type="pct"/>
            <w:tcBorders>
              <w:top w:val="single" w:sz="4" w:space="0" w:color="auto"/>
              <w:left w:val="single" w:sz="4" w:space="0" w:color="auto"/>
              <w:bottom w:val="single" w:sz="4" w:space="0" w:color="auto"/>
              <w:right w:val="single" w:sz="4" w:space="0" w:color="auto"/>
            </w:tcBorders>
            <w:hideMark/>
          </w:tcPr>
          <w:p w14:paraId="034D9519"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Mave-tarm-kanalen</w:t>
            </w:r>
          </w:p>
        </w:tc>
        <w:tc>
          <w:tcPr>
            <w:tcW w:w="1277" w:type="pct"/>
            <w:tcBorders>
              <w:top w:val="single" w:sz="4" w:space="0" w:color="auto"/>
              <w:left w:val="single" w:sz="4" w:space="0" w:color="auto"/>
              <w:bottom w:val="single" w:sz="4" w:space="0" w:color="auto"/>
              <w:right w:val="single" w:sz="4" w:space="0" w:color="auto"/>
            </w:tcBorders>
            <w:hideMark/>
          </w:tcPr>
          <w:p w14:paraId="525D95E1"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6B4BC29D"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Kvalme, opkastning,</w:t>
            </w:r>
          </w:p>
        </w:tc>
      </w:tr>
      <w:tr w:rsidR="00B2416F" w:rsidRPr="004254FF" w14:paraId="1ACF6D67" w14:textId="77777777" w:rsidTr="004254FF">
        <w:tc>
          <w:tcPr>
            <w:tcW w:w="1667" w:type="pct"/>
            <w:vMerge w:val="restart"/>
            <w:tcBorders>
              <w:top w:val="single" w:sz="4" w:space="0" w:color="auto"/>
              <w:left w:val="single" w:sz="4" w:space="0" w:color="auto"/>
              <w:bottom w:val="single" w:sz="4" w:space="0" w:color="auto"/>
              <w:right w:val="single" w:sz="4" w:space="0" w:color="auto"/>
            </w:tcBorders>
            <w:hideMark/>
          </w:tcPr>
          <w:p w14:paraId="49D6040D"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Hud og subkutane væv</w:t>
            </w:r>
          </w:p>
        </w:tc>
        <w:tc>
          <w:tcPr>
            <w:tcW w:w="1277" w:type="pct"/>
            <w:tcBorders>
              <w:top w:val="single" w:sz="4" w:space="0" w:color="auto"/>
              <w:left w:val="single" w:sz="4" w:space="0" w:color="auto"/>
              <w:bottom w:val="single" w:sz="4" w:space="0" w:color="auto"/>
              <w:right w:val="single" w:sz="4" w:space="0" w:color="auto"/>
            </w:tcBorders>
            <w:hideMark/>
          </w:tcPr>
          <w:p w14:paraId="32664030"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almindelig</w:t>
            </w:r>
          </w:p>
        </w:tc>
        <w:tc>
          <w:tcPr>
            <w:tcW w:w="2056" w:type="pct"/>
            <w:tcBorders>
              <w:top w:val="single" w:sz="4" w:space="0" w:color="auto"/>
              <w:left w:val="single" w:sz="4" w:space="0" w:color="auto"/>
              <w:bottom w:val="single" w:sz="4" w:space="0" w:color="auto"/>
              <w:right w:val="single" w:sz="4" w:space="0" w:color="auto"/>
            </w:tcBorders>
            <w:hideMark/>
          </w:tcPr>
          <w:p w14:paraId="39D77C7C" w14:textId="460EC83C" w:rsidR="00B2416F" w:rsidRPr="004254FF" w:rsidRDefault="00B2416F" w:rsidP="00DC576E">
            <w:pPr>
              <w:tabs>
                <w:tab w:val="left" w:pos="450"/>
                <w:tab w:val="left" w:pos="810"/>
                <w:tab w:val="left" w:pos="900"/>
              </w:tabs>
              <w:rPr>
                <w:sz w:val="24"/>
                <w:szCs w:val="24"/>
                <w:lang w:val="da-DK"/>
              </w:rPr>
            </w:pPr>
            <w:r w:rsidRPr="004254FF">
              <w:rPr>
                <w:sz w:val="24"/>
                <w:szCs w:val="24"/>
                <w:lang w:val="da-DK"/>
              </w:rPr>
              <w:t>Kontaktdermatit, brændende fornemmelse i huden, tør hud</w:t>
            </w:r>
          </w:p>
        </w:tc>
      </w:tr>
      <w:tr w:rsidR="00B2416F" w:rsidRPr="004254FF" w14:paraId="6AF1889A" w14:textId="77777777" w:rsidTr="004254FF">
        <w:tc>
          <w:tcPr>
            <w:tcW w:w="1667" w:type="pct"/>
            <w:vMerge/>
            <w:tcBorders>
              <w:top w:val="single" w:sz="4" w:space="0" w:color="auto"/>
              <w:left w:val="single" w:sz="4" w:space="0" w:color="auto"/>
              <w:bottom w:val="single" w:sz="4" w:space="0" w:color="auto"/>
              <w:right w:val="single" w:sz="4" w:space="0" w:color="auto"/>
            </w:tcBorders>
            <w:vAlign w:val="center"/>
            <w:hideMark/>
          </w:tcPr>
          <w:p w14:paraId="22A4BF6B" w14:textId="77777777" w:rsidR="00B2416F" w:rsidRPr="004254FF" w:rsidRDefault="00B2416F">
            <w:pPr>
              <w:rPr>
                <w:rFonts w:eastAsiaTheme="minorHAnsi"/>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25502BC9"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0FAC958A"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Dermatitis, erytem</w:t>
            </w:r>
          </w:p>
        </w:tc>
      </w:tr>
      <w:tr w:rsidR="00B2416F" w:rsidRPr="004254FF" w14:paraId="4B5CD55C" w14:textId="77777777" w:rsidTr="004254FF">
        <w:tc>
          <w:tcPr>
            <w:tcW w:w="1667" w:type="pct"/>
            <w:vMerge w:val="restart"/>
            <w:tcBorders>
              <w:top w:val="single" w:sz="4" w:space="0" w:color="auto"/>
              <w:left w:val="single" w:sz="4" w:space="0" w:color="auto"/>
              <w:bottom w:val="single" w:sz="4" w:space="0" w:color="auto"/>
              <w:right w:val="single" w:sz="4" w:space="0" w:color="auto"/>
            </w:tcBorders>
            <w:hideMark/>
          </w:tcPr>
          <w:p w14:paraId="4F1261FF"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Almene symptomer og reaktioner på administrationsstedet</w:t>
            </w:r>
          </w:p>
        </w:tc>
        <w:tc>
          <w:tcPr>
            <w:tcW w:w="1277" w:type="pct"/>
            <w:tcBorders>
              <w:top w:val="single" w:sz="4" w:space="0" w:color="auto"/>
              <w:left w:val="single" w:sz="4" w:space="0" w:color="auto"/>
              <w:bottom w:val="single" w:sz="4" w:space="0" w:color="auto"/>
              <w:right w:val="single" w:sz="4" w:space="0" w:color="auto"/>
            </w:tcBorders>
            <w:hideMark/>
          </w:tcPr>
          <w:p w14:paraId="0F465CC4"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Almindelig</w:t>
            </w:r>
          </w:p>
        </w:tc>
        <w:tc>
          <w:tcPr>
            <w:tcW w:w="2056" w:type="pct"/>
            <w:tcBorders>
              <w:top w:val="single" w:sz="4" w:space="0" w:color="auto"/>
              <w:left w:val="single" w:sz="4" w:space="0" w:color="auto"/>
              <w:bottom w:val="single" w:sz="4" w:space="0" w:color="auto"/>
              <w:right w:val="single" w:sz="4" w:space="0" w:color="auto"/>
            </w:tcBorders>
            <w:hideMark/>
          </w:tcPr>
          <w:p w14:paraId="1961789D"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Træthed</w:t>
            </w:r>
          </w:p>
        </w:tc>
      </w:tr>
      <w:tr w:rsidR="00B2416F" w:rsidRPr="004254FF" w14:paraId="558ED8AB" w14:textId="77777777" w:rsidTr="004254FF">
        <w:tc>
          <w:tcPr>
            <w:tcW w:w="1667" w:type="pct"/>
            <w:vMerge/>
            <w:tcBorders>
              <w:top w:val="single" w:sz="4" w:space="0" w:color="auto"/>
              <w:left w:val="single" w:sz="4" w:space="0" w:color="auto"/>
              <w:bottom w:val="single" w:sz="4" w:space="0" w:color="auto"/>
              <w:right w:val="single" w:sz="4" w:space="0" w:color="auto"/>
            </w:tcBorders>
            <w:vAlign w:val="center"/>
            <w:hideMark/>
          </w:tcPr>
          <w:p w14:paraId="4371F859" w14:textId="77777777" w:rsidR="00B2416F" w:rsidRPr="004254FF" w:rsidRDefault="00B2416F">
            <w:pPr>
              <w:rPr>
                <w:rFonts w:eastAsiaTheme="minorHAnsi"/>
                <w:sz w:val="24"/>
                <w:szCs w:val="24"/>
                <w:lang w:val="da-DK"/>
              </w:rPr>
            </w:pPr>
          </w:p>
        </w:tc>
        <w:tc>
          <w:tcPr>
            <w:tcW w:w="1277" w:type="pct"/>
            <w:tcBorders>
              <w:top w:val="single" w:sz="4" w:space="0" w:color="auto"/>
              <w:left w:val="single" w:sz="4" w:space="0" w:color="auto"/>
              <w:bottom w:val="single" w:sz="4" w:space="0" w:color="auto"/>
              <w:right w:val="single" w:sz="4" w:space="0" w:color="auto"/>
            </w:tcBorders>
            <w:hideMark/>
          </w:tcPr>
          <w:p w14:paraId="06514494"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Ikke kendt</w:t>
            </w:r>
          </w:p>
        </w:tc>
        <w:tc>
          <w:tcPr>
            <w:tcW w:w="2056" w:type="pct"/>
            <w:tcBorders>
              <w:top w:val="single" w:sz="4" w:space="0" w:color="auto"/>
              <w:left w:val="single" w:sz="4" w:space="0" w:color="auto"/>
              <w:bottom w:val="single" w:sz="4" w:space="0" w:color="auto"/>
              <w:right w:val="single" w:sz="4" w:space="0" w:color="auto"/>
            </w:tcBorders>
            <w:hideMark/>
          </w:tcPr>
          <w:p w14:paraId="76C097DC" w14:textId="77777777" w:rsidR="00B2416F" w:rsidRPr="004254FF" w:rsidRDefault="00B2416F">
            <w:pPr>
              <w:tabs>
                <w:tab w:val="left" w:pos="450"/>
                <w:tab w:val="left" w:pos="810"/>
                <w:tab w:val="left" w:pos="900"/>
              </w:tabs>
              <w:rPr>
                <w:sz w:val="24"/>
                <w:szCs w:val="24"/>
                <w:lang w:val="da-DK"/>
              </w:rPr>
            </w:pPr>
            <w:r w:rsidRPr="004254FF">
              <w:rPr>
                <w:sz w:val="24"/>
                <w:szCs w:val="24"/>
                <w:lang w:val="da-DK"/>
              </w:rPr>
              <w:t>Asteni, utilpashed</w:t>
            </w:r>
          </w:p>
        </w:tc>
      </w:tr>
    </w:tbl>
    <w:p w14:paraId="641AFACD" w14:textId="77777777" w:rsidR="00B2416F" w:rsidRPr="004254FF" w:rsidRDefault="00B2416F" w:rsidP="004254FF">
      <w:pPr>
        <w:ind w:left="851"/>
        <w:rPr>
          <w:rFonts w:eastAsiaTheme="minorHAnsi"/>
          <w:sz w:val="24"/>
          <w:szCs w:val="24"/>
          <w:lang w:val="en-IN"/>
        </w:rPr>
      </w:pPr>
    </w:p>
    <w:p w14:paraId="7C9DF41E" w14:textId="24277278" w:rsidR="00B2416F" w:rsidRPr="00D76FE5" w:rsidRDefault="00B2416F" w:rsidP="00DC576E">
      <w:pPr>
        <w:ind w:left="851"/>
        <w:rPr>
          <w:sz w:val="24"/>
          <w:szCs w:val="24"/>
        </w:rPr>
      </w:pPr>
      <w:r w:rsidRPr="00D76FE5">
        <w:rPr>
          <w:sz w:val="24"/>
          <w:szCs w:val="24"/>
        </w:rPr>
        <w:t>Sjældne tilfælde af hornhindeforkalkning er blevet rapporteret i forbindelse med anvendelsen af phosphatholdige øjendråber hos nogle patienter med signifikant beskadigede hornhinder (se pkt. 4.4).</w:t>
      </w:r>
    </w:p>
    <w:p w14:paraId="52AB1D68" w14:textId="77777777" w:rsidR="00B2416F" w:rsidRPr="00D76FE5" w:rsidRDefault="00B2416F" w:rsidP="00DC576E">
      <w:pPr>
        <w:ind w:left="851"/>
        <w:rPr>
          <w:sz w:val="24"/>
          <w:szCs w:val="24"/>
          <w:u w:val="single"/>
        </w:rPr>
      </w:pPr>
    </w:p>
    <w:p w14:paraId="0993F806" w14:textId="77777777" w:rsidR="00B2416F" w:rsidRPr="00D76FE5" w:rsidRDefault="00B2416F" w:rsidP="00DC576E">
      <w:pPr>
        <w:ind w:left="851"/>
        <w:rPr>
          <w:sz w:val="24"/>
          <w:szCs w:val="24"/>
          <w:u w:val="single"/>
        </w:rPr>
      </w:pPr>
      <w:r w:rsidRPr="00D76FE5">
        <w:rPr>
          <w:sz w:val="24"/>
          <w:szCs w:val="24"/>
          <w:u w:val="single"/>
        </w:rPr>
        <w:t>Indberetning af formodede bivirkninger</w:t>
      </w:r>
    </w:p>
    <w:p w14:paraId="0C9EBE79" w14:textId="77777777" w:rsidR="00B2416F" w:rsidRPr="00D76FE5" w:rsidRDefault="00B2416F" w:rsidP="00DC576E">
      <w:pPr>
        <w:ind w:left="851"/>
        <w:rPr>
          <w:sz w:val="24"/>
          <w:szCs w:val="24"/>
        </w:rPr>
      </w:pPr>
      <w:r w:rsidRPr="00D76FE5">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40FDD597" w14:textId="77777777" w:rsidR="00B2416F" w:rsidRPr="00D76FE5" w:rsidRDefault="00B2416F" w:rsidP="00DC576E">
      <w:pPr>
        <w:ind w:left="851"/>
        <w:rPr>
          <w:sz w:val="24"/>
          <w:szCs w:val="24"/>
        </w:rPr>
      </w:pPr>
    </w:p>
    <w:p w14:paraId="64F7CD15" w14:textId="77777777" w:rsidR="00B2416F" w:rsidRPr="00D76FE5" w:rsidRDefault="00B2416F" w:rsidP="00DC576E">
      <w:pPr>
        <w:ind w:left="851"/>
        <w:rPr>
          <w:sz w:val="24"/>
          <w:szCs w:val="24"/>
        </w:rPr>
      </w:pPr>
      <w:r w:rsidRPr="00D76FE5">
        <w:rPr>
          <w:sz w:val="24"/>
          <w:szCs w:val="24"/>
        </w:rPr>
        <w:t>Lægemiddelstyrelsen</w:t>
      </w:r>
    </w:p>
    <w:p w14:paraId="1183868F" w14:textId="77777777" w:rsidR="00B2416F" w:rsidRPr="00D76FE5" w:rsidRDefault="00B2416F" w:rsidP="00DC576E">
      <w:pPr>
        <w:ind w:left="851"/>
        <w:rPr>
          <w:sz w:val="24"/>
          <w:szCs w:val="24"/>
        </w:rPr>
      </w:pPr>
      <w:r w:rsidRPr="00D76FE5">
        <w:rPr>
          <w:sz w:val="24"/>
          <w:szCs w:val="24"/>
        </w:rPr>
        <w:t>Axel Heides Gade 1</w:t>
      </w:r>
    </w:p>
    <w:p w14:paraId="7DCDCCF3" w14:textId="77777777" w:rsidR="00B2416F" w:rsidRPr="00D76FE5" w:rsidRDefault="00B2416F" w:rsidP="00DC576E">
      <w:pPr>
        <w:ind w:left="851"/>
        <w:rPr>
          <w:sz w:val="24"/>
          <w:szCs w:val="24"/>
        </w:rPr>
      </w:pPr>
      <w:r w:rsidRPr="00D76FE5">
        <w:rPr>
          <w:sz w:val="24"/>
          <w:szCs w:val="24"/>
        </w:rPr>
        <w:t>DK-2300 København S</w:t>
      </w:r>
    </w:p>
    <w:p w14:paraId="4317CD83" w14:textId="5B3C7E89" w:rsidR="009260DE" w:rsidRPr="00D76FE5" w:rsidRDefault="00B2416F" w:rsidP="00DC576E">
      <w:pPr>
        <w:ind w:left="851"/>
        <w:rPr>
          <w:sz w:val="24"/>
          <w:szCs w:val="24"/>
        </w:rPr>
      </w:pPr>
      <w:r w:rsidRPr="00D76FE5">
        <w:rPr>
          <w:sz w:val="24"/>
          <w:szCs w:val="24"/>
        </w:rPr>
        <w:t>Websted: www.meldenbivirkning.dk</w:t>
      </w:r>
    </w:p>
    <w:p w14:paraId="0333FC9A" w14:textId="77777777" w:rsidR="009260DE" w:rsidRPr="00D76FE5" w:rsidRDefault="009260DE" w:rsidP="00A10294">
      <w:pPr>
        <w:tabs>
          <w:tab w:val="left" w:pos="851"/>
        </w:tabs>
        <w:ind w:left="851"/>
        <w:rPr>
          <w:sz w:val="24"/>
          <w:szCs w:val="24"/>
        </w:rPr>
      </w:pPr>
    </w:p>
    <w:p w14:paraId="7C6E4388" w14:textId="77777777" w:rsidR="009260DE" w:rsidRPr="00D76FE5" w:rsidRDefault="009260DE" w:rsidP="009260DE">
      <w:pPr>
        <w:tabs>
          <w:tab w:val="left" w:pos="851"/>
        </w:tabs>
        <w:ind w:left="851" w:hanging="851"/>
        <w:rPr>
          <w:b/>
          <w:sz w:val="24"/>
          <w:szCs w:val="24"/>
        </w:rPr>
      </w:pPr>
      <w:r w:rsidRPr="00D76FE5">
        <w:rPr>
          <w:b/>
          <w:sz w:val="24"/>
          <w:szCs w:val="24"/>
        </w:rPr>
        <w:t>4.9</w:t>
      </w:r>
      <w:r w:rsidRPr="00D76FE5">
        <w:rPr>
          <w:b/>
          <w:sz w:val="24"/>
          <w:szCs w:val="24"/>
        </w:rPr>
        <w:tab/>
        <w:t>Overdosering</w:t>
      </w:r>
    </w:p>
    <w:p w14:paraId="78951D98" w14:textId="0A5B5D85" w:rsidR="00B2416F" w:rsidRPr="00D76FE5" w:rsidRDefault="00B2416F" w:rsidP="00DC576E">
      <w:pPr>
        <w:ind w:left="851"/>
        <w:rPr>
          <w:sz w:val="24"/>
          <w:szCs w:val="24"/>
        </w:rPr>
      </w:pPr>
      <w:r w:rsidRPr="00D76FE5">
        <w:rPr>
          <w:sz w:val="24"/>
          <w:szCs w:val="24"/>
        </w:rPr>
        <w:t>Ingen humane data er tilgængelige mht. overdosering ved uheld eller forsætlig indtagelse. Olopatadin udviser ringe akut toksicitet hos dyr. Indtagelse ved et uheld af hele flaskens indhold af Olopatadin</w:t>
      </w:r>
      <w:r w:rsidR="004254FF">
        <w:rPr>
          <w:sz w:val="24"/>
          <w:szCs w:val="24"/>
        </w:rPr>
        <w:t xml:space="preserve"> </w:t>
      </w:r>
      <w:r w:rsidR="00E3086B">
        <w:rPr>
          <w:sz w:val="24"/>
          <w:szCs w:val="24"/>
        </w:rPr>
        <w:t>"</w:t>
      </w:r>
      <w:r w:rsidR="00B36134">
        <w:rPr>
          <w:sz w:val="24"/>
          <w:szCs w:val="24"/>
        </w:rPr>
        <w:t>Brown &amp; Burk</w:t>
      </w:r>
      <w:r w:rsidR="00E3086B">
        <w:rPr>
          <w:sz w:val="24"/>
          <w:szCs w:val="24"/>
        </w:rPr>
        <w:t>"</w:t>
      </w:r>
      <w:r w:rsidRPr="00D76FE5">
        <w:rPr>
          <w:sz w:val="24"/>
          <w:szCs w:val="24"/>
        </w:rPr>
        <w:t>, vil give en maksimal systemisk eksponering af 5</w:t>
      </w:r>
      <w:r w:rsidR="00B36134">
        <w:rPr>
          <w:sz w:val="24"/>
          <w:szCs w:val="24"/>
        </w:rPr>
        <w:t> </w:t>
      </w:r>
      <w:r w:rsidRPr="00D76FE5">
        <w:rPr>
          <w:sz w:val="24"/>
          <w:szCs w:val="24"/>
        </w:rPr>
        <w:t>mg olopatadin. Denne eksponering vil medføre en slutdosis på 0,5 mg/kg hos et barn på 10</w:t>
      </w:r>
      <w:r w:rsidR="00B36134">
        <w:rPr>
          <w:sz w:val="24"/>
          <w:szCs w:val="24"/>
        </w:rPr>
        <w:t> </w:t>
      </w:r>
      <w:r w:rsidRPr="00D76FE5">
        <w:rPr>
          <w:sz w:val="24"/>
          <w:szCs w:val="24"/>
        </w:rPr>
        <w:t>kg, hvis det antages at absorptionen er 100</w:t>
      </w:r>
      <w:r w:rsidR="00E3086B">
        <w:rPr>
          <w:sz w:val="24"/>
          <w:szCs w:val="24"/>
        </w:rPr>
        <w:t xml:space="preserve"> %</w:t>
      </w:r>
      <w:r w:rsidRPr="00D76FE5">
        <w:rPr>
          <w:sz w:val="24"/>
          <w:szCs w:val="24"/>
        </w:rPr>
        <w:t>.</w:t>
      </w:r>
    </w:p>
    <w:p w14:paraId="32709D43" w14:textId="77777777" w:rsidR="004254FF" w:rsidRDefault="004254FF" w:rsidP="00DC576E">
      <w:pPr>
        <w:ind w:left="851"/>
        <w:rPr>
          <w:sz w:val="24"/>
          <w:szCs w:val="24"/>
        </w:rPr>
      </w:pPr>
    </w:p>
    <w:p w14:paraId="2CAF7271" w14:textId="14378EDE" w:rsidR="00B2416F" w:rsidRPr="00D76FE5" w:rsidRDefault="00B2416F" w:rsidP="00DC576E">
      <w:pPr>
        <w:ind w:left="851"/>
        <w:rPr>
          <w:sz w:val="24"/>
          <w:szCs w:val="24"/>
        </w:rPr>
      </w:pPr>
      <w:r w:rsidRPr="00D76FE5">
        <w:rPr>
          <w:sz w:val="24"/>
          <w:szCs w:val="24"/>
        </w:rPr>
        <w:t>Forlængelse af QTc-intervallet er kun observeret hos hunde, som blev eksponeret med doser langt over den maximale humane eksponering, hvilket indikerer ringe klinisk relevans. 5 mg olopatadin administreret oralt 2 gange daglig i 2,5 dage til 102 unge og gamle (mænd og kvinder) raske forsøgspersoner forlængede ikke QTc-intervallet signifikant sammenlignet med placebo. Intervallet for peak steady-state plasmakoncentrationer for olopatadin (35 til 127 ng/ml) set i dette studie svarer til mindst 70 gange sikkerhedsmargin for topikal olopatadin med hensyn til virkning på hjertets repolarisering.</w:t>
      </w:r>
    </w:p>
    <w:p w14:paraId="369151EA" w14:textId="77777777" w:rsidR="004254FF" w:rsidRDefault="004254FF" w:rsidP="00DC576E">
      <w:pPr>
        <w:ind w:left="851"/>
        <w:rPr>
          <w:sz w:val="24"/>
          <w:szCs w:val="24"/>
        </w:rPr>
      </w:pPr>
    </w:p>
    <w:p w14:paraId="61C61E0F" w14:textId="254DD92D" w:rsidR="00B2416F" w:rsidRPr="00D76FE5" w:rsidRDefault="00B2416F" w:rsidP="00DC576E">
      <w:pPr>
        <w:ind w:left="851"/>
        <w:rPr>
          <w:sz w:val="24"/>
          <w:szCs w:val="24"/>
        </w:rPr>
      </w:pPr>
      <w:r w:rsidRPr="00D76FE5">
        <w:rPr>
          <w:sz w:val="24"/>
          <w:szCs w:val="24"/>
        </w:rPr>
        <w:t>I tilfælde af overdosering skal passende monitorering og behandling af patienten igangsættes.</w:t>
      </w:r>
    </w:p>
    <w:p w14:paraId="034F2EEF" w14:textId="09327201" w:rsidR="009260DE" w:rsidRPr="00D76FE5" w:rsidRDefault="009260DE" w:rsidP="00DC576E">
      <w:pPr>
        <w:ind w:left="851"/>
        <w:rPr>
          <w:sz w:val="24"/>
          <w:szCs w:val="24"/>
        </w:rPr>
      </w:pPr>
    </w:p>
    <w:p w14:paraId="0FC829E5" w14:textId="77777777" w:rsidR="009260DE" w:rsidRPr="00D76FE5" w:rsidRDefault="009260DE" w:rsidP="009260DE">
      <w:pPr>
        <w:tabs>
          <w:tab w:val="left" w:pos="851"/>
        </w:tabs>
        <w:ind w:left="851" w:hanging="851"/>
        <w:rPr>
          <w:b/>
          <w:sz w:val="24"/>
          <w:szCs w:val="24"/>
        </w:rPr>
      </w:pPr>
      <w:r w:rsidRPr="00D76FE5">
        <w:rPr>
          <w:b/>
          <w:sz w:val="24"/>
          <w:szCs w:val="24"/>
        </w:rPr>
        <w:t>4.10</w:t>
      </w:r>
      <w:r w:rsidRPr="00D76FE5">
        <w:rPr>
          <w:b/>
          <w:sz w:val="24"/>
          <w:szCs w:val="24"/>
        </w:rPr>
        <w:tab/>
        <w:t>Udlevering</w:t>
      </w:r>
    </w:p>
    <w:p w14:paraId="0CFBE9F9" w14:textId="2D73B642" w:rsidR="009260DE" w:rsidRPr="00D76FE5" w:rsidRDefault="00B2416F" w:rsidP="009260DE">
      <w:pPr>
        <w:tabs>
          <w:tab w:val="left" w:pos="851"/>
        </w:tabs>
        <w:ind w:left="851"/>
        <w:rPr>
          <w:sz w:val="24"/>
          <w:szCs w:val="24"/>
        </w:rPr>
      </w:pPr>
      <w:r w:rsidRPr="00D76FE5">
        <w:rPr>
          <w:sz w:val="24"/>
          <w:szCs w:val="24"/>
        </w:rPr>
        <w:t>B</w:t>
      </w:r>
    </w:p>
    <w:p w14:paraId="374BAD48" w14:textId="77777777" w:rsidR="009260DE" w:rsidRPr="00D76FE5" w:rsidRDefault="009260DE" w:rsidP="009260DE">
      <w:pPr>
        <w:tabs>
          <w:tab w:val="left" w:pos="851"/>
        </w:tabs>
        <w:ind w:left="851"/>
        <w:rPr>
          <w:sz w:val="24"/>
          <w:szCs w:val="24"/>
        </w:rPr>
      </w:pPr>
    </w:p>
    <w:p w14:paraId="6D4362FE" w14:textId="77777777" w:rsidR="009260DE" w:rsidRPr="00D76FE5" w:rsidRDefault="009260DE" w:rsidP="009260DE">
      <w:pPr>
        <w:tabs>
          <w:tab w:val="left" w:pos="851"/>
        </w:tabs>
        <w:ind w:left="851"/>
        <w:rPr>
          <w:sz w:val="24"/>
          <w:szCs w:val="24"/>
        </w:rPr>
      </w:pPr>
    </w:p>
    <w:p w14:paraId="4D39A12F" w14:textId="77777777" w:rsidR="009260DE" w:rsidRPr="00D76FE5" w:rsidRDefault="009260DE" w:rsidP="009260DE">
      <w:pPr>
        <w:tabs>
          <w:tab w:val="left" w:pos="851"/>
        </w:tabs>
        <w:ind w:left="851" w:hanging="851"/>
        <w:rPr>
          <w:b/>
          <w:sz w:val="24"/>
          <w:szCs w:val="24"/>
        </w:rPr>
      </w:pPr>
      <w:r w:rsidRPr="00D76FE5">
        <w:rPr>
          <w:b/>
          <w:sz w:val="24"/>
          <w:szCs w:val="24"/>
        </w:rPr>
        <w:t>5.</w:t>
      </w:r>
      <w:r w:rsidRPr="00D76FE5">
        <w:rPr>
          <w:b/>
          <w:sz w:val="24"/>
          <w:szCs w:val="24"/>
        </w:rPr>
        <w:tab/>
        <w:t>FARMAKOLOGISKE EGENSKABER</w:t>
      </w:r>
    </w:p>
    <w:p w14:paraId="36E96C1B" w14:textId="77777777" w:rsidR="009260DE" w:rsidRPr="00D76FE5" w:rsidRDefault="009260DE" w:rsidP="009260DE">
      <w:pPr>
        <w:tabs>
          <w:tab w:val="left" w:pos="851"/>
        </w:tabs>
        <w:ind w:left="851"/>
        <w:rPr>
          <w:sz w:val="24"/>
          <w:szCs w:val="24"/>
        </w:rPr>
      </w:pPr>
    </w:p>
    <w:p w14:paraId="33E50E18" w14:textId="77777777" w:rsidR="009260DE" w:rsidRPr="00D76FE5" w:rsidRDefault="009260DE" w:rsidP="009260DE">
      <w:pPr>
        <w:tabs>
          <w:tab w:val="num" w:pos="851"/>
        </w:tabs>
        <w:ind w:left="851" w:hanging="851"/>
        <w:rPr>
          <w:b/>
          <w:sz w:val="24"/>
          <w:szCs w:val="24"/>
        </w:rPr>
      </w:pPr>
      <w:r w:rsidRPr="00D76FE5">
        <w:rPr>
          <w:b/>
          <w:sz w:val="24"/>
          <w:szCs w:val="24"/>
        </w:rPr>
        <w:t>5.1</w:t>
      </w:r>
      <w:r w:rsidRPr="00D76FE5">
        <w:rPr>
          <w:b/>
          <w:sz w:val="24"/>
          <w:szCs w:val="24"/>
        </w:rPr>
        <w:tab/>
        <w:t>Farmakodynamiske egenskaber</w:t>
      </w:r>
    </w:p>
    <w:p w14:paraId="28825745" w14:textId="3CDBB5EC" w:rsidR="00B2416F" w:rsidRPr="00D76FE5" w:rsidRDefault="00B2416F" w:rsidP="00DC576E">
      <w:pPr>
        <w:ind w:left="851"/>
        <w:rPr>
          <w:sz w:val="24"/>
          <w:szCs w:val="24"/>
        </w:rPr>
      </w:pPr>
      <w:r w:rsidRPr="00D76FE5">
        <w:rPr>
          <w:sz w:val="24"/>
          <w:szCs w:val="24"/>
        </w:rPr>
        <w:t xml:space="preserve">Farmakoterapeutisk klassifikation: Oftalmologiske lægemidler; dekongestanter og antiallergika; andre antiallergika, ATC-kode: S01GX09. </w:t>
      </w:r>
    </w:p>
    <w:p w14:paraId="2B5ABDF8" w14:textId="77777777" w:rsidR="00B2416F" w:rsidRPr="00D76FE5" w:rsidRDefault="00B2416F" w:rsidP="00DC576E">
      <w:pPr>
        <w:ind w:left="851"/>
        <w:rPr>
          <w:sz w:val="24"/>
          <w:szCs w:val="24"/>
        </w:rPr>
      </w:pPr>
    </w:p>
    <w:p w14:paraId="13923DEF" w14:textId="07D7ECCC" w:rsidR="00B2416F" w:rsidRPr="00D76FE5" w:rsidRDefault="00B2416F" w:rsidP="00DC576E">
      <w:pPr>
        <w:ind w:left="851"/>
        <w:rPr>
          <w:sz w:val="24"/>
          <w:szCs w:val="24"/>
        </w:rPr>
      </w:pPr>
      <w:r w:rsidRPr="00D76FE5">
        <w:rPr>
          <w:sz w:val="24"/>
          <w:szCs w:val="24"/>
        </w:rPr>
        <w:t>Olopatadin er et potent, selektivt antiallergikum/antihistaminikum, der udøver sin virkning via mange forskellige virkningsmekanismer. Det antagoniserer histamin (den primære mediator ved et humant allergirespons) og forebygger histamininduceret inflammatorisk cytokinproduktion i de humane conjunktivale epitelceller. Data fra in vitro studier antyder, at olopatadin kan virke på humane conjunktivale mastceller og dermed hæmme frigivelsen af pro-inflammatoriske mediatorer.</w:t>
      </w:r>
    </w:p>
    <w:p w14:paraId="068A3BE4" w14:textId="0D19934E" w:rsidR="00B2416F" w:rsidRPr="00D76FE5" w:rsidRDefault="00B2416F" w:rsidP="00DC576E">
      <w:pPr>
        <w:ind w:left="851"/>
        <w:rPr>
          <w:sz w:val="24"/>
          <w:szCs w:val="24"/>
        </w:rPr>
      </w:pPr>
      <w:r w:rsidRPr="00D76FE5">
        <w:rPr>
          <w:sz w:val="24"/>
          <w:szCs w:val="24"/>
        </w:rPr>
        <w:t xml:space="preserve">Hos patienter med patente nasolakrimale kanaler formodes topikal okulær administration af 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at reducere nasale tegn og symptomer, som hyppigt ledsager sæsonbetinget allergisk conjunctivitis.</w:t>
      </w:r>
    </w:p>
    <w:p w14:paraId="00284D9C" w14:textId="6C8B7A3F" w:rsidR="00B2416F" w:rsidRPr="00D76FE5" w:rsidRDefault="00B2416F" w:rsidP="00DC576E">
      <w:pPr>
        <w:ind w:left="851"/>
        <w:rPr>
          <w:sz w:val="24"/>
          <w:szCs w:val="24"/>
        </w:rPr>
      </w:pPr>
      <w:r w:rsidRPr="00D76FE5">
        <w:rPr>
          <w:sz w:val="24"/>
          <w:szCs w:val="24"/>
        </w:rPr>
        <w:t xml:space="preserve">Olopatadin </w:t>
      </w:r>
      <w:r w:rsidR="00E3086B">
        <w:rPr>
          <w:sz w:val="24"/>
          <w:szCs w:val="24"/>
        </w:rPr>
        <w:t>"</w:t>
      </w:r>
      <w:r w:rsidR="00B36134">
        <w:rPr>
          <w:sz w:val="24"/>
          <w:szCs w:val="24"/>
        </w:rPr>
        <w:t>Brown &amp; Burk</w:t>
      </w:r>
      <w:r w:rsidR="00E3086B">
        <w:rPr>
          <w:sz w:val="24"/>
          <w:szCs w:val="24"/>
        </w:rPr>
        <w:t>"</w:t>
      </w:r>
      <w:r w:rsidRPr="00D76FE5">
        <w:rPr>
          <w:sz w:val="24"/>
          <w:szCs w:val="24"/>
        </w:rPr>
        <w:t xml:space="preserve"> fremkalder ikke klinisk signifikant ændring i pupildiameteren.</w:t>
      </w:r>
    </w:p>
    <w:p w14:paraId="29A390C0" w14:textId="77777777" w:rsidR="009260DE" w:rsidRPr="00D76FE5" w:rsidRDefault="009260DE" w:rsidP="009260DE">
      <w:pPr>
        <w:tabs>
          <w:tab w:val="left" w:pos="851"/>
        </w:tabs>
        <w:ind w:left="851"/>
        <w:rPr>
          <w:sz w:val="24"/>
          <w:szCs w:val="24"/>
        </w:rPr>
      </w:pPr>
    </w:p>
    <w:p w14:paraId="02F4CEED" w14:textId="77777777" w:rsidR="009260DE" w:rsidRPr="00D76FE5" w:rsidRDefault="009260DE" w:rsidP="009260DE">
      <w:pPr>
        <w:tabs>
          <w:tab w:val="left" w:pos="851"/>
        </w:tabs>
        <w:ind w:left="851" w:hanging="851"/>
        <w:rPr>
          <w:b/>
          <w:sz w:val="24"/>
          <w:szCs w:val="24"/>
        </w:rPr>
      </w:pPr>
      <w:r w:rsidRPr="00D76FE5">
        <w:rPr>
          <w:b/>
          <w:sz w:val="24"/>
          <w:szCs w:val="24"/>
        </w:rPr>
        <w:t>5.2</w:t>
      </w:r>
      <w:r w:rsidRPr="00D76FE5">
        <w:rPr>
          <w:b/>
          <w:sz w:val="24"/>
          <w:szCs w:val="24"/>
        </w:rPr>
        <w:tab/>
        <w:t>Farmakokinetiske egenskaber</w:t>
      </w:r>
    </w:p>
    <w:p w14:paraId="2651275D" w14:textId="77777777" w:rsidR="004254FF" w:rsidRDefault="004254FF" w:rsidP="00DC576E">
      <w:pPr>
        <w:ind w:left="851"/>
        <w:rPr>
          <w:sz w:val="24"/>
          <w:szCs w:val="24"/>
        </w:rPr>
      </w:pPr>
    </w:p>
    <w:p w14:paraId="2E25165B" w14:textId="00004B30" w:rsidR="00B2416F" w:rsidRPr="004254FF" w:rsidRDefault="00B2416F" w:rsidP="00DC576E">
      <w:pPr>
        <w:ind w:left="851"/>
        <w:rPr>
          <w:sz w:val="24"/>
          <w:szCs w:val="24"/>
          <w:u w:val="single"/>
        </w:rPr>
      </w:pPr>
      <w:r w:rsidRPr="004254FF">
        <w:rPr>
          <w:sz w:val="24"/>
          <w:szCs w:val="24"/>
          <w:u w:val="single"/>
        </w:rPr>
        <w:t>Absorption</w:t>
      </w:r>
    </w:p>
    <w:p w14:paraId="5FD76F35" w14:textId="77777777" w:rsidR="00B2416F" w:rsidRPr="00D76FE5" w:rsidRDefault="00B2416F" w:rsidP="00DC576E">
      <w:pPr>
        <w:ind w:left="851"/>
        <w:rPr>
          <w:sz w:val="24"/>
          <w:szCs w:val="24"/>
        </w:rPr>
      </w:pPr>
    </w:p>
    <w:p w14:paraId="676EF0E8" w14:textId="55D4FA42" w:rsidR="00B2416F" w:rsidRPr="00D76FE5" w:rsidRDefault="00B2416F" w:rsidP="00DC576E">
      <w:pPr>
        <w:ind w:left="851"/>
        <w:rPr>
          <w:sz w:val="24"/>
          <w:szCs w:val="24"/>
        </w:rPr>
      </w:pPr>
      <w:r w:rsidRPr="00D76FE5">
        <w:rPr>
          <w:sz w:val="24"/>
          <w:szCs w:val="24"/>
        </w:rPr>
        <w:t>Ligesom andre topikalt administrerede lægemidler, absorberes også olopatadin systemisk. Imidlertid er systemisk absorption af topikalt appliceret olopatadin minimal med plasmakoncentrationer i intervallet fra under kvantificeringsgrænsen for analysemetoden (&lt;0,5 ng/ml) til 1,3 ng/ml. Disse koncentrationer er 50 til 200 gange lavere end dem der ses ved veltolererede orale doser.</w:t>
      </w:r>
    </w:p>
    <w:p w14:paraId="261CDE88" w14:textId="77777777" w:rsidR="00B2416F" w:rsidRPr="00D76FE5" w:rsidRDefault="00B2416F" w:rsidP="00DC576E">
      <w:pPr>
        <w:ind w:left="851"/>
        <w:rPr>
          <w:sz w:val="24"/>
          <w:szCs w:val="24"/>
        </w:rPr>
      </w:pPr>
    </w:p>
    <w:p w14:paraId="3C91D09D" w14:textId="77777777" w:rsidR="00B2416F" w:rsidRPr="004254FF" w:rsidRDefault="00B2416F" w:rsidP="00DC576E">
      <w:pPr>
        <w:ind w:left="851"/>
        <w:rPr>
          <w:sz w:val="24"/>
          <w:szCs w:val="24"/>
          <w:u w:val="single"/>
        </w:rPr>
      </w:pPr>
      <w:r w:rsidRPr="004254FF">
        <w:rPr>
          <w:sz w:val="24"/>
          <w:szCs w:val="24"/>
          <w:u w:val="single"/>
        </w:rPr>
        <w:t>Elimination</w:t>
      </w:r>
    </w:p>
    <w:p w14:paraId="40FCDC45" w14:textId="77777777" w:rsidR="00B2416F" w:rsidRPr="00D76FE5" w:rsidRDefault="00B2416F" w:rsidP="00DC576E">
      <w:pPr>
        <w:ind w:left="851"/>
        <w:rPr>
          <w:sz w:val="24"/>
          <w:szCs w:val="24"/>
        </w:rPr>
      </w:pPr>
    </w:p>
    <w:p w14:paraId="34F2C837" w14:textId="139BBF5D" w:rsidR="00B2416F" w:rsidRPr="00D76FE5" w:rsidRDefault="00B2416F" w:rsidP="00DC576E">
      <w:pPr>
        <w:ind w:left="851"/>
        <w:rPr>
          <w:sz w:val="24"/>
          <w:szCs w:val="24"/>
        </w:rPr>
      </w:pPr>
      <w:r w:rsidRPr="00D76FE5">
        <w:rPr>
          <w:sz w:val="24"/>
          <w:szCs w:val="24"/>
        </w:rPr>
        <w:t>Orale farmakokinetik-studier har vist, at halveringstiden i plasma var ca. 8 til 12 timer og at eliminationen fortrinsvis sker ved udskillelse gennem nyrerne. Ca. 60-70</w:t>
      </w:r>
      <w:r w:rsidR="00E3086B">
        <w:rPr>
          <w:sz w:val="24"/>
          <w:szCs w:val="24"/>
        </w:rPr>
        <w:t xml:space="preserve"> %</w:t>
      </w:r>
      <w:r w:rsidRPr="00D76FE5">
        <w:rPr>
          <w:sz w:val="24"/>
          <w:szCs w:val="24"/>
        </w:rPr>
        <w:t xml:space="preserve"> af dosis udskilles i urinen som aktiv substans. To metabolitter, monodesmethyl og N-oxid, blev påvist i lave koncentrationer i urinen.</w:t>
      </w:r>
    </w:p>
    <w:p w14:paraId="755223A4" w14:textId="3C6F587E" w:rsidR="00B2416F" w:rsidRPr="00D76FE5" w:rsidRDefault="00B2416F" w:rsidP="00DC576E">
      <w:pPr>
        <w:ind w:left="851"/>
        <w:rPr>
          <w:sz w:val="24"/>
          <w:szCs w:val="24"/>
        </w:rPr>
      </w:pPr>
      <w:r w:rsidRPr="00D76FE5">
        <w:rPr>
          <w:sz w:val="24"/>
          <w:szCs w:val="24"/>
        </w:rPr>
        <w:t>Da olopatadin primært udskilles som uændret aktiv substans i urinen, vil nedsat nyrefunktion ændre olopatadins farmakokinetik med peak plasmakoncentrationer 2,3 gange større hos patienter med svær nedsat nyrefunktion (gennemsnit keratininclearance 13,0 ml/min) sammenlignet med raske voksne.</w:t>
      </w:r>
    </w:p>
    <w:p w14:paraId="752B2B41" w14:textId="45E24CFD" w:rsidR="00B2416F" w:rsidRPr="00D76FE5" w:rsidRDefault="00B2416F" w:rsidP="00DC576E">
      <w:pPr>
        <w:ind w:left="851"/>
        <w:rPr>
          <w:sz w:val="24"/>
          <w:szCs w:val="24"/>
        </w:rPr>
      </w:pPr>
      <w:r w:rsidRPr="00D76FE5">
        <w:rPr>
          <w:sz w:val="24"/>
          <w:szCs w:val="24"/>
        </w:rPr>
        <w:t>Ved oral administration af en dos</w:t>
      </w:r>
      <w:r w:rsidR="00DC576E" w:rsidRPr="00D76FE5">
        <w:rPr>
          <w:sz w:val="24"/>
          <w:szCs w:val="24"/>
        </w:rPr>
        <w:t>is</w:t>
      </w:r>
      <w:r w:rsidRPr="00D76FE5">
        <w:rPr>
          <w:sz w:val="24"/>
          <w:szCs w:val="24"/>
        </w:rPr>
        <w:t xml:space="preserve"> på 10 mg olopatadin til patienter i hæmodialyse (ingen urinproduktion) var plasma koncentrationer signifikant lavere på dagen for hæmodialyse end på dagen uden hæmodialyse, hvilket antyder, at olopatadin kan fjernes ved hæmodialyse.</w:t>
      </w:r>
    </w:p>
    <w:p w14:paraId="014A965D" w14:textId="77777777" w:rsidR="004254FF" w:rsidRDefault="004254FF" w:rsidP="00DC576E">
      <w:pPr>
        <w:ind w:left="851"/>
        <w:rPr>
          <w:sz w:val="24"/>
          <w:szCs w:val="24"/>
        </w:rPr>
      </w:pPr>
    </w:p>
    <w:p w14:paraId="7A717689" w14:textId="125FD3BC" w:rsidR="00B2416F" w:rsidRPr="00D76FE5" w:rsidRDefault="00B2416F" w:rsidP="00DC576E">
      <w:pPr>
        <w:ind w:left="851"/>
        <w:rPr>
          <w:sz w:val="24"/>
          <w:szCs w:val="24"/>
        </w:rPr>
      </w:pPr>
      <w:r w:rsidRPr="00D76FE5">
        <w:rPr>
          <w:sz w:val="24"/>
          <w:szCs w:val="24"/>
        </w:rPr>
        <w:t>I et studie med 10 mg oralt dosis olopatadin blev olopatadins farmakokinetik sammenlignet hos yngre forsøgspersoner (gennemsnitsalderen: 21 år) og ældre (gennemsnitsalderen: 74 år). Det viste ingen signifikant forskel i plasmakoncentration (AUC), proteinbinding eller urinudskillelse af uændret aktive substans og dens metabolitter.</w:t>
      </w:r>
    </w:p>
    <w:p w14:paraId="6DDD69A4" w14:textId="77777777" w:rsidR="00B2416F" w:rsidRPr="00D76FE5" w:rsidRDefault="00B2416F" w:rsidP="00DC576E">
      <w:pPr>
        <w:ind w:left="851"/>
        <w:rPr>
          <w:sz w:val="24"/>
          <w:szCs w:val="24"/>
        </w:rPr>
      </w:pPr>
    </w:p>
    <w:p w14:paraId="04B2FDEB" w14:textId="7B594BBA" w:rsidR="009260DE" w:rsidRPr="00D76FE5" w:rsidRDefault="00B2416F" w:rsidP="00DC576E">
      <w:pPr>
        <w:ind w:left="851"/>
        <w:rPr>
          <w:sz w:val="24"/>
          <w:szCs w:val="24"/>
        </w:rPr>
      </w:pPr>
      <w:r w:rsidRPr="00D76FE5">
        <w:rPr>
          <w:sz w:val="24"/>
          <w:szCs w:val="24"/>
        </w:rPr>
        <w:t xml:space="preserve">Et nyrefunktionsstudie efter orale administration af olopatadin er blevet udført hos patienter med alvorlig nedsat nyrefunktion. Resultaterne viser, at noget højere plasmakoncentration efter administration af Olopatadin </w:t>
      </w:r>
      <w:r w:rsidR="00E3086B">
        <w:rPr>
          <w:sz w:val="24"/>
          <w:szCs w:val="24"/>
        </w:rPr>
        <w:t>"</w:t>
      </w:r>
      <w:r w:rsidR="00B36134">
        <w:rPr>
          <w:sz w:val="24"/>
          <w:szCs w:val="24"/>
        </w:rPr>
        <w:t>Brown &amp; Burk</w:t>
      </w:r>
      <w:r w:rsidR="00E3086B">
        <w:rPr>
          <w:sz w:val="24"/>
          <w:szCs w:val="24"/>
        </w:rPr>
        <w:t>"</w:t>
      </w:r>
      <w:r w:rsidRPr="00D76FE5">
        <w:rPr>
          <w:sz w:val="24"/>
          <w:szCs w:val="24"/>
        </w:rPr>
        <w:t>, kan forventes i denne gruppe. Da plasmakoncentrationen, efter topikal okulær dosering af olopatadin, er 50 til 200 gange lavere end efter veltolererede orale doser, forventes dosisjustering ikke at være nødvendig hos ældre personer eller personer med nedsat nyrefunktion. Levermetabolisme er en mindre betydningsfuld eliminationsvej. Dosisjustering forventes ikke at være nødvendig ved nedsat leverfunktion.</w:t>
      </w:r>
    </w:p>
    <w:p w14:paraId="61C3CD1B" w14:textId="77777777" w:rsidR="009260DE" w:rsidRPr="00D76FE5" w:rsidRDefault="009260DE" w:rsidP="00DC576E">
      <w:pPr>
        <w:ind w:left="851"/>
        <w:rPr>
          <w:sz w:val="24"/>
          <w:szCs w:val="24"/>
        </w:rPr>
      </w:pPr>
    </w:p>
    <w:p w14:paraId="2FA06023" w14:textId="77777777" w:rsidR="009260DE" w:rsidRPr="00D76FE5" w:rsidRDefault="009260DE" w:rsidP="009260DE">
      <w:pPr>
        <w:tabs>
          <w:tab w:val="left" w:pos="851"/>
        </w:tabs>
        <w:ind w:left="851" w:hanging="851"/>
        <w:rPr>
          <w:b/>
          <w:sz w:val="24"/>
          <w:szCs w:val="24"/>
        </w:rPr>
      </w:pPr>
      <w:r w:rsidRPr="00D76FE5">
        <w:rPr>
          <w:b/>
          <w:sz w:val="24"/>
          <w:szCs w:val="24"/>
        </w:rPr>
        <w:t>5.3</w:t>
      </w:r>
      <w:r w:rsidRPr="00D76FE5">
        <w:rPr>
          <w:b/>
          <w:sz w:val="24"/>
          <w:szCs w:val="24"/>
        </w:rPr>
        <w:tab/>
      </w:r>
      <w:r w:rsidR="00BD7931" w:rsidRPr="00D76FE5">
        <w:rPr>
          <w:b/>
          <w:sz w:val="24"/>
          <w:szCs w:val="24"/>
        </w:rPr>
        <w:t>Non-</w:t>
      </w:r>
      <w:r w:rsidRPr="00D76FE5">
        <w:rPr>
          <w:b/>
          <w:sz w:val="24"/>
          <w:szCs w:val="24"/>
        </w:rPr>
        <w:t>kliniske sikkerhedsdata</w:t>
      </w:r>
    </w:p>
    <w:p w14:paraId="4F84362A" w14:textId="04F67762" w:rsidR="00B2416F" w:rsidRPr="00D76FE5" w:rsidRDefault="00B2416F" w:rsidP="00DC576E">
      <w:pPr>
        <w:ind w:left="851"/>
        <w:rPr>
          <w:sz w:val="24"/>
          <w:szCs w:val="24"/>
        </w:rPr>
      </w:pPr>
      <w:r w:rsidRPr="00D76FE5">
        <w:rPr>
          <w:sz w:val="24"/>
          <w:szCs w:val="24"/>
        </w:rPr>
        <w:t>Non-kliniske data viser ingen speciel risiko for mennesker vurderet ud fra konventionelle studier af sikkerhedsfarmakologi, toksicitet efter gentagne doser, genotoksicitet, karcinogent potentiale samt reproduktionstoksicitet.</w:t>
      </w:r>
    </w:p>
    <w:p w14:paraId="1E1EBE9B" w14:textId="77777777" w:rsidR="00B2416F" w:rsidRPr="00D76FE5" w:rsidRDefault="00B2416F" w:rsidP="00DC576E">
      <w:pPr>
        <w:ind w:left="851"/>
        <w:rPr>
          <w:sz w:val="24"/>
          <w:szCs w:val="24"/>
        </w:rPr>
      </w:pPr>
    </w:p>
    <w:p w14:paraId="662B5F10" w14:textId="7E4EA93D" w:rsidR="00B2416F" w:rsidRPr="00D76FE5" w:rsidRDefault="00B2416F" w:rsidP="00DC576E">
      <w:pPr>
        <w:ind w:left="851"/>
        <w:rPr>
          <w:sz w:val="24"/>
          <w:szCs w:val="24"/>
        </w:rPr>
      </w:pPr>
      <w:r w:rsidRPr="00D76FE5">
        <w:rPr>
          <w:sz w:val="24"/>
          <w:szCs w:val="24"/>
        </w:rPr>
        <w:t xml:space="preserve">Dyrestudier har vist reduceret vækst hos diende hvalpe af mødre, der havde fået systemiske doser af olopatadin, som var langt over den maksimale anbefalede dosis ved human okulær anvendelse. </w:t>
      </w:r>
    </w:p>
    <w:p w14:paraId="28EAC6ED" w14:textId="77777777" w:rsidR="00B2416F" w:rsidRPr="00D76FE5" w:rsidRDefault="00B2416F" w:rsidP="00DC576E">
      <w:pPr>
        <w:ind w:left="851"/>
        <w:rPr>
          <w:rFonts w:eastAsia="SimSun"/>
          <w:sz w:val="24"/>
          <w:szCs w:val="24"/>
          <w:lang w:eastAsia="da-DK"/>
        </w:rPr>
      </w:pPr>
      <w:r w:rsidRPr="00D76FE5">
        <w:rPr>
          <w:sz w:val="24"/>
          <w:szCs w:val="24"/>
        </w:rPr>
        <w:t>Olopatadin er blevet påvist i mælk fra diegivende rotter efter oral administration.</w:t>
      </w:r>
      <w:r w:rsidRPr="00D76FE5">
        <w:rPr>
          <w:rFonts w:eastAsia="SimSun"/>
          <w:sz w:val="24"/>
          <w:szCs w:val="24"/>
          <w:lang w:eastAsia="da-DK"/>
        </w:rPr>
        <w:t xml:space="preserve"> </w:t>
      </w:r>
    </w:p>
    <w:p w14:paraId="0C2FCFD7" w14:textId="77777777" w:rsidR="009260DE" w:rsidRPr="00D76FE5" w:rsidRDefault="009260DE" w:rsidP="009260DE">
      <w:pPr>
        <w:tabs>
          <w:tab w:val="left" w:pos="851"/>
        </w:tabs>
        <w:ind w:left="851"/>
        <w:rPr>
          <w:sz w:val="24"/>
          <w:szCs w:val="24"/>
        </w:rPr>
      </w:pPr>
    </w:p>
    <w:p w14:paraId="2145172A" w14:textId="77777777" w:rsidR="009260DE" w:rsidRPr="00D76FE5" w:rsidRDefault="009260DE" w:rsidP="009260DE">
      <w:pPr>
        <w:tabs>
          <w:tab w:val="left" w:pos="851"/>
        </w:tabs>
        <w:ind w:left="851"/>
        <w:rPr>
          <w:sz w:val="24"/>
          <w:szCs w:val="24"/>
        </w:rPr>
      </w:pPr>
    </w:p>
    <w:p w14:paraId="7296789A" w14:textId="77777777" w:rsidR="009260DE" w:rsidRPr="00D76FE5" w:rsidRDefault="009260DE" w:rsidP="009260DE">
      <w:pPr>
        <w:tabs>
          <w:tab w:val="left" w:pos="851"/>
        </w:tabs>
        <w:ind w:left="851" w:hanging="851"/>
        <w:rPr>
          <w:b/>
          <w:sz w:val="24"/>
          <w:szCs w:val="24"/>
        </w:rPr>
      </w:pPr>
      <w:r w:rsidRPr="00D76FE5">
        <w:rPr>
          <w:b/>
          <w:sz w:val="24"/>
          <w:szCs w:val="24"/>
        </w:rPr>
        <w:t>6.</w:t>
      </w:r>
      <w:r w:rsidRPr="00D76FE5">
        <w:rPr>
          <w:b/>
          <w:sz w:val="24"/>
          <w:szCs w:val="24"/>
        </w:rPr>
        <w:tab/>
        <w:t>FARMACEUTISKE OPLYSNINGER</w:t>
      </w:r>
    </w:p>
    <w:p w14:paraId="119D9DB1" w14:textId="77777777" w:rsidR="009260DE" w:rsidRPr="00D76FE5" w:rsidRDefault="009260DE" w:rsidP="009260DE">
      <w:pPr>
        <w:tabs>
          <w:tab w:val="left" w:pos="851"/>
        </w:tabs>
        <w:ind w:left="851"/>
        <w:rPr>
          <w:sz w:val="24"/>
          <w:szCs w:val="24"/>
        </w:rPr>
      </w:pPr>
    </w:p>
    <w:p w14:paraId="66B73896" w14:textId="77777777" w:rsidR="009260DE" w:rsidRPr="00D76FE5" w:rsidRDefault="009260DE" w:rsidP="009260DE">
      <w:pPr>
        <w:tabs>
          <w:tab w:val="left" w:pos="851"/>
        </w:tabs>
        <w:ind w:left="851" w:hanging="851"/>
        <w:rPr>
          <w:b/>
          <w:sz w:val="24"/>
          <w:szCs w:val="24"/>
        </w:rPr>
      </w:pPr>
      <w:r w:rsidRPr="00D76FE5">
        <w:rPr>
          <w:b/>
          <w:sz w:val="24"/>
          <w:szCs w:val="24"/>
        </w:rPr>
        <w:t>6.1</w:t>
      </w:r>
      <w:r w:rsidRPr="00D76FE5">
        <w:rPr>
          <w:b/>
          <w:sz w:val="24"/>
          <w:szCs w:val="24"/>
        </w:rPr>
        <w:tab/>
        <w:t>Hjælpestoffer</w:t>
      </w:r>
    </w:p>
    <w:p w14:paraId="1FD393D5" w14:textId="77777777" w:rsidR="00B2416F" w:rsidRPr="00D76FE5" w:rsidRDefault="00B2416F" w:rsidP="00DC576E">
      <w:pPr>
        <w:ind w:left="851"/>
        <w:rPr>
          <w:sz w:val="24"/>
          <w:szCs w:val="24"/>
        </w:rPr>
      </w:pPr>
      <w:r w:rsidRPr="00D76FE5">
        <w:rPr>
          <w:sz w:val="24"/>
          <w:szCs w:val="24"/>
        </w:rPr>
        <w:t>Benzalkoniumchlorid</w:t>
      </w:r>
    </w:p>
    <w:p w14:paraId="12DB1BD0" w14:textId="77777777" w:rsidR="00B2416F" w:rsidRPr="00D76FE5" w:rsidRDefault="00B2416F" w:rsidP="00DC576E">
      <w:pPr>
        <w:ind w:left="851"/>
        <w:rPr>
          <w:sz w:val="24"/>
          <w:szCs w:val="24"/>
        </w:rPr>
      </w:pPr>
      <w:r w:rsidRPr="00D76FE5">
        <w:rPr>
          <w:sz w:val="24"/>
          <w:szCs w:val="24"/>
        </w:rPr>
        <w:t>Natriumchlorid</w:t>
      </w:r>
    </w:p>
    <w:p w14:paraId="7AC6AE56" w14:textId="77777777" w:rsidR="00B2416F" w:rsidRPr="00D76FE5" w:rsidRDefault="00B2416F" w:rsidP="00DC576E">
      <w:pPr>
        <w:ind w:left="851"/>
        <w:rPr>
          <w:sz w:val="24"/>
          <w:szCs w:val="24"/>
        </w:rPr>
      </w:pPr>
      <w:r w:rsidRPr="00D76FE5">
        <w:rPr>
          <w:sz w:val="24"/>
          <w:szCs w:val="24"/>
        </w:rPr>
        <w:t>Dinatriumphosphat (E339)</w:t>
      </w:r>
    </w:p>
    <w:p w14:paraId="331B06CA" w14:textId="77777777" w:rsidR="00B2416F" w:rsidRPr="00D76FE5" w:rsidRDefault="00B2416F" w:rsidP="00DC576E">
      <w:pPr>
        <w:ind w:left="851"/>
        <w:rPr>
          <w:sz w:val="24"/>
          <w:szCs w:val="24"/>
        </w:rPr>
      </w:pPr>
      <w:r w:rsidRPr="00D76FE5">
        <w:rPr>
          <w:sz w:val="24"/>
          <w:szCs w:val="24"/>
        </w:rPr>
        <w:t>Koncentreret saltsyre (E507) (til justering af pH)</w:t>
      </w:r>
    </w:p>
    <w:p w14:paraId="2EE03C70" w14:textId="77777777" w:rsidR="00B2416F" w:rsidRPr="00D76FE5" w:rsidRDefault="00B2416F" w:rsidP="00DC576E">
      <w:pPr>
        <w:ind w:left="851"/>
        <w:rPr>
          <w:sz w:val="24"/>
          <w:szCs w:val="24"/>
        </w:rPr>
      </w:pPr>
      <w:r w:rsidRPr="00D76FE5">
        <w:rPr>
          <w:sz w:val="24"/>
          <w:szCs w:val="24"/>
        </w:rPr>
        <w:t>Natriumhydroxid (E524) (til justering af pH)</w:t>
      </w:r>
    </w:p>
    <w:p w14:paraId="6B7B7258" w14:textId="77777777" w:rsidR="00B2416F" w:rsidRPr="00D76FE5" w:rsidRDefault="00B2416F" w:rsidP="00DC576E">
      <w:pPr>
        <w:ind w:left="851"/>
        <w:rPr>
          <w:color w:val="000000"/>
          <w:sz w:val="24"/>
          <w:szCs w:val="24"/>
        </w:rPr>
      </w:pPr>
      <w:r w:rsidRPr="00D76FE5">
        <w:rPr>
          <w:sz w:val="24"/>
          <w:szCs w:val="24"/>
        </w:rPr>
        <w:t>Vand til injektionsvæsker</w:t>
      </w:r>
    </w:p>
    <w:p w14:paraId="6815A4FD" w14:textId="77777777" w:rsidR="009260DE" w:rsidRPr="00D76FE5" w:rsidRDefault="009260DE" w:rsidP="009260DE">
      <w:pPr>
        <w:tabs>
          <w:tab w:val="left" w:pos="851"/>
        </w:tabs>
        <w:ind w:left="851"/>
        <w:rPr>
          <w:sz w:val="24"/>
          <w:szCs w:val="24"/>
        </w:rPr>
      </w:pPr>
    </w:p>
    <w:p w14:paraId="216765EA" w14:textId="77777777" w:rsidR="009260DE" w:rsidRPr="00D76FE5" w:rsidRDefault="009260DE" w:rsidP="009260DE">
      <w:pPr>
        <w:tabs>
          <w:tab w:val="left" w:pos="851"/>
        </w:tabs>
        <w:ind w:left="851" w:hanging="851"/>
        <w:rPr>
          <w:b/>
          <w:sz w:val="24"/>
          <w:szCs w:val="24"/>
        </w:rPr>
      </w:pPr>
      <w:r w:rsidRPr="00D76FE5">
        <w:rPr>
          <w:b/>
          <w:sz w:val="24"/>
          <w:szCs w:val="24"/>
        </w:rPr>
        <w:t>6.2</w:t>
      </w:r>
      <w:r w:rsidRPr="00D76FE5">
        <w:rPr>
          <w:b/>
          <w:sz w:val="24"/>
          <w:szCs w:val="24"/>
        </w:rPr>
        <w:tab/>
        <w:t>Uforligeligheder</w:t>
      </w:r>
    </w:p>
    <w:p w14:paraId="59652EED" w14:textId="77777777" w:rsidR="00B2416F" w:rsidRPr="00D76FE5" w:rsidRDefault="00B2416F" w:rsidP="00DC576E">
      <w:pPr>
        <w:ind w:left="851"/>
        <w:rPr>
          <w:sz w:val="24"/>
          <w:szCs w:val="24"/>
        </w:rPr>
      </w:pPr>
      <w:r w:rsidRPr="00D76FE5">
        <w:rPr>
          <w:sz w:val="24"/>
          <w:szCs w:val="24"/>
        </w:rPr>
        <w:t>Ikke relevant.</w:t>
      </w:r>
    </w:p>
    <w:p w14:paraId="7DFD5FF5" w14:textId="77777777" w:rsidR="009260DE" w:rsidRPr="00D76FE5" w:rsidRDefault="009260DE" w:rsidP="009260DE">
      <w:pPr>
        <w:tabs>
          <w:tab w:val="left" w:pos="851"/>
        </w:tabs>
        <w:ind w:left="851"/>
        <w:rPr>
          <w:sz w:val="24"/>
          <w:szCs w:val="24"/>
        </w:rPr>
      </w:pPr>
    </w:p>
    <w:p w14:paraId="7C5728AB" w14:textId="77777777" w:rsidR="009260DE" w:rsidRPr="00D76FE5" w:rsidRDefault="009260DE" w:rsidP="009260DE">
      <w:pPr>
        <w:tabs>
          <w:tab w:val="left" w:pos="851"/>
        </w:tabs>
        <w:ind w:left="851" w:hanging="851"/>
        <w:rPr>
          <w:b/>
          <w:sz w:val="24"/>
          <w:szCs w:val="24"/>
        </w:rPr>
      </w:pPr>
      <w:r w:rsidRPr="00D76FE5">
        <w:rPr>
          <w:b/>
          <w:sz w:val="24"/>
          <w:szCs w:val="24"/>
        </w:rPr>
        <w:t>6.3</w:t>
      </w:r>
      <w:r w:rsidRPr="00D76FE5">
        <w:rPr>
          <w:b/>
          <w:sz w:val="24"/>
          <w:szCs w:val="24"/>
        </w:rPr>
        <w:tab/>
        <w:t>Opbevaringstid</w:t>
      </w:r>
    </w:p>
    <w:p w14:paraId="729B29F1" w14:textId="77777777" w:rsidR="00B2416F" w:rsidRPr="00D76FE5" w:rsidRDefault="00B2416F" w:rsidP="00DC576E">
      <w:pPr>
        <w:ind w:left="851"/>
        <w:rPr>
          <w:sz w:val="24"/>
          <w:szCs w:val="24"/>
        </w:rPr>
      </w:pPr>
      <w:r w:rsidRPr="00D76FE5">
        <w:rPr>
          <w:sz w:val="24"/>
          <w:szCs w:val="24"/>
        </w:rPr>
        <w:t>2 år</w:t>
      </w:r>
    </w:p>
    <w:p w14:paraId="45A4F92A" w14:textId="77777777" w:rsidR="00B2416F" w:rsidRPr="00E3086B" w:rsidRDefault="00B2416F" w:rsidP="00E3086B">
      <w:pPr>
        <w:ind w:left="851"/>
        <w:rPr>
          <w:sz w:val="24"/>
          <w:szCs w:val="24"/>
        </w:rPr>
      </w:pPr>
      <w:r w:rsidRPr="00E3086B">
        <w:rPr>
          <w:sz w:val="24"/>
          <w:szCs w:val="24"/>
        </w:rPr>
        <w:t xml:space="preserve">Holdbarhed efter første åbning: 4 uger </w:t>
      </w:r>
    </w:p>
    <w:p w14:paraId="067B7705" w14:textId="77777777" w:rsidR="009260DE" w:rsidRPr="00D76FE5" w:rsidRDefault="009260DE" w:rsidP="009260DE">
      <w:pPr>
        <w:tabs>
          <w:tab w:val="left" w:pos="851"/>
        </w:tabs>
        <w:ind w:left="851"/>
        <w:rPr>
          <w:sz w:val="24"/>
          <w:szCs w:val="24"/>
        </w:rPr>
      </w:pPr>
    </w:p>
    <w:p w14:paraId="4991C0F3" w14:textId="77777777" w:rsidR="009260DE" w:rsidRPr="00D76FE5" w:rsidRDefault="009260DE" w:rsidP="009260DE">
      <w:pPr>
        <w:tabs>
          <w:tab w:val="left" w:pos="851"/>
        </w:tabs>
        <w:ind w:left="851" w:hanging="851"/>
        <w:rPr>
          <w:b/>
          <w:sz w:val="24"/>
          <w:szCs w:val="24"/>
        </w:rPr>
      </w:pPr>
      <w:r w:rsidRPr="00D76FE5">
        <w:rPr>
          <w:b/>
          <w:sz w:val="24"/>
          <w:szCs w:val="24"/>
        </w:rPr>
        <w:t>6.4</w:t>
      </w:r>
      <w:r w:rsidRPr="00D76FE5">
        <w:rPr>
          <w:b/>
          <w:sz w:val="24"/>
          <w:szCs w:val="24"/>
        </w:rPr>
        <w:tab/>
        <w:t>Særlige opbevaringsforhold</w:t>
      </w:r>
    </w:p>
    <w:p w14:paraId="77A404B6" w14:textId="3911403C" w:rsidR="009260DE" w:rsidRPr="00D76FE5" w:rsidRDefault="00B2416F" w:rsidP="00DC576E">
      <w:pPr>
        <w:ind w:left="851"/>
        <w:rPr>
          <w:sz w:val="24"/>
          <w:szCs w:val="24"/>
        </w:rPr>
      </w:pPr>
      <w:r w:rsidRPr="00D76FE5">
        <w:rPr>
          <w:sz w:val="24"/>
          <w:szCs w:val="24"/>
        </w:rPr>
        <w:t>Dette lægemiddel kræver ingen særlige forholdsregler vedrørende opbevaringen.</w:t>
      </w:r>
    </w:p>
    <w:p w14:paraId="6A55C389" w14:textId="77777777" w:rsidR="009260DE" w:rsidRPr="00D76FE5" w:rsidRDefault="009260DE" w:rsidP="009260DE">
      <w:pPr>
        <w:tabs>
          <w:tab w:val="left" w:pos="851"/>
        </w:tabs>
        <w:ind w:left="851"/>
        <w:rPr>
          <w:sz w:val="24"/>
          <w:szCs w:val="24"/>
        </w:rPr>
      </w:pPr>
    </w:p>
    <w:p w14:paraId="773B3DB3" w14:textId="77777777" w:rsidR="009260DE" w:rsidRPr="00D76FE5" w:rsidRDefault="009260DE" w:rsidP="009260DE">
      <w:pPr>
        <w:tabs>
          <w:tab w:val="left" w:pos="851"/>
        </w:tabs>
        <w:ind w:left="851" w:hanging="851"/>
        <w:rPr>
          <w:b/>
          <w:sz w:val="24"/>
          <w:szCs w:val="24"/>
        </w:rPr>
      </w:pPr>
      <w:r w:rsidRPr="00D76FE5">
        <w:rPr>
          <w:b/>
          <w:sz w:val="24"/>
          <w:szCs w:val="24"/>
        </w:rPr>
        <w:t>6.5</w:t>
      </w:r>
      <w:r w:rsidRPr="00D76FE5">
        <w:rPr>
          <w:b/>
          <w:sz w:val="24"/>
          <w:szCs w:val="24"/>
        </w:rPr>
        <w:tab/>
        <w:t>Emballagetype og pakningsstørrelser</w:t>
      </w:r>
    </w:p>
    <w:p w14:paraId="03DEF0D4" w14:textId="77777777" w:rsidR="00B2416F" w:rsidRPr="00D76FE5" w:rsidRDefault="00B2416F" w:rsidP="00DC576E">
      <w:pPr>
        <w:ind w:left="851"/>
        <w:rPr>
          <w:sz w:val="24"/>
          <w:szCs w:val="24"/>
        </w:rPr>
      </w:pPr>
      <w:r w:rsidRPr="00D76FE5">
        <w:rPr>
          <w:sz w:val="24"/>
          <w:szCs w:val="24"/>
        </w:rPr>
        <w:t>5 ml hvid LDPE-flaske med hvid LDPE-drypindsats og hvid HDPE-skruehætte med brudsikker forsegling.</w:t>
      </w:r>
    </w:p>
    <w:p w14:paraId="1AC9984F" w14:textId="777FFDFC" w:rsidR="00B2416F" w:rsidRPr="00D76FE5" w:rsidRDefault="00B2416F" w:rsidP="00DC576E">
      <w:pPr>
        <w:ind w:left="851"/>
        <w:rPr>
          <w:sz w:val="24"/>
          <w:szCs w:val="24"/>
        </w:rPr>
      </w:pPr>
      <w:r w:rsidRPr="00D76FE5">
        <w:rPr>
          <w:sz w:val="24"/>
          <w:szCs w:val="24"/>
        </w:rPr>
        <w:t>Hver flaske på 5 ml indeholder cirka 160 dråber.</w:t>
      </w:r>
    </w:p>
    <w:p w14:paraId="42E4D761" w14:textId="77777777" w:rsidR="00B2416F" w:rsidRPr="00D76FE5" w:rsidRDefault="00B2416F" w:rsidP="00DC576E">
      <w:pPr>
        <w:ind w:left="851"/>
        <w:rPr>
          <w:sz w:val="24"/>
          <w:szCs w:val="24"/>
        </w:rPr>
      </w:pPr>
    </w:p>
    <w:p w14:paraId="3BAFFAB5" w14:textId="395EA523" w:rsidR="00B87B51" w:rsidRDefault="00B2416F" w:rsidP="00B87B51">
      <w:pPr>
        <w:tabs>
          <w:tab w:val="left" w:pos="3119"/>
        </w:tabs>
        <w:ind w:left="851"/>
        <w:rPr>
          <w:sz w:val="24"/>
          <w:szCs w:val="24"/>
        </w:rPr>
      </w:pPr>
      <w:r w:rsidRPr="00D76FE5">
        <w:rPr>
          <w:sz w:val="24"/>
          <w:szCs w:val="24"/>
        </w:rPr>
        <w:t>Pakningsstørrelser:</w:t>
      </w:r>
      <w:r w:rsidRPr="00D76FE5">
        <w:rPr>
          <w:sz w:val="24"/>
          <w:szCs w:val="24"/>
        </w:rPr>
        <w:tab/>
        <w:t xml:space="preserve">1 </w:t>
      </w:r>
      <w:r w:rsidR="00B87B51">
        <w:rPr>
          <w:sz w:val="24"/>
          <w:szCs w:val="24"/>
        </w:rPr>
        <w:t>×</w:t>
      </w:r>
      <w:r w:rsidRPr="00D76FE5">
        <w:rPr>
          <w:sz w:val="24"/>
          <w:szCs w:val="24"/>
        </w:rPr>
        <w:t xml:space="preserve"> 5 ml og</w:t>
      </w:r>
    </w:p>
    <w:p w14:paraId="6027856B" w14:textId="28034BA3" w:rsidR="00B2416F" w:rsidRPr="00D76FE5" w:rsidRDefault="00B87B51" w:rsidP="00B87B51">
      <w:pPr>
        <w:tabs>
          <w:tab w:val="left" w:pos="3119"/>
        </w:tabs>
        <w:rPr>
          <w:sz w:val="24"/>
          <w:szCs w:val="24"/>
        </w:rPr>
      </w:pPr>
      <w:r>
        <w:rPr>
          <w:sz w:val="24"/>
          <w:szCs w:val="24"/>
        </w:rPr>
        <w:tab/>
      </w:r>
      <w:r w:rsidR="00B2416F" w:rsidRPr="00D76FE5">
        <w:rPr>
          <w:sz w:val="24"/>
          <w:szCs w:val="24"/>
        </w:rPr>
        <w:t xml:space="preserve">3 </w:t>
      </w:r>
      <w:r>
        <w:rPr>
          <w:sz w:val="24"/>
          <w:szCs w:val="24"/>
        </w:rPr>
        <w:t>×</w:t>
      </w:r>
      <w:r w:rsidR="00B2416F" w:rsidRPr="00D76FE5">
        <w:rPr>
          <w:sz w:val="24"/>
          <w:szCs w:val="24"/>
        </w:rPr>
        <w:t xml:space="preserve"> 5 ml</w:t>
      </w:r>
    </w:p>
    <w:p w14:paraId="67364A43" w14:textId="77777777" w:rsidR="00B2416F" w:rsidRPr="00D76FE5" w:rsidRDefault="00B2416F" w:rsidP="00DC576E">
      <w:pPr>
        <w:ind w:left="851"/>
        <w:rPr>
          <w:sz w:val="24"/>
          <w:szCs w:val="24"/>
        </w:rPr>
      </w:pPr>
    </w:p>
    <w:p w14:paraId="28CBD7DD" w14:textId="77777777" w:rsidR="00B2416F" w:rsidRPr="00D76FE5" w:rsidRDefault="00B2416F" w:rsidP="00DC576E">
      <w:pPr>
        <w:ind w:left="851"/>
        <w:rPr>
          <w:sz w:val="24"/>
          <w:szCs w:val="24"/>
        </w:rPr>
      </w:pPr>
      <w:r w:rsidRPr="00D76FE5">
        <w:rPr>
          <w:sz w:val="24"/>
          <w:szCs w:val="24"/>
        </w:rPr>
        <w:t>Ikke alle pakningsstørrelser er nødvendigvis markedsført.</w:t>
      </w:r>
    </w:p>
    <w:p w14:paraId="3F374C13" w14:textId="77777777" w:rsidR="009260DE" w:rsidRPr="00D76FE5" w:rsidRDefault="009260DE" w:rsidP="009260DE">
      <w:pPr>
        <w:tabs>
          <w:tab w:val="left" w:pos="851"/>
        </w:tabs>
        <w:ind w:left="851"/>
        <w:rPr>
          <w:sz w:val="24"/>
          <w:szCs w:val="24"/>
        </w:rPr>
      </w:pPr>
    </w:p>
    <w:p w14:paraId="476E442D" w14:textId="77777777" w:rsidR="009260DE" w:rsidRPr="00D76FE5" w:rsidRDefault="009260DE" w:rsidP="009260DE">
      <w:pPr>
        <w:tabs>
          <w:tab w:val="left" w:pos="851"/>
        </w:tabs>
        <w:ind w:left="851" w:hanging="851"/>
        <w:rPr>
          <w:b/>
          <w:sz w:val="24"/>
          <w:szCs w:val="24"/>
        </w:rPr>
      </w:pPr>
      <w:r w:rsidRPr="00D76FE5">
        <w:rPr>
          <w:b/>
          <w:sz w:val="24"/>
          <w:szCs w:val="24"/>
        </w:rPr>
        <w:t>6.6</w:t>
      </w:r>
      <w:r w:rsidRPr="00D76FE5">
        <w:rPr>
          <w:b/>
          <w:sz w:val="24"/>
          <w:szCs w:val="24"/>
        </w:rPr>
        <w:tab/>
        <w:t xml:space="preserve">Regler for </w:t>
      </w:r>
      <w:r w:rsidR="00BD7931" w:rsidRPr="00D76FE5">
        <w:rPr>
          <w:b/>
          <w:sz w:val="24"/>
          <w:szCs w:val="24"/>
        </w:rPr>
        <w:t>bortskaffelse</w:t>
      </w:r>
      <w:r w:rsidRPr="00D76FE5">
        <w:rPr>
          <w:b/>
          <w:sz w:val="24"/>
          <w:szCs w:val="24"/>
        </w:rPr>
        <w:t xml:space="preserve"> og anden håndtering</w:t>
      </w:r>
    </w:p>
    <w:p w14:paraId="3C430B08" w14:textId="77777777" w:rsidR="00B2416F" w:rsidRPr="00D76FE5" w:rsidRDefault="00B2416F" w:rsidP="00DC576E">
      <w:pPr>
        <w:ind w:left="851"/>
        <w:rPr>
          <w:sz w:val="24"/>
          <w:szCs w:val="24"/>
        </w:rPr>
      </w:pPr>
      <w:r w:rsidRPr="00D76FE5">
        <w:rPr>
          <w:sz w:val="24"/>
          <w:szCs w:val="24"/>
        </w:rPr>
        <w:t>Ikke anvendt lægemiddel samt affald heraf skal bortskaffes i henhold til lokale retningslinjer.</w:t>
      </w:r>
    </w:p>
    <w:p w14:paraId="148C5379" w14:textId="77777777" w:rsidR="009260DE" w:rsidRPr="00D76FE5" w:rsidRDefault="009260DE" w:rsidP="000730CA">
      <w:pPr>
        <w:tabs>
          <w:tab w:val="left" w:pos="851"/>
        </w:tabs>
        <w:ind w:left="851"/>
        <w:rPr>
          <w:sz w:val="24"/>
          <w:szCs w:val="24"/>
        </w:rPr>
      </w:pPr>
    </w:p>
    <w:p w14:paraId="666B08B8" w14:textId="77777777" w:rsidR="009260DE" w:rsidRPr="00D76FE5" w:rsidRDefault="009260DE" w:rsidP="009260DE">
      <w:pPr>
        <w:tabs>
          <w:tab w:val="left" w:pos="851"/>
        </w:tabs>
        <w:ind w:left="851" w:hanging="851"/>
        <w:rPr>
          <w:b/>
          <w:sz w:val="24"/>
          <w:szCs w:val="24"/>
        </w:rPr>
      </w:pPr>
      <w:r w:rsidRPr="00D76FE5">
        <w:rPr>
          <w:b/>
          <w:sz w:val="24"/>
          <w:szCs w:val="24"/>
        </w:rPr>
        <w:t>7.</w:t>
      </w:r>
      <w:r w:rsidRPr="00D76FE5">
        <w:rPr>
          <w:b/>
          <w:sz w:val="24"/>
          <w:szCs w:val="24"/>
        </w:rPr>
        <w:tab/>
        <w:t>INDEHAVER AF MARKEDSFØRINGSTILLADELSEN</w:t>
      </w:r>
    </w:p>
    <w:p w14:paraId="208A9C2F" w14:textId="77777777" w:rsidR="00B36134" w:rsidRPr="00B36134" w:rsidRDefault="00B36134" w:rsidP="00B36134">
      <w:pPr>
        <w:tabs>
          <w:tab w:val="left" w:pos="851"/>
        </w:tabs>
        <w:ind w:left="851"/>
        <w:rPr>
          <w:sz w:val="24"/>
          <w:szCs w:val="24"/>
          <w:lang w:val="en-US" w:eastAsia="en-GB"/>
        </w:rPr>
      </w:pPr>
      <w:r w:rsidRPr="00B36134">
        <w:rPr>
          <w:sz w:val="24"/>
          <w:szCs w:val="24"/>
          <w:lang w:val="en-US" w:eastAsia="en-GB"/>
        </w:rPr>
        <w:t xml:space="preserve">Brown &amp; Burk IR Limited </w:t>
      </w:r>
    </w:p>
    <w:p w14:paraId="00966C81" w14:textId="4476A7FF" w:rsidR="00B36134" w:rsidRPr="00B36134" w:rsidRDefault="00B36134" w:rsidP="00B36134">
      <w:pPr>
        <w:tabs>
          <w:tab w:val="left" w:pos="851"/>
        </w:tabs>
        <w:ind w:left="851"/>
        <w:rPr>
          <w:sz w:val="24"/>
          <w:szCs w:val="24"/>
          <w:lang w:val="en-US" w:eastAsia="en-GB"/>
        </w:rPr>
      </w:pPr>
      <w:r w:rsidRPr="00B36134">
        <w:rPr>
          <w:sz w:val="24"/>
          <w:szCs w:val="24"/>
          <w:lang w:val="en-US" w:eastAsia="en-GB"/>
        </w:rPr>
        <w:t xml:space="preserve">22 Northumberland Road </w:t>
      </w:r>
    </w:p>
    <w:p w14:paraId="25CD3189" w14:textId="1717ABF8" w:rsidR="00B36134" w:rsidRPr="00B36134" w:rsidRDefault="00B36134" w:rsidP="00B36134">
      <w:pPr>
        <w:tabs>
          <w:tab w:val="left" w:pos="851"/>
        </w:tabs>
        <w:ind w:left="851"/>
        <w:rPr>
          <w:sz w:val="24"/>
          <w:szCs w:val="24"/>
          <w:lang w:eastAsia="en-GB"/>
        </w:rPr>
      </w:pPr>
      <w:r w:rsidRPr="00B36134">
        <w:rPr>
          <w:sz w:val="24"/>
          <w:szCs w:val="24"/>
          <w:lang w:eastAsia="en-GB"/>
        </w:rPr>
        <w:t>Ballsbridge, Dublin 4</w:t>
      </w:r>
    </w:p>
    <w:p w14:paraId="4BF20FBD" w14:textId="4C77696D" w:rsidR="00B36134" w:rsidRPr="00B36134" w:rsidRDefault="00B36134" w:rsidP="00B36134">
      <w:pPr>
        <w:tabs>
          <w:tab w:val="left" w:pos="851"/>
        </w:tabs>
        <w:ind w:left="851"/>
        <w:rPr>
          <w:sz w:val="24"/>
          <w:szCs w:val="24"/>
          <w:lang w:eastAsia="en-GB"/>
        </w:rPr>
      </w:pPr>
      <w:r w:rsidRPr="00B36134">
        <w:rPr>
          <w:sz w:val="24"/>
          <w:szCs w:val="24"/>
          <w:lang w:eastAsia="en-GB"/>
        </w:rPr>
        <w:t xml:space="preserve">Irland </w:t>
      </w:r>
    </w:p>
    <w:p w14:paraId="63BE086C" w14:textId="77777777" w:rsidR="00641C65" w:rsidRPr="001C5CF4" w:rsidRDefault="00641C65" w:rsidP="009260DE">
      <w:pPr>
        <w:tabs>
          <w:tab w:val="left" w:pos="851"/>
        </w:tabs>
        <w:ind w:left="851"/>
        <w:rPr>
          <w:sz w:val="24"/>
          <w:szCs w:val="24"/>
          <w:lang w:val="en-US"/>
        </w:rPr>
      </w:pPr>
    </w:p>
    <w:p w14:paraId="0C55F86B" w14:textId="77777777" w:rsidR="009260DE" w:rsidRPr="00D76FE5" w:rsidRDefault="009260DE" w:rsidP="009260DE">
      <w:pPr>
        <w:tabs>
          <w:tab w:val="left" w:pos="851"/>
        </w:tabs>
        <w:ind w:left="851" w:hanging="851"/>
        <w:rPr>
          <w:b/>
          <w:sz w:val="24"/>
          <w:szCs w:val="24"/>
        </w:rPr>
      </w:pPr>
      <w:r w:rsidRPr="00D76FE5">
        <w:rPr>
          <w:b/>
          <w:sz w:val="24"/>
          <w:szCs w:val="24"/>
        </w:rPr>
        <w:t>8.</w:t>
      </w:r>
      <w:r w:rsidRPr="00D76FE5">
        <w:rPr>
          <w:b/>
          <w:sz w:val="24"/>
          <w:szCs w:val="24"/>
        </w:rPr>
        <w:tab/>
        <w:t>MARKEDSFØRINGSTILLADELSESNUMMER (</w:t>
      </w:r>
      <w:r w:rsidR="00BF6243" w:rsidRPr="00D76FE5">
        <w:rPr>
          <w:b/>
          <w:sz w:val="24"/>
          <w:szCs w:val="24"/>
        </w:rPr>
        <w:t>-</w:t>
      </w:r>
      <w:r w:rsidRPr="00D76FE5">
        <w:rPr>
          <w:b/>
          <w:sz w:val="24"/>
          <w:szCs w:val="24"/>
        </w:rPr>
        <w:t>NUMRE)</w:t>
      </w:r>
    </w:p>
    <w:p w14:paraId="5927EAE6" w14:textId="21713DA6" w:rsidR="009260DE" w:rsidRPr="00D76FE5" w:rsidRDefault="00B2416F" w:rsidP="009260DE">
      <w:pPr>
        <w:tabs>
          <w:tab w:val="left" w:pos="851"/>
        </w:tabs>
        <w:ind w:left="851"/>
        <w:rPr>
          <w:sz w:val="24"/>
          <w:szCs w:val="24"/>
        </w:rPr>
      </w:pPr>
      <w:r w:rsidRPr="00D76FE5">
        <w:rPr>
          <w:sz w:val="24"/>
          <w:szCs w:val="24"/>
        </w:rPr>
        <w:t>67714</w:t>
      </w:r>
    </w:p>
    <w:p w14:paraId="6B6B6513" w14:textId="77777777" w:rsidR="009260DE" w:rsidRPr="00D76FE5" w:rsidRDefault="009260DE" w:rsidP="009260DE">
      <w:pPr>
        <w:tabs>
          <w:tab w:val="left" w:pos="851"/>
        </w:tabs>
        <w:ind w:left="851"/>
        <w:jc w:val="both"/>
        <w:rPr>
          <w:sz w:val="24"/>
          <w:szCs w:val="24"/>
        </w:rPr>
      </w:pPr>
    </w:p>
    <w:p w14:paraId="12117CD8" w14:textId="77777777" w:rsidR="009260DE" w:rsidRPr="00D76FE5" w:rsidRDefault="009260DE" w:rsidP="009260DE">
      <w:pPr>
        <w:tabs>
          <w:tab w:val="left" w:pos="851"/>
        </w:tabs>
        <w:ind w:left="851" w:hanging="851"/>
        <w:rPr>
          <w:b/>
          <w:sz w:val="24"/>
          <w:szCs w:val="24"/>
        </w:rPr>
      </w:pPr>
      <w:r w:rsidRPr="00D76FE5">
        <w:rPr>
          <w:b/>
          <w:sz w:val="24"/>
          <w:szCs w:val="24"/>
        </w:rPr>
        <w:t>9.</w:t>
      </w:r>
      <w:r w:rsidRPr="00D76FE5">
        <w:rPr>
          <w:b/>
          <w:sz w:val="24"/>
          <w:szCs w:val="24"/>
        </w:rPr>
        <w:tab/>
        <w:t>DATO FOR FØRSTE MARKEDSFØRINGSTILLADELSE</w:t>
      </w:r>
    </w:p>
    <w:p w14:paraId="43EF3685" w14:textId="1D604502" w:rsidR="009260DE" w:rsidRPr="00D76FE5" w:rsidRDefault="001C5CF4" w:rsidP="009260DE">
      <w:pPr>
        <w:tabs>
          <w:tab w:val="left" w:pos="851"/>
        </w:tabs>
        <w:ind w:left="851"/>
        <w:rPr>
          <w:sz w:val="24"/>
          <w:szCs w:val="24"/>
        </w:rPr>
      </w:pPr>
      <w:r>
        <w:rPr>
          <w:sz w:val="24"/>
          <w:szCs w:val="24"/>
        </w:rPr>
        <w:t>19. marts 2025</w:t>
      </w:r>
    </w:p>
    <w:p w14:paraId="4B0B742B" w14:textId="77777777" w:rsidR="009260DE" w:rsidRPr="00D76FE5" w:rsidRDefault="009260DE" w:rsidP="009260DE">
      <w:pPr>
        <w:tabs>
          <w:tab w:val="left" w:pos="851"/>
        </w:tabs>
        <w:ind w:left="851"/>
        <w:rPr>
          <w:sz w:val="24"/>
          <w:szCs w:val="24"/>
        </w:rPr>
      </w:pPr>
    </w:p>
    <w:p w14:paraId="11746606" w14:textId="77777777" w:rsidR="009260DE" w:rsidRPr="00D76FE5" w:rsidRDefault="009260DE" w:rsidP="009260DE">
      <w:pPr>
        <w:tabs>
          <w:tab w:val="left" w:pos="851"/>
        </w:tabs>
        <w:ind w:left="851" w:hanging="851"/>
        <w:rPr>
          <w:b/>
          <w:sz w:val="24"/>
          <w:szCs w:val="24"/>
        </w:rPr>
      </w:pPr>
      <w:r w:rsidRPr="00D76FE5">
        <w:rPr>
          <w:b/>
          <w:sz w:val="24"/>
          <w:szCs w:val="24"/>
        </w:rPr>
        <w:t>10.</w:t>
      </w:r>
      <w:r w:rsidRPr="00D76FE5">
        <w:rPr>
          <w:b/>
          <w:sz w:val="24"/>
          <w:szCs w:val="24"/>
        </w:rPr>
        <w:tab/>
        <w:t>DATO FOR ÆNDRING AF TEKSTEN</w:t>
      </w:r>
    </w:p>
    <w:p w14:paraId="397AA3D6" w14:textId="1786CEE8" w:rsidR="009260DE" w:rsidRPr="00D76FE5" w:rsidRDefault="00B36134" w:rsidP="009260DE">
      <w:pPr>
        <w:tabs>
          <w:tab w:val="left" w:pos="851"/>
        </w:tabs>
        <w:ind w:left="851"/>
        <w:rPr>
          <w:sz w:val="24"/>
          <w:szCs w:val="24"/>
        </w:rPr>
      </w:pPr>
      <w:r>
        <w:rPr>
          <w:sz w:val="24"/>
          <w:szCs w:val="24"/>
        </w:rPr>
        <w:t>14. august 2026</w:t>
      </w:r>
    </w:p>
    <w:sectPr w:rsidR="009260DE" w:rsidRPr="00D76FE5"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280F7" w14:textId="77777777" w:rsidR="00534A64" w:rsidRDefault="00534A64">
      <w:r>
        <w:separator/>
      </w:r>
    </w:p>
  </w:endnote>
  <w:endnote w:type="continuationSeparator" w:id="0">
    <w:p w14:paraId="4DE2E75E" w14:textId="77777777" w:rsidR="00534A64" w:rsidRDefault="0053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D8D5" w14:textId="77777777" w:rsidR="000259B9" w:rsidRDefault="000259B9">
    <w:pPr>
      <w:pStyle w:val="Sidefod"/>
      <w:pBdr>
        <w:bottom w:val="single" w:sz="6" w:space="1" w:color="auto"/>
      </w:pBdr>
    </w:pPr>
  </w:p>
  <w:p w14:paraId="34E44A08" w14:textId="77777777" w:rsidR="000259B9" w:rsidRDefault="000259B9" w:rsidP="00C42586">
    <w:pPr>
      <w:pStyle w:val="Sidefod"/>
      <w:tabs>
        <w:tab w:val="clear" w:pos="4819"/>
        <w:tab w:val="left" w:pos="8505"/>
      </w:tabs>
      <w:rPr>
        <w:i/>
        <w:sz w:val="18"/>
        <w:szCs w:val="18"/>
      </w:rPr>
    </w:pPr>
  </w:p>
  <w:p w14:paraId="34F8E90D" w14:textId="39EE46E8"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B36134">
      <w:rPr>
        <w:i/>
        <w:noProof/>
        <w:sz w:val="18"/>
        <w:szCs w:val="18"/>
      </w:rPr>
      <w:t>Olopatadin Brown &amp; Burk, øjendråber, opløsning 1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08B96" w14:textId="77777777" w:rsidR="00534A64" w:rsidRDefault="00534A64">
      <w:r>
        <w:separator/>
      </w:r>
    </w:p>
  </w:footnote>
  <w:footnote w:type="continuationSeparator" w:id="0">
    <w:p w14:paraId="54CBF645" w14:textId="77777777" w:rsidR="00534A64" w:rsidRDefault="00534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9426087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186977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497124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3593018">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45570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A64"/>
    <w:rsid w:val="000259B9"/>
    <w:rsid w:val="00041491"/>
    <w:rsid w:val="00050D16"/>
    <w:rsid w:val="000730CA"/>
    <w:rsid w:val="00074F2A"/>
    <w:rsid w:val="000A1CA8"/>
    <w:rsid w:val="000A466B"/>
    <w:rsid w:val="000B058C"/>
    <w:rsid w:val="000D68B0"/>
    <w:rsid w:val="000E4EE6"/>
    <w:rsid w:val="001454E2"/>
    <w:rsid w:val="001C2552"/>
    <w:rsid w:val="001C5CF4"/>
    <w:rsid w:val="00206CE8"/>
    <w:rsid w:val="0021526C"/>
    <w:rsid w:val="00283A2B"/>
    <w:rsid w:val="002B30AD"/>
    <w:rsid w:val="002C1EC0"/>
    <w:rsid w:val="002C2C01"/>
    <w:rsid w:val="0035746E"/>
    <w:rsid w:val="003A29AE"/>
    <w:rsid w:val="003A32D7"/>
    <w:rsid w:val="003B4074"/>
    <w:rsid w:val="003C769A"/>
    <w:rsid w:val="003D3A90"/>
    <w:rsid w:val="003F1838"/>
    <w:rsid w:val="004251C1"/>
    <w:rsid w:val="004254FF"/>
    <w:rsid w:val="0045746C"/>
    <w:rsid w:val="0049104B"/>
    <w:rsid w:val="004E3B12"/>
    <w:rsid w:val="00532310"/>
    <w:rsid w:val="00534A64"/>
    <w:rsid w:val="00561DCA"/>
    <w:rsid w:val="00565F0F"/>
    <w:rsid w:val="00594A86"/>
    <w:rsid w:val="00596D86"/>
    <w:rsid w:val="00612C54"/>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C7BA3"/>
    <w:rsid w:val="009D1F5A"/>
    <w:rsid w:val="00A02038"/>
    <w:rsid w:val="00A10294"/>
    <w:rsid w:val="00AB38FD"/>
    <w:rsid w:val="00B003BF"/>
    <w:rsid w:val="00B2416F"/>
    <w:rsid w:val="00B36134"/>
    <w:rsid w:val="00B373D7"/>
    <w:rsid w:val="00B55271"/>
    <w:rsid w:val="00B87B5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76FE5"/>
    <w:rsid w:val="00D93992"/>
    <w:rsid w:val="00DC576E"/>
    <w:rsid w:val="00E02DDF"/>
    <w:rsid w:val="00E108AA"/>
    <w:rsid w:val="00E3086B"/>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E2197"/>
  <w15:chartTrackingRefBased/>
  <w15:docId w15:val="{F25F44F6-36CD-4AA6-BBC3-C985F126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uiPriority w:val="59"/>
    <w:rsid w:val="00B2416F"/>
    <w:rPr>
      <w:rFonts w:eastAsia="SimSun"/>
      <w:lang w:val="en-IN" w:eastAsia="en-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0604">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77958795">
      <w:bodyDiv w:val="1"/>
      <w:marLeft w:val="0"/>
      <w:marRight w:val="0"/>
      <w:marTop w:val="0"/>
      <w:marBottom w:val="0"/>
      <w:divBdr>
        <w:top w:val="none" w:sz="0" w:space="0" w:color="auto"/>
        <w:left w:val="none" w:sz="0" w:space="0" w:color="auto"/>
        <w:bottom w:val="none" w:sz="0" w:space="0" w:color="auto"/>
        <w:right w:val="none" w:sz="0" w:space="0" w:color="auto"/>
      </w:divBdr>
    </w:div>
    <w:div w:id="313801867">
      <w:bodyDiv w:val="1"/>
      <w:marLeft w:val="0"/>
      <w:marRight w:val="0"/>
      <w:marTop w:val="0"/>
      <w:marBottom w:val="0"/>
      <w:divBdr>
        <w:top w:val="none" w:sz="0" w:space="0" w:color="auto"/>
        <w:left w:val="none" w:sz="0" w:space="0" w:color="auto"/>
        <w:bottom w:val="none" w:sz="0" w:space="0" w:color="auto"/>
        <w:right w:val="none" w:sz="0" w:space="0" w:color="auto"/>
      </w:divBdr>
    </w:div>
    <w:div w:id="566109257">
      <w:bodyDiv w:val="1"/>
      <w:marLeft w:val="0"/>
      <w:marRight w:val="0"/>
      <w:marTop w:val="0"/>
      <w:marBottom w:val="0"/>
      <w:divBdr>
        <w:top w:val="none" w:sz="0" w:space="0" w:color="auto"/>
        <w:left w:val="none" w:sz="0" w:space="0" w:color="auto"/>
        <w:bottom w:val="none" w:sz="0" w:space="0" w:color="auto"/>
        <w:right w:val="none" w:sz="0" w:space="0" w:color="auto"/>
      </w:divBdr>
    </w:div>
    <w:div w:id="646977009">
      <w:bodyDiv w:val="1"/>
      <w:marLeft w:val="0"/>
      <w:marRight w:val="0"/>
      <w:marTop w:val="0"/>
      <w:marBottom w:val="0"/>
      <w:divBdr>
        <w:top w:val="none" w:sz="0" w:space="0" w:color="auto"/>
        <w:left w:val="none" w:sz="0" w:space="0" w:color="auto"/>
        <w:bottom w:val="none" w:sz="0" w:space="0" w:color="auto"/>
        <w:right w:val="none" w:sz="0" w:space="0" w:color="auto"/>
      </w:divBdr>
    </w:div>
    <w:div w:id="677199519">
      <w:bodyDiv w:val="1"/>
      <w:marLeft w:val="0"/>
      <w:marRight w:val="0"/>
      <w:marTop w:val="0"/>
      <w:marBottom w:val="0"/>
      <w:divBdr>
        <w:top w:val="none" w:sz="0" w:space="0" w:color="auto"/>
        <w:left w:val="none" w:sz="0" w:space="0" w:color="auto"/>
        <w:bottom w:val="none" w:sz="0" w:space="0" w:color="auto"/>
        <w:right w:val="none" w:sz="0" w:space="0" w:color="auto"/>
      </w:divBdr>
    </w:div>
    <w:div w:id="850724858">
      <w:bodyDiv w:val="1"/>
      <w:marLeft w:val="0"/>
      <w:marRight w:val="0"/>
      <w:marTop w:val="0"/>
      <w:marBottom w:val="0"/>
      <w:divBdr>
        <w:top w:val="none" w:sz="0" w:space="0" w:color="auto"/>
        <w:left w:val="none" w:sz="0" w:space="0" w:color="auto"/>
        <w:bottom w:val="none" w:sz="0" w:space="0" w:color="auto"/>
        <w:right w:val="none" w:sz="0" w:space="0" w:color="auto"/>
      </w:divBdr>
    </w:div>
    <w:div w:id="901794525">
      <w:bodyDiv w:val="1"/>
      <w:marLeft w:val="0"/>
      <w:marRight w:val="0"/>
      <w:marTop w:val="0"/>
      <w:marBottom w:val="0"/>
      <w:divBdr>
        <w:top w:val="none" w:sz="0" w:space="0" w:color="auto"/>
        <w:left w:val="none" w:sz="0" w:space="0" w:color="auto"/>
        <w:bottom w:val="none" w:sz="0" w:space="0" w:color="auto"/>
        <w:right w:val="none" w:sz="0" w:space="0" w:color="auto"/>
      </w:divBdr>
    </w:div>
    <w:div w:id="905577605">
      <w:bodyDiv w:val="1"/>
      <w:marLeft w:val="0"/>
      <w:marRight w:val="0"/>
      <w:marTop w:val="0"/>
      <w:marBottom w:val="0"/>
      <w:divBdr>
        <w:top w:val="none" w:sz="0" w:space="0" w:color="auto"/>
        <w:left w:val="none" w:sz="0" w:space="0" w:color="auto"/>
        <w:bottom w:val="none" w:sz="0" w:space="0" w:color="auto"/>
        <w:right w:val="none" w:sz="0" w:space="0" w:color="auto"/>
      </w:divBdr>
    </w:div>
    <w:div w:id="928733691">
      <w:bodyDiv w:val="1"/>
      <w:marLeft w:val="0"/>
      <w:marRight w:val="0"/>
      <w:marTop w:val="0"/>
      <w:marBottom w:val="0"/>
      <w:divBdr>
        <w:top w:val="none" w:sz="0" w:space="0" w:color="auto"/>
        <w:left w:val="none" w:sz="0" w:space="0" w:color="auto"/>
        <w:bottom w:val="none" w:sz="0" w:space="0" w:color="auto"/>
        <w:right w:val="none" w:sz="0" w:space="0" w:color="auto"/>
      </w:divBdr>
    </w:div>
    <w:div w:id="944046100">
      <w:bodyDiv w:val="1"/>
      <w:marLeft w:val="0"/>
      <w:marRight w:val="0"/>
      <w:marTop w:val="0"/>
      <w:marBottom w:val="0"/>
      <w:divBdr>
        <w:top w:val="none" w:sz="0" w:space="0" w:color="auto"/>
        <w:left w:val="none" w:sz="0" w:space="0" w:color="auto"/>
        <w:bottom w:val="none" w:sz="0" w:space="0" w:color="auto"/>
        <w:right w:val="none" w:sz="0" w:space="0" w:color="auto"/>
      </w:divBdr>
    </w:div>
    <w:div w:id="1066294945">
      <w:bodyDiv w:val="1"/>
      <w:marLeft w:val="0"/>
      <w:marRight w:val="0"/>
      <w:marTop w:val="0"/>
      <w:marBottom w:val="0"/>
      <w:divBdr>
        <w:top w:val="none" w:sz="0" w:space="0" w:color="auto"/>
        <w:left w:val="none" w:sz="0" w:space="0" w:color="auto"/>
        <w:bottom w:val="none" w:sz="0" w:space="0" w:color="auto"/>
        <w:right w:val="none" w:sz="0" w:space="0" w:color="auto"/>
      </w:divBdr>
    </w:div>
    <w:div w:id="1182628075">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324553553">
      <w:bodyDiv w:val="1"/>
      <w:marLeft w:val="0"/>
      <w:marRight w:val="0"/>
      <w:marTop w:val="0"/>
      <w:marBottom w:val="0"/>
      <w:divBdr>
        <w:top w:val="none" w:sz="0" w:space="0" w:color="auto"/>
        <w:left w:val="none" w:sz="0" w:space="0" w:color="auto"/>
        <w:bottom w:val="none" w:sz="0" w:space="0" w:color="auto"/>
        <w:right w:val="none" w:sz="0" w:space="0" w:color="auto"/>
      </w:divBdr>
    </w:div>
    <w:div w:id="1518156527">
      <w:bodyDiv w:val="1"/>
      <w:marLeft w:val="0"/>
      <w:marRight w:val="0"/>
      <w:marTop w:val="0"/>
      <w:marBottom w:val="0"/>
      <w:divBdr>
        <w:top w:val="none" w:sz="0" w:space="0" w:color="auto"/>
        <w:left w:val="none" w:sz="0" w:space="0" w:color="auto"/>
        <w:bottom w:val="none" w:sz="0" w:space="0" w:color="auto"/>
        <w:right w:val="none" w:sz="0" w:space="0" w:color="auto"/>
      </w:divBdr>
      <w:divsChild>
        <w:div w:id="1980331445">
          <w:marLeft w:val="0"/>
          <w:marRight w:val="0"/>
          <w:marTop w:val="0"/>
          <w:marBottom w:val="0"/>
          <w:divBdr>
            <w:top w:val="none" w:sz="0" w:space="0" w:color="auto"/>
            <w:left w:val="none" w:sz="0" w:space="0" w:color="auto"/>
            <w:bottom w:val="none" w:sz="0" w:space="0" w:color="auto"/>
            <w:right w:val="none" w:sz="0" w:space="0" w:color="auto"/>
          </w:divBdr>
          <w:divsChild>
            <w:div w:id="32678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77716">
      <w:bodyDiv w:val="1"/>
      <w:marLeft w:val="0"/>
      <w:marRight w:val="0"/>
      <w:marTop w:val="0"/>
      <w:marBottom w:val="0"/>
      <w:divBdr>
        <w:top w:val="none" w:sz="0" w:space="0" w:color="auto"/>
        <w:left w:val="none" w:sz="0" w:space="0" w:color="auto"/>
        <w:bottom w:val="none" w:sz="0" w:space="0" w:color="auto"/>
        <w:right w:val="none" w:sz="0" w:space="0" w:color="auto"/>
      </w:divBdr>
    </w:div>
    <w:div w:id="1748066149">
      <w:bodyDiv w:val="1"/>
      <w:marLeft w:val="0"/>
      <w:marRight w:val="0"/>
      <w:marTop w:val="0"/>
      <w:marBottom w:val="0"/>
      <w:divBdr>
        <w:top w:val="none" w:sz="0" w:space="0" w:color="auto"/>
        <w:left w:val="none" w:sz="0" w:space="0" w:color="auto"/>
        <w:bottom w:val="none" w:sz="0" w:space="0" w:color="auto"/>
        <w:right w:val="none" w:sz="0" w:space="0" w:color="auto"/>
      </w:divBdr>
    </w:div>
    <w:div w:id="1749765815">
      <w:bodyDiv w:val="1"/>
      <w:marLeft w:val="0"/>
      <w:marRight w:val="0"/>
      <w:marTop w:val="0"/>
      <w:marBottom w:val="0"/>
      <w:divBdr>
        <w:top w:val="none" w:sz="0" w:space="0" w:color="auto"/>
        <w:left w:val="none" w:sz="0" w:space="0" w:color="auto"/>
        <w:bottom w:val="none" w:sz="0" w:space="0" w:color="auto"/>
        <w:right w:val="none" w:sz="0" w:space="0" w:color="auto"/>
      </w:divBdr>
    </w:div>
    <w:div w:id="1905333136">
      <w:bodyDiv w:val="1"/>
      <w:marLeft w:val="0"/>
      <w:marRight w:val="0"/>
      <w:marTop w:val="0"/>
      <w:marBottom w:val="0"/>
      <w:divBdr>
        <w:top w:val="none" w:sz="0" w:space="0" w:color="auto"/>
        <w:left w:val="none" w:sz="0" w:space="0" w:color="auto"/>
        <w:bottom w:val="none" w:sz="0" w:space="0" w:color="auto"/>
        <w:right w:val="none" w:sz="0" w:space="0" w:color="auto"/>
      </w:divBdr>
    </w:div>
    <w:div w:id="1936328263">
      <w:bodyDiv w:val="1"/>
      <w:marLeft w:val="0"/>
      <w:marRight w:val="0"/>
      <w:marTop w:val="0"/>
      <w:marBottom w:val="0"/>
      <w:divBdr>
        <w:top w:val="none" w:sz="0" w:space="0" w:color="auto"/>
        <w:left w:val="none" w:sz="0" w:space="0" w:color="auto"/>
        <w:bottom w:val="none" w:sz="0" w:space="0" w:color="auto"/>
        <w:right w:val="none" w:sz="0" w:space="0" w:color="auto"/>
      </w:divBdr>
    </w:div>
    <w:div w:id="207824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TotalTime>
  <Pages>8</Pages>
  <Words>1934</Words>
  <Characters>12805</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2025113942+2026052358, ændring af navn + MAH fra Misom_x000d_
</dc:description>
  <cp:lastModifiedBy>Gitte Jørgensen</cp:lastModifiedBy>
  <cp:revision>4</cp:revision>
  <cp:lastPrinted>2012-08-22T08:53:00Z</cp:lastPrinted>
  <dcterms:created xsi:type="dcterms:W3CDTF">2026-08-14T11:34:00Z</dcterms:created>
  <dcterms:modified xsi:type="dcterms:W3CDTF">2026-08-14T11:39:00Z</dcterms:modified>
</cp:coreProperties>
</file>