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68A47" w14:textId="7A67F096" w:rsidR="009260DE" w:rsidRPr="00043A0F" w:rsidRDefault="0021526C" w:rsidP="006520DA">
      <w:pPr>
        <w:rPr>
          <w:b/>
          <w:sz w:val="24"/>
          <w:szCs w:val="24"/>
        </w:rPr>
      </w:pPr>
      <w:r w:rsidRPr="00043A0F">
        <w:rPr>
          <w:noProof/>
          <w:sz w:val="24"/>
          <w:szCs w:val="24"/>
          <w:lang w:eastAsia="da-DK"/>
        </w:rPr>
        <w:drawing>
          <wp:anchor distT="0" distB="0" distL="114300" distR="114300" simplePos="0" relativeHeight="251658240" behindDoc="0" locked="0" layoutInCell="1" allowOverlap="1" wp14:anchorId="3972E40E" wp14:editId="07A3B911">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043A0F">
        <w:rPr>
          <w:sz w:val="24"/>
          <w:szCs w:val="24"/>
        </w:rPr>
        <w:br w:type="textWrapping" w:clear="all"/>
      </w:r>
    </w:p>
    <w:p w14:paraId="3F73A3FA" w14:textId="522E3956" w:rsidR="009260DE" w:rsidRPr="00043A0F" w:rsidRDefault="009260DE" w:rsidP="009260DE">
      <w:pPr>
        <w:pStyle w:val="Titel"/>
        <w:tabs>
          <w:tab w:val="right" w:pos="9356"/>
        </w:tabs>
        <w:jc w:val="left"/>
        <w:rPr>
          <w:b w:val="0"/>
          <w:szCs w:val="24"/>
          <w:lang w:eastAsia="en-US"/>
        </w:rPr>
      </w:pPr>
      <w:r w:rsidRPr="00043A0F">
        <w:rPr>
          <w:b w:val="0"/>
          <w:szCs w:val="24"/>
          <w:lang w:eastAsia="en-US"/>
        </w:rPr>
        <w:tab/>
      </w:r>
      <w:r w:rsidR="00F12F2A">
        <w:rPr>
          <w:szCs w:val="24"/>
        </w:rPr>
        <w:t>7. april 2026</w:t>
      </w:r>
    </w:p>
    <w:p w14:paraId="52669406" w14:textId="77777777" w:rsidR="009260DE" w:rsidRPr="00043A0F" w:rsidRDefault="009260DE" w:rsidP="009260DE">
      <w:pPr>
        <w:pStyle w:val="Titel"/>
        <w:tabs>
          <w:tab w:val="left" w:pos="8222"/>
        </w:tabs>
        <w:jc w:val="left"/>
        <w:rPr>
          <w:b w:val="0"/>
          <w:szCs w:val="24"/>
        </w:rPr>
      </w:pPr>
    </w:p>
    <w:p w14:paraId="44497ABA" w14:textId="77777777" w:rsidR="009260DE" w:rsidRPr="00043A0F" w:rsidRDefault="009260DE" w:rsidP="009260DE">
      <w:pPr>
        <w:pStyle w:val="Titel"/>
        <w:jc w:val="left"/>
        <w:rPr>
          <w:b w:val="0"/>
          <w:szCs w:val="24"/>
        </w:rPr>
      </w:pPr>
    </w:p>
    <w:p w14:paraId="51F61586" w14:textId="77777777" w:rsidR="009260DE" w:rsidRPr="00043A0F" w:rsidRDefault="009260DE" w:rsidP="009260DE">
      <w:pPr>
        <w:pStyle w:val="Titel"/>
        <w:jc w:val="left"/>
        <w:rPr>
          <w:b w:val="0"/>
          <w:szCs w:val="24"/>
        </w:rPr>
      </w:pPr>
    </w:p>
    <w:p w14:paraId="68A49B5B" w14:textId="77777777" w:rsidR="009260DE" w:rsidRPr="00043A0F" w:rsidRDefault="009260DE" w:rsidP="009260DE">
      <w:pPr>
        <w:jc w:val="center"/>
        <w:rPr>
          <w:b/>
          <w:sz w:val="24"/>
          <w:szCs w:val="24"/>
        </w:rPr>
      </w:pPr>
      <w:r w:rsidRPr="00043A0F">
        <w:rPr>
          <w:b/>
          <w:sz w:val="24"/>
          <w:szCs w:val="24"/>
        </w:rPr>
        <w:t>PRODUKTRESUMÉ</w:t>
      </w:r>
    </w:p>
    <w:p w14:paraId="0DE8DE8F" w14:textId="77777777" w:rsidR="009260DE" w:rsidRPr="00043A0F" w:rsidRDefault="009260DE" w:rsidP="009260DE">
      <w:pPr>
        <w:jc w:val="center"/>
        <w:rPr>
          <w:b/>
          <w:sz w:val="24"/>
          <w:szCs w:val="24"/>
        </w:rPr>
      </w:pPr>
    </w:p>
    <w:p w14:paraId="39AEC806" w14:textId="77777777" w:rsidR="009260DE" w:rsidRPr="00043A0F" w:rsidRDefault="009260DE" w:rsidP="009260DE">
      <w:pPr>
        <w:jc w:val="center"/>
        <w:rPr>
          <w:b/>
          <w:sz w:val="24"/>
          <w:szCs w:val="24"/>
        </w:rPr>
      </w:pPr>
      <w:r w:rsidRPr="00043A0F">
        <w:rPr>
          <w:b/>
          <w:sz w:val="24"/>
          <w:szCs w:val="24"/>
        </w:rPr>
        <w:t>for</w:t>
      </w:r>
    </w:p>
    <w:p w14:paraId="013C713D" w14:textId="77777777" w:rsidR="000B058C" w:rsidRPr="00043A0F" w:rsidRDefault="000B058C" w:rsidP="009260DE">
      <w:pPr>
        <w:jc w:val="center"/>
        <w:rPr>
          <w:b/>
          <w:sz w:val="24"/>
          <w:szCs w:val="24"/>
        </w:rPr>
      </w:pPr>
    </w:p>
    <w:p w14:paraId="06D0E996" w14:textId="6E58A83A" w:rsidR="009260DE" w:rsidRPr="00043A0F" w:rsidRDefault="00DA6622" w:rsidP="009260DE">
      <w:pPr>
        <w:jc w:val="center"/>
        <w:rPr>
          <w:b/>
          <w:sz w:val="24"/>
          <w:szCs w:val="24"/>
        </w:rPr>
      </w:pPr>
      <w:proofErr w:type="spellStart"/>
      <w:r w:rsidRPr="00043A0F">
        <w:rPr>
          <w:b/>
          <w:sz w:val="24"/>
          <w:szCs w:val="24"/>
        </w:rPr>
        <w:t>Olpa</w:t>
      </w:r>
      <w:r w:rsidR="009D0913">
        <w:rPr>
          <w:b/>
          <w:sz w:val="24"/>
          <w:szCs w:val="24"/>
        </w:rPr>
        <w:t>lan</w:t>
      </w:r>
      <w:proofErr w:type="spellEnd"/>
      <w:r w:rsidRPr="00043A0F">
        <w:rPr>
          <w:b/>
          <w:sz w:val="24"/>
          <w:szCs w:val="24"/>
        </w:rPr>
        <w:t>, øjendråber, opløsning</w:t>
      </w:r>
    </w:p>
    <w:p w14:paraId="179DCA5B" w14:textId="77777777" w:rsidR="009260DE" w:rsidRPr="00043A0F" w:rsidRDefault="009260DE" w:rsidP="009260DE">
      <w:pPr>
        <w:jc w:val="both"/>
        <w:rPr>
          <w:sz w:val="24"/>
          <w:szCs w:val="24"/>
        </w:rPr>
      </w:pPr>
    </w:p>
    <w:p w14:paraId="1B68C024" w14:textId="77777777" w:rsidR="009260DE" w:rsidRPr="00043A0F" w:rsidRDefault="009260DE" w:rsidP="009260DE">
      <w:pPr>
        <w:jc w:val="both"/>
        <w:rPr>
          <w:sz w:val="24"/>
          <w:szCs w:val="24"/>
        </w:rPr>
      </w:pPr>
    </w:p>
    <w:p w14:paraId="1C9FF451" w14:textId="77777777" w:rsidR="009260DE" w:rsidRPr="00043A0F" w:rsidRDefault="009260DE" w:rsidP="009260DE">
      <w:pPr>
        <w:tabs>
          <w:tab w:val="left" w:pos="851"/>
        </w:tabs>
        <w:ind w:left="851" w:hanging="851"/>
        <w:rPr>
          <w:b/>
          <w:sz w:val="24"/>
          <w:szCs w:val="24"/>
        </w:rPr>
      </w:pPr>
      <w:r w:rsidRPr="00043A0F">
        <w:rPr>
          <w:b/>
          <w:sz w:val="24"/>
          <w:szCs w:val="24"/>
        </w:rPr>
        <w:t>0.</w:t>
      </w:r>
      <w:r w:rsidRPr="00043A0F">
        <w:rPr>
          <w:b/>
          <w:sz w:val="24"/>
          <w:szCs w:val="24"/>
        </w:rPr>
        <w:tab/>
        <w:t>D.SP.NR.</w:t>
      </w:r>
    </w:p>
    <w:p w14:paraId="3F6C9158" w14:textId="159A8B15" w:rsidR="009260DE" w:rsidRPr="00043A0F" w:rsidRDefault="00DA6622" w:rsidP="009260DE">
      <w:pPr>
        <w:tabs>
          <w:tab w:val="left" w:pos="851"/>
        </w:tabs>
        <w:ind w:left="851"/>
        <w:rPr>
          <w:sz w:val="24"/>
          <w:szCs w:val="24"/>
        </w:rPr>
      </w:pPr>
      <w:r w:rsidRPr="00043A0F">
        <w:rPr>
          <w:sz w:val="24"/>
          <w:szCs w:val="24"/>
        </w:rPr>
        <w:t>34277</w:t>
      </w:r>
    </w:p>
    <w:p w14:paraId="4310AADB" w14:textId="77777777" w:rsidR="009260DE" w:rsidRPr="00043A0F" w:rsidRDefault="009260DE" w:rsidP="009260DE">
      <w:pPr>
        <w:tabs>
          <w:tab w:val="left" w:pos="851"/>
        </w:tabs>
        <w:ind w:left="851"/>
        <w:rPr>
          <w:sz w:val="24"/>
          <w:szCs w:val="24"/>
        </w:rPr>
      </w:pPr>
    </w:p>
    <w:p w14:paraId="71777975" w14:textId="77777777" w:rsidR="009260DE" w:rsidRPr="00043A0F" w:rsidRDefault="009260DE" w:rsidP="009260DE">
      <w:pPr>
        <w:tabs>
          <w:tab w:val="left" w:pos="851"/>
        </w:tabs>
        <w:ind w:left="851" w:hanging="851"/>
        <w:rPr>
          <w:b/>
          <w:sz w:val="24"/>
          <w:szCs w:val="24"/>
        </w:rPr>
      </w:pPr>
      <w:r w:rsidRPr="00043A0F">
        <w:rPr>
          <w:b/>
          <w:sz w:val="24"/>
          <w:szCs w:val="24"/>
        </w:rPr>
        <w:t>1.</w:t>
      </w:r>
      <w:r w:rsidRPr="00043A0F">
        <w:rPr>
          <w:b/>
          <w:sz w:val="24"/>
          <w:szCs w:val="24"/>
        </w:rPr>
        <w:tab/>
        <w:t>LÆGEMIDLETS NAVN</w:t>
      </w:r>
    </w:p>
    <w:p w14:paraId="0F7B7EE9" w14:textId="3506EB99" w:rsidR="009260DE" w:rsidRPr="00043A0F" w:rsidRDefault="00DA6622" w:rsidP="009260DE">
      <w:pPr>
        <w:tabs>
          <w:tab w:val="left" w:pos="851"/>
        </w:tabs>
        <w:ind w:left="851"/>
        <w:rPr>
          <w:sz w:val="24"/>
          <w:szCs w:val="24"/>
        </w:rPr>
      </w:pPr>
      <w:proofErr w:type="spellStart"/>
      <w:r w:rsidRPr="00043A0F">
        <w:rPr>
          <w:sz w:val="24"/>
          <w:szCs w:val="24"/>
        </w:rPr>
        <w:t>Olpa</w:t>
      </w:r>
      <w:r w:rsidR="009D0913">
        <w:rPr>
          <w:sz w:val="24"/>
          <w:szCs w:val="24"/>
        </w:rPr>
        <w:t>lan</w:t>
      </w:r>
      <w:proofErr w:type="spellEnd"/>
    </w:p>
    <w:p w14:paraId="0FC0586F" w14:textId="77777777" w:rsidR="009260DE" w:rsidRPr="00043A0F" w:rsidRDefault="009260DE" w:rsidP="009260DE">
      <w:pPr>
        <w:tabs>
          <w:tab w:val="left" w:pos="851"/>
        </w:tabs>
        <w:ind w:left="851"/>
        <w:rPr>
          <w:sz w:val="24"/>
          <w:szCs w:val="24"/>
        </w:rPr>
      </w:pPr>
    </w:p>
    <w:p w14:paraId="610D5F1B" w14:textId="77777777" w:rsidR="009260DE" w:rsidRPr="00043A0F" w:rsidRDefault="009260DE" w:rsidP="009260DE">
      <w:pPr>
        <w:tabs>
          <w:tab w:val="left" w:pos="851"/>
        </w:tabs>
        <w:ind w:left="851" w:hanging="851"/>
        <w:rPr>
          <w:b/>
          <w:sz w:val="24"/>
          <w:szCs w:val="24"/>
        </w:rPr>
      </w:pPr>
      <w:r w:rsidRPr="00043A0F">
        <w:rPr>
          <w:b/>
          <w:sz w:val="24"/>
          <w:szCs w:val="24"/>
        </w:rPr>
        <w:t>2.</w:t>
      </w:r>
      <w:r w:rsidRPr="00043A0F">
        <w:rPr>
          <w:b/>
          <w:sz w:val="24"/>
          <w:szCs w:val="24"/>
        </w:rPr>
        <w:tab/>
        <w:t>KVALITATIV OG KVANTITATIV SAMMENSÆTNING</w:t>
      </w:r>
    </w:p>
    <w:p w14:paraId="60D58402" w14:textId="77777777" w:rsidR="0054529F" w:rsidRPr="0054529F" w:rsidRDefault="0054529F" w:rsidP="006520DA">
      <w:pPr>
        <w:ind w:left="851"/>
        <w:rPr>
          <w:sz w:val="24"/>
          <w:szCs w:val="24"/>
        </w:rPr>
      </w:pPr>
      <w:r w:rsidRPr="0054529F">
        <w:rPr>
          <w:sz w:val="24"/>
          <w:szCs w:val="24"/>
        </w:rPr>
        <w:t xml:space="preserve">1 ml opløsning indeholder 1 mg </w:t>
      </w:r>
      <w:proofErr w:type="spellStart"/>
      <w:r w:rsidRPr="0054529F">
        <w:rPr>
          <w:sz w:val="24"/>
          <w:szCs w:val="24"/>
        </w:rPr>
        <w:t>olopatadin</w:t>
      </w:r>
      <w:proofErr w:type="spellEnd"/>
      <w:r w:rsidRPr="0054529F">
        <w:rPr>
          <w:sz w:val="24"/>
          <w:szCs w:val="24"/>
        </w:rPr>
        <w:t xml:space="preserve"> (som </w:t>
      </w:r>
      <w:proofErr w:type="spellStart"/>
      <w:r w:rsidRPr="0054529F">
        <w:rPr>
          <w:sz w:val="24"/>
          <w:szCs w:val="24"/>
        </w:rPr>
        <w:t>hydrochlorid</w:t>
      </w:r>
      <w:proofErr w:type="spellEnd"/>
      <w:r w:rsidRPr="0054529F">
        <w:rPr>
          <w:sz w:val="24"/>
          <w:szCs w:val="24"/>
        </w:rPr>
        <w:t xml:space="preserve">) svarende til 1 ml </w:t>
      </w:r>
      <w:proofErr w:type="spellStart"/>
      <w:r w:rsidRPr="0054529F">
        <w:rPr>
          <w:sz w:val="24"/>
          <w:szCs w:val="24"/>
        </w:rPr>
        <w:t>olopatadin</w:t>
      </w:r>
      <w:proofErr w:type="spellEnd"/>
      <w:r w:rsidRPr="0054529F">
        <w:rPr>
          <w:sz w:val="24"/>
          <w:szCs w:val="24"/>
        </w:rPr>
        <w:t>.</w:t>
      </w:r>
      <w:r w:rsidRPr="0054529F">
        <w:rPr>
          <w:sz w:val="24"/>
          <w:szCs w:val="24"/>
        </w:rPr>
        <w:br/>
        <w:t xml:space="preserve">Den gennemsnitlige dråbestørrelse er 31 ± 2 </w:t>
      </w:r>
      <w:proofErr w:type="spellStart"/>
      <w:r w:rsidRPr="0054529F">
        <w:rPr>
          <w:sz w:val="24"/>
          <w:szCs w:val="24"/>
        </w:rPr>
        <w:t>μl</w:t>
      </w:r>
      <w:proofErr w:type="spellEnd"/>
      <w:r w:rsidRPr="0054529F">
        <w:rPr>
          <w:sz w:val="24"/>
          <w:szCs w:val="24"/>
        </w:rPr>
        <w:t>.</w:t>
      </w:r>
      <w:r w:rsidRPr="0054529F">
        <w:rPr>
          <w:sz w:val="24"/>
          <w:szCs w:val="24"/>
        </w:rPr>
        <w:br/>
        <w:t xml:space="preserve">En dråbe indeholder i gennemsnit 31 ± 2 </w:t>
      </w:r>
      <w:proofErr w:type="spellStart"/>
      <w:r w:rsidRPr="0054529F">
        <w:rPr>
          <w:sz w:val="24"/>
          <w:szCs w:val="24"/>
        </w:rPr>
        <w:t>μg</w:t>
      </w:r>
      <w:proofErr w:type="spellEnd"/>
      <w:r w:rsidRPr="0054529F">
        <w:rPr>
          <w:sz w:val="24"/>
          <w:szCs w:val="24"/>
        </w:rPr>
        <w:t xml:space="preserve"> </w:t>
      </w:r>
      <w:proofErr w:type="spellStart"/>
      <w:r w:rsidRPr="0054529F">
        <w:rPr>
          <w:sz w:val="24"/>
          <w:szCs w:val="24"/>
        </w:rPr>
        <w:t>olopatadin</w:t>
      </w:r>
      <w:proofErr w:type="spellEnd"/>
      <w:r w:rsidRPr="0054529F">
        <w:rPr>
          <w:sz w:val="24"/>
          <w:szCs w:val="24"/>
        </w:rPr>
        <w:t>.</w:t>
      </w:r>
    </w:p>
    <w:p w14:paraId="7A361E02" w14:textId="77777777" w:rsidR="0054529F" w:rsidRPr="0054529F" w:rsidRDefault="0054529F" w:rsidP="006520DA">
      <w:pPr>
        <w:ind w:left="851"/>
        <w:rPr>
          <w:sz w:val="24"/>
          <w:szCs w:val="24"/>
        </w:rPr>
      </w:pPr>
    </w:p>
    <w:p w14:paraId="092A3867" w14:textId="77777777" w:rsidR="0054529F" w:rsidRPr="0054529F" w:rsidRDefault="0054529F" w:rsidP="006520DA">
      <w:pPr>
        <w:ind w:left="851"/>
        <w:rPr>
          <w:sz w:val="24"/>
          <w:szCs w:val="24"/>
          <w:u w:val="single"/>
        </w:rPr>
      </w:pPr>
      <w:r w:rsidRPr="0054529F">
        <w:rPr>
          <w:sz w:val="24"/>
          <w:szCs w:val="24"/>
          <w:u w:val="single"/>
        </w:rPr>
        <w:t>Hjælpestof(fer), som behandleren skal være opmærksom på</w:t>
      </w:r>
    </w:p>
    <w:p w14:paraId="33C27CB1" w14:textId="77777777" w:rsidR="0054529F" w:rsidRPr="0054529F" w:rsidRDefault="0054529F" w:rsidP="006520DA">
      <w:pPr>
        <w:ind w:left="851"/>
        <w:rPr>
          <w:sz w:val="24"/>
          <w:szCs w:val="24"/>
        </w:rPr>
      </w:pPr>
      <w:r w:rsidRPr="0054529F">
        <w:rPr>
          <w:sz w:val="24"/>
          <w:szCs w:val="24"/>
        </w:rPr>
        <w:t xml:space="preserve">Hver ml indeholder 0,1 mg </w:t>
      </w:r>
      <w:proofErr w:type="spellStart"/>
      <w:r w:rsidRPr="0054529F">
        <w:rPr>
          <w:sz w:val="24"/>
          <w:szCs w:val="24"/>
        </w:rPr>
        <w:t>benzalkoniumchlorid</w:t>
      </w:r>
      <w:proofErr w:type="spellEnd"/>
      <w:r w:rsidRPr="0054529F">
        <w:rPr>
          <w:sz w:val="24"/>
          <w:szCs w:val="24"/>
        </w:rPr>
        <w:t>.</w:t>
      </w:r>
    </w:p>
    <w:p w14:paraId="473671C2" w14:textId="77777777" w:rsidR="0054529F" w:rsidRPr="0054529F" w:rsidRDefault="0054529F" w:rsidP="006520DA">
      <w:pPr>
        <w:ind w:left="851"/>
        <w:rPr>
          <w:sz w:val="24"/>
          <w:szCs w:val="24"/>
        </w:rPr>
      </w:pPr>
      <w:r w:rsidRPr="0054529F">
        <w:rPr>
          <w:sz w:val="24"/>
          <w:szCs w:val="24"/>
        </w:rPr>
        <w:t xml:space="preserve">Hver dråbe indeholder 0,1 µg </w:t>
      </w:r>
      <w:proofErr w:type="spellStart"/>
      <w:r w:rsidRPr="0054529F">
        <w:rPr>
          <w:sz w:val="24"/>
          <w:szCs w:val="24"/>
        </w:rPr>
        <w:t>benzalkoniumchlorid</w:t>
      </w:r>
      <w:proofErr w:type="spellEnd"/>
      <w:r w:rsidRPr="0054529F">
        <w:rPr>
          <w:sz w:val="24"/>
          <w:szCs w:val="24"/>
        </w:rPr>
        <w:t>.</w:t>
      </w:r>
    </w:p>
    <w:p w14:paraId="0EB7090E" w14:textId="77777777" w:rsidR="0054529F" w:rsidRPr="0054529F" w:rsidRDefault="0054529F" w:rsidP="006520DA">
      <w:pPr>
        <w:ind w:left="851"/>
        <w:rPr>
          <w:sz w:val="24"/>
          <w:szCs w:val="24"/>
        </w:rPr>
      </w:pPr>
    </w:p>
    <w:p w14:paraId="1EE30EF1" w14:textId="77777777" w:rsidR="0054529F" w:rsidRPr="0054529F" w:rsidRDefault="0054529F" w:rsidP="006520DA">
      <w:pPr>
        <w:ind w:left="851"/>
        <w:rPr>
          <w:sz w:val="24"/>
          <w:szCs w:val="24"/>
        </w:rPr>
      </w:pPr>
      <w:r w:rsidRPr="0054529F">
        <w:rPr>
          <w:sz w:val="24"/>
          <w:szCs w:val="24"/>
        </w:rPr>
        <w:t xml:space="preserve">Hver ml indeholder 5 mg </w:t>
      </w:r>
      <w:proofErr w:type="spellStart"/>
      <w:r w:rsidRPr="0054529F">
        <w:rPr>
          <w:sz w:val="24"/>
          <w:szCs w:val="24"/>
        </w:rPr>
        <w:t>dinatriumphosphat</w:t>
      </w:r>
      <w:proofErr w:type="spellEnd"/>
      <w:r w:rsidRPr="0054529F">
        <w:rPr>
          <w:sz w:val="24"/>
          <w:szCs w:val="24"/>
        </w:rPr>
        <w:t>, vandfri.</w:t>
      </w:r>
    </w:p>
    <w:p w14:paraId="07C0F784" w14:textId="77777777" w:rsidR="0054529F" w:rsidRPr="0054529F" w:rsidRDefault="0054529F" w:rsidP="006520DA">
      <w:pPr>
        <w:ind w:left="851"/>
        <w:rPr>
          <w:sz w:val="24"/>
          <w:szCs w:val="24"/>
        </w:rPr>
      </w:pPr>
      <w:r w:rsidRPr="0054529F">
        <w:rPr>
          <w:sz w:val="24"/>
          <w:szCs w:val="24"/>
        </w:rPr>
        <w:t xml:space="preserve">Hver dråbe indeholder 0,5 µg </w:t>
      </w:r>
      <w:proofErr w:type="spellStart"/>
      <w:r w:rsidRPr="0054529F">
        <w:rPr>
          <w:sz w:val="24"/>
          <w:szCs w:val="24"/>
        </w:rPr>
        <w:t>dinatriumphosphat</w:t>
      </w:r>
      <w:proofErr w:type="spellEnd"/>
      <w:r w:rsidRPr="0054529F">
        <w:rPr>
          <w:sz w:val="24"/>
          <w:szCs w:val="24"/>
        </w:rPr>
        <w:t>, vandfri.</w:t>
      </w:r>
    </w:p>
    <w:p w14:paraId="10E42CC4" w14:textId="77777777" w:rsidR="0054529F" w:rsidRPr="0054529F" w:rsidRDefault="0054529F" w:rsidP="006520DA">
      <w:pPr>
        <w:ind w:left="851"/>
        <w:rPr>
          <w:sz w:val="24"/>
          <w:szCs w:val="24"/>
        </w:rPr>
      </w:pPr>
    </w:p>
    <w:p w14:paraId="1C961C51" w14:textId="77777777" w:rsidR="0054529F" w:rsidRPr="0054529F" w:rsidRDefault="0054529F" w:rsidP="006520DA">
      <w:pPr>
        <w:ind w:left="851"/>
        <w:rPr>
          <w:sz w:val="24"/>
          <w:szCs w:val="24"/>
        </w:rPr>
      </w:pPr>
      <w:r w:rsidRPr="0054529F">
        <w:rPr>
          <w:sz w:val="24"/>
          <w:szCs w:val="24"/>
        </w:rPr>
        <w:t>Alle hjælpestoffer er anført under pkt. 6.1.</w:t>
      </w:r>
    </w:p>
    <w:p w14:paraId="6A338892" w14:textId="77777777" w:rsidR="009260DE" w:rsidRPr="00043A0F" w:rsidRDefault="009260DE" w:rsidP="009260DE">
      <w:pPr>
        <w:tabs>
          <w:tab w:val="left" w:pos="851"/>
        </w:tabs>
        <w:ind w:left="851"/>
        <w:rPr>
          <w:sz w:val="24"/>
          <w:szCs w:val="24"/>
        </w:rPr>
      </w:pPr>
    </w:p>
    <w:p w14:paraId="560B4771" w14:textId="77777777" w:rsidR="009260DE" w:rsidRPr="00043A0F" w:rsidRDefault="009260DE" w:rsidP="009260DE">
      <w:pPr>
        <w:tabs>
          <w:tab w:val="left" w:pos="851"/>
        </w:tabs>
        <w:ind w:left="851" w:hanging="851"/>
        <w:rPr>
          <w:b/>
          <w:sz w:val="24"/>
          <w:szCs w:val="24"/>
        </w:rPr>
      </w:pPr>
      <w:r w:rsidRPr="00043A0F">
        <w:rPr>
          <w:b/>
          <w:sz w:val="24"/>
          <w:szCs w:val="24"/>
        </w:rPr>
        <w:t>3.</w:t>
      </w:r>
      <w:r w:rsidRPr="00043A0F">
        <w:rPr>
          <w:b/>
          <w:sz w:val="24"/>
          <w:szCs w:val="24"/>
        </w:rPr>
        <w:tab/>
        <w:t>LÆGEMIDDELFORM</w:t>
      </w:r>
    </w:p>
    <w:p w14:paraId="7CF19DB7" w14:textId="54F22AD3" w:rsidR="0054529F" w:rsidRPr="0054529F" w:rsidRDefault="0054529F" w:rsidP="006520DA">
      <w:pPr>
        <w:ind w:left="851"/>
        <w:rPr>
          <w:sz w:val="24"/>
          <w:szCs w:val="24"/>
        </w:rPr>
      </w:pPr>
      <w:r w:rsidRPr="0054529F">
        <w:rPr>
          <w:sz w:val="24"/>
          <w:szCs w:val="24"/>
        </w:rPr>
        <w:t>Øjendråber, opløsning</w:t>
      </w:r>
    </w:p>
    <w:p w14:paraId="5C3C7DA0" w14:textId="77777777" w:rsidR="0054529F" w:rsidRPr="0054529F" w:rsidRDefault="0054529F" w:rsidP="006520DA">
      <w:pPr>
        <w:ind w:left="851"/>
        <w:rPr>
          <w:sz w:val="24"/>
          <w:szCs w:val="24"/>
        </w:rPr>
      </w:pPr>
      <w:r w:rsidRPr="0054529F">
        <w:rPr>
          <w:sz w:val="24"/>
          <w:szCs w:val="24"/>
        </w:rPr>
        <w:t>Klar, farveløs opløsning, praktisk talt fri for partikler</w:t>
      </w:r>
    </w:p>
    <w:p w14:paraId="17AC3E9D" w14:textId="77777777" w:rsidR="0054529F" w:rsidRPr="0054529F" w:rsidRDefault="0054529F" w:rsidP="006520DA">
      <w:pPr>
        <w:ind w:left="851"/>
        <w:rPr>
          <w:sz w:val="24"/>
          <w:szCs w:val="24"/>
        </w:rPr>
      </w:pPr>
      <w:r w:rsidRPr="0054529F">
        <w:rPr>
          <w:sz w:val="24"/>
          <w:szCs w:val="24"/>
        </w:rPr>
        <w:t>pH 7,1</w:t>
      </w:r>
    </w:p>
    <w:p w14:paraId="45EADE8F" w14:textId="77777777" w:rsidR="0054529F" w:rsidRPr="0054529F" w:rsidRDefault="0054529F" w:rsidP="006520DA">
      <w:pPr>
        <w:ind w:left="851"/>
        <w:rPr>
          <w:sz w:val="24"/>
          <w:szCs w:val="24"/>
        </w:rPr>
      </w:pPr>
      <w:proofErr w:type="spellStart"/>
      <w:r w:rsidRPr="0054529F">
        <w:rPr>
          <w:sz w:val="24"/>
          <w:szCs w:val="24"/>
        </w:rPr>
        <w:t>Osmolalitet</w:t>
      </w:r>
      <w:proofErr w:type="spellEnd"/>
      <w:r w:rsidRPr="0054529F">
        <w:rPr>
          <w:sz w:val="24"/>
          <w:szCs w:val="24"/>
        </w:rPr>
        <w:t xml:space="preserve">: 282 </w:t>
      </w:r>
      <w:proofErr w:type="spellStart"/>
      <w:r w:rsidRPr="0054529F">
        <w:rPr>
          <w:sz w:val="24"/>
          <w:szCs w:val="24"/>
        </w:rPr>
        <w:t>mosmol</w:t>
      </w:r>
      <w:proofErr w:type="spellEnd"/>
      <w:r w:rsidRPr="0054529F">
        <w:rPr>
          <w:sz w:val="24"/>
          <w:szCs w:val="24"/>
        </w:rPr>
        <w:t>/kg</w:t>
      </w:r>
    </w:p>
    <w:p w14:paraId="3E6BE72E" w14:textId="77777777" w:rsidR="009260DE" w:rsidRPr="00043A0F" w:rsidRDefault="009260DE" w:rsidP="009260DE">
      <w:pPr>
        <w:tabs>
          <w:tab w:val="left" w:pos="851"/>
        </w:tabs>
        <w:ind w:left="851"/>
        <w:rPr>
          <w:sz w:val="24"/>
          <w:szCs w:val="24"/>
        </w:rPr>
      </w:pPr>
    </w:p>
    <w:p w14:paraId="4C9094F2" w14:textId="77777777" w:rsidR="009260DE" w:rsidRPr="00043A0F" w:rsidRDefault="009260DE" w:rsidP="009260DE">
      <w:pPr>
        <w:tabs>
          <w:tab w:val="left" w:pos="851"/>
        </w:tabs>
        <w:ind w:left="851"/>
        <w:rPr>
          <w:sz w:val="24"/>
          <w:szCs w:val="24"/>
        </w:rPr>
      </w:pPr>
    </w:p>
    <w:p w14:paraId="61AEDB75" w14:textId="77777777" w:rsidR="009260DE" w:rsidRPr="00043A0F" w:rsidRDefault="009260DE" w:rsidP="009260DE">
      <w:pPr>
        <w:tabs>
          <w:tab w:val="left" w:pos="851"/>
        </w:tabs>
        <w:ind w:left="851" w:hanging="851"/>
        <w:rPr>
          <w:b/>
          <w:sz w:val="24"/>
          <w:szCs w:val="24"/>
        </w:rPr>
      </w:pPr>
      <w:r w:rsidRPr="00043A0F">
        <w:rPr>
          <w:b/>
          <w:sz w:val="24"/>
          <w:szCs w:val="24"/>
        </w:rPr>
        <w:t>4.</w:t>
      </w:r>
      <w:r w:rsidRPr="00043A0F">
        <w:rPr>
          <w:b/>
          <w:sz w:val="24"/>
          <w:szCs w:val="24"/>
        </w:rPr>
        <w:tab/>
        <w:t>KLINISKE OPLYSNINGER</w:t>
      </w:r>
    </w:p>
    <w:p w14:paraId="0C2605A7" w14:textId="77777777" w:rsidR="009260DE" w:rsidRPr="00043A0F" w:rsidRDefault="009260DE" w:rsidP="009260DE">
      <w:pPr>
        <w:tabs>
          <w:tab w:val="left" w:pos="851"/>
        </w:tabs>
        <w:ind w:left="851"/>
        <w:rPr>
          <w:b/>
          <w:sz w:val="24"/>
          <w:szCs w:val="24"/>
        </w:rPr>
      </w:pPr>
    </w:p>
    <w:p w14:paraId="29B38B98" w14:textId="77777777" w:rsidR="009260DE" w:rsidRPr="00043A0F" w:rsidRDefault="009260DE" w:rsidP="009260DE">
      <w:pPr>
        <w:tabs>
          <w:tab w:val="left" w:pos="851"/>
        </w:tabs>
        <w:ind w:left="851" w:hanging="851"/>
        <w:rPr>
          <w:b/>
          <w:sz w:val="24"/>
          <w:szCs w:val="24"/>
          <w:u w:val="single"/>
        </w:rPr>
      </w:pPr>
      <w:r w:rsidRPr="00043A0F">
        <w:rPr>
          <w:b/>
          <w:sz w:val="24"/>
          <w:szCs w:val="24"/>
        </w:rPr>
        <w:t>4.1</w:t>
      </w:r>
      <w:r w:rsidRPr="00043A0F">
        <w:rPr>
          <w:b/>
          <w:sz w:val="24"/>
          <w:szCs w:val="24"/>
        </w:rPr>
        <w:tab/>
        <w:t>Terapeutiske indikationer</w:t>
      </w:r>
    </w:p>
    <w:p w14:paraId="2C0E8630" w14:textId="77777777" w:rsidR="0054529F" w:rsidRPr="0054529F" w:rsidRDefault="0054529F" w:rsidP="006520DA">
      <w:pPr>
        <w:ind w:left="851"/>
        <w:rPr>
          <w:sz w:val="24"/>
          <w:szCs w:val="24"/>
        </w:rPr>
      </w:pPr>
      <w:r w:rsidRPr="0054529F">
        <w:rPr>
          <w:sz w:val="24"/>
          <w:szCs w:val="24"/>
        </w:rPr>
        <w:t xml:space="preserve">Behandling af </w:t>
      </w:r>
      <w:proofErr w:type="spellStart"/>
      <w:r w:rsidRPr="0054529F">
        <w:rPr>
          <w:sz w:val="24"/>
          <w:szCs w:val="24"/>
        </w:rPr>
        <w:t>okulære</w:t>
      </w:r>
      <w:proofErr w:type="spellEnd"/>
      <w:r w:rsidRPr="0054529F">
        <w:rPr>
          <w:sz w:val="24"/>
          <w:szCs w:val="24"/>
        </w:rPr>
        <w:t xml:space="preserve"> tegn og symptomer på sæsonbetinget allergisk </w:t>
      </w:r>
      <w:proofErr w:type="spellStart"/>
      <w:r w:rsidRPr="0054529F">
        <w:rPr>
          <w:sz w:val="24"/>
          <w:szCs w:val="24"/>
        </w:rPr>
        <w:t>conjunctivitis</w:t>
      </w:r>
      <w:proofErr w:type="spellEnd"/>
      <w:r w:rsidRPr="0054529F">
        <w:rPr>
          <w:sz w:val="24"/>
          <w:szCs w:val="24"/>
        </w:rPr>
        <w:t>.</w:t>
      </w:r>
    </w:p>
    <w:p w14:paraId="40C89945" w14:textId="4C846B10" w:rsidR="00D3320D" w:rsidRDefault="00D3320D">
      <w:pPr>
        <w:rPr>
          <w:sz w:val="24"/>
          <w:szCs w:val="24"/>
        </w:rPr>
      </w:pPr>
      <w:r>
        <w:rPr>
          <w:sz w:val="24"/>
          <w:szCs w:val="24"/>
        </w:rPr>
        <w:br w:type="page"/>
      </w:r>
    </w:p>
    <w:p w14:paraId="0F0C1B22" w14:textId="77777777" w:rsidR="009260DE" w:rsidRPr="00043A0F" w:rsidRDefault="009260DE" w:rsidP="009260DE">
      <w:pPr>
        <w:tabs>
          <w:tab w:val="left" w:pos="851"/>
        </w:tabs>
        <w:ind w:left="851"/>
        <w:rPr>
          <w:sz w:val="24"/>
          <w:szCs w:val="24"/>
        </w:rPr>
      </w:pPr>
    </w:p>
    <w:p w14:paraId="6AACBC8A" w14:textId="77777777" w:rsidR="009260DE" w:rsidRPr="00043A0F" w:rsidRDefault="009260DE" w:rsidP="009260DE">
      <w:pPr>
        <w:tabs>
          <w:tab w:val="left" w:pos="851"/>
        </w:tabs>
        <w:ind w:left="851" w:hanging="851"/>
        <w:rPr>
          <w:b/>
          <w:sz w:val="24"/>
          <w:szCs w:val="24"/>
        </w:rPr>
      </w:pPr>
      <w:r w:rsidRPr="00043A0F">
        <w:rPr>
          <w:b/>
          <w:sz w:val="24"/>
          <w:szCs w:val="24"/>
        </w:rPr>
        <w:t>4.2</w:t>
      </w:r>
      <w:r w:rsidRPr="00043A0F">
        <w:rPr>
          <w:b/>
          <w:sz w:val="24"/>
          <w:szCs w:val="24"/>
        </w:rPr>
        <w:tab/>
        <w:t xml:space="preserve">Dosering og </w:t>
      </w:r>
      <w:r w:rsidR="002C1EC0" w:rsidRPr="00043A0F">
        <w:rPr>
          <w:b/>
          <w:sz w:val="24"/>
          <w:szCs w:val="24"/>
        </w:rPr>
        <w:t>administration</w:t>
      </w:r>
    </w:p>
    <w:p w14:paraId="0333E745" w14:textId="77777777" w:rsidR="0054529F" w:rsidRPr="0054529F" w:rsidRDefault="0054529F" w:rsidP="0054529F">
      <w:pPr>
        <w:tabs>
          <w:tab w:val="left" w:pos="851"/>
        </w:tabs>
        <w:ind w:left="851"/>
        <w:rPr>
          <w:sz w:val="24"/>
          <w:szCs w:val="24"/>
        </w:rPr>
      </w:pPr>
    </w:p>
    <w:p w14:paraId="793BFB15" w14:textId="77777777" w:rsidR="0054529F" w:rsidRPr="0054529F" w:rsidRDefault="0054529F" w:rsidP="006520DA">
      <w:pPr>
        <w:ind w:left="851"/>
        <w:rPr>
          <w:sz w:val="24"/>
          <w:szCs w:val="24"/>
          <w:u w:val="single"/>
        </w:rPr>
      </w:pPr>
      <w:r w:rsidRPr="0054529F">
        <w:rPr>
          <w:sz w:val="24"/>
          <w:szCs w:val="24"/>
          <w:u w:val="single"/>
        </w:rPr>
        <w:t>Dosering</w:t>
      </w:r>
    </w:p>
    <w:p w14:paraId="0D1C5D9B" w14:textId="77777777" w:rsidR="0054529F" w:rsidRPr="0054529F" w:rsidRDefault="0054529F" w:rsidP="006520DA">
      <w:pPr>
        <w:ind w:left="851"/>
        <w:rPr>
          <w:sz w:val="24"/>
          <w:szCs w:val="24"/>
        </w:rPr>
      </w:pPr>
      <w:r w:rsidRPr="0054529F">
        <w:rPr>
          <w:sz w:val="24"/>
          <w:szCs w:val="24"/>
        </w:rPr>
        <w:t xml:space="preserve">Dosis er 1 dråbe </w:t>
      </w:r>
      <w:proofErr w:type="spellStart"/>
      <w:r w:rsidRPr="0054529F">
        <w:rPr>
          <w:sz w:val="24"/>
          <w:szCs w:val="24"/>
        </w:rPr>
        <w:t>Olpalan</w:t>
      </w:r>
      <w:proofErr w:type="spellEnd"/>
      <w:r w:rsidRPr="0054529F">
        <w:rPr>
          <w:sz w:val="24"/>
          <w:szCs w:val="24"/>
        </w:rPr>
        <w:t xml:space="preserve"> i </w:t>
      </w:r>
      <w:proofErr w:type="spellStart"/>
      <w:r w:rsidRPr="0054529F">
        <w:rPr>
          <w:sz w:val="24"/>
          <w:szCs w:val="24"/>
        </w:rPr>
        <w:t>konjunktivalsækken</w:t>
      </w:r>
      <w:proofErr w:type="spellEnd"/>
      <w:r w:rsidRPr="0054529F">
        <w:rPr>
          <w:sz w:val="24"/>
          <w:szCs w:val="24"/>
        </w:rPr>
        <w:t xml:space="preserve"> i de(t) pågældende øj(n)e 2 gange dagligt (8 timers interval). Behandlingen kan fortsættes i op til 4 måneder, hvis det er nødvendigt.</w:t>
      </w:r>
    </w:p>
    <w:p w14:paraId="143FA900" w14:textId="77777777" w:rsidR="0054529F" w:rsidRPr="0054529F" w:rsidRDefault="0054529F" w:rsidP="006520DA">
      <w:pPr>
        <w:ind w:left="851"/>
        <w:rPr>
          <w:sz w:val="24"/>
          <w:szCs w:val="24"/>
        </w:rPr>
      </w:pPr>
    </w:p>
    <w:p w14:paraId="6943267C" w14:textId="77777777" w:rsidR="0054529F" w:rsidRPr="0054529F" w:rsidRDefault="0054529F" w:rsidP="006520DA">
      <w:pPr>
        <w:ind w:left="851"/>
        <w:rPr>
          <w:i/>
          <w:iCs/>
          <w:sz w:val="24"/>
          <w:szCs w:val="24"/>
        </w:rPr>
      </w:pPr>
      <w:r w:rsidRPr="0054529F">
        <w:rPr>
          <w:i/>
          <w:iCs/>
          <w:sz w:val="24"/>
          <w:szCs w:val="24"/>
        </w:rPr>
        <w:t>Brug hos ældre</w:t>
      </w:r>
    </w:p>
    <w:p w14:paraId="502859CF" w14:textId="77777777" w:rsidR="0054529F" w:rsidRPr="0054529F" w:rsidRDefault="0054529F" w:rsidP="006520DA">
      <w:pPr>
        <w:ind w:left="851"/>
        <w:rPr>
          <w:sz w:val="24"/>
          <w:szCs w:val="24"/>
        </w:rPr>
      </w:pPr>
      <w:r w:rsidRPr="0054529F">
        <w:rPr>
          <w:sz w:val="24"/>
          <w:szCs w:val="24"/>
        </w:rPr>
        <w:t>Dosisjustering hos ældre patienter er ikke nødvendig.</w:t>
      </w:r>
    </w:p>
    <w:p w14:paraId="370A3038" w14:textId="77777777" w:rsidR="0054529F" w:rsidRPr="0054529F" w:rsidRDefault="0054529F" w:rsidP="006520DA">
      <w:pPr>
        <w:ind w:left="851"/>
        <w:rPr>
          <w:sz w:val="24"/>
          <w:szCs w:val="24"/>
        </w:rPr>
      </w:pPr>
    </w:p>
    <w:p w14:paraId="1CE89BE7" w14:textId="77777777" w:rsidR="0054529F" w:rsidRPr="0054529F" w:rsidRDefault="0054529F" w:rsidP="006520DA">
      <w:pPr>
        <w:ind w:left="851"/>
        <w:rPr>
          <w:i/>
          <w:iCs/>
          <w:sz w:val="24"/>
          <w:szCs w:val="24"/>
        </w:rPr>
      </w:pPr>
      <w:r w:rsidRPr="0054529F">
        <w:rPr>
          <w:i/>
          <w:iCs/>
          <w:sz w:val="24"/>
          <w:szCs w:val="24"/>
        </w:rPr>
        <w:t>Pædiatrisk population</w:t>
      </w:r>
    </w:p>
    <w:p w14:paraId="22B1B24E" w14:textId="77777777" w:rsidR="0054529F" w:rsidRPr="0054529F" w:rsidRDefault="0054529F" w:rsidP="006520DA">
      <w:pPr>
        <w:ind w:left="851"/>
        <w:rPr>
          <w:sz w:val="24"/>
          <w:szCs w:val="24"/>
        </w:rPr>
      </w:pPr>
      <w:r w:rsidRPr="0054529F">
        <w:rPr>
          <w:sz w:val="24"/>
          <w:szCs w:val="24"/>
        </w:rPr>
        <w:t xml:space="preserve">Børn (3 år og ældre) kan behandles med </w:t>
      </w:r>
      <w:proofErr w:type="spellStart"/>
      <w:r w:rsidRPr="0054529F">
        <w:rPr>
          <w:sz w:val="24"/>
          <w:szCs w:val="24"/>
        </w:rPr>
        <w:t>Olpalan</w:t>
      </w:r>
      <w:proofErr w:type="spellEnd"/>
      <w:r w:rsidRPr="0054529F">
        <w:rPr>
          <w:sz w:val="24"/>
          <w:szCs w:val="24"/>
        </w:rPr>
        <w:t xml:space="preserve"> med samme dosis som voksne. </w:t>
      </w:r>
      <w:proofErr w:type="spellStart"/>
      <w:r w:rsidRPr="0054529F">
        <w:rPr>
          <w:sz w:val="24"/>
          <w:szCs w:val="24"/>
        </w:rPr>
        <w:t>Olpalans</w:t>
      </w:r>
      <w:proofErr w:type="spellEnd"/>
      <w:r w:rsidRPr="0054529F">
        <w:rPr>
          <w:sz w:val="24"/>
          <w:szCs w:val="24"/>
        </w:rPr>
        <w:t xml:space="preserve"> sikkerhed og virkning hos børn under 3 år er ikke klarlagt. Der foreligger ingen data.</w:t>
      </w:r>
    </w:p>
    <w:p w14:paraId="16121575" w14:textId="77777777" w:rsidR="0054529F" w:rsidRPr="0054529F" w:rsidRDefault="0054529F" w:rsidP="006520DA">
      <w:pPr>
        <w:ind w:left="851"/>
        <w:rPr>
          <w:sz w:val="24"/>
          <w:szCs w:val="24"/>
        </w:rPr>
      </w:pPr>
    </w:p>
    <w:p w14:paraId="4ECDE90B" w14:textId="77777777" w:rsidR="0054529F" w:rsidRPr="0054529F" w:rsidRDefault="0054529F" w:rsidP="006520DA">
      <w:pPr>
        <w:ind w:left="851"/>
        <w:rPr>
          <w:i/>
          <w:iCs/>
          <w:sz w:val="24"/>
          <w:szCs w:val="24"/>
        </w:rPr>
      </w:pPr>
      <w:r w:rsidRPr="0054529F">
        <w:rPr>
          <w:i/>
          <w:iCs/>
          <w:sz w:val="24"/>
          <w:szCs w:val="24"/>
        </w:rPr>
        <w:t>Brug ved nedsat lever- og nyrefunktion</w:t>
      </w:r>
    </w:p>
    <w:p w14:paraId="4C722609" w14:textId="77777777" w:rsidR="0054529F" w:rsidRPr="0054529F" w:rsidRDefault="0054529F" w:rsidP="006520DA">
      <w:pPr>
        <w:ind w:left="851"/>
        <w:rPr>
          <w:sz w:val="24"/>
          <w:szCs w:val="24"/>
        </w:rPr>
      </w:pPr>
      <w:proofErr w:type="spellStart"/>
      <w:r w:rsidRPr="0054529F">
        <w:rPr>
          <w:sz w:val="24"/>
          <w:szCs w:val="24"/>
        </w:rPr>
        <w:t>Olopatadin</w:t>
      </w:r>
      <w:proofErr w:type="spellEnd"/>
      <w:r w:rsidRPr="0054529F">
        <w:rPr>
          <w:sz w:val="24"/>
          <w:szCs w:val="24"/>
        </w:rPr>
        <w:t xml:space="preserve"> som øjendråber (</w:t>
      </w:r>
      <w:proofErr w:type="spellStart"/>
      <w:r w:rsidRPr="0054529F">
        <w:rPr>
          <w:sz w:val="24"/>
          <w:szCs w:val="24"/>
        </w:rPr>
        <w:t>Olpalan</w:t>
      </w:r>
      <w:proofErr w:type="spellEnd"/>
      <w:r w:rsidRPr="0054529F">
        <w:rPr>
          <w:sz w:val="24"/>
          <w:szCs w:val="24"/>
        </w:rPr>
        <w:t>) er ikke blevet undersøgt hos patienter med lever- eller nyresygdom. Det forventes imidlertid, at dosisjustering ikke er nødvendig ved nedsat lever- og nyrefunktion (se pkt. 5.2).</w:t>
      </w:r>
    </w:p>
    <w:p w14:paraId="5229F558" w14:textId="77777777" w:rsidR="0054529F" w:rsidRPr="0054529F" w:rsidRDefault="0054529F" w:rsidP="006520DA">
      <w:pPr>
        <w:ind w:left="851"/>
        <w:rPr>
          <w:sz w:val="24"/>
          <w:szCs w:val="24"/>
        </w:rPr>
      </w:pPr>
    </w:p>
    <w:p w14:paraId="2EB61526" w14:textId="77777777" w:rsidR="0054529F" w:rsidRPr="0054529F" w:rsidRDefault="0054529F" w:rsidP="006520DA">
      <w:pPr>
        <w:ind w:left="851"/>
        <w:rPr>
          <w:sz w:val="24"/>
          <w:szCs w:val="24"/>
          <w:u w:val="single"/>
        </w:rPr>
      </w:pPr>
      <w:r w:rsidRPr="0054529F">
        <w:rPr>
          <w:sz w:val="24"/>
          <w:szCs w:val="24"/>
          <w:u w:val="single"/>
        </w:rPr>
        <w:t>Administration</w:t>
      </w:r>
    </w:p>
    <w:p w14:paraId="1A562707" w14:textId="77777777" w:rsidR="0054529F" w:rsidRPr="0054529F" w:rsidRDefault="0054529F" w:rsidP="006520DA">
      <w:pPr>
        <w:ind w:left="851"/>
        <w:rPr>
          <w:sz w:val="24"/>
          <w:szCs w:val="24"/>
        </w:rPr>
      </w:pPr>
      <w:r w:rsidRPr="0054529F">
        <w:rPr>
          <w:sz w:val="24"/>
          <w:szCs w:val="24"/>
        </w:rPr>
        <w:t xml:space="preserve">Kun til </w:t>
      </w:r>
      <w:proofErr w:type="spellStart"/>
      <w:r w:rsidRPr="0054529F">
        <w:rPr>
          <w:sz w:val="24"/>
          <w:szCs w:val="24"/>
        </w:rPr>
        <w:t>okulær</w:t>
      </w:r>
      <w:proofErr w:type="spellEnd"/>
      <w:r w:rsidRPr="0054529F">
        <w:rPr>
          <w:sz w:val="24"/>
          <w:szCs w:val="24"/>
        </w:rPr>
        <w:t xml:space="preserve"> anvendelse.</w:t>
      </w:r>
    </w:p>
    <w:p w14:paraId="345D6180" w14:textId="77777777" w:rsidR="00043A0F" w:rsidRDefault="00043A0F" w:rsidP="006520DA">
      <w:pPr>
        <w:ind w:left="851"/>
        <w:rPr>
          <w:sz w:val="24"/>
          <w:szCs w:val="24"/>
        </w:rPr>
      </w:pPr>
    </w:p>
    <w:p w14:paraId="7623F14F" w14:textId="6786AB10" w:rsidR="0054529F" w:rsidRPr="0054529F" w:rsidRDefault="0054529F" w:rsidP="006520DA">
      <w:pPr>
        <w:ind w:left="851"/>
        <w:rPr>
          <w:sz w:val="24"/>
          <w:szCs w:val="24"/>
        </w:rPr>
      </w:pPr>
      <w:r w:rsidRPr="0054529F">
        <w:rPr>
          <w:sz w:val="24"/>
          <w:szCs w:val="24"/>
        </w:rPr>
        <w:t xml:space="preserve">Efter fjernelse af flaskens hætte og inden brug af præparatet skal </w:t>
      </w:r>
      <w:proofErr w:type="spellStart"/>
      <w:r w:rsidRPr="0054529F">
        <w:rPr>
          <w:sz w:val="24"/>
          <w:szCs w:val="24"/>
        </w:rPr>
        <w:t>forseglingsringen</w:t>
      </w:r>
      <w:proofErr w:type="spellEnd"/>
      <w:r w:rsidRPr="0054529F">
        <w:rPr>
          <w:sz w:val="24"/>
          <w:szCs w:val="24"/>
        </w:rPr>
        <w:t xml:space="preserve"> fjernes, hvis den sidder løst. For at undgå kontaminering af dråbespidsen og øjendråberne må øjenlåg, omkringliggende hudområder eller andre overflader ikke berøres med flaskens dråbespids. Flasken skal være tæt lukket, når den ikke er i brug.</w:t>
      </w:r>
    </w:p>
    <w:p w14:paraId="5BED65A0" w14:textId="77777777" w:rsidR="0054529F" w:rsidRPr="0054529F" w:rsidRDefault="0054529F" w:rsidP="006520DA">
      <w:pPr>
        <w:ind w:left="851"/>
        <w:rPr>
          <w:sz w:val="24"/>
          <w:szCs w:val="24"/>
        </w:rPr>
      </w:pPr>
    </w:p>
    <w:p w14:paraId="3D6083C4" w14:textId="77777777" w:rsidR="0054529F" w:rsidRPr="0054529F" w:rsidRDefault="0054529F" w:rsidP="006520DA">
      <w:pPr>
        <w:ind w:left="851"/>
        <w:rPr>
          <w:sz w:val="24"/>
          <w:szCs w:val="24"/>
        </w:rPr>
      </w:pPr>
      <w:r w:rsidRPr="0054529F">
        <w:rPr>
          <w:sz w:val="24"/>
          <w:szCs w:val="24"/>
        </w:rPr>
        <w:t xml:space="preserve">I tilfælde af samtidig behandling med andre </w:t>
      </w:r>
      <w:proofErr w:type="spellStart"/>
      <w:r w:rsidRPr="0054529F">
        <w:rPr>
          <w:sz w:val="24"/>
          <w:szCs w:val="24"/>
        </w:rPr>
        <w:t>topikale</w:t>
      </w:r>
      <w:proofErr w:type="spellEnd"/>
      <w:r w:rsidRPr="0054529F">
        <w:rPr>
          <w:sz w:val="24"/>
          <w:szCs w:val="24"/>
        </w:rPr>
        <w:t xml:space="preserve"> øjenpræparater bør der være et interval på 5 minutter mellem de enkelte applikationer. Øjensalve bør gives sidst.</w:t>
      </w:r>
    </w:p>
    <w:p w14:paraId="7D4E83B2" w14:textId="77777777" w:rsidR="009260DE" w:rsidRPr="00043A0F" w:rsidRDefault="009260DE" w:rsidP="009260DE">
      <w:pPr>
        <w:tabs>
          <w:tab w:val="left" w:pos="851"/>
        </w:tabs>
        <w:ind w:left="851"/>
        <w:rPr>
          <w:sz w:val="24"/>
          <w:szCs w:val="24"/>
        </w:rPr>
      </w:pPr>
    </w:p>
    <w:p w14:paraId="481F2FC9" w14:textId="77777777" w:rsidR="009260DE" w:rsidRPr="00043A0F" w:rsidRDefault="009260DE" w:rsidP="009260DE">
      <w:pPr>
        <w:tabs>
          <w:tab w:val="left" w:pos="851"/>
        </w:tabs>
        <w:ind w:left="851" w:hanging="851"/>
        <w:rPr>
          <w:b/>
          <w:sz w:val="24"/>
          <w:szCs w:val="24"/>
        </w:rPr>
      </w:pPr>
      <w:r w:rsidRPr="00043A0F">
        <w:rPr>
          <w:b/>
          <w:sz w:val="24"/>
          <w:szCs w:val="24"/>
        </w:rPr>
        <w:t>4.3</w:t>
      </w:r>
      <w:r w:rsidRPr="00043A0F">
        <w:rPr>
          <w:b/>
          <w:sz w:val="24"/>
          <w:szCs w:val="24"/>
        </w:rPr>
        <w:tab/>
        <w:t>Kontraindikationer</w:t>
      </w:r>
    </w:p>
    <w:p w14:paraId="0BC6E91D" w14:textId="77777777" w:rsidR="0054529F" w:rsidRPr="0054529F" w:rsidRDefault="0054529F" w:rsidP="006520DA">
      <w:pPr>
        <w:ind w:left="851"/>
        <w:rPr>
          <w:sz w:val="24"/>
          <w:szCs w:val="24"/>
        </w:rPr>
      </w:pPr>
      <w:r w:rsidRPr="0054529F">
        <w:rPr>
          <w:sz w:val="24"/>
          <w:szCs w:val="24"/>
        </w:rPr>
        <w:t>Overfølsomhed over for det aktive stof eller over for et eller flere af hjælpestofferne anført i pkt. 6.1.</w:t>
      </w:r>
    </w:p>
    <w:p w14:paraId="1269C15B" w14:textId="77777777" w:rsidR="009260DE" w:rsidRPr="00043A0F" w:rsidRDefault="009260DE" w:rsidP="009260DE">
      <w:pPr>
        <w:tabs>
          <w:tab w:val="left" w:pos="851"/>
        </w:tabs>
        <w:ind w:left="851"/>
        <w:rPr>
          <w:sz w:val="24"/>
          <w:szCs w:val="24"/>
        </w:rPr>
      </w:pPr>
    </w:p>
    <w:p w14:paraId="7E2B72A2" w14:textId="77777777" w:rsidR="009260DE" w:rsidRPr="00043A0F" w:rsidRDefault="009260DE" w:rsidP="009260DE">
      <w:pPr>
        <w:tabs>
          <w:tab w:val="left" w:pos="851"/>
        </w:tabs>
        <w:ind w:left="851" w:hanging="851"/>
        <w:rPr>
          <w:b/>
          <w:sz w:val="24"/>
          <w:szCs w:val="24"/>
        </w:rPr>
      </w:pPr>
      <w:r w:rsidRPr="00043A0F">
        <w:rPr>
          <w:b/>
          <w:sz w:val="24"/>
          <w:szCs w:val="24"/>
        </w:rPr>
        <w:t>4.4</w:t>
      </w:r>
      <w:r w:rsidRPr="00043A0F">
        <w:rPr>
          <w:b/>
          <w:sz w:val="24"/>
          <w:szCs w:val="24"/>
        </w:rPr>
        <w:tab/>
        <w:t>Særlige advarsler og forsigtighedsregler vedrørende brugen</w:t>
      </w:r>
    </w:p>
    <w:p w14:paraId="0AB53481" w14:textId="77777777" w:rsidR="0054529F" w:rsidRPr="0054529F" w:rsidRDefault="0054529F" w:rsidP="009A06C9">
      <w:pPr>
        <w:ind w:left="851"/>
        <w:rPr>
          <w:sz w:val="24"/>
          <w:szCs w:val="24"/>
        </w:rPr>
      </w:pPr>
      <w:proofErr w:type="spellStart"/>
      <w:r w:rsidRPr="0054529F">
        <w:rPr>
          <w:sz w:val="24"/>
          <w:szCs w:val="24"/>
        </w:rPr>
        <w:t>Olpalan</w:t>
      </w:r>
      <w:proofErr w:type="spellEnd"/>
      <w:r w:rsidRPr="0054529F">
        <w:rPr>
          <w:sz w:val="24"/>
          <w:szCs w:val="24"/>
        </w:rPr>
        <w:t xml:space="preserve"> er et </w:t>
      </w:r>
      <w:proofErr w:type="spellStart"/>
      <w:r w:rsidRPr="0054529F">
        <w:rPr>
          <w:sz w:val="24"/>
          <w:szCs w:val="24"/>
        </w:rPr>
        <w:t>antiallergikum</w:t>
      </w:r>
      <w:proofErr w:type="spellEnd"/>
      <w:r w:rsidRPr="0054529F">
        <w:rPr>
          <w:sz w:val="24"/>
          <w:szCs w:val="24"/>
        </w:rPr>
        <w:t>/</w:t>
      </w:r>
      <w:proofErr w:type="spellStart"/>
      <w:r w:rsidRPr="0054529F">
        <w:rPr>
          <w:sz w:val="24"/>
          <w:szCs w:val="24"/>
        </w:rPr>
        <w:t>antihistaminikum</w:t>
      </w:r>
      <w:proofErr w:type="spellEnd"/>
      <w:r w:rsidRPr="0054529F">
        <w:rPr>
          <w:sz w:val="24"/>
          <w:szCs w:val="24"/>
        </w:rPr>
        <w:t xml:space="preserve"> som, selv ved </w:t>
      </w:r>
      <w:proofErr w:type="spellStart"/>
      <w:r w:rsidRPr="0054529F">
        <w:rPr>
          <w:sz w:val="24"/>
          <w:szCs w:val="24"/>
        </w:rPr>
        <w:t>topikal</w:t>
      </w:r>
      <w:proofErr w:type="spellEnd"/>
      <w:r w:rsidRPr="0054529F">
        <w:rPr>
          <w:sz w:val="24"/>
          <w:szCs w:val="24"/>
        </w:rPr>
        <w:t xml:space="preserve"> administration, kan absorberes systemisk. Hvis der forekommer tegn på alvorlige bivirkninger eller overfølsomhed, skal behandlingen stoppes.</w:t>
      </w:r>
    </w:p>
    <w:p w14:paraId="64ABFE8B" w14:textId="77777777" w:rsidR="0054529F" w:rsidRPr="0054529F" w:rsidRDefault="0054529F" w:rsidP="009A06C9">
      <w:pPr>
        <w:ind w:left="851"/>
        <w:rPr>
          <w:sz w:val="24"/>
          <w:szCs w:val="24"/>
        </w:rPr>
      </w:pPr>
    </w:p>
    <w:p w14:paraId="355117DA" w14:textId="77777777" w:rsidR="0054529F" w:rsidRPr="0054529F" w:rsidRDefault="0054529F" w:rsidP="009A06C9">
      <w:pPr>
        <w:ind w:left="851"/>
        <w:rPr>
          <w:sz w:val="24"/>
          <w:szCs w:val="24"/>
        </w:rPr>
      </w:pPr>
      <w:proofErr w:type="spellStart"/>
      <w:r w:rsidRPr="0054529F">
        <w:rPr>
          <w:sz w:val="24"/>
          <w:szCs w:val="24"/>
        </w:rPr>
        <w:t>Olpalan</w:t>
      </w:r>
      <w:proofErr w:type="spellEnd"/>
      <w:r w:rsidRPr="0054529F">
        <w:rPr>
          <w:sz w:val="24"/>
          <w:szCs w:val="24"/>
        </w:rPr>
        <w:t xml:space="preserve"> indeholder </w:t>
      </w:r>
      <w:proofErr w:type="spellStart"/>
      <w:r w:rsidRPr="0054529F">
        <w:rPr>
          <w:sz w:val="24"/>
          <w:szCs w:val="24"/>
        </w:rPr>
        <w:t>benzalkoniumchlorid</w:t>
      </w:r>
      <w:proofErr w:type="spellEnd"/>
      <w:r w:rsidRPr="0054529F">
        <w:rPr>
          <w:sz w:val="24"/>
          <w:szCs w:val="24"/>
        </w:rPr>
        <w:t>, som kan forårsage øjenirritation.</w:t>
      </w:r>
    </w:p>
    <w:p w14:paraId="030CDB9E" w14:textId="77777777" w:rsidR="0054529F" w:rsidRPr="0054529F" w:rsidRDefault="0054529F" w:rsidP="009A06C9">
      <w:pPr>
        <w:ind w:left="851"/>
        <w:rPr>
          <w:sz w:val="24"/>
          <w:szCs w:val="24"/>
        </w:rPr>
      </w:pPr>
    </w:p>
    <w:p w14:paraId="1F51F293" w14:textId="77777777" w:rsidR="0054529F" w:rsidRPr="0054529F" w:rsidRDefault="0054529F" w:rsidP="009A06C9">
      <w:pPr>
        <w:ind w:left="851"/>
        <w:rPr>
          <w:sz w:val="24"/>
          <w:szCs w:val="24"/>
        </w:rPr>
      </w:pPr>
      <w:proofErr w:type="spellStart"/>
      <w:r w:rsidRPr="0054529F">
        <w:rPr>
          <w:sz w:val="24"/>
          <w:szCs w:val="24"/>
        </w:rPr>
        <w:t>Benzalkoniumchlorid</w:t>
      </w:r>
      <w:proofErr w:type="spellEnd"/>
      <w:r w:rsidRPr="0054529F">
        <w:rPr>
          <w:sz w:val="24"/>
          <w:szCs w:val="24"/>
        </w:rPr>
        <w:t xml:space="preserve"> er også beskrevet at kunne forårsage punktvis </w:t>
      </w:r>
      <w:proofErr w:type="spellStart"/>
      <w:r w:rsidRPr="0054529F">
        <w:rPr>
          <w:sz w:val="24"/>
          <w:szCs w:val="24"/>
        </w:rPr>
        <w:t>keratopati</w:t>
      </w:r>
      <w:proofErr w:type="spellEnd"/>
      <w:r w:rsidRPr="0054529F">
        <w:rPr>
          <w:sz w:val="24"/>
          <w:szCs w:val="24"/>
        </w:rPr>
        <w:t xml:space="preserve"> og/eller toksisk ulcerøs </w:t>
      </w:r>
      <w:proofErr w:type="spellStart"/>
      <w:r w:rsidRPr="0054529F">
        <w:rPr>
          <w:sz w:val="24"/>
          <w:szCs w:val="24"/>
        </w:rPr>
        <w:t>keratopati</w:t>
      </w:r>
      <w:proofErr w:type="spellEnd"/>
      <w:r w:rsidRPr="0054529F">
        <w:rPr>
          <w:sz w:val="24"/>
          <w:szCs w:val="24"/>
        </w:rPr>
        <w:t>. Omhyggelig monitorering er nødvendig ved hyppig eller langvarig brug hos patienter med tørre øjne eller tilstande med beskadiget hornhinde.</w:t>
      </w:r>
    </w:p>
    <w:p w14:paraId="25D3B165" w14:textId="77777777" w:rsidR="0054529F" w:rsidRPr="0054529F" w:rsidRDefault="0054529F" w:rsidP="009A06C9">
      <w:pPr>
        <w:ind w:left="851"/>
        <w:rPr>
          <w:sz w:val="24"/>
          <w:szCs w:val="24"/>
        </w:rPr>
      </w:pPr>
    </w:p>
    <w:p w14:paraId="45493ED1" w14:textId="77777777" w:rsidR="0054529F" w:rsidRPr="0054529F" w:rsidRDefault="0054529F" w:rsidP="009A06C9">
      <w:pPr>
        <w:ind w:left="851"/>
        <w:rPr>
          <w:sz w:val="24"/>
          <w:szCs w:val="24"/>
          <w:u w:val="single"/>
        </w:rPr>
      </w:pPr>
      <w:r w:rsidRPr="0054529F">
        <w:rPr>
          <w:sz w:val="24"/>
          <w:szCs w:val="24"/>
          <w:u w:val="single"/>
        </w:rPr>
        <w:t>Kontaktlinser</w:t>
      </w:r>
    </w:p>
    <w:p w14:paraId="25FBAA93" w14:textId="77777777" w:rsidR="0054529F" w:rsidRPr="0054529F" w:rsidRDefault="0054529F" w:rsidP="009A06C9">
      <w:pPr>
        <w:ind w:left="851"/>
        <w:rPr>
          <w:sz w:val="24"/>
          <w:szCs w:val="24"/>
        </w:rPr>
      </w:pPr>
      <w:proofErr w:type="spellStart"/>
      <w:r w:rsidRPr="0054529F">
        <w:rPr>
          <w:sz w:val="24"/>
          <w:szCs w:val="24"/>
        </w:rPr>
        <w:t>Benzalkoniumchlorid</w:t>
      </w:r>
      <w:proofErr w:type="spellEnd"/>
      <w:r w:rsidRPr="0054529F">
        <w:rPr>
          <w:sz w:val="24"/>
          <w:szCs w:val="24"/>
        </w:rPr>
        <w:t xml:space="preserve"> kan misfarve bløde kontaktlinser. Undgå kontakt med bløde kontaktlinser. Patienterne skal informeres om at tage kontaktlinserne ud inden brug af øjendråberne og vente mindst 15 minutter efter drypning, før kontaktlinserne sættes i igen.</w:t>
      </w:r>
    </w:p>
    <w:p w14:paraId="42CB8A4A" w14:textId="77777777" w:rsidR="0054529F" w:rsidRPr="0054529F" w:rsidRDefault="0054529F" w:rsidP="009A06C9">
      <w:pPr>
        <w:ind w:left="851"/>
        <w:rPr>
          <w:sz w:val="24"/>
          <w:szCs w:val="24"/>
        </w:rPr>
      </w:pPr>
    </w:p>
    <w:p w14:paraId="15851E44" w14:textId="77777777" w:rsidR="0054529F" w:rsidRPr="0054529F" w:rsidRDefault="0054529F" w:rsidP="009A06C9">
      <w:pPr>
        <w:ind w:left="851"/>
        <w:rPr>
          <w:sz w:val="24"/>
          <w:szCs w:val="24"/>
        </w:rPr>
      </w:pPr>
      <w:proofErr w:type="spellStart"/>
      <w:r w:rsidRPr="0054529F">
        <w:rPr>
          <w:sz w:val="24"/>
          <w:szCs w:val="24"/>
        </w:rPr>
        <w:t>Olpalan</w:t>
      </w:r>
      <w:proofErr w:type="spellEnd"/>
      <w:r w:rsidRPr="0054529F">
        <w:rPr>
          <w:sz w:val="24"/>
          <w:szCs w:val="24"/>
        </w:rPr>
        <w:t xml:space="preserve"> indeholder </w:t>
      </w:r>
      <w:proofErr w:type="spellStart"/>
      <w:r w:rsidRPr="0054529F">
        <w:rPr>
          <w:sz w:val="24"/>
          <w:szCs w:val="24"/>
        </w:rPr>
        <w:t>dinatriumphosphat</w:t>
      </w:r>
      <w:proofErr w:type="spellEnd"/>
      <w:r w:rsidRPr="0054529F">
        <w:rPr>
          <w:sz w:val="24"/>
          <w:szCs w:val="24"/>
        </w:rPr>
        <w:t>, vandfrit (se pkt. 4.8).</w:t>
      </w:r>
    </w:p>
    <w:p w14:paraId="2F2871E7" w14:textId="77777777" w:rsidR="009260DE" w:rsidRPr="00043A0F" w:rsidRDefault="009260DE" w:rsidP="009260DE">
      <w:pPr>
        <w:tabs>
          <w:tab w:val="left" w:pos="851"/>
        </w:tabs>
        <w:ind w:left="851"/>
        <w:rPr>
          <w:sz w:val="24"/>
          <w:szCs w:val="24"/>
        </w:rPr>
      </w:pPr>
    </w:p>
    <w:p w14:paraId="3DA68296" w14:textId="77777777" w:rsidR="009260DE" w:rsidRPr="00043A0F" w:rsidRDefault="009260DE" w:rsidP="009260DE">
      <w:pPr>
        <w:tabs>
          <w:tab w:val="left" w:pos="851"/>
        </w:tabs>
        <w:ind w:left="851" w:hanging="851"/>
        <w:rPr>
          <w:b/>
          <w:sz w:val="24"/>
          <w:szCs w:val="24"/>
        </w:rPr>
      </w:pPr>
      <w:r w:rsidRPr="00043A0F">
        <w:rPr>
          <w:b/>
          <w:sz w:val="24"/>
          <w:szCs w:val="24"/>
        </w:rPr>
        <w:t>4.5</w:t>
      </w:r>
      <w:r w:rsidRPr="00043A0F">
        <w:rPr>
          <w:b/>
          <w:sz w:val="24"/>
          <w:szCs w:val="24"/>
        </w:rPr>
        <w:tab/>
        <w:t>Interaktion med andre lægemidler og andre former for interaktion</w:t>
      </w:r>
    </w:p>
    <w:p w14:paraId="2E159E0F" w14:textId="77777777" w:rsidR="0054529F" w:rsidRPr="0054529F" w:rsidRDefault="0054529F" w:rsidP="009A06C9">
      <w:pPr>
        <w:ind w:left="851"/>
        <w:rPr>
          <w:sz w:val="24"/>
          <w:szCs w:val="24"/>
        </w:rPr>
      </w:pPr>
      <w:r w:rsidRPr="0054529F">
        <w:rPr>
          <w:sz w:val="24"/>
          <w:szCs w:val="24"/>
        </w:rPr>
        <w:t>Der er ikke udført interaktionsstudier.</w:t>
      </w:r>
    </w:p>
    <w:p w14:paraId="0E5D81EA" w14:textId="77777777" w:rsidR="0054529F" w:rsidRPr="0054529F" w:rsidRDefault="0054529F" w:rsidP="009A06C9">
      <w:pPr>
        <w:ind w:left="851"/>
        <w:rPr>
          <w:sz w:val="24"/>
          <w:szCs w:val="24"/>
        </w:rPr>
      </w:pPr>
    </w:p>
    <w:p w14:paraId="344DA707" w14:textId="77777777" w:rsidR="0054529F" w:rsidRPr="0054529F" w:rsidRDefault="0054529F" w:rsidP="009A06C9">
      <w:pPr>
        <w:ind w:left="851"/>
        <w:rPr>
          <w:sz w:val="24"/>
          <w:szCs w:val="24"/>
        </w:rPr>
      </w:pPr>
      <w:r w:rsidRPr="0054529F">
        <w:rPr>
          <w:i/>
          <w:iCs/>
          <w:sz w:val="24"/>
          <w:szCs w:val="24"/>
        </w:rPr>
        <w:t xml:space="preserve">In </w:t>
      </w:r>
      <w:proofErr w:type="spellStart"/>
      <w:r w:rsidRPr="0054529F">
        <w:rPr>
          <w:i/>
          <w:iCs/>
          <w:sz w:val="24"/>
          <w:szCs w:val="24"/>
        </w:rPr>
        <w:t>vitro</w:t>
      </w:r>
      <w:proofErr w:type="spellEnd"/>
      <w:r w:rsidRPr="0054529F">
        <w:rPr>
          <w:i/>
          <w:iCs/>
          <w:sz w:val="24"/>
          <w:szCs w:val="24"/>
        </w:rPr>
        <w:t>-</w:t>
      </w:r>
      <w:r w:rsidRPr="0054529F">
        <w:rPr>
          <w:sz w:val="24"/>
          <w:szCs w:val="24"/>
        </w:rPr>
        <w:t xml:space="preserve">studier har vist, at </w:t>
      </w:r>
      <w:proofErr w:type="spellStart"/>
      <w:r w:rsidRPr="0054529F">
        <w:rPr>
          <w:sz w:val="24"/>
          <w:szCs w:val="24"/>
        </w:rPr>
        <w:t>olopatadin</w:t>
      </w:r>
      <w:proofErr w:type="spellEnd"/>
      <w:r w:rsidRPr="0054529F">
        <w:rPr>
          <w:sz w:val="24"/>
          <w:szCs w:val="24"/>
        </w:rPr>
        <w:t xml:space="preserve"> ikke hæmmer de metaboliske reaktioner, som involverer </w:t>
      </w:r>
      <w:proofErr w:type="spellStart"/>
      <w:r w:rsidRPr="0054529F">
        <w:rPr>
          <w:sz w:val="24"/>
          <w:szCs w:val="24"/>
        </w:rPr>
        <w:t>cytokrom</w:t>
      </w:r>
      <w:proofErr w:type="spellEnd"/>
      <w:r w:rsidRPr="0054529F">
        <w:rPr>
          <w:sz w:val="24"/>
          <w:szCs w:val="24"/>
        </w:rPr>
        <w:t xml:space="preserve"> P-450 </w:t>
      </w:r>
      <w:proofErr w:type="spellStart"/>
      <w:r w:rsidRPr="0054529F">
        <w:rPr>
          <w:sz w:val="24"/>
          <w:szCs w:val="24"/>
        </w:rPr>
        <w:t>isozymerne</w:t>
      </w:r>
      <w:proofErr w:type="spellEnd"/>
      <w:r w:rsidRPr="0054529F">
        <w:rPr>
          <w:sz w:val="24"/>
          <w:szCs w:val="24"/>
        </w:rPr>
        <w:t xml:space="preserve"> 1A2, 2C8, 2C9, 2C19, 2D6, 2E1 og 3A4. Disse resultater antyder, at det er usandsynligt, at </w:t>
      </w:r>
      <w:proofErr w:type="spellStart"/>
      <w:r w:rsidRPr="0054529F">
        <w:rPr>
          <w:sz w:val="24"/>
          <w:szCs w:val="24"/>
        </w:rPr>
        <w:t>olopatadin</w:t>
      </w:r>
      <w:proofErr w:type="spellEnd"/>
      <w:r w:rsidRPr="0054529F">
        <w:rPr>
          <w:sz w:val="24"/>
          <w:szCs w:val="24"/>
        </w:rPr>
        <w:t xml:space="preserve"> er årsag til metaboliske interaktioner med andre samtidigt administrerede aktive substanser.</w:t>
      </w:r>
    </w:p>
    <w:p w14:paraId="065A045E" w14:textId="77777777" w:rsidR="009260DE" w:rsidRPr="00043A0F" w:rsidRDefault="009260DE" w:rsidP="009260DE">
      <w:pPr>
        <w:tabs>
          <w:tab w:val="left" w:pos="851"/>
        </w:tabs>
        <w:ind w:left="851"/>
        <w:rPr>
          <w:sz w:val="24"/>
          <w:szCs w:val="24"/>
        </w:rPr>
      </w:pPr>
    </w:p>
    <w:p w14:paraId="46664D82" w14:textId="77777777" w:rsidR="009260DE" w:rsidRPr="00043A0F" w:rsidRDefault="009260DE" w:rsidP="009260DE">
      <w:pPr>
        <w:tabs>
          <w:tab w:val="left" w:pos="851"/>
        </w:tabs>
        <w:ind w:left="851" w:hanging="851"/>
        <w:rPr>
          <w:b/>
          <w:sz w:val="24"/>
          <w:szCs w:val="24"/>
        </w:rPr>
      </w:pPr>
      <w:r w:rsidRPr="00043A0F">
        <w:rPr>
          <w:b/>
          <w:sz w:val="24"/>
          <w:szCs w:val="24"/>
        </w:rPr>
        <w:t>4.6</w:t>
      </w:r>
      <w:r w:rsidRPr="00043A0F">
        <w:rPr>
          <w:b/>
          <w:sz w:val="24"/>
          <w:szCs w:val="24"/>
        </w:rPr>
        <w:tab/>
      </w:r>
      <w:r w:rsidR="0071241E" w:rsidRPr="00043A0F">
        <w:rPr>
          <w:b/>
          <w:sz w:val="24"/>
          <w:szCs w:val="24"/>
        </w:rPr>
        <w:t>Fertilitet, g</w:t>
      </w:r>
      <w:r w:rsidRPr="00043A0F">
        <w:rPr>
          <w:b/>
          <w:sz w:val="24"/>
          <w:szCs w:val="24"/>
        </w:rPr>
        <w:t>raviditet og amning</w:t>
      </w:r>
    </w:p>
    <w:p w14:paraId="2211E0D8" w14:textId="77777777" w:rsidR="00043A0F" w:rsidRDefault="00043A0F" w:rsidP="009A06C9">
      <w:pPr>
        <w:ind w:left="851"/>
        <w:rPr>
          <w:sz w:val="24"/>
          <w:szCs w:val="24"/>
          <w:u w:val="single"/>
        </w:rPr>
      </w:pPr>
    </w:p>
    <w:p w14:paraId="74DD6127" w14:textId="7D72396C" w:rsidR="0054529F" w:rsidRPr="0054529F" w:rsidRDefault="0054529F" w:rsidP="009A06C9">
      <w:pPr>
        <w:ind w:left="851"/>
        <w:rPr>
          <w:sz w:val="24"/>
          <w:szCs w:val="24"/>
          <w:u w:val="single"/>
        </w:rPr>
      </w:pPr>
      <w:r w:rsidRPr="0054529F">
        <w:rPr>
          <w:sz w:val="24"/>
          <w:szCs w:val="24"/>
          <w:u w:val="single"/>
        </w:rPr>
        <w:t>Graviditet</w:t>
      </w:r>
    </w:p>
    <w:p w14:paraId="6BE50C14" w14:textId="77777777" w:rsidR="0054529F" w:rsidRPr="0054529F" w:rsidRDefault="0054529F" w:rsidP="009A06C9">
      <w:pPr>
        <w:ind w:left="851"/>
        <w:rPr>
          <w:sz w:val="24"/>
          <w:szCs w:val="24"/>
        </w:rPr>
      </w:pPr>
      <w:r w:rsidRPr="0054529F">
        <w:rPr>
          <w:sz w:val="24"/>
          <w:szCs w:val="24"/>
        </w:rPr>
        <w:t xml:space="preserve">Der er ingen eller utilstrækkelige data fra anvendelse af </w:t>
      </w:r>
      <w:proofErr w:type="spellStart"/>
      <w:r w:rsidRPr="0054529F">
        <w:rPr>
          <w:sz w:val="24"/>
          <w:szCs w:val="24"/>
        </w:rPr>
        <w:t>oftalmisk</w:t>
      </w:r>
      <w:proofErr w:type="spellEnd"/>
      <w:r w:rsidRPr="0054529F">
        <w:rPr>
          <w:sz w:val="24"/>
          <w:szCs w:val="24"/>
        </w:rPr>
        <w:t xml:space="preserve"> </w:t>
      </w:r>
      <w:proofErr w:type="spellStart"/>
      <w:r w:rsidRPr="0054529F">
        <w:rPr>
          <w:sz w:val="24"/>
          <w:szCs w:val="24"/>
        </w:rPr>
        <w:t>olopatadin</w:t>
      </w:r>
      <w:proofErr w:type="spellEnd"/>
      <w:r w:rsidRPr="0054529F">
        <w:rPr>
          <w:sz w:val="24"/>
          <w:szCs w:val="24"/>
        </w:rPr>
        <w:t xml:space="preserve"> til gravide kvinder.</w:t>
      </w:r>
    </w:p>
    <w:p w14:paraId="4D0D3F4B" w14:textId="77777777" w:rsidR="0054529F" w:rsidRPr="0054529F" w:rsidRDefault="0054529F" w:rsidP="009A06C9">
      <w:pPr>
        <w:ind w:left="851"/>
        <w:rPr>
          <w:sz w:val="24"/>
          <w:szCs w:val="24"/>
        </w:rPr>
      </w:pPr>
    </w:p>
    <w:p w14:paraId="10420CF8" w14:textId="77777777" w:rsidR="0054529F" w:rsidRPr="0054529F" w:rsidRDefault="0054529F" w:rsidP="009A06C9">
      <w:pPr>
        <w:ind w:left="851"/>
        <w:rPr>
          <w:sz w:val="24"/>
          <w:szCs w:val="24"/>
        </w:rPr>
      </w:pPr>
      <w:proofErr w:type="spellStart"/>
      <w:r w:rsidRPr="0054529F">
        <w:rPr>
          <w:sz w:val="24"/>
          <w:szCs w:val="24"/>
        </w:rPr>
        <w:t>Olopatadin</w:t>
      </w:r>
      <w:proofErr w:type="spellEnd"/>
      <w:r w:rsidRPr="0054529F">
        <w:rPr>
          <w:sz w:val="24"/>
          <w:szCs w:val="24"/>
        </w:rPr>
        <w:t xml:space="preserve"> frarådes under graviditet og til kvinder i den fertile alder, der ikke anvender præventionsmidler.</w:t>
      </w:r>
    </w:p>
    <w:p w14:paraId="50F84F13" w14:textId="77777777" w:rsidR="0054529F" w:rsidRPr="0054529F" w:rsidRDefault="0054529F" w:rsidP="009A06C9">
      <w:pPr>
        <w:ind w:left="851"/>
        <w:rPr>
          <w:sz w:val="24"/>
          <w:szCs w:val="24"/>
        </w:rPr>
      </w:pPr>
    </w:p>
    <w:p w14:paraId="60FE6298" w14:textId="77777777" w:rsidR="0054529F" w:rsidRPr="0054529F" w:rsidRDefault="0054529F" w:rsidP="009A06C9">
      <w:pPr>
        <w:ind w:left="851"/>
        <w:rPr>
          <w:sz w:val="24"/>
          <w:szCs w:val="24"/>
          <w:u w:val="single"/>
        </w:rPr>
      </w:pPr>
      <w:r w:rsidRPr="0054529F">
        <w:rPr>
          <w:sz w:val="24"/>
          <w:szCs w:val="24"/>
          <w:u w:val="single"/>
        </w:rPr>
        <w:t>Amning</w:t>
      </w:r>
    </w:p>
    <w:p w14:paraId="1A194121" w14:textId="77777777" w:rsidR="0054529F" w:rsidRPr="0054529F" w:rsidRDefault="0054529F" w:rsidP="009A06C9">
      <w:pPr>
        <w:ind w:left="851"/>
        <w:rPr>
          <w:sz w:val="24"/>
          <w:szCs w:val="24"/>
        </w:rPr>
      </w:pPr>
      <w:r w:rsidRPr="0054529F">
        <w:rPr>
          <w:sz w:val="24"/>
          <w:szCs w:val="24"/>
        </w:rPr>
        <w:t xml:space="preserve">De tilgængelige data fra dyrestudier viser, at </w:t>
      </w:r>
      <w:proofErr w:type="spellStart"/>
      <w:r w:rsidRPr="0054529F">
        <w:rPr>
          <w:sz w:val="24"/>
          <w:szCs w:val="24"/>
        </w:rPr>
        <w:t>olopatadin</w:t>
      </w:r>
      <w:proofErr w:type="spellEnd"/>
      <w:r w:rsidRPr="0054529F">
        <w:rPr>
          <w:sz w:val="24"/>
          <w:szCs w:val="24"/>
        </w:rPr>
        <w:t xml:space="preserve"> udskilles i mælk efter oral administration (se pkt. 5.3 for detaljer).</w:t>
      </w:r>
    </w:p>
    <w:p w14:paraId="55E455A5" w14:textId="77777777" w:rsidR="0054529F" w:rsidRPr="0054529F" w:rsidRDefault="0054529F" w:rsidP="009A06C9">
      <w:pPr>
        <w:ind w:left="851"/>
        <w:rPr>
          <w:sz w:val="24"/>
          <w:szCs w:val="24"/>
        </w:rPr>
      </w:pPr>
    </w:p>
    <w:p w14:paraId="33B67FCC" w14:textId="77777777" w:rsidR="0054529F" w:rsidRPr="0054529F" w:rsidRDefault="0054529F" w:rsidP="009A06C9">
      <w:pPr>
        <w:ind w:left="851"/>
        <w:rPr>
          <w:sz w:val="24"/>
          <w:szCs w:val="24"/>
        </w:rPr>
      </w:pPr>
      <w:r w:rsidRPr="0054529F">
        <w:rPr>
          <w:sz w:val="24"/>
          <w:szCs w:val="24"/>
        </w:rPr>
        <w:t xml:space="preserve">En risiko for nyfødte/spædbørn kan ikke udelukkes. </w:t>
      </w:r>
      <w:proofErr w:type="spellStart"/>
      <w:r w:rsidRPr="0054529F">
        <w:rPr>
          <w:sz w:val="24"/>
          <w:szCs w:val="24"/>
        </w:rPr>
        <w:t>Olpalan</w:t>
      </w:r>
      <w:proofErr w:type="spellEnd"/>
      <w:r w:rsidRPr="0054529F">
        <w:rPr>
          <w:sz w:val="24"/>
          <w:szCs w:val="24"/>
        </w:rPr>
        <w:t xml:space="preserve"> må ikke anvendes under amning.</w:t>
      </w:r>
    </w:p>
    <w:p w14:paraId="7B517B50" w14:textId="77777777" w:rsidR="0054529F" w:rsidRPr="0054529F" w:rsidRDefault="0054529F" w:rsidP="009A06C9">
      <w:pPr>
        <w:ind w:left="851"/>
        <w:rPr>
          <w:sz w:val="24"/>
          <w:szCs w:val="24"/>
        </w:rPr>
      </w:pPr>
    </w:p>
    <w:p w14:paraId="7FF4B3D4" w14:textId="77777777" w:rsidR="0054529F" w:rsidRPr="0054529F" w:rsidRDefault="0054529F" w:rsidP="009A06C9">
      <w:pPr>
        <w:ind w:left="851"/>
        <w:rPr>
          <w:sz w:val="24"/>
          <w:szCs w:val="24"/>
          <w:u w:val="single"/>
        </w:rPr>
      </w:pPr>
      <w:r w:rsidRPr="0054529F">
        <w:rPr>
          <w:sz w:val="24"/>
          <w:szCs w:val="24"/>
          <w:u w:val="single"/>
        </w:rPr>
        <w:t>Fertilitet</w:t>
      </w:r>
    </w:p>
    <w:p w14:paraId="69A3D150" w14:textId="77777777" w:rsidR="0054529F" w:rsidRPr="0054529F" w:rsidRDefault="0054529F" w:rsidP="009A06C9">
      <w:pPr>
        <w:ind w:left="851"/>
        <w:rPr>
          <w:sz w:val="24"/>
          <w:szCs w:val="24"/>
        </w:rPr>
      </w:pPr>
      <w:r w:rsidRPr="0054529F">
        <w:rPr>
          <w:sz w:val="24"/>
          <w:szCs w:val="24"/>
        </w:rPr>
        <w:t>Dyrestudier har vist reproduktionstoksicitet efter systemisk administration (se pkt. 5.3).</w:t>
      </w:r>
    </w:p>
    <w:p w14:paraId="4CA1C94C" w14:textId="77777777" w:rsidR="0054529F" w:rsidRPr="0054529F" w:rsidRDefault="0054529F" w:rsidP="009A06C9">
      <w:pPr>
        <w:ind w:left="851"/>
        <w:rPr>
          <w:sz w:val="24"/>
          <w:szCs w:val="24"/>
        </w:rPr>
      </w:pPr>
    </w:p>
    <w:p w14:paraId="75B43D47" w14:textId="77777777" w:rsidR="0054529F" w:rsidRPr="0054529F" w:rsidRDefault="0054529F" w:rsidP="009A06C9">
      <w:pPr>
        <w:ind w:left="851"/>
        <w:rPr>
          <w:sz w:val="24"/>
          <w:szCs w:val="24"/>
        </w:rPr>
      </w:pPr>
      <w:r w:rsidRPr="0054529F">
        <w:rPr>
          <w:sz w:val="24"/>
          <w:szCs w:val="24"/>
        </w:rPr>
        <w:t xml:space="preserve">Der er ikke udført studier for at evaluere indvirkningen på human fertilitet efter </w:t>
      </w:r>
      <w:proofErr w:type="spellStart"/>
      <w:r w:rsidRPr="0054529F">
        <w:rPr>
          <w:sz w:val="24"/>
          <w:szCs w:val="24"/>
        </w:rPr>
        <w:t>topical</w:t>
      </w:r>
      <w:proofErr w:type="spellEnd"/>
      <w:r w:rsidRPr="0054529F">
        <w:rPr>
          <w:sz w:val="24"/>
          <w:szCs w:val="24"/>
        </w:rPr>
        <w:t xml:space="preserve"> </w:t>
      </w:r>
      <w:proofErr w:type="spellStart"/>
      <w:r w:rsidRPr="0054529F">
        <w:rPr>
          <w:sz w:val="24"/>
          <w:szCs w:val="24"/>
        </w:rPr>
        <w:t>okulær</w:t>
      </w:r>
      <w:proofErr w:type="spellEnd"/>
      <w:r w:rsidRPr="0054529F">
        <w:rPr>
          <w:sz w:val="24"/>
          <w:szCs w:val="24"/>
        </w:rPr>
        <w:t xml:space="preserve"> administration af </w:t>
      </w:r>
      <w:proofErr w:type="spellStart"/>
      <w:r w:rsidRPr="0054529F">
        <w:rPr>
          <w:sz w:val="24"/>
          <w:szCs w:val="24"/>
        </w:rPr>
        <w:t>olopatadin</w:t>
      </w:r>
      <w:proofErr w:type="spellEnd"/>
      <w:r w:rsidRPr="0054529F">
        <w:rPr>
          <w:sz w:val="24"/>
          <w:szCs w:val="24"/>
        </w:rPr>
        <w:t>.</w:t>
      </w:r>
    </w:p>
    <w:p w14:paraId="0449C053" w14:textId="77777777" w:rsidR="009260DE" w:rsidRPr="00043A0F" w:rsidRDefault="009260DE" w:rsidP="009260DE">
      <w:pPr>
        <w:tabs>
          <w:tab w:val="left" w:pos="851"/>
        </w:tabs>
        <w:ind w:left="851"/>
        <w:rPr>
          <w:sz w:val="24"/>
          <w:szCs w:val="24"/>
        </w:rPr>
      </w:pPr>
    </w:p>
    <w:p w14:paraId="1C63DAB7" w14:textId="77777777" w:rsidR="009260DE" w:rsidRPr="00043A0F" w:rsidRDefault="009260DE" w:rsidP="009260DE">
      <w:pPr>
        <w:tabs>
          <w:tab w:val="left" w:pos="851"/>
        </w:tabs>
        <w:ind w:left="851" w:hanging="851"/>
        <w:rPr>
          <w:b/>
          <w:sz w:val="24"/>
          <w:szCs w:val="24"/>
        </w:rPr>
      </w:pPr>
      <w:r w:rsidRPr="00043A0F">
        <w:rPr>
          <w:b/>
          <w:sz w:val="24"/>
          <w:szCs w:val="24"/>
        </w:rPr>
        <w:t>4.7</w:t>
      </w:r>
      <w:r w:rsidRPr="00043A0F">
        <w:rPr>
          <w:b/>
          <w:sz w:val="24"/>
          <w:szCs w:val="24"/>
        </w:rPr>
        <w:tab/>
        <w:t xml:space="preserve">Virkning på evnen til at føre motorkøretøj </w:t>
      </w:r>
      <w:r w:rsidR="0071241E" w:rsidRPr="00043A0F">
        <w:rPr>
          <w:b/>
          <w:sz w:val="24"/>
          <w:szCs w:val="24"/>
        </w:rPr>
        <w:t>og</w:t>
      </w:r>
      <w:r w:rsidRPr="00043A0F">
        <w:rPr>
          <w:b/>
          <w:sz w:val="24"/>
          <w:szCs w:val="24"/>
        </w:rPr>
        <w:t xml:space="preserve"> betjene maskiner</w:t>
      </w:r>
    </w:p>
    <w:p w14:paraId="04696476" w14:textId="77777777" w:rsidR="0054529F" w:rsidRPr="0054529F" w:rsidRDefault="0054529F" w:rsidP="009A06C9">
      <w:pPr>
        <w:ind w:left="851"/>
        <w:rPr>
          <w:sz w:val="24"/>
          <w:szCs w:val="24"/>
        </w:rPr>
      </w:pPr>
      <w:r w:rsidRPr="0054529F">
        <w:rPr>
          <w:sz w:val="24"/>
          <w:szCs w:val="24"/>
        </w:rPr>
        <w:t>Ikke mærkning.</w:t>
      </w:r>
    </w:p>
    <w:p w14:paraId="5A3FA2A3" w14:textId="77777777" w:rsidR="0054529F" w:rsidRPr="0054529F" w:rsidRDefault="0054529F" w:rsidP="009A06C9">
      <w:pPr>
        <w:ind w:left="851"/>
        <w:rPr>
          <w:sz w:val="24"/>
          <w:szCs w:val="24"/>
        </w:rPr>
      </w:pPr>
      <w:proofErr w:type="spellStart"/>
      <w:r w:rsidRPr="0054529F">
        <w:rPr>
          <w:sz w:val="24"/>
          <w:szCs w:val="24"/>
        </w:rPr>
        <w:t>Olpalan</w:t>
      </w:r>
      <w:proofErr w:type="spellEnd"/>
      <w:r w:rsidRPr="0054529F">
        <w:rPr>
          <w:sz w:val="24"/>
          <w:szCs w:val="24"/>
        </w:rPr>
        <w:t xml:space="preserve"> påvirker ikke eller kun i ubetydelig grad evnen til at føre motorkøretøj og betjene maskiner.</w:t>
      </w:r>
    </w:p>
    <w:p w14:paraId="564F21A7" w14:textId="77777777" w:rsidR="0054529F" w:rsidRPr="0054529F" w:rsidRDefault="0054529F" w:rsidP="009A06C9">
      <w:pPr>
        <w:ind w:left="851"/>
        <w:rPr>
          <w:sz w:val="24"/>
          <w:szCs w:val="24"/>
        </w:rPr>
      </w:pPr>
    </w:p>
    <w:p w14:paraId="34CAE6B9" w14:textId="77777777" w:rsidR="0054529F" w:rsidRPr="0054529F" w:rsidRDefault="0054529F" w:rsidP="009A06C9">
      <w:pPr>
        <w:ind w:left="851"/>
        <w:rPr>
          <w:sz w:val="24"/>
          <w:szCs w:val="24"/>
        </w:rPr>
      </w:pPr>
      <w:r w:rsidRPr="0054529F">
        <w:rPr>
          <w:sz w:val="24"/>
          <w:szCs w:val="24"/>
        </w:rPr>
        <w:t>Som ved enhver anden type øjendråber kan forbigående sløret syn eller andre synsforstyrrelser påvirke evnen til at føre motorkøretøj eller betjene maskiner. Hvis der forekommer sløret syn ved drypning, skal patienten vente, indtil synet bliver klart igen, før der kan føres motorkøretøj eller betjenes maskiner.</w:t>
      </w:r>
    </w:p>
    <w:p w14:paraId="16B3EA4C" w14:textId="77777777" w:rsidR="009260DE" w:rsidRPr="00043A0F" w:rsidRDefault="009260DE" w:rsidP="009260DE">
      <w:pPr>
        <w:tabs>
          <w:tab w:val="left" w:pos="851"/>
        </w:tabs>
        <w:ind w:left="851"/>
        <w:rPr>
          <w:sz w:val="24"/>
          <w:szCs w:val="24"/>
        </w:rPr>
      </w:pPr>
    </w:p>
    <w:p w14:paraId="0F302D9E" w14:textId="77777777" w:rsidR="009260DE" w:rsidRPr="00043A0F" w:rsidRDefault="009260DE" w:rsidP="009260DE">
      <w:pPr>
        <w:tabs>
          <w:tab w:val="left" w:pos="851"/>
        </w:tabs>
        <w:ind w:left="851" w:hanging="851"/>
        <w:rPr>
          <w:b/>
          <w:sz w:val="24"/>
          <w:szCs w:val="24"/>
        </w:rPr>
      </w:pPr>
      <w:r w:rsidRPr="00043A0F">
        <w:rPr>
          <w:b/>
          <w:sz w:val="24"/>
          <w:szCs w:val="24"/>
        </w:rPr>
        <w:t>4.8</w:t>
      </w:r>
      <w:r w:rsidRPr="00043A0F">
        <w:rPr>
          <w:b/>
          <w:sz w:val="24"/>
          <w:szCs w:val="24"/>
        </w:rPr>
        <w:tab/>
        <w:t>Bivirkninger</w:t>
      </w:r>
    </w:p>
    <w:p w14:paraId="3DE69DEE" w14:textId="77777777" w:rsidR="00043A0F" w:rsidRDefault="00043A0F" w:rsidP="009A06C9">
      <w:pPr>
        <w:ind w:left="851"/>
        <w:rPr>
          <w:sz w:val="24"/>
          <w:szCs w:val="24"/>
          <w:u w:val="single"/>
        </w:rPr>
      </w:pPr>
    </w:p>
    <w:p w14:paraId="2FFDF5D1" w14:textId="22EB74A5" w:rsidR="0054529F" w:rsidRPr="0054529F" w:rsidRDefault="0054529F" w:rsidP="009A06C9">
      <w:pPr>
        <w:ind w:left="851"/>
        <w:rPr>
          <w:sz w:val="24"/>
          <w:szCs w:val="24"/>
          <w:u w:val="single"/>
        </w:rPr>
      </w:pPr>
      <w:r w:rsidRPr="0054529F">
        <w:rPr>
          <w:sz w:val="24"/>
          <w:szCs w:val="24"/>
          <w:u w:val="single"/>
        </w:rPr>
        <w:t>Oversigt over sikkerhedsprofilen</w:t>
      </w:r>
    </w:p>
    <w:p w14:paraId="3CCC3070" w14:textId="77777777" w:rsidR="0054529F" w:rsidRPr="0054529F" w:rsidRDefault="0054529F" w:rsidP="009A06C9">
      <w:pPr>
        <w:ind w:left="851"/>
        <w:rPr>
          <w:sz w:val="24"/>
          <w:szCs w:val="24"/>
        </w:rPr>
      </w:pPr>
      <w:r w:rsidRPr="0054529F">
        <w:rPr>
          <w:sz w:val="24"/>
          <w:szCs w:val="24"/>
        </w:rPr>
        <w:t xml:space="preserve">I kliniske studier med 1680 patienter blev </w:t>
      </w:r>
      <w:proofErr w:type="spellStart"/>
      <w:r w:rsidRPr="0054529F">
        <w:rPr>
          <w:sz w:val="24"/>
          <w:szCs w:val="24"/>
        </w:rPr>
        <w:t>olopatadin</w:t>
      </w:r>
      <w:proofErr w:type="spellEnd"/>
      <w:r w:rsidRPr="0054529F">
        <w:rPr>
          <w:sz w:val="24"/>
          <w:szCs w:val="24"/>
        </w:rPr>
        <w:t xml:space="preserve"> administreret fra 1 til 4 gange dagligt i begge øjne i op til 4 måneder som monoterapi eller som supplerende terapi til 10 mg </w:t>
      </w:r>
      <w:proofErr w:type="spellStart"/>
      <w:r w:rsidRPr="0054529F">
        <w:rPr>
          <w:sz w:val="24"/>
          <w:szCs w:val="24"/>
        </w:rPr>
        <w:t>loratadin</w:t>
      </w:r>
      <w:proofErr w:type="spellEnd"/>
      <w:r w:rsidRPr="0054529F">
        <w:rPr>
          <w:sz w:val="24"/>
          <w:szCs w:val="24"/>
        </w:rPr>
        <w:t xml:space="preserve">. Ca. 4,5 % af patienterne kan forventes at opleve bivirkninger i forbindelse med brugen af </w:t>
      </w:r>
      <w:proofErr w:type="spellStart"/>
      <w:r w:rsidRPr="0054529F">
        <w:rPr>
          <w:sz w:val="24"/>
          <w:szCs w:val="24"/>
        </w:rPr>
        <w:t>olopatadin</w:t>
      </w:r>
      <w:proofErr w:type="spellEnd"/>
      <w:r w:rsidRPr="0054529F">
        <w:rPr>
          <w:sz w:val="24"/>
          <w:szCs w:val="24"/>
        </w:rPr>
        <w:t xml:space="preserve">. Det var dog kun 1,6 % af patienterne, som udgik af de kliniske studier som følge af disse bivirkninger. Ingen alvorlige oftalmologiske eller systemiske bivirkninger relateret til </w:t>
      </w:r>
      <w:proofErr w:type="spellStart"/>
      <w:r w:rsidRPr="0054529F">
        <w:rPr>
          <w:sz w:val="24"/>
          <w:szCs w:val="24"/>
        </w:rPr>
        <w:t>olopatadin</w:t>
      </w:r>
      <w:proofErr w:type="spellEnd"/>
      <w:r w:rsidRPr="0054529F">
        <w:rPr>
          <w:sz w:val="24"/>
          <w:szCs w:val="24"/>
        </w:rPr>
        <w:t xml:space="preserve"> er blevet rapporteret i kliniske studier. Den hyppigste </w:t>
      </w:r>
      <w:r w:rsidRPr="0054529F">
        <w:rPr>
          <w:sz w:val="24"/>
          <w:szCs w:val="24"/>
        </w:rPr>
        <w:lastRenderedPageBreak/>
        <w:t>behandlingsrelaterede bivirkning var øjensmerter, der blev rapporteret med en generel forekomst på 0,7 %.</w:t>
      </w:r>
    </w:p>
    <w:p w14:paraId="006B068B" w14:textId="77777777" w:rsidR="0054529F" w:rsidRPr="0054529F" w:rsidRDefault="0054529F" w:rsidP="009A06C9">
      <w:pPr>
        <w:ind w:left="851"/>
        <w:rPr>
          <w:sz w:val="24"/>
          <w:szCs w:val="24"/>
        </w:rPr>
      </w:pPr>
    </w:p>
    <w:p w14:paraId="24E6AB69" w14:textId="77777777" w:rsidR="0054529F" w:rsidRPr="0054529F" w:rsidRDefault="0054529F" w:rsidP="009A06C9">
      <w:pPr>
        <w:ind w:left="851"/>
        <w:rPr>
          <w:sz w:val="24"/>
          <w:szCs w:val="24"/>
          <w:u w:val="single"/>
        </w:rPr>
      </w:pPr>
      <w:r w:rsidRPr="0054529F">
        <w:rPr>
          <w:sz w:val="24"/>
          <w:szCs w:val="24"/>
          <w:u w:val="single"/>
        </w:rPr>
        <w:t>Tabel over bivirkninger</w:t>
      </w:r>
    </w:p>
    <w:p w14:paraId="0850FB4D" w14:textId="2EFCCCA1" w:rsidR="0054529F" w:rsidRPr="0054529F" w:rsidRDefault="0054529F" w:rsidP="009A06C9">
      <w:pPr>
        <w:ind w:left="851"/>
        <w:rPr>
          <w:sz w:val="24"/>
          <w:szCs w:val="24"/>
        </w:rPr>
      </w:pPr>
      <w:r w:rsidRPr="0054529F">
        <w:rPr>
          <w:sz w:val="24"/>
          <w:szCs w:val="24"/>
        </w:rPr>
        <w:t>Følgende bivirkninger blev rapporteret under kliniske studier eller i post-markedsføringsdata og er</w:t>
      </w:r>
      <w:r w:rsidR="00043A0F">
        <w:rPr>
          <w:sz w:val="24"/>
          <w:szCs w:val="24"/>
        </w:rPr>
        <w:t xml:space="preserve"> </w:t>
      </w:r>
      <w:r w:rsidRPr="0054529F">
        <w:rPr>
          <w:sz w:val="24"/>
          <w:szCs w:val="24"/>
        </w:rPr>
        <w:t>klassificeret i overensstemmelse med følgende konvention: Meget almindelig (≥1/10), almindelig (&gt;1/100 til &lt;1/10), ikke almindelig (&gt;1/1 000 til ≤1/100), sjælden (&gt;1/10 000 til ≤1/1 000), meget sjælden (≤1/10 000) eller ukendt (kan ikke estimeres ud fra forhåndenværende data). Inden for hver gruppe af bivirkninger med samme frekvens er bivirkningerne opstillet efter, hvor alvorlige de er. De alvorligste er anført først.</w:t>
      </w:r>
    </w:p>
    <w:p w14:paraId="25C560FC" w14:textId="77777777" w:rsidR="0054529F" w:rsidRPr="0054529F" w:rsidRDefault="0054529F" w:rsidP="009A06C9">
      <w:pPr>
        <w:ind w:left="851"/>
        <w:rPr>
          <w:sz w:val="24"/>
          <w:szCs w:val="24"/>
        </w:rPr>
      </w:pPr>
    </w:p>
    <w:tbl>
      <w:tblPr>
        <w:tblW w:w="5000" w:type="pct"/>
        <w:tblCellMar>
          <w:left w:w="5" w:type="dxa"/>
          <w:right w:w="5" w:type="dxa"/>
        </w:tblCellMar>
        <w:tblLook w:val="01E0" w:firstRow="1" w:lastRow="1" w:firstColumn="1" w:lastColumn="1" w:noHBand="0" w:noVBand="0"/>
      </w:tblPr>
      <w:tblGrid>
        <w:gridCol w:w="3362"/>
        <w:gridCol w:w="2049"/>
        <w:gridCol w:w="4217"/>
      </w:tblGrid>
      <w:tr w:rsidR="0054529F" w:rsidRPr="0054529F" w14:paraId="74D4B2A7" w14:textId="77777777" w:rsidTr="009A06C9">
        <w:trPr>
          <w:trHeight w:val="253"/>
        </w:trPr>
        <w:tc>
          <w:tcPr>
            <w:tcW w:w="1746" w:type="pct"/>
            <w:tcBorders>
              <w:top w:val="single" w:sz="4" w:space="0" w:color="000000"/>
              <w:left w:val="single" w:sz="4" w:space="0" w:color="000000"/>
              <w:bottom w:val="single" w:sz="4" w:space="0" w:color="000000"/>
              <w:right w:val="single" w:sz="4" w:space="0" w:color="000000"/>
            </w:tcBorders>
            <w:hideMark/>
          </w:tcPr>
          <w:p w14:paraId="7F9F50E4" w14:textId="77777777" w:rsidR="0054529F" w:rsidRPr="0054529F" w:rsidRDefault="0054529F" w:rsidP="009A06C9">
            <w:pPr>
              <w:ind w:left="127"/>
              <w:rPr>
                <w:b/>
                <w:sz w:val="24"/>
                <w:szCs w:val="24"/>
              </w:rPr>
            </w:pPr>
            <w:r w:rsidRPr="0054529F">
              <w:rPr>
                <w:b/>
                <w:sz w:val="24"/>
                <w:szCs w:val="24"/>
              </w:rPr>
              <w:t>Systemorganklasser</w:t>
            </w:r>
          </w:p>
        </w:tc>
        <w:tc>
          <w:tcPr>
            <w:tcW w:w="1064" w:type="pct"/>
            <w:tcBorders>
              <w:top w:val="single" w:sz="4" w:space="0" w:color="000000"/>
              <w:left w:val="single" w:sz="4" w:space="0" w:color="000000"/>
              <w:bottom w:val="single" w:sz="4" w:space="0" w:color="000000"/>
              <w:right w:val="single" w:sz="4" w:space="0" w:color="000000"/>
            </w:tcBorders>
            <w:hideMark/>
          </w:tcPr>
          <w:p w14:paraId="1DEF42D3" w14:textId="77777777" w:rsidR="0054529F" w:rsidRPr="0054529F" w:rsidRDefault="0054529F" w:rsidP="009A06C9">
            <w:pPr>
              <w:ind w:left="127"/>
              <w:rPr>
                <w:b/>
                <w:sz w:val="24"/>
                <w:szCs w:val="24"/>
              </w:rPr>
            </w:pPr>
            <w:r w:rsidRPr="0054529F">
              <w:rPr>
                <w:b/>
                <w:sz w:val="24"/>
                <w:szCs w:val="24"/>
              </w:rPr>
              <w:t>Hyppighed</w:t>
            </w:r>
          </w:p>
        </w:tc>
        <w:tc>
          <w:tcPr>
            <w:tcW w:w="2190" w:type="pct"/>
            <w:tcBorders>
              <w:top w:val="single" w:sz="4" w:space="0" w:color="000000"/>
              <w:left w:val="single" w:sz="4" w:space="0" w:color="000000"/>
              <w:bottom w:val="single" w:sz="4" w:space="0" w:color="000000"/>
              <w:right w:val="single" w:sz="4" w:space="0" w:color="000000"/>
            </w:tcBorders>
            <w:hideMark/>
          </w:tcPr>
          <w:p w14:paraId="7EE36633" w14:textId="77777777" w:rsidR="0054529F" w:rsidRPr="0054529F" w:rsidRDefault="0054529F" w:rsidP="009A06C9">
            <w:pPr>
              <w:ind w:left="127"/>
              <w:rPr>
                <w:b/>
                <w:sz w:val="24"/>
                <w:szCs w:val="24"/>
              </w:rPr>
            </w:pPr>
            <w:r w:rsidRPr="0054529F">
              <w:rPr>
                <w:b/>
                <w:sz w:val="24"/>
                <w:szCs w:val="24"/>
              </w:rPr>
              <w:t>Bivirkninger</w:t>
            </w:r>
          </w:p>
        </w:tc>
      </w:tr>
      <w:tr w:rsidR="0054529F" w:rsidRPr="0054529F" w14:paraId="4101A94B" w14:textId="77777777" w:rsidTr="00043A0F">
        <w:trPr>
          <w:trHeight w:val="506"/>
        </w:trPr>
        <w:tc>
          <w:tcPr>
            <w:tcW w:w="1746" w:type="pct"/>
            <w:tcBorders>
              <w:top w:val="single" w:sz="4" w:space="0" w:color="000000"/>
              <w:left w:val="single" w:sz="4" w:space="0" w:color="000000"/>
              <w:bottom w:val="single" w:sz="4" w:space="0" w:color="000000"/>
              <w:right w:val="single" w:sz="4" w:space="0" w:color="000000"/>
            </w:tcBorders>
            <w:vAlign w:val="center"/>
            <w:hideMark/>
          </w:tcPr>
          <w:p w14:paraId="1ED6A1E3" w14:textId="77777777" w:rsidR="0054529F" w:rsidRPr="0054529F" w:rsidRDefault="0054529F" w:rsidP="009A06C9">
            <w:pPr>
              <w:ind w:left="127"/>
              <w:rPr>
                <w:sz w:val="24"/>
                <w:szCs w:val="24"/>
              </w:rPr>
            </w:pPr>
            <w:r w:rsidRPr="0054529F">
              <w:rPr>
                <w:sz w:val="24"/>
                <w:szCs w:val="24"/>
              </w:rPr>
              <w:t>Infektioner og parasitære sygdomme</w:t>
            </w:r>
          </w:p>
        </w:tc>
        <w:tc>
          <w:tcPr>
            <w:tcW w:w="1064" w:type="pct"/>
            <w:tcBorders>
              <w:top w:val="single" w:sz="4" w:space="0" w:color="000000"/>
              <w:left w:val="single" w:sz="4" w:space="0" w:color="000000"/>
              <w:bottom w:val="single" w:sz="4" w:space="0" w:color="000000"/>
              <w:right w:val="single" w:sz="4" w:space="0" w:color="000000"/>
            </w:tcBorders>
            <w:hideMark/>
          </w:tcPr>
          <w:p w14:paraId="2B0D46A0" w14:textId="77777777" w:rsidR="0054529F" w:rsidRPr="0054529F" w:rsidRDefault="0054529F" w:rsidP="009A06C9">
            <w:pPr>
              <w:ind w:left="127"/>
              <w:rPr>
                <w:sz w:val="24"/>
                <w:szCs w:val="24"/>
              </w:rPr>
            </w:pPr>
            <w:r w:rsidRPr="0054529F">
              <w:rPr>
                <w:sz w:val="24"/>
                <w:szCs w:val="24"/>
              </w:rPr>
              <w:t>Ikke almindelig</w:t>
            </w:r>
          </w:p>
        </w:tc>
        <w:tc>
          <w:tcPr>
            <w:tcW w:w="2190" w:type="pct"/>
            <w:tcBorders>
              <w:top w:val="single" w:sz="4" w:space="0" w:color="000000"/>
              <w:left w:val="single" w:sz="4" w:space="0" w:color="000000"/>
              <w:bottom w:val="single" w:sz="4" w:space="0" w:color="000000"/>
              <w:right w:val="single" w:sz="4" w:space="0" w:color="000000"/>
            </w:tcBorders>
            <w:hideMark/>
          </w:tcPr>
          <w:p w14:paraId="375B34B4" w14:textId="77777777" w:rsidR="0054529F" w:rsidRPr="0054529F" w:rsidRDefault="0054529F" w:rsidP="009A06C9">
            <w:pPr>
              <w:ind w:left="127"/>
              <w:rPr>
                <w:sz w:val="24"/>
                <w:szCs w:val="24"/>
              </w:rPr>
            </w:pPr>
            <w:proofErr w:type="spellStart"/>
            <w:r w:rsidRPr="0054529F">
              <w:rPr>
                <w:sz w:val="24"/>
                <w:szCs w:val="24"/>
              </w:rPr>
              <w:t>Rhinitis</w:t>
            </w:r>
            <w:proofErr w:type="spellEnd"/>
          </w:p>
        </w:tc>
      </w:tr>
      <w:tr w:rsidR="0054529F" w:rsidRPr="0054529F" w14:paraId="2795B7EC" w14:textId="77777777" w:rsidTr="00043A0F">
        <w:trPr>
          <w:trHeight w:val="755"/>
        </w:trPr>
        <w:tc>
          <w:tcPr>
            <w:tcW w:w="1746" w:type="pct"/>
            <w:tcBorders>
              <w:top w:val="single" w:sz="4" w:space="0" w:color="000000"/>
              <w:left w:val="single" w:sz="4" w:space="0" w:color="000000"/>
              <w:bottom w:val="single" w:sz="4" w:space="0" w:color="000000"/>
              <w:right w:val="single" w:sz="4" w:space="0" w:color="000000"/>
            </w:tcBorders>
            <w:vAlign w:val="center"/>
            <w:hideMark/>
          </w:tcPr>
          <w:p w14:paraId="77C87C28" w14:textId="77777777" w:rsidR="0054529F" w:rsidRPr="0054529F" w:rsidRDefault="0054529F" w:rsidP="009A06C9">
            <w:pPr>
              <w:ind w:left="127"/>
              <w:rPr>
                <w:sz w:val="24"/>
                <w:szCs w:val="24"/>
              </w:rPr>
            </w:pPr>
            <w:r w:rsidRPr="0054529F">
              <w:rPr>
                <w:sz w:val="24"/>
                <w:szCs w:val="24"/>
              </w:rPr>
              <w:t>Immunsystemet</w:t>
            </w:r>
          </w:p>
        </w:tc>
        <w:tc>
          <w:tcPr>
            <w:tcW w:w="1064" w:type="pct"/>
            <w:tcBorders>
              <w:top w:val="single" w:sz="4" w:space="0" w:color="000000"/>
              <w:left w:val="single" w:sz="4" w:space="0" w:color="000000"/>
              <w:bottom w:val="single" w:sz="4" w:space="0" w:color="000000"/>
              <w:right w:val="single" w:sz="4" w:space="0" w:color="000000"/>
            </w:tcBorders>
            <w:hideMark/>
          </w:tcPr>
          <w:p w14:paraId="568AA21D" w14:textId="2BDF92AD" w:rsidR="0054529F" w:rsidRPr="0054529F" w:rsidRDefault="0054529F" w:rsidP="00043A0F">
            <w:pPr>
              <w:ind w:left="127"/>
              <w:rPr>
                <w:sz w:val="24"/>
                <w:szCs w:val="24"/>
              </w:rPr>
            </w:pPr>
            <w:r w:rsidRPr="0054529F">
              <w:rPr>
                <w:sz w:val="24"/>
                <w:szCs w:val="24"/>
              </w:rPr>
              <w:t>Bivirkninger, hvor</w:t>
            </w:r>
            <w:r w:rsidR="00043A0F">
              <w:rPr>
                <w:sz w:val="24"/>
                <w:szCs w:val="24"/>
              </w:rPr>
              <w:t xml:space="preserve"> </w:t>
            </w:r>
            <w:r w:rsidRPr="0054529F">
              <w:rPr>
                <w:sz w:val="24"/>
                <w:szCs w:val="24"/>
              </w:rPr>
              <w:t>hyppigheden ikke er kendt</w:t>
            </w:r>
          </w:p>
        </w:tc>
        <w:tc>
          <w:tcPr>
            <w:tcW w:w="2190" w:type="pct"/>
            <w:tcBorders>
              <w:top w:val="single" w:sz="4" w:space="0" w:color="000000"/>
              <w:left w:val="single" w:sz="4" w:space="0" w:color="000000"/>
              <w:bottom w:val="single" w:sz="4" w:space="0" w:color="000000"/>
              <w:right w:val="single" w:sz="4" w:space="0" w:color="000000"/>
            </w:tcBorders>
            <w:hideMark/>
          </w:tcPr>
          <w:p w14:paraId="1F7A081B" w14:textId="77777777" w:rsidR="0054529F" w:rsidRPr="0054529F" w:rsidRDefault="0054529F" w:rsidP="009A06C9">
            <w:pPr>
              <w:ind w:left="127"/>
              <w:rPr>
                <w:sz w:val="24"/>
                <w:szCs w:val="24"/>
              </w:rPr>
            </w:pPr>
            <w:r w:rsidRPr="0054529F">
              <w:rPr>
                <w:sz w:val="24"/>
                <w:szCs w:val="24"/>
              </w:rPr>
              <w:t>Overfølsomhed</w:t>
            </w:r>
            <w:r w:rsidRPr="0054529F">
              <w:rPr>
                <w:sz w:val="24"/>
                <w:szCs w:val="24"/>
              </w:rPr>
              <w:br/>
              <w:t>Hævelser i ansigtet</w:t>
            </w:r>
          </w:p>
        </w:tc>
      </w:tr>
      <w:tr w:rsidR="0054529F" w:rsidRPr="0054529F" w14:paraId="34EE6266" w14:textId="77777777" w:rsidTr="00043A0F">
        <w:trPr>
          <w:trHeight w:val="254"/>
        </w:trPr>
        <w:tc>
          <w:tcPr>
            <w:tcW w:w="1746" w:type="pct"/>
            <w:vMerge w:val="restart"/>
            <w:tcBorders>
              <w:top w:val="single" w:sz="4" w:space="0" w:color="000000"/>
              <w:left w:val="single" w:sz="4" w:space="0" w:color="000000"/>
              <w:bottom w:val="single" w:sz="4" w:space="0" w:color="000000"/>
              <w:right w:val="single" w:sz="4" w:space="0" w:color="000000"/>
            </w:tcBorders>
            <w:vAlign w:val="center"/>
          </w:tcPr>
          <w:p w14:paraId="3023150B" w14:textId="77777777" w:rsidR="0054529F" w:rsidRPr="0054529F" w:rsidRDefault="0054529F" w:rsidP="009A06C9">
            <w:pPr>
              <w:ind w:left="127"/>
              <w:rPr>
                <w:sz w:val="24"/>
                <w:szCs w:val="24"/>
              </w:rPr>
            </w:pPr>
            <w:r w:rsidRPr="0054529F">
              <w:rPr>
                <w:sz w:val="24"/>
                <w:szCs w:val="24"/>
              </w:rPr>
              <w:t>Nervesystemet</w:t>
            </w:r>
          </w:p>
        </w:tc>
        <w:tc>
          <w:tcPr>
            <w:tcW w:w="1064" w:type="pct"/>
            <w:tcBorders>
              <w:top w:val="single" w:sz="4" w:space="0" w:color="000000"/>
              <w:left w:val="single" w:sz="4" w:space="0" w:color="000000"/>
              <w:bottom w:val="single" w:sz="4" w:space="0" w:color="000000"/>
              <w:right w:val="single" w:sz="4" w:space="0" w:color="000000"/>
            </w:tcBorders>
            <w:hideMark/>
          </w:tcPr>
          <w:p w14:paraId="4CEB0436" w14:textId="77777777" w:rsidR="0054529F" w:rsidRPr="0054529F" w:rsidRDefault="0054529F" w:rsidP="009A06C9">
            <w:pPr>
              <w:ind w:left="127"/>
              <w:rPr>
                <w:sz w:val="24"/>
                <w:szCs w:val="24"/>
              </w:rPr>
            </w:pPr>
            <w:r w:rsidRPr="0054529F">
              <w:rPr>
                <w:sz w:val="24"/>
                <w:szCs w:val="24"/>
              </w:rPr>
              <w:t>Almindelige</w:t>
            </w:r>
          </w:p>
        </w:tc>
        <w:tc>
          <w:tcPr>
            <w:tcW w:w="2190" w:type="pct"/>
            <w:tcBorders>
              <w:top w:val="single" w:sz="4" w:space="0" w:color="000000"/>
              <w:left w:val="single" w:sz="4" w:space="0" w:color="000000"/>
              <w:bottom w:val="single" w:sz="4" w:space="0" w:color="000000"/>
              <w:right w:val="single" w:sz="4" w:space="0" w:color="000000"/>
            </w:tcBorders>
            <w:hideMark/>
          </w:tcPr>
          <w:p w14:paraId="6F0D74D0" w14:textId="77777777" w:rsidR="0054529F" w:rsidRPr="0054529F" w:rsidRDefault="0054529F" w:rsidP="009A06C9">
            <w:pPr>
              <w:ind w:left="127"/>
              <w:rPr>
                <w:sz w:val="24"/>
                <w:szCs w:val="24"/>
              </w:rPr>
            </w:pPr>
            <w:r w:rsidRPr="0054529F">
              <w:rPr>
                <w:sz w:val="24"/>
                <w:szCs w:val="24"/>
              </w:rPr>
              <w:t>Hovedpine</w:t>
            </w:r>
          </w:p>
          <w:p w14:paraId="724750A9" w14:textId="77777777" w:rsidR="0054529F" w:rsidRPr="0054529F" w:rsidRDefault="0054529F" w:rsidP="009A06C9">
            <w:pPr>
              <w:ind w:left="127"/>
              <w:rPr>
                <w:sz w:val="24"/>
                <w:szCs w:val="24"/>
              </w:rPr>
            </w:pPr>
            <w:proofErr w:type="spellStart"/>
            <w:r w:rsidRPr="0054529F">
              <w:rPr>
                <w:sz w:val="24"/>
                <w:szCs w:val="24"/>
              </w:rPr>
              <w:t>Dysgeusi</w:t>
            </w:r>
            <w:proofErr w:type="spellEnd"/>
          </w:p>
        </w:tc>
      </w:tr>
      <w:tr w:rsidR="0054529F" w:rsidRPr="0054529F" w14:paraId="7A6D2E83" w14:textId="77777777" w:rsidTr="00043A0F">
        <w:trPr>
          <w:trHeight w:val="253"/>
        </w:trPr>
        <w:tc>
          <w:tcPr>
            <w:tcW w:w="1746" w:type="pct"/>
            <w:vMerge/>
            <w:tcBorders>
              <w:top w:val="single" w:sz="4" w:space="0" w:color="000000"/>
              <w:left w:val="single" w:sz="4" w:space="0" w:color="000000"/>
              <w:bottom w:val="single" w:sz="4" w:space="0" w:color="000000"/>
              <w:right w:val="single" w:sz="4" w:space="0" w:color="000000"/>
            </w:tcBorders>
            <w:vAlign w:val="center"/>
            <w:hideMark/>
          </w:tcPr>
          <w:p w14:paraId="3841B866" w14:textId="77777777" w:rsidR="0054529F" w:rsidRPr="0054529F" w:rsidRDefault="0054529F" w:rsidP="009A06C9">
            <w:pPr>
              <w:ind w:left="127"/>
              <w:rPr>
                <w:sz w:val="24"/>
                <w:szCs w:val="24"/>
              </w:rPr>
            </w:pPr>
          </w:p>
        </w:tc>
        <w:tc>
          <w:tcPr>
            <w:tcW w:w="1064" w:type="pct"/>
            <w:tcBorders>
              <w:top w:val="single" w:sz="4" w:space="0" w:color="000000"/>
              <w:left w:val="single" w:sz="4" w:space="0" w:color="000000"/>
              <w:bottom w:val="single" w:sz="4" w:space="0" w:color="000000"/>
              <w:right w:val="single" w:sz="4" w:space="0" w:color="000000"/>
            </w:tcBorders>
            <w:hideMark/>
          </w:tcPr>
          <w:p w14:paraId="4C4BF69F" w14:textId="77777777" w:rsidR="0054529F" w:rsidRPr="0054529F" w:rsidRDefault="0054529F" w:rsidP="009A06C9">
            <w:pPr>
              <w:ind w:left="127"/>
              <w:rPr>
                <w:sz w:val="24"/>
                <w:szCs w:val="24"/>
              </w:rPr>
            </w:pPr>
            <w:r w:rsidRPr="0054529F">
              <w:rPr>
                <w:sz w:val="24"/>
                <w:szCs w:val="24"/>
              </w:rPr>
              <w:t>Ikke almindelig</w:t>
            </w:r>
          </w:p>
        </w:tc>
        <w:tc>
          <w:tcPr>
            <w:tcW w:w="2190" w:type="pct"/>
            <w:tcBorders>
              <w:top w:val="single" w:sz="4" w:space="0" w:color="000000"/>
              <w:left w:val="single" w:sz="4" w:space="0" w:color="000000"/>
              <w:bottom w:val="single" w:sz="4" w:space="0" w:color="000000"/>
              <w:right w:val="single" w:sz="4" w:space="0" w:color="000000"/>
            </w:tcBorders>
            <w:hideMark/>
          </w:tcPr>
          <w:p w14:paraId="19411C3D" w14:textId="77777777" w:rsidR="0054529F" w:rsidRPr="0054529F" w:rsidRDefault="0054529F" w:rsidP="009A06C9">
            <w:pPr>
              <w:ind w:left="127"/>
              <w:rPr>
                <w:sz w:val="24"/>
                <w:szCs w:val="24"/>
              </w:rPr>
            </w:pPr>
            <w:r w:rsidRPr="0054529F">
              <w:rPr>
                <w:sz w:val="24"/>
                <w:szCs w:val="24"/>
              </w:rPr>
              <w:t>Svimmelhed</w:t>
            </w:r>
          </w:p>
          <w:p w14:paraId="71E507E7" w14:textId="77777777" w:rsidR="0054529F" w:rsidRPr="0054529F" w:rsidRDefault="0054529F" w:rsidP="009A06C9">
            <w:pPr>
              <w:ind w:left="127"/>
              <w:rPr>
                <w:sz w:val="24"/>
                <w:szCs w:val="24"/>
              </w:rPr>
            </w:pPr>
            <w:proofErr w:type="spellStart"/>
            <w:r w:rsidRPr="0054529F">
              <w:rPr>
                <w:sz w:val="24"/>
                <w:szCs w:val="24"/>
              </w:rPr>
              <w:t>Hypæstesi</w:t>
            </w:r>
            <w:proofErr w:type="spellEnd"/>
          </w:p>
        </w:tc>
      </w:tr>
      <w:tr w:rsidR="0054529F" w:rsidRPr="0054529F" w14:paraId="175FC38B" w14:textId="77777777" w:rsidTr="00043A0F">
        <w:trPr>
          <w:trHeight w:val="757"/>
        </w:trPr>
        <w:tc>
          <w:tcPr>
            <w:tcW w:w="1746" w:type="pct"/>
            <w:vMerge/>
            <w:tcBorders>
              <w:top w:val="single" w:sz="4" w:space="0" w:color="000000"/>
              <w:left w:val="single" w:sz="4" w:space="0" w:color="000000"/>
              <w:bottom w:val="single" w:sz="4" w:space="0" w:color="000000"/>
              <w:right w:val="single" w:sz="4" w:space="0" w:color="000000"/>
            </w:tcBorders>
            <w:vAlign w:val="center"/>
            <w:hideMark/>
          </w:tcPr>
          <w:p w14:paraId="499E52B2" w14:textId="77777777" w:rsidR="0054529F" w:rsidRPr="0054529F" w:rsidRDefault="0054529F" w:rsidP="009A06C9">
            <w:pPr>
              <w:ind w:left="127"/>
              <w:rPr>
                <w:sz w:val="24"/>
                <w:szCs w:val="24"/>
              </w:rPr>
            </w:pPr>
          </w:p>
        </w:tc>
        <w:tc>
          <w:tcPr>
            <w:tcW w:w="1064" w:type="pct"/>
            <w:tcBorders>
              <w:top w:val="single" w:sz="4" w:space="0" w:color="000000"/>
              <w:left w:val="single" w:sz="4" w:space="0" w:color="000000"/>
              <w:bottom w:val="single" w:sz="4" w:space="0" w:color="000000"/>
              <w:right w:val="single" w:sz="4" w:space="0" w:color="000000"/>
            </w:tcBorders>
            <w:hideMark/>
          </w:tcPr>
          <w:p w14:paraId="36BC1991" w14:textId="289E857E" w:rsidR="0054529F" w:rsidRPr="0054529F" w:rsidRDefault="0054529F" w:rsidP="00043A0F">
            <w:pPr>
              <w:ind w:left="127"/>
              <w:rPr>
                <w:sz w:val="24"/>
                <w:szCs w:val="24"/>
              </w:rPr>
            </w:pPr>
            <w:r w:rsidRPr="0054529F">
              <w:rPr>
                <w:sz w:val="24"/>
                <w:szCs w:val="24"/>
              </w:rPr>
              <w:t>Bivirkninger, hvor hyppigheden ikke</w:t>
            </w:r>
            <w:r w:rsidR="00043A0F">
              <w:rPr>
                <w:sz w:val="24"/>
                <w:szCs w:val="24"/>
              </w:rPr>
              <w:t xml:space="preserve"> </w:t>
            </w:r>
            <w:r w:rsidRPr="0054529F">
              <w:rPr>
                <w:sz w:val="24"/>
                <w:szCs w:val="24"/>
              </w:rPr>
              <w:t>er kendt</w:t>
            </w:r>
          </w:p>
        </w:tc>
        <w:tc>
          <w:tcPr>
            <w:tcW w:w="2190" w:type="pct"/>
            <w:tcBorders>
              <w:top w:val="single" w:sz="4" w:space="0" w:color="000000"/>
              <w:left w:val="single" w:sz="4" w:space="0" w:color="000000"/>
              <w:bottom w:val="single" w:sz="4" w:space="0" w:color="000000"/>
              <w:right w:val="single" w:sz="4" w:space="0" w:color="000000"/>
            </w:tcBorders>
            <w:hideMark/>
          </w:tcPr>
          <w:p w14:paraId="692DA6AA" w14:textId="77777777" w:rsidR="0054529F" w:rsidRPr="0054529F" w:rsidRDefault="0054529F" w:rsidP="009A06C9">
            <w:pPr>
              <w:ind w:left="127"/>
              <w:rPr>
                <w:sz w:val="24"/>
                <w:szCs w:val="24"/>
              </w:rPr>
            </w:pPr>
            <w:r w:rsidRPr="0054529F">
              <w:rPr>
                <w:sz w:val="24"/>
                <w:szCs w:val="24"/>
              </w:rPr>
              <w:t>Døsighed</w:t>
            </w:r>
          </w:p>
        </w:tc>
      </w:tr>
      <w:tr w:rsidR="0054529F" w:rsidRPr="0054529F" w14:paraId="5EFC3500" w14:textId="77777777" w:rsidTr="00043A0F">
        <w:trPr>
          <w:trHeight w:val="506"/>
        </w:trPr>
        <w:tc>
          <w:tcPr>
            <w:tcW w:w="1746" w:type="pct"/>
            <w:vMerge w:val="restart"/>
            <w:tcBorders>
              <w:top w:val="single" w:sz="4" w:space="0" w:color="000000"/>
              <w:left w:val="single" w:sz="4" w:space="0" w:color="000000"/>
              <w:bottom w:val="single" w:sz="4" w:space="0" w:color="000000"/>
              <w:right w:val="single" w:sz="4" w:space="0" w:color="000000"/>
            </w:tcBorders>
            <w:vAlign w:val="center"/>
          </w:tcPr>
          <w:p w14:paraId="29BCF76F" w14:textId="77777777" w:rsidR="0054529F" w:rsidRPr="0054529F" w:rsidRDefault="0054529F" w:rsidP="009A06C9">
            <w:pPr>
              <w:ind w:left="127"/>
              <w:rPr>
                <w:sz w:val="24"/>
                <w:szCs w:val="24"/>
              </w:rPr>
            </w:pPr>
            <w:r w:rsidRPr="0054529F">
              <w:rPr>
                <w:sz w:val="24"/>
                <w:szCs w:val="24"/>
              </w:rPr>
              <w:t>Øjne</w:t>
            </w:r>
          </w:p>
        </w:tc>
        <w:tc>
          <w:tcPr>
            <w:tcW w:w="1064" w:type="pct"/>
            <w:tcBorders>
              <w:top w:val="single" w:sz="4" w:space="0" w:color="000000"/>
              <w:left w:val="single" w:sz="4" w:space="0" w:color="000000"/>
              <w:bottom w:val="single" w:sz="4" w:space="0" w:color="000000"/>
              <w:right w:val="single" w:sz="4" w:space="0" w:color="000000"/>
            </w:tcBorders>
            <w:hideMark/>
          </w:tcPr>
          <w:p w14:paraId="516D2AB9" w14:textId="77777777" w:rsidR="0054529F" w:rsidRPr="0054529F" w:rsidRDefault="0054529F" w:rsidP="009A06C9">
            <w:pPr>
              <w:ind w:left="127"/>
              <w:rPr>
                <w:sz w:val="24"/>
                <w:szCs w:val="24"/>
              </w:rPr>
            </w:pPr>
            <w:r w:rsidRPr="0054529F">
              <w:rPr>
                <w:sz w:val="24"/>
                <w:szCs w:val="24"/>
              </w:rPr>
              <w:t>Almindelige</w:t>
            </w:r>
          </w:p>
        </w:tc>
        <w:tc>
          <w:tcPr>
            <w:tcW w:w="2190" w:type="pct"/>
            <w:tcBorders>
              <w:top w:val="single" w:sz="4" w:space="0" w:color="000000"/>
              <w:left w:val="single" w:sz="4" w:space="0" w:color="000000"/>
              <w:bottom w:val="single" w:sz="4" w:space="0" w:color="000000"/>
              <w:right w:val="single" w:sz="4" w:space="0" w:color="000000"/>
            </w:tcBorders>
            <w:hideMark/>
          </w:tcPr>
          <w:p w14:paraId="640CED65" w14:textId="77777777" w:rsidR="0054529F" w:rsidRPr="0054529F" w:rsidRDefault="0054529F" w:rsidP="009A06C9">
            <w:pPr>
              <w:ind w:left="127"/>
              <w:rPr>
                <w:sz w:val="24"/>
                <w:szCs w:val="24"/>
              </w:rPr>
            </w:pPr>
            <w:r w:rsidRPr="0054529F">
              <w:rPr>
                <w:sz w:val="24"/>
                <w:szCs w:val="24"/>
              </w:rPr>
              <w:t>Øjensmerter</w:t>
            </w:r>
            <w:r w:rsidRPr="0054529F">
              <w:rPr>
                <w:sz w:val="24"/>
                <w:szCs w:val="24"/>
              </w:rPr>
              <w:br/>
              <w:t>Øjenirritation</w:t>
            </w:r>
            <w:r w:rsidRPr="0054529F">
              <w:rPr>
                <w:sz w:val="24"/>
                <w:szCs w:val="24"/>
              </w:rPr>
              <w:br/>
              <w:t>Tørre øjne</w:t>
            </w:r>
            <w:r w:rsidRPr="0054529F">
              <w:rPr>
                <w:sz w:val="24"/>
                <w:szCs w:val="24"/>
              </w:rPr>
              <w:br/>
              <w:t>Abnorm følelse i øjnene</w:t>
            </w:r>
          </w:p>
        </w:tc>
      </w:tr>
      <w:tr w:rsidR="0054529F" w:rsidRPr="0054529F" w14:paraId="7C2FAE10" w14:textId="77777777" w:rsidTr="00043A0F">
        <w:trPr>
          <w:trHeight w:val="2527"/>
        </w:trPr>
        <w:tc>
          <w:tcPr>
            <w:tcW w:w="1746" w:type="pct"/>
            <w:vMerge/>
            <w:tcBorders>
              <w:top w:val="single" w:sz="4" w:space="0" w:color="000000"/>
              <w:left w:val="single" w:sz="4" w:space="0" w:color="000000"/>
              <w:bottom w:val="single" w:sz="4" w:space="0" w:color="000000"/>
              <w:right w:val="single" w:sz="4" w:space="0" w:color="000000"/>
            </w:tcBorders>
            <w:vAlign w:val="center"/>
            <w:hideMark/>
          </w:tcPr>
          <w:p w14:paraId="0C8A1DC4" w14:textId="77777777" w:rsidR="0054529F" w:rsidRPr="0054529F" w:rsidRDefault="0054529F" w:rsidP="009A06C9">
            <w:pPr>
              <w:ind w:left="127"/>
              <w:rPr>
                <w:sz w:val="24"/>
                <w:szCs w:val="24"/>
              </w:rPr>
            </w:pPr>
          </w:p>
        </w:tc>
        <w:tc>
          <w:tcPr>
            <w:tcW w:w="1064" w:type="pct"/>
            <w:tcBorders>
              <w:top w:val="single" w:sz="4" w:space="0" w:color="000000"/>
              <w:left w:val="single" w:sz="4" w:space="0" w:color="000000"/>
              <w:bottom w:val="single" w:sz="4" w:space="0" w:color="000000"/>
              <w:right w:val="single" w:sz="4" w:space="0" w:color="000000"/>
            </w:tcBorders>
            <w:hideMark/>
          </w:tcPr>
          <w:p w14:paraId="29A496BC" w14:textId="77777777" w:rsidR="0054529F" w:rsidRPr="0054529F" w:rsidRDefault="0054529F" w:rsidP="009A06C9">
            <w:pPr>
              <w:ind w:left="127"/>
              <w:rPr>
                <w:sz w:val="24"/>
                <w:szCs w:val="24"/>
              </w:rPr>
            </w:pPr>
            <w:r w:rsidRPr="0054529F">
              <w:rPr>
                <w:sz w:val="24"/>
                <w:szCs w:val="24"/>
              </w:rPr>
              <w:t>Ikke almindelig</w:t>
            </w:r>
          </w:p>
        </w:tc>
        <w:tc>
          <w:tcPr>
            <w:tcW w:w="2190" w:type="pct"/>
            <w:tcBorders>
              <w:top w:val="single" w:sz="4" w:space="0" w:color="000000"/>
              <w:left w:val="single" w:sz="4" w:space="0" w:color="000000"/>
              <w:bottom w:val="single" w:sz="4" w:space="0" w:color="000000"/>
              <w:right w:val="single" w:sz="4" w:space="0" w:color="000000"/>
            </w:tcBorders>
            <w:hideMark/>
          </w:tcPr>
          <w:p w14:paraId="2A377C6C" w14:textId="77777777" w:rsidR="0054529F" w:rsidRPr="0054529F" w:rsidRDefault="0054529F" w:rsidP="009A06C9">
            <w:pPr>
              <w:ind w:left="127"/>
              <w:rPr>
                <w:sz w:val="24"/>
                <w:szCs w:val="24"/>
              </w:rPr>
            </w:pPr>
            <w:proofErr w:type="spellStart"/>
            <w:r w:rsidRPr="0054529F">
              <w:rPr>
                <w:sz w:val="24"/>
                <w:szCs w:val="24"/>
              </w:rPr>
              <w:t>Corneaerosion</w:t>
            </w:r>
            <w:proofErr w:type="spellEnd"/>
            <w:r w:rsidRPr="0054529F">
              <w:rPr>
                <w:sz w:val="24"/>
                <w:szCs w:val="24"/>
              </w:rPr>
              <w:br/>
            </w:r>
            <w:proofErr w:type="spellStart"/>
            <w:r w:rsidRPr="0054529F">
              <w:rPr>
                <w:sz w:val="24"/>
                <w:szCs w:val="24"/>
              </w:rPr>
              <w:t>Corneaepiteldefekt</w:t>
            </w:r>
            <w:proofErr w:type="spellEnd"/>
            <w:r w:rsidRPr="0054529F">
              <w:rPr>
                <w:sz w:val="24"/>
                <w:szCs w:val="24"/>
              </w:rPr>
              <w:br/>
            </w:r>
            <w:proofErr w:type="spellStart"/>
            <w:r w:rsidRPr="0054529F">
              <w:rPr>
                <w:sz w:val="24"/>
                <w:szCs w:val="24"/>
              </w:rPr>
              <w:t>Corneaepitellidelse</w:t>
            </w:r>
            <w:proofErr w:type="spellEnd"/>
            <w:r w:rsidRPr="0054529F">
              <w:rPr>
                <w:sz w:val="24"/>
                <w:szCs w:val="24"/>
              </w:rPr>
              <w:br/>
            </w:r>
            <w:proofErr w:type="spellStart"/>
            <w:r w:rsidRPr="0054529F">
              <w:rPr>
                <w:sz w:val="24"/>
                <w:szCs w:val="24"/>
              </w:rPr>
              <w:t>Punktformed</w:t>
            </w:r>
            <w:proofErr w:type="spellEnd"/>
            <w:r w:rsidRPr="0054529F">
              <w:rPr>
                <w:sz w:val="24"/>
                <w:szCs w:val="24"/>
              </w:rPr>
              <w:t xml:space="preserve"> </w:t>
            </w:r>
            <w:proofErr w:type="spellStart"/>
            <w:r w:rsidRPr="0054529F">
              <w:rPr>
                <w:sz w:val="24"/>
                <w:szCs w:val="24"/>
              </w:rPr>
              <w:t>keratitis</w:t>
            </w:r>
            <w:proofErr w:type="spellEnd"/>
          </w:p>
          <w:p w14:paraId="2DACF1B5" w14:textId="77777777" w:rsidR="0054529F" w:rsidRPr="0054529F" w:rsidRDefault="0054529F" w:rsidP="009A06C9">
            <w:pPr>
              <w:ind w:left="127"/>
              <w:rPr>
                <w:sz w:val="24"/>
                <w:szCs w:val="24"/>
              </w:rPr>
            </w:pPr>
            <w:proofErr w:type="spellStart"/>
            <w:r w:rsidRPr="0054529F">
              <w:rPr>
                <w:sz w:val="24"/>
                <w:szCs w:val="24"/>
              </w:rPr>
              <w:t>Keratitis</w:t>
            </w:r>
            <w:proofErr w:type="spellEnd"/>
            <w:r w:rsidRPr="0054529F">
              <w:rPr>
                <w:sz w:val="24"/>
                <w:szCs w:val="24"/>
              </w:rPr>
              <w:br/>
            </w:r>
            <w:proofErr w:type="spellStart"/>
            <w:r w:rsidRPr="0054529F">
              <w:rPr>
                <w:sz w:val="24"/>
                <w:szCs w:val="24"/>
              </w:rPr>
              <w:t>Cornea</w:t>
            </w:r>
            <w:proofErr w:type="spellEnd"/>
            <w:r w:rsidRPr="0054529F">
              <w:rPr>
                <w:sz w:val="24"/>
                <w:szCs w:val="24"/>
              </w:rPr>
              <w:t>-pletter</w:t>
            </w:r>
          </w:p>
          <w:p w14:paraId="5EC1889D" w14:textId="77777777" w:rsidR="0054529F" w:rsidRPr="0054529F" w:rsidRDefault="0054529F" w:rsidP="009A06C9">
            <w:pPr>
              <w:ind w:left="127"/>
              <w:rPr>
                <w:sz w:val="24"/>
                <w:szCs w:val="24"/>
              </w:rPr>
            </w:pPr>
            <w:r w:rsidRPr="0054529F">
              <w:rPr>
                <w:sz w:val="24"/>
                <w:szCs w:val="24"/>
              </w:rPr>
              <w:t>Flåd fra øjet</w:t>
            </w:r>
          </w:p>
          <w:p w14:paraId="41A2E366" w14:textId="77777777" w:rsidR="0054529F" w:rsidRPr="0054529F" w:rsidRDefault="0054529F" w:rsidP="009A06C9">
            <w:pPr>
              <w:ind w:left="127"/>
              <w:rPr>
                <w:sz w:val="24"/>
                <w:szCs w:val="24"/>
              </w:rPr>
            </w:pPr>
            <w:r w:rsidRPr="0054529F">
              <w:rPr>
                <w:sz w:val="24"/>
                <w:szCs w:val="24"/>
              </w:rPr>
              <w:t>Fotofobi</w:t>
            </w:r>
            <w:r w:rsidRPr="0054529F">
              <w:rPr>
                <w:sz w:val="24"/>
                <w:szCs w:val="24"/>
              </w:rPr>
              <w:br/>
              <w:t>Sløret syn</w:t>
            </w:r>
          </w:p>
          <w:p w14:paraId="20FA9D45" w14:textId="77777777" w:rsidR="0054529F" w:rsidRPr="0054529F" w:rsidRDefault="0054529F" w:rsidP="009A06C9">
            <w:pPr>
              <w:ind w:left="127"/>
              <w:rPr>
                <w:sz w:val="24"/>
                <w:szCs w:val="24"/>
              </w:rPr>
            </w:pPr>
            <w:r w:rsidRPr="0054529F">
              <w:rPr>
                <w:sz w:val="24"/>
                <w:szCs w:val="24"/>
              </w:rPr>
              <w:t>Nedsat skarpsyn</w:t>
            </w:r>
          </w:p>
          <w:p w14:paraId="4970120B" w14:textId="77777777" w:rsidR="0054529F" w:rsidRPr="0054529F" w:rsidRDefault="0054529F" w:rsidP="009A06C9">
            <w:pPr>
              <w:ind w:left="127"/>
              <w:rPr>
                <w:sz w:val="24"/>
                <w:szCs w:val="24"/>
              </w:rPr>
            </w:pPr>
            <w:proofErr w:type="spellStart"/>
            <w:r w:rsidRPr="0054529F">
              <w:rPr>
                <w:sz w:val="24"/>
                <w:szCs w:val="24"/>
              </w:rPr>
              <w:t>Blefarospasme</w:t>
            </w:r>
            <w:proofErr w:type="spellEnd"/>
          </w:p>
          <w:p w14:paraId="6B710FC1" w14:textId="77777777" w:rsidR="0054529F" w:rsidRPr="0054529F" w:rsidRDefault="0054529F" w:rsidP="009A06C9">
            <w:pPr>
              <w:ind w:left="127"/>
              <w:rPr>
                <w:sz w:val="24"/>
                <w:szCs w:val="24"/>
              </w:rPr>
            </w:pPr>
            <w:proofErr w:type="spellStart"/>
            <w:r w:rsidRPr="0054529F">
              <w:rPr>
                <w:sz w:val="24"/>
                <w:szCs w:val="24"/>
              </w:rPr>
              <w:t>Okulært</w:t>
            </w:r>
            <w:proofErr w:type="spellEnd"/>
            <w:r w:rsidRPr="0054529F">
              <w:rPr>
                <w:sz w:val="24"/>
                <w:szCs w:val="24"/>
              </w:rPr>
              <w:t xml:space="preserve"> ubehag</w:t>
            </w:r>
          </w:p>
          <w:p w14:paraId="6B763E32" w14:textId="77777777" w:rsidR="0054529F" w:rsidRPr="0054529F" w:rsidRDefault="0054529F" w:rsidP="009A06C9">
            <w:pPr>
              <w:ind w:left="127"/>
              <w:rPr>
                <w:sz w:val="24"/>
                <w:szCs w:val="24"/>
              </w:rPr>
            </w:pPr>
            <w:r w:rsidRPr="0054529F">
              <w:rPr>
                <w:sz w:val="24"/>
                <w:szCs w:val="24"/>
              </w:rPr>
              <w:t>Øjenkløe</w:t>
            </w:r>
          </w:p>
          <w:p w14:paraId="323CF156" w14:textId="77777777" w:rsidR="0054529F" w:rsidRPr="0054529F" w:rsidRDefault="0054529F" w:rsidP="009A06C9">
            <w:pPr>
              <w:ind w:left="127"/>
              <w:rPr>
                <w:sz w:val="24"/>
                <w:szCs w:val="24"/>
              </w:rPr>
            </w:pPr>
            <w:r w:rsidRPr="0054529F">
              <w:rPr>
                <w:sz w:val="24"/>
                <w:szCs w:val="24"/>
              </w:rPr>
              <w:t>Konjunktivale follikler</w:t>
            </w:r>
          </w:p>
          <w:p w14:paraId="67033CBE" w14:textId="77777777" w:rsidR="0054529F" w:rsidRPr="0054529F" w:rsidRDefault="0054529F" w:rsidP="009A06C9">
            <w:pPr>
              <w:ind w:left="127"/>
              <w:rPr>
                <w:sz w:val="24"/>
                <w:szCs w:val="24"/>
              </w:rPr>
            </w:pPr>
            <w:proofErr w:type="spellStart"/>
            <w:r w:rsidRPr="0054529F">
              <w:rPr>
                <w:sz w:val="24"/>
                <w:szCs w:val="24"/>
              </w:rPr>
              <w:t>Konjunktiva</w:t>
            </w:r>
            <w:proofErr w:type="spellEnd"/>
            <w:r w:rsidRPr="0054529F">
              <w:rPr>
                <w:sz w:val="24"/>
                <w:szCs w:val="24"/>
              </w:rPr>
              <w:t>-lidelser</w:t>
            </w:r>
          </w:p>
          <w:p w14:paraId="023E3053" w14:textId="77777777" w:rsidR="0054529F" w:rsidRPr="0054529F" w:rsidRDefault="0054529F" w:rsidP="009A06C9">
            <w:pPr>
              <w:ind w:left="127"/>
              <w:rPr>
                <w:sz w:val="24"/>
                <w:szCs w:val="24"/>
              </w:rPr>
            </w:pPr>
            <w:r w:rsidRPr="0054529F">
              <w:rPr>
                <w:sz w:val="24"/>
                <w:szCs w:val="24"/>
              </w:rPr>
              <w:t>Følelse af fremmedlegeme i øjet</w:t>
            </w:r>
          </w:p>
          <w:p w14:paraId="26D097D3" w14:textId="77777777" w:rsidR="0054529F" w:rsidRPr="0054529F" w:rsidRDefault="0054529F" w:rsidP="009A06C9">
            <w:pPr>
              <w:ind w:left="127"/>
              <w:rPr>
                <w:sz w:val="24"/>
                <w:szCs w:val="24"/>
              </w:rPr>
            </w:pPr>
            <w:r w:rsidRPr="0054529F">
              <w:rPr>
                <w:sz w:val="24"/>
                <w:szCs w:val="24"/>
              </w:rPr>
              <w:t>Øget tåredannelse</w:t>
            </w:r>
          </w:p>
          <w:p w14:paraId="2B5D51EC" w14:textId="77777777" w:rsidR="0054529F" w:rsidRPr="0054529F" w:rsidRDefault="0054529F" w:rsidP="009A06C9">
            <w:pPr>
              <w:ind w:left="127"/>
              <w:rPr>
                <w:sz w:val="24"/>
                <w:szCs w:val="24"/>
              </w:rPr>
            </w:pPr>
            <w:proofErr w:type="spellStart"/>
            <w:r w:rsidRPr="0054529F">
              <w:rPr>
                <w:sz w:val="24"/>
                <w:szCs w:val="24"/>
              </w:rPr>
              <w:t>Øjenlågserytem</w:t>
            </w:r>
            <w:proofErr w:type="spellEnd"/>
          </w:p>
          <w:p w14:paraId="361C942A" w14:textId="77777777" w:rsidR="0054529F" w:rsidRPr="0054529F" w:rsidRDefault="0054529F" w:rsidP="009A06C9">
            <w:pPr>
              <w:ind w:left="127"/>
              <w:rPr>
                <w:sz w:val="24"/>
                <w:szCs w:val="24"/>
              </w:rPr>
            </w:pPr>
            <w:r w:rsidRPr="0054529F">
              <w:rPr>
                <w:sz w:val="24"/>
                <w:szCs w:val="24"/>
              </w:rPr>
              <w:t>Øjenlågsødem</w:t>
            </w:r>
          </w:p>
          <w:p w14:paraId="016CE967" w14:textId="77777777" w:rsidR="0054529F" w:rsidRPr="0054529F" w:rsidRDefault="0054529F" w:rsidP="009A06C9">
            <w:pPr>
              <w:ind w:left="127"/>
              <w:rPr>
                <w:sz w:val="24"/>
                <w:szCs w:val="24"/>
              </w:rPr>
            </w:pPr>
            <w:r w:rsidRPr="0054529F">
              <w:rPr>
                <w:sz w:val="24"/>
                <w:szCs w:val="24"/>
              </w:rPr>
              <w:t>Øjenlågslidelser</w:t>
            </w:r>
          </w:p>
          <w:p w14:paraId="4A42B53C" w14:textId="77777777" w:rsidR="0054529F" w:rsidRPr="0054529F" w:rsidRDefault="0054529F" w:rsidP="009A06C9">
            <w:pPr>
              <w:ind w:left="127"/>
              <w:rPr>
                <w:sz w:val="24"/>
                <w:szCs w:val="24"/>
              </w:rPr>
            </w:pPr>
            <w:proofErr w:type="spellStart"/>
            <w:r w:rsidRPr="0054529F">
              <w:rPr>
                <w:sz w:val="24"/>
                <w:szCs w:val="24"/>
              </w:rPr>
              <w:t>Okulær</w:t>
            </w:r>
            <w:proofErr w:type="spellEnd"/>
            <w:r w:rsidRPr="0054529F">
              <w:rPr>
                <w:sz w:val="24"/>
                <w:szCs w:val="24"/>
              </w:rPr>
              <w:t xml:space="preserve"> </w:t>
            </w:r>
            <w:proofErr w:type="spellStart"/>
            <w:r w:rsidRPr="0054529F">
              <w:rPr>
                <w:sz w:val="24"/>
                <w:szCs w:val="24"/>
              </w:rPr>
              <w:t>hyperæmi</w:t>
            </w:r>
            <w:proofErr w:type="spellEnd"/>
          </w:p>
        </w:tc>
      </w:tr>
      <w:tr w:rsidR="0054529F" w:rsidRPr="0054529F" w14:paraId="2897D5C8" w14:textId="77777777" w:rsidTr="00043A0F">
        <w:trPr>
          <w:trHeight w:val="756"/>
        </w:trPr>
        <w:tc>
          <w:tcPr>
            <w:tcW w:w="1746" w:type="pct"/>
            <w:vMerge/>
            <w:tcBorders>
              <w:top w:val="single" w:sz="4" w:space="0" w:color="000000"/>
              <w:left w:val="single" w:sz="4" w:space="0" w:color="000000"/>
              <w:bottom w:val="single" w:sz="4" w:space="0" w:color="000000"/>
              <w:right w:val="single" w:sz="4" w:space="0" w:color="000000"/>
            </w:tcBorders>
            <w:vAlign w:val="center"/>
            <w:hideMark/>
          </w:tcPr>
          <w:p w14:paraId="4C359D5D" w14:textId="77777777" w:rsidR="0054529F" w:rsidRPr="0054529F" w:rsidRDefault="0054529F" w:rsidP="009A06C9">
            <w:pPr>
              <w:ind w:left="127"/>
              <w:rPr>
                <w:sz w:val="24"/>
                <w:szCs w:val="24"/>
              </w:rPr>
            </w:pPr>
          </w:p>
        </w:tc>
        <w:tc>
          <w:tcPr>
            <w:tcW w:w="1064" w:type="pct"/>
            <w:tcBorders>
              <w:top w:val="single" w:sz="4" w:space="0" w:color="000000"/>
              <w:left w:val="single" w:sz="4" w:space="0" w:color="000000"/>
              <w:bottom w:val="single" w:sz="4" w:space="0" w:color="000000"/>
              <w:right w:val="single" w:sz="4" w:space="0" w:color="000000"/>
            </w:tcBorders>
            <w:hideMark/>
          </w:tcPr>
          <w:p w14:paraId="7C0D51EA" w14:textId="4E8B68F4" w:rsidR="0054529F" w:rsidRPr="0054529F" w:rsidRDefault="0054529F" w:rsidP="00043A0F">
            <w:pPr>
              <w:ind w:left="127"/>
              <w:rPr>
                <w:sz w:val="24"/>
                <w:szCs w:val="24"/>
              </w:rPr>
            </w:pPr>
            <w:r w:rsidRPr="0054529F">
              <w:rPr>
                <w:sz w:val="24"/>
                <w:szCs w:val="24"/>
              </w:rPr>
              <w:t>Bivirkninger, hvor</w:t>
            </w:r>
            <w:r w:rsidR="00043A0F">
              <w:rPr>
                <w:sz w:val="24"/>
                <w:szCs w:val="24"/>
              </w:rPr>
              <w:t xml:space="preserve"> </w:t>
            </w:r>
            <w:r w:rsidRPr="0054529F">
              <w:rPr>
                <w:sz w:val="24"/>
                <w:szCs w:val="24"/>
              </w:rPr>
              <w:t>hyppigheden ikke er kendt</w:t>
            </w:r>
          </w:p>
        </w:tc>
        <w:tc>
          <w:tcPr>
            <w:tcW w:w="2190" w:type="pct"/>
            <w:tcBorders>
              <w:top w:val="single" w:sz="4" w:space="0" w:color="000000"/>
              <w:left w:val="single" w:sz="4" w:space="0" w:color="000000"/>
              <w:bottom w:val="single" w:sz="4" w:space="0" w:color="000000"/>
              <w:right w:val="single" w:sz="4" w:space="0" w:color="000000"/>
            </w:tcBorders>
            <w:hideMark/>
          </w:tcPr>
          <w:p w14:paraId="260C7538" w14:textId="77777777" w:rsidR="0054529F" w:rsidRPr="0054529F" w:rsidRDefault="0054529F" w:rsidP="009A06C9">
            <w:pPr>
              <w:ind w:left="127"/>
              <w:rPr>
                <w:sz w:val="24"/>
                <w:szCs w:val="24"/>
              </w:rPr>
            </w:pPr>
            <w:r w:rsidRPr="0054529F">
              <w:rPr>
                <w:sz w:val="24"/>
                <w:szCs w:val="24"/>
              </w:rPr>
              <w:t>Kornealt ødem</w:t>
            </w:r>
          </w:p>
          <w:p w14:paraId="46F9BEE2" w14:textId="77777777" w:rsidR="0054529F" w:rsidRPr="0054529F" w:rsidRDefault="0054529F" w:rsidP="009A06C9">
            <w:pPr>
              <w:ind w:left="127"/>
              <w:rPr>
                <w:sz w:val="24"/>
                <w:szCs w:val="24"/>
              </w:rPr>
            </w:pPr>
            <w:r w:rsidRPr="0054529F">
              <w:rPr>
                <w:sz w:val="24"/>
                <w:szCs w:val="24"/>
              </w:rPr>
              <w:t>Øjenødem</w:t>
            </w:r>
          </w:p>
          <w:p w14:paraId="761CC043" w14:textId="77777777" w:rsidR="0054529F" w:rsidRPr="0054529F" w:rsidRDefault="0054529F" w:rsidP="009A06C9">
            <w:pPr>
              <w:ind w:left="127"/>
              <w:rPr>
                <w:sz w:val="24"/>
                <w:szCs w:val="24"/>
              </w:rPr>
            </w:pPr>
            <w:r w:rsidRPr="0054529F">
              <w:rPr>
                <w:sz w:val="24"/>
                <w:szCs w:val="24"/>
              </w:rPr>
              <w:t>Hævelse af øjet</w:t>
            </w:r>
          </w:p>
          <w:p w14:paraId="4808B437" w14:textId="77777777" w:rsidR="0054529F" w:rsidRPr="0054529F" w:rsidRDefault="0054529F" w:rsidP="009A06C9">
            <w:pPr>
              <w:ind w:left="127"/>
              <w:rPr>
                <w:sz w:val="24"/>
                <w:szCs w:val="24"/>
              </w:rPr>
            </w:pPr>
            <w:proofErr w:type="spellStart"/>
            <w:r w:rsidRPr="0054529F">
              <w:rPr>
                <w:sz w:val="24"/>
                <w:szCs w:val="24"/>
              </w:rPr>
              <w:t>Konjunktivit</w:t>
            </w:r>
            <w:proofErr w:type="spellEnd"/>
          </w:p>
          <w:p w14:paraId="10F66EC9" w14:textId="77777777" w:rsidR="0054529F" w:rsidRPr="0054529F" w:rsidRDefault="0054529F" w:rsidP="009A06C9">
            <w:pPr>
              <w:ind w:left="127"/>
              <w:rPr>
                <w:sz w:val="24"/>
                <w:szCs w:val="24"/>
              </w:rPr>
            </w:pPr>
            <w:proofErr w:type="spellStart"/>
            <w:r w:rsidRPr="0054529F">
              <w:rPr>
                <w:sz w:val="24"/>
                <w:szCs w:val="24"/>
              </w:rPr>
              <w:t>Mydriasis</w:t>
            </w:r>
            <w:proofErr w:type="spellEnd"/>
          </w:p>
          <w:p w14:paraId="5904CF76" w14:textId="77777777" w:rsidR="0054529F" w:rsidRPr="0054529F" w:rsidRDefault="0054529F" w:rsidP="009A06C9">
            <w:pPr>
              <w:ind w:left="127"/>
              <w:rPr>
                <w:sz w:val="24"/>
                <w:szCs w:val="24"/>
              </w:rPr>
            </w:pPr>
            <w:r w:rsidRPr="0054529F">
              <w:rPr>
                <w:sz w:val="24"/>
                <w:szCs w:val="24"/>
              </w:rPr>
              <w:t>Synsforstyrrelser</w:t>
            </w:r>
            <w:r w:rsidRPr="0054529F">
              <w:rPr>
                <w:sz w:val="24"/>
                <w:szCs w:val="24"/>
              </w:rPr>
              <w:br/>
              <w:t>Skorper på øjenlågsrand</w:t>
            </w:r>
          </w:p>
        </w:tc>
      </w:tr>
      <w:tr w:rsidR="0054529F" w:rsidRPr="0054529F" w14:paraId="54B69B03" w14:textId="77777777" w:rsidTr="00043A0F">
        <w:trPr>
          <w:trHeight w:val="251"/>
        </w:trPr>
        <w:tc>
          <w:tcPr>
            <w:tcW w:w="1746" w:type="pct"/>
            <w:vMerge w:val="restart"/>
            <w:tcBorders>
              <w:top w:val="single" w:sz="4" w:space="0" w:color="000000"/>
              <w:left w:val="single" w:sz="4" w:space="0" w:color="000000"/>
              <w:bottom w:val="single" w:sz="4" w:space="0" w:color="000000"/>
              <w:right w:val="single" w:sz="4" w:space="0" w:color="000000"/>
            </w:tcBorders>
            <w:vAlign w:val="center"/>
          </w:tcPr>
          <w:p w14:paraId="374E80F0" w14:textId="77777777" w:rsidR="0054529F" w:rsidRPr="0054529F" w:rsidRDefault="0054529F" w:rsidP="009A06C9">
            <w:pPr>
              <w:ind w:left="127"/>
              <w:rPr>
                <w:sz w:val="24"/>
                <w:szCs w:val="24"/>
              </w:rPr>
            </w:pPr>
            <w:r w:rsidRPr="0054529F">
              <w:rPr>
                <w:sz w:val="24"/>
                <w:szCs w:val="24"/>
              </w:rPr>
              <w:t xml:space="preserve">Luftveje, thorax og </w:t>
            </w:r>
            <w:proofErr w:type="spellStart"/>
            <w:r w:rsidRPr="0054529F">
              <w:rPr>
                <w:sz w:val="24"/>
                <w:szCs w:val="24"/>
              </w:rPr>
              <w:t>mediastinum</w:t>
            </w:r>
            <w:proofErr w:type="spellEnd"/>
          </w:p>
        </w:tc>
        <w:tc>
          <w:tcPr>
            <w:tcW w:w="1064" w:type="pct"/>
            <w:tcBorders>
              <w:top w:val="single" w:sz="4" w:space="0" w:color="000000"/>
              <w:left w:val="single" w:sz="4" w:space="0" w:color="000000"/>
              <w:bottom w:val="single" w:sz="4" w:space="0" w:color="000000"/>
              <w:right w:val="single" w:sz="4" w:space="0" w:color="000000"/>
            </w:tcBorders>
            <w:hideMark/>
          </w:tcPr>
          <w:p w14:paraId="59B554B2" w14:textId="77777777" w:rsidR="0054529F" w:rsidRPr="0054529F" w:rsidRDefault="0054529F" w:rsidP="009A06C9">
            <w:pPr>
              <w:ind w:left="127"/>
              <w:rPr>
                <w:sz w:val="24"/>
                <w:szCs w:val="24"/>
              </w:rPr>
            </w:pPr>
            <w:r w:rsidRPr="0054529F">
              <w:rPr>
                <w:sz w:val="24"/>
                <w:szCs w:val="24"/>
              </w:rPr>
              <w:t>Almindelige</w:t>
            </w:r>
          </w:p>
        </w:tc>
        <w:tc>
          <w:tcPr>
            <w:tcW w:w="2190" w:type="pct"/>
            <w:tcBorders>
              <w:top w:val="single" w:sz="4" w:space="0" w:color="000000"/>
              <w:left w:val="single" w:sz="4" w:space="0" w:color="000000"/>
              <w:bottom w:val="single" w:sz="4" w:space="0" w:color="000000"/>
              <w:right w:val="single" w:sz="4" w:space="0" w:color="000000"/>
            </w:tcBorders>
            <w:hideMark/>
          </w:tcPr>
          <w:p w14:paraId="1C7F24E1" w14:textId="77777777" w:rsidR="0054529F" w:rsidRPr="0054529F" w:rsidRDefault="0054529F" w:rsidP="009A06C9">
            <w:pPr>
              <w:ind w:left="127"/>
              <w:rPr>
                <w:sz w:val="24"/>
                <w:szCs w:val="24"/>
              </w:rPr>
            </w:pPr>
            <w:r w:rsidRPr="0054529F">
              <w:rPr>
                <w:sz w:val="24"/>
                <w:szCs w:val="24"/>
              </w:rPr>
              <w:t>Nasal tørhed</w:t>
            </w:r>
          </w:p>
        </w:tc>
      </w:tr>
      <w:tr w:rsidR="0054529F" w:rsidRPr="0054529F" w14:paraId="03A79E00" w14:textId="77777777" w:rsidTr="00043A0F">
        <w:trPr>
          <w:trHeight w:val="760"/>
        </w:trPr>
        <w:tc>
          <w:tcPr>
            <w:tcW w:w="1746" w:type="pct"/>
            <w:vMerge/>
            <w:tcBorders>
              <w:top w:val="single" w:sz="4" w:space="0" w:color="000000"/>
              <w:left w:val="single" w:sz="4" w:space="0" w:color="000000"/>
              <w:bottom w:val="single" w:sz="4" w:space="0" w:color="000000"/>
              <w:right w:val="single" w:sz="4" w:space="0" w:color="000000"/>
            </w:tcBorders>
            <w:vAlign w:val="center"/>
            <w:hideMark/>
          </w:tcPr>
          <w:p w14:paraId="7C65A2AB" w14:textId="77777777" w:rsidR="0054529F" w:rsidRPr="0054529F" w:rsidRDefault="0054529F" w:rsidP="009A06C9">
            <w:pPr>
              <w:ind w:left="127"/>
              <w:rPr>
                <w:sz w:val="24"/>
                <w:szCs w:val="24"/>
              </w:rPr>
            </w:pPr>
          </w:p>
        </w:tc>
        <w:tc>
          <w:tcPr>
            <w:tcW w:w="1064" w:type="pct"/>
            <w:tcBorders>
              <w:top w:val="single" w:sz="4" w:space="0" w:color="000000"/>
              <w:left w:val="single" w:sz="4" w:space="0" w:color="000000"/>
              <w:bottom w:val="single" w:sz="4" w:space="0" w:color="000000"/>
              <w:right w:val="single" w:sz="4" w:space="0" w:color="000000"/>
            </w:tcBorders>
            <w:hideMark/>
          </w:tcPr>
          <w:p w14:paraId="470DEAE7" w14:textId="034490C1" w:rsidR="0054529F" w:rsidRPr="0054529F" w:rsidRDefault="0054529F" w:rsidP="00043A0F">
            <w:pPr>
              <w:ind w:left="127"/>
              <w:rPr>
                <w:sz w:val="24"/>
                <w:szCs w:val="24"/>
              </w:rPr>
            </w:pPr>
            <w:r w:rsidRPr="0054529F">
              <w:rPr>
                <w:sz w:val="24"/>
                <w:szCs w:val="24"/>
              </w:rPr>
              <w:t>Bivirkninger, hvor</w:t>
            </w:r>
            <w:r w:rsidR="00043A0F">
              <w:rPr>
                <w:sz w:val="24"/>
                <w:szCs w:val="24"/>
              </w:rPr>
              <w:t xml:space="preserve"> </w:t>
            </w:r>
            <w:r w:rsidRPr="0054529F">
              <w:rPr>
                <w:sz w:val="24"/>
                <w:szCs w:val="24"/>
              </w:rPr>
              <w:t>hyppigheden ikke er kendt</w:t>
            </w:r>
          </w:p>
        </w:tc>
        <w:tc>
          <w:tcPr>
            <w:tcW w:w="2190" w:type="pct"/>
            <w:tcBorders>
              <w:top w:val="single" w:sz="4" w:space="0" w:color="000000"/>
              <w:left w:val="single" w:sz="4" w:space="0" w:color="000000"/>
              <w:bottom w:val="single" w:sz="4" w:space="0" w:color="000000"/>
              <w:right w:val="single" w:sz="4" w:space="0" w:color="000000"/>
            </w:tcBorders>
            <w:hideMark/>
          </w:tcPr>
          <w:p w14:paraId="7BF9697F" w14:textId="77777777" w:rsidR="0054529F" w:rsidRPr="0054529F" w:rsidRDefault="0054529F" w:rsidP="009A06C9">
            <w:pPr>
              <w:ind w:left="127"/>
              <w:rPr>
                <w:sz w:val="24"/>
                <w:szCs w:val="24"/>
              </w:rPr>
            </w:pPr>
            <w:r w:rsidRPr="0054529F">
              <w:rPr>
                <w:sz w:val="24"/>
                <w:szCs w:val="24"/>
              </w:rPr>
              <w:t>Dyspnø</w:t>
            </w:r>
          </w:p>
          <w:p w14:paraId="2A511537" w14:textId="77777777" w:rsidR="0054529F" w:rsidRPr="0054529F" w:rsidRDefault="0054529F" w:rsidP="009A06C9">
            <w:pPr>
              <w:ind w:left="127"/>
              <w:rPr>
                <w:sz w:val="24"/>
                <w:szCs w:val="24"/>
              </w:rPr>
            </w:pPr>
            <w:proofErr w:type="spellStart"/>
            <w:r w:rsidRPr="0054529F">
              <w:rPr>
                <w:sz w:val="24"/>
                <w:szCs w:val="24"/>
              </w:rPr>
              <w:t>Sinusitis</w:t>
            </w:r>
            <w:proofErr w:type="spellEnd"/>
          </w:p>
        </w:tc>
      </w:tr>
      <w:tr w:rsidR="0054529F" w:rsidRPr="0054529F" w14:paraId="0B7408F5" w14:textId="77777777" w:rsidTr="00043A0F">
        <w:trPr>
          <w:trHeight w:val="758"/>
        </w:trPr>
        <w:tc>
          <w:tcPr>
            <w:tcW w:w="1746" w:type="pct"/>
            <w:tcBorders>
              <w:top w:val="single" w:sz="4" w:space="0" w:color="000000"/>
              <w:left w:val="single" w:sz="4" w:space="0" w:color="000000"/>
              <w:bottom w:val="single" w:sz="4" w:space="0" w:color="000000"/>
              <w:right w:val="single" w:sz="4" w:space="0" w:color="000000"/>
            </w:tcBorders>
            <w:vAlign w:val="center"/>
            <w:hideMark/>
          </w:tcPr>
          <w:p w14:paraId="50651042" w14:textId="77777777" w:rsidR="0054529F" w:rsidRPr="0054529F" w:rsidRDefault="0054529F" w:rsidP="009A06C9">
            <w:pPr>
              <w:ind w:left="127"/>
              <w:rPr>
                <w:sz w:val="24"/>
                <w:szCs w:val="24"/>
              </w:rPr>
            </w:pPr>
            <w:r w:rsidRPr="0054529F">
              <w:rPr>
                <w:sz w:val="24"/>
                <w:szCs w:val="24"/>
              </w:rPr>
              <w:t>Mave-tarm-kanalen</w:t>
            </w:r>
          </w:p>
        </w:tc>
        <w:tc>
          <w:tcPr>
            <w:tcW w:w="1064" w:type="pct"/>
            <w:tcBorders>
              <w:top w:val="single" w:sz="4" w:space="0" w:color="000000"/>
              <w:left w:val="single" w:sz="4" w:space="0" w:color="000000"/>
              <w:bottom w:val="single" w:sz="4" w:space="0" w:color="000000"/>
              <w:right w:val="single" w:sz="4" w:space="0" w:color="000000"/>
            </w:tcBorders>
            <w:hideMark/>
          </w:tcPr>
          <w:p w14:paraId="0135BF1E" w14:textId="44635827" w:rsidR="0054529F" w:rsidRPr="0054529F" w:rsidRDefault="0054529F" w:rsidP="00043A0F">
            <w:pPr>
              <w:ind w:left="127"/>
              <w:rPr>
                <w:sz w:val="24"/>
                <w:szCs w:val="24"/>
              </w:rPr>
            </w:pPr>
            <w:r w:rsidRPr="0054529F">
              <w:rPr>
                <w:sz w:val="24"/>
                <w:szCs w:val="24"/>
              </w:rPr>
              <w:t>Bivirkninger, hvor hyppigheden ikke</w:t>
            </w:r>
            <w:r w:rsidR="00043A0F">
              <w:rPr>
                <w:sz w:val="24"/>
                <w:szCs w:val="24"/>
              </w:rPr>
              <w:t xml:space="preserve"> </w:t>
            </w:r>
            <w:r w:rsidRPr="0054529F">
              <w:rPr>
                <w:sz w:val="24"/>
                <w:szCs w:val="24"/>
              </w:rPr>
              <w:t>er kendt</w:t>
            </w:r>
          </w:p>
        </w:tc>
        <w:tc>
          <w:tcPr>
            <w:tcW w:w="2190" w:type="pct"/>
            <w:tcBorders>
              <w:top w:val="single" w:sz="4" w:space="0" w:color="000000"/>
              <w:left w:val="single" w:sz="4" w:space="0" w:color="000000"/>
              <w:bottom w:val="single" w:sz="4" w:space="0" w:color="000000"/>
              <w:right w:val="single" w:sz="4" w:space="0" w:color="000000"/>
            </w:tcBorders>
            <w:hideMark/>
          </w:tcPr>
          <w:p w14:paraId="05F1820C" w14:textId="77777777" w:rsidR="0054529F" w:rsidRPr="0054529F" w:rsidRDefault="0054529F" w:rsidP="009A06C9">
            <w:pPr>
              <w:ind w:left="127"/>
              <w:rPr>
                <w:sz w:val="24"/>
                <w:szCs w:val="24"/>
              </w:rPr>
            </w:pPr>
            <w:r w:rsidRPr="0054529F">
              <w:rPr>
                <w:sz w:val="24"/>
                <w:szCs w:val="24"/>
              </w:rPr>
              <w:t>Kvalme</w:t>
            </w:r>
          </w:p>
          <w:p w14:paraId="1D16B6EB" w14:textId="77777777" w:rsidR="0054529F" w:rsidRPr="0054529F" w:rsidRDefault="0054529F" w:rsidP="009A06C9">
            <w:pPr>
              <w:ind w:left="127"/>
              <w:rPr>
                <w:sz w:val="24"/>
                <w:szCs w:val="24"/>
              </w:rPr>
            </w:pPr>
            <w:r w:rsidRPr="0054529F">
              <w:rPr>
                <w:sz w:val="24"/>
                <w:szCs w:val="24"/>
              </w:rPr>
              <w:t>Opkastning.</w:t>
            </w:r>
          </w:p>
        </w:tc>
      </w:tr>
      <w:tr w:rsidR="0054529F" w:rsidRPr="0054529F" w14:paraId="776B527A" w14:textId="77777777" w:rsidTr="00043A0F">
        <w:trPr>
          <w:trHeight w:val="505"/>
        </w:trPr>
        <w:tc>
          <w:tcPr>
            <w:tcW w:w="1746" w:type="pct"/>
            <w:vMerge w:val="restart"/>
            <w:tcBorders>
              <w:top w:val="single" w:sz="4" w:space="0" w:color="000000"/>
              <w:left w:val="single" w:sz="4" w:space="0" w:color="000000"/>
              <w:bottom w:val="single" w:sz="4" w:space="0" w:color="000000"/>
              <w:right w:val="single" w:sz="4" w:space="0" w:color="000000"/>
            </w:tcBorders>
            <w:vAlign w:val="center"/>
          </w:tcPr>
          <w:p w14:paraId="75466F63" w14:textId="77777777" w:rsidR="0054529F" w:rsidRPr="0054529F" w:rsidRDefault="0054529F" w:rsidP="009A06C9">
            <w:pPr>
              <w:ind w:left="127"/>
              <w:rPr>
                <w:sz w:val="24"/>
                <w:szCs w:val="24"/>
              </w:rPr>
            </w:pPr>
            <w:r w:rsidRPr="0054529F">
              <w:rPr>
                <w:sz w:val="24"/>
                <w:szCs w:val="24"/>
              </w:rPr>
              <w:t>Hud og subkutane væv</w:t>
            </w:r>
          </w:p>
        </w:tc>
        <w:tc>
          <w:tcPr>
            <w:tcW w:w="1064" w:type="pct"/>
            <w:tcBorders>
              <w:top w:val="single" w:sz="4" w:space="0" w:color="000000"/>
              <w:left w:val="single" w:sz="4" w:space="0" w:color="000000"/>
              <w:bottom w:val="single" w:sz="4" w:space="0" w:color="000000"/>
              <w:right w:val="single" w:sz="4" w:space="0" w:color="000000"/>
            </w:tcBorders>
            <w:hideMark/>
          </w:tcPr>
          <w:p w14:paraId="2A2C0D4C" w14:textId="77777777" w:rsidR="0054529F" w:rsidRPr="0054529F" w:rsidRDefault="0054529F" w:rsidP="009A06C9">
            <w:pPr>
              <w:ind w:left="127"/>
              <w:rPr>
                <w:sz w:val="24"/>
                <w:szCs w:val="24"/>
              </w:rPr>
            </w:pPr>
            <w:r w:rsidRPr="0054529F">
              <w:rPr>
                <w:sz w:val="24"/>
                <w:szCs w:val="24"/>
              </w:rPr>
              <w:t>Ikke almindelig</w:t>
            </w:r>
          </w:p>
        </w:tc>
        <w:tc>
          <w:tcPr>
            <w:tcW w:w="2190" w:type="pct"/>
            <w:tcBorders>
              <w:top w:val="single" w:sz="4" w:space="0" w:color="000000"/>
              <w:left w:val="single" w:sz="4" w:space="0" w:color="000000"/>
              <w:bottom w:val="single" w:sz="4" w:space="0" w:color="000000"/>
              <w:right w:val="single" w:sz="4" w:space="0" w:color="000000"/>
            </w:tcBorders>
            <w:hideMark/>
          </w:tcPr>
          <w:p w14:paraId="7706D879" w14:textId="77777777" w:rsidR="0054529F" w:rsidRPr="0054529F" w:rsidRDefault="0054529F" w:rsidP="009A06C9">
            <w:pPr>
              <w:ind w:left="127"/>
              <w:rPr>
                <w:sz w:val="24"/>
                <w:szCs w:val="24"/>
              </w:rPr>
            </w:pPr>
            <w:proofErr w:type="spellStart"/>
            <w:r w:rsidRPr="0054529F">
              <w:rPr>
                <w:sz w:val="24"/>
                <w:szCs w:val="24"/>
              </w:rPr>
              <w:t>Kontaktdermatit</w:t>
            </w:r>
            <w:proofErr w:type="spellEnd"/>
          </w:p>
          <w:p w14:paraId="5CAB9F2E" w14:textId="77777777" w:rsidR="0054529F" w:rsidRPr="0054529F" w:rsidRDefault="0054529F" w:rsidP="009A06C9">
            <w:pPr>
              <w:ind w:left="127"/>
              <w:rPr>
                <w:sz w:val="24"/>
                <w:szCs w:val="24"/>
              </w:rPr>
            </w:pPr>
            <w:r w:rsidRPr="0054529F">
              <w:rPr>
                <w:sz w:val="24"/>
                <w:szCs w:val="24"/>
              </w:rPr>
              <w:t>Brændende fornemmelse i huden</w:t>
            </w:r>
          </w:p>
          <w:p w14:paraId="3F06800D" w14:textId="77777777" w:rsidR="0054529F" w:rsidRPr="0054529F" w:rsidRDefault="0054529F" w:rsidP="009A06C9">
            <w:pPr>
              <w:ind w:left="127"/>
              <w:rPr>
                <w:sz w:val="24"/>
                <w:szCs w:val="24"/>
              </w:rPr>
            </w:pPr>
            <w:r w:rsidRPr="0054529F">
              <w:rPr>
                <w:sz w:val="24"/>
                <w:szCs w:val="24"/>
              </w:rPr>
              <w:t>Tør hud</w:t>
            </w:r>
          </w:p>
        </w:tc>
      </w:tr>
      <w:tr w:rsidR="0054529F" w:rsidRPr="0054529F" w14:paraId="1AECF606" w14:textId="77777777" w:rsidTr="00043A0F">
        <w:trPr>
          <w:trHeight w:val="756"/>
        </w:trPr>
        <w:tc>
          <w:tcPr>
            <w:tcW w:w="1746" w:type="pct"/>
            <w:vMerge/>
            <w:tcBorders>
              <w:top w:val="single" w:sz="4" w:space="0" w:color="000000"/>
              <w:left w:val="single" w:sz="4" w:space="0" w:color="000000"/>
              <w:bottom w:val="single" w:sz="4" w:space="0" w:color="000000"/>
              <w:right w:val="single" w:sz="4" w:space="0" w:color="000000"/>
            </w:tcBorders>
            <w:vAlign w:val="center"/>
            <w:hideMark/>
          </w:tcPr>
          <w:p w14:paraId="6B4817C4" w14:textId="77777777" w:rsidR="0054529F" w:rsidRPr="0054529F" w:rsidRDefault="0054529F" w:rsidP="009A06C9">
            <w:pPr>
              <w:ind w:left="127"/>
              <w:rPr>
                <w:sz w:val="24"/>
                <w:szCs w:val="24"/>
              </w:rPr>
            </w:pPr>
          </w:p>
        </w:tc>
        <w:tc>
          <w:tcPr>
            <w:tcW w:w="1064" w:type="pct"/>
            <w:tcBorders>
              <w:top w:val="single" w:sz="4" w:space="0" w:color="000000"/>
              <w:left w:val="single" w:sz="4" w:space="0" w:color="000000"/>
              <w:bottom w:val="single" w:sz="4" w:space="0" w:color="000000"/>
              <w:right w:val="single" w:sz="4" w:space="0" w:color="000000"/>
            </w:tcBorders>
            <w:hideMark/>
          </w:tcPr>
          <w:p w14:paraId="5E55DA60" w14:textId="69921C84" w:rsidR="0054529F" w:rsidRPr="0054529F" w:rsidRDefault="0054529F" w:rsidP="00043A0F">
            <w:pPr>
              <w:ind w:left="127"/>
              <w:rPr>
                <w:sz w:val="24"/>
                <w:szCs w:val="24"/>
              </w:rPr>
            </w:pPr>
            <w:r w:rsidRPr="0054529F">
              <w:rPr>
                <w:sz w:val="24"/>
                <w:szCs w:val="24"/>
              </w:rPr>
              <w:t>Bivirkninger, hvor</w:t>
            </w:r>
            <w:r w:rsidR="00043A0F">
              <w:rPr>
                <w:sz w:val="24"/>
                <w:szCs w:val="24"/>
              </w:rPr>
              <w:t xml:space="preserve"> </w:t>
            </w:r>
            <w:r w:rsidRPr="0054529F">
              <w:rPr>
                <w:sz w:val="24"/>
                <w:szCs w:val="24"/>
              </w:rPr>
              <w:t>hyppigheden ikke er kendt</w:t>
            </w:r>
          </w:p>
        </w:tc>
        <w:tc>
          <w:tcPr>
            <w:tcW w:w="2190" w:type="pct"/>
            <w:tcBorders>
              <w:top w:val="single" w:sz="4" w:space="0" w:color="000000"/>
              <w:left w:val="single" w:sz="4" w:space="0" w:color="000000"/>
              <w:bottom w:val="single" w:sz="4" w:space="0" w:color="000000"/>
              <w:right w:val="single" w:sz="4" w:space="0" w:color="000000"/>
            </w:tcBorders>
            <w:hideMark/>
          </w:tcPr>
          <w:p w14:paraId="1EA7802D" w14:textId="77777777" w:rsidR="0054529F" w:rsidRPr="0054529F" w:rsidRDefault="0054529F" w:rsidP="009A06C9">
            <w:pPr>
              <w:ind w:left="127"/>
              <w:rPr>
                <w:sz w:val="24"/>
                <w:szCs w:val="24"/>
              </w:rPr>
            </w:pPr>
            <w:proofErr w:type="spellStart"/>
            <w:r w:rsidRPr="0054529F">
              <w:rPr>
                <w:sz w:val="24"/>
                <w:szCs w:val="24"/>
              </w:rPr>
              <w:t>Dermatitis</w:t>
            </w:r>
            <w:proofErr w:type="spellEnd"/>
            <w:r w:rsidRPr="0054529F">
              <w:rPr>
                <w:sz w:val="24"/>
                <w:szCs w:val="24"/>
              </w:rPr>
              <w:br/>
            </w:r>
            <w:proofErr w:type="spellStart"/>
            <w:r w:rsidRPr="0054529F">
              <w:rPr>
                <w:sz w:val="24"/>
                <w:szCs w:val="24"/>
              </w:rPr>
              <w:t>Erytem</w:t>
            </w:r>
            <w:proofErr w:type="spellEnd"/>
          </w:p>
        </w:tc>
      </w:tr>
      <w:tr w:rsidR="0054529F" w:rsidRPr="0054529F" w14:paraId="5020BD9F" w14:textId="77777777" w:rsidTr="00043A0F">
        <w:trPr>
          <w:trHeight w:val="253"/>
        </w:trPr>
        <w:tc>
          <w:tcPr>
            <w:tcW w:w="1746" w:type="pct"/>
            <w:vMerge w:val="restart"/>
            <w:tcBorders>
              <w:top w:val="single" w:sz="4" w:space="0" w:color="000000"/>
              <w:left w:val="single" w:sz="4" w:space="0" w:color="000000"/>
              <w:bottom w:val="single" w:sz="4" w:space="0" w:color="000000"/>
              <w:right w:val="single" w:sz="4" w:space="0" w:color="000000"/>
            </w:tcBorders>
            <w:vAlign w:val="center"/>
            <w:hideMark/>
          </w:tcPr>
          <w:p w14:paraId="0FA6F616" w14:textId="77777777" w:rsidR="0054529F" w:rsidRPr="0054529F" w:rsidRDefault="0054529F" w:rsidP="009A06C9">
            <w:pPr>
              <w:ind w:left="127"/>
              <w:rPr>
                <w:sz w:val="24"/>
                <w:szCs w:val="24"/>
              </w:rPr>
            </w:pPr>
            <w:r w:rsidRPr="0054529F">
              <w:rPr>
                <w:sz w:val="24"/>
                <w:szCs w:val="24"/>
              </w:rPr>
              <w:t>Almene symptomer og reaktioner på administrationsstedet</w:t>
            </w:r>
          </w:p>
        </w:tc>
        <w:tc>
          <w:tcPr>
            <w:tcW w:w="1064" w:type="pct"/>
            <w:tcBorders>
              <w:top w:val="single" w:sz="4" w:space="0" w:color="000000"/>
              <w:left w:val="single" w:sz="4" w:space="0" w:color="000000"/>
              <w:bottom w:val="single" w:sz="4" w:space="0" w:color="000000"/>
              <w:right w:val="single" w:sz="4" w:space="0" w:color="000000"/>
            </w:tcBorders>
            <w:hideMark/>
          </w:tcPr>
          <w:p w14:paraId="133B5C6C" w14:textId="77777777" w:rsidR="0054529F" w:rsidRPr="0054529F" w:rsidRDefault="0054529F" w:rsidP="009A06C9">
            <w:pPr>
              <w:ind w:left="127"/>
              <w:rPr>
                <w:sz w:val="24"/>
                <w:szCs w:val="24"/>
              </w:rPr>
            </w:pPr>
            <w:r w:rsidRPr="0054529F">
              <w:rPr>
                <w:sz w:val="24"/>
                <w:szCs w:val="24"/>
              </w:rPr>
              <w:t>Almindelige</w:t>
            </w:r>
          </w:p>
        </w:tc>
        <w:tc>
          <w:tcPr>
            <w:tcW w:w="2190" w:type="pct"/>
            <w:tcBorders>
              <w:top w:val="single" w:sz="4" w:space="0" w:color="000000"/>
              <w:left w:val="single" w:sz="4" w:space="0" w:color="000000"/>
              <w:bottom w:val="single" w:sz="4" w:space="0" w:color="000000"/>
              <w:right w:val="single" w:sz="4" w:space="0" w:color="000000"/>
            </w:tcBorders>
            <w:hideMark/>
          </w:tcPr>
          <w:p w14:paraId="67555813" w14:textId="77777777" w:rsidR="0054529F" w:rsidRPr="0054529F" w:rsidRDefault="0054529F" w:rsidP="009A06C9">
            <w:pPr>
              <w:ind w:left="127"/>
              <w:rPr>
                <w:sz w:val="24"/>
                <w:szCs w:val="24"/>
              </w:rPr>
            </w:pPr>
            <w:r w:rsidRPr="0054529F">
              <w:rPr>
                <w:sz w:val="24"/>
                <w:szCs w:val="24"/>
              </w:rPr>
              <w:t>Træthed</w:t>
            </w:r>
          </w:p>
        </w:tc>
      </w:tr>
      <w:tr w:rsidR="0054529F" w:rsidRPr="0054529F" w14:paraId="4EE13BB9" w14:textId="77777777" w:rsidTr="009A06C9">
        <w:trPr>
          <w:trHeight w:val="758"/>
        </w:trPr>
        <w:tc>
          <w:tcPr>
            <w:tcW w:w="1746" w:type="pct"/>
            <w:vMerge/>
            <w:tcBorders>
              <w:top w:val="single" w:sz="4" w:space="0" w:color="000000"/>
              <w:left w:val="single" w:sz="4" w:space="0" w:color="000000"/>
              <w:bottom w:val="single" w:sz="4" w:space="0" w:color="000000"/>
              <w:right w:val="single" w:sz="4" w:space="0" w:color="000000"/>
            </w:tcBorders>
            <w:vAlign w:val="center"/>
            <w:hideMark/>
          </w:tcPr>
          <w:p w14:paraId="13176C1C" w14:textId="77777777" w:rsidR="0054529F" w:rsidRPr="0054529F" w:rsidRDefault="0054529F" w:rsidP="009A06C9">
            <w:pPr>
              <w:ind w:left="127"/>
              <w:rPr>
                <w:sz w:val="24"/>
                <w:szCs w:val="24"/>
              </w:rPr>
            </w:pPr>
          </w:p>
        </w:tc>
        <w:tc>
          <w:tcPr>
            <w:tcW w:w="1064" w:type="pct"/>
            <w:tcBorders>
              <w:top w:val="single" w:sz="4" w:space="0" w:color="000000"/>
              <w:left w:val="single" w:sz="4" w:space="0" w:color="000000"/>
              <w:bottom w:val="single" w:sz="4" w:space="0" w:color="000000"/>
              <w:right w:val="single" w:sz="4" w:space="0" w:color="000000"/>
            </w:tcBorders>
            <w:hideMark/>
          </w:tcPr>
          <w:p w14:paraId="4DEDF468" w14:textId="78B683B8" w:rsidR="0054529F" w:rsidRPr="0054529F" w:rsidRDefault="0054529F" w:rsidP="00043A0F">
            <w:pPr>
              <w:ind w:left="127"/>
              <w:rPr>
                <w:sz w:val="24"/>
                <w:szCs w:val="24"/>
              </w:rPr>
            </w:pPr>
            <w:r w:rsidRPr="0054529F">
              <w:rPr>
                <w:sz w:val="24"/>
                <w:szCs w:val="24"/>
              </w:rPr>
              <w:t>Bivirkninger, hvor hyppigheden ikke</w:t>
            </w:r>
            <w:r w:rsidR="00043A0F">
              <w:rPr>
                <w:sz w:val="24"/>
                <w:szCs w:val="24"/>
              </w:rPr>
              <w:t xml:space="preserve"> </w:t>
            </w:r>
            <w:r w:rsidRPr="0054529F">
              <w:rPr>
                <w:sz w:val="24"/>
                <w:szCs w:val="24"/>
              </w:rPr>
              <w:t>er kendt</w:t>
            </w:r>
          </w:p>
        </w:tc>
        <w:tc>
          <w:tcPr>
            <w:tcW w:w="2190" w:type="pct"/>
            <w:tcBorders>
              <w:top w:val="single" w:sz="4" w:space="0" w:color="000000"/>
              <w:left w:val="single" w:sz="4" w:space="0" w:color="000000"/>
              <w:bottom w:val="single" w:sz="4" w:space="0" w:color="000000"/>
              <w:right w:val="single" w:sz="4" w:space="0" w:color="000000"/>
            </w:tcBorders>
            <w:hideMark/>
          </w:tcPr>
          <w:p w14:paraId="3CC626CD" w14:textId="77777777" w:rsidR="0054529F" w:rsidRPr="0054529F" w:rsidRDefault="0054529F" w:rsidP="009A06C9">
            <w:pPr>
              <w:ind w:left="127"/>
              <w:rPr>
                <w:sz w:val="24"/>
                <w:szCs w:val="24"/>
              </w:rPr>
            </w:pPr>
            <w:r w:rsidRPr="0054529F">
              <w:rPr>
                <w:sz w:val="24"/>
                <w:szCs w:val="24"/>
              </w:rPr>
              <w:t>Asteni</w:t>
            </w:r>
          </w:p>
          <w:p w14:paraId="18CB6B54" w14:textId="77777777" w:rsidR="0054529F" w:rsidRPr="0054529F" w:rsidRDefault="0054529F" w:rsidP="009A06C9">
            <w:pPr>
              <w:ind w:left="127"/>
              <w:rPr>
                <w:sz w:val="24"/>
                <w:szCs w:val="24"/>
              </w:rPr>
            </w:pPr>
            <w:r w:rsidRPr="0054529F">
              <w:rPr>
                <w:sz w:val="24"/>
                <w:szCs w:val="24"/>
              </w:rPr>
              <w:t>Utilpashed</w:t>
            </w:r>
          </w:p>
        </w:tc>
      </w:tr>
    </w:tbl>
    <w:p w14:paraId="31BD099D" w14:textId="77777777" w:rsidR="0054529F" w:rsidRPr="0054529F" w:rsidRDefault="0054529F" w:rsidP="0054529F">
      <w:pPr>
        <w:tabs>
          <w:tab w:val="left" w:pos="851"/>
        </w:tabs>
        <w:ind w:left="851"/>
        <w:rPr>
          <w:sz w:val="24"/>
          <w:szCs w:val="24"/>
          <w:u w:val="single"/>
        </w:rPr>
      </w:pPr>
    </w:p>
    <w:p w14:paraId="3C26AAF8" w14:textId="77777777" w:rsidR="0054529F" w:rsidRPr="0054529F" w:rsidRDefault="0054529F" w:rsidP="009A06C9">
      <w:pPr>
        <w:ind w:left="851"/>
        <w:rPr>
          <w:sz w:val="24"/>
          <w:szCs w:val="24"/>
        </w:rPr>
      </w:pPr>
      <w:r w:rsidRPr="0054529F">
        <w:rPr>
          <w:sz w:val="24"/>
          <w:szCs w:val="24"/>
        </w:rPr>
        <w:t xml:space="preserve">Sjældne tilfælde af hornhindeforkalkning er blevet rapporteret i forbindelse med anvendelsen af </w:t>
      </w:r>
      <w:proofErr w:type="spellStart"/>
      <w:r w:rsidRPr="0054529F">
        <w:rPr>
          <w:sz w:val="24"/>
          <w:szCs w:val="24"/>
        </w:rPr>
        <w:t>phosphatholdige</w:t>
      </w:r>
      <w:proofErr w:type="spellEnd"/>
      <w:r w:rsidRPr="0054529F">
        <w:rPr>
          <w:sz w:val="24"/>
          <w:szCs w:val="24"/>
        </w:rPr>
        <w:t xml:space="preserve"> øjendråber hos nogle patienter med signifikant beskadigede hornhinder.</w:t>
      </w:r>
    </w:p>
    <w:p w14:paraId="3279CB41" w14:textId="77777777" w:rsidR="0054529F" w:rsidRPr="0054529F" w:rsidRDefault="0054529F" w:rsidP="009A06C9">
      <w:pPr>
        <w:ind w:left="851"/>
        <w:rPr>
          <w:sz w:val="24"/>
          <w:szCs w:val="24"/>
        </w:rPr>
      </w:pPr>
    </w:p>
    <w:p w14:paraId="05774A51" w14:textId="77777777" w:rsidR="0054529F" w:rsidRPr="0054529F" w:rsidRDefault="0054529F" w:rsidP="009A06C9">
      <w:pPr>
        <w:ind w:left="851"/>
        <w:rPr>
          <w:sz w:val="24"/>
          <w:szCs w:val="24"/>
        </w:rPr>
      </w:pPr>
      <w:r w:rsidRPr="0054529F">
        <w:rPr>
          <w:sz w:val="24"/>
          <w:szCs w:val="24"/>
          <w:u w:val="single"/>
        </w:rPr>
        <w:t>Indberetning af formodede bivirkninger</w:t>
      </w:r>
    </w:p>
    <w:p w14:paraId="4C6AC6C3" w14:textId="77777777" w:rsidR="0054529F" w:rsidRPr="0054529F" w:rsidRDefault="0054529F" w:rsidP="009A06C9">
      <w:pPr>
        <w:ind w:left="851"/>
        <w:rPr>
          <w:sz w:val="24"/>
          <w:szCs w:val="24"/>
        </w:rPr>
      </w:pPr>
      <w:r w:rsidRPr="0054529F">
        <w:rPr>
          <w:sz w:val="24"/>
          <w:szCs w:val="24"/>
        </w:rPr>
        <w:t>Når lægemidlet er godkendt, er indberetning af formodede bivirkninger vigtig. Det muliggør løbende overvågning af benefit/</w:t>
      </w:r>
      <w:proofErr w:type="spellStart"/>
      <w:r w:rsidRPr="0054529F">
        <w:rPr>
          <w:sz w:val="24"/>
          <w:szCs w:val="24"/>
        </w:rPr>
        <w:t>risk</w:t>
      </w:r>
      <w:proofErr w:type="spellEnd"/>
      <w:r w:rsidRPr="0054529F">
        <w:rPr>
          <w:sz w:val="24"/>
          <w:szCs w:val="24"/>
        </w:rPr>
        <w:t>-forholdet for lægemidlet. Sundhedspersoner anmodes om at indberette alle formodede bivirkninger via:</w:t>
      </w:r>
    </w:p>
    <w:p w14:paraId="37580FAA" w14:textId="77777777" w:rsidR="0054529F" w:rsidRPr="0054529F" w:rsidRDefault="0054529F" w:rsidP="009A06C9">
      <w:pPr>
        <w:ind w:left="851"/>
        <w:rPr>
          <w:sz w:val="24"/>
          <w:szCs w:val="24"/>
        </w:rPr>
      </w:pPr>
    </w:p>
    <w:p w14:paraId="485DCB04" w14:textId="77777777" w:rsidR="0054529F" w:rsidRPr="0054529F" w:rsidRDefault="0054529F" w:rsidP="009A06C9">
      <w:pPr>
        <w:ind w:left="851"/>
        <w:rPr>
          <w:sz w:val="24"/>
          <w:szCs w:val="24"/>
        </w:rPr>
      </w:pPr>
      <w:r w:rsidRPr="0054529F">
        <w:rPr>
          <w:sz w:val="24"/>
          <w:szCs w:val="24"/>
        </w:rPr>
        <w:t>Lægemiddelstyrelsen</w:t>
      </w:r>
      <w:r w:rsidRPr="0054529F">
        <w:rPr>
          <w:sz w:val="24"/>
          <w:szCs w:val="24"/>
        </w:rPr>
        <w:br/>
        <w:t>Axel Heides Gade 1</w:t>
      </w:r>
    </w:p>
    <w:p w14:paraId="5142459F" w14:textId="77777777" w:rsidR="0054529F" w:rsidRPr="0054529F" w:rsidRDefault="0054529F" w:rsidP="009A06C9">
      <w:pPr>
        <w:ind w:left="851"/>
        <w:rPr>
          <w:sz w:val="24"/>
          <w:szCs w:val="24"/>
        </w:rPr>
      </w:pPr>
      <w:r w:rsidRPr="0054529F">
        <w:rPr>
          <w:sz w:val="24"/>
          <w:szCs w:val="24"/>
        </w:rPr>
        <w:t>DK-2300 København S</w:t>
      </w:r>
    </w:p>
    <w:p w14:paraId="7675D78D" w14:textId="77777777" w:rsidR="0054529F" w:rsidRPr="0054529F" w:rsidRDefault="0054529F" w:rsidP="009A06C9">
      <w:pPr>
        <w:ind w:left="851"/>
        <w:rPr>
          <w:sz w:val="24"/>
          <w:szCs w:val="24"/>
        </w:rPr>
      </w:pPr>
      <w:r w:rsidRPr="0054529F">
        <w:rPr>
          <w:sz w:val="24"/>
          <w:szCs w:val="24"/>
        </w:rPr>
        <w:t xml:space="preserve">Websted: </w:t>
      </w:r>
      <w:hyperlink r:id="rId8" w:history="1">
        <w:r w:rsidRPr="0054529F">
          <w:rPr>
            <w:rStyle w:val="Hyperlink"/>
            <w:sz w:val="24"/>
            <w:szCs w:val="24"/>
          </w:rPr>
          <w:t>www.meldenbivirkning.dk</w:t>
        </w:r>
      </w:hyperlink>
    </w:p>
    <w:p w14:paraId="71E4D330" w14:textId="77777777" w:rsidR="009260DE" w:rsidRPr="00043A0F" w:rsidRDefault="009260DE" w:rsidP="00A10294">
      <w:pPr>
        <w:tabs>
          <w:tab w:val="left" w:pos="851"/>
        </w:tabs>
        <w:ind w:left="851"/>
        <w:rPr>
          <w:sz w:val="24"/>
          <w:szCs w:val="24"/>
        </w:rPr>
      </w:pPr>
    </w:p>
    <w:p w14:paraId="7286C096" w14:textId="77777777" w:rsidR="009260DE" w:rsidRPr="00043A0F" w:rsidRDefault="009260DE" w:rsidP="009260DE">
      <w:pPr>
        <w:tabs>
          <w:tab w:val="left" w:pos="851"/>
        </w:tabs>
        <w:ind w:left="851" w:hanging="851"/>
        <w:rPr>
          <w:b/>
          <w:sz w:val="24"/>
          <w:szCs w:val="24"/>
        </w:rPr>
      </w:pPr>
      <w:r w:rsidRPr="00043A0F">
        <w:rPr>
          <w:b/>
          <w:sz w:val="24"/>
          <w:szCs w:val="24"/>
        </w:rPr>
        <w:t>4.9</w:t>
      </w:r>
      <w:r w:rsidRPr="00043A0F">
        <w:rPr>
          <w:b/>
          <w:sz w:val="24"/>
          <w:szCs w:val="24"/>
        </w:rPr>
        <w:tab/>
        <w:t>Overdosering</w:t>
      </w:r>
    </w:p>
    <w:p w14:paraId="5EA01CBB" w14:textId="77777777" w:rsidR="0054529F" w:rsidRPr="0054529F" w:rsidRDefault="0054529F" w:rsidP="009A06C9">
      <w:pPr>
        <w:ind w:left="851"/>
        <w:rPr>
          <w:sz w:val="24"/>
          <w:szCs w:val="24"/>
        </w:rPr>
      </w:pPr>
      <w:r w:rsidRPr="0054529F">
        <w:rPr>
          <w:sz w:val="24"/>
          <w:szCs w:val="24"/>
        </w:rPr>
        <w:t xml:space="preserve">Ingen humane data er tilgængelige mht. overdosering ved uheld eller forsætlig indtagelse. </w:t>
      </w:r>
      <w:proofErr w:type="spellStart"/>
      <w:r w:rsidRPr="0054529F">
        <w:rPr>
          <w:sz w:val="24"/>
          <w:szCs w:val="24"/>
        </w:rPr>
        <w:t>Olopatadin</w:t>
      </w:r>
      <w:proofErr w:type="spellEnd"/>
      <w:r w:rsidRPr="0054529F">
        <w:rPr>
          <w:sz w:val="24"/>
          <w:szCs w:val="24"/>
        </w:rPr>
        <w:t xml:space="preserve"> udviser ringe akut toksicitet hos dyr. Indtagelse ved et uheld af hele flaskens indhold af </w:t>
      </w:r>
      <w:proofErr w:type="spellStart"/>
      <w:r w:rsidRPr="0054529F">
        <w:rPr>
          <w:sz w:val="24"/>
          <w:szCs w:val="24"/>
        </w:rPr>
        <w:t>Olpalan</w:t>
      </w:r>
      <w:proofErr w:type="spellEnd"/>
      <w:r w:rsidRPr="0054529F">
        <w:rPr>
          <w:sz w:val="24"/>
          <w:szCs w:val="24"/>
        </w:rPr>
        <w:t xml:space="preserve">, vil give en maksimal systemisk eksponering af 5 mg </w:t>
      </w:r>
      <w:proofErr w:type="spellStart"/>
      <w:r w:rsidRPr="0054529F">
        <w:rPr>
          <w:sz w:val="24"/>
          <w:szCs w:val="24"/>
        </w:rPr>
        <w:t>olopatadin</w:t>
      </w:r>
      <w:proofErr w:type="spellEnd"/>
      <w:r w:rsidRPr="0054529F">
        <w:rPr>
          <w:sz w:val="24"/>
          <w:szCs w:val="24"/>
        </w:rPr>
        <w:t>. Denne eksponering vil medføre en slutdosis på 0,5 mg/kg hos et barn på 10 kg, hvis det antages at absorptionen er 100 %.</w:t>
      </w:r>
    </w:p>
    <w:p w14:paraId="3F7B185C" w14:textId="77777777" w:rsidR="0054529F" w:rsidRPr="0054529F" w:rsidRDefault="0054529F" w:rsidP="009A06C9">
      <w:pPr>
        <w:ind w:left="851"/>
        <w:rPr>
          <w:sz w:val="24"/>
          <w:szCs w:val="24"/>
        </w:rPr>
      </w:pPr>
    </w:p>
    <w:p w14:paraId="706266DF" w14:textId="77777777" w:rsidR="0054529F" w:rsidRPr="0054529F" w:rsidRDefault="0054529F" w:rsidP="009A06C9">
      <w:pPr>
        <w:ind w:left="851"/>
        <w:rPr>
          <w:sz w:val="24"/>
          <w:szCs w:val="24"/>
        </w:rPr>
      </w:pPr>
      <w:r w:rsidRPr="0054529F">
        <w:rPr>
          <w:sz w:val="24"/>
          <w:szCs w:val="24"/>
        </w:rPr>
        <w:t xml:space="preserve">Forlængelse af </w:t>
      </w:r>
      <w:proofErr w:type="spellStart"/>
      <w:r w:rsidRPr="0054529F">
        <w:rPr>
          <w:sz w:val="24"/>
          <w:szCs w:val="24"/>
        </w:rPr>
        <w:t>QTc</w:t>
      </w:r>
      <w:proofErr w:type="spellEnd"/>
      <w:r w:rsidRPr="0054529F">
        <w:rPr>
          <w:sz w:val="24"/>
          <w:szCs w:val="24"/>
        </w:rPr>
        <w:t xml:space="preserve">-intervallet er kun observeret hos hunde, som blev eksponeret med doser langt over den maximale humane eksponering, hvilket indikerer ringe klinisk relevans. 5 mg </w:t>
      </w:r>
      <w:proofErr w:type="spellStart"/>
      <w:r w:rsidRPr="0054529F">
        <w:rPr>
          <w:sz w:val="24"/>
          <w:szCs w:val="24"/>
        </w:rPr>
        <w:t>olopatadin</w:t>
      </w:r>
      <w:proofErr w:type="spellEnd"/>
      <w:r w:rsidRPr="0054529F">
        <w:rPr>
          <w:sz w:val="24"/>
          <w:szCs w:val="24"/>
        </w:rPr>
        <w:t xml:space="preserve"> administreret oralt 2 gange daglig i 2,5 dage til 102 unge og gamle (mænd og kvinder) raske forsøgspersoner forlængede ikke </w:t>
      </w:r>
      <w:proofErr w:type="spellStart"/>
      <w:r w:rsidRPr="0054529F">
        <w:rPr>
          <w:sz w:val="24"/>
          <w:szCs w:val="24"/>
        </w:rPr>
        <w:t>QTc</w:t>
      </w:r>
      <w:proofErr w:type="spellEnd"/>
      <w:r w:rsidRPr="0054529F">
        <w:rPr>
          <w:sz w:val="24"/>
          <w:szCs w:val="24"/>
        </w:rPr>
        <w:t xml:space="preserve">-intervallet signifikant sammenlignet med placebo. Intervallet for peak </w:t>
      </w:r>
      <w:proofErr w:type="spellStart"/>
      <w:r w:rsidRPr="0054529F">
        <w:rPr>
          <w:sz w:val="24"/>
          <w:szCs w:val="24"/>
        </w:rPr>
        <w:t>steady-state</w:t>
      </w:r>
      <w:proofErr w:type="spellEnd"/>
      <w:r w:rsidRPr="0054529F">
        <w:rPr>
          <w:sz w:val="24"/>
          <w:szCs w:val="24"/>
        </w:rPr>
        <w:t xml:space="preserve"> </w:t>
      </w:r>
      <w:r w:rsidRPr="0054529F">
        <w:rPr>
          <w:sz w:val="24"/>
          <w:szCs w:val="24"/>
        </w:rPr>
        <w:lastRenderedPageBreak/>
        <w:t xml:space="preserve">plasmakoncentrationer for </w:t>
      </w:r>
      <w:proofErr w:type="spellStart"/>
      <w:r w:rsidRPr="0054529F">
        <w:rPr>
          <w:sz w:val="24"/>
          <w:szCs w:val="24"/>
        </w:rPr>
        <w:t>olopatadin</w:t>
      </w:r>
      <w:proofErr w:type="spellEnd"/>
      <w:r w:rsidRPr="0054529F">
        <w:rPr>
          <w:sz w:val="24"/>
          <w:szCs w:val="24"/>
        </w:rPr>
        <w:t xml:space="preserve"> (35 til 127 </w:t>
      </w:r>
      <w:proofErr w:type="spellStart"/>
      <w:r w:rsidRPr="0054529F">
        <w:rPr>
          <w:sz w:val="24"/>
          <w:szCs w:val="24"/>
        </w:rPr>
        <w:t>ng</w:t>
      </w:r>
      <w:proofErr w:type="spellEnd"/>
      <w:r w:rsidRPr="0054529F">
        <w:rPr>
          <w:sz w:val="24"/>
          <w:szCs w:val="24"/>
        </w:rPr>
        <w:t xml:space="preserve">/ml) set i dette studie svarer til mindst 70 gange sikkerhedsmargin for </w:t>
      </w:r>
      <w:proofErr w:type="spellStart"/>
      <w:r w:rsidRPr="0054529F">
        <w:rPr>
          <w:sz w:val="24"/>
          <w:szCs w:val="24"/>
        </w:rPr>
        <w:t>topikal</w:t>
      </w:r>
      <w:proofErr w:type="spellEnd"/>
      <w:r w:rsidRPr="0054529F">
        <w:rPr>
          <w:sz w:val="24"/>
          <w:szCs w:val="24"/>
        </w:rPr>
        <w:t xml:space="preserve"> </w:t>
      </w:r>
      <w:proofErr w:type="spellStart"/>
      <w:r w:rsidRPr="0054529F">
        <w:rPr>
          <w:sz w:val="24"/>
          <w:szCs w:val="24"/>
        </w:rPr>
        <w:t>olopatadin</w:t>
      </w:r>
      <w:proofErr w:type="spellEnd"/>
      <w:r w:rsidRPr="0054529F">
        <w:rPr>
          <w:sz w:val="24"/>
          <w:szCs w:val="24"/>
        </w:rPr>
        <w:t xml:space="preserve"> med hensyn til virkning på hjertets </w:t>
      </w:r>
      <w:proofErr w:type="spellStart"/>
      <w:r w:rsidRPr="0054529F">
        <w:rPr>
          <w:sz w:val="24"/>
          <w:szCs w:val="24"/>
        </w:rPr>
        <w:t>repolarisering</w:t>
      </w:r>
      <w:proofErr w:type="spellEnd"/>
      <w:r w:rsidRPr="0054529F">
        <w:rPr>
          <w:sz w:val="24"/>
          <w:szCs w:val="24"/>
        </w:rPr>
        <w:t>.</w:t>
      </w:r>
    </w:p>
    <w:p w14:paraId="0A1176F8" w14:textId="77777777" w:rsidR="0054529F" w:rsidRPr="0054529F" w:rsidRDefault="0054529F" w:rsidP="009A06C9">
      <w:pPr>
        <w:ind w:left="851"/>
        <w:rPr>
          <w:sz w:val="24"/>
          <w:szCs w:val="24"/>
        </w:rPr>
      </w:pPr>
    </w:p>
    <w:p w14:paraId="5B0DC89B" w14:textId="77777777" w:rsidR="0054529F" w:rsidRPr="0054529F" w:rsidRDefault="0054529F" w:rsidP="009A06C9">
      <w:pPr>
        <w:ind w:left="851"/>
        <w:rPr>
          <w:sz w:val="24"/>
          <w:szCs w:val="24"/>
        </w:rPr>
      </w:pPr>
      <w:r w:rsidRPr="0054529F">
        <w:rPr>
          <w:sz w:val="24"/>
          <w:szCs w:val="24"/>
        </w:rPr>
        <w:t>I tilfælde af overdosering skal passende monitorering og behandling af patienten igangsættes.</w:t>
      </w:r>
    </w:p>
    <w:p w14:paraId="5FBCB28D" w14:textId="77777777" w:rsidR="009260DE" w:rsidRPr="00043A0F" w:rsidRDefault="009260DE" w:rsidP="009260DE">
      <w:pPr>
        <w:tabs>
          <w:tab w:val="left" w:pos="851"/>
        </w:tabs>
        <w:ind w:left="851"/>
        <w:rPr>
          <w:sz w:val="24"/>
          <w:szCs w:val="24"/>
        </w:rPr>
      </w:pPr>
    </w:p>
    <w:p w14:paraId="651AB95E" w14:textId="77777777" w:rsidR="009260DE" w:rsidRPr="00043A0F" w:rsidRDefault="009260DE" w:rsidP="009260DE">
      <w:pPr>
        <w:tabs>
          <w:tab w:val="left" w:pos="851"/>
        </w:tabs>
        <w:ind w:left="851" w:hanging="851"/>
        <w:rPr>
          <w:b/>
          <w:sz w:val="24"/>
          <w:szCs w:val="24"/>
        </w:rPr>
      </w:pPr>
      <w:r w:rsidRPr="00043A0F">
        <w:rPr>
          <w:b/>
          <w:sz w:val="24"/>
          <w:szCs w:val="24"/>
        </w:rPr>
        <w:t>4.10</w:t>
      </w:r>
      <w:r w:rsidRPr="00043A0F">
        <w:rPr>
          <w:b/>
          <w:sz w:val="24"/>
          <w:szCs w:val="24"/>
        </w:rPr>
        <w:tab/>
        <w:t>Udlevering</w:t>
      </w:r>
    </w:p>
    <w:p w14:paraId="4D462570" w14:textId="040B3E1B" w:rsidR="009260DE" w:rsidRPr="00043A0F" w:rsidRDefault="0054529F" w:rsidP="009260DE">
      <w:pPr>
        <w:tabs>
          <w:tab w:val="left" w:pos="851"/>
        </w:tabs>
        <w:ind w:left="851"/>
        <w:rPr>
          <w:sz w:val="24"/>
          <w:szCs w:val="24"/>
        </w:rPr>
      </w:pPr>
      <w:r w:rsidRPr="00043A0F">
        <w:rPr>
          <w:sz w:val="24"/>
          <w:szCs w:val="24"/>
        </w:rPr>
        <w:t>B</w:t>
      </w:r>
    </w:p>
    <w:p w14:paraId="17170ECF" w14:textId="77777777" w:rsidR="009260DE" w:rsidRPr="00043A0F" w:rsidRDefault="009260DE" w:rsidP="009260DE">
      <w:pPr>
        <w:tabs>
          <w:tab w:val="left" w:pos="851"/>
        </w:tabs>
        <w:ind w:left="851"/>
        <w:rPr>
          <w:sz w:val="24"/>
          <w:szCs w:val="24"/>
        </w:rPr>
      </w:pPr>
    </w:p>
    <w:p w14:paraId="6A9FDBDC" w14:textId="77777777" w:rsidR="009260DE" w:rsidRPr="00043A0F" w:rsidRDefault="009260DE" w:rsidP="009260DE">
      <w:pPr>
        <w:tabs>
          <w:tab w:val="left" w:pos="851"/>
        </w:tabs>
        <w:ind w:left="851"/>
        <w:rPr>
          <w:sz w:val="24"/>
          <w:szCs w:val="24"/>
        </w:rPr>
      </w:pPr>
    </w:p>
    <w:p w14:paraId="11C27DC3" w14:textId="77777777" w:rsidR="009260DE" w:rsidRPr="00043A0F" w:rsidRDefault="009260DE" w:rsidP="009260DE">
      <w:pPr>
        <w:tabs>
          <w:tab w:val="left" w:pos="851"/>
        </w:tabs>
        <w:ind w:left="851" w:hanging="851"/>
        <w:rPr>
          <w:b/>
          <w:sz w:val="24"/>
          <w:szCs w:val="24"/>
        </w:rPr>
      </w:pPr>
      <w:r w:rsidRPr="00043A0F">
        <w:rPr>
          <w:b/>
          <w:sz w:val="24"/>
          <w:szCs w:val="24"/>
        </w:rPr>
        <w:t>5.</w:t>
      </w:r>
      <w:r w:rsidRPr="00043A0F">
        <w:rPr>
          <w:b/>
          <w:sz w:val="24"/>
          <w:szCs w:val="24"/>
        </w:rPr>
        <w:tab/>
        <w:t>FARMAKOLOGISKE EGENSKABER</w:t>
      </w:r>
    </w:p>
    <w:p w14:paraId="6D5F5876" w14:textId="77777777" w:rsidR="009260DE" w:rsidRPr="00043A0F" w:rsidRDefault="009260DE" w:rsidP="009260DE">
      <w:pPr>
        <w:tabs>
          <w:tab w:val="left" w:pos="851"/>
        </w:tabs>
        <w:ind w:left="851"/>
        <w:rPr>
          <w:sz w:val="24"/>
          <w:szCs w:val="24"/>
        </w:rPr>
      </w:pPr>
    </w:p>
    <w:p w14:paraId="7DD190AA" w14:textId="77777777" w:rsidR="009260DE" w:rsidRPr="00043A0F" w:rsidRDefault="009260DE" w:rsidP="009260DE">
      <w:pPr>
        <w:tabs>
          <w:tab w:val="num" w:pos="851"/>
        </w:tabs>
        <w:ind w:left="851" w:hanging="851"/>
        <w:rPr>
          <w:b/>
          <w:sz w:val="24"/>
          <w:szCs w:val="24"/>
        </w:rPr>
      </w:pPr>
      <w:r w:rsidRPr="00043A0F">
        <w:rPr>
          <w:b/>
          <w:sz w:val="24"/>
          <w:szCs w:val="24"/>
        </w:rPr>
        <w:t>5.1</w:t>
      </w:r>
      <w:r w:rsidRPr="00043A0F">
        <w:rPr>
          <w:b/>
          <w:sz w:val="24"/>
          <w:szCs w:val="24"/>
        </w:rPr>
        <w:tab/>
      </w:r>
      <w:proofErr w:type="spellStart"/>
      <w:r w:rsidRPr="00043A0F">
        <w:rPr>
          <w:b/>
          <w:sz w:val="24"/>
          <w:szCs w:val="24"/>
        </w:rPr>
        <w:t>Farmakodynamiske</w:t>
      </w:r>
      <w:proofErr w:type="spellEnd"/>
      <w:r w:rsidRPr="00043A0F">
        <w:rPr>
          <w:b/>
          <w:sz w:val="24"/>
          <w:szCs w:val="24"/>
        </w:rPr>
        <w:t xml:space="preserve"> egenskaber</w:t>
      </w:r>
    </w:p>
    <w:p w14:paraId="64FF806A" w14:textId="77777777" w:rsidR="0054529F" w:rsidRPr="0054529F" w:rsidRDefault="0054529F" w:rsidP="009A06C9">
      <w:pPr>
        <w:ind w:left="851"/>
        <w:rPr>
          <w:sz w:val="24"/>
          <w:szCs w:val="24"/>
        </w:rPr>
      </w:pPr>
      <w:proofErr w:type="spellStart"/>
      <w:r w:rsidRPr="0054529F">
        <w:rPr>
          <w:sz w:val="24"/>
          <w:szCs w:val="24"/>
        </w:rPr>
        <w:t>Farmakoterapeutisk</w:t>
      </w:r>
      <w:proofErr w:type="spellEnd"/>
      <w:r w:rsidRPr="0054529F">
        <w:rPr>
          <w:sz w:val="24"/>
          <w:szCs w:val="24"/>
        </w:rPr>
        <w:t xml:space="preserve"> klassifikation: </w:t>
      </w:r>
      <w:proofErr w:type="spellStart"/>
      <w:r w:rsidRPr="0054529F">
        <w:rPr>
          <w:sz w:val="24"/>
          <w:szCs w:val="24"/>
        </w:rPr>
        <w:t>Oftalmologika</w:t>
      </w:r>
      <w:proofErr w:type="spellEnd"/>
      <w:r w:rsidRPr="0054529F">
        <w:rPr>
          <w:sz w:val="24"/>
          <w:szCs w:val="24"/>
        </w:rPr>
        <w:t xml:space="preserve">; </w:t>
      </w:r>
      <w:proofErr w:type="spellStart"/>
      <w:r w:rsidRPr="0054529F">
        <w:rPr>
          <w:sz w:val="24"/>
          <w:szCs w:val="24"/>
        </w:rPr>
        <w:t>dekongestanter</w:t>
      </w:r>
      <w:proofErr w:type="spellEnd"/>
      <w:r w:rsidRPr="0054529F">
        <w:rPr>
          <w:sz w:val="24"/>
          <w:szCs w:val="24"/>
        </w:rPr>
        <w:t xml:space="preserve"> og </w:t>
      </w:r>
      <w:proofErr w:type="spellStart"/>
      <w:r w:rsidRPr="0054529F">
        <w:rPr>
          <w:sz w:val="24"/>
          <w:szCs w:val="24"/>
        </w:rPr>
        <w:t>antiallergika</w:t>
      </w:r>
      <w:proofErr w:type="spellEnd"/>
      <w:r w:rsidRPr="0054529F">
        <w:rPr>
          <w:sz w:val="24"/>
          <w:szCs w:val="24"/>
        </w:rPr>
        <w:t xml:space="preserve">; andre </w:t>
      </w:r>
      <w:proofErr w:type="spellStart"/>
      <w:r w:rsidRPr="0054529F">
        <w:rPr>
          <w:sz w:val="24"/>
          <w:szCs w:val="24"/>
        </w:rPr>
        <w:t>antiallergika</w:t>
      </w:r>
      <w:proofErr w:type="spellEnd"/>
      <w:r w:rsidRPr="0054529F">
        <w:rPr>
          <w:sz w:val="24"/>
          <w:szCs w:val="24"/>
        </w:rPr>
        <w:t>, ATC-kode: S01GX09.</w:t>
      </w:r>
    </w:p>
    <w:p w14:paraId="38EE40D8" w14:textId="77777777" w:rsidR="0054529F" w:rsidRPr="0054529F" w:rsidRDefault="0054529F" w:rsidP="009A06C9">
      <w:pPr>
        <w:ind w:left="851"/>
        <w:rPr>
          <w:sz w:val="24"/>
          <w:szCs w:val="24"/>
        </w:rPr>
      </w:pPr>
    </w:p>
    <w:p w14:paraId="273A6C3F" w14:textId="77777777" w:rsidR="0054529F" w:rsidRPr="0054529F" w:rsidRDefault="0054529F" w:rsidP="009A06C9">
      <w:pPr>
        <w:ind w:left="851"/>
        <w:rPr>
          <w:sz w:val="24"/>
          <w:szCs w:val="24"/>
        </w:rPr>
      </w:pPr>
      <w:proofErr w:type="spellStart"/>
      <w:r w:rsidRPr="0054529F">
        <w:rPr>
          <w:sz w:val="24"/>
          <w:szCs w:val="24"/>
        </w:rPr>
        <w:t>Olopatadin</w:t>
      </w:r>
      <w:proofErr w:type="spellEnd"/>
      <w:r w:rsidRPr="0054529F">
        <w:rPr>
          <w:sz w:val="24"/>
          <w:szCs w:val="24"/>
        </w:rPr>
        <w:t xml:space="preserve"> er et potent, selektivt </w:t>
      </w:r>
      <w:proofErr w:type="spellStart"/>
      <w:r w:rsidRPr="0054529F">
        <w:rPr>
          <w:sz w:val="24"/>
          <w:szCs w:val="24"/>
        </w:rPr>
        <w:t>antiallergikum</w:t>
      </w:r>
      <w:proofErr w:type="spellEnd"/>
      <w:r w:rsidRPr="0054529F">
        <w:rPr>
          <w:sz w:val="24"/>
          <w:szCs w:val="24"/>
        </w:rPr>
        <w:t>/</w:t>
      </w:r>
      <w:proofErr w:type="spellStart"/>
      <w:r w:rsidRPr="0054529F">
        <w:rPr>
          <w:sz w:val="24"/>
          <w:szCs w:val="24"/>
        </w:rPr>
        <w:t>antihistaminikum</w:t>
      </w:r>
      <w:proofErr w:type="spellEnd"/>
      <w:r w:rsidRPr="0054529F">
        <w:rPr>
          <w:sz w:val="24"/>
          <w:szCs w:val="24"/>
        </w:rPr>
        <w:t xml:space="preserve">, der udøver sin virkning via mange forskellige virkningsmekanismer. Det </w:t>
      </w:r>
      <w:proofErr w:type="spellStart"/>
      <w:r w:rsidRPr="0054529F">
        <w:rPr>
          <w:sz w:val="24"/>
          <w:szCs w:val="24"/>
        </w:rPr>
        <w:t>antagoniserer</w:t>
      </w:r>
      <w:proofErr w:type="spellEnd"/>
      <w:r w:rsidRPr="0054529F">
        <w:rPr>
          <w:sz w:val="24"/>
          <w:szCs w:val="24"/>
        </w:rPr>
        <w:t xml:space="preserve"> histamin (den primære mediator ved et humant allergirespons) og forebygger histamininduceret inflammatorisk cytokinproduktion i de humane </w:t>
      </w:r>
      <w:proofErr w:type="spellStart"/>
      <w:r w:rsidRPr="0054529F">
        <w:rPr>
          <w:sz w:val="24"/>
          <w:szCs w:val="24"/>
        </w:rPr>
        <w:t>conjunktivale</w:t>
      </w:r>
      <w:proofErr w:type="spellEnd"/>
      <w:r w:rsidRPr="0054529F">
        <w:rPr>
          <w:sz w:val="24"/>
          <w:szCs w:val="24"/>
        </w:rPr>
        <w:t xml:space="preserve"> epitelceller. Data fra </w:t>
      </w:r>
      <w:r w:rsidRPr="0054529F">
        <w:rPr>
          <w:i/>
          <w:iCs/>
          <w:sz w:val="24"/>
          <w:szCs w:val="24"/>
        </w:rPr>
        <w:t xml:space="preserve">in </w:t>
      </w:r>
      <w:proofErr w:type="spellStart"/>
      <w:r w:rsidRPr="0054529F">
        <w:rPr>
          <w:i/>
          <w:iCs/>
          <w:sz w:val="24"/>
          <w:szCs w:val="24"/>
        </w:rPr>
        <w:t>vitro</w:t>
      </w:r>
      <w:proofErr w:type="spellEnd"/>
      <w:r w:rsidRPr="0054529F">
        <w:rPr>
          <w:i/>
          <w:iCs/>
          <w:sz w:val="24"/>
          <w:szCs w:val="24"/>
        </w:rPr>
        <w:t>-</w:t>
      </w:r>
      <w:r w:rsidRPr="0054529F">
        <w:rPr>
          <w:sz w:val="24"/>
          <w:szCs w:val="24"/>
        </w:rPr>
        <w:t xml:space="preserve">studier antyder, at det kan virke på humane </w:t>
      </w:r>
      <w:proofErr w:type="spellStart"/>
      <w:r w:rsidRPr="0054529F">
        <w:rPr>
          <w:sz w:val="24"/>
          <w:szCs w:val="24"/>
        </w:rPr>
        <w:t>conjunktivale</w:t>
      </w:r>
      <w:proofErr w:type="spellEnd"/>
      <w:r w:rsidRPr="0054529F">
        <w:rPr>
          <w:sz w:val="24"/>
          <w:szCs w:val="24"/>
        </w:rPr>
        <w:t xml:space="preserve"> mastceller og dermed hæmme frigivelsen af pro-inflammatoriske mediatorer. Hos patienter med </w:t>
      </w:r>
      <w:proofErr w:type="spellStart"/>
      <w:r w:rsidRPr="0054529F">
        <w:rPr>
          <w:sz w:val="24"/>
          <w:szCs w:val="24"/>
        </w:rPr>
        <w:t>patente</w:t>
      </w:r>
      <w:proofErr w:type="spellEnd"/>
      <w:r w:rsidRPr="0054529F">
        <w:rPr>
          <w:sz w:val="24"/>
          <w:szCs w:val="24"/>
        </w:rPr>
        <w:t xml:space="preserve"> </w:t>
      </w:r>
      <w:proofErr w:type="spellStart"/>
      <w:r w:rsidRPr="0054529F">
        <w:rPr>
          <w:sz w:val="24"/>
          <w:szCs w:val="24"/>
        </w:rPr>
        <w:t>nasolakrimale</w:t>
      </w:r>
      <w:proofErr w:type="spellEnd"/>
      <w:r w:rsidRPr="0054529F">
        <w:rPr>
          <w:sz w:val="24"/>
          <w:szCs w:val="24"/>
        </w:rPr>
        <w:t xml:space="preserve"> kanaler formodes </w:t>
      </w:r>
      <w:proofErr w:type="spellStart"/>
      <w:r w:rsidRPr="0054529F">
        <w:rPr>
          <w:sz w:val="24"/>
          <w:szCs w:val="24"/>
        </w:rPr>
        <w:t>topikal</w:t>
      </w:r>
      <w:proofErr w:type="spellEnd"/>
      <w:r w:rsidRPr="0054529F">
        <w:rPr>
          <w:sz w:val="24"/>
          <w:szCs w:val="24"/>
        </w:rPr>
        <w:t xml:space="preserve"> </w:t>
      </w:r>
      <w:proofErr w:type="spellStart"/>
      <w:r w:rsidRPr="0054529F">
        <w:rPr>
          <w:sz w:val="24"/>
          <w:szCs w:val="24"/>
        </w:rPr>
        <w:t>okulær</w:t>
      </w:r>
      <w:proofErr w:type="spellEnd"/>
      <w:r w:rsidRPr="0054529F">
        <w:rPr>
          <w:sz w:val="24"/>
          <w:szCs w:val="24"/>
        </w:rPr>
        <w:t xml:space="preserve"> administration af </w:t>
      </w:r>
      <w:proofErr w:type="spellStart"/>
      <w:r w:rsidRPr="0054529F">
        <w:rPr>
          <w:sz w:val="24"/>
          <w:szCs w:val="24"/>
        </w:rPr>
        <w:t>olopatadin</w:t>
      </w:r>
      <w:proofErr w:type="spellEnd"/>
      <w:r w:rsidRPr="0054529F">
        <w:rPr>
          <w:sz w:val="24"/>
          <w:szCs w:val="24"/>
        </w:rPr>
        <w:t xml:space="preserve"> at reducere nasale tegn og symptomer, som hyppigt ledsager sæsonbetinget allergisk </w:t>
      </w:r>
      <w:proofErr w:type="spellStart"/>
      <w:r w:rsidRPr="0054529F">
        <w:rPr>
          <w:sz w:val="24"/>
          <w:szCs w:val="24"/>
        </w:rPr>
        <w:t>conjunctivitis</w:t>
      </w:r>
      <w:proofErr w:type="spellEnd"/>
      <w:r w:rsidRPr="0054529F">
        <w:rPr>
          <w:sz w:val="24"/>
          <w:szCs w:val="24"/>
        </w:rPr>
        <w:t>. Det fremkalder ikke klinisk signifikant ændring i pupildiameteren.</w:t>
      </w:r>
    </w:p>
    <w:p w14:paraId="1BF956C7" w14:textId="77777777" w:rsidR="009260DE" w:rsidRPr="00043A0F" w:rsidRDefault="009260DE" w:rsidP="009260DE">
      <w:pPr>
        <w:tabs>
          <w:tab w:val="left" w:pos="851"/>
        </w:tabs>
        <w:ind w:left="851"/>
        <w:rPr>
          <w:sz w:val="24"/>
          <w:szCs w:val="24"/>
        </w:rPr>
      </w:pPr>
    </w:p>
    <w:p w14:paraId="4782C245" w14:textId="77777777" w:rsidR="009260DE" w:rsidRPr="00043A0F" w:rsidRDefault="009260DE" w:rsidP="009260DE">
      <w:pPr>
        <w:tabs>
          <w:tab w:val="left" w:pos="851"/>
        </w:tabs>
        <w:ind w:left="851" w:hanging="851"/>
        <w:rPr>
          <w:b/>
          <w:sz w:val="24"/>
          <w:szCs w:val="24"/>
        </w:rPr>
      </w:pPr>
      <w:r w:rsidRPr="00043A0F">
        <w:rPr>
          <w:b/>
          <w:sz w:val="24"/>
          <w:szCs w:val="24"/>
        </w:rPr>
        <w:t>5.2</w:t>
      </w:r>
      <w:r w:rsidRPr="00043A0F">
        <w:rPr>
          <w:b/>
          <w:sz w:val="24"/>
          <w:szCs w:val="24"/>
        </w:rPr>
        <w:tab/>
      </w:r>
      <w:proofErr w:type="spellStart"/>
      <w:r w:rsidRPr="00043A0F">
        <w:rPr>
          <w:b/>
          <w:sz w:val="24"/>
          <w:szCs w:val="24"/>
        </w:rPr>
        <w:t>Farmakokinetiske</w:t>
      </w:r>
      <w:proofErr w:type="spellEnd"/>
      <w:r w:rsidRPr="00043A0F">
        <w:rPr>
          <w:b/>
          <w:sz w:val="24"/>
          <w:szCs w:val="24"/>
        </w:rPr>
        <w:t xml:space="preserve"> egenskaber</w:t>
      </w:r>
    </w:p>
    <w:p w14:paraId="4B881031" w14:textId="77777777" w:rsidR="0054529F" w:rsidRPr="0054529F" w:rsidRDefault="0054529F" w:rsidP="0054529F">
      <w:pPr>
        <w:tabs>
          <w:tab w:val="left" w:pos="851"/>
        </w:tabs>
        <w:ind w:left="851"/>
        <w:rPr>
          <w:bCs/>
          <w:sz w:val="24"/>
          <w:szCs w:val="24"/>
        </w:rPr>
      </w:pPr>
    </w:p>
    <w:p w14:paraId="3DE2101A" w14:textId="77777777" w:rsidR="0054529F" w:rsidRPr="0054529F" w:rsidRDefault="0054529F" w:rsidP="009A06C9">
      <w:pPr>
        <w:ind w:left="851"/>
        <w:rPr>
          <w:sz w:val="24"/>
          <w:szCs w:val="24"/>
          <w:u w:val="single"/>
        </w:rPr>
      </w:pPr>
      <w:r w:rsidRPr="0054529F">
        <w:rPr>
          <w:sz w:val="24"/>
          <w:szCs w:val="24"/>
          <w:u w:val="single"/>
        </w:rPr>
        <w:t>Absorption</w:t>
      </w:r>
    </w:p>
    <w:p w14:paraId="2490894B" w14:textId="77777777" w:rsidR="0054529F" w:rsidRPr="0054529F" w:rsidRDefault="0054529F" w:rsidP="009A06C9">
      <w:pPr>
        <w:ind w:left="851"/>
        <w:rPr>
          <w:sz w:val="24"/>
          <w:szCs w:val="24"/>
        </w:rPr>
      </w:pPr>
      <w:r w:rsidRPr="0054529F">
        <w:rPr>
          <w:sz w:val="24"/>
          <w:szCs w:val="24"/>
        </w:rPr>
        <w:t xml:space="preserve">Ligesom andre </w:t>
      </w:r>
      <w:proofErr w:type="spellStart"/>
      <w:r w:rsidRPr="0054529F">
        <w:rPr>
          <w:sz w:val="24"/>
          <w:szCs w:val="24"/>
        </w:rPr>
        <w:t>topikalt</w:t>
      </w:r>
      <w:proofErr w:type="spellEnd"/>
      <w:r w:rsidRPr="0054529F">
        <w:rPr>
          <w:sz w:val="24"/>
          <w:szCs w:val="24"/>
        </w:rPr>
        <w:t xml:space="preserve"> administrerede lægemidler, absorberes også </w:t>
      </w:r>
      <w:proofErr w:type="spellStart"/>
      <w:r w:rsidRPr="0054529F">
        <w:rPr>
          <w:sz w:val="24"/>
          <w:szCs w:val="24"/>
        </w:rPr>
        <w:t>olopatadin</w:t>
      </w:r>
      <w:proofErr w:type="spellEnd"/>
      <w:r w:rsidRPr="0054529F">
        <w:rPr>
          <w:sz w:val="24"/>
          <w:szCs w:val="24"/>
        </w:rPr>
        <w:t xml:space="preserve"> systemisk. Imidlertid er systemisk absorption af </w:t>
      </w:r>
      <w:proofErr w:type="spellStart"/>
      <w:r w:rsidRPr="0054529F">
        <w:rPr>
          <w:sz w:val="24"/>
          <w:szCs w:val="24"/>
        </w:rPr>
        <w:t>topikalt</w:t>
      </w:r>
      <w:proofErr w:type="spellEnd"/>
      <w:r w:rsidRPr="0054529F">
        <w:rPr>
          <w:sz w:val="24"/>
          <w:szCs w:val="24"/>
        </w:rPr>
        <w:t xml:space="preserve"> appliceret </w:t>
      </w:r>
      <w:proofErr w:type="spellStart"/>
      <w:r w:rsidRPr="0054529F">
        <w:rPr>
          <w:sz w:val="24"/>
          <w:szCs w:val="24"/>
        </w:rPr>
        <w:t>olopatadin</w:t>
      </w:r>
      <w:proofErr w:type="spellEnd"/>
      <w:r w:rsidRPr="0054529F">
        <w:rPr>
          <w:sz w:val="24"/>
          <w:szCs w:val="24"/>
        </w:rPr>
        <w:t xml:space="preserve"> minimal med plasmakoncentrationer i intervallet fra under kvantificeringsgrænsen for analysemetoden (&lt;0,5 </w:t>
      </w:r>
      <w:proofErr w:type="spellStart"/>
      <w:r w:rsidRPr="0054529F">
        <w:rPr>
          <w:sz w:val="24"/>
          <w:szCs w:val="24"/>
        </w:rPr>
        <w:t>ng</w:t>
      </w:r>
      <w:proofErr w:type="spellEnd"/>
      <w:r w:rsidRPr="0054529F">
        <w:rPr>
          <w:sz w:val="24"/>
          <w:szCs w:val="24"/>
        </w:rPr>
        <w:t xml:space="preserve">/ml) til 1,3 </w:t>
      </w:r>
      <w:proofErr w:type="spellStart"/>
      <w:r w:rsidRPr="0054529F">
        <w:rPr>
          <w:sz w:val="24"/>
          <w:szCs w:val="24"/>
        </w:rPr>
        <w:t>ng</w:t>
      </w:r>
      <w:proofErr w:type="spellEnd"/>
      <w:r w:rsidRPr="0054529F">
        <w:rPr>
          <w:sz w:val="24"/>
          <w:szCs w:val="24"/>
        </w:rPr>
        <w:t>/ml. Disse koncentrationer er 50 til 200 gange lavere end dem der ses ved veltolererede orale doser.</w:t>
      </w:r>
    </w:p>
    <w:p w14:paraId="57EFBF89" w14:textId="77777777" w:rsidR="0054529F" w:rsidRPr="0054529F" w:rsidRDefault="0054529F" w:rsidP="009A06C9">
      <w:pPr>
        <w:ind w:left="851"/>
        <w:rPr>
          <w:sz w:val="24"/>
          <w:szCs w:val="24"/>
        </w:rPr>
      </w:pPr>
    </w:p>
    <w:p w14:paraId="2393DAF0" w14:textId="77777777" w:rsidR="0054529F" w:rsidRPr="0054529F" w:rsidRDefault="0054529F" w:rsidP="009A06C9">
      <w:pPr>
        <w:ind w:left="851"/>
        <w:rPr>
          <w:sz w:val="24"/>
          <w:szCs w:val="24"/>
          <w:u w:val="single"/>
        </w:rPr>
      </w:pPr>
      <w:r w:rsidRPr="0054529F">
        <w:rPr>
          <w:sz w:val="24"/>
          <w:szCs w:val="24"/>
          <w:u w:val="single"/>
        </w:rPr>
        <w:t>Biotransformation og elimination</w:t>
      </w:r>
    </w:p>
    <w:p w14:paraId="7A42FFCD" w14:textId="77777777" w:rsidR="0054529F" w:rsidRPr="0054529F" w:rsidRDefault="0054529F" w:rsidP="009A06C9">
      <w:pPr>
        <w:ind w:left="851"/>
        <w:rPr>
          <w:sz w:val="24"/>
          <w:szCs w:val="24"/>
        </w:rPr>
      </w:pPr>
      <w:r w:rsidRPr="0054529F">
        <w:rPr>
          <w:sz w:val="24"/>
          <w:szCs w:val="24"/>
        </w:rPr>
        <w:t xml:space="preserve">Orale farmakokinetik-studier har vist, at halveringstiden i plasma var ca. 8 til 12 timer og at eliminationen fortrinsvis sker ved udskillelse gennem nyrerne. Ca. 60-70 % af dosis udskilles i urinen som aktiv substans. To metabolitter, </w:t>
      </w:r>
      <w:proofErr w:type="spellStart"/>
      <w:r w:rsidRPr="0054529F">
        <w:rPr>
          <w:sz w:val="24"/>
          <w:szCs w:val="24"/>
        </w:rPr>
        <w:t>monodesmethyl</w:t>
      </w:r>
      <w:proofErr w:type="spellEnd"/>
      <w:r w:rsidRPr="0054529F">
        <w:rPr>
          <w:sz w:val="24"/>
          <w:szCs w:val="24"/>
        </w:rPr>
        <w:t xml:space="preserve"> og N-oxid, blev påvist i lave koncentrationer i urinen.</w:t>
      </w:r>
    </w:p>
    <w:p w14:paraId="775C5AC6" w14:textId="77777777" w:rsidR="0054529F" w:rsidRPr="0054529F" w:rsidRDefault="0054529F" w:rsidP="009A06C9">
      <w:pPr>
        <w:ind w:left="851"/>
        <w:rPr>
          <w:sz w:val="24"/>
          <w:szCs w:val="24"/>
        </w:rPr>
      </w:pPr>
    </w:p>
    <w:p w14:paraId="2D134F26" w14:textId="77777777" w:rsidR="0054529F" w:rsidRPr="0054529F" w:rsidRDefault="0054529F" w:rsidP="009A06C9">
      <w:pPr>
        <w:ind w:left="851"/>
        <w:rPr>
          <w:sz w:val="24"/>
          <w:szCs w:val="24"/>
        </w:rPr>
      </w:pPr>
      <w:r w:rsidRPr="0054529F">
        <w:rPr>
          <w:sz w:val="24"/>
          <w:szCs w:val="24"/>
        </w:rPr>
        <w:t xml:space="preserve">Da </w:t>
      </w:r>
      <w:proofErr w:type="spellStart"/>
      <w:r w:rsidRPr="0054529F">
        <w:rPr>
          <w:sz w:val="24"/>
          <w:szCs w:val="24"/>
        </w:rPr>
        <w:t>olopatadin</w:t>
      </w:r>
      <w:proofErr w:type="spellEnd"/>
      <w:r w:rsidRPr="0054529F">
        <w:rPr>
          <w:sz w:val="24"/>
          <w:szCs w:val="24"/>
        </w:rPr>
        <w:t xml:space="preserve"> primært udskilles som uændret aktiv substans i urinen, vil nedsat nyrefunktion ændre </w:t>
      </w:r>
      <w:proofErr w:type="spellStart"/>
      <w:r w:rsidRPr="0054529F">
        <w:rPr>
          <w:sz w:val="24"/>
          <w:szCs w:val="24"/>
        </w:rPr>
        <w:t>olopatadins</w:t>
      </w:r>
      <w:proofErr w:type="spellEnd"/>
      <w:r w:rsidRPr="0054529F">
        <w:rPr>
          <w:sz w:val="24"/>
          <w:szCs w:val="24"/>
        </w:rPr>
        <w:t xml:space="preserve"> farmakokinetik med peak plasmakoncentrationer 2,3 gange større hos patienter med svær nedsat nyrefunktion (gennemsnit </w:t>
      </w:r>
      <w:proofErr w:type="spellStart"/>
      <w:r w:rsidRPr="0054529F">
        <w:rPr>
          <w:sz w:val="24"/>
          <w:szCs w:val="24"/>
        </w:rPr>
        <w:t>keratininclearance</w:t>
      </w:r>
      <w:proofErr w:type="spellEnd"/>
      <w:r w:rsidRPr="0054529F">
        <w:rPr>
          <w:sz w:val="24"/>
          <w:szCs w:val="24"/>
        </w:rPr>
        <w:t xml:space="preserve"> 13,0 ml/min) sammenlignet med raske voksne.</w:t>
      </w:r>
    </w:p>
    <w:p w14:paraId="58D029F6" w14:textId="15FE9356" w:rsidR="0054529F" w:rsidRPr="0054529F" w:rsidRDefault="0054529F" w:rsidP="009A06C9">
      <w:pPr>
        <w:ind w:left="851"/>
        <w:rPr>
          <w:sz w:val="24"/>
          <w:szCs w:val="24"/>
        </w:rPr>
      </w:pPr>
      <w:r w:rsidRPr="0054529F">
        <w:rPr>
          <w:sz w:val="24"/>
          <w:szCs w:val="24"/>
        </w:rPr>
        <w:t>Ved oral administration af en dos</w:t>
      </w:r>
      <w:r w:rsidR="00D3320D">
        <w:rPr>
          <w:sz w:val="24"/>
          <w:szCs w:val="24"/>
        </w:rPr>
        <w:t>is</w:t>
      </w:r>
      <w:r w:rsidRPr="0054529F">
        <w:rPr>
          <w:sz w:val="24"/>
          <w:szCs w:val="24"/>
        </w:rPr>
        <w:t xml:space="preserve"> på 10 mg </w:t>
      </w:r>
      <w:proofErr w:type="spellStart"/>
      <w:r w:rsidRPr="0054529F">
        <w:rPr>
          <w:sz w:val="24"/>
          <w:szCs w:val="24"/>
        </w:rPr>
        <w:t>olopatadin</w:t>
      </w:r>
      <w:proofErr w:type="spellEnd"/>
      <w:r w:rsidRPr="0054529F">
        <w:rPr>
          <w:sz w:val="24"/>
          <w:szCs w:val="24"/>
        </w:rPr>
        <w:t xml:space="preserve"> til patienter i hæmodialyse (ingen urinproduktion) var plasma koncentrationer signifikant lavere på dagen for hæmodialyse end på dagen uden hæmodialyse, hvilket antyder, at </w:t>
      </w:r>
      <w:proofErr w:type="spellStart"/>
      <w:r w:rsidRPr="0054529F">
        <w:rPr>
          <w:sz w:val="24"/>
          <w:szCs w:val="24"/>
        </w:rPr>
        <w:t>olopatadin</w:t>
      </w:r>
      <w:proofErr w:type="spellEnd"/>
      <w:r w:rsidRPr="0054529F">
        <w:rPr>
          <w:sz w:val="24"/>
          <w:szCs w:val="24"/>
        </w:rPr>
        <w:t xml:space="preserve"> kan fjernes ved hæmodialyse.</w:t>
      </w:r>
    </w:p>
    <w:p w14:paraId="44E6B54F" w14:textId="77777777" w:rsidR="0054529F" w:rsidRPr="0054529F" w:rsidRDefault="0054529F" w:rsidP="009A06C9">
      <w:pPr>
        <w:ind w:left="851"/>
        <w:rPr>
          <w:sz w:val="24"/>
          <w:szCs w:val="24"/>
        </w:rPr>
      </w:pPr>
    </w:p>
    <w:p w14:paraId="61C6639A" w14:textId="77777777" w:rsidR="0054529F" w:rsidRPr="0054529F" w:rsidRDefault="0054529F" w:rsidP="009A06C9">
      <w:pPr>
        <w:ind w:left="851"/>
        <w:rPr>
          <w:sz w:val="24"/>
          <w:szCs w:val="24"/>
          <w:u w:val="single"/>
        </w:rPr>
      </w:pPr>
      <w:r w:rsidRPr="0054529F">
        <w:rPr>
          <w:sz w:val="24"/>
          <w:szCs w:val="24"/>
          <w:u w:val="single"/>
        </w:rPr>
        <w:lastRenderedPageBreak/>
        <w:t>Særlige populationer</w:t>
      </w:r>
    </w:p>
    <w:p w14:paraId="12E7E4DD" w14:textId="74782E8C" w:rsidR="0054529F" w:rsidRPr="0054529F" w:rsidRDefault="0054529F" w:rsidP="009A06C9">
      <w:pPr>
        <w:ind w:left="851"/>
        <w:rPr>
          <w:sz w:val="24"/>
          <w:szCs w:val="24"/>
        </w:rPr>
      </w:pPr>
      <w:r w:rsidRPr="0054529F">
        <w:rPr>
          <w:sz w:val="24"/>
          <w:szCs w:val="24"/>
        </w:rPr>
        <w:t xml:space="preserve">I et studie med 10 mg oralt dosis </w:t>
      </w:r>
      <w:proofErr w:type="spellStart"/>
      <w:r w:rsidRPr="0054529F">
        <w:rPr>
          <w:sz w:val="24"/>
          <w:szCs w:val="24"/>
        </w:rPr>
        <w:t>olopatadin</w:t>
      </w:r>
      <w:proofErr w:type="spellEnd"/>
      <w:r w:rsidRPr="0054529F">
        <w:rPr>
          <w:sz w:val="24"/>
          <w:szCs w:val="24"/>
        </w:rPr>
        <w:t xml:space="preserve"> blev </w:t>
      </w:r>
      <w:proofErr w:type="spellStart"/>
      <w:r w:rsidRPr="0054529F">
        <w:rPr>
          <w:sz w:val="24"/>
          <w:szCs w:val="24"/>
        </w:rPr>
        <w:t>olopatadins</w:t>
      </w:r>
      <w:proofErr w:type="spellEnd"/>
      <w:r w:rsidRPr="0054529F">
        <w:rPr>
          <w:sz w:val="24"/>
          <w:szCs w:val="24"/>
        </w:rPr>
        <w:t xml:space="preserve"> farmakokinetik sammenlignet hos yngre forsøgspersoner (gennemsnitsalderen: 21 år) og ældre (gennemsnitsalderen: 74</w:t>
      </w:r>
      <w:r w:rsidR="00F12F2A">
        <w:rPr>
          <w:sz w:val="24"/>
          <w:szCs w:val="24"/>
        </w:rPr>
        <w:t> </w:t>
      </w:r>
      <w:r w:rsidRPr="0054529F">
        <w:rPr>
          <w:sz w:val="24"/>
          <w:szCs w:val="24"/>
        </w:rPr>
        <w:t>år). Det viste ingen signifikant forskel i plasmakoncentration (AUC), proteinbinding eller urinudskillelse af uændret aktive substans og dens metabolitter.</w:t>
      </w:r>
    </w:p>
    <w:p w14:paraId="6543A48F" w14:textId="77777777" w:rsidR="0054529F" w:rsidRPr="0054529F" w:rsidRDefault="0054529F" w:rsidP="009A06C9">
      <w:pPr>
        <w:ind w:left="851"/>
        <w:rPr>
          <w:sz w:val="24"/>
          <w:szCs w:val="24"/>
        </w:rPr>
      </w:pPr>
    </w:p>
    <w:p w14:paraId="6F0CFD94" w14:textId="77777777" w:rsidR="0054529F" w:rsidRPr="0054529F" w:rsidRDefault="0054529F" w:rsidP="009A06C9">
      <w:pPr>
        <w:ind w:left="851"/>
        <w:rPr>
          <w:sz w:val="24"/>
          <w:szCs w:val="24"/>
        </w:rPr>
      </w:pPr>
      <w:r w:rsidRPr="0054529F">
        <w:rPr>
          <w:sz w:val="24"/>
          <w:szCs w:val="24"/>
        </w:rPr>
        <w:t xml:space="preserve">Et nyrefunktionsstudie efter orale administration af </w:t>
      </w:r>
      <w:proofErr w:type="spellStart"/>
      <w:r w:rsidRPr="0054529F">
        <w:rPr>
          <w:sz w:val="24"/>
          <w:szCs w:val="24"/>
        </w:rPr>
        <w:t>olopatadin</w:t>
      </w:r>
      <w:proofErr w:type="spellEnd"/>
      <w:r w:rsidRPr="0054529F">
        <w:rPr>
          <w:sz w:val="24"/>
          <w:szCs w:val="24"/>
        </w:rPr>
        <w:t xml:space="preserve"> er blevet udført hos patienter med alvorlig nedsat nyrefunktion. Resultaterne viser, at noget højere plasmakoncentration efter administration af </w:t>
      </w:r>
      <w:proofErr w:type="spellStart"/>
      <w:r w:rsidRPr="0054529F">
        <w:rPr>
          <w:sz w:val="24"/>
          <w:szCs w:val="24"/>
        </w:rPr>
        <w:t>olopatadin</w:t>
      </w:r>
      <w:proofErr w:type="spellEnd"/>
      <w:r w:rsidRPr="0054529F">
        <w:rPr>
          <w:sz w:val="24"/>
          <w:szCs w:val="24"/>
        </w:rPr>
        <w:t xml:space="preserve">, kan forventes i denne gruppe. Da plasmakoncentrationen, efter </w:t>
      </w:r>
      <w:proofErr w:type="spellStart"/>
      <w:r w:rsidRPr="0054529F">
        <w:rPr>
          <w:sz w:val="24"/>
          <w:szCs w:val="24"/>
        </w:rPr>
        <w:t>topikal</w:t>
      </w:r>
      <w:proofErr w:type="spellEnd"/>
      <w:r w:rsidRPr="0054529F">
        <w:rPr>
          <w:sz w:val="24"/>
          <w:szCs w:val="24"/>
        </w:rPr>
        <w:t xml:space="preserve"> </w:t>
      </w:r>
      <w:proofErr w:type="spellStart"/>
      <w:r w:rsidRPr="0054529F">
        <w:rPr>
          <w:sz w:val="24"/>
          <w:szCs w:val="24"/>
        </w:rPr>
        <w:t>okulær</w:t>
      </w:r>
      <w:proofErr w:type="spellEnd"/>
      <w:r w:rsidRPr="0054529F">
        <w:rPr>
          <w:sz w:val="24"/>
          <w:szCs w:val="24"/>
        </w:rPr>
        <w:t xml:space="preserve"> dosering af </w:t>
      </w:r>
      <w:proofErr w:type="spellStart"/>
      <w:r w:rsidRPr="0054529F">
        <w:rPr>
          <w:sz w:val="24"/>
          <w:szCs w:val="24"/>
        </w:rPr>
        <w:t>olopatadin</w:t>
      </w:r>
      <w:proofErr w:type="spellEnd"/>
      <w:r w:rsidRPr="0054529F">
        <w:rPr>
          <w:sz w:val="24"/>
          <w:szCs w:val="24"/>
        </w:rPr>
        <w:t>, er 50 til 200 gange lavere end efter veltolererede orale doser, forventes dosisjustering ikke at være nødvendig hos ældre personer eller personer med nedsat nyrefunktion. Levermetabolisme er en mindre betydningsfuld eliminationsvej. Dosisjustering forventes ikke at være nødvendig ved nedsat leverfunktion.</w:t>
      </w:r>
    </w:p>
    <w:p w14:paraId="51836DBC" w14:textId="77777777" w:rsidR="009260DE" w:rsidRPr="00043A0F" w:rsidRDefault="009260DE" w:rsidP="009260DE">
      <w:pPr>
        <w:tabs>
          <w:tab w:val="left" w:pos="851"/>
        </w:tabs>
        <w:ind w:left="851"/>
        <w:rPr>
          <w:sz w:val="24"/>
          <w:szCs w:val="24"/>
        </w:rPr>
      </w:pPr>
    </w:p>
    <w:p w14:paraId="3A15B278" w14:textId="77777777" w:rsidR="009260DE" w:rsidRPr="00043A0F" w:rsidRDefault="009260DE" w:rsidP="009260DE">
      <w:pPr>
        <w:tabs>
          <w:tab w:val="left" w:pos="851"/>
        </w:tabs>
        <w:ind w:left="851" w:hanging="851"/>
        <w:rPr>
          <w:b/>
          <w:sz w:val="24"/>
          <w:szCs w:val="24"/>
        </w:rPr>
      </w:pPr>
      <w:r w:rsidRPr="00043A0F">
        <w:rPr>
          <w:b/>
          <w:sz w:val="24"/>
          <w:szCs w:val="24"/>
        </w:rPr>
        <w:t>5.3</w:t>
      </w:r>
      <w:r w:rsidRPr="00043A0F">
        <w:rPr>
          <w:b/>
          <w:sz w:val="24"/>
          <w:szCs w:val="24"/>
        </w:rPr>
        <w:tab/>
      </w:r>
      <w:r w:rsidR="00BD7931" w:rsidRPr="00043A0F">
        <w:rPr>
          <w:b/>
          <w:sz w:val="24"/>
          <w:szCs w:val="24"/>
        </w:rPr>
        <w:t>Non-</w:t>
      </w:r>
      <w:r w:rsidRPr="00043A0F">
        <w:rPr>
          <w:b/>
          <w:sz w:val="24"/>
          <w:szCs w:val="24"/>
        </w:rPr>
        <w:t>kliniske sikkerhedsdata</w:t>
      </w:r>
    </w:p>
    <w:p w14:paraId="3224160A" w14:textId="77777777" w:rsidR="0054529F" w:rsidRPr="0054529F" w:rsidRDefault="0054529F" w:rsidP="009A06C9">
      <w:pPr>
        <w:ind w:left="851"/>
        <w:rPr>
          <w:sz w:val="24"/>
          <w:szCs w:val="24"/>
        </w:rPr>
      </w:pPr>
      <w:r w:rsidRPr="0054529F">
        <w:rPr>
          <w:sz w:val="24"/>
          <w:szCs w:val="24"/>
        </w:rPr>
        <w:t xml:space="preserve">Non-kliniske data viser ingen speciel risiko for mennesker vurderet ud fra konventionelle studier af sikkerhedsfarmakologi, toksicitet efter gentagne doser, genotoksicitet, </w:t>
      </w:r>
      <w:proofErr w:type="spellStart"/>
      <w:r w:rsidRPr="0054529F">
        <w:rPr>
          <w:sz w:val="24"/>
          <w:szCs w:val="24"/>
        </w:rPr>
        <w:t>karcinogent</w:t>
      </w:r>
      <w:proofErr w:type="spellEnd"/>
      <w:r w:rsidRPr="0054529F">
        <w:rPr>
          <w:sz w:val="24"/>
          <w:szCs w:val="24"/>
        </w:rPr>
        <w:t xml:space="preserve"> potentiale samt reproduktionstoksicitet.</w:t>
      </w:r>
    </w:p>
    <w:p w14:paraId="2D6E4929" w14:textId="77777777" w:rsidR="0054529F" w:rsidRPr="0054529F" w:rsidRDefault="0054529F" w:rsidP="009A06C9">
      <w:pPr>
        <w:ind w:left="851"/>
        <w:rPr>
          <w:sz w:val="24"/>
          <w:szCs w:val="24"/>
        </w:rPr>
      </w:pPr>
    </w:p>
    <w:p w14:paraId="7AF98754" w14:textId="77777777" w:rsidR="0054529F" w:rsidRPr="0054529F" w:rsidRDefault="0054529F" w:rsidP="009A06C9">
      <w:pPr>
        <w:ind w:left="851"/>
        <w:rPr>
          <w:sz w:val="24"/>
          <w:szCs w:val="24"/>
        </w:rPr>
      </w:pPr>
      <w:r w:rsidRPr="0054529F">
        <w:rPr>
          <w:sz w:val="24"/>
          <w:szCs w:val="24"/>
        </w:rPr>
        <w:t xml:space="preserve">Dyrestudier har vist reduceret vækst hos diende hvalpe af mødre, der havde fået systemiske doser af </w:t>
      </w:r>
      <w:proofErr w:type="spellStart"/>
      <w:r w:rsidRPr="0054529F">
        <w:rPr>
          <w:sz w:val="24"/>
          <w:szCs w:val="24"/>
        </w:rPr>
        <w:t>olopatadin</w:t>
      </w:r>
      <w:proofErr w:type="spellEnd"/>
      <w:r w:rsidRPr="0054529F">
        <w:rPr>
          <w:sz w:val="24"/>
          <w:szCs w:val="24"/>
        </w:rPr>
        <w:t xml:space="preserve">, som var langt over den maksimale anbefalede dosis ved human </w:t>
      </w:r>
      <w:proofErr w:type="spellStart"/>
      <w:r w:rsidRPr="0054529F">
        <w:rPr>
          <w:sz w:val="24"/>
          <w:szCs w:val="24"/>
        </w:rPr>
        <w:t>okulær</w:t>
      </w:r>
      <w:proofErr w:type="spellEnd"/>
      <w:r w:rsidRPr="0054529F">
        <w:rPr>
          <w:sz w:val="24"/>
          <w:szCs w:val="24"/>
        </w:rPr>
        <w:t xml:space="preserve"> anvendelse.</w:t>
      </w:r>
    </w:p>
    <w:p w14:paraId="51C98EC3" w14:textId="77777777" w:rsidR="0054529F" w:rsidRPr="0054529F" w:rsidRDefault="0054529F" w:rsidP="009A06C9">
      <w:pPr>
        <w:ind w:left="851"/>
        <w:rPr>
          <w:sz w:val="24"/>
          <w:szCs w:val="24"/>
        </w:rPr>
      </w:pPr>
      <w:proofErr w:type="spellStart"/>
      <w:r w:rsidRPr="0054529F">
        <w:rPr>
          <w:sz w:val="24"/>
          <w:szCs w:val="24"/>
        </w:rPr>
        <w:t>Olopatadin</w:t>
      </w:r>
      <w:proofErr w:type="spellEnd"/>
      <w:r w:rsidRPr="0054529F">
        <w:rPr>
          <w:sz w:val="24"/>
          <w:szCs w:val="24"/>
        </w:rPr>
        <w:t xml:space="preserve"> er blevet påvist i mælk fra diegivende rotter efter oral administration.</w:t>
      </w:r>
    </w:p>
    <w:p w14:paraId="745F0E24" w14:textId="77777777" w:rsidR="009260DE" w:rsidRPr="00043A0F" w:rsidRDefault="009260DE" w:rsidP="009260DE">
      <w:pPr>
        <w:tabs>
          <w:tab w:val="left" w:pos="851"/>
        </w:tabs>
        <w:ind w:left="851"/>
        <w:rPr>
          <w:sz w:val="24"/>
          <w:szCs w:val="24"/>
        </w:rPr>
      </w:pPr>
    </w:p>
    <w:p w14:paraId="7DAE83AB" w14:textId="77777777" w:rsidR="009260DE" w:rsidRPr="00043A0F" w:rsidRDefault="009260DE" w:rsidP="009260DE">
      <w:pPr>
        <w:tabs>
          <w:tab w:val="left" w:pos="851"/>
        </w:tabs>
        <w:ind w:left="851"/>
        <w:rPr>
          <w:sz w:val="24"/>
          <w:szCs w:val="24"/>
        </w:rPr>
      </w:pPr>
    </w:p>
    <w:p w14:paraId="2AFE3C6C" w14:textId="77777777" w:rsidR="009260DE" w:rsidRPr="00043A0F" w:rsidRDefault="009260DE" w:rsidP="009260DE">
      <w:pPr>
        <w:tabs>
          <w:tab w:val="left" w:pos="851"/>
        </w:tabs>
        <w:ind w:left="851" w:hanging="851"/>
        <w:rPr>
          <w:b/>
          <w:sz w:val="24"/>
          <w:szCs w:val="24"/>
        </w:rPr>
      </w:pPr>
      <w:r w:rsidRPr="00043A0F">
        <w:rPr>
          <w:b/>
          <w:sz w:val="24"/>
          <w:szCs w:val="24"/>
        </w:rPr>
        <w:t>6.</w:t>
      </w:r>
      <w:r w:rsidRPr="00043A0F">
        <w:rPr>
          <w:b/>
          <w:sz w:val="24"/>
          <w:szCs w:val="24"/>
        </w:rPr>
        <w:tab/>
        <w:t>FARMACEUTISKE OPLYSNINGER</w:t>
      </w:r>
    </w:p>
    <w:p w14:paraId="7660B41A" w14:textId="77777777" w:rsidR="009260DE" w:rsidRPr="00043A0F" w:rsidRDefault="009260DE" w:rsidP="009260DE">
      <w:pPr>
        <w:tabs>
          <w:tab w:val="left" w:pos="851"/>
        </w:tabs>
        <w:ind w:left="851"/>
        <w:rPr>
          <w:sz w:val="24"/>
          <w:szCs w:val="24"/>
        </w:rPr>
      </w:pPr>
    </w:p>
    <w:p w14:paraId="76EA4479" w14:textId="77777777" w:rsidR="009260DE" w:rsidRPr="00043A0F" w:rsidRDefault="009260DE" w:rsidP="009260DE">
      <w:pPr>
        <w:tabs>
          <w:tab w:val="left" w:pos="851"/>
        </w:tabs>
        <w:ind w:left="851" w:hanging="851"/>
        <w:rPr>
          <w:b/>
          <w:sz w:val="24"/>
          <w:szCs w:val="24"/>
        </w:rPr>
      </w:pPr>
      <w:r w:rsidRPr="00043A0F">
        <w:rPr>
          <w:b/>
          <w:sz w:val="24"/>
          <w:szCs w:val="24"/>
        </w:rPr>
        <w:t>6.1</w:t>
      </w:r>
      <w:r w:rsidRPr="00043A0F">
        <w:rPr>
          <w:b/>
          <w:sz w:val="24"/>
          <w:szCs w:val="24"/>
        </w:rPr>
        <w:tab/>
        <w:t>Hjælpestoffer</w:t>
      </w:r>
    </w:p>
    <w:p w14:paraId="27EA2275" w14:textId="77777777" w:rsidR="0054529F" w:rsidRPr="0054529F" w:rsidRDefault="0054529F" w:rsidP="009A06C9">
      <w:pPr>
        <w:ind w:left="851"/>
        <w:rPr>
          <w:sz w:val="24"/>
          <w:szCs w:val="24"/>
        </w:rPr>
      </w:pPr>
      <w:proofErr w:type="spellStart"/>
      <w:r w:rsidRPr="0054529F">
        <w:rPr>
          <w:sz w:val="24"/>
          <w:szCs w:val="24"/>
        </w:rPr>
        <w:t>Benzalkoniumchlorid</w:t>
      </w:r>
      <w:proofErr w:type="spellEnd"/>
    </w:p>
    <w:p w14:paraId="5C38AD81" w14:textId="77777777" w:rsidR="0054529F" w:rsidRPr="0054529F" w:rsidRDefault="0054529F" w:rsidP="009A06C9">
      <w:pPr>
        <w:ind w:left="851"/>
        <w:rPr>
          <w:sz w:val="24"/>
          <w:szCs w:val="24"/>
        </w:rPr>
      </w:pPr>
      <w:proofErr w:type="spellStart"/>
      <w:r w:rsidRPr="0054529F">
        <w:rPr>
          <w:sz w:val="24"/>
          <w:szCs w:val="24"/>
        </w:rPr>
        <w:t>Natriumchlorid</w:t>
      </w:r>
      <w:proofErr w:type="spellEnd"/>
    </w:p>
    <w:p w14:paraId="05652740" w14:textId="77777777" w:rsidR="0054529F" w:rsidRPr="0054529F" w:rsidRDefault="0054529F" w:rsidP="009A06C9">
      <w:pPr>
        <w:ind w:left="851"/>
        <w:rPr>
          <w:sz w:val="24"/>
          <w:szCs w:val="24"/>
        </w:rPr>
      </w:pPr>
      <w:proofErr w:type="spellStart"/>
      <w:r w:rsidRPr="0054529F">
        <w:rPr>
          <w:sz w:val="24"/>
          <w:szCs w:val="24"/>
        </w:rPr>
        <w:t>Dinatriumphosphat</w:t>
      </w:r>
      <w:proofErr w:type="spellEnd"/>
      <w:r w:rsidRPr="0054529F">
        <w:rPr>
          <w:sz w:val="24"/>
          <w:szCs w:val="24"/>
        </w:rPr>
        <w:t>, vandfri</w:t>
      </w:r>
    </w:p>
    <w:p w14:paraId="149F7F9F" w14:textId="77777777" w:rsidR="0054529F" w:rsidRPr="0054529F" w:rsidRDefault="0054529F" w:rsidP="009A06C9">
      <w:pPr>
        <w:ind w:left="851"/>
        <w:rPr>
          <w:sz w:val="24"/>
          <w:szCs w:val="24"/>
        </w:rPr>
      </w:pPr>
      <w:r w:rsidRPr="0054529F">
        <w:rPr>
          <w:sz w:val="24"/>
          <w:szCs w:val="24"/>
        </w:rPr>
        <w:t>Saltsyre (E507) (til pH-justering)</w:t>
      </w:r>
    </w:p>
    <w:p w14:paraId="45EFA12C" w14:textId="77777777" w:rsidR="0054529F" w:rsidRPr="0054529F" w:rsidRDefault="0054529F" w:rsidP="009A06C9">
      <w:pPr>
        <w:ind w:left="851"/>
        <w:rPr>
          <w:sz w:val="24"/>
          <w:szCs w:val="24"/>
        </w:rPr>
      </w:pPr>
      <w:r w:rsidRPr="0054529F">
        <w:rPr>
          <w:sz w:val="24"/>
          <w:szCs w:val="24"/>
        </w:rPr>
        <w:t>Natriumhydroxid (E524) (til pH-justering)</w:t>
      </w:r>
    </w:p>
    <w:p w14:paraId="1506E77C" w14:textId="77777777" w:rsidR="0054529F" w:rsidRPr="0054529F" w:rsidRDefault="0054529F" w:rsidP="009A06C9">
      <w:pPr>
        <w:ind w:left="851"/>
        <w:rPr>
          <w:sz w:val="24"/>
          <w:szCs w:val="24"/>
        </w:rPr>
      </w:pPr>
      <w:r w:rsidRPr="0054529F">
        <w:rPr>
          <w:sz w:val="24"/>
          <w:szCs w:val="24"/>
        </w:rPr>
        <w:t>Renset vand</w:t>
      </w:r>
    </w:p>
    <w:p w14:paraId="240D2393" w14:textId="77777777" w:rsidR="009260DE" w:rsidRPr="00043A0F" w:rsidRDefault="009260DE" w:rsidP="009260DE">
      <w:pPr>
        <w:tabs>
          <w:tab w:val="left" w:pos="851"/>
        </w:tabs>
        <w:ind w:left="851"/>
        <w:rPr>
          <w:sz w:val="24"/>
          <w:szCs w:val="24"/>
        </w:rPr>
      </w:pPr>
    </w:p>
    <w:p w14:paraId="271A7181" w14:textId="77777777" w:rsidR="009260DE" w:rsidRPr="00043A0F" w:rsidRDefault="009260DE" w:rsidP="009260DE">
      <w:pPr>
        <w:tabs>
          <w:tab w:val="left" w:pos="851"/>
        </w:tabs>
        <w:ind w:left="851" w:hanging="851"/>
        <w:rPr>
          <w:b/>
          <w:sz w:val="24"/>
          <w:szCs w:val="24"/>
        </w:rPr>
      </w:pPr>
      <w:r w:rsidRPr="00043A0F">
        <w:rPr>
          <w:b/>
          <w:sz w:val="24"/>
          <w:szCs w:val="24"/>
        </w:rPr>
        <w:t>6.2</w:t>
      </w:r>
      <w:r w:rsidRPr="00043A0F">
        <w:rPr>
          <w:b/>
          <w:sz w:val="24"/>
          <w:szCs w:val="24"/>
        </w:rPr>
        <w:tab/>
        <w:t>Uforligeligheder</w:t>
      </w:r>
    </w:p>
    <w:p w14:paraId="7D90B93D" w14:textId="77777777" w:rsidR="0054529F" w:rsidRPr="0054529F" w:rsidRDefault="0054529F" w:rsidP="009A06C9">
      <w:pPr>
        <w:ind w:left="851"/>
        <w:rPr>
          <w:sz w:val="24"/>
          <w:szCs w:val="24"/>
        </w:rPr>
      </w:pPr>
      <w:r w:rsidRPr="0054529F">
        <w:rPr>
          <w:sz w:val="24"/>
          <w:szCs w:val="24"/>
        </w:rPr>
        <w:t>Da der ikke foreligger studier af eventuelle uforligeligheder, må dette lægemiddel ikke blandes med andre lægemidler.</w:t>
      </w:r>
    </w:p>
    <w:p w14:paraId="442A0215" w14:textId="77777777" w:rsidR="009260DE" w:rsidRPr="00043A0F" w:rsidRDefault="009260DE" w:rsidP="009260DE">
      <w:pPr>
        <w:tabs>
          <w:tab w:val="left" w:pos="851"/>
        </w:tabs>
        <w:ind w:left="851"/>
        <w:rPr>
          <w:sz w:val="24"/>
          <w:szCs w:val="24"/>
        </w:rPr>
      </w:pPr>
    </w:p>
    <w:p w14:paraId="1A9EABFC" w14:textId="77777777" w:rsidR="009260DE" w:rsidRPr="00043A0F" w:rsidRDefault="009260DE" w:rsidP="009260DE">
      <w:pPr>
        <w:tabs>
          <w:tab w:val="left" w:pos="851"/>
        </w:tabs>
        <w:ind w:left="851" w:hanging="851"/>
        <w:rPr>
          <w:b/>
          <w:sz w:val="24"/>
          <w:szCs w:val="24"/>
        </w:rPr>
      </w:pPr>
      <w:r w:rsidRPr="00043A0F">
        <w:rPr>
          <w:b/>
          <w:sz w:val="24"/>
          <w:szCs w:val="24"/>
        </w:rPr>
        <w:t>6.3</w:t>
      </w:r>
      <w:r w:rsidRPr="00043A0F">
        <w:rPr>
          <w:b/>
          <w:sz w:val="24"/>
          <w:szCs w:val="24"/>
        </w:rPr>
        <w:tab/>
        <w:t>Opbevaringstid</w:t>
      </w:r>
    </w:p>
    <w:p w14:paraId="0FC6BC33" w14:textId="77777777" w:rsidR="0054529F" w:rsidRPr="0054529F" w:rsidRDefault="0054529F" w:rsidP="009A06C9">
      <w:pPr>
        <w:ind w:left="851"/>
        <w:rPr>
          <w:sz w:val="24"/>
          <w:szCs w:val="24"/>
        </w:rPr>
      </w:pPr>
      <w:r w:rsidRPr="0054529F">
        <w:rPr>
          <w:sz w:val="24"/>
          <w:szCs w:val="24"/>
        </w:rPr>
        <w:t>3 år.</w:t>
      </w:r>
    </w:p>
    <w:p w14:paraId="562E9E4F" w14:textId="77777777" w:rsidR="0054529F" w:rsidRPr="0054529F" w:rsidRDefault="0054529F" w:rsidP="009A06C9">
      <w:pPr>
        <w:ind w:left="851"/>
        <w:rPr>
          <w:sz w:val="24"/>
          <w:szCs w:val="24"/>
        </w:rPr>
      </w:pPr>
    </w:p>
    <w:p w14:paraId="557C15DD" w14:textId="77777777" w:rsidR="0054529F" w:rsidRPr="0054529F" w:rsidRDefault="0054529F" w:rsidP="009A06C9">
      <w:pPr>
        <w:ind w:left="851"/>
        <w:rPr>
          <w:sz w:val="24"/>
          <w:szCs w:val="24"/>
          <w:u w:val="single"/>
        </w:rPr>
      </w:pPr>
      <w:r w:rsidRPr="0054529F">
        <w:rPr>
          <w:sz w:val="24"/>
          <w:szCs w:val="24"/>
          <w:u w:val="single"/>
        </w:rPr>
        <w:t>Opbevaringstid efter første åbning</w:t>
      </w:r>
    </w:p>
    <w:p w14:paraId="145F9EF9" w14:textId="77777777" w:rsidR="0054529F" w:rsidRPr="0054529F" w:rsidRDefault="0054529F" w:rsidP="009A06C9">
      <w:pPr>
        <w:ind w:left="851"/>
        <w:rPr>
          <w:sz w:val="24"/>
          <w:szCs w:val="24"/>
        </w:rPr>
      </w:pPr>
      <w:r w:rsidRPr="0054529F">
        <w:rPr>
          <w:sz w:val="24"/>
          <w:szCs w:val="24"/>
        </w:rPr>
        <w:t>Kasseres fire uger efter første åbning.</w:t>
      </w:r>
    </w:p>
    <w:p w14:paraId="1A674FC7" w14:textId="77777777" w:rsidR="009260DE" w:rsidRPr="00043A0F" w:rsidRDefault="009260DE" w:rsidP="009260DE">
      <w:pPr>
        <w:tabs>
          <w:tab w:val="left" w:pos="851"/>
        </w:tabs>
        <w:ind w:left="851"/>
        <w:rPr>
          <w:sz w:val="24"/>
          <w:szCs w:val="24"/>
        </w:rPr>
      </w:pPr>
    </w:p>
    <w:p w14:paraId="086C3673" w14:textId="77777777" w:rsidR="009260DE" w:rsidRPr="00043A0F" w:rsidRDefault="009260DE" w:rsidP="009260DE">
      <w:pPr>
        <w:tabs>
          <w:tab w:val="left" w:pos="851"/>
        </w:tabs>
        <w:ind w:left="851" w:hanging="851"/>
        <w:rPr>
          <w:b/>
          <w:sz w:val="24"/>
          <w:szCs w:val="24"/>
        </w:rPr>
      </w:pPr>
      <w:r w:rsidRPr="00043A0F">
        <w:rPr>
          <w:b/>
          <w:sz w:val="24"/>
          <w:szCs w:val="24"/>
        </w:rPr>
        <w:t>6.4</w:t>
      </w:r>
      <w:r w:rsidRPr="00043A0F">
        <w:rPr>
          <w:b/>
          <w:sz w:val="24"/>
          <w:szCs w:val="24"/>
        </w:rPr>
        <w:tab/>
        <w:t>Særlige opbevaringsforhold</w:t>
      </w:r>
    </w:p>
    <w:p w14:paraId="4F4F6A85" w14:textId="77777777" w:rsidR="0054529F" w:rsidRPr="0054529F" w:rsidRDefault="0054529F" w:rsidP="009A06C9">
      <w:pPr>
        <w:ind w:left="851"/>
        <w:rPr>
          <w:sz w:val="24"/>
          <w:szCs w:val="24"/>
        </w:rPr>
      </w:pPr>
      <w:r w:rsidRPr="0054529F">
        <w:rPr>
          <w:sz w:val="24"/>
          <w:szCs w:val="24"/>
        </w:rPr>
        <w:t>Dette lægemiddel kræver ingen særlige forholdsregler vedrørende opbevaringen.</w:t>
      </w:r>
    </w:p>
    <w:p w14:paraId="322ABDF1" w14:textId="77777777" w:rsidR="009260DE" w:rsidRPr="00043A0F" w:rsidRDefault="009260DE" w:rsidP="009260DE">
      <w:pPr>
        <w:tabs>
          <w:tab w:val="left" w:pos="851"/>
        </w:tabs>
        <w:ind w:left="851"/>
        <w:rPr>
          <w:sz w:val="24"/>
          <w:szCs w:val="24"/>
        </w:rPr>
      </w:pPr>
    </w:p>
    <w:p w14:paraId="2CC5892A" w14:textId="77777777" w:rsidR="009260DE" w:rsidRPr="00043A0F" w:rsidRDefault="009260DE" w:rsidP="009260DE">
      <w:pPr>
        <w:tabs>
          <w:tab w:val="left" w:pos="851"/>
        </w:tabs>
        <w:ind w:left="851" w:hanging="851"/>
        <w:rPr>
          <w:b/>
          <w:sz w:val="24"/>
          <w:szCs w:val="24"/>
        </w:rPr>
      </w:pPr>
      <w:r w:rsidRPr="00043A0F">
        <w:rPr>
          <w:b/>
          <w:sz w:val="24"/>
          <w:szCs w:val="24"/>
        </w:rPr>
        <w:t>6.5</w:t>
      </w:r>
      <w:r w:rsidRPr="00043A0F">
        <w:rPr>
          <w:b/>
          <w:sz w:val="24"/>
          <w:szCs w:val="24"/>
        </w:rPr>
        <w:tab/>
        <w:t>Emballagetype og pakningsstørrelser</w:t>
      </w:r>
    </w:p>
    <w:p w14:paraId="123A7F8B" w14:textId="77777777" w:rsidR="0054529F" w:rsidRPr="0054529F" w:rsidRDefault="0054529F" w:rsidP="009A06C9">
      <w:pPr>
        <w:ind w:left="851"/>
        <w:rPr>
          <w:sz w:val="24"/>
          <w:szCs w:val="24"/>
        </w:rPr>
      </w:pPr>
      <w:r w:rsidRPr="0054529F">
        <w:rPr>
          <w:sz w:val="24"/>
          <w:szCs w:val="24"/>
        </w:rPr>
        <w:t>5 ml uigennemsigtig lavdensitet-</w:t>
      </w:r>
      <w:proofErr w:type="spellStart"/>
      <w:r w:rsidRPr="0054529F">
        <w:rPr>
          <w:sz w:val="24"/>
          <w:szCs w:val="24"/>
        </w:rPr>
        <w:t>polyethylen</w:t>
      </w:r>
      <w:proofErr w:type="spellEnd"/>
      <w:r w:rsidRPr="0054529F">
        <w:rPr>
          <w:sz w:val="24"/>
          <w:szCs w:val="24"/>
        </w:rPr>
        <w:t xml:space="preserve">-flaske med skruelåg af polypropylen. </w:t>
      </w:r>
    </w:p>
    <w:p w14:paraId="693BAFB1" w14:textId="77777777" w:rsidR="0054529F" w:rsidRPr="0054529F" w:rsidRDefault="0054529F" w:rsidP="009A06C9">
      <w:pPr>
        <w:ind w:left="851"/>
        <w:rPr>
          <w:sz w:val="24"/>
          <w:szCs w:val="24"/>
        </w:rPr>
      </w:pPr>
    </w:p>
    <w:p w14:paraId="31CFFBFC" w14:textId="77777777" w:rsidR="0054529F" w:rsidRPr="0054529F" w:rsidRDefault="0054529F" w:rsidP="009A06C9">
      <w:pPr>
        <w:ind w:left="851"/>
        <w:rPr>
          <w:sz w:val="24"/>
          <w:szCs w:val="24"/>
        </w:rPr>
      </w:pPr>
      <w:r w:rsidRPr="0054529F">
        <w:rPr>
          <w:sz w:val="24"/>
          <w:szCs w:val="24"/>
        </w:rPr>
        <w:t>Pakningsstørrelser: 1 eller 3 flasker.</w:t>
      </w:r>
    </w:p>
    <w:p w14:paraId="1302AE7E" w14:textId="77777777" w:rsidR="0054529F" w:rsidRPr="0054529F" w:rsidRDefault="0054529F" w:rsidP="009A06C9">
      <w:pPr>
        <w:ind w:left="851"/>
        <w:rPr>
          <w:sz w:val="24"/>
          <w:szCs w:val="24"/>
        </w:rPr>
      </w:pPr>
    </w:p>
    <w:p w14:paraId="68ECD73C" w14:textId="77777777" w:rsidR="0054529F" w:rsidRPr="0054529F" w:rsidRDefault="0054529F" w:rsidP="009A06C9">
      <w:pPr>
        <w:ind w:left="851"/>
        <w:rPr>
          <w:sz w:val="24"/>
          <w:szCs w:val="24"/>
        </w:rPr>
      </w:pPr>
      <w:r w:rsidRPr="0054529F">
        <w:rPr>
          <w:sz w:val="24"/>
          <w:szCs w:val="24"/>
        </w:rPr>
        <w:t>Ikke alle pakningsstørrelser er nødvendigvis markedsført.</w:t>
      </w:r>
    </w:p>
    <w:p w14:paraId="79C11548" w14:textId="77777777" w:rsidR="009260DE" w:rsidRPr="00043A0F" w:rsidRDefault="009260DE" w:rsidP="009260DE">
      <w:pPr>
        <w:tabs>
          <w:tab w:val="left" w:pos="851"/>
        </w:tabs>
        <w:ind w:left="851"/>
        <w:rPr>
          <w:sz w:val="24"/>
          <w:szCs w:val="24"/>
        </w:rPr>
      </w:pPr>
    </w:p>
    <w:p w14:paraId="7F5A5EB1" w14:textId="77777777" w:rsidR="009260DE" w:rsidRPr="00043A0F" w:rsidRDefault="009260DE" w:rsidP="009260DE">
      <w:pPr>
        <w:tabs>
          <w:tab w:val="left" w:pos="851"/>
        </w:tabs>
        <w:ind w:left="851" w:hanging="851"/>
        <w:rPr>
          <w:b/>
          <w:sz w:val="24"/>
          <w:szCs w:val="24"/>
        </w:rPr>
      </w:pPr>
      <w:r w:rsidRPr="00043A0F">
        <w:rPr>
          <w:b/>
          <w:sz w:val="24"/>
          <w:szCs w:val="24"/>
        </w:rPr>
        <w:t>6.6</w:t>
      </w:r>
      <w:r w:rsidRPr="00043A0F">
        <w:rPr>
          <w:b/>
          <w:sz w:val="24"/>
          <w:szCs w:val="24"/>
        </w:rPr>
        <w:tab/>
        <w:t xml:space="preserve">Regler for </w:t>
      </w:r>
      <w:r w:rsidR="00BD7931" w:rsidRPr="00043A0F">
        <w:rPr>
          <w:b/>
          <w:sz w:val="24"/>
          <w:szCs w:val="24"/>
        </w:rPr>
        <w:t>bortskaffelse</w:t>
      </w:r>
      <w:r w:rsidRPr="00043A0F">
        <w:rPr>
          <w:b/>
          <w:sz w:val="24"/>
          <w:szCs w:val="24"/>
        </w:rPr>
        <w:t xml:space="preserve"> og anden håndtering</w:t>
      </w:r>
    </w:p>
    <w:p w14:paraId="27779E78" w14:textId="77777777" w:rsidR="0054529F" w:rsidRPr="0054529F" w:rsidRDefault="0054529F" w:rsidP="0054529F">
      <w:pPr>
        <w:tabs>
          <w:tab w:val="left" w:pos="851"/>
        </w:tabs>
        <w:ind w:left="851"/>
        <w:rPr>
          <w:sz w:val="24"/>
          <w:szCs w:val="24"/>
        </w:rPr>
      </w:pPr>
      <w:r w:rsidRPr="0054529F">
        <w:rPr>
          <w:sz w:val="24"/>
          <w:szCs w:val="24"/>
        </w:rPr>
        <w:t>Ingen særlige forholdsregler.</w:t>
      </w:r>
    </w:p>
    <w:p w14:paraId="2E439C67" w14:textId="77777777" w:rsidR="009260DE" w:rsidRPr="00043A0F" w:rsidRDefault="009260DE" w:rsidP="000730CA">
      <w:pPr>
        <w:tabs>
          <w:tab w:val="left" w:pos="851"/>
        </w:tabs>
        <w:ind w:left="851"/>
        <w:rPr>
          <w:sz w:val="24"/>
          <w:szCs w:val="24"/>
        </w:rPr>
      </w:pPr>
    </w:p>
    <w:p w14:paraId="72D3F5C7" w14:textId="77777777" w:rsidR="009260DE" w:rsidRPr="00043A0F" w:rsidRDefault="009260DE" w:rsidP="009260DE">
      <w:pPr>
        <w:tabs>
          <w:tab w:val="left" w:pos="851"/>
        </w:tabs>
        <w:ind w:left="851" w:hanging="851"/>
        <w:rPr>
          <w:b/>
          <w:sz w:val="24"/>
          <w:szCs w:val="24"/>
        </w:rPr>
      </w:pPr>
      <w:r w:rsidRPr="00043A0F">
        <w:rPr>
          <w:b/>
          <w:sz w:val="24"/>
          <w:szCs w:val="24"/>
        </w:rPr>
        <w:t>7.</w:t>
      </w:r>
      <w:r w:rsidRPr="00043A0F">
        <w:rPr>
          <w:b/>
          <w:sz w:val="24"/>
          <w:szCs w:val="24"/>
        </w:rPr>
        <w:tab/>
        <w:t>INDEHAVER AF MARKEDSFØRINGSTILLADELSEN</w:t>
      </w:r>
    </w:p>
    <w:p w14:paraId="1D4FE3FB" w14:textId="77777777" w:rsidR="0054529F" w:rsidRPr="009D0913" w:rsidRDefault="0054529F" w:rsidP="009A06C9">
      <w:pPr>
        <w:ind w:left="851"/>
        <w:rPr>
          <w:sz w:val="24"/>
          <w:szCs w:val="24"/>
          <w:lang w:val="en-US"/>
        </w:rPr>
      </w:pPr>
      <w:r w:rsidRPr="009D0913">
        <w:rPr>
          <w:sz w:val="24"/>
          <w:szCs w:val="24"/>
          <w:lang w:val="en-US"/>
        </w:rPr>
        <w:t>G.L. Pharma GmbH</w:t>
      </w:r>
      <w:r w:rsidRPr="009D0913">
        <w:rPr>
          <w:sz w:val="24"/>
          <w:szCs w:val="24"/>
          <w:lang w:val="en-US"/>
        </w:rPr>
        <w:br/>
      </w:r>
      <w:proofErr w:type="spellStart"/>
      <w:r w:rsidRPr="009D0913">
        <w:rPr>
          <w:sz w:val="24"/>
          <w:szCs w:val="24"/>
          <w:lang w:val="en-US"/>
        </w:rPr>
        <w:t>Schlossplatz</w:t>
      </w:r>
      <w:proofErr w:type="spellEnd"/>
      <w:r w:rsidRPr="009D0913">
        <w:rPr>
          <w:sz w:val="24"/>
          <w:szCs w:val="24"/>
          <w:lang w:val="en-US"/>
        </w:rPr>
        <w:t xml:space="preserve"> 1</w:t>
      </w:r>
      <w:r w:rsidRPr="009D0913">
        <w:rPr>
          <w:sz w:val="24"/>
          <w:szCs w:val="24"/>
          <w:lang w:val="en-US"/>
        </w:rPr>
        <w:br/>
        <w:t xml:space="preserve">8502 </w:t>
      </w:r>
      <w:proofErr w:type="spellStart"/>
      <w:r w:rsidRPr="009D0913">
        <w:rPr>
          <w:sz w:val="24"/>
          <w:szCs w:val="24"/>
          <w:lang w:val="en-US"/>
        </w:rPr>
        <w:t>Lannach</w:t>
      </w:r>
      <w:proofErr w:type="spellEnd"/>
    </w:p>
    <w:p w14:paraId="1CE9DA65" w14:textId="77777777" w:rsidR="0054529F" w:rsidRPr="0054529F" w:rsidRDefault="0054529F" w:rsidP="009A06C9">
      <w:pPr>
        <w:ind w:left="851"/>
        <w:rPr>
          <w:sz w:val="24"/>
          <w:szCs w:val="24"/>
        </w:rPr>
      </w:pPr>
      <w:r w:rsidRPr="0054529F">
        <w:rPr>
          <w:sz w:val="24"/>
          <w:szCs w:val="24"/>
        </w:rPr>
        <w:t>Østrig</w:t>
      </w:r>
    </w:p>
    <w:p w14:paraId="447CBD01" w14:textId="77777777" w:rsidR="009260DE" w:rsidRPr="00043A0F" w:rsidRDefault="009260DE" w:rsidP="009A06C9">
      <w:pPr>
        <w:ind w:left="851"/>
        <w:rPr>
          <w:sz w:val="24"/>
          <w:szCs w:val="24"/>
        </w:rPr>
      </w:pPr>
    </w:p>
    <w:p w14:paraId="006BA72F" w14:textId="77777777" w:rsidR="00641C65" w:rsidRPr="00043A0F" w:rsidRDefault="00641C65" w:rsidP="009A06C9">
      <w:pPr>
        <w:ind w:left="851"/>
        <w:rPr>
          <w:sz w:val="24"/>
          <w:szCs w:val="24"/>
        </w:rPr>
      </w:pPr>
      <w:r w:rsidRPr="00043A0F">
        <w:rPr>
          <w:b/>
          <w:sz w:val="24"/>
          <w:szCs w:val="24"/>
        </w:rPr>
        <w:t>Repræsentant</w:t>
      </w:r>
    </w:p>
    <w:p w14:paraId="7469C03B" w14:textId="77777777" w:rsidR="0054529F" w:rsidRPr="0054529F" w:rsidRDefault="0054529F" w:rsidP="009A06C9">
      <w:pPr>
        <w:ind w:left="851"/>
        <w:rPr>
          <w:sz w:val="24"/>
          <w:szCs w:val="24"/>
        </w:rPr>
      </w:pPr>
      <w:r w:rsidRPr="0054529F">
        <w:rPr>
          <w:sz w:val="24"/>
          <w:szCs w:val="24"/>
        </w:rPr>
        <w:t>G.L. Pharma Nordic Aktiebolag</w:t>
      </w:r>
    </w:p>
    <w:p w14:paraId="18008282" w14:textId="77777777" w:rsidR="0054529F" w:rsidRPr="0054529F" w:rsidRDefault="0054529F" w:rsidP="009A06C9">
      <w:pPr>
        <w:ind w:left="851"/>
        <w:rPr>
          <w:sz w:val="24"/>
          <w:szCs w:val="24"/>
        </w:rPr>
      </w:pPr>
      <w:proofErr w:type="spellStart"/>
      <w:r w:rsidRPr="0054529F">
        <w:rPr>
          <w:sz w:val="24"/>
          <w:szCs w:val="24"/>
        </w:rPr>
        <w:t>Övägen</w:t>
      </w:r>
      <w:proofErr w:type="spellEnd"/>
      <w:r w:rsidRPr="0054529F">
        <w:rPr>
          <w:sz w:val="24"/>
          <w:szCs w:val="24"/>
        </w:rPr>
        <w:t xml:space="preserve"> 1</w:t>
      </w:r>
    </w:p>
    <w:p w14:paraId="669B7E6E" w14:textId="77777777" w:rsidR="0054529F" w:rsidRPr="0054529F" w:rsidRDefault="0054529F" w:rsidP="009A06C9">
      <w:pPr>
        <w:ind w:left="851"/>
        <w:rPr>
          <w:sz w:val="24"/>
          <w:szCs w:val="24"/>
        </w:rPr>
      </w:pPr>
      <w:r w:rsidRPr="0054529F">
        <w:rPr>
          <w:sz w:val="24"/>
          <w:szCs w:val="24"/>
        </w:rPr>
        <w:t>21647 Limhamn</w:t>
      </w:r>
    </w:p>
    <w:p w14:paraId="764E2D8E" w14:textId="77777777" w:rsidR="0054529F" w:rsidRPr="0054529F" w:rsidRDefault="0054529F" w:rsidP="009A06C9">
      <w:pPr>
        <w:ind w:left="851"/>
        <w:rPr>
          <w:sz w:val="24"/>
          <w:szCs w:val="24"/>
        </w:rPr>
      </w:pPr>
      <w:r w:rsidRPr="0054529F">
        <w:rPr>
          <w:sz w:val="24"/>
          <w:szCs w:val="24"/>
        </w:rPr>
        <w:t>Sverige</w:t>
      </w:r>
    </w:p>
    <w:p w14:paraId="46A69FA8" w14:textId="77777777" w:rsidR="00641C65" w:rsidRPr="00043A0F" w:rsidRDefault="00641C65" w:rsidP="009260DE">
      <w:pPr>
        <w:tabs>
          <w:tab w:val="left" w:pos="851"/>
        </w:tabs>
        <w:ind w:left="851"/>
        <w:rPr>
          <w:sz w:val="24"/>
          <w:szCs w:val="24"/>
        </w:rPr>
      </w:pPr>
    </w:p>
    <w:p w14:paraId="0147BF9C" w14:textId="77777777" w:rsidR="009260DE" w:rsidRPr="00043A0F" w:rsidRDefault="009260DE" w:rsidP="009260DE">
      <w:pPr>
        <w:tabs>
          <w:tab w:val="left" w:pos="851"/>
        </w:tabs>
        <w:ind w:left="851" w:hanging="851"/>
        <w:rPr>
          <w:b/>
          <w:sz w:val="24"/>
          <w:szCs w:val="24"/>
        </w:rPr>
      </w:pPr>
      <w:r w:rsidRPr="00043A0F">
        <w:rPr>
          <w:b/>
          <w:sz w:val="24"/>
          <w:szCs w:val="24"/>
        </w:rPr>
        <w:t>8.</w:t>
      </w:r>
      <w:r w:rsidRPr="00043A0F">
        <w:rPr>
          <w:b/>
          <w:sz w:val="24"/>
          <w:szCs w:val="24"/>
        </w:rPr>
        <w:tab/>
        <w:t>MARKEDSFØRINGSTILLADELSESNUMMER (</w:t>
      </w:r>
      <w:r w:rsidR="00BF6243" w:rsidRPr="00043A0F">
        <w:rPr>
          <w:b/>
          <w:sz w:val="24"/>
          <w:szCs w:val="24"/>
        </w:rPr>
        <w:t>-</w:t>
      </w:r>
      <w:r w:rsidRPr="00043A0F">
        <w:rPr>
          <w:b/>
          <w:sz w:val="24"/>
          <w:szCs w:val="24"/>
        </w:rPr>
        <w:t>NUMRE)</w:t>
      </w:r>
    </w:p>
    <w:p w14:paraId="388E7367" w14:textId="4EAE52E1" w:rsidR="009260DE" w:rsidRPr="00043A0F" w:rsidRDefault="0054529F" w:rsidP="009260DE">
      <w:pPr>
        <w:tabs>
          <w:tab w:val="left" w:pos="851"/>
        </w:tabs>
        <w:ind w:left="851"/>
        <w:rPr>
          <w:sz w:val="24"/>
          <w:szCs w:val="24"/>
        </w:rPr>
      </w:pPr>
      <w:r w:rsidRPr="00043A0F">
        <w:rPr>
          <w:sz w:val="24"/>
          <w:szCs w:val="24"/>
        </w:rPr>
        <w:t>72723</w:t>
      </w:r>
    </w:p>
    <w:p w14:paraId="4BEE04F2" w14:textId="77777777" w:rsidR="009260DE" w:rsidRPr="00043A0F" w:rsidRDefault="009260DE" w:rsidP="009260DE">
      <w:pPr>
        <w:tabs>
          <w:tab w:val="left" w:pos="851"/>
        </w:tabs>
        <w:ind w:left="851"/>
        <w:jc w:val="both"/>
        <w:rPr>
          <w:sz w:val="24"/>
          <w:szCs w:val="24"/>
        </w:rPr>
      </w:pPr>
    </w:p>
    <w:p w14:paraId="054084A5" w14:textId="77777777" w:rsidR="009260DE" w:rsidRPr="00043A0F" w:rsidRDefault="009260DE" w:rsidP="009260DE">
      <w:pPr>
        <w:tabs>
          <w:tab w:val="left" w:pos="851"/>
        </w:tabs>
        <w:ind w:left="851" w:hanging="851"/>
        <w:rPr>
          <w:b/>
          <w:sz w:val="24"/>
          <w:szCs w:val="24"/>
        </w:rPr>
      </w:pPr>
      <w:r w:rsidRPr="00043A0F">
        <w:rPr>
          <w:b/>
          <w:sz w:val="24"/>
          <w:szCs w:val="24"/>
        </w:rPr>
        <w:t>9.</w:t>
      </w:r>
      <w:r w:rsidRPr="00043A0F">
        <w:rPr>
          <w:b/>
          <w:sz w:val="24"/>
          <w:szCs w:val="24"/>
        </w:rPr>
        <w:tab/>
        <w:t>DATO FOR FØRSTE MARKEDSFØRINGSTILLADELSE</w:t>
      </w:r>
    </w:p>
    <w:p w14:paraId="172D616C" w14:textId="217E8A9D" w:rsidR="009260DE" w:rsidRPr="00043A0F" w:rsidRDefault="00F12F2A" w:rsidP="009260DE">
      <w:pPr>
        <w:tabs>
          <w:tab w:val="left" w:pos="851"/>
        </w:tabs>
        <w:ind w:left="851"/>
        <w:rPr>
          <w:sz w:val="24"/>
          <w:szCs w:val="24"/>
        </w:rPr>
      </w:pPr>
      <w:r>
        <w:rPr>
          <w:sz w:val="24"/>
          <w:szCs w:val="24"/>
        </w:rPr>
        <w:t>7. april 2026</w:t>
      </w:r>
    </w:p>
    <w:p w14:paraId="42FF178B" w14:textId="77777777" w:rsidR="009260DE" w:rsidRPr="00043A0F" w:rsidRDefault="009260DE" w:rsidP="009260DE">
      <w:pPr>
        <w:tabs>
          <w:tab w:val="left" w:pos="851"/>
        </w:tabs>
        <w:ind w:left="851"/>
        <w:rPr>
          <w:sz w:val="24"/>
          <w:szCs w:val="24"/>
        </w:rPr>
      </w:pPr>
    </w:p>
    <w:p w14:paraId="4F3708E3" w14:textId="77777777" w:rsidR="009260DE" w:rsidRPr="00043A0F" w:rsidRDefault="009260DE" w:rsidP="009260DE">
      <w:pPr>
        <w:tabs>
          <w:tab w:val="left" w:pos="851"/>
        </w:tabs>
        <w:ind w:left="851" w:hanging="851"/>
        <w:rPr>
          <w:b/>
          <w:sz w:val="24"/>
          <w:szCs w:val="24"/>
        </w:rPr>
      </w:pPr>
      <w:r w:rsidRPr="00043A0F">
        <w:rPr>
          <w:b/>
          <w:sz w:val="24"/>
          <w:szCs w:val="24"/>
        </w:rPr>
        <w:t>10.</w:t>
      </w:r>
      <w:r w:rsidRPr="00043A0F">
        <w:rPr>
          <w:b/>
          <w:sz w:val="24"/>
          <w:szCs w:val="24"/>
        </w:rPr>
        <w:tab/>
        <w:t>DATO FOR ÆNDRING AF TEKSTEN</w:t>
      </w:r>
    </w:p>
    <w:p w14:paraId="0D5CBAB2" w14:textId="0526EA9A" w:rsidR="009260DE" w:rsidRPr="00043A0F" w:rsidRDefault="0054529F" w:rsidP="009260DE">
      <w:pPr>
        <w:tabs>
          <w:tab w:val="left" w:pos="851"/>
        </w:tabs>
        <w:ind w:left="851"/>
        <w:rPr>
          <w:sz w:val="24"/>
          <w:szCs w:val="24"/>
        </w:rPr>
      </w:pPr>
      <w:r w:rsidRPr="00043A0F">
        <w:rPr>
          <w:sz w:val="24"/>
          <w:szCs w:val="24"/>
        </w:rPr>
        <w:t>-</w:t>
      </w:r>
    </w:p>
    <w:sectPr w:rsidR="009260DE" w:rsidRPr="00043A0F"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756E9" w14:textId="77777777" w:rsidR="00F157C4" w:rsidRDefault="00F157C4">
      <w:r>
        <w:separator/>
      </w:r>
    </w:p>
  </w:endnote>
  <w:endnote w:type="continuationSeparator" w:id="0">
    <w:p w14:paraId="4D9EC478" w14:textId="77777777" w:rsidR="00F157C4" w:rsidRDefault="00F15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1224" w14:textId="77777777" w:rsidR="000259B9" w:rsidRDefault="000259B9">
    <w:pPr>
      <w:pStyle w:val="Sidefod"/>
      <w:pBdr>
        <w:bottom w:val="single" w:sz="6" w:space="1" w:color="auto"/>
      </w:pBdr>
    </w:pPr>
  </w:p>
  <w:p w14:paraId="3B3BD43B" w14:textId="77777777" w:rsidR="000259B9" w:rsidRDefault="000259B9" w:rsidP="00C42586">
    <w:pPr>
      <w:pStyle w:val="Sidefod"/>
      <w:tabs>
        <w:tab w:val="clear" w:pos="4819"/>
        <w:tab w:val="left" w:pos="8505"/>
      </w:tabs>
      <w:rPr>
        <w:i/>
        <w:sz w:val="18"/>
        <w:szCs w:val="18"/>
      </w:rPr>
    </w:pPr>
  </w:p>
  <w:p w14:paraId="0149BDAB" w14:textId="3A6C3E66"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B46682">
      <w:rPr>
        <w:i/>
        <w:noProof/>
        <w:sz w:val="18"/>
        <w:szCs w:val="18"/>
      </w:rPr>
      <w:t>Olpalan, øjendråber, opløsning 1 mg-ml.docx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EAB13" w14:textId="77777777" w:rsidR="00F157C4" w:rsidRDefault="00F157C4">
      <w:r>
        <w:separator/>
      </w:r>
    </w:p>
  </w:footnote>
  <w:footnote w:type="continuationSeparator" w:id="0">
    <w:p w14:paraId="404B6A73" w14:textId="77777777" w:rsidR="00F157C4" w:rsidRDefault="00F15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0982591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579054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8323584">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4791947">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953085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7C4"/>
    <w:rsid w:val="000259B9"/>
    <w:rsid w:val="00041491"/>
    <w:rsid w:val="00043A0F"/>
    <w:rsid w:val="00050D16"/>
    <w:rsid w:val="000730CA"/>
    <w:rsid w:val="00074F2A"/>
    <w:rsid w:val="000A1CA8"/>
    <w:rsid w:val="000A466B"/>
    <w:rsid w:val="000B058C"/>
    <w:rsid w:val="000D68B0"/>
    <w:rsid w:val="000E4EE6"/>
    <w:rsid w:val="00107B7E"/>
    <w:rsid w:val="001454E2"/>
    <w:rsid w:val="00165092"/>
    <w:rsid w:val="00206CE8"/>
    <w:rsid w:val="0021526C"/>
    <w:rsid w:val="00283A2B"/>
    <w:rsid w:val="00283F8B"/>
    <w:rsid w:val="002B30AD"/>
    <w:rsid w:val="002C1EC0"/>
    <w:rsid w:val="002C2C01"/>
    <w:rsid w:val="003A29AE"/>
    <w:rsid w:val="003A32D7"/>
    <w:rsid w:val="003B4074"/>
    <w:rsid w:val="003C769A"/>
    <w:rsid w:val="003D3A90"/>
    <w:rsid w:val="003F1838"/>
    <w:rsid w:val="004251C1"/>
    <w:rsid w:val="0045746C"/>
    <w:rsid w:val="0049104B"/>
    <w:rsid w:val="004E3B12"/>
    <w:rsid w:val="00532310"/>
    <w:rsid w:val="0054529F"/>
    <w:rsid w:val="00565F0F"/>
    <w:rsid w:val="00594A86"/>
    <w:rsid w:val="00596D86"/>
    <w:rsid w:val="00637F5A"/>
    <w:rsid w:val="00641C65"/>
    <w:rsid w:val="006520DA"/>
    <w:rsid w:val="006560B1"/>
    <w:rsid w:val="006756DD"/>
    <w:rsid w:val="0071241E"/>
    <w:rsid w:val="00737275"/>
    <w:rsid w:val="00740EEC"/>
    <w:rsid w:val="0078011A"/>
    <w:rsid w:val="00782AF4"/>
    <w:rsid w:val="00790EE7"/>
    <w:rsid w:val="007B6649"/>
    <w:rsid w:val="0082576E"/>
    <w:rsid w:val="0089346F"/>
    <w:rsid w:val="00907F75"/>
    <w:rsid w:val="009260DE"/>
    <w:rsid w:val="0093258A"/>
    <w:rsid w:val="009A06C9"/>
    <w:rsid w:val="009C7BA3"/>
    <w:rsid w:val="009D0913"/>
    <w:rsid w:val="009D1F5A"/>
    <w:rsid w:val="00A10294"/>
    <w:rsid w:val="00B003BF"/>
    <w:rsid w:val="00B373D7"/>
    <w:rsid w:val="00B46682"/>
    <w:rsid w:val="00B55271"/>
    <w:rsid w:val="00BD7931"/>
    <w:rsid w:val="00BF6243"/>
    <w:rsid w:val="00C36276"/>
    <w:rsid w:val="00C42586"/>
    <w:rsid w:val="00C45F6B"/>
    <w:rsid w:val="00C60CCD"/>
    <w:rsid w:val="00C84483"/>
    <w:rsid w:val="00C95551"/>
    <w:rsid w:val="00CB20D7"/>
    <w:rsid w:val="00D020B0"/>
    <w:rsid w:val="00D11748"/>
    <w:rsid w:val="00D237F6"/>
    <w:rsid w:val="00D3320D"/>
    <w:rsid w:val="00D34D98"/>
    <w:rsid w:val="00D366CF"/>
    <w:rsid w:val="00D93992"/>
    <w:rsid w:val="00DA6622"/>
    <w:rsid w:val="00E108AA"/>
    <w:rsid w:val="00E3749A"/>
    <w:rsid w:val="00E7437F"/>
    <w:rsid w:val="00E82E8E"/>
    <w:rsid w:val="00E865B8"/>
    <w:rsid w:val="00EC0B9B"/>
    <w:rsid w:val="00ED5E9F"/>
    <w:rsid w:val="00F12F2A"/>
    <w:rsid w:val="00F157C4"/>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47BE52"/>
  <w15:chartTrackingRefBased/>
  <w15:docId w15:val="{6B6D7429-320B-4204-8B85-8A4C7C98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qFormat/>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54529F"/>
    <w:rPr>
      <w:color w:val="0563C1" w:themeColor="hyperlink"/>
      <w:u w:val="single"/>
    </w:rPr>
  </w:style>
  <w:style w:type="character" w:styleId="Ulstomtale">
    <w:name w:val="Unresolved Mention"/>
    <w:basedOn w:val="Standardskrifttypeiafsnit"/>
    <w:uiPriority w:val="99"/>
    <w:semiHidden/>
    <w:unhideWhenUsed/>
    <w:rsid w:val="00545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0709">
      <w:bodyDiv w:val="1"/>
      <w:marLeft w:val="0"/>
      <w:marRight w:val="0"/>
      <w:marTop w:val="0"/>
      <w:marBottom w:val="0"/>
      <w:divBdr>
        <w:top w:val="none" w:sz="0" w:space="0" w:color="auto"/>
        <w:left w:val="none" w:sz="0" w:space="0" w:color="auto"/>
        <w:bottom w:val="none" w:sz="0" w:space="0" w:color="auto"/>
        <w:right w:val="none" w:sz="0" w:space="0" w:color="auto"/>
      </w:divBdr>
    </w:div>
    <w:div w:id="97798107">
      <w:bodyDiv w:val="1"/>
      <w:marLeft w:val="0"/>
      <w:marRight w:val="0"/>
      <w:marTop w:val="0"/>
      <w:marBottom w:val="0"/>
      <w:divBdr>
        <w:top w:val="none" w:sz="0" w:space="0" w:color="auto"/>
        <w:left w:val="none" w:sz="0" w:space="0" w:color="auto"/>
        <w:bottom w:val="none" w:sz="0" w:space="0" w:color="auto"/>
        <w:right w:val="none" w:sz="0" w:space="0" w:color="auto"/>
      </w:divBdr>
    </w:div>
    <w:div w:id="101001984">
      <w:bodyDiv w:val="1"/>
      <w:marLeft w:val="0"/>
      <w:marRight w:val="0"/>
      <w:marTop w:val="0"/>
      <w:marBottom w:val="0"/>
      <w:divBdr>
        <w:top w:val="none" w:sz="0" w:space="0" w:color="auto"/>
        <w:left w:val="none" w:sz="0" w:space="0" w:color="auto"/>
        <w:bottom w:val="none" w:sz="0" w:space="0" w:color="auto"/>
        <w:right w:val="none" w:sz="0" w:space="0" w:color="auto"/>
      </w:divBdr>
    </w:div>
    <w:div w:id="130755103">
      <w:bodyDiv w:val="1"/>
      <w:marLeft w:val="0"/>
      <w:marRight w:val="0"/>
      <w:marTop w:val="0"/>
      <w:marBottom w:val="0"/>
      <w:divBdr>
        <w:top w:val="none" w:sz="0" w:space="0" w:color="auto"/>
        <w:left w:val="none" w:sz="0" w:space="0" w:color="auto"/>
        <w:bottom w:val="none" w:sz="0" w:space="0" w:color="auto"/>
        <w:right w:val="none" w:sz="0" w:space="0" w:color="auto"/>
      </w:divBdr>
    </w:div>
    <w:div w:id="131682375">
      <w:bodyDiv w:val="1"/>
      <w:marLeft w:val="0"/>
      <w:marRight w:val="0"/>
      <w:marTop w:val="0"/>
      <w:marBottom w:val="0"/>
      <w:divBdr>
        <w:top w:val="none" w:sz="0" w:space="0" w:color="auto"/>
        <w:left w:val="none" w:sz="0" w:space="0" w:color="auto"/>
        <w:bottom w:val="none" w:sz="0" w:space="0" w:color="auto"/>
        <w:right w:val="none" w:sz="0" w:space="0" w:color="auto"/>
      </w:divBdr>
    </w:div>
    <w:div w:id="139927432">
      <w:bodyDiv w:val="1"/>
      <w:marLeft w:val="0"/>
      <w:marRight w:val="0"/>
      <w:marTop w:val="0"/>
      <w:marBottom w:val="0"/>
      <w:divBdr>
        <w:top w:val="none" w:sz="0" w:space="0" w:color="auto"/>
        <w:left w:val="none" w:sz="0" w:space="0" w:color="auto"/>
        <w:bottom w:val="none" w:sz="0" w:space="0" w:color="auto"/>
        <w:right w:val="none" w:sz="0" w:space="0" w:color="auto"/>
      </w:divBdr>
    </w:div>
    <w:div w:id="156306592">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92154489">
      <w:bodyDiv w:val="1"/>
      <w:marLeft w:val="0"/>
      <w:marRight w:val="0"/>
      <w:marTop w:val="0"/>
      <w:marBottom w:val="0"/>
      <w:divBdr>
        <w:top w:val="none" w:sz="0" w:space="0" w:color="auto"/>
        <w:left w:val="none" w:sz="0" w:space="0" w:color="auto"/>
        <w:bottom w:val="none" w:sz="0" w:space="0" w:color="auto"/>
        <w:right w:val="none" w:sz="0" w:space="0" w:color="auto"/>
      </w:divBdr>
    </w:div>
    <w:div w:id="221869116">
      <w:bodyDiv w:val="1"/>
      <w:marLeft w:val="0"/>
      <w:marRight w:val="0"/>
      <w:marTop w:val="0"/>
      <w:marBottom w:val="0"/>
      <w:divBdr>
        <w:top w:val="none" w:sz="0" w:space="0" w:color="auto"/>
        <w:left w:val="none" w:sz="0" w:space="0" w:color="auto"/>
        <w:bottom w:val="none" w:sz="0" w:space="0" w:color="auto"/>
        <w:right w:val="none" w:sz="0" w:space="0" w:color="auto"/>
      </w:divBdr>
    </w:div>
    <w:div w:id="262224961">
      <w:bodyDiv w:val="1"/>
      <w:marLeft w:val="0"/>
      <w:marRight w:val="0"/>
      <w:marTop w:val="0"/>
      <w:marBottom w:val="0"/>
      <w:divBdr>
        <w:top w:val="none" w:sz="0" w:space="0" w:color="auto"/>
        <w:left w:val="none" w:sz="0" w:space="0" w:color="auto"/>
        <w:bottom w:val="none" w:sz="0" w:space="0" w:color="auto"/>
        <w:right w:val="none" w:sz="0" w:space="0" w:color="auto"/>
      </w:divBdr>
    </w:div>
    <w:div w:id="316693053">
      <w:bodyDiv w:val="1"/>
      <w:marLeft w:val="0"/>
      <w:marRight w:val="0"/>
      <w:marTop w:val="0"/>
      <w:marBottom w:val="0"/>
      <w:divBdr>
        <w:top w:val="none" w:sz="0" w:space="0" w:color="auto"/>
        <w:left w:val="none" w:sz="0" w:space="0" w:color="auto"/>
        <w:bottom w:val="none" w:sz="0" w:space="0" w:color="auto"/>
        <w:right w:val="none" w:sz="0" w:space="0" w:color="auto"/>
      </w:divBdr>
    </w:div>
    <w:div w:id="352150239">
      <w:bodyDiv w:val="1"/>
      <w:marLeft w:val="0"/>
      <w:marRight w:val="0"/>
      <w:marTop w:val="0"/>
      <w:marBottom w:val="0"/>
      <w:divBdr>
        <w:top w:val="none" w:sz="0" w:space="0" w:color="auto"/>
        <w:left w:val="none" w:sz="0" w:space="0" w:color="auto"/>
        <w:bottom w:val="none" w:sz="0" w:space="0" w:color="auto"/>
        <w:right w:val="none" w:sz="0" w:space="0" w:color="auto"/>
      </w:divBdr>
    </w:div>
    <w:div w:id="396323947">
      <w:bodyDiv w:val="1"/>
      <w:marLeft w:val="0"/>
      <w:marRight w:val="0"/>
      <w:marTop w:val="0"/>
      <w:marBottom w:val="0"/>
      <w:divBdr>
        <w:top w:val="none" w:sz="0" w:space="0" w:color="auto"/>
        <w:left w:val="none" w:sz="0" w:space="0" w:color="auto"/>
        <w:bottom w:val="none" w:sz="0" w:space="0" w:color="auto"/>
        <w:right w:val="none" w:sz="0" w:space="0" w:color="auto"/>
      </w:divBdr>
    </w:div>
    <w:div w:id="421799543">
      <w:bodyDiv w:val="1"/>
      <w:marLeft w:val="0"/>
      <w:marRight w:val="0"/>
      <w:marTop w:val="0"/>
      <w:marBottom w:val="0"/>
      <w:divBdr>
        <w:top w:val="none" w:sz="0" w:space="0" w:color="auto"/>
        <w:left w:val="none" w:sz="0" w:space="0" w:color="auto"/>
        <w:bottom w:val="none" w:sz="0" w:space="0" w:color="auto"/>
        <w:right w:val="none" w:sz="0" w:space="0" w:color="auto"/>
      </w:divBdr>
    </w:div>
    <w:div w:id="489754440">
      <w:bodyDiv w:val="1"/>
      <w:marLeft w:val="0"/>
      <w:marRight w:val="0"/>
      <w:marTop w:val="0"/>
      <w:marBottom w:val="0"/>
      <w:divBdr>
        <w:top w:val="none" w:sz="0" w:space="0" w:color="auto"/>
        <w:left w:val="none" w:sz="0" w:space="0" w:color="auto"/>
        <w:bottom w:val="none" w:sz="0" w:space="0" w:color="auto"/>
        <w:right w:val="none" w:sz="0" w:space="0" w:color="auto"/>
      </w:divBdr>
    </w:div>
    <w:div w:id="493767910">
      <w:bodyDiv w:val="1"/>
      <w:marLeft w:val="0"/>
      <w:marRight w:val="0"/>
      <w:marTop w:val="0"/>
      <w:marBottom w:val="0"/>
      <w:divBdr>
        <w:top w:val="none" w:sz="0" w:space="0" w:color="auto"/>
        <w:left w:val="none" w:sz="0" w:space="0" w:color="auto"/>
        <w:bottom w:val="none" w:sz="0" w:space="0" w:color="auto"/>
        <w:right w:val="none" w:sz="0" w:space="0" w:color="auto"/>
      </w:divBdr>
    </w:div>
    <w:div w:id="524751085">
      <w:bodyDiv w:val="1"/>
      <w:marLeft w:val="0"/>
      <w:marRight w:val="0"/>
      <w:marTop w:val="0"/>
      <w:marBottom w:val="0"/>
      <w:divBdr>
        <w:top w:val="none" w:sz="0" w:space="0" w:color="auto"/>
        <w:left w:val="none" w:sz="0" w:space="0" w:color="auto"/>
        <w:bottom w:val="none" w:sz="0" w:space="0" w:color="auto"/>
        <w:right w:val="none" w:sz="0" w:space="0" w:color="auto"/>
      </w:divBdr>
    </w:div>
    <w:div w:id="611206612">
      <w:bodyDiv w:val="1"/>
      <w:marLeft w:val="0"/>
      <w:marRight w:val="0"/>
      <w:marTop w:val="0"/>
      <w:marBottom w:val="0"/>
      <w:divBdr>
        <w:top w:val="none" w:sz="0" w:space="0" w:color="auto"/>
        <w:left w:val="none" w:sz="0" w:space="0" w:color="auto"/>
        <w:bottom w:val="none" w:sz="0" w:space="0" w:color="auto"/>
        <w:right w:val="none" w:sz="0" w:space="0" w:color="auto"/>
      </w:divBdr>
    </w:div>
    <w:div w:id="678124705">
      <w:bodyDiv w:val="1"/>
      <w:marLeft w:val="0"/>
      <w:marRight w:val="0"/>
      <w:marTop w:val="0"/>
      <w:marBottom w:val="0"/>
      <w:divBdr>
        <w:top w:val="none" w:sz="0" w:space="0" w:color="auto"/>
        <w:left w:val="none" w:sz="0" w:space="0" w:color="auto"/>
        <w:bottom w:val="none" w:sz="0" w:space="0" w:color="auto"/>
        <w:right w:val="none" w:sz="0" w:space="0" w:color="auto"/>
      </w:divBdr>
    </w:div>
    <w:div w:id="741567264">
      <w:bodyDiv w:val="1"/>
      <w:marLeft w:val="0"/>
      <w:marRight w:val="0"/>
      <w:marTop w:val="0"/>
      <w:marBottom w:val="0"/>
      <w:divBdr>
        <w:top w:val="none" w:sz="0" w:space="0" w:color="auto"/>
        <w:left w:val="none" w:sz="0" w:space="0" w:color="auto"/>
        <w:bottom w:val="none" w:sz="0" w:space="0" w:color="auto"/>
        <w:right w:val="none" w:sz="0" w:space="0" w:color="auto"/>
      </w:divBdr>
    </w:div>
    <w:div w:id="784353180">
      <w:bodyDiv w:val="1"/>
      <w:marLeft w:val="0"/>
      <w:marRight w:val="0"/>
      <w:marTop w:val="0"/>
      <w:marBottom w:val="0"/>
      <w:divBdr>
        <w:top w:val="none" w:sz="0" w:space="0" w:color="auto"/>
        <w:left w:val="none" w:sz="0" w:space="0" w:color="auto"/>
        <w:bottom w:val="none" w:sz="0" w:space="0" w:color="auto"/>
        <w:right w:val="none" w:sz="0" w:space="0" w:color="auto"/>
      </w:divBdr>
    </w:div>
    <w:div w:id="841697985">
      <w:bodyDiv w:val="1"/>
      <w:marLeft w:val="0"/>
      <w:marRight w:val="0"/>
      <w:marTop w:val="0"/>
      <w:marBottom w:val="0"/>
      <w:divBdr>
        <w:top w:val="none" w:sz="0" w:space="0" w:color="auto"/>
        <w:left w:val="none" w:sz="0" w:space="0" w:color="auto"/>
        <w:bottom w:val="none" w:sz="0" w:space="0" w:color="auto"/>
        <w:right w:val="none" w:sz="0" w:space="0" w:color="auto"/>
      </w:divBdr>
    </w:div>
    <w:div w:id="909001978">
      <w:bodyDiv w:val="1"/>
      <w:marLeft w:val="0"/>
      <w:marRight w:val="0"/>
      <w:marTop w:val="0"/>
      <w:marBottom w:val="0"/>
      <w:divBdr>
        <w:top w:val="none" w:sz="0" w:space="0" w:color="auto"/>
        <w:left w:val="none" w:sz="0" w:space="0" w:color="auto"/>
        <w:bottom w:val="none" w:sz="0" w:space="0" w:color="auto"/>
        <w:right w:val="none" w:sz="0" w:space="0" w:color="auto"/>
      </w:divBdr>
    </w:div>
    <w:div w:id="986476322">
      <w:bodyDiv w:val="1"/>
      <w:marLeft w:val="0"/>
      <w:marRight w:val="0"/>
      <w:marTop w:val="0"/>
      <w:marBottom w:val="0"/>
      <w:divBdr>
        <w:top w:val="none" w:sz="0" w:space="0" w:color="auto"/>
        <w:left w:val="none" w:sz="0" w:space="0" w:color="auto"/>
        <w:bottom w:val="none" w:sz="0" w:space="0" w:color="auto"/>
        <w:right w:val="none" w:sz="0" w:space="0" w:color="auto"/>
      </w:divBdr>
    </w:div>
    <w:div w:id="1009526621">
      <w:bodyDiv w:val="1"/>
      <w:marLeft w:val="0"/>
      <w:marRight w:val="0"/>
      <w:marTop w:val="0"/>
      <w:marBottom w:val="0"/>
      <w:divBdr>
        <w:top w:val="none" w:sz="0" w:space="0" w:color="auto"/>
        <w:left w:val="none" w:sz="0" w:space="0" w:color="auto"/>
        <w:bottom w:val="none" w:sz="0" w:space="0" w:color="auto"/>
        <w:right w:val="none" w:sz="0" w:space="0" w:color="auto"/>
      </w:divBdr>
    </w:div>
    <w:div w:id="1249853244">
      <w:bodyDiv w:val="1"/>
      <w:marLeft w:val="0"/>
      <w:marRight w:val="0"/>
      <w:marTop w:val="0"/>
      <w:marBottom w:val="0"/>
      <w:divBdr>
        <w:top w:val="none" w:sz="0" w:space="0" w:color="auto"/>
        <w:left w:val="none" w:sz="0" w:space="0" w:color="auto"/>
        <w:bottom w:val="none" w:sz="0" w:space="0" w:color="auto"/>
        <w:right w:val="none" w:sz="0" w:space="0" w:color="auto"/>
      </w:divBdr>
    </w:div>
    <w:div w:id="1302153225">
      <w:bodyDiv w:val="1"/>
      <w:marLeft w:val="0"/>
      <w:marRight w:val="0"/>
      <w:marTop w:val="0"/>
      <w:marBottom w:val="0"/>
      <w:divBdr>
        <w:top w:val="none" w:sz="0" w:space="0" w:color="auto"/>
        <w:left w:val="none" w:sz="0" w:space="0" w:color="auto"/>
        <w:bottom w:val="none" w:sz="0" w:space="0" w:color="auto"/>
        <w:right w:val="none" w:sz="0" w:space="0" w:color="auto"/>
      </w:divBdr>
    </w:div>
    <w:div w:id="1333870866">
      <w:bodyDiv w:val="1"/>
      <w:marLeft w:val="0"/>
      <w:marRight w:val="0"/>
      <w:marTop w:val="0"/>
      <w:marBottom w:val="0"/>
      <w:divBdr>
        <w:top w:val="none" w:sz="0" w:space="0" w:color="auto"/>
        <w:left w:val="none" w:sz="0" w:space="0" w:color="auto"/>
        <w:bottom w:val="none" w:sz="0" w:space="0" w:color="auto"/>
        <w:right w:val="none" w:sz="0" w:space="0" w:color="auto"/>
      </w:divBdr>
    </w:div>
    <w:div w:id="1440881193">
      <w:bodyDiv w:val="1"/>
      <w:marLeft w:val="0"/>
      <w:marRight w:val="0"/>
      <w:marTop w:val="0"/>
      <w:marBottom w:val="0"/>
      <w:divBdr>
        <w:top w:val="none" w:sz="0" w:space="0" w:color="auto"/>
        <w:left w:val="none" w:sz="0" w:space="0" w:color="auto"/>
        <w:bottom w:val="none" w:sz="0" w:space="0" w:color="auto"/>
        <w:right w:val="none" w:sz="0" w:space="0" w:color="auto"/>
      </w:divBdr>
    </w:div>
    <w:div w:id="1457262145">
      <w:bodyDiv w:val="1"/>
      <w:marLeft w:val="0"/>
      <w:marRight w:val="0"/>
      <w:marTop w:val="0"/>
      <w:marBottom w:val="0"/>
      <w:divBdr>
        <w:top w:val="none" w:sz="0" w:space="0" w:color="auto"/>
        <w:left w:val="none" w:sz="0" w:space="0" w:color="auto"/>
        <w:bottom w:val="none" w:sz="0" w:space="0" w:color="auto"/>
        <w:right w:val="none" w:sz="0" w:space="0" w:color="auto"/>
      </w:divBdr>
    </w:div>
    <w:div w:id="1482111948">
      <w:bodyDiv w:val="1"/>
      <w:marLeft w:val="0"/>
      <w:marRight w:val="0"/>
      <w:marTop w:val="0"/>
      <w:marBottom w:val="0"/>
      <w:divBdr>
        <w:top w:val="none" w:sz="0" w:space="0" w:color="auto"/>
        <w:left w:val="none" w:sz="0" w:space="0" w:color="auto"/>
        <w:bottom w:val="none" w:sz="0" w:space="0" w:color="auto"/>
        <w:right w:val="none" w:sz="0" w:space="0" w:color="auto"/>
      </w:divBdr>
    </w:div>
    <w:div w:id="1533105841">
      <w:bodyDiv w:val="1"/>
      <w:marLeft w:val="0"/>
      <w:marRight w:val="0"/>
      <w:marTop w:val="0"/>
      <w:marBottom w:val="0"/>
      <w:divBdr>
        <w:top w:val="none" w:sz="0" w:space="0" w:color="auto"/>
        <w:left w:val="none" w:sz="0" w:space="0" w:color="auto"/>
        <w:bottom w:val="none" w:sz="0" w:space="0" w:color="auto"/>
        <w:right w:val="none" w:sz="0" w:space="0" w:color="auto"/>
      </w:divBdr>
    </w:div>
    <w:div w:id="1561095868">
      <w:bodyDiv w:val="1"/>
      <w:marLeft w:val="0"/>
      <w:marRight w:val="0"/>
      <w:marTop w:val="0"/>
      <w:marBottom w:val="0"/>
      <w:divBdr>
        <w:top w:val="none" w:sz="0" w:space="0" w:color="auto"/>
        <w:left w:val="none" w:sz="0" w:space="0" w:color="auto"/>
        <w:bottom w:val="none" w:sz="0" w:space="0" w:color="auto"/>
        <w:right w:val="none" w:sz="0" w:space="0" w:color="auto"/>
      </w:divBdr>
    </w:div>
    <w:div w:id="1589458283">
      <w:bodyDiv w:val="1"/>
      <w:marLeft w:val="0"/>
      <w:marRight w:val="0"/>
      <w:marTop w:val="0"/>
      <w:marBottom w:val="0"/>
      <w:divBdr>
        <w:top w:val="none" w:sz="0" w:space="0" w:color="auto"/>
        <w:left w:val="none" w:sz="0" w:space="0" w:color="auto"/>
        <w:bottom w:val="none" w:sz="0" w:space="0" w:color="auto"/>
        <w:right w:val="none" w:sz="0" w:space="0" w:color="auto"/>
      </w:divBdr>
    </w:div>
    <w:div w:id="1693652719">
      <w:bodyDiv w:val="1"/>
      <w:marLeft w:val="0"/>
      <w:marRight w:val="0"/>
      <w:marTop w:val="0"/>
      <w:marBottom w:val="0"/>
      <w:divBdr>
        <w:top w:val="none" w:sz="0" w:space="0" w:color="auto"/>
        <w:left w:val="none" w:sz="0" w:space="0" w:color="auto"/>
        <w:bottom w:val="none" w:sz="0" w:space="0" w:color="auto"/>
        <w:right w:val="none" w:sz="0" w:space="0" w:color="auto"/>
      </w:divBdr>
    </w:div>
    <w:div w:id="1722631433">
      <w:bodyDiv w:val="1"/>
      <w:marLeft w:val="0"/>
      <w:marRight w:val="0"/>
      <w:marTop w:val="0"/>
      <w:marBottom w:val="0"/>
      <w:divBdr>
        <w:top w:val="none" w:sz="0" w:space="0" w:color="auto"/>
        <w:left w:val="none" w:sz="0" w:space="0" w:color="auto"/>
        <w:bottom w:val="none" w:sz="0" w:space="0" w:color="auto"/>
        <w:right w:val="none" w:sz="0" w:space="0" w:color="auto"/>
      </w:divBdr>
    </w:div>
    <w:div w:id="1754207100">
      <w:bodyDiv w:val="1"/>
      <w:marLeft w:val="0"/>
      <w:marRight w:val="0"/>
      <w:marTop w:val="0"/>
      <w:marBottom w:val="0"/>
      <w:divBdr>
        <w:top w:val="none" w:sz="0" w:space="0" w:color="auto"/>
        <w:left w:val="none" w:sz="0" w:space="0" w:color="auto"/>
        <w:bottom w:val="none" w:sz="0" w:space="0" w:color="auto"/>
        <w:right w:val="none" w:sz="0" w:space="0" w:color="auto"/>
      </w:divBdr>
    </w:div>
    <w:div w:id="1765809003">
      <w:bodyDiv w:val="1"/>
      <w:marLeft w:val="0"/>
      <w:marRight w:val="0"/>
      <w:marTop w:val="0"/>
      <w:marBottom w:val="0"/>
      <w:divBdr>
        <w:top w:val="none" w:sz="0" w:space="0" w:color="auto"/>
        <w:left w:val="none" w:sz="0" w:space="0" w:color="auto"/>
        <w:bottom w:val="none" w:sz="0" w:space="0" w:color="auto"/>
        <w:right w:val="none" w:sz="0" w:space="0" w:color="auto"/>
      </w:divBdr>
    </w:div>
    <w:div w:id="1783575281">
      <w:bodyDiv w:val="1"/>
      <w:marLeft w:val="0"/>
      <w:marRight w:val="0"/>
      <w:marTop w:val="0"/>
      <w:marBottom w:val="0"/>
      <w:divBdr>
        <w:top w:val="none" w:sz="0" w:space="0" w:color="auto"/>
        <w:left w:val="none" w:sz="0" w:space="0" w:color="auto"/>
        <w:bottom w:val="none" w:sz="0" w:space="0" w:color="auto"/>
        <w:right w:val="none" w:sz="0" w:space="0" w:color="auto"/>
      </w:divBdr>
    </w:div>
    <w:div w:id="1857191814">
      <w:bodyDiv w:val="1"/>
      <w:marLeft w:val="0"/>
      <w:marRight w:val="0"/>
      <w:marTop w:val="0"/>
      <w:marBottom w:val="0"/>
      <w:divBdr>
        <w:top w:val="none" w:sz="0" w:space="0" w:color="auto"/>
        <w:left w:val="none" w:sz="0" w:space="0" w:color="auto"/>
        <w:bottom w:val="none" w:sz="0" w:space="0" w:color="auto"/>
        <w:right w:val="none" w:sz="0" w:space="0" w:color="auto"/>
      </w:divBdr>
    </w:div>
    <w:div w:id="2071340640">
      <w:bodyDiv w:val="1"/>
      <w:marLeft w:val="0"/>
      <w:marRight w:val="0"/>
      <w:marTop w:val="0"/>
      <w:marBottom w:val="0"/>
      <w:divBdr>
        <w:top w:val="none" w:sz="0" w:space="0" w:color="auto"/>
        <w:left w:val="none" w:sz="0" w:space="0" w:color="auto"/>
        <w:bottom w:val="none" w:sz="0" w:space="0" w:color="auto"/>
        <w:right w:val="none" w:sz="0" w:space="0" w:color="auto"/>
      </w:divBdr>
    </w:div>
    <w:div w:id="2084376680">
      <w:bodyDiv w:val="1"/>
      <w:marLeft w:val="0"/>
      <w:marRight w:val="0"/>
      <w:marTop w:val="0"/>
      <w:marBottom w:val="0"/>
      <w:divBdr>
        <w:top w:val="none" w:sz="0" w:space="0" w:color="auto"/>
        <w:left w:val="none" w:sz="0" w:space="0" w:color="auto"/>
        <w:bottom w:val="none" w:sz="0" w:space="0" w:color="auto"/>
        <w:right w:val="none" w:sz="0" w:space="0" w:color="auto"/>
      </w:divBdr>
    </w:div>
    <w:div w:id="2118985138">
      <w:bodyDiv w:val="1"/>
      <w:marLeft w:val="0"/>
      <w:marRight w:val="0"/>
      <w:marTop w:val="0"/>
      <w:marBottom w:val="0"/>
      <w:divBdr>
        <w:top w:val="none" w:sz="0" w:space="0" w:color="auto"/>
        <w:left w:val="none" w:sz="0" w:space="0" w:color="auto"/>
        <w:bottom w:val="none" w:sz="0" w:space="0" w:color="auto"/>
        <w:right w:val="none" w:sz="0" w:space="0" w:color="auto"/>
      </w:divBdr>
    </w:div>
    <w:div w:id="213760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24</TotalTime>
  <Pages>8</Pages>
  <Words>1845</Words>
  <Characters>12430</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2024110058, MT</dc:description>
  <cp:lastModifiedBy>Gitte Jørgensen</cp:lastModifiedBy>
  <cp:revision>11</cp:revision>
  <cp:lastPrinted>2012-08-22T08:53:00Z</cp:lastPrinted>
  <dcterms:created xsi:type="dcterms:W3CDTF">2026-04-07T08:46:00Z</dcterms:created>
  <dcterms:modified xsi:type="dcterms:W3CDTF">2026-04-07T10:02:00Z</dcterms:modified>
</cp:coreProperties>
</file>