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3CD" w:rsidRPr="00955972" w:rsidRDefault="00D123CD" w:rsidP="00D123CD">
      <w:r>
        <w:rPr>
          <w:noProof/>
          <w:lang w:eastAsia="da-DK"/>
        </w:rPr>
        <w:drawing>
          <wp:inline distT="0" distB="0" distL="0" distR="0" wp14:anchorId="4CFD15DD" wp14:editId="243C8FD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37C49" w:rsidRPr="00C84483" w:rsidRDefault="00037C49" w:rsidP="00037C49">
      <w:pPr>
        <w:rPr>
          <w:sz w:val="24"/>
          <w:szCs w:val="24"/>
        </w:rPr>
      </w:pPr>
    </w:p>
    <w:p w:rsidR="00037C49" w:rsidRPr="00C84483" w:rsidRDefault="00037C49" w:rsidP="00037C49">
      <w:pPr>
        <w:pStyle w:val="Titel"/>
        <w:tabs>
          <w:tab w:val="right" w:pos="9356"/>
        </w:tabs>
        <w:jc w:val="left"/>
        <w:rPr>
          <w:b w:val="0"/>
          <w:szCs w:val="24"/>
          <w:lang w:eastAsia="en-US"/>
        </w:rPr>
      </w:pPr>
      <w:r>
        <w:rPr>
          <w:b w:val="0"/>
          <w:szCs w:val="24"/>
          <w:lang w:eastAsia="en-US"/>
        </w:rPr>
        <w:tab/>
      </w:r>
      <w:r w:rsidR="000039DD">
        <w:rPr>
          <w:szCs w:val="24"/>
          <w:lang w:eastAsia="en-US"/>
        </w:rPr>
        <w:t>17. november 2023</w:t>
      </w:r>
    </w:p>
    <w:p w:rsidR="00651580" w:rsidRPr="00651580" w:rsidRDefault="00651580" w:rsidP="00651580">
      <w:pPr>
        <w:rPr>
          <w:sz w:val="24"/>
          <w:szCs w:val="24"/>
        </w:rPr>
      </w:pPr>
    </w:p>
    <w:p w:rsidR="00651580" w:rsidRDefault="00651580" w:rsidP="00651580">
      <w:pPr>
        <w:rPr>
          <w:sz w:val="24"/>
          <w:szCs w:val="24"/>
        </w:rPr>
      </w:pPr>
    </w:p>
    <w:p w:rsidR="000039DD" w:rsidRPr="00651580" w:rsidRDefault="000039DD" w:rsidP="00651580">
      <w:pPr>
        <w:rPr>
          <w:sz w:val="24"/>
          <w:szCs w:val="24"/>
        </w:rPr>
      </w:pPr>
    </w:p>
    <w:p w:rsidR="00037C49" w:rsidRPr="00C84483" w:rsidRDefault="00037C49" w:rsidP="00037C49">
      <w:pPr>
        <w:jc w:val="center"/>
        <w:rPr>
          <w:b/>
          <w:sz w:val="24"/>
          <w:szCs w:val="24"/>
        </w:rPr>
      </w:pPr>
      <w:r w:rsidRPr="00C84483">
        <w:rPr>
          <w:b/>
          <w:sz w:val="24"/>
          <w:szCs w:val="24"/>
        </w:rPr>
        <w:t>PRODUKTRESUMÉ</w:t>
      </w:r>
    </w:p>
    <w:p w:rsidR="00037C49" w:rsidRPr="00C84483" w:rsidRDefault="00037C49" w:rsidP="00037C49">
      <w:pPr>
        <w:jc w:val="center"/>
        <w:rPr>
          <w:b/>
          <w:sz w:val="24"/>
          <w:szCs w:val="24"/>
        </w:rPr>
      </w:pPr>
    </w:p>
    <w:p w:rsidR="00037C49" w:rsidRPr="00C84483" w:rsidRDefault="00037C49" w:rsidP="00037C49">
      <w:pPr>
        <w:jc w:val="center"/>
        <w:rPr>
          <w:b/>
          <w:sz w:val="24"/>
          <w:szCs w:val="24"/>
        </w:rPr>
      </w:pPr>
      <w:r w:rsidRPr="00C84483">
        <w:rPr>
          <w:b/>
          <w:sz w:val="24"/>
          <w:szCs w:val="24"/>
        </w:rPr>
        <w:t>for</w:t>
      </w:r>
    </w:p>
    <w:p w:rsidR="00037C49" w:rsidRPr="00347C6A" w:rsidRDefault="00037C49" w:rsidP="00037C49">
      <w:pPr>
        <w:jc w:val="center"/>
        <w:rPr>
          <w:b/>
          <w:sz w:val="24"/>
          <w:szCs w:val="24"/>
        </w:rPr>
      </w:pPr>
    </w:p>
    <w:p w:rsidR="00037C49" w:rsidRPr="00347C6A" w:rsidRDefault="00D123CD" w:rsidP="00037C49">
      <w:pPr>
        <w:shd w:val="clear" w:color="auto" w:fill="FFFFFF"/>
        <w:jc w:val="center"/>
        <w:rPr>
          <w:b/>
          <w:sz w:val="24"/>
          <w:szCs w:val="24"/>
        </w:rPr>
      </w:pPr>
      <w:proofErr w:type="spellStart"/>
      <w:r>
        <w:rPr>
          <w:b/>
          <w:sz w:val="24"/>
          <w:szCs w:val="24"/>
        </w:rPr>
        <w:t>Omeprazol</w:t>
      </w:r>
      <w:proofErr w:type="spellEnd"/>
      <w:r>
        <w:rPr>
          <w:b/>
          <w:sz w:val="24"/>
          <w:szCs w:val="24"/>
        </w:rPr>
        <w:t xml:space="preserve"> "</w:t>
      </w:r>
      <w:proofErr w:type="spellStart"/>
      <w:r>
        <w:rPr>
          <w:b/>
          <w:sz w:val="24"/>
          <w:szCs w:val="24"/>
        </w:rPr>
        <w:t>Amarox</w:t>
      </w:r>
      <w:proofErr w:type="spellEnd"/>
      <w:r>
        <w:rPr>
          <w:b/>
          <w:sz w:val="24"/>
          <w:szCs w:val="24"/>
        </w:rPr>
        <w:t>",</w:t>
      </w:r>
      <w:r w:rsidR="00037C49" w:rsidRPr="00347C6A">
        <w:rPr>
          <w:b/>
          <w:sz w:val="24"/>
          <w:szCs w:val="24"/>
        </w:rPr>
        <w:t xml:space="preserve"> hårde </w:t>
      </w:r>
      <w:proofErr w:type="spellStart"/>
      <w:r w:rsidR="00037C49" w:rsidRPr="00347C6A">
        <w:rPr>
          <w:b/>
          <w:sz w:val="24"/>
          <w:szCs w:val="24"/>
        </w:rPr>
        <w:t>enterokapsler</w:t>
      </w:r>
      <w:proofErr w:type="spellEnd"/>
      <w:r w:rsidR="00037C49" w:rsidRPr="00347C6A">
        <w:rPr>
          <w:b/>
          <w:sz w:val="24"/>
          <w:szCs w:val="24"/>
        </w:rPr>
        <w:t>, 10 mg, pakningsstørrelser &gt; 28 stk., 20 mg, pakningsstørrelser &gt; 14 stk., og 40 mg</w:t>
      </w:r>
    </w:p>
    <w:p w:rsidR="00037C49" w:rsidRPr="00C84483" w:rsidRDefault="00037C49" w:rsidP="00037C49">
      <w:pPr>
        <w:jc w:val="both"/>
        <w:rPr>
          <w:sz w:val="24"/>
          <w:szCs w:val="24"/>
        </w:rPr>
      </w:pPr>
    </w:p>
    <w:p w:rsidR="00037C49" w:rsidRPr="00B808B2" w:rsidRDefault="00037C49" w:rsidP="00037C49">
      <w:pPr>
        <w:ind w:left="851" w:hanging="851"/>
        <w:jc w:val="both"/>
        <w:rPr>
          <w:sz w:val="24"/>
          <w:szCs w:val="24"/>
        </w:rPr>
      </w:pPr>
    </w:p>
    <w:p w:rsidR="003A7982" w:rsidRPr="00C84483" w:rsidRDefault="003A7982" w:rsidP="003A7982">
      <w:pPr>
        <w:tabs>
          <w:tab w:val="left" w:pos="851"/>
        </w:tabs>
        <w:ind w:left="851" w:hanging="851"/>
        <w:rPr>
          <w:b/>
          <w:sz w:val="24"/>
          <w:szCs w:val="24"/>
        </w:rPr>
      </w:pPr>
      <w:r w:rsidRPr="00C84483">
        <w:rPr>
          <w:b/>
          <w:sz w:val="24"/>
          <w:szCs w:val="24"/>
        </w:rPr>
        <w:t>0.</w:t>
      </w:r>
      <w:r w:rsidRPr="00C84483">
        <w:rPr>
          <w:b/>
          <w:sz w:val="24"/>
          <w:szCs w:val="24"/>
        </w:rPr>
        <w:tab/>
        <w:t>D.SP.NR.</w:t>
      </w:r>
    </w:p>
    <w:p w:rsidR="00037C49" w:rsidRPr="00B808B2" w:rsidRDefault="00037C49" w:rsidP="00037C49">
      <w:pPr>
        <w:tabs>
          <w:tab w:val="left" w:pos="851"/>
        </w:tabs>
        <w:ind w:left="851" w:hanging="851"/>
        <w:rPr>
          <w:sz w:val="24"/>
          <w:szCs w:val="24"/>
        </w:rPr>
      </w:pPr>
      <w:r w:rsidRPr="00B808B2">
        <w:rPr>
          <w:sz w:val="24"/>
          <w:szCs w:val="24"/>
        </w:rPr>
        <w:tab/>
        <w:t>29156</w:t>
      </w:r>
    </w:p>
    <w:p w:rsidR="00037C49" w:rsidRPr="00B808B2" w:rsidRDefault="00037C49" w:rsidP="00037C49">
      <w:pPr>
        <w:tabs>
          <w:tab w:val="left" w:pos="851"/>
        </w:tabs>
        <w:ind w:left="851" w:hanging="851"/>
        <w:rPr>
          <w:sz w:val="24"/>
          <w:szCs w:val="24"/>
        </w:rPr>
      </w:pPr>
    </w:p>
    <w:p w:rsidR="000E5510" w:rsidRPr="00C84483" w:rsidRDefault="000E5510" w:rsidP="000E5510">
      <w:pPr>
        <w:tabs>
          <w:tab w:val="left" w:pos="851"/>
        </w:tabs>
        <w:ind w:left="851" w:hanging="851"/>
        <w:rPr>
          <w:b/>
          <w:sz w:val="24"/>
          <w:szCs w:val="24"/>
        </w:rPr>
      </w:pPr>
      <w:r w:rsidRPr="00C84483">
        <w:rPr>
          <w:b/>
          <w:sz w:val="24"/>
          <w:szCs w:val="24"/>
        </w:rPr>
        <w:t>1.</w:t>
      </w:r>
      <w:r w:rsidRPr="00C84483">
        <w:rPr>
          <w:b/>
          <w:sz w:val="24"/>
          <w:szCs w:val="24"/>
        </w:rPr>
        <w:tab/>
        <w:t>LÆGEMIDLETS NAVN</w:t>
      </w:r>
    </w:p>
    <w:p w:rsidR="00037C49" w:rsidRPr="00B808B2" w:rsidRDefault="00037C49" w:rsidP="00037C49">
      <w:pPr>
        <w:tabs>
          <w:tab w:val="left" w:pos="851"/>
        </w:tabs>
        <w:ind w:left="851" w:hanging="851"/>
        <w:rPr>
          <w:sz w:val="24"/>
          <w:szCs w:val="24"/>
        </w:rPr>
      </w:pPr>
      <w:r w:rsidRPr="00B808B2">
        <w:rPr>
          <w:sz w:val="24"/>
          <w:szCs w:val="24"/>
        </w:rPr>
        <w:tab/>
      </w:r>
      <w:proofErr w:type="spellStart"/>
      <w:r w:rsidR="00D123CD">
        <w:rPr>
          <w:sz w:val="24"/>
          <w:szCs w:val="24"/>
        </w:rPr>
        <w:t>Omeprazol</w:t>
      </w:r>
      <w:proofErr w:type="spellEnd"/>
      <w:r w:rsidR="00D123CD">
        <w:rPr>
          <w:sz w:val="24"/>
          <w:szCs w:val="24"/>
        </w:rPr>
        <w:t xml:space="preserve"> "</w:t>
      </w:r>
      <w:proofErr w:type="spellStart"/>
      <w:r w:rsidR="00D123CD">
        <w:rPr>
          <w:sz w:val="24"/>
          <w:szCs w:val="24"/>
        </w:rPr>
        <w:t>Amarox</w:t>
      </w:r>
      <w:proofErr w:type="spellEnd"/>
      <w:r w:rsidR="00D123CD">
        <w:rPr>
          <w:sz w:val="24"/>
          <w:szCs w:val="24"/>
        </w:rPr>
        <w:t>"</w:t>
      </w:r>
    </w:p>
    <w:p w:rsidR="00037C49" w:rsidRPr="00B808B2" w:rsidRDefault="00037C49" w:rsidP="00037C49">
      <w:pPr>
        <w:tabs>
          <w:tab w:val="left" w:pos="851"/>
        </w:tabs>
        <w:ind w:left="851" w:hanging="851"/>
        <w:rPr>
          <w:sz w:val="24"/>
          <w:szCs w:val="24"/>
        </w:rPr>
      </w:pPr>
      <w:r w:rsidRPr="00B808B2">
        <w:rPr>
          <w:sz w:val="24"/>
          <w:szCs w:val="24"/>
        </w:rPr>
        <w:tab/>
      </w:r>
    </w:p>
    <w:p w:rsidR="000E5510" w:rsidRPr="00C84483" w:rsidRDefault="000E5510" w:rsidP="000E55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37C49" w:rsidRPr="00B808B2" w:rsidRDefault="00037C49" w:rsidP="00037C49">
      <w:pPr>
        <w:shd w:val="clear" w:color="auto" w:fill="FFFFFF"/>
        <w:ind w:left="851"/>
        <w:rPr>
          <w:sz w:val="24"/>
          <w:szCs w:val="24"/>
          <w:highlight w:val="yellow"/>
        </w:rPr>
      </w:pPr>
      <w:r w:rsidRPr="00B808B2">
        <w:rPr>
          <w:sz w:val="24"/>
          <w:szCs w:val="24"/>
        </w:rPr>
        <w:t xml:space="preserve">10 mg: En </w:t>
      </w:r>
      <w:proofErr w:type="spellStart"/>
      <w:r w:rsidRPr="00B808B2">
        <w:rPr>
          <w:sz w:val="24"/>
          <w:szCs w:val="24"/>
        </w:rPr>
        <w:t>enterokapsel</w:t>
      </w:r>
      <w:proofErr w:type="spellEnd"/>
      <w:r w:rsidRPr="00B808B2">
        <w:rPr>
          <w:sz w:val="24"/>
          <w:szCs w:val="24"/>
        </w:rPr>
        <w:t xml:space="preserve"> indeholder 10 mg </w:t>
      </w:r>
      <w:proofErr w:type="spellStart"/>
      <w:r w:rsidRPr="00B808B2">
        <w:rPr>
          <w:sz w:val="24"/>
          <w:szCs w:val="24"/>
        </w:rPr>
        <w:t>omeprazol</w:t>
      </w:r>
      <w:proofErr w:type="spellEnd"/>
      <w:r w:rsidRPr="00B808B2">
        <w:rPr>
          <w:sz w:val="24"/>
          <w:szCs w:val="24"/>
        </w:rPr>
        <w:t>.</w:t>
      </w:r>
    </w:p>
    <w:p w:rsidR="00037C49" w:rsidRPr="00B808B2" w:rsidRDefault="00037C49" w:rsidP="00037C49">
      <w:pPr>
        <w:shd w:val="clear" w:color="auto" w:fill="FFFFFF"/>
        <w:ind w:left="851"/>
        <w:rPr>
          <w:sz w:val="24"/>
          <w:szCs w:val="24"/>
          <w:highlight w:val="yellow"/>
        </w:rPr>
      </w:pPr>
      <w:r w:rsidRPr="00B808B2">
        <w:rPr>
          <w:sz w:val="24"/>
          <w:szCs w:val="24"/>
        </w:rPr>
        <w:t xml:space="preserve">20 mg: En </w:t>
      </w:r>
      <w:proofErr w:type="spellStart"/>
      <w:r w:rsidRPr="00B808B2">
        <w:rPr>
          <w:sz w:val="24"/>
          <w:szCs w:val="24"/>
        </w:rPr>
        <w:t>enterokapsel</w:t>
      </w:r>
      <w:proofErr w:type="spellEnd"/>
      <w:r w:rsidRPr="00B808B2">
        <w:rPr>
          <w:sz w:val="24"/>
          <w:szCs w:val="24"/>
        </w:rPr>
        <w:t xml:space="preserve"> indeholder 20 mg </w:t>
      </w:r>
      <w:proofErr w:type="spellStart"/>
      <w:r w:rsidRPr="00B808B2">
        <w:rPr>
          <w:sz w:val="24"/>
          <w:szCs w:val="24"/>
        </w:rPr>
        <w:t>omeprazol</w:t>
      </w:r>
      <w:proofErr w:type="spellEnd"/>
      <w:r w:rsidRPr="00B808B2">
        <w:rPr>
          <w:sz w:val="24"/>
          <w:szCs w:val="24"/>
        </w:rPr>
        <w:t>.</w:t>
      </w:r>
    </w:p>
    <w:p w:rsidR="00037C49" w:rsidRPr="00B808B2" w:rsidRDefault="00037C49" w:rsidP="00037C49">
      <w:pPr>
        <w:shd w:val="clear" w:color="auto" w:fill="FFFFFF"/>
        <w:ind w:left="851"/>
        <w:rPr>
          <w:sz w:val="24"/>
          <w:szCs w:val="24"/>
        </w:rPr>
      </w:pPr>
      <w:r w:rsidRPr="00B808B2">
        <w:rPr>
          <w:sz w:val="24"/>
          <w:szCs w:val="24"/>
        </w:rPr>
        <w:t xml:space="preserve">40 mg: En </w:t>
      </w:r>
      <w:proofErr w:type="spellStart"/>
      <w:r w:rsidRPr="00B808B2">
        <w:rPr>
          <w:sz w:val="24"/>
          <w:szCs w:val="24"/>
        </w:rPr>
        <w:t>enterokapsel</w:t>
      </w:r>
      <w:proofErr w:type="spellEnd"/>
      <w:r w:rsidRPr="00B808B2">
        <w:rPr>
          <w:sz w:val="24"/>
          <w:szCs w:val="24"/>
        </w:rPr>
        <w:t xml:space="preserve"> indeholder 40 mg </w:t>
      </w:r>
      <w:proofErr w:type="spellStart"/>
      <w:r w:rsidRPr="00B808B2">
        <w:rPr>
          <w:sz w:val="24"/>
          <w:szCs w:val="24"/>
        </w:rPr>
        <w:t>omeprazol</w:t>
      </w:r>
      <w:proofErr w:type="spellEnd"/>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jc w:val="both"/>
        <w:rPr>
          <w:sz w:val="24"/>
          <w:szCs w:val="24"/>
        </w:rPr>
      </w:pPr>
      <w:r w:rsidRPr="00B808B2">
        <w:rPr>
          <w:sz w:val="24"/>
          <w:szCs w:val="24"/>
        </w:rPr>
        <w:t>Hjælpestof, som behandleren skal være opmærksom på:</w:t>
      </w:r>
    </w:p>
    <w:p w:rsidR="00037C49" w:rsidRPr="00B808B2" w:rsidRDefault="00037C49" w:rsidP="00037C49">
      <w:pPr>
        <w:shd w:val="clear" w:color="auto" w:fill="FFFFFF"/>
        <w:ind w:left="851"/>
        <w:jc w:val="both"/>
        <w:rPr>
          <w:sz w:val="24"/>
          <w:szCs w:val="24"/>
        </w:rPr>
      </w:pPr>
      <w:r w:rsidRPr="00B808B2">
        <w:rPr>
          <w:sz w:val="24"/>
          <w:szCs w:val="24"/>
        </w:rPr>
        <w:t xml:space="preserve">10 mg: En </w:t>
      </w:r>
      <w:proofErr w:type="spellStart"/>
      <w:r w:rsidRPr="00B808B2">
        <w:rPr>
          <w:sz w:val="24"/>
          <w:szCs w:val="24"/>
        </w:rPr>
        <w:t>enterokapsel</w:t>
      </w:r>
      <w:proofErr w:type="spellEnd"/>
      <w:r w:rsidRPr="00B808B2">
        <w:rPr>
          <w:sz w:val="24"/>
          <w:szCs w:val="24"/>
        </w:rPr>
        <w:t xml:space="preserve"> indeholder 45 mg </w:t>
      </w:r>
      <w:proofErr w:type="spellStart"/>
      <w:r w:rsidRPr="00B808B2">
        <w:rPr>
          <w:sz w:val="24"/>
          <w:szCs w:val="24"/>
        </w:rPr>
        <w:t>s</w:t>
      </w:r>
      <w:r>
        <w:rPr>
          <w:sz w:val="24"/>
          <w:szCs w:val="24"/>
        </w:rPr>
        <w:t>accharose</w:t>
      </w:r>
      <w:proofErr w:type="spellEnd"/>
      <w:r w:rsidRPr="00B808B2">
        <w:rPr>
          <w:sz w:val="24"/>
          <w:szCs w:val="24"/>
        </w:rPr>
        <w:t>.</w:t>
      </w:r>
    </w:p>
    <w:p w:rsidR="00037C49" w:rsidRPr="00B808B2" w:rsidRDefault="00037C49" w:rsidP="00037C49">
      <w:pPr>
        <w:shd w:val="clear" w:color="auto" w:fill="FFFFFF"/>
        <w:ind w:left="851"/>
        <w:jc w:val="both"/>
        <w:rPr>
          <w:sz w:val="24"/>
          <w:szCs w:val="24"/>
          <w:highlight w:val="yellow"/>
        </w:rPr>
      </w:pPr>
      <w:r w:rsidRPr="00B808B2">
        <w:rPr>
          <w:sz w:val="24"/>
          <w:szCs w:val="24"/>
        </w:rPr>
        <w:t xml:space="preserve">20 mg: En </w:t>
      </w:r>
      <w:proofErr w:type="spellStart"/>
      <w:r w:rsidRPr="00B808B2">
        <w:rPr>
          <w:sz w:val="24"/>
          <w:szCs w:val="24"/>
        </w:rPr>
        <w:t>enter</w:t>
      </w:r>
      <w:r>
        <w:rPr>
          <w:sz w:val="24"/>
          <w:szCs w:val="24"/>
        </w:rPr>
        <w:t>okapsel</w:t>
      </w:r>
      <w:proofErr w:type="spellEnd"/>
      <w:r>
        <w:rPr>
          <w:sz w:val="24"/>
          <w:szCs w:val="24"/>
        </w:rPr>
        <w:t xml:space="preserve"> indeholder 90 mg </w:t>
      </w:r>
      <w:proofErr w:type="spellStart"/>
      <w:r w:rsidRPr="00B808B2">
        <w:rPr>
          <w:sz w:val="24"/>
          <w:szCs w:val="24"/>
        </w:rPr>
        <w:t>s</w:t>
      </w:r>
      <w:r>
        <w:rPr>
          <w:sz w:val="24"/>
          <w:szCs w:val="24"/>
        </w:rPr>
        <w:t>accharose</w:t>
      </w:r>
      <w:proofErr w:type="spellEnd"/>
      <w:r w:rsidRPr="00B808B2">
        <w:rPr>
          <w:sz w:val="24"/>
          <w:szCs w:val="24"/>
        </w:rPr>
        <w:t>.</w:t>
      </w:r>
    </w:p>
    <w:p w:rsidR="00037C49" w:rsidRPr="00B808B2" w:rsidRDefault="00037C49" w:rsidP="00037C49">
      <w:pPr>
        <w:shd w:val="clear" w:color="auto" w:fill="FFFFFF"/>
        <w:ind w:left="851"/>
        <w:jc w:val="both"/>
        <w:rPr>
          <w:sz w:val="24"/>
          <w:szCs w:val="24"/>
        </w:rPr>
      </w:pPr>
      <w:r w:rsidRPr="00B808B2">
        <w:rPr>
          <w:sz w:val="24"/>
          <w:szCs w:val="24"/>
        </w:rPr>
        <w:t xml:space="preserve">40 mg: En </w:t>
      </w:r>
      <w:proofErr w:type="spellStart"/>
      <w:r w:rsidRPr="00B808B2">
        <w:rPr>
          <w:sz w:val="24"/>
          <w:szCs w:val="24"/>
        </w:rPr>
        <w:t>entero</w:t>
      </w:r>
      <w:r>
        <w:rPr>
          <w:sz w:val="24"/>
          <w:szCs w:val="24"/>
        </w:rPr>
        <w:t>kapsel</w:t>
      </w:r>
      <w:proofErr w:type="spellEnd"/>
      <w:r>
        <w:rPr>
          <w:sz w:val="24"/>
          <w:szCs w:val="24"/>
        </w:rPr>
        <w:t xml:space="preserve"> indeholder 180 mg </w:t>
      </w:r>
      <w:proofErr w:type="spellStart"/>
      <w:r w:rsidRPr="00B808B2">
        <w:rPr>
          <w:sz w:val="24"/>
          <w:szCs w:val="24"/>
        </w:rPr>
        <w:t>s</w:t>
      </w:r>
      <w:r>
        <w:rPr>
          <w:sz w:val="24"/>
          <w:szCs w:val="24"/>
        </w:rPr>
        <w:t>accharose</w:t>
      </w:r>
      <w:proofErr w:type="spellEnd"/>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ind w:left="851"/>
        <w:rPr>
          <w:sz w:val="24"/>
          <w:szCs w:val="24"/>
        </w:rPr>
      </w:pPr>
      <w:r w:rsidRPr="00B808B2">
        <w:rPr>
          <w:sz w:val="24"/>
          <w:szCs w:val="24"/>
        </w:rPr>
        <w:t>Alle hjælpestoffer er anført under pkt. 6.1.</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3.</w:t>
      </w:r>
      <w:r w:rsidRPr="00B808B2">
        <w:rPr>
          <w:b/>
          <w:sz w:val="24"/>
          <w:szCs w:val="24"/>
        </w:rPr>
        <w:tab/>
        <w:t>LÆGEMIDDELFORM</w:t>
      </w:r>
    </w:p>
    <w:p w:rsidR="00037C49" w:rsidRPr="00B808B2" w:rsidRDefault="00037C49" w:rsidP="00037C49">
      <w:pPr>
        <w:shd w:val="clear" w:color="auto" w:fill="FFFFFF"/>
        <w:ind w:left="851"/>
        <w:rPr>
          <w:sz w:val="24"/>
          <w:szCs w:val="24"/>
          <w:lang w:bidi="da-DK"/>
        </w:rPr>
      </w:pPr>
      <w:r>
        <w:rPr>
          <w:sz w:val="24"/>
          <w:szCs w:val="24"/>
          <w:lang w:bidi="da-DK"/>
        </w:rPr>
        <w:t xml:space="preserve">Hårde </w:t>
      </w:r>
      <w:proofErr w:type="spellStart"/>
      <w:r>
        <w:rPr>
          <w:sz w:val="24"/>
          <w:szCs w:val="24"/>
          <w:lang w:bidi="da-DK"/>
        </w:rPr>
        <w:t>e</w:t>
      </w:r>
      <w:r w:rsidRPr="00B808B2">
        <w:rPr>
          <w:sz w:val="24"/>
          <w:szCs w:val="24"/>
          <w:lang w:bidi="da-DK"/>
        </w:rPr>
        <w:t>nterokapsler</w:t>
      </w:r>
      <w:proofErr w:type="spellEnd"/>
    </w:p>
    <w:p w:rsidR="00037C49" w:rsidRPr="00B808B2" w:rsidRDefault="00037C49" w:rsidP="00037C49">
      <w:pPr>
        <w:shd w:val="clear" w:color="auto" w:fill="FFFFFF"/>
        <w:ind w:left="851"/>
        <w:rPr>
          <w:sz w:val="24"/>
          <w:szCs w:val="24"/>
          <w:lang w:bidi="da-DK"/>
        </w:rPr>
      </w:pPr>
    </w:p>
    <w:p w:rsidR="00037C49" w:rsidRPr="00B808B2" w:rsidRDefault="00D123CD" w:rsidP="00037C49">
      <w:pPr>
        <w:shd w:val="clear" w:color="auto" w:fill="FFFFFF"/>
        <w:ind w:left="851"/>
        <w:rPr>
          <w:bCs/>
          <w:sz w:val="24"/>
          <w:szCs w:val="24"/>
        </w:rPr>
      </w:pPr>
      <w:proofErr w:type="spellStart"/>
      <w:r>
        <w:rPr>
          <w:bCs/>
          <w:sz w:val="24"/>
          <w:szCs w:val="24"/>
        </w:rPr>
        <w:t>Omeprazol</w:t>
      </w:r>
      <w:proofErr w:type="spellEnd"/>
      <w:r>
        <w:rPr>
          <w:bCs/>
          <w:sz w:val="24"/>
          <w:szCs w:val="24"/>
        </w:rPr>
        <w:t xml:space="preserve"> "</w:t>
      </w:r>
      <w:proofErr w:type="spellStart"/>
      <w:r>
        <w:rPr>
          <w:bCs/>
          <w:sz w:val="24"/>
          <w:szCs w:val="24"/>
        </w:rPr>
        <w:t>Amarox</w:t>
      </w:r>
      <w:proofErr w:type="spellEnd"/>
      <w:r>
        <w:rPr>
          <w:bCs/>
          <w:sz w:val="24"/>
          <w:szCs w:val="24"/>
        </w:rPr>
        <w:t>"</w:t>
      </w:r>
      <w:r w:rsidR="00037C49" w:rsidRPr="00B808B2">
        <w:rPr>
          <w:bCs/>
          <w:sz w:val="24"/>
          <w:szCs w:val="24"/>
        </w:rPr>
        <w:t xml:space="preserve"> </w:t>
      </w:r>
      <w:r w:rsidR="00037C49" w:rsidRPr="00B808B2">
        <w:rPr>
          <w:bCs/>
          <w:sz w:val="24"/>
          <w:szCs w:val="24"/>
          <w:lang w:bidi="da-DK"/>
        </w:rPr>
        <w:t xml:space="preserve">10 mg </w:t>
      </w:r>
      <w:proofErr w:type="spellStart"/>
      <w:r w:rsidR="00037C49" w:rsidRPr="00B808B2">
        <w:rPr>
          <w:bCs/>
          <w:sz w:val="24"/>
          <w:szCs w:val="24"/>
          <w:lang w:bidi="da-DK"/>
        </w:rPr>
        <w:t>enterokapsler</w:t>
      </w:r>
      <w:proofErr w:type="spellEnd"/>
      <w:r w:rsidR="00037C49" w:rsidRPr="00B808B2">
        <w:rPr>
          <w:bCs/>
          <w:sz w:val="24"/>
          <w:szCs w:val="24"/>
          <w:lang w:bidi="da-DK"/>
        </w:rPr>
        <w:t xml:space="preserve">: Hård gelatinekapsel med lyserød hætte og lyserød krop i størrelse 3, præget med "H" og "O1" på kroppen, fyldt med hvide/råhvide korn. </w:t>
      </w:r>
    </w:p>
    <w:p w:rsidR="00037C49" w:rsidRPr="00B808B2" w:rsidRDefault="00037C49" w:rsidP="00037C49">
      <w:pPr>
        <w:shd w:val="clear" w:color="auto" w:fill="FFFFFF"/>
        <w:ind w:left="851"/>
        <w:rPr>
          <w:sz w:val="24"/>
          <w:szCs w:val="24"/>
          <w:lang w:bidi="da-DK"/>
        </w:rPr>
      </w:pPr>
    </w:p>
    <w:p w:rsidR="00037C49" w:rsidRPr="00B808B2" w:rsidRDefault="00D123CD" w:rsidP="00037C49">
      <w:pPr>
        <w:shd w:val="clear" w:color="auto" w:fill="FFFFFF"/>
        <w:ind w:left="851"/>
        <w:rPr>
          <w:sz w:val="24"/>
          <w:szCs w:val="24"/>
          <w:lang w:bidi="da-DK"/>
        </w:rPr>
      </w:pPr>
      <w:proofErr w:type="spellStart"/>
      <w:r>
        <w:rPr>
          <w:bCs/>
          <w:sz w:val="24"/>
          <w:szCs w:val="24"/>
        </w:rPr>
        <w:t>Omeprazol</w:t>
      </w:r>
      <w:proofErr w:type="spellEnd"/>
      <w:r>
        <w:rPr>
          <w:bCs/>
          <w:sz w:val="24"/>
          <w:szCs w:val="24"/>
        </w:rPr>
        <w:t xml:space="preserve"> "</w:t>
      </w:r>
      <w:proofErr w:type="spellStart"/>
      <w:r>
        <w:rPr>
          <w:bCs/>
          <w:sz w:val="24"/>
          <w:szCs w:val="24"/>
        </w:rPr>
        <w:t>Amarox</w:t>
      </w:r>
      <w:proofErr w:type="spellEnd"/>
      <w:r>
        <w:rPr>
          <w:bCs/>
          <w:sz w:val="24"/>
          <w:szCs w:val="24"/>
        </w:rPr>
        <w:t>"</w:t>
      </w:r>
      <w:r w:rsidR="00037C49" w:rsidRPr="00B808B2">
        <w:rPr>
          <w:bCs/>
          <w:sz w:val="24"/>
          <w:szCs w:val="24"/>
        </w:rPr>
        <w:t xml:space="preserve"> </w:t>
      </w:r>
      <w:r w:rsidR="00037C49" w:rsidRPr="00B808B2">
        <w:rPr>
          <w:bCs/>
          <w:sz w:val="24"/>
          <w:szCs w:val="24"/>
          <w:lang w:bidi="da-DK"/>
        </w:rPr>
        <w:t xml:space="preserve">20 mg </w:t>
      </w:r>
      <w:proofErr w:type="spellStart"/>
      <w:r w:rsidR="00037C49" w:rsidRPr="00B808B2">
        <w:rPr>
          <w:bCs/>
          <w:sz w:val="24"/>
          <w:szCs w:val="24"/>
          <w:lang w:bidi="da-DK"/>
        </w:rPr>
        <w:t>enterokapsler</w:t>
      </w:r>
      <w:proofErr w:type="spellEnd"/>
      <w:r w:rsidR="00037C49" w:rsidRPr="00B808B2">
        <w:rPr>
          <w:bCs/>
          <w:sz w:val="24"/>
          <w:szCs w:val="24"/>
          <w:lang w:bidi="da-DK"/>
        </w:rPr>
        <w:t>: Hård gelatinekapsel med rødbrun hætte og lyserød krop i størrelse 2, præget med "H" og "O2" på kroppen, fyldt med hvide/råhvide korn.</w:t>
      </w:r>
    </w:p>
    <w:p w:rsidR="00037C49" w:rsidRPr="00B808B2" w:rsidRDefault="00037C49" w:rsidP="00037C49">
      <w:pPr>
        <w:shd w:val="clear" w:color="auto" w:fill="FFFFFF"/>
        <w:ind w:left="851"/>
        <w:rPr>
          <w:sz w:val="24"/>
          <w:szCs w:val="24"/>
          <w:lang w:bidi="da-DK"/>
        </w:rPr>
      </w:pPr>
    </w:p>
    <w:p w:rsidR="00037C49" w:rsidRPr="00B808B2" w:rsidRDefault="00D123CD" w:rsidP="00037C49">
      <w:pPr>
        <w:shd w:val="clear" w:color="auto" w:fill="FFFFFF"/>
        <w:ind w:left="851"/>
        <w:rPr>
          <w:sz w:val="24"/>
          <w:szCs w:val="24"/>
        </w:rPr>
      </w:pPr>
      <w:proofErr w:type="spellStart"/>
      <w:r>
        <w:rPr>
          <w:bCs/>
          <w:sz w:val="24"/>
          <w:szCs w:val="24"/>
        </w:rPr>
        <w:t>Omeprazol</w:t>
      </w:r>
      <w:proofErr w:type="spellEnd"/>
      <w:r>
        <w:rPr>
          <w:bCs/>
          <w:sz w:val="24"/>
          <w:szCs w:val="24"/>
        </w:rPr>
        <w:t xml:space="preserve"> "</w:t>
      </w:r>
      <w:proofErr w:type="spellStart"/>
      <w:r>
        <w:rPr>
          <w:bCs/>
          <w:sz w:val="24"/>
          <w:szCs w:val="24"/>
        </w:rPr>
        <w:t>Amarox</w:t>
      </w:r>
      <w:proofErr w:type="spellEnd"/>
      <w:r>
        <w:rPr>
          <w:bCs/>
          <w:sz w:val="24"/>
          <w:szCs w:val="24"/>
        </w:rPr>
        <w:t>"</w:t>
      </w:r>
      <w:r w:rsidR="00037C49" w:rsidRPr="00B808B2">
        <w:rPr>
          <w:bCs/>
          <w:sz w:val="24"/>
          <w:szCs w:val="24"/>
        </w:rPr>
        <w:t xml:space="preserve"> </w:t>
      </w:r>
      <w:r w:rsidR="00037C49" w:rsidRPr="00B808B2">
        <w:rPr>
          <w:bCs/>
          <w:sz w:val="24"/>
          <w:szCs w:val="24"/>
          <w:lang w:bidi="da-DK"/>
        </w:rPr>
        <w:t xml:space="preserve">40 mg </w:t>
      </w:r>
      <w:proofErr w:type="spellStart"/>
      <w:r w:rsidR="00037C49" w:rsidRPr="00B808B2">
        <w:rPr>
          <w:bCs/>
          <w:sz w:val="24"/>
          <w:szCs w:val="24"/>
          <w:lang w:bidi="da-DK"/>
        </w:rPr>
        <w:t>enterokapsler</w:t>
      </w:r>
      <w:proofErr w:type="spellEnd"/>
      <w:r w:rsidR="00037C49" w:rsidRPr="00B808B2">
        <w:rPr>
          <w:bCs/>
          <w:sz w:val="24"/>
          <w:szCs w:val="24"/>
          <w:lang w:bidi="da-DK"/>
        </w:rPr>
        <w:t>: Hård gelatinekapsel med rødbrun hætte og rødbrun krop i størrelse 1, præget med "H" og "O3" på kroppen, fyldt med hvide/råhvide korn.</w:t>
      </w:r>
    </w:p>
    <w:p w:rsidR="00037C49" w:rsidRDefault="00037C49" w:rsidP="00037C49">
      <w:pPr>
        <w:shd w:val="clear" w:color="auto" w:fill="FFFFFF"/>
        <w:ind w:left="851" w:hanging="851"/>
        <w:rPr>
          <w:sz w:val="24"/>
          <w:szCs w:val="24"/>
        </w:rPr>
      </w:pPr>
    </w:p>
    <w:p w:rsidR="00651580" w:rsidRPr="00B808B2" w:rsidRDefault="00651580"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lastRenderedPageBreak/>
        <w:t>4.</w:t>
      </w:r>
      <w:r w:rsidRPr="00B808B2">
        <w:rPr>
          <w:b/>
          <w:sz w:val="24"/>
          <w:szCs w:val="24"/>
        </w:rPr>
        <w:tab/>
        <w:t>KLINISKE OPLYSNINGER</w:t>
      </w:r>
    </w:p>
    <w:p w:rsidR="00037C49" w:rsidRPr="00B808B2" w:rsidRDefault="00037C49" w:rsidP="00037C49">
      <w:pPr>
        <w:tabs>
          <w:tab w:val="left" w:pos="851"/>
        </w:tabs>
        <w:ind w:left="851" w:hanging="851"/>
        <w:rPr>
          <w:b/>
          <w:sz w:val="24"/>
          <w:szCs w:val="24"/>
        </w:rPr>
      </w:pPr>
    </w:p>
    <w:p w:rsidR="00037C49" w:rsidRPr="00B808B2" w:rsidRDefault="00037C49" w:rsidP="00037C49">
      <w:pPr>
        <w:tabs>
          <w:tab w:val="left" w:pos="851"/>
        </w:tabs>
        <w:ind w:left="851" w:hanging="851"/>
        <w:rPr>
          <w:b/>
          <w:sz w:val="24"/>
          <w:szCs w:val="24"/>
          <w:u w:val="single"/>
        </w:rPr>
      </w:pPr>
      <w:r w:rsidRPr="00B808B2">
        <w:rPr>
          <w:b/>
          <w:sz w:val="24"/>
          <w:szCs w:val="24"/>
        </w:rPr>
        <w:t>4.1</w:t>
      </w:r>
      <w:r w:rsidRPr="00B808B2">
        <w:rPr>
          <w:b/>
          <w:sz w:val="24"/>
          <w:szCs w:val="24"/>
        </w:rPr>
        <w:tab/>
        <w:t>Terapeutiske indikationer</w:t>
      </w:r>
    </w:p>
    <w:p w:rsidR="00037C49" w:rsidRPr="00B808B2" w:rsidRDefault="00D123CD" w:rsidP="00037C49">
      <w:pPr>
        <w:shd w:val="clear" w:color="auto" w:fill="FFFFFF"/>
        <w:ind w:firstLine="851"/>
        <w:rPr>
          <w:bCs/>
          <w:sz w:val="24"/>
          <w:szCs w:val="24"/>
        </w:rPr>
      </w:pPr>
      <w:proofErr w:type="spellStart"/>
      <w:r>
        <w:rPr>
          <w:bCs/>
          <w:sz w:val="24"/>
          <w:szCs w:val="24"/>
        </w:rPr>
        <w:t>Omeprazol</w:t>
      </w:r>
      <w:proofErr w:type="spellEnd"/>
      <w:r>
        <w:rPr>
          <w:bCs/>
          <w:sz w:val="24"/>
          <w:szCs w:val="24"/>
        </w:rPr>
        <w:t xml:space="preserve"> "</w:t>
      </w:r>
      <w:proofErr w:type="spellStart"/>
      <w:r>
        <w:rPr>
          <w:bCs/>
          <w:sz w:val="24"/>
          <w:szCs w:val="24"/>
        </w:rPr>
        <w:t>Amarox</w:t>
      </w:r>
      <w:proofErr w:type="spellEnd"/>
      <w:r>
        <w:rPr>
          <w:bCs/>
          <w:sz w:val="24"/>
          <w:szCs w:val="24"/>
        </w:rPr>
        <w:t>"</w:t>
      </w:r>
      <w:r w:rsidR="00037C49" w:rsidRPr="00B808B2">
        <w:rPr>
          <w:bCs/>
          <w:sz w:val="24"/>
          <w:szCs w:val="24"/>
        </w:rPr>
        <w:t xml:space="preserve"> </w:t>
      </w:r>
      <w:proofErr w:type="spellStart"/>
      <w:r w:rsidR="00037C49" w:rsidRPr="00B808B2">
        <w:rPr>
          <w:bCs/>
          <w:sz w:val="24"/>
          <w:szCs w:val="24"/>
        </w:rPr>
        <w:t>enterokapsler</w:t>
      </w:r>
      <w:proofErr w:type="spellEnd"/>
      <w:r w:rsidR="00037C49" w:rsidRPr="00B808B2">
        <w:rPr>
          <w:bCs/>
          <w:sz w:val="24"/>
          <w:szCs w:val="24"/>
        </w:rPr>
        <w:t xml:space="preserve">, hårde er indiceret til: </w:t>
      </w:r>
    </w:p>
    <w:p w:rsidR="00037C49" w:rsidRPr="00B808B2" w:rsidRDefault="00037C49" w:rsidP="00037C49">
      <w:pPr>
        <w:shd w:val="clear" w:color="auto" w:fill="FFFFFF"/>
        <w:rPr>
          <w:sz w:val="24"/>
          <w:szCs w:val="24"/>
        </w:rPr>
      </w:pPr>
    </w:p>
    <w:p w:rsidR="00037C49" w:rsidRPr="00B808B2" w:rsidRDefault="00037C49" w:rsidP="00037C49">
      <w:pPr>
        <w:shd w:val="clear" w:color="auto" w:fill="FFFFFF"/>
        <w:ind w:left="851"/>
        <w:rPr>
          <w:bCs/>
          <w:sz w:val="24"/>
          <w:szCs w:val="24"/>
          <w:u w:val="single"/>
        </w:rPr>
      </w:pPr>
      <w:r w:rsidRPr="00B808B2">
        <w:rPr>
          <w:bCs/>
          <w:sz w:val="24"/>
          <w:szCs w:val="24"/>
          <w:u w:val="single"/>
        </w:rPr>
        <w:t>Voksne</w:t>
      </w:r>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w:t>
      </w:r>
      <w:proofErr w:type="spellStart"/>
      <w:r w:rsidRPr="00B808B2">
        <w:rPr>
          <w:rFonts w:ascii="Times New Roman" w:hAnsi="Times New Roman"/>
          <w:bCs/>
          <w:sz w:val="24"/>
          <w:szCs w:val="24"/>
          <w:lang w:val="da-DK"/>
        </w:rPr>
        <w:t>duodenale</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ulcera</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Recidivprofylaktisk mod </w:t>
      </w:r>
      <w:proofErr w:type="spellStart"/>
      <w:r w:rsidRPr="00B808B2">
        <w:rPr>
          <w:rFonts w:ascii="Times New Roman" w:hAnsi="Times New Roman"/>
          <w:bCs/>
          <w:sz w:val="24"/>
          <w:szCs w:val="24"/>
          <w:lang w:val="da-DK"/>
        </w:rPr>
        <w:t>duodenale</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ulcera</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gastriske </w:t>
      </w:r>
      <w:proofErr w:type="spellStart"/>
      <w:r w:rsidRPr="00B808B2">
        <w:rPr>
          <w:rFonts w:ascii="Times New Roman" w:hAnsi="Times New Roman"/>
          <w:bCs/>
          <w:sz w:val="24"/>
          <w:szCs w:val="24"/>
          <w:lang w:val="da-DK"/>
        </w:rPr>
        <w:t>ulcera</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Recidivprofylaktisk mod gastriske </w:t>
      </w:r>
      <w:proofErr w:type="spellStart"/>
      <w:r w:rsidRPr="00B808B2">
        <w:rPr>
          <w:rFonts w:ascii="Times New Roman" w:hAnsi="Times New Roman"/>
          <w:bCs/>
          <w:sz w:val="24"/>
          <w:szCs w:val="24"/>
          <w:lang w:val="da-DK"/>
        </w:rPr>
        <w:t>ulcera</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proofErr w:type="spellStart"/>
      <w:r w:rsidRPr="00B808B2">
        <w:rPr>
          <w:rFonts w:ascii="Times New Roman" w:hAnsi="Times New Roman"/>
          <w:bCs/>
          <w:sz w:val="24"/>
          <w:szCs w:val="24"/>
          <w:lang w:val="da-DK"/>
        </w:rPr>
        <w:t>Eradikation</w:t>
      </w:r>
      <w:proofErr w:type="spellEnd"/>
      <w:r w:rsidRPr="00B808B2">
        <w:rPr>
          <w:rFonts w:ascii="Times New Roman" w:hAnsi="Times New Roman"/>
          <w:bCs/>
          <w:sz w:val="24"/>
          <w:szCs w:val="24"/>
          <w:lang w:val="da-DK"/>
        </w:rPr>
        <w:t xml:space="preserve"> af </w:t>
      </w:r>
      <w:proofErr w:type="spellStart"/>
      <w:r w:rsidRPr="00B808B2">
        <w:rPr>
          <w:rFonts w:ascii="Times New Roman" w:hAnsi="Times New Roman"/>
          <w:bCs/>
          <w:i/>
          <w:sz w:val="24"/>
          <w:szCs w:val="24"/>
          <w:lang w:val="da-DK"/>
        </w:rPr>
        <w:t>Helicobacter</w:t>
      </w:r>
      <w:proofErr w:type="spellEnd"/>
      <w:r w:rsidRPr="00B808B2">
        <w:rPr>
          <w:rFonts w:ascii="Times New Roman" w:hAnsi="Times New Roman"/>
          <w:bCs/>
          <w:i/>
          <w:sz w:val="24"/>
          <w:szCs w:val="24"/>
          <w:lang w:val="da-DK"/>
        </w:rPr>
        <w:t xml:space="preserve"> </w:t>
      </w:r>
      <w:proofErr w:type="spellStart"/>
      <w:r w:rsidRPr="00B808B2">
        <w:rPr>
          <w:rFonts w:ascii="Times New Roman" w:hAnsi="Times New Roman"/>
          <w:bCs/>
          <w:i/>
          <w:sz w:val="24"/>
          <w:szCs w:val="24"/>
          <w:lang w:val="da-DK"/>
        </w:rPr>
        <w:t>pylori</w:t>
      </w:r>
      <w:proofErr w:type="spellEnd"/>
      <w:r w:rsidRPr="00B808B2">
        <w:rPr>
          <w:rFonts w:ascii="Times New Roman" w:hAnsi="Times New Roman"/>
          <w:bCs/>
          <w:sz w:val="24"/>
          <w:szCs w:val="24"/>
          <w:lang w:val="da-DK"/>
        </w:rPr>
        <w:t xml:space="preserve"> (</w:t>
      </w:r>
      <w:r w:rsidRPr="00B808B2">
        <w:rPr>
          <w:rFonts w:ascii="Times New Roman" w:hAnsi="Times New Roman"/>
          <w:bCs/>
          <w:i/>
          <w:sz w:val="24"/>
          <w:szCs w:val="24"/>
          <w:lang w:val="da-DK"/>
        </w:rPr>
        <w:t xml:space="preserve">H. </w:t>
      </w:r>
      <w:proofErr w:type="spellStart"/>
      <w:r w:rsidRPr="00B808B2">
        <w:rPr>
          <w:rFonts w:ascii="Times New Roman" w:hAnsi="Times New Roman"/>
          <w:bCs/>
          <w:i/>
          <w:sz w:val="24"/>
          <w:szCs w:val="24"/>
          <w:lang w:val="da-DK"/>
        </w:rPr>
        <w:t>pylori</w:t>
      </w:r>
      <w:proofErr w:type="spellEnd"/>
      <w:r w:rsidRPr="00B808B2">
        <w:rPr>
          <w:rFonts w:ascii="Times New Roman" w:hAnsi="Times New Roman"/>
          <w:bCs/>
          <w:sz w:val="24"/>
          <w:szCs w:val="24"/>
          <w:lang w:val="da-DK"/>
        </w:rPr>
        <w:t xml:space="preserve">) i kombination med relevante antibiotika ved </w:t>
      </w:r>
      <w:proofErr w:type="spellStart"/>
      <w:r w:rsidRPr="00B808B2">
        <w:rPr>
          <w:rFonts w:ascii="Times New Roman" w:hAnsi="Times New Roman"/>
          <w:bCs/>
          <w:sz w:val="24"/>
          <w:szCs w:val="24"/>
          <w:lang w:val="da-DK"/>
        </w:rPr>
        <w:t>peptisk</w:t>
      </w:r>
      <w:proofErr w:type="spellEnd"/>
      <w:r w:rsidRPr="00B808B2">
        <w:rPr>
          <w:rFonts w:ascii="Times New Roman" w:hAnsi="Times New Roman"/>
          <w:bCs/>
          <w:sz w:val="24"/>
          <w:szCs w:val="24"/>
          <w:lang w:val="da-DK"/>
        </w:rPr>
        <w:t xml:space="preserve"> ulcussygdom</w:t>
      </w:r>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NSAID-associerede gastriske og </w:t>
      </w:r>
      <w:proofErr w:type="spellStart"/>
      <w:r w:rsidRPr="00B808B2">
        <w:rPr>
          <w:rFonts w:ascii="Times New Roman" w:hAnsi="Times New Roman"/>
          <w:bCs/>
          <w:sz w:val="24"/>
          <w:szCs w:val="24"/>
          <w:lang w:val="da-DK"/>
        </w:rPr>
        <w:t>duodenale</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ulcera</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Forebyggelse af NSAID-associerede gastriske og </w:t>
      </w:r>
      <w:proofErr w:type="spellStart"/>
      <w:r w:rsidRPr="00B808B2">
        <w:rPr>
          <w:rFonts w:ascii="Times New Roman" w:hAnsi="Times New Roman"/>
          <w:bCs/>
          <w:sz w:val="24"/>
          <w:szCs w:val="24"/>
          <w:lang w:val="da-DK"/>
        </w:rPr>
        <w:t>duodenale</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ulcera</w:t>
      </w:r>
      <w:proofErr w:type="spellEnd"/>
      <w:r w:rsidRPr="00B808B2">
        <w:rPr>
          <w:rFonts w:ascii="Times New Roman" w:hAnsi="Times New Roman"/>
          <w:bCs/>
          <w:sz w:val="24"/>
          <w:szCs w:val="24"/>
          <w:lang w:val="da-DK"/>
        </w:rPr>
        <w:t xml:space="preserve"> hos risikopatienter</w:t>
      </w:r>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w:t>
      </w:r>
      <w:proofErr w:type="spellStart"/>
      <w:r w:rsidRPr="00B808B2">
        <w:rPr>
          <w:rFonts w:ascii="Times New Roman" w:hAnsi="Times New Roman"/>
          <w:bCs/>
          <w:sz w:val="24"/>
          <w:szCs w:val="24"/>
          <w:lang w:val="da-DK"/>
        </w:rPr>
        <w:t>refluksøsofagitis</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Vedligeholdelsesbehandling af patienter med helet </w:t>
      </w:r>
      <w:proofErr w:type="spellStart"/>
      <w:r w:rsidRPr="00B808B2">
        <w:rPr>
          <w:rFonts w:ascii="Times New Roman" w:hAnsi="Times New Roman"/>
          <w:bCs/>
          <w:sz w:val="24"/>
          <w:szCs w:val="24"/>
          <w:lang w:val="da-DK"/>
        </w:rPr>
        <w:t>refluksøsofagitis</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symptomgivende </w:t>
      </w:r>
      <w:proofErr w:type="spellStart"/>
      <w:r w:rsidRPr="00B808B2">
        <w:rPr>
          <w:rFonts w:ascii="Times New Roman" w:hAnsi="Times New Roman"/>
          <w:bCs/>
          <w:sz w:val="24"/>
          <w:szCs w:val="24"/>
          <w:lang w:val="da-DK"/>
        </w:rPr>
        <w:t>gastroøsofageal</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reflukssygdom</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w:t>
      </w:r>
      <w:proofErr w:type="spellStart"/>
      <w:r w:rsidRPr="00B808B2">
        <w:rPr>
          <w:rFonts w:ascii="Times New Roman" w:hAnsi="Times New Roman"/>
          <w:bCs/>
          <w:sz w:val="24"/>
          <w:szCs w:val="24"/>
          <w:lang w:val="da-DK"/>
        </w:rPr>
        <w:t>Zollinger-Ellisons</w:t>
      </w:r>
      <w:proofErr w:type="spellEnd"/>
      <w:r w:rsidRPr="00B808B2">
        <w:rPr>
          <w:rFonts w:ascii="Times New Roman" w:hAnsi="Times New Roman"/>
          <w:bCs/>
          <w:sz w:val="24"/>
          <w:szCs w:val="24"/>
          <w:lang w:val="da-DK"/>
        </w:rPr>
        <w:t xml:space="preserve"> syndrom</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bCs/>
          <w:sz w:val="24"/>
          <w:szCs w:val="24"/>
          <w:u w:val="single"/>
        </w:rPr>
      </w:pPr>
      <w:r w:rsidRPr="00B808B2">
        <w:rPr>
          <w:bCs/>
          <w:sz w:val="24"/>
          <w:szCs w:val="24"/>
          <w:u w:val="single"/>
        </w:rPr>
        <w:t>Pædiatrisk anvendelse</w:t>
      </w:r>
    </w:p>
    <w:p w:rsidR="00037C49" w:rsidRPr="00B808B2" w:rsidRDefault="00037C49" w:rsidP="00037C49">
      <w:pPr>
        <w:shd w:val="clear" w:color="auto" w:fill="FFFFFF"/>
        <w:ind w:left="851"/>
        <w:rPr>
          <w:bCs/>
          <w:i/>
          <w:sz w:val="24"/>
          <w:szCs w:val="24"/>
        </w:rPr>
      </w:pPr>
      <w:r w:rsidRPr="00B808B2">
        <w:rPr>
          <w:bCs/>
          <w:i/>
          <w:sz w:val="24"/>
          <w:szCs w:val="24"/>
        </w:rPr>
        <w:t>Børn over 1 år og ≥ 10 kg</w:t>
      </w:r>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Behandling af </w:t>
      </w:r>
      <w:proofErr w:type="spellStart"/>
      <w:r w:rsidRPr="00B808B2">
        <w:rPr>
          <w:rFonts w:ascii="Times New Roman" w:hAnsi="Times New Roman"/>
          <w:bCs/>
          <w:sz w:val="24"/>
          <w:szCs w:val="24"/>
          <w:lang w:val="da-DK"/>
        </w:rPr>
        <w:t>refluksøsofagitis</w:t>
      </w:r>
      <w:proofErr w:type="spellEnd"/>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hAnsi="Times New Roman"/>
          <w:bCs/>
          <w:sz w:val="24"/>
          <w:szCs w:val="24"/>
          <w:lang w:val="da-DK"/>
        </w:rPr>
        <w:t xml:space="preserve">Symptomatisk behandling af halsbrand og </w:t>
      </w:r>
      <w:proofErr w:type="spellStart"/>
      <w:r w:rsidRPr="00B808B2">
        <w:rPr>
          <w:rFonts w:ascii="Times New Roman" w:hAnsi="Times New Roman"/>
          <w:bCs/>
          <w:sz w:val="24"/>
          <w:szCs w:val="24"/>
          <w:lang w:val="da-DK"/>
        </w:rPr>
        <w:t>syreregurgitation</w:t>
      </w:r>
      <w:proofErr w:type="spellEnd"/>
      <w:r w:rsidRPr="00B808B2">
        <w:rPr>
          <w:rFonts w:ascii="Times New Roman" w:hAnsi="Times New Roman"/>
          <w:bCs/>
          <w:sz w:val="24"/>
          <w:szCs w:val="24"/>
          <w:lang w:val="da-DK"/>
        </w:rPr>
        <w:t xml:space="preserve"> ved </w:t>
      </w:r>
      <w:proofErr w:type="spellStart"/>
      <w:r w:rsidRPr="00B808B2">
        <w:rPr>
          <w:rFonts w:ascii="Times New Roman" w:hAnsi="Times New Roman"/>
          <w:bCs/>
          <w:sz w:val="24"/>
          <w:szCs w:val="24"/>
          <w:lang w:val="da-DK"/>
        </w:rPr>
        <w:t>gastroøsofageal</w:t>
      </w:r>
      <w:proofErr w:type="spellEnd"/>
      <w:r w:rsidRPr="00B808B2">
        <w:rPr>
          <w:rFonts w:ascii="Times New Roman" w:hAnsi="Times New Roman"/>
          <w:bCs/>
          <w:sz w:val="24"/>
          <w:szCs w:val="24"/>
          <w:lang w:val="da-DK"/>
        </w:rPr>
        <w:t xml:space="preserve"> </w:t>
      </w:r>
      <w:proofErr w:type="spellStart"/>
      <w:r w:rsidRPr="00B808B2">
        <w:rPr>
          <w:rFonts w:ascii="Times New Roman" w:hAnsi="Times New Roman"/>
          <w:bCs/>
          <w:sz w:val="24"/>
          <w:szCs w:val="24"/>
          <w:lang w:val="da-DK"/>
        </w:rPr>
        <w:t>reflukssygdom</w:t>
      </w:r>
      <w:proofErr w:type="spellEnd"/>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bCs/>
          <w:i/>
          <w:sz w:val="24"/>
          <w:szCs w:val="24"/>
        </w:rPr>
      </w:pPr>
      <w:r w:rsidRPr="00B808B2">
        <w:rPr>
          <w:bCs/>
          <w:i/>
          <w:sz w:val="24"/>
          <w:szCs w:val="24"/>
        </w:rPr>
        <w:t>Børn og unge over 4 år</w:t>
      </w:r>
    </w:p>
    <w:p w:rsidR="00037C49" w:rsidRPr="00B808B2" w:rsidRDefault="00037C49"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r w:rsidRPr="00B808B2">
        <w:rPr>
          <w:rFonts w:ascii="Times New Roman" w:eastAsia="Times New Roman" w:hAnsi="Times New Roman"/>
          <w:sz w:val="24"/>
          <w:szCs w:val="24"/>
          <w:lang w:val="da-DK"/>
        </w:rPr>
        <w:t>Behand</w:t>
      </w:r>
      <w:r w:rsidRPr="00B808B2">
        <w:rPr>
          <w:rFonts w:ascii="Times New Roman" w:eastAsia="Times New Roman" w:hAnsi="Times New Roman"/>
          <w:spacing w:val="-1"/>
          <w:sz w:val="24"/>
          <w:szCs w:val="24"/>
          <w:lang w:val="da-DK"/>
        </w:rPr>
        <w:t>l</w:t>
      </w:r>
      <w:r w:rsidRPr="00B808B2">
        <w:rPr>
          <w:rFonts w:ascii="Times New Roman" w:eastAsia="Times New Roman" w:hAnsi="Times New Roman"/>
          <w:sz w:val="24"/>
          <w:szCs w:val="24"/>
          <w:lang w:val="da-DK"/>
        </w:rPr>
        <w:t>ing</w:t>
      </w:r>
      <w:r w:rsidRPr="00B808B2">
        <w:rPr>
          <w:rFonts w:ascii="Times New Roman" w:eastAsia="Times New Roman" w:hAnsi="Times New Roman"/>
          <w:spacing w:val="-2"/>
          <w:sz w:val="24"/>
          <w:szCs w:val="24"/>
          <w:lang w:val="da-DK"/>
        </w:rPr>
        <w:t xml:space="preserve"> </w:t>
      </w:r>
      <w:r w:rsidRPr="00B808B2">
        <w:rPr>
          <w:rFonts w:ascii="Times New Roman" w:eastAsia="Times New Roman" w:hAnsi="Times New Roman"/>
          <w:sz w:val="24"/>
          <w:szCs w:val="24"/>
          <w:lang w:val="da-DK"/>
        </w:rPr>
        <w:t>af</w:t>
      </w:r>
      <w:r w:rsidRPr="00B808B2">
        <w:rPr>
          <w:rFonts w:ascii="Times New Roman" w:eastAsia="Times New Roman" w:hAnsi="Times New Roman"/>
          <w:spacing w:val="1"/>
          <w:sz w:val="24"/>
          <w:szCs w:val="24"/>
          <w:lang w:val="da-DK"/>
        </w:rPr>
        <w:t xml:space="preserve"> </w:t>
      </w:r>
      <w:proofErr w:type="spellStart"/>
      <w:r w:rsidRPr="00B808B2">
        <w:rPr>
          <w:rFonts w:ascii="Times New Roman" w:eastAsia="Times New Roman" w:hAnsi="Times New Roman"/>
          <w:spacing w:val="-2"/>
          <w:sz w:val="24"/>
          <w:szCs w:val="24"/>
          <w:lang w:val="da-DK"/>
        </w:rPr>
        <w:t>d</w:t>
      </w:r>
      <w:r w:rsidRPr="00B808B2">
        <w:rPr>
          <w:rFonts w:ascii="Times New Roman" w:eastAsia="Times New Roman" w:hAnsi="Times New Roman"/>
          <w:sz w:val="24"/>
          <w:szCs w:val="24"/>
          <w:lang w:val="da-DK"/>
        </w:rPr>
        <w:t>uode</w:t>
      </w:r>
      <w:r w:rsidRPr="00B808B2">
        <w:rPr>
          <w:rFonts w:ascii="Times New Roman" w:eastAsia="Times New Roman" w:hAnsi="Times New Roman"/>
          <w:spacing w:val="-2"/>
          <w:sz w:val="24"/>
          <w:szCs w:val="24"/>
          <w:lang w:val="da-DK"/>
        </w:rPr>
        <w:t>n</w:t>
      </w:r>
      <w:r w:rsidRPr="00B808B2">
        <w:rPr>
          <w:rFonts w:ascii="Times New Roman" w:eastAsia="Times New Roman" w:hAnsi="Times New Roman"/>
          <w:sz w:val="24"/>
          <w:szCs w:val="24"/>
          <w:lang w:val="da-DK"/>
        </w:rPr>
        <w:t>a</w:t>
      </w:r>
      <w:r w:rsidRPr="00B808B2">
        <w:rPr>
          <w:rFonts w:ascii="Times New Roman" w:eastAsia="Times New Roman" w:hAnsi="Times New Roman"/>
          <w:spacing w:val="-1"/>
          <w:sz w:val="24"/>
          <w:szCs w:val="24"/>
          <w:lang w:val="da-DK"/>
        </w:rPr>
        <w:t>l</w:t>
      </w:r>
      <w:r w:rsidRPr="00B808B2">
        <w:rPr>
          <w:rFonts w:ascii="Times New Roman" w:eastAsia="Times New Roman" w:hAnsi="Times New Roman"/>
          <w:sz w:val="24"/>
          <w:szCs w:val="24"/>
          <w:lang w:val="da-DK"/>
        </w:rPr>
        <w:t>t</w:t>
      </w:r>
      <w:proofErr w:type="spellEnd"/>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spacing w:val="-2"/>
          <w:sz w:val="24"/>
          <w:szCs w:val="24"/>
          <w:lang w:val="da-DK"/>
        </w:rPr>
        <w:t>u</w:t>
      </w:r>
      <w:r w:rsidRPr="00B808B2">
        <w:rPr>
          <w:rFonts w:ascii="Times New Roman" w:eastAsia="Times New Roman" w:hAnsi="Times New Roman"/>
          <w:spacing w:val="-1"/>
          <w:sz w:val="24"/>
          <w:szCs w:val="24"/>
          <w:lang w:val="da-DK"/>
        </w:rPr>
        <w:t>l</w:t>
      </w:r>
      <w:r w:rsidRPr="00B808B2">
        <w:rPr>
          <w:rFonts w:ascii="Times New Roman" w:eastAsia="Times New Roman" w:hAnsi="Times New Roman"/>
          <w:sz w:val="24"/>
          <w:szCs w:val="24"/>
          <w:lang w:val="da-DK"/>
        </w:rPr>
        <w:t>cus</w:t>
      </w:r>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spacing w:val="-1"/>
          <w:sz w:val="24"/>
          <w:szCs w:val="24"/>
          <w:lang w:val="da-DK"/>
        </w:rPr>
        <w:t>f</w:t>
      </w:r>
      <w:r w:rsidRPr="00B808B2">
        <w:rPr>
          <w:rFonts w:ascii="Times New Roman" w:eastAsia="Times New Roman" w:hAnsi="Times New Roman"/>
          <w:sz w:val="24"/>
          <w:szCs w:val="24"/>
          <w:lang w:val="da-DK"/>
        </w:rPr>
        <w:t>or</w:t>
      </w:r>
      <w:r w:rsidRPr="00B808B2">
        <w:rPr>
          <w:rFonts w:ascii="Times New Roman" w:eastAsia="Times New Roman" w:hAnsi="Times New Roman"/>
          <w:spacing w:val="-2"/>
          <w:sz w:val="24"/>
          <w:szCs w:val="24"/>
          <w:lang w:val="da-DK"/>
        </w:rPr>
        <w:t>å</w:t>
      </w:r>
      <w:r w:rsidRPr="00B808B2">
        <w:rPr>
          <w:rFonts w:ascii="Times New Roman" w:eastAsia="Times New Roman" w:hAnsi="Times New Roman"/>
          <w:sz w:val="24"/>
          <w:szCs w:val="24"/>
          <w:lang w:val="da-DK"/>
        </w:rPr>
        <w:t>rsa</w:t>
      </w:r>
      <w:r w:rsidRPr="00B808B2">
        <w:rPr>
          <w:rFonts w:ascii="Times New Roman" w:eastAsia="Times New Roman" w:hAnsi="Times New Roman"/>
          <w:spacing w:val="-2"/>
          <w:sz w:val="24"/>
          <w:szCs w:val="24"/>
          <w:lang w:val="da-DK"/>
        </w:rPr>
        <w:t>g</w:t>
      </w:r>
      <w:r w:rsidRPr="00B808B2">
        <w:rPr>
          <w:rFonts w:ascii="Times New Roman" w:eastAsia="Times New Roman" w:hAnsi="Times New Roman"/>
          <w:sz w:val="24"/>
          <w:szCs w:val="24"/>
          <w:lang w:val="da-DK"/>
        </w:rPr>
        <w:t>et</w:t>
      </w:r>
      <w:r w:rsidRPr="00B808B2">
        <w:rPr>
          <w:rFonts w:ascii="Times New Roman" w:eastAsia="Times New Roman" w:hAnsi="Times New Roman"/>
          <w:spacing w:val="-2"/>
          <w:sz w:val="24"/>
          <w:szCs w:val="24"/>
          <w:lang w:val="da-DK"/>
        </w:rPr>
        <w:t xml:space="preserve"> </w:t>
      </w:r>
      <w:r w:rsidRPr="00B808B2">
        <w:rPr>
          <w:rFonts w:ascii="Times New Roman" w:eastAsia="Times New Roman" w:hAnsi="Times New Roman"/>
          <w:sz w:val="24"/>
          <w:szCs w:val="24"/>
          <w:lang w:val="da-DK"/>
        </w:rPr>
        <w:t>af</w:t>
      </w:r>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i/>
          <w:sz w:val="24"/>
          <w:szCs w:val="24"/>
          <w:lang w:val="da-DK"/>
        </w:rPr>
        <w:t xml:space="preserve">H. </w:t>
      </w:r>
      <w:proofErr w:type="spellStart"/>
      <w:r w:rsidRPr="00B808B2">
        <w:rPr>
          <w:rFonts w:ascii="Times New Roman" w:eastAsia="Times New Roman" w:hAnsi="Times New Roman"/>
          <w:i/>
          <w:spacing w:val="-2"/>
          <w:sz w:val="24"/>
          <w:szCs w:val="24"/>
          <w:lang w:val="da-DK"/>
        </w:rPr>
        <w:t>P</w:t>
      </w:r>
      <w:r w:rsidRPr="00B808B2">
        <w:rPr>
          <w:rFonts w:ascii="Times New Roman" w:eastAsia="Times New Roman" w:hAnsi="Times New Roman"/>
          <w:i/>
          <w:sz w:val="24"/>
          <w:szCs w:val="24"/>
          <w:lang w:val="da-DK"/>
        </w:rPr>
        <w:t>y</w:t>
      </w:r>
      <w:r w:rsidRPr="00B808B2">
        <w:rPr>
          <w:rFonts w:ascii="Times New Roman" w:eastAsia="Times New Roman" w:hAnsi="Times New Roman"/>
          <w:i/>
          <w:spacing w:val="1"/>
          <w:sz w:val="24"/>
          <w:szCs w:val="24"/>
          <w:lang w:val="da-DK"/>
        </w:rPr>
        <w:t>l</w:t>
      </w:r>
      <w:r w:rsidRPr="00B808B2">
        <w:rPr>
          <w:rFonts w:ascii="Times New Roman" w:eastAsia="Times New Roman" w:hAnsi="Times New Roman"/>
          <w:i/>
          <w:spacing w:val="-2"/>
          <w:sz w:val="24"/>
          <w:szCs w:val="24"/>
          <w:lang w:val="da-DK"/>
        </w:rPr>
        <w:t>o</w:t>
      </w:r>
      <w:r w:rsidRPr="00B808B2">
        <w:rPr>
          <w:rFonts w:ascii="Times New Roman" w:eastAsia="Times New Roman" w:hAnsi="Times New Roman"/>
          <w:i/>
          <w:sz w:val="24"/>
          <w:szCs w:val="24"/>
          <w:lang w:val="da-DK"/>
        </w:rPr>
        <w:t>ri</w:t>
      </w:r>
      <w:proofErr w:type="spellEnd"/>
      <w:r w:rsidRPr="00B808B2">
        <w:rPr>
          <w:rFonts w:ascii="Times New Roman" w:eastAsia="Times New Roman" w:hAnsi="Times New Roman"/>
          <w:i/>
          <w:spacing w:val="-1"/>
          <w:sz w:val="24"/>
          <w:szCs w:val="24"/>
          <w:lang w:val="da-DK"/>
        </w:rPr>
        <w:t xml:space="preserve"> </w:t>
      </w:r>
      <w:r w:rsidRPr="00B808B2">
        <w:rPr>
          <w:rFonts w:ascii="Times New Roman" w:eastAsia="Times New Roman" w:hAnsi="Times New Roman"/>
          <w:sz w:val="24"/>
          <w:szCs w:val="24"/>
          <w:lang w:val="da-DK"/>
        </w:rPr>
        <w:t>i</w:t>
      </w:r>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spacing w:val="-2"/>
          <w:sz w:val="24"/>
          <w:szCs w:val="24"/>
          <w:lang w:val="da-DK"/>
        </w:rPr>
        <w:t>k</w:t>
      </w:r>
      <w:r w:rsidRPr="00B808B2">
        <w:rPr>
          <w:rFonts w:ascii="Times New Roman" w:eastAsia="Times New Roman" w:hAnsi="Times New Roman"/>
          <w:spacing w:val="2"/>
          <w:sz w:val="24"/>
          <w:szCs w:val="24"/>
          <w:lang w:val="da-DK"/>
        </w:rPr>
        <w:t>o</w:t>
      </w:r>
      <w:r w:rsidRPr="00B808B2">
        <w:rPr>
          <w:rFonts w:ascii="Times New Roman" w:eastAsia="Times New Roman" w:hAnsi="Times New Roman"/>
          <w:spacing w:val="-4"/>
          <w:sz w:val="24"/>
          <w:szCs w:val="24"/>
          <w:lang w:val="da-DK"/>
        </w:rPr>
        <w:t>m</w:t>
      </w:r>
      <w:r w:rsidRPr="00B808B2">
        <w:rPr>
          <w:rFonts w:ascii="Times New Roman" w:eastAsia="Times New Roman" w:hAnsi="Times New Roman"/>
          <w:sz w:val="24"/>
          <w:szCs w:val="24"/>
          <w:lang w:val="da-DK"/>
        </w:rPr>
        <w:t>binati</w:t>
      </w:r>
      <w:r w:rsidRPr="00B808B2">
        <w:rPr>
          <w:rFonts w:ascii="Times New Roman" w:eastAsia="Times New Roman" w:hAnsi="Times New Roman"/>
          <w:spacing w:val="-2"/>
          <w:sz w:val="24"/>
          <w:szCs w:val="24"/>
          <w:lang w:val="da-DK"/>
        </w:rPr>
        <w:t>o</w:t>
      </w:r>
      <w:r w:rsidRPr="00B808B2">
        <w:rPr>
          <w:rFonts w:ascii="Times New Roman" w:eastAsia="Times New Roman" w:hAnsi="Times New Roman"/>
          <w:sz w:val="24"/>
          <w:szCs w:val="24"/>
          <w:lang w:val="da-DK"/>
        </w:rPr>
        <w:t>n</w:t>
      </w:r>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spacing w:val="-4"/>
          <w:sz w:val="24"/>
          <w:szCs w:val="24"/>
          <w:lang w:val="da-DK"/>
        </w:rPr>
        <w:t>m</w:t>
      </w:r>
      <w:r w:rsidRPr="00B808B2">
        <w:rPr>
          <w:rFonts w:ascii="Times New Roman" w:eastAsia="Times New Roman" w:hAnsi="Times New Roman"/>
          <w:sz w:val="24"/>
          <w:szCs w:val="24"/>
          <w:lang w:val="da-DK"/>
        </w:rPr>
        <w:t>ed</w:t>
      </w:r>
      <w:r w:rsidRPr="00B808B2">
        <w:rPr>
          <w:rFonts w:ascii="Times New Roman" w:eastAsia="Times New Roman" w:hAnsi="Times New Roman"/>
          <w:spacing w:val="1"/>
          <w:sz w:val="24"/>
          <w:szCs w:val="24"/>
          <w:lang w:val="da-DK"/>
        </w:rPr>
        <w:t xml:space="preserve"> </w:t>
      </w:r>
      <w:r w:rsidRPr="00B808B2">
        <w:rPr>
          <w:rFonts w:ascii="Times New Roman" w:eastAsia="Times New Roman" w:hAnsi="Times New Roman"/>
          <w:sz w:val="24"/>
          <w:szCs w:val="24"/>
          <w:lang w:val="da-DK"/>
        </w:rPr>
        <w:t>an</w:t>
      </w:r>
      <w:r w:rsidRPr="00B808B2">
        <w:rPr>
          <w:rFonts w:ascii="Times New Roman" w:eastAsia="Times New Roman" w:hAnsi="Times New Roman"/>
          <w:spacing w:val="-1"/>
          <w:sz w:val="24"/>
          <w:szCs w:val="24"/>
          <w:lang w:val="da-DK"/>
        </w:rPr>
        <w:t>t</w:t>
      </w:r>
      <w:r w:rsidRPr="00B808B2">
        <w:rPr>
          <w:rFonts w:ascii="Times New Roman" w:eastAsia="Times New Roman" w:hAnsi="Times New Roman"/>
          <w:spacing w:val="1"/>
          <w:sz w:val="24"/>
          <w:szCs w:val="24"/>
          <w:lang w:val="da-DK"/>
        </w:rPr>
        <w:t>i</w:t>
      </w:r>
      <w:r w:rsidRPr="00B808B2">
        <w:rPr>
          <w:rFonts w:ascii="Times New Roman" w:eastAsia="Times New Roman" w:hAnsi="Times New Roman"/>
          <w:sz w:val="24"/>
          <w:szCs w:val="24"/>
          <w:lang w:val="da-DK"/>
        </w:rPr>
        <w:t>bi</w:t>
      </w:r>
      <w:r w:rsidRPr="00B808B2">
        <w:rPr>
          <w:rFonts w:ascii="Times New Roman" w:eastAsia="Times New Roman" w:hAnsi="Times New Roman"/>
          <w:spacing w:val="-2"/>
          <w:sz w:val="24"/>
          <w:szCs w:val="24"/>
          <w:lang w:val="da-DK"/>
        </w:rPr>
        <w:t>o</w:t>
      </w:r>
      <w:r w:rsidRPr="00B808B2">
        <w:rPr>
          <w:rFonts w:ascii="Times New Roman" w:eastAsia="Times New Roman" w:hAnsi="Times New Roman"/>
          <w:spacing w:val="-1"/>
          <w:sz w:val="24"/>
          <w:szCs w:val="24"/>
          <w:lang w:val="da-DK"/>
        </w:rPr>
        <w:t>t</w:t>
      </w:r>
      <w:r w:rsidRPr="00B808B2">
        <w:rPr>
          <w:rFonts w:ascii="Times New Roman" w:eastAsia="Times New Roman" w:hAnsi="Times New Roman"/>
          <w:sz w:val="24"/>
          <w:szCs w:val="24"/>
          <w:lang w:val="da-DK"/>
        </w:rPr>
        <w:t>i</w:t>
      </w:r>
      <w:r w:rsidRPr="00B808B2">
        <w:rPr>
          <w:rFonts w:ascii="Times New Roman" w:eastAsia="Times New Roman" w:hAnsi="Times New Roman"/>
          <w:spacing w:val="-2"/>
          <w:sz w:val="24"/>
          <w:szCs w:val="24"/>
          <w:lang w:val="da-DK"/>
        </w:rPr>
        <w:t>k</w:t>
      </w:r>
      <w:r w:rsidRPr="00B808B2">
        <w:rPr>
          <w:rFonts w:ascii="Times New Roman" w:eastAsia="Times New Roman" w:hAnsi="Times New Roman"/>
          <w:sz w:val="24"/>
          <w:szCs w:val="24"/>
          <w:lang w:val="da-DK"/>
        </w:rPr>
        <w:t>a</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4.2</w:t>
      </w:r>
      <w:r w:rsidRPr="00B808B2">
        <w:rPr>
          <w:b/>
          <w:sz w:val="24"/>
          <w:szCs w:val="24"/>
        </w:rPr>
        <w:tab/>
        <w:t xml:space="preserve">Dosering og </w:t>
      </w:r>
      <w:r w:rsidR="000039DD">
        <w:rPr>
          <w:b/>
          <w:sz w:val="24"/>
          <w:szCs w:val="24"/>
        </w:rPr>
        <w:t>administration</w:t>
      </w:r>
    </w:p>
    <w:p w:rsidR="00651580" w:rsidRDefault="00651580" w:rsidP="00037C49">
      <w:pPr>
        <w:shd w:val="clear" w:color="auto" w:fill="FFFFFF"/>
        <w:ind w:left="851"/>
        <w:rPr>
          <w:bCs/>
          <w:sz w:val="24"/>
          <w:szCs w:val="24"/>
          <w:u w:val="single"/>
        </w:rPr>
      </w:pPr>
    </w:p>
    <w:p w:rsidR="00037C49" w:rsidRPr="00C51C9F" w:rsidRDefault="00037C49" w:rsidP="00037C49">
      <w:pPr>
        <w:shd w:val="clear" w:color="auto" w:fill="FFFFFF"/>
        <w:ind w:left="851"/>
        <w:rPr>
          <w:bCs/>
          <w:sz w:val="24"/>
          <w:szCs w:val="24"/>
          <w:u w:val="single"/>
        </w:rPr>
      </w:pPr>
      <w:r w:rsidRPr="00C51C9F">
        <w:rPr>
          <w:bCs/>
          <w:sz w:val="24"/>
          <w:szCs w:val="24"/>
          <w:u w:val="single"/>
        </w:rPr>
        <w:t>Dosering</w:t>
      </w:r>
    </w:p>
    <w:p w:rsidR="00037C49" w:rsidRPr="00C51C9F" w:rsidRDefault="00037C49" w:rsidP="00037C49">
      <w:pPr>
        <w:shd w:val="clear" w:color="auto" w:fill="FFFFFF"/>
        <w:ind w:left="851"/>
        <w:rPr>
          <w:bCs/>
          <w:sz w:val="24"/>
          <w:szCs w:val="24"/>
          <w:u w:val="single"/>
        </w:rPr>
      </w:pPr>
    </w:p>
    <w:p w:rsidR="00037C49" w:rsidRDefault="00037C49" w:rsidP="00037C49">
      <w:pPr>
        <w:shd w:val="clear" w:color="auto" w:fill="FFFFFF"/>
        <w:ind w:left="851"/>
        <w:rPr>
          <w:bCs/>
          <w:i/>
          <w:u w:val="single"/>
        </w:rPr>
      </w:pPr>
      <w:r w:rsidRPr="00C51C9F">
        <w:rPr>
          <w:bCs/>
          <w:i/>
          <w:sz w:val="24"/>
          <w:szCs w:val="24"/>
          <w:u w:val="single"/>
        </w:rPr>
        <w:t>Voksne</w:t>
      </w:r>
    </w:p>
    <w:p w:rsidR="00037C49" w:rsidRPr="00B808B2" w:rsidRDefault="00037C49" w:rsidP="00037C49">
      <w:pPr>
        <w:shd w:val="clear" w:color="auto" w:fill="FFFFFF"/>
        <w:ind w:left="851"/>
        <w:rPr>
          <w:bCs/>
          <w:i/>
          <w:sz w:val="24"/>
          <w:szCs w:val="24"/>
        </w:rPr>
      </w:pPr>
      <w:r w:rsidRPr="00B808B2">
        <w:rPr>
          <w:bCs/>
          <w:i/>
          <w:sz w:val="24"/>
          <w:szCs w:val="24"/>
        </w:rPr>
        <w:t xml:space="preserve">Behandling af </w:t>
      </w:r>
      <w:proofErr w:type="spellStart"/>
      <w:r w:rsidRPr="00B808B2">
        <w:rPr>
          <w:bCs/>
          <w:i/>
          <w:sz w:val="24"/>
          <w:szCs w:val="24"/>
        </w:rPr>
        <w:t>duodenale</w:t>
      </w:r>
      <w:proofErr w:type="spellEnd"/>
      <w:r w:rsidRPr="00B808B2">
        <w:rPr>
          <w:bCs/>
          <w:i/>
          <w:sz w:val="24"/>
          <w:szCs w:val="24"/>
        </w:rPr>
        <w:t xml:space="preserve"> </w:t>
      </w:r>
      <w:proofErr w:type="spellStart"/>
      <w:r w:rsidRPr="00B808B2">
        <w:rPr>
          <w:bCs/>
          <w:i/>
          <w:sz w:val="24"/>
          <w:szCs w:val="24"/>
        </w:rPr>
        <w:t>ulcera</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dosis til patienter med aktivt </w:t>
      </w:r>
      <w:proofErr w:type="spellStart"/>
      <w:r w:rsidRPr="00B808B2">
        <w:rPr>
          <w:bCs/>
          <w:sz w:val="24"/>
          <w:szCs w:val="24"/>
        </w:rPr>
        <w:t>duodenalt</w:t>
      </w:r>
      <w:proofErr w:type="spellEnd"/>
      <w:r w:rsidRPr="00B808B2">
        <w:rPr>
          <w:bCs/>
          <w:sz w:val="24"/>
          <w:szCs w:val="24"/>
        </w:rPr>
        <w:t xml:space="preserve"> ulcus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xml:space="preserve">. Hos de fleste patienter ses heling inden for to uger. Hos de patienter hvor heling ikke er fuldstændig efter det initiale forløb, ses heling sædvanligvis i løbet af yderligere to ugers behandling. Til patienter med dårligt responderende </w:t>
      </w:r>
      <w:proofErr w:type="spellStart"/>
      <w:r w:rsidRPr="00B808B2">
        <w:rPr>
          <w:bCs/>
          <w:sz w:val="24"/>
          <w:szCs w:val="24"/>
        </w:rPr>
        <w:t>duodenalt</w:t>
      </w:r>
      <w:proofErr w:type="spellEnd"/>
      <w:r w:rsidRPr="00B808B2">
        <w:rPr>
          <w:bCs/>
          <w:sz w:val="24"/>
          <w:szCs w:val="24"/>
        </w:rPr>
        <w:t xml:space="preserve"> ulcus anbefales 40 mg </w:t>
      </w:r>
      <w:proofErr w:type="spellStart"/>
      <w:r w:rsidRPr="00B808B2">
        <w:rPr>
          <w:bCs/>
          <w:sz w:val="24"/>
          <w:szCs w:val="24"/>
        </w:rPr>
        <w:t>omeprazol</w:t>
      </w:r>
      <w:proofErr w:type="spellEnd"/>
      <w:r w:rsidRPr="00B808B2">
        <w:rPr>
          <w:bCs/>
          <w:sz w:val="24"/>
          <w:szCs w:val="24"/>
        </w:rPr>
        <w:t xml:space="preserve"> en gang </w:t>
      </w:r>
      <w:r>
        <w:rPr>
          <w:bCs/>
          <w:sz w:val="24"/>
          <w:szCs w:val="24"/>
        </w:rPr>
        <w:t>daglig</w:t>
      </w:r>
      <w:r w:rsidRPr="00B808B2">
        <w:rPr>
          <w:bCs/>
          <w:sz w:val="24"/>
          <w:szCs w:val="24"/>
        </w:rPr>
        <w:t>, og heling opnås sædvanligvis inden for 4 uger.</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Profylaktisk mod recidiverende </w:t>
      </w:r>
      <w:proofErr w:type="spellStart"/>
      <w:r w:rsidRPr="00B808B2">
        <w:rPr>
          <w:bCs/>
          <w:i/>
          <w:sz w:val="24"/>
          <w:szCs w:val="24"/>
        </w:rPr>
        <w:t>duodenale</w:t>
      </w:r>
      <w:proofErr w:type="spellEnd"/>
      <w:r w:rsidRPr="00B808B2">
        <w:rPr>
          <w:bCs/>
          <w:i/>
          <w:sz w:val="24"/>
          <w:szCs w:val="24"/>
        </w:rPr>
        <w:t xml:space="preserve"> </w:t>
      </w:r>
      <w:proofErr w:type="spellStart"/>
      <w:r w:rsidRPr="00B808B2">
        <w:rPr>
          <w:bCs/>
          <w:i/>
          <w:sz w:val="24"/>
          <w:szCs w:val="24"/>
        </w:rPr>
        <w:t>ulcera</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profylaktiske dosis til recidiverende </w:t>
      </w:r>
      <w:proofErr w:type="spellStart"/>
      <w:r w:rsidRPr="00B808B2">
        <w:rPr>
          <w:bCs/>
          <w:sz w:val="24"/>
          <w:szCs w:val="24"/>
        </w:rPr>
        <w:t>duodenale</w:t>
      </w:r>
      <w:proofErr w:type="spellEnd"/>
      <w:r w:rsidRPr="00B808B2">
        <w:rPr>
          <w:bCs/>
          <w:sz w:val="24"/>
          <w:szCs w:val="24"/>
        </w:rPr>
        <w:t xml:space="preserve"> </w:t>
      </w:r>
      <w:proofErr w:type="spellStart"/>
      <w:r w:rsidRPr="00B808B2">
        <w:rPr>
          <w:bCs/>
          <w:sz w:val="24"/>
          <w:szCs w:val="24"/>
        </w:rPr>
        <w:t>ulcera</w:t>
      </w:r>
      <w:proofErr w:type="spellEnd"/>
      <w:r w:rsidRPr="00B808B2">
        <w:rPr>
          <w:bCs/>
          <w:sz w:val="24"/>
          <w:szCs w:val="24"/>
        </w:rPr>
        <w:t xml:space="preserve"> hos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 xml:space="preserve">negative patienter, eller når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proofErr w:type="spellStart"/>
      <w:r w:rsidRPr="00B808B2">
        <w:rPr>
          <w:bCs/>
          <w:sz w:val="24"/>
          <w:szCs w:val="24"/>
        </w:rPr>
        <w:t>eradikation</w:t>
      </w:r>
      <w:proofErr w:type="spellEnd"/>
      <w:r w:rsidRPr="00B808B2">
        <w:rPr>
          <w:bCs/>
          <w:sz w:val="24"/>
          <w:szCs w:val="24"/>
        </w:rPr>
        <w:t xml:space="preserve"> ikke er muligt,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Hos nogle patienter kan en daglig dosis på 10 mg være tilstrækkelig. I tilfælde af behandlingssvigt kan dosis øges til 40 mg.</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Behandling af gastriske </w:t>
      </w:r>
      <w:proofErr w:type="spellStart"/>
      <w:r w:rsidRPr="00B808B2">
        <w:rPr>
          <w:bCs/>
          <w:i/>
          <w:sz w:val="24"/>
          <w:szCs w:val="24"/>
        </w:rPr>
        <w:t>ulcera</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dosis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xml:space="preserve">. Hos de fleste patienter ses heling inden for 4 uger. Hos de patienter, hvor heling ikke er fuldstændig efter det initiale forløb, ses heling sædvanligvis i løbet af yderligere 4 ugers behandling. Til </w:t>
      </w:r>
      <w:r w:rsidRPr="00B808B2">
        <w:rPr>
          <w:bCs/>
          <w:sz w:val="24"/>
          <w:szCs w:val="24"/>
        </w:rPr>
        <w:lastRenderedPageBreak/>
        <w:t xml:space="preserve">patienter med dårligt responderende gastrisk ulcus anbefales 40 mg </w:t>
      </w:r>
      <w:proofErr w:type="spellStart"/>
      <w:r w:rsidRPr="00B808B2">
        <w:rPr>
          <w:bCs/>
          <w:sz w:val="24"/>
          <w:szCs w:val="24"/>
        </w:rPr>
        <w:t>omeprazol</w:t>
      </w:r>
      <w:proofErr w:type="spellEnd"/>
      <w:r w:rsidRPr="00B808B2">
        <w:rPr>
          <w:bCs/>
          <w:sz w:val="24"/>
          <w:szCs w:val="24"/>
        </w:rPr>
        <w:t xml:space="preserve"> en gang </w:t>
      </w:r>
      <w:r>
        <w:rPr>
          <w:bCs/>
          <w:sz w:val="24"/>
          <w:szCs w:val="24"/>
        </w:rPr>
        <w:t>daglig</w:t>
      </w:r>
      <w:r w:rsidRPr="00B808B2">
        <w:rPr>
          <w:bCs/>
          <w:sz w:val="24"/>
          <w:szCs w:val="24"/>
        </w:rPr>
        <w:t>, og heling opnås sædvanligvis inden for 8 uger.</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Profylaktisk mod recidiverende gastriske </w:t>
      </w:r>
      <w:proofErr w:type="spellStart"/>
      <w:r w:rsidRPr="00B808B2">
        <w:rPr>
          <w:bCs/>
          <w:i/>
          <w:sz w:val="24"/>
          <w:szCs w:val="24"/>
        </w:rPr>
        <w:t>ulcera</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profylaktiske dosis til recidiverende gastriske </w:t>
      </w:r>
      <w:proofErr w:type="spellStart"/>
      <w:r w:rsidRPr="00B808B2">
        <w:rPr>
          <w:bCs/>
          <w:sz w:val="24"/>
          <w:szCs w:val="24"/>
        </w:rPr>
        <w:t>ulcera</w:t>
      </w:r>
      <w:proofErr w:type="spellEnd"/>
      <w:r w:rsidRPr="00B808B2">
        <w:rPr>
          <w:bCs/>
          <w:sz w:val="24"/>
          <w:szCs w:val="24"/>
        </w:rPr>
        <w:t xml:space="preserve"> hos patienter med dårligt responderende gastrisk ulcus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xml:space="preserve">. Om nødvendigt kan dosis øges til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40 mg en gang </w:t>
      </w:r>
      <w:r>
        <w:rPr>
          <w:bCs/>
          <w:sz w:val="24"/>
          <w:szCs w:val="24"/>
        </w:rPr>
        <w:t>daglig</w:t>
      </w:r>
      <w:r w:rsidRPr="00B808B2">
        <w:rPr>
          <w:bCs/>
          <w:sz w:val="24"/>
          <w:szCs w:val="24"/>
        </w:rPr>
        <w: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proofErr w:type="spellStart"/>
      <w:r w:rsidRPr="00B808B2">
        <w:rPr>
          <w:bCs/>
          <w:i/>
          <w:sz w:val="24"/>
          <w:szCs w:val="24"/>
        </w:rPr>
        <w:t>Eradikation</w:t>
      </w:r>
      <w:proofErr w:type="spellEnd"/>
      <w:r w:rsidRPr="00B808B2">
        <w:rPr>
          <w:bCs/>
          <w:i/>
          <w:sz w:val="24"/>
          <w:szCs w:val="24"/>
        </w:rPr>
        <w:t xml:space="preserve"> af H. </w:t>
      </w:r>
      <w:proofErr w:type="spellStart"/>
      <w:r w:rsidRPr="00B808B2">
        <w:rPr>
          <w:bCs/>
          <w:i/>
          <w:sz w:val="24"/>
          <w:szCs w:val="24"/>
        </w:rPr>
        <w:t>pylori</w:t>
      </w:r>
      <w:proofErr w:type="spellEnd"/>
      <w:r w:rsidRPr="00B808B2">
        <w:rPr>
          <w:bCs/>
          <w:i/>
          <w:sz w:val="24"/>
          <w:szCs w:val="24"/>
        </w:rPr>
        <w:t xml:space="preserve"> ved </w:t>
      </w:r>
      <w:proofErr w:type="spellStart"/>
      <w:r w:rsidRPr="00B808B2">
        <w:rPr>
          <w:bCs/>
          <w:i/>
          <w:sz w:val="24"/>
          <w:szCs w:val="24"/>
        </w:rPr>
        <w:t>peptisk</w:t>
      </w:r>
      <w:proofErr w:type="spellEnd"/>
      <w:r w:rsidRPr="00B808B2">
        <w:rPr>
          <w:bCs/>
          <w:i/>
          <w:sz w:val="24"/>
          <w:szCs w:val="24"/>
        </w:rPr>
        <w:t xml:space="preserve"> ulcussygdom</w:t>
      </w:r>
    </w:p>
    <w:p w:rsidR="00037C49" w:rsidRPr="00B808B2" w:rsidRDefault="00037C49" w:rsidP="00037C49">
      <w:pPr>
        <w:shd w:val="clear" w:color="auto" w:fill="FFFFFF"/>
        <w:ind w:left="851"/>
        <w:rPr>
          <w:bCs/>
          <w:sz w:val="24"/>
          <w:szCs w:val="24"/>
        </w:rPr>
      </w:pPr>
      <w:r w:rsidRPr="00B808B2">
        <w:rPr>
          <w:bCs/>
          <w:sz w:val="24"/>
          <w:szCs w:val="24"/>
        </w:rPr>
        <w:t xml:space="preserve">Til </w:t>
      </w:r>
      <w:proofErr w:type="spellStart"/>
      <w:r w:rsidRPr="00B808B2">
        <w:rPr>
          <w:bCs/>
          <w:sz w:val="24"/>
          <w:szCs w:val="24"/>
        </w:rPr>
        <w:t>eradikation</w:t>
      </w:r>
      <w:proofErr w:type="spellEnd"/>
      <w:r w:rsidRPr="00B808B2">
        <w:rPr>
          <w:bCs/>
          <w:sz w:val="24"/>
          <w:szCs w:val="24"/>
        </w:rPr>
        <w:t xml:space="preserve"> af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bør valg af antibiotika tages under hensyn til den enkelte patients lægemiddeltolerance og i overensstemmelse med nationale, regionale og lokale resistensmønstre og behandlingsvejledninger.</w:t>
      </w:r>
    </w:p>
    <w:p w:rsidR="00037C49" w:rsidRPr="00B808B2" w:rsidRDefault="00D123CD"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proofErr w:type="spellStart"/>
      <w:r>
        <w:rPr>
          <w:rFonts w:ascii="Times New Roman" w:hAnsi="Times New Roman"/>
          <w:bCs/>
          <w:sz w:val="24"/>
          <w:szCs w:val="24"/>
          <w:lang w:val="da-DK"/>
        </w:rPr>
        <w:t>Omeprazol</w:t>
      </w:r>
      <w:proofErr w:type="spellEnd"/>
      <w:r>
        <w:rPr>
          <w:rFonts w:ascii="Times New Roman" w:hAnsi="Times New Roman"/>
          <w:bCs/>
          <w:sz w:val="24"/>
          <w:szCs w:val="24"/>
          <w:lang w:val="da-DK"/>
        </w:rPr>
        <w:t xml:space="preserve"> "</w:t>
      </w:r>
      <w:proofErr w:type="spellStart"/>
      <w:r>
        <w:rPr>
          <w:rFonts w:ascii="Times New Roman" w:hAnsi="Times New Roman"/>
          <w:bCs/>
          <w:sz w:val="24"/>
          <w:szCs w:val="24"/>
          <w:lang w:val="da-DK"/>
        </w:rPr>
        <w:t>Amarox</w:t>
      </w:r>
      <w:proofErr w:type="spellEnd"/>
      <w:r>
        <w:rPr>
          <w:rFonts w:ascii="Times New Roman" w:hAnsi="Times New Roman"/>
          <w:bCs/>
          <w:sz w:val="24"/>
          <w:szCs w:val="24"/>
          <w:lang w:val="da-DK"/>
        </w:rPr>
        <w:t>"</w:t>
      </w:r>
      <w:r w:rsidR="00037C49" w:rsidRPr="00B808B2">
        <w:rPr>
          <w:rFonts w:ascii="Times New Roman" w:hAnsi="Times New Roman"/>
          <w:bCs/>
          <w:sz w:val="24"/>
          <w:szCs w:val="24"/>
          <w:lang w:val="da-DK"/>
        </w:rPr>
        <w:t xml:space="preserve"> 20 mg + </w:t>
      </w:r>
      <w:proofErr w:type="spellStart"/>
      <w:r w:rsidR="00037C49" w:rsidRPr="00B808B2">
        <w:rPr>
          <w:rFonts w:ascii="Times New Roman" w:hAnsi="Times New Roman"/>
          <w:bCs/>
          <w:sz w:val="24"/>
          <w:szCs w:val="24"/>
          <w:lang w:val="da-DK"/>
        </w:rPr>
        <w:t>clarithromycin</w:t>
      </w:r>
      <w:proofErr w:type="spellEnd"/>
      <w:r w:rsidR="00037C49" w:rsidRPr="00B808B2">
        <w:rPr>
          <w:rFonts w:ascii="Times New Roman" w:hAnsi="Times New Roman"/>
          <w:bCs/>
          <w:sz w:val="24"/>
          <w:szCs w:val="24"/>
          <w:lang w:val="da-DK"/>
        </w:rPr>
        <w:t xml:space="preserve"> 500 mg + </w:t>
      </w:r>
      <w:proofErr w:type="spellStart"/>
      <w:r w:rsidR="00037C49" w:rsidRPr="00B808B2">
        <w:rPr>
          <w:rFonts w:ascii="Times New Roman" w:hAnsi="Times New Roman"/>
          <w:bCs/>
          <w:sz w:val="24"/>
          <w:szCs w:val="24"/>
          <w:lang w:val="da-DK"/>
        </w:rPr>
        <w:t>amoxicillin</w:t>
      </w:r>
      <w:proofErr w:type="spellEnd"/>
      <w:r w:rsidR="00037C49" w:rsidRPr="00B808B2">
        <w:rPr>
          <w:rFonts w:ascii="Times New Roman" w:hAnsi="Times New Roman"/>
          <w:bCs/>
          <w:sz w:val="24"/>
          <w:szCs w:val="24"/>
          <w:lang w:val="da-DK"/>
        </w:rPr>
        <w:t xml:space="preserve"> 1.000 mg, alle to gange </w:t>
      </w:r>
      <w:r w:rsidR="00037C49">
        <w:rPr>
          <w:rFonts w:ascii="Times New Roman" w:hAnsi="Times New Roman"/>
          <w:bCs/>
          <w:sz w:val="24"/>
          <w:szCs w:val="24"/>
          <w:lang w:val="da-DK"/>
        </w:rPr>
        <w:t>daglig</w:t>
      </w:r>
      <w:r w:rsidR="00037C49" w:rsidRPr="00B808B2">
        <w:rPr>
          <w:rFonts w:ascii="Times New Roman" w:hAnsi="Times New Roman"/>
          <w:bCs/>
          <w:sz w:val="24"/>
          <w:szCs w:val="24"/>
          <w:lang w:val="da-DK"/>
        </w:rPr>
        <w:t xml:space="preserve"> i en uge, eller</w:t>
      </w:r>
    </w:p>
    <w:p w:rsidR="00037C49" w:rsidRPr="00B808B2" w:rsidRDefault="00D123CD"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proofErr w:type="spellStart"/>
      <w:r>
        <w:rPr>
          <w:rFonts w:ascii="Times New Roman" w:hAnsi="Times New Roman"/>
          <w:bCs/>
          <w:sz w:val="24"/>
          <w:szCs w:val="24"/>
          <w:lang w:val="da-DK"/>
        </w:rPr>
        <w:t>Omeprazol</w:t>
      </w:r>
      <w:proofErr w:type="spellEnd"/>
      <w:r>
        <w:rPr>
          <w:rFonts w:ascii="Times New Roman" w:hAnsi="Times New Roman"/>
          <w:bCs/>
          <w:sz w:val="24"/>
          <w:szCs w:val="24"/>
          <w:lang w:val="da-DK"/>
        </w:rPr>
        <w:t xml:space="preserve"> "</w:t>
      </w:r>
      <w:proofErr w:type="spellStart"/>
      <w:r>
        <w:rPr>
          <w:rFonts w:ascii="Times New Roman" w:hAnsi="Times New Roman"/>
          <w:bCs/>
          <w:sz w:val="24"/>
          <w:szCs w:val="24"/>
          <w:lang w:val="da-DK"/>
        </w:rPr>
        <w:t>Amarox</w:t>
      </w:r>
      <w:proofErr w:type="spellEnd"/>
      <w:r>
        <w:rPr>
          <w:rFonts w:ascii="Times New Roman" w:hAnsi="Times New Roman"/>
          <w:bCs/>
          <w:sz w:val="24"/>
          <w:szCs w:val="24"/>
          <w:lang w:val="da-DK"/>
        </w:rPr>
        <w:t>"</w:t>
      </w:r>
      <w:r w:rsidR="00037C49" w:rsidRPr="00B808B2">
        <w:rPr>
          <w:rFonts w:ascii="Times New Roman" w:hAnsi="Times New Roman"/>
          <w:bCs/>
          <w:sz w:val="24"/>
          <w:szCs w:val="24"/>
          <w:lang w:val="da-DK"/>
        </w:rPr>
        <w:t xml:space="preserve"> 20 mg + </w:t>
      </w:r>
      <w:proofErr w:type="spellStart"/>
      <w:r w:rsidR="00037C49" w:rsidRPr="00B808B2">
        <w:rPr>
          <w:rFonts w:ascii="Times New Roman" w:hAnsi="Times New Roman"/>
          <w:bCs/>
          <w:sz w:val="24"/>
          <w:szCs w:val="24"/>
          <w:lang w:val="da-DK"/>
        </w:rPr>
        <w:t>clarithromycin</w:t>
      </w:r>
      <w:proofErr w:type="spellEnd"/>
      <w:r w:rsidR="00037C49" w:rsidRPr="00B808B2">
        <w:rPr>
          <w:rFonts w:ascii="Times New Roman" w:hAnsi="Times New Roman"/>
          <w:bCs/>
          <w:sz w:val="24"/>
          <w:szCs w:val="24"/>
          <w:lang w:val="da-DK"/>
        </w:rPr>
        <w:t xml:space="preserve"> 250 mg (alternativt 500 mg) + </w:t>
      </w:r>
      <w:proofErr w:type="spellStart"/>
      <w:r w:rsidR="00037C49" w:rsidRPr="00B808B2">
        <w:rPr>
          <w:rFonts w:ascii="Times New Roman" w:hAnsi="Times New Roman"/>
          <w:bCs/>
          <w:sz w:val="24"/>
          <w:szCs w:val="24"/>
          <w:lang w:val="da-DK"/>
        </w:rPr>
        <w:t>metronidazol</w:t>
      </w:r>
      <w:proofErr w:type="spellEnd"/>
      <w:r w:rsidR="00037C49" w:rsidRPr="00B808B2">
        <w:rPr>
          <w:rFonts w:ascii="Times New Roman" w:hAnsi="Times New Roman"/>
          <w:bCs/>
          <w:sz w:val="24"/>
          <w:szCs w:val="24"/>
          <w:lang w:val="da-DK"/>
        </w:rPr>
        <w:t xml:space="preserve"> 400 mg (eller 500 mg eller </w:t>
      </w:r>
      <w:proofErr w:type="spellStart"/>
      <w:r w:rsidR="00037C49" w:rsidRPr="00B808B2">
        <w:rPr>
          <w:rFonts w:ascii="Times New Roman" w:hAnsi="Times New Roman"/>
          <w:bCs/>
          <w:sz w:val="24"/>
          <w:szCs w:val="24"/>
          <w:lang w:val="da-DK"/>
        </w:rPr>
        <w:t>tinidazol</w:t>
      </w:r>
      <w:proofErr w:type="spellEnd"/>
      <w:r w:rsidR="00037C49" w:rsidRPr="00B808B2">
        <w:rPr>
          <w:rFonts w:ascii="Times New Roman" w:hAnsi="Times New Roman"/>
          <w:bCs/>
          <w:sz w:val="24"/>
          <w:szCs w:val="24"/>
          <w:lang w:val="da-DK"/>
        </w:rPr>
        <w:t xml:space="preserve"> 500 mg), alle to gange </w:t>
      </w:r>
      <w:r w:rsidR="00037C49">
        <w:rPr>
          <w:rFonts w:ascii="Times New Roman" w:hAnsi="Times New Roman"/>
          <w:bCs/>
          <w:sz w:val="24"/>
          <w:szCs w:val="24"/>
          <w:lang w:val="da-DK"/>
        </w:rPr>
        <w:t>daglig</w:t>
      </w:r>
      <w:r w:rsidR="00037C49" w:rsidRPr="00B808B2">
        <w:rPr>
          <w:rFonts w:ascii="Times New Roman" w:hAnsi="Times New Roman"/>
          <w:bCs/>
          <w:sz w:val="24"/>
          <w:szCs w:val="24"/>
          <w:lang w:val="da-DK"/>
        </w:rPr>
        <w:t xml:space="preserve"> i en uge, eller</w:t>
      </w:r>
    </w:p>
    <w:p w:rsidR="00037C49" w:rsidRPr="00B808B2" w:rsidRDefault="00D123CD" w:rsidP="00037C49">
      <w:pPr>
        <w:pStyle w:val="Listeafsnit"/>
        <w:numPr>
          <w:ilvl w:val="0"/>
          <w:numId w:val="6"/>
        </w:numPr>
        <w:shd w:val="clear" w:color="auto" w:fill="FFFFFF"/>
        <w:spacing w:after="0" w:line="240" w:lineRule="auto"/>
        <w:ind w:left="1276" w:hanging="425"/>
        <w:rPr>
          <w:rFonts w:ascii="Times New Roman" w:hAnsi="Times New Roman"/>
          <w:bCs/>
          <w:sz w:val="24"/>
          <w:szCs w:val="24"/>
          <w:lang w:val="da-DK"/>
        </w:rPr>
      </w:pPr>
      <w:proofErr w:type="spellStart"/>
      <w:r>
        <w:rPr>
          <w:rFonts w:ascii="Times New Roman" w:hAnsi="Times New Roman"/>
          <w:bCs/>
          <w:sz w:val="24"/>
          <w:szCs w:val="24"/>
          <w:lang w:val="da-DK"/>
        </w:rPr>
        <w:t>Omeprazol</w:t>
      </w:r>
      <w:proofErr w:type="spellEnd"/>
      <w:r>
        <w:rPr>
          <w:rFonts w:ascii="Times New Roman" w:hAnsi="Times New Roman"/>
          <w:bCs/>
          <w:sz w:val="24"/>
          <w:szCs w:val="24"/>
          <w:lang w:val="da-DK"/>
        </w:rPr>
        <w:t xml:space="preserve"> "</w:t>
      </w:r>
      <w:proofErr w:type="spellStart"/>
      <w:r>
        <w:rPr>
          <w:rFonts w:ascii="Times New Roman" w:hAnsi="Times New Roman"/>
          <w:bCs/>
          <w:sz w:val="24"/>
          <w:szCs w:val="24"/>
          <w:lang w:val="da-DK"/>
        </w:rPr>
        <w:t>Amarox</w:t>
      </w:r>
      <w:proofErr w:type="spellEnd"/>
      <w:r>
        <w:rPr>
          <w:rFonts w:ascii="Times New Roman" w:hAnsi="Times New Roman"/>
          <w:bCs/>
          <w:sz w:val="24"/>
          <w:szCs w:val="24"/>
          <w:lang w:val="da-DK"/>
        </w:rPr>
        <w:t>"</w:t>
      </w:r>
      <w:r w:rsidR="00037C49" w:rsidRPr="00B808B2">
        <w:rPr>
          <w:rFonts w:ascii="Times New Roman" w:hAnsi="Times New Roman"/>
          <w:bCs/>
          <w:sz w:val="24"/>
          <w:szCs w:val="24"/>
          <w:lang w:val="da-DK"/>
        </w:rPr>
        <w:t xml:space="preserve"> 40 mg en gang </w:t>
      </w:r>
      <w:r w:rsidR="00037C49">
        <w:rPr>
          <w:rFonts w:ascii="Times New Roman" w:hAnsi="Times New Roman"/>
          <w:bCs/>
          <w:sz w:val="24"/>
          <w:szCs w:val="24"/>
          <w:lang w:val="da-DK"/>
        </w:rPr>
        <w:t>daglig</w:t>
      </w:r>
      <w:r w:rsidR="00037C49" w:rsidRPr="00B808B2">
        <w:rPr>
          <w:rFonts w:ascii="Times New Roman" w:hAnsi="Times New Roman"/>
          <w:bCs/>
          <w:sz w:val="24"/>
          <w:szCs w:val="24"/>
          <w:lang w:val="da-DK"/>
        </w:rPr>
        <w:t xml:space="preserve"> med </w:t>
      </w:r>
      <w:proofErr w:type="spellStart"/>
      <w:r w:rsidR="00037C49" w:rsidRPr="00B808B2">
        <w:rPr>
          <w:rFonts w:ascii="Times New Roman" w:hAnsi="Times New Roman"/>
          <w:bCs/>
          <w:sz w:val="24"/>
          <w:szCs w:val="24"/>
          <w:lang w:val="da-DK"/>
        </w:rPr>
        <w:t>amoxicillin</w:t>
      </w:r>
      <w:proofErr w:type="spellEnd"/>
      <w:r w:rsidR="00037C49" w:rsidRPr="00B808B2">
        <w:rPr>
          <w:rFonts w:ascii="Times New Roman" w:hAnsi="Times New Roman"/>
          <w:bCs/>
          <w:sz w:val="24"/>
          <w:szCs w:val="24"/>
          <w:lang w:val="da-DK"/>
        </w:rPr>
        <w:t xml:space="preserve"> 500 mg og </w:t>
      </w:r>
      <w:proofErr w:type="spellStart"/>
      <w:r w:rsidR="00037C49" w:rsidRPr="00B808B2">
        <w:rPr>
          <w:rFonts w:ascii="Times New Roman" w:hAnsi="Times New Roman"/>
          <w:bCs/>
          <w:sz w:val="24"/>
          <w:szCs w:val="24"/>
          <w:lang w:val="da-DK"/>
        </w:rPr>
        <w:t>metronidazol</w:t>
      </w:r>
      <w:proofErr w:type="spellEnd"/>
      <w:r w:rsidR="00037C49" w:rsidRPr="00B808B2">
        <w:rPr>
          <w:rFonts w:ascii="Times New Roman" w:hAnsi="Times New Roman"/>
          <w:bCs/>
          <w:sz w:val="24"/>
          <w:szCs w:val="24"/>
          <w:lang w:val="da-DK"/>
        </w:rPr>
        <w:t xml:space="preserve"> 400 mg (eller 500 mg eller </w:t>
      </w:r>
      <w:proofErr w:type="spellStart"/>
      <w:r w:rsidR="00037C49" w:rsidRPr="00B808B2">
        <w:rPr>
          <w:rFonts w:ascii="Times New Roman" w:hAnsi="Times New Roman"/>
          <w:bCs/>
          <w:sz w:val="24"/>
          <w:szCs w:val="24"/>
          <w:lang w:val="da-DK"/>
        </w:rPr>
        <w:t>tinidazol</w:t>
      </w:r>
      <w:proofErr w:type="spellEnd"/>
      <w:r w:rsidR="00037C49" w:rsidRPr="00B808B2">
        <w:rPr>
          <w:rFonts w:ascii="Times New Roman" w:hAnsi="Times New Roman"/>
          <w:bCs/>
          <w:sz w:val="24"/>
          <w:szCs w:val="24"/>
          <w:lang w:val="da-DK"/>
        </w:rPr>
        <w:t xml:space="preserve"> 500 mg), begge tre gange </w:t>
      </w:r>
      <w:r w:rsidR="00037C49">
        <w:rPr>
          <w:rFonts w:ascii="Times New Roman" w:hAnsi="Times New Roman"/>
          <w:bCs/>
          <w:sz w:val="24"/>
          <w:szCs w:val="24"/>
          <w:lang w:val="da-DK"/>
        </w:rPr>
        <w:t>daglig</w:t>
      </w:r>
      <w:r w:rsidR="00037C49" w:rsidRPr="00B808B2">
        <w:rPr>
          <w:rFonts w:ascii="Times New Roman" w:hAnsi="Times New Roman"/>
          <w:bCs/>
          <w:sz w:val="24"/>
          <w:szCs w:val="24"/>
          <w:lang w:val="da-DK"/>
        </w:rPr>
        <w:t xml:space="preserve"> i en uge.</w:t>
      </w:r>
    </w:p>
    <w:p w:rsidR="00037C49" w:rsidRPr="00B808B2" w:rsidRDefault="00037C49" w:rsidP="00037C49">
      <w:pPr>
        <w:shd w:val="clear" w:color="auto" w:fill="FFFFFF"/>
        <w:rPr>
          <w:sz w:val="24"/>
          <w:szCs w:val="24"/>
        </w:rPr>
      </w:pPr>
    </w:p>
    <w:p w:rsidR="00037C49" w:rsidRPr="00B808B2" w:rsidRDefault="00037C49" w:rsidP="00037C49">
      <w:pPr>
        <w:shd w:val="clear" w:color="auto" w:fill="FFFFFF"/>
        <w:ind w:left="851"/>
        <w:rPr>
          <w:bCs/>
          <w:sz w:val="24"/>
          <w:szCs w:val="24"/>
        </w:rPr>
      </w:pPr>
      <w:r w:rsidRPr="00B808B2">
        <w:rPr>
          <w:bCs/>
          <w:sz w:val="24"/>
          <w:szCs w:val="24"/>
        </w:rPr>
        <w:t xml:space="preserve">Hvert behandlingsregime kan gentages, hvis patienten stadig er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positiv.</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Behandling af NSAID-associerede gastriske og </w:t>
      </w:r>
      <w:proofErr w:type="spellStart"/>
      <w:r w:rsidRPr="00B808B2">
        <w:rPr>
          <w:bCs/>
          <w:i/>
          <w:sz w:val="24"/>
          <w:szCs w:val="24"/>
        </w:rPr>
        <w:t>duodenale</w:t>
      </w:r>
      <w:proofErr w:type="spellEnd"/>
      <w:r w:rsidRPr="00B808B2">
        <w:rPr>
          <w:bCs/>
          <w:i/>
          <w:sz w:val="24"/>
          <w:szCs w:val="24"/>
        </w:rPr>
        <w:t xml:space="preserve"> </w:t>
      </w:r>
      <w:proofErr w:type="spellStart"/>
      <w:r w:rsidRPr="00B808B2">
        <w:rPr>
          <w:bCs/>
          <w:i/>
          <w:sz w:val="24"/>
          <w:szCs w:val="24"/>
        </w:rPr>
        <w:t>ulcera</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Til behandling af NSAID-associerede gastriske og </w:t>
      </w:r>
      <w:proofErr w:type="spellStart"/>
      <w:r w:rsidRPr="00B808B2">
        <w:rPr>
          <w:bCs/>
          <w:sz w:val="24"/>
          <w:szCs w:val="24"/>
        </w:rPr>
        <w:t>duodenale</w:t>
      </w:r>
      <w:proofErr w:type="spellEnd"/>
      <w:r w:rsidRPr="00B808B2">
        <w:rPr>
          <w:bCs/>
          <w:sz w:val="24"/>
          <w:szCs w:val="24"/>
        </w:rPr>
        <w:t xml:space="preserve"> </w:t>
      </w:r>
      <w:proofErr w:type="spellStart"/>
      <w:r w:rsidRPr="00B808B2">
        <w:rPr>
          <w:bCs/>
          <w:sz w:val="24"/>
          <w:szCs w:val="24"/>
        </w:rPr>
        <w:t>ulcera</w:t>
      </w:r>
      <w:proofErr w:type="spellEnd"/>
      <w:r w:rsidRPr="00B808B2">
        <w:rPr>
          <w:bCs/>
          <w:sz w:val="24"/>
          <w:szCs w:val="24"/>
        </w:rPr>
        <w:t xml:space="preserve"> er den anbefalede dosis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Hos de fleste patienter ses heling inden for 4 uger. Hos de patienter, hvor heling ikke er fuldstændig efter det initiale forløb, ses heling sædvanligvis i løbet af yderligere 4 ugers behandling.</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i/>
          <w:sz w:val="24"/>
          <w:szCs w:val="24"/>
        </w:rPr>
      </w:pPr>
      <w:r w:rsidRPr="00B808B2">
        <w:rPr>
          <w:bCs/>
          <w:i/>
          <w:sz w:val="24"/>
          <w:szCs w:val="24"/>
        </w:rPr>
        <w:t xml:space="preserve">Profylaktisk mod NSAID-associerede gastriske og </w:t>
      </w:r>
      <w:proofErr w:type="spellStart"/>
      <w:r w:rsidRPr="00B808B2">
        <w:rPr>
          <w:bCs/>
          <w:i/>
          <w:sz w:val="24"/>
          <w:szCs w:val="24"/>
        </w:rPr>
        <w:t>duodenale</w:t>
      </w:r>
      <w:proofErr w:type="spellEnd"/>
      <w:r w:rsidRPr="00B808B2">
        <w:rPr>
          <w:bCs/>
          <w:i/>
          <w:sz w:val="24"/>
          <w:szCs w:val="24"/>
        </w:rPr>
        <w:t xml:space="preserve"> </w:t>
      </w:r>
      <w:proofErr w:type="spellStart"/>
      <w:r w:rsidRPr="00B808B2">
        <w:rPr>
          <w:bCs/>
          <w:i/>
          <w:sz w:val="24"/>
          <w:szCs w:val="24"/>
        </w:rPr>
        <w:t>ulcera</w:t>
      </w:r>
      <w:proofErr w:type="spellEnd"/>
      <w:r w:rsidRPr="00B808B2">
        <w:rPr>
          <w:bCs/>
          <w:i/>
          <w:sz w:val="24"/>
          <w:szCs w:val="24"/>
        </w:rPr>
        <w:t xml:space="preserve"> hos risikopatienter</w:t>
      </w:r>
    </w:p>
    <w:p w:rsidR="00037C49" w:rsidRPr="00B808B2" w:rsidRDefault="00037C49" w:rsidP="00037C49">
      <w:pPr>
        <w:shd w:val="clear" w:color="auto" w:fill="FFFFFF"/>
        <w:ind w:left="851"/>
        <w:rPr>
          <w:bCs/>
          <w:sz w:val="24"/>
          <w:szCs w:val="24"/>
        </w:rPr>
      </w:pPr>
      <w:r w:rsidRPr="00B808B2">
        <w:rPr>
          <w:bCs/>
          <w:sz w:val="24"/>
          <w:szCs w:val="24"/>
        </w:rPr>
        <w:t xml:space="preserve">Til forebyggelse af NSAID-associerede gastriske eller </w:t>
      </w:r>
      <w:proofErr w:type="spellStart"/>
      <w:r w:rsidRPr="00B808B2">
        <w:rPr>
          <w:bCs/>
          <w:sz w:val="24"/>
          <w:szCs w:val="24"/>
        </w:rPr>
        <w:t>duodenale</w:t>
      </w:r>
      <w:proofErr w:type="spellEnd"/>
      <w:r w:rsidRPr="00B808B2">
        <w:rPr>
          <w:bCs/>
          <w:sz w:val="24"/>
          <w:szCs w:val="24"/>
        </w:rPr>
        <w:t xml:space="preserve"> </w:t>
      </w:r>
      <w:proofErr w:type="spellStart"/>
      <w:r w:rsidRPr="00B808B2">
        <w:rPr>
          <w:bCs/>
          <w:sz w:val="24"/>
          <w:szCs w:val="24"/>
        </w:rPr>
        <w:t>ulcera</w:t>
      </w:r>
      <w:proofErr w:type="spellEnd"/>
      <w:r w:rsidRPr="00B808B2">
        <w:rPr>
          <w:bCs/>
          <w:sz w:val="24"/>
          <w:szCs w:val="24"/>
        </w:rPr>
        <w:t xml:space="preserve"> hos risikopatienter (alder &gt;60 år, gastrisk eller </w:t>
      </w:r>
      <w:proofErr w:type="spellStart"/>
      <w:r w:rsidRPr="00B808B2">
        <w:rPr>
          <w:bCs/>
          <w:sz w:val="24"/>
          <w:szCs w:val="24"/>
        </w:rPr>
        <w:t>duodenalt</w:t>
      </w:r>
      <w:proofErr w:type="spellEnd"/>
      <w:r w:rsidRPr="00B808B2">
        <w:rPr>
          <w:bCs/>
          <w:sz w:val="24"/>
          <w:szCs w:val="24"/>
        </w:rPr>
        <w:t xml:space="preserve"> ulcus eller øvre </w:t>
      </w:r>
      <w:proofErr w:type="spellStart"/>
      <w:r w:rsidRPr="00B808B2">
        <w:rPr>
          <w:bCs/>
          <w:sz w:val="24"/>
          <w:szCs w:val="24"/>
        </w:rPr>
        <w:t>gastrointestinal</w:t>
      </w:r>
      <w:proofErr w:type="spellEnd"/>
      <w:r w:rsidRPr="00B808B2">
        <w:rPr>
          <w:bCs/>
          <w:sz w:val="24"/>
          <w:szCs w:val="24"/>
        </w:rPr>
        <w:t xml:space="preserve"> blødning i anamnesen) er den anbefalede dosis 20 mg </w:t>
      </w:r>
      <w:proofErr w:type="spellStart"/>
      <w:r w:rsidRPr="00B808B2">
        <w:rPr>
          <w:bCs/>
          <w:sz w:val="24"/>
          <w:szCs w:val="24"/>
        </w:rPr>
        <w:t>omeprazol</w:t>
      </w:r>
      <w:proofErr w:type="spellEnd"/>
      <w:r w:rsidRPr="00B808B2">
        <w:rPr>
          <w:bCs/>
          <w:sz w:val="24"/>
          <w:szCs w:val="24"/>
        </w:rPr>
        <w:t xml:space="preserve"> </w:t>
      </w:r>
      <w:r>
        <w:rPr>
          <w:bCs/>
          <w:sz w:val="24"/>
          <w:szCs w:val="24"/>
        </w:rPr>
        <w:t>daglig</w:t>
      </w:r>
      <w:r w:rsidRPr="00B808B2">
        <w:rPr>
          <w:bCs/>
          <w:sz w:val="24"/>
          <w:szCs w:val="24"/>
        </w:rPr>
        <w: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Behandling af </w:t>
      </w:r>
      <w:proofErr w:type="spellStart"/>
      <w:r w:rsidRPr="00B808B2">
        <w:rPr>
          <w:bCs/>
          <w:i/>
          <w:sz w:val="24"/>
          <w:szCs w:val="24"/>
        </w:rPr>
        <w:t>refluksøsofagitis</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dosis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en gang </w:t>
      </w:r>
      <w:r>
        <w:rPr>
          <w:bCs/>
          <w:sz w:val="24"/>
          <w:szCs w:val="24"/>
        </w:rPr>
        <w:t>daglig</w:t>
      </w:r>
      <w:r w:rsidRPr="00B808B2">
        <w:rPr>
          <w:bCs/>
          <w:sz w:val="24"/>
          <w:szCs w:val="24"/>
        </w:rPr>
        <w:t>. Hos de fleste patienter ses heling inden for 4 uger. Hos de patienter, hvor heling ikke er fuldstændig efter det initiale forløb, ses heling sædvanligvis i løbet af yderligere 4 ugers behandling.</w:t>
      </w:r>
    </w:p>
    <w:p w:rsidR="00037C49" w:rsidRPr="00B808B2" w:rsidRDefault="00037C49" w:rsidP="00037C49">
      <w:pPr>
        <w:shd w:val="clear" w:color="auto" w:fill="FFFFFF"/>
        <w:ind w:left="851"/>
        <w:rPr>
          <w:bCs/>
          <w:sz w:val="24"/>
          <w:szCs w:val="24"/>
        </w:rPr>
      </w:pPr>
      <w:r w:rsidRPr="00B808B2">
        <w:rPr>
          <w:bCs/>
          <w:sz w:val="24"/>
          <w:szCs w:val="24"/>
        </w:rPr>
        <w:t xml:space="preserve">Hos patienter med svær </w:t>
      </w:r>
      <w:proofErr w:type="spellStart"/>
      <w:r w:rsidRPr="00B808B2">
        <w:rPr>
          <w:bCs/>
          <w:sz w:val="24"/>
          <w:szCs w:val="24"/>
        </w:rPr>
        <w:t>øsofagitis</w:t>
      </w:r>
      <w:proofErr w:type="spellEnd"/>
      <w:r w:rsidRPr="00B808B2">
        <w:rPr>
          <w:bCs/>
          <w:sz w:val="24"/>
          <w:szCs w:val="24"/>
        </w:rPr>
        <w:t xml:space="preserve"> anbefales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40 mg en gang </w:t>
      </w:r>
      <w:r>
        <w:rPr>
          <w:bCs/>
          <w:sz w:val="24"/>
          <w:szCs w:val="24"/>
        </w:rPr>
        <w:t>daglig</w:t>
      </w:r>
      <w:r w:rsidRPr="00B808B2">
        <w:rPr>
          <w:bCs/>
          <w:sz w:val="24"/>
          <w:szCs w:val="24"/>
        </w:rPr>
        <w:t>, og heling opnås sædvanligvis inden for 8 uger.</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Vedligeholdelsesbehandling af patienter med helet </w:t>
      </w:r>
      <w:proofErr w:type="spellStart"/>
      <w:r w:rsidRPr="00B808B2">
        <w:rPr>
          <w:bCs/>
          <w:i/>
          <w:sz w:val="24"/>
          <w:szCs w:val="24"/>
        </w:rPr>
        <w:t>refluksøsofagitis</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Til langvarig vedligeholdelsesbehandling af patienter med helet </w:t>
      </w:r>
      <w:proofErr w:type="spellStart"/>
      <w:r w:rsidRPr="00B808B2">
        <w:rPr>
          <w:bCs/>
          <w:sz w:val="24"/>
          <w:szCs w:val="24"/>
        </w:rPr>
        <w:t>refluksøsofagitis</w:t>
      </w:r>
      <w:proofErr w:type="spellEnd"/>
      <w:r w:rsidRPr="00B808B2">
        <w:rPr>
          <w:bCs/>
          <w:sz w:val="24"/>
          <w:szCs w:val="24"/>
        </w:rPr>
        <w:t xml:space="preserve"> er den anbefalede dosis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10 mg en gang </w:t>
      </w:r>
      <w:r>
        <w:rPr>
          <w:bCs/>
          <w:sz w:val="24"/>
          <w:szCs w:val="24"/>
        </w:rPr>
        <w:t>daglig</w:t>
      </w:r>
      <w:r w:rsidRPr="00B808B2">
        <w:rPr>
          <w:bCs/>
          <w:sz w:val="24"/>
          <w:szCs w:val="24"/>
        </w:rPr>
        <w:t xml:space="preserve">. Om nødvendigt kan dosis øges til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20-40 mg en gang </w:t>
      </w:r>
      <w:r>
        <w:rPr>
          <w:bCs/>
          <w:sz w:val="24"/>
          <w:szCs w:val="24"/>
        </w:rPr>
        <w:t>daglig</w:t>
      </w:r>
      <w:r w:rsidRPr="00B808B2">
        <w:rPr>
          <w:bCs/>
          <w:sz w:val="24"/>
          <w:szCs w:val="24"/>
        </w:rPr>
        <w: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Behandling af symptomgivende </w:t>
      </w:r>
      <w:proofErr w:type="spellStart"/>
      <w:r w:rsidRPr="00B808B2">
        <w:rPr>
          <w:bCs/>
          <w:i/>
          <w:sz w:val="24"/>
          <w:szCs w:val="24"/>
        </w:rPr>
        <w:t>gastroøsofageal</w:t>
      </w:r>
      <w:proofErr w:type="spellEnd"/>
      <w:r w:rsidRPr="00B808B2">
        <w:rPr>
          <w:bCs/>
          <w:i/>
          <w:sz w:val="24"/>
          <w:szCs w:val="24"/>
        </w:rPr>
        <w:t xml:space="preserve"> </w:t>
      </w:r>
      <w:proofErr w:type="spellStart"/>
      <w:r w:rsidRPr="00B808B2">
        <w:rPr>
          <w:bCs/>
          <w:i/>
          <w:sz w:val="24"/>
          <w:szCs w:val="24"/>
        </w:rPr>
        <w:t>reflukssygdom</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Den anbefalede dosis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w:t>
      </w:r>
      <w:r>
        <w:rPr>
          <w:bCs/>
          <w:sz w:val="24"/>
          <w:szCs w:val="24"/>
        </w:rPr>
        <w:t>daglig</w:t>
      </w:r>
      <w:r w:rsidRPr="00B808B2">
        <w:rPr>
          <w:bCs/>
          <w:sz w:val="24"/>
          <w:szCs w:val="24"/>
        </w:rPr>
        <w:t xml:space="preserve">. Nogle patienter kan respondere tilstrækkeligt på 10 mg </w:t>
      </w:r>
      <w:r>
        <w:rPr>
          <w:bCs/>
          <w:sz w:val="24"/>
          <w:szCs w:val="24"/>
        </w:rPr>
        <w:t>daglig</w:t>
      </w:r>
      <w:r w:rsidRPr="00B808B2">
        <w:rPr>
          <w:bCs/>
          <w:sz w:val="24"/>
          <w:szCs w:val="24"/>
        </w:rPr>
        <w:t>, og individuel dosisjustering bør derfor overvejes.</w:t>
      </w:r>
    </w:p>
    <w:p w:rsidR="00037C49" w:rsidRPr="00B808B2" w:rsidRDefault="00037C49" w:rsidP="00037C49">
      <w:pPr>
        <w:shd w:val="clear" w:color="auto" w:fill="FFFFFF"/>
        <w:ind w:left="851"/>
        <w:rPr>
          <w:bCs/>
          <w:sz w:val="24"/>
          <w:szCs w:val="24"/>
        </w:rPr>
      </w:pPr>
      <w:r w:rsidRPr="00B808B2">
        <w:rPr>
          <w:bCs/>
          <w:sz w:val="24"/>
          <w:szCs w:val="24"/>
        </w:rPr>
        <w:t xml:space="preserve">Hvis symptomkontrol ikke er opnået efter 4 ugers behandling med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w:t>
      </w:r>
      <w:r>
        <w:rPr>
          <w:bCs/>
          <w:sz w:val="24"/>
          <w:szCs w:val="24"/>
        </w:rPr>
        <w:t>daglig</w:t>
      </w:r>
      <w:r w:rsidRPr="00B808B2">
        <w:rPr>
          <w:bCs/>
          <w:sz w:val="24"/>
          <w:szCs w:val="24"/>
        </w:rPr>
        <w:t>, anbefales yderligere undersøgelser.</w:t>
      </w:r>
    </w:p>
    <w:p w:rsidR="00037C49" w:rsidRDefault="00037C49" w:rsidP="00037C49">
      <w:pPr>
        <w:shd w:val="clear" w:color="auto" w:fill="FFFFFF"/>
        <w:ind w:left="851"/>
        <w:rPr>
          <w:bCs/>
          <w:i/>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Behandling af </w:t>
      </w:r>
      <w:proofErr w:type="spellStart"/>
      <w:r w:rsidRPr="00B808B2">
        <w:rPr>
          <w:bCs/>
          <w:i/>
          <w:sz w:val="24"/>
          <w:szCs w:val="24"/>
        </w:rPr>
        <w:t>Zollinger-Ellisons</w:t>
      </w:r>
      <w:proofErr w:type="spellEnd"/>
      <w:r w:rsidRPr="00B808B2">
        <w:rPr>
          <w:bCs/>
          <w:i/>
          <w:sz w:val="24"/>
          <w:szCs w:val="24"/>
        </w:rPr>
        <w:t xml:space="preserve"> syndrom</w:t>
      </w:r>
    </w:p>
    <w:p w:rsidR="00037C49" w:rsidRPr="00B808B2" w:rsidRDefault="00037C49" w:rsidP="00037C49">
      <w:pPr>
        <w:shd w:val="clear" w:color="auto" w:fill="FFFFFF"/>
        <w:ind w:left="851"/>
        <w:rPr>
          <w:bCs/>
          <w:sz w:val="24"/>
          <w:szCs w:val="24"/>
        </w:rPr>
      </w:pPr>
      <w:r w:rsidRPr="00B808B2">
        <w:rPr>
          <w:bCs/>
          <w:sz w:val="24"/>
          <w:szCs w:val="24"/>
        </w:rPr>
        <w:t xml:space="preserve">Hos patienter med </w:t>
      </w:r>
      <w:proofErr w:type="spellStart"/>
      <w:r w:rsidRPr="00B808B2">
        <w:rPr>
          <w:bCs/>
          <w:sz w:val="24"/>
          <w:szCs w:val="24"/>
        </w:rPr>
        <w:t>Zollinger-Ellisons</w:t>
      </w:r>
      <w:proofErr w:type="spellEnd"/>
      <w:r w:rsidRPr="00B808B2">
        <w:rPr>
          <w:bCs/>
          <w:sz w:val="24"/>
          <w:szCs w:val="24"/>
        </w:rPr>
        <w:t xml:space="preserve"> syndrom bør dosis tilpasses individuelt, og behandlingen bør fortsætte så længe, det er klinisk indiceret. Den anbefalede initialdosis 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60 mg </w:t>
      </w:r>
      <w:r>
        <w:rPr>
          <w:bCs/>
          <w:sz w:val="24"/>
          <w:szCs w:val="24"/>
        </w:rPr>
        <w:t>daglig</w:t>
      </w:r>
      <w:r w:rsidRPr="00B808B2">
        <w:rPr>
          <w:bCs/>
          <w:sz w:val="24"/>
          <w:szCs w:val="24"/>
        </w:rPr>
        <w:t xml:space="preserve">. Alle patienter med svær sygdom og utilstrækkeligt respons på anden behandling er blevet effektivt kontrolleret, og mere end 90 % af patienterne bibeholdt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20-120 mg </w:t>
      </w:r>
      <w:r>
        <w:rPr>
          <w:bCs/>
          <w:sz w:val="24"/>
          <w:szCs w:val="24"/>
        </w:rPr>
        <w:t>daglig</w:t>
      </w:r>
      <w:r w:rsidRPr="00B808B2">
        <w:rPr>
          <w:bCs/>
          <w:sz w:val="24"/>
          <w:szCs w:val="24"/>
        </w:rPr>
        <w:t xml:space="preserve">. Når dosis overskrider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80 mg </w:t>
      </w:r>
      <w:r>
        <w:rPr>
          <w:bCs/>
          <w:sz w:val="24"/>
          <w:szCs w:val="24"/>
        </w:rPr>
        <w:t>daglig</w:t>
      </w:r>
      <w:r w:rsidRPr="00B808B2">
        <w:rPr>
          <w:bCs/>
          <w:sz w:val="24"/>
          <w:szCs w:val="24"/>
        </w:rPr>
        <w:t xml:space="preserve">, bør dosis deles og gives to gange </w:t>
      </w:r>
      <w:r>
        <w:rPr>
          <w:bCs/>
          <w:sz w:val="24"/>
          <w:szCs w:val="24"/>
        </w:rPr>
        <w:t>daglig</w:t>
      </w:r>
      <w:r w:rsidRPr="00B808B2">
        <w:rPr>
          <w:bCs/>
          <w:sz w:val="24"/>
          <w:szCs w:val="24"/>
        </w:rPr>
        <w: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sz w:val="24"/>
          <w:szCs w:val="24"/>
          <w:u w:val="single"/>
        </w:rPr>
        <w:t>Dosering til børn</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u w:val="single"/>
        </w:rPr>
        <w:t>Børn over 1 år og ≥ 10 kg</w:t>
      </w:r>
    </w:p>
    <w:p w:rsidR="00037C49" w:rsidRPr="00B808B2" w:rsidRDefault="00037C49" w:rsidP="00037C49">
      <w:pPr>
        <w:shd w:val="clear" w:color="auto" w:fill="FFFFFF"/>
        <w:ind w:left="851"/>
        <w:rPr>
          <w:bCs/>
          <w:sz w:val="24"/>
          <w:szCs w:val="24"/>
        </w:rPr>
      </w:pPr>
      <w:r w:rsidRPr="00B808B2">
        <w:rPr>
          <w:bCs/>
          <w:i/>
          <w:sz w:val="24"/>
          <w:szCs w:val="24"/>
        </w:rPr>
        <w:t xml:space="preserve">Behandling af </w:t>
      </w:r>
      <w:proofErr w:type="spellStart"/>
      <w:r w:rsidRPr="00B808B2">
        <w:rPr>
          <w:bCs/>
          <w:i/>
          <w:sz w:val="24"/>
          <w:szCs w:val="24"/>
        </w:rPr>
        <w:t>refluksøsofagitis</w:t>
      </w:r>
      <w:proofErr w:type="spellEnd"/>
    </w:p>
    <w:p w:rsidR="00037C49" w:rsidRPr="00B808B2" w:rsidRDefault="00037C49" w:rsidP="00037C49">
      <w:pPr>
        <w:shd w:val="clear" w:color="auto" w:fill="FFFFFF"/>
        <w:ind w:left="851"/>
        <w:rPr>
          <w:bCs/>
          <w:sz w:val="24"/>
          <w:szCs w:val="24"/>
        </w:rPr>
      </w:pPr>
      <w:r w:rsidRPr="00B808B2">
        <w:rPr>
          <w:bCs/>
          <w:i/>
          <w:sz w:val="24"/>
          <w:szCs w:val="24"/>
        </w:rPr>
        <w:t xml:space="preserve">Symptomatisk behandling af halsbrand og </w:t>
      </w:r>
      <w:proofErr w:type="spellStart"/>
      <w:r w:rsidRPr="00B808B2">
        <w:rPr>
          <w:bCs/>
          <w:i/>
          <w:sz w:val="24"/>
          <w:szCs w:val="24"/>
        </w:rPr>
        <w:t>syreregurgitation</w:t>
      </w:r>
      <w:proofErr w:type="spellEnd"/>
      <w:r w:rsidRPr="00B808B2">
        <w:rPr>
          <w:bCs/>
          <w:i/>
          <w:sz w:val="24"/>
          <w:szCs w:val="24"/>
        </w:rPr>
        <w:t xml:space="preserve"> ved </w:t>
      </w:r>
      <w:proofErr w:type="spellStart"/>
      <w:r w:rsidRPr="00B808B2">
        <w:rPr>
          <w:bCs/>
          <w:i/>
          <w:sz w:val="24"/>
          <w:szCs w:val="24"/>
        </w:rPr>
        <w:t>gastroøsofageal</w:t>
      </w:r>
      <w:proofErr w:type="spellEnd"/>
      <w:r w:rsidRPr="00B808B2">
        <w:rPr>
          <w:bCs/>
          <w:i/>
          <w:sz w:val="24"/>
          <w:szCs w:val="24"/>
        </w:rPr>
        <w:t xml:space="preserve"> </w:t>
      </w:r>
      <w:proofErr w:type="spellStart"/>
      <w:r w:rsidRPr="00B808B2">
        <w:rPr>
          <w:bCs/>
          <w:i/>
          <w:sz w:val="24"/>
          <w:szCs w:val="24"/>
        </w:rPr>
        <w:t>reflukssygdom</w:t>
      </w:r>
      <w:proofErr w:type="spellEnd"/>
    </w:p>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firstLine="851"/>
        <w:rPr>
          <w:bCs/>
          <w:sz w:val="24"/>
          <w:szCs w:val="24"/>
        </w:rPr>
      </w:pPr>
      <w:r w:rsidRPr="00B808B2">
        <w:rPr>
          <w:bCs/>
          <w:sz w:val="24"/>
          <w:szCs w:val="24"/>
        </w:rPr>
        <w:t>Dosisanbefalinger:</w:t>
      </w:r>
    </w:p>
    <w:tbl>
      <w:tblPr>
        <w:tblW w:w="8647" w:type="dxa"/>
        <w:tblInd w:w="857" w:type="dxa"/>
        <w:tblLayout w:type="fixed"/>
        <w:tblCellMar>
          <w:left w:w="0" w:type="dxa"/>
          <w:right w:w="0" w:type="dxa"/>
        </w:tblCellMar>
        <w:tblLook w:val="01E0" w:firstRow="1" w:lastRow="1" w:firstColumn="1" w:lastColumn="1" w:noHBand="0" w:noVBand="0"/>
      </w:tblPr>
      <w:tblGrid>
        <w:gridCol w:w="1135"/>
        <w:gridCol w:w="1134"/>
        <w:gridCol w:w="6378"/>
      </w:tblGrid>
      <w:tr w:rsidR="00037C49" w:rsidRPr="00B808B2" w:rsidTr="00D123CD">
        <w:trPr>
          <w:trHeight w:hRule="exact" w:val="262"/>
        </w:trPr>
        <w:tc>
          <w:tcPr>
            <w:tcW w:w="1135"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pacing w:val="-1"/>
                <w:sz w:val="24"/>
                <w:szCs w:val="24"/>
              </w:rPr>
              <w:t>A</w:t>
            </w:r>
            <w:r w:rsidRPr="00B808B2">
              <w:rPr>
                <w:spacing w:val="1"/>
                <w:sz w:val="24"/>
                <w:szCs w:val="24"/>
              </w:rPr>
              <w:t>l</w:t>
            </w:r>
            <w:r w:rsidRPr="00B808B2">
              <w:rPr>
                <w:spacing w:val="-1"/>
                <w:sz w:val="24"/>
                <w:szCs w:val="24"/>
              </w:rPr>
              <w:t>d</w:t>
            </w:r>
            <w:r w:rsidRPr="00B808B2">
              <w:rPr>
                <w:sz w:val="24"/>
                <w:szCs w:val="24"/>
              </w:rPr>
              <w:t>er</w:t>
            </w:r>
          </w:p>
        </w:tc>
        <w:tc>
          <w:tcPr>
            <w:tcW w:w="1134"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pacing w:val="1"/>
                <w:sz w:val="24"/>
                <w:szCs w:val="24"/>
              </w:rPr>
              <w:t>V</w:t>
            </w:r>
            <w:r w:rsidRPr="00B808B2">
              <w:rPr>
                <w:spacing w:val="-1"/>
                <w:sz w:val="24"/>
                <w:szCs w:val="24"/>
              </w:rPr>
              <w:t>æ</w:t>
            </w:r>
            <w:r w:rsidRPr="00B808B2">
              <w:rPr>
                <w:spacing w:val="-2"/>
                <w:sz w:val="24"/>
                <w:szCs w:val="24"/>
              </w:rPr>
              <w:t>g</w:t>
            </w:r>
            <w:r w:rsidRPr="00B808B2">
              <w:rPr>
                <w:sz w:val="24"/>
                <w:szCs w:val="24"/>
              </w:rPr>
              <w:t>t</w:t>
            </w:r>
          </w:p>
        </w:tc>
        <w:tc>
          <w:tcPr>
            <w:tcW w:w="6378"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pacing w:val="-1"/>
                <w:sz w:val="24"/>
                <w:szCs w:val="24"/>
              </w:rPr>
              <w:t>Do</w:t>
            </w:r>
            <w:r w:rsidRPr="00B808B2">
              <w:rPr>
                <w:sz w:val="24"/>
                <w:szCs w:val="24"/>
              </w:rPr>
              <w:t>se</w:t>
            </w:r>
            <w:r w:rsidRPr="00B808B2">
              <w:rPr>
                <w:spacing w:val="-1"/>
                <w:sz w:val="24"/>
                <w:szCs w:val="24"/>
              </w:rPr>
              <w:t>r</w:t>
            </w:r>
            <w:r w:rsidRPr="00B808B2">
              <w:rPr>
                <w:spacing w:val="1"/>
                <w:sz w:val="24"/>
                <w:szCs w:val="24"/>
              </w:rPr>
              <w:t>i</w:t>
            </w:r>
            <w:r w:rsidRPr="00B808B2">
              <w:rPr>
                <w:spacing w:val="-1"/>
                <w:sz w:val="24"/>
                <w:szCs w:val="24"/>
              </w:rPr>
              <w:t>ng</w:t>
            </w:r>
          </w:p>
        </w:tc>
      </w:tr>
      <w:tr w:rsidR="00037C49" w:rsidRPr="00B808B2" w:rsidTr="00D123CD">
        <w:trPr>
          <w:trHeight w:hRule="exact" w:val="595"/>
        </w:trPr>
        <w:tc>
          <w:tcPr>
            <w:tcW w:w="1135"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z w:val="24"/>
                <w:szCs w:val="24"/>
              </w:rPr>
              <w:t>≥</w:t>
            </w:r>
            <w:r w:rsidRPr="00B808B2">
              <w:rPr>
                <w:spacing w:val="2"/>
                <w:sz w:val="24"/>
                <w:szCs w:val="24"/>
              </w:rPr>
              <w:t xml:space="preserve"> </w:t>
            </w:r>
            <w:r w:rsidRPr="00B808B2">
              <w:rPr>
                <w:sz w:val="24"/>
                <w:szCs w:val="24"/>
              </w:rPr>
              <w:t xml:space="preserve">1 </w:t>
            </w:r>
            <w:r w:rsidRPr="00B808B2">
              <w:rPr>
                <w:spacing w:val="-2"/>
                <w:sz w:val="24"/>
                <w:szCs w:val="24"/>
              </w:rPr>
              <w:t>å</w:t>
            </w:r>
            <w:r w:rsidRPr="00B808B2">
              <w:rPr>
                <w:sz w:val="24"/>
                <w:szCs w:val="24"/>
              </w:rPr>
              <w:t>r</w:t>
            </w:r>
          </w:p>
        </w:tc>
        <w:tc>
          <w:tcPr>
            <w:tcW w:w="1134"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z w:val="24"/>
                <w:szCs w:val="24"/>
              </w:rPr>
              <w:t>10</w:t>
            </w:r>
            <w:r w:rsidRPr="00B808B2">
              <w:rPr>
                <w:spacing w:val="-4"/>
                <w:sz w:val="24"/>
                <w:szCs w:val="24"/>
              </w:rPr>
              <w:t>-</w:t>
            </w:r>
            <w:r w:rsidRPr="00B808B2">
              <w:rPr>
                <w:sz w:val="24"/>
                <w:szCs w:val="24"/>
              </w:rPr>
              <w:t>20</w:t>
            </w:r>
            <w:r w:rsidRPr="00B808B2">
              <w:rPr>
                <w:spacing w:val="3"/>
                <w:sz w:val="24"/>
                <w:szCs w:val="24"/>
              </w:rPr>
              <w:t xml:space="preserve"> </w:t>
            </w:r>
            <w:r w:rsidRPr="00B808B2">
              <w:rPr>
                <w:spacing w:val="-2"/>
                <w:sz w:val="24"/>
                <w:szCs w:val="24"/>
              </w:rPr>
              <w:t>k</w:t>
            </w:r>
            <w:r w:rsidRPr="00B808B2">
              <w:rPr>
                <w:sz w:val="24"/>
                <w:szCs w:val="24"/>
              </w:rPr>
              <w:t>g</w:t>
            </w:r>
          </w:p>
        </w:tc>
        <w:tc>
          <w:tcPr>
            <w:tcW w:w="6378"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3"/>
              <w:rPr>
                <w:sz w:val="24"/>
                <w:szCs w:val="24"/>
              </w:rPr>
            </w:pPr>
            <w:r w:rsidRPr="00B808B2">
              <w:rPr>
                <w:sz w:val="24"/>
                <w:szCs w:val="24"/>
              </w:rPr>
              <w:t xml:space="preserve">10 </w:t>
            </w:r>
            <w:r w:rsidRPr="00B808B2">
              <w:rPr>
                <w:spacing w:val="-1"/>
                <w:sz w:val="24"/>
                <w:szCs w:val="24"/>
              </w:rPr>
              <w:t>m</w:t>
            </w:r>
            <w:r w:rsidRPr="00B808B2">
              <w:rPr>
                <w:sz w:val="24"/>
                <w:szCs w:val="24"/>
              </w:rPr>
              <w:t>g</w:t>
            </w:r>
            <w:r w:rsidRPr="00B808B2">
              <w:rPr>
                <w:spacing w:val="-2"/>
                <w:sz w:val="24"/>
                <w:szCs w:val="24"/>
              </w:rPr>
              <w:t xml:space="preserve"> </w:t>
            </w:r>
            <w:r w:rsidRPr="00B808B2">
              <w:rPr>
                <w:sz w:val="24"/>
                <w:szCs w:val="24"/>
              </w:rPr>
              <w:t xml:space="preserve">en </w:t>
            </w:r>
            <w:r w:rsidRPr="00B808B2">
              <w:rPr>
                <w:spacing w:val="-2"/>
                <w:sz w:val="24"/>
                <w:szCs w:val="24"/>
              </w:rPr>
              <w:t>g</w:t>
            </w:r>
            <w:r w:rsidRPr="00B808B2">
              <w:rPr>
                <w:sz w:val="24"/>
                <w:szCs w:val="24"/>
              </w:rPr>
              <w:t>ang</w:t>
            </w:r>
            <w:r w:rsidRPr="00B808B2">
              <w:rPr>
                <w:spacing w:val="-2"/>
                <w:sz w:val="24"/>
                <w:szCs w:val="24"/>
              </w:rPr>
              <w:t xml:space="preserve"> </w:t>
            </w:r>
            <w:r>
              <w:rPr>
                <w:sz w:val="24"/>
                <w:szCs w:val="24"/>
              </w:rPr>
              <w:t>daglig</w:t>
            </w:r>
            <w:r w:rsidRPr="00B808B2">
              <w:rPr>
                <w:sz w:val="24"/>
                <w:szCs w:val="24"/>
              </w:rPr>
              <w:t>. Om</w:t>
            </w:r>
            <w:r w:rsidRPr="00B808B2">
              <w:rPr>
                <w:spacing w:val="-1"/>
                <w:sz w:val="24"/>
                <w:szCs w:val="24"/>
              </w:rPr>
              <w:t xml:space="preserve"> </w:t>
            </w:r>
            <w:r w:rsidRPr="00B808B2">
              <w:rPr>
                <w:sz w:val="24"/>
                <w:szCs w:val="24"/>
              </w:rPr>
              <w:t>nød</w:t>
            </w:r>
            <w:r w:rsidRPr="00B808B2">
              <w:rPr>
                <w:spacing w:val="-2"/>
                <w:sz w:val="24"/>
                <w:szCs w:val="24"/>
              </w:rPr>
              <w:t>v</w:t>
            </w:r>
            <w:r w:rsidRPr="00B808B2">
              <w:rPr>
                <w:sz w:val="24"/>
                <w:szCs w:val="24"/>
              </w:rPr>
              <w:t>endi</w:t>
            </w:r>
            <w:r w:rsidRPr="00B808B2">
              <w:rPr>
                <w:spacing w:val="-2"/>
                <w:sz w:val="24"/>
                <w:szCs w:val="24"/>
              </w:rPr>
              <w:t>g</w:t>
            </w:r>
            <w:r w:rsidRPr="00B808B2">
              <w:rPr>
                <w:sz w:val="24"/>
                <w:szCs w:val="24"/>
              </w:rPr>
              <w:t>t</w:t>
            </w:r>
            <w:r w:rsidRPr="00B808B2">
              <w:rPr>
                <w:spacing w:val="1"/>
                <w:sz w:val="24"/>
                <w:szCs w:val="24"/>
              </w:rPr>
              <w:t xml:space="preserve"> </w:t>
            </w:r>
            <w:r w:rsidRPr="00B808B2">
              <w:rPr>
                <w:spacing w:val="-2"/>
                <w:sz w:val="24"/>
                <w:szCs w:val="24"/>
              </w:rPr>
              <w:t>k</w:t>
            </w:r>
            <w:r w:rsidRPr="00B808B2">
              <w:rPr>
                <w:sz w:val="24"/>
                <w:szCs w:val="24"/>
              </w:rPr>
              <w:t>an do</w:t>
            </w:r>
            <w:r w:rsidRPr="00B808B2">
              <w:rPr>
                <w:spacing w:val="-2"/>
                <w:sz w:val="24"/>
                <w:szCs w:val="24"/>
              </w:rPr>
              <w:t>s</w:t>
            </w:r>
            <w:r w:rsidRPr="00B808B2">
              <w:rPr>
                <w:sz w:val="24"/>
                <w:szCs w:val="24"/>
              </w:rPr>
              <w:t>is ø</w:t>
            </w:r>
            <w:r w:rsidRPr="00B808B2">
              <w:rPr>
                <w:spacing w:val="-2"/>
                <w:sz w:val="24"/>
                <w:szCs w:val="24"/>
              </w:rPr>
              <w:t>g</w:t>
            </w:r>
            <w:r w:rsidRPr="00B808B2">
              <w:rPr>
                <w:sz w:val="24"/>
                <w:szCs w:val="24"/>
              </w:rPr>
              <w:t>es</w:t>
            </w:r>
            <w:r w:rsidRPr="00B808B2">
              <w:rPr>
                <w:spacing w:val="-2"/>
                <w:sz w:val="24"/>
                <w:szCs w:val="24"/>
              </w:rPr>
              <w:t xml:space="preserve"> </w:t>
            </w:r>
            <w:r w:rsidRPr="00B808B2">
              <w:rPr>
                <w:sz w:val="24"/>
                <w:szCs w:val="24"/>
              </w:rPr>
              <w:t>t</w:t>
            </w:r>
            <w:r w:rsidRPr="00B808B2">
              <w:rPr>
                <w:spacing w:val="-1"/>
                <w:sz w:val="24"/>
                <w:szCs w:val="24"/>
              </w:rPr>
              <w:t>i</w:t>
            </w:r>
            <w:r w:rsidRPr="00B808B2">
              <w:rPr>
                <w:sz w:val="24"/>
                <w:szCs w:val="24"/>
              </w:rPr>
              <w:t xml:space="preserve">l 20 </w:t>
            </w:r>
            <w:r w:rsidRPr="00B808B2">
              <w:rPr>
                <w:spacing w:val="-4"/>
                <w:sz w:val="24"/>
                <w:szCs w:val="24"/>
              </w:rPr>
              <w:t>m</w:t>
            </w:r>
            <w:r w:rsidRPr="00B808B2">
              <w:rPr>
                <w:sz w:val="24"/>
                <w:szCs w:val="24"/>
              </w:rPr>
              <w:t>g</w:t>
            </w:r>
            <w:r w:rsidRPr="00B808B2">
              <w:rPr>
                <w:spacing w:val="-2"/>
                <w:sz w:val="24"/>
                <w:szCs w:val="24"/>
              </w:rPr>
              <w:t xml:space="preserve"> </w:t>
            </w:r>
            <w:r w:rsidRPr="00B808B2">
              <w:rPr>
                <w:sz w:val="24"/>
                <w:szCs w:val="24"/>
              </w:rPr>
              <w:t xml:space="preserve">en </w:t>
            </w:r>
            <w:r w:rsidRPr="00B808B2">
              <w:rPr>
                <w:spacing w:val="-2"/>
                <w:sz w:val="24"/>
                <w:szCs w:val="24"/>
              </w:rPr>
              <w:t>g</w:t>
            </w:r>
            <w:r w:rsidRPr="00B808B2">
              <w:rPr>
                <w:sz w:val="24"/>
                <w:szCs w:val="24"/>
              </w:rPr>
              <w:t>a</w:t>
            </w:r>
            <w:r w:rsidRPr="00B808B2">
              <w:rPr>
                <w:spacing w:val="2"/>
                <w:sz w:val="24"/>
                <w:szCs w:val="24"/>
              </w:rPr>
              <w:t>n</w:t>
            </w:r>
            <w:r w:rsidRPr="00B808B2">
              <w:rPr>
                <w:sz w:val="24"/>
                <w:szCs w:val="24"/>
              </w:rPr>
              <w:t>g</w:t>
            </w:r>
            <w:r w:rsidRPr="00B808B2">
              <w:rPr>
                <w:spacing w:val="-2"/>
                <w:sz w:val="24"/>
                <w:szCs w:val="24"/>
              </w:rPr>
              <w:t xml:space="preserve"> </w:t>
            </w:r>
            <w:r>
              <w:rPr>
                <w:sz w:val="24"/>
                <w:szCs w:val="24"/>
              </w:rPr>
              <w:t>daglig</w:t>
            </w:r>
            <w:r w:rsidRPr="00B808B2">
              <w:rPr>
                <w:sz w:val="24"/>
                <w:szCs w:val="24"/>
              </w:rPr>
              <w:t>.</w:t>
            </w:r>
          </w:p>
        </w:tc>
      </w:tr>
      <w:tr w:rsidR="00037C49" w:rsidRPr="00B808B2" w:rsidTr="00D123CD">
        <w:trPr>
          <w:trHeight w:hRule="exact" w:val="561"/>
        </w:trPr>
        <w:tc>
          <w:tcPr>
            <w:tcW w:w="1135"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z w:val="24"/>
                <w:szCs w:val="24"/>
              </w:rPr>
              <w:t>≥</w:t>
            </w:r>
            <w:r w:rsidRPr="00B808B2">
              <w:rPr>
                <w:spacing w:val="2"/>
                <w:sz w:val="24"/>
                <w:szCs w:val="24"/>
              </w:rPr>
              <w:t xml:space="preserve"> </w:t>
            </w:r>
            <w:r w:rsidRPr="00B808B2">
              <w:rPr>
                <w:sz w:val="24"/>
                <w:szCs w:val="24"/>
              </w:rPr>
              <w:t xml:space="preserve">2 </w:t>
            </w:r>
            <w:r w:rsidRPr="00B808B2">
              <w:rPr>
                <w:spacing w:val="-2"/>
                <w:sz w:val="24"/>
                <w:szCs w:val="24"/>
              </w:rPr>
              <w:t>å</w:t>
            </w:r>
            <w:r w:rsidRPr="00B808B2">
              <w:rPr>
                <w:sz w:val="24"/>
                <w:szCs w:val="24"/>
              </w:rPr>
              <w:t>r</w:t>
            </w:r>
          </w:p>
        </w:tc>
        <w:tc>
          <w:tcPr>
            <w:tcW w:w="1134"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2"/>
              <w:rPr>
                <w:sz w:val="24"/>
                <w:szCs w:val="24"/>
              </w:rPr>
            </w:pPr>
            <w:r w:rsidRPr="00B808B2">
              <w:rPr>
                <w:sz w:val="24"/>
                <w:szCs w:val="24"/>
              </w:rPr>
              <w:t xml:space="preserve">&gt;20 </w:t>
            </w:r>
            <w:r w:rsidRPr="00B808B2">
              <w:rPr>
                <w:spacing w:val="-2"/>
                <w:sz w:val="24"/>
                <w:szCs w:val="24"/>
              </w:rPr>
              <w:t>k</w:t>
            </w:r>
            <w:r w:rsidRPr="00B808B2">
              <w:rPr>
                <w:sz w:val="24"/>
                <w:szCs w:val="24"/>
              </w:rPr>
              <w:t>g</w:t>
            </w:r>
          </w:p>
        </w:tc>
        <w:tc>
          <w:tcPr>
            <w:tcW w:w="6378" w:type="dxa"/>
            <w:tcBorders>
              <w:top w:val="single" w:sz="5" w:space="0" w:color="000000"/>
              <w:left w:val="single" w:sz="5" w:space="0" w:color="000000"/>
              <w:bottom w:val="single" w:sz="5" w:space="0" w:color="000000"/>
              <w:right w:val="single" w:sz="5" w:space="0" w:color="000000"/>
            </w:tcBorders>
          </w:tcPr>
          <w:p w:rsidR="00037C49" w:rsidRPr="00B808B2" w:rsidRDefault="00037C49" w:rsidP="00D123CD">
            <w:pPr>
              <w:ind w:left="103"/>
              <w:rPr>
                <w:sz w:val="24"/>
                <w:szCs w:val="24"/>
              </w:rPr>
            </w:pPr>
            <w:r w:rsidRPr="00B808B2">
              <w:rPr>
                <w:sz w:val="24"/>
                <w:szCs w:val="24"/>
              </w:rPr>
              <w:t xml:space="preserve">20 </w:t>
            </w:r>
            <w:r w:rsidRPr="00B808B2">
              <w:rPr>
                <w:spacing w:val="-1"/>
                <w:sz w:val="24"/>
                <w:szCs w:val="24"/>
              </w:rPr>
              <w:t>m</w:t>
            </w:r>
            <w:r w:rsidRPr="00B808B2">
              <w:rPr>
                <w:sz w:val="24"/>
                <w:szCs w:val="24"/>
              </w:rPr>
              <w:t>g</w:t>
            </w:r>
            <w:r w:rsidRPr="00B808B2">
              <w:rPr>
                <w:spacing w:val="-2"/>
                <w:sz w:val="24"/>
                <w:szCs w:val="24"/>
              </w:rPr>
              <w:t xml:space="preserve"> </w:t>
            </w:r>
            <w:r w:rsidRPr="00B808B2">
              <w:rPr>
                <w:sz w:val="24"/>
                <w:szCs w:val="24"/>
              </w:rPr>
              <w:t xml:space="preserve">en </w:t>
            </w:r>
            <w:r w:rsidRPr="00B808B2">
              <w:rPr>
                <w:spacing w:val="-2"/>
                <w:sz w:val="24"/>
                <w:szCs w:val="24"/>
              </w:rPr>
              <w:t>g</w:t>
            </w:r>
            <w:r w:rsidRPr="00B808B2">
              <w:rPr>
                <w:sz w:val="24"/>
                <w:szCs w:val="24"/>
              </w:rPr>
              <w:t>ang</w:t>
            </w:r>
            <w:r w:rsidRPr="00B808B2">
              <w:rPr>
                <w:spacing w:val="-2"/>
                <w:sz w:val="24"/>
                <w:szCs w:val="24"/>
              </w:rPr>
              <w:t xml:space="preserve"> </w:t>
            </w:r>
            <w:r>
              <w:rPr>
                <w:sz w:val="24"/>
                <w:szCs w:val="24"/>
              </w:rPr>
              <w:t>daglig</w:t>
            </w:r>
            <w:r w:rsidRPr="00B808B2">
              <w:rPr>
                <w:sz w:val="24"/>
                <w:szCs w:val="24"/>
              </w:rPr>
              <w:t>. Om</w:t>
            </w:r>
            <w:r w:rsidRPr="00B808B2">
              <w:rPr>
                <w:spacing w:val="-1"/>
                <w:sz w:val="24"/>
                <w:szCs w:val="24"/>
              </w:rPr>
              <w:t xml:space="preserve"> </w:t>
            </w:r>
            <w:r w:rsidRPr="00B808B2">
              <w:rPr>
                <w:sz w:val="24"/>
                <w:szCs w:val="24"/>
              </w:rPr>
              <w:t>nød</w:t>
            </w:r>
            <w:r w:rsidRPr="00B808B2">
              <w:rPr>
                <w:spacing w:val="-2"/>
                <w:sz w:val="24"/>
                <w:szCs w:val="24"/>
              </w:rPr>
              <w:t>v</w:t>
            </w:r>
            <w:r w:rsidRPr="00B808B2">
              <w:rPr>
                <w:sz w:val="24"/>
                <w:szCs w:val="24"/>
              </w:rPr>
              <w:t>endi</w:t>
            </w:r>
            <w:r w:rsidRPr="00B808B2">
              <w:rPr>
                <w:spacing w:val="-2"/>
                <w:sz w:val="24"/>
                <w:szCs w:val="24"/>
              </w:rPr>
              <w:t>g</w:t>
            </w:r>
            <w:r w:rsidRPr="00B808B2">
              <w:rPr>
                <w:sz w:val="24"/>
                <w:szCs w:val="24"/>
              </w:rPr>
              <w:t>t</w:t>
            </w:r>
            <w:r w:rsidRPr="00B808B2">
              <w:rPr>
                <w:spacing w:val="1"/>
                <w:sz w:val="24"/>
                <w:szCs w:val="24"/>
              </w:rPr>
              <w:t xml:space="preserve"> </w:t>
            </w:r>
            <w:r w:rsidRPr="00B808B2">
              <w:rPr>
                <w:spacing w:val="-2"/>
                <w:sz w:val="24"/>
                <w:szCs w:val="24"/>
              </w:rPr>
              <w:t>k</w:t>
            </w:r>
            <w:r w:rsidRPr="00B808B2">
              <w:rPr>
                <w:sz w:val="24"/>
                <w:szCs w:val="24"/>
              </w:rPr>
              <w:t>an do</w:t>
            </w:r>
            <w:r w:rsidRPr="00B808B2">
              <w:rPr>
                <w:spacing w:val="-2"/>
                <w:sz w:val="24"/>
                <w:szCs w:val="24"/>
              </w:rPr>
              <w:t>s</w:t>
            </w:r>
            <w:r w:rsidRPr="00B808B2">
              <w:rPr>
                <w:sz w:val="24"/>
                <w:szCs w:val="24"/>
              </w:rPr>
              <w:t>is ø</w:t>
            </w:r>
            <w:r w:rsidRPr="00B808B2">
              <w:rPr>
                <w:spacing w:val="-2"/>
                <w:sz w:val="24"/>
                <w:szCs w:val="24"/>
              </w:rPr>
              <w:t>g</w:t>
            </w:r>
            <w:r w:rsidRPr="00B808B2">
              <w:rPr>
                <w:sz w:val="24"/>
                <w:szCs w:val="24"/>
              </w:rPr>
              <w:t>es</w:t>
            </w:r>
            <w:r w:rsidRPr="00B808B2">
              <w:rPr>
                <w:spacing w:val="-2"/>
                <w:sz w:val="24"/>
                <w:szCs w:val="24"/>
              </w:rPr>
              <w:t xml:space="preserve"> </w:t>
            </w:r>
            <w:r w:rsidRPr="00B808B2">
              <w:rPr>
                <w:sz w:val="24"/>
                <w:szCs w:val="24"/>
              </w:rPr>
              <w:t>t</w:t>
            </w:r>
            <w:r w:rsidRPr="00B808B2">
              <w:rPr>
                <w:spacing w:val="-1"/>
                <w:sz w:val="24"/>
                <w:szCs w:val="24"/>
              </w:rPr>
              <w:t>i</w:t>
            </w:r>
            <w:r w:rsidRPr="00B808B2">
              <w:rPr>
                <w:sz w:val="24"/>
                <w:szCs w:val="24"/>
              </w:rPr>
              <w:t xml:space="preserve">l 40 </w:t>
            </w:r>
            <w:r w:rsidRPr="00B808B2">
              <w:rPr>
                <w:spacing w:val="-4"/>
                <w:sz w:val="24"/>
                <w:szCs w:val="24"/>
              </w:rPr>
              <w:t>m</w:t>
            </w:r>
            <w:r w:rsidRPr="00B808B2">
              <w:rPr>
                <w:sz w:val="24"/>
                <w:szCs w:val="24"/>
              </w:rPr>
              <w:t>g</w:t>
            </w:r>
            <w:r w:rsidRPr="00B808B2">
              <w:rPr>
                <w:spacing w:val="-2"/>
                <w:sz w:val="24"/>
                <w:szCs w:val="24"/>
              </w:rPr>
              <w:t xml:space="preserve"> </w:t>
            </w:r>
            <w:r w:rsidRPr="00B808B2">
              <w:rPr>
                <w:sz w:val="24"/>
                <w:szCs w:val="24"/>
              </w:rPr>
              <w:t xml:space="preserve">en </w:t>
            </w:r>
            <w:r w:rsidRPr="00B808B2">
              <w:rPr>
                <w:spacing w:val="-2"/>
                <w:sz w:val="24"/>
                <w:szCs w:val="24"/>
              </w:rPr>
              <w:t>g</w:t>
            </w:r>
            <w:r w:rsidRPr="00B808B2">
              <w:rPr>
                <w:sz w:val="24"/>
                <w:szCs w:val="24"/>
              </w:rPr>
              <w:t>a</w:t>
            </w:r>
            <w:r w:rsidRPr="00B808B2">
              <w:rPr>
                <w:spacing w:val="2"/>
                <w:sz w:val="24"/>
                <w:szCs w:val="24"/>
              </w:rPr>
              <w:t>n</w:t>
            </w:r>
            <w:r w:rsidRPr="00B808B2">
              <w:rPr>
                <w:sz w:val="24"/>
                <w:szCs w:val="24"/>
              </w:rPr>
              <w:t>g</w:t>
            </w:r>
            <w:r w:rsidRPr="00B808B2">
              <w:rPr>
                <w:spacing w:val="-2"/>
                <w:sz w:val="24"/>
                <w:szCs w:val="24"/>
              </w:rPr>
              <w:t xml:space="preserve"> </w:t>
            </w:r>
            <w:r>
              <w:rPr>
                <w:sz w:val="24"/>
                <w:szCs w:val="24"/>
              </w:rPr>
              <w:t>daglig</w:t>
            </w:r>
            <w:r w:rsidRPr="00B808B2">
              <w:rPr>
                <w:sz w:val="24"/>
                <w:szCs w:val="24"/>
              </w:rPr>
              <w:t>.</w:t>
            </w:r>
          </w:p>
        </w:tc>
      </w:tr>
    </w:tbl>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left="851"/>
        <w:rPr>
          <w:bCs/>
          <w:sz w:val="24"/>
          <w:szCs w:val="24"/>
        </w:rPr>
      </w:pPr>
      <w:proofErr w:type="spellStart"/>
      <w:r w:rsidRPr="00B808B2">
        <w:rPr>
          <w:i/>
          <w:sz w:val="24"/>
          <w:szCs w:val="24"/>
        </w:rPr>
        <w:t>Ref</w:t>
      </w:r>
      <w:r w:rsidRPr="00B808B2">
        <w:rPr>
          <w:i/>
          <w:spacing w:val="-1"/>
          <w:sz w:val="24"/>
          <w:szCs w:val="24"/>
        </w:rPr>
        <w:t>l</w:t>
      </w:r>
      <w:r w:rsidRPr="00B808B2">
        <w:rPr>
          <w:i/>
          <w:sz w:val="24"/>
          <w:szCs w:val="24"/>
        </w:rPr>
        <w:t>uks</w:t>
      </w:r>
      <w:r w:rsidRPr="00B808B2">
        <w:rPr>
          <w:i/>
          <w:spacing w:val="-2"/>
          <w:sz w:val="24"/>
          <w:szCs w:val="24"/>
        </w:rPr>
        <w:t>ø</w:t>
      </w:r>
      <w:r w:rsidRPr="00B808B2">
        <w:rPr>
          <w:i/>
          <w:sz w:val="24"/>
          <w:szCs w:val="24"/>
        </w:rPr>
        <w:t>so</w:t>
      </w:r>
      <w:r w:rsidRPr="00B808B2">
        <w:rPr>
          <w:i/>
          <w:spacing w:val="-1"/>
          <w:sz w:val="24"/>
          <w:szCs w:val="24"/>
        </w:rPr>
        <w:t>f</w:t>
      </w:r>
      <w:r w:rsidRPr="00B808B2">
        <w:rPr>
          <w:i/>
          <w:sz w:val="24"/>
          <w:szCs w:val="24"/>
        </w:rPr>
        <w:t>ag</w:t>
      </w:r>
      <w:r w:rsidRPr="00B808B2">
        <w:rPr>
          <w:i/>
          <w:spacing w:val="-1"/>
          <w:sz w:val="24"/>
          <w:szCs w:val="24"/>
        </w:rPr>
        <w:t>i</w:t>
      </w:r>
      <w:r w:rsidRPr="00B808B2">
        <w:rPr>
          <w:i/>
          <w:sz w:val="24"/>
          <w:szCs w:val="24"/>
        </w:rPr>
        <w:t>t</w:t>
      </w:r>
      <w:r w:rsidRPr="00B808B2">
        <w:rPr>
          <w:i/>
          <w:spacing w:val="-1"/>
          <w:sz w:val="24"/>
          <w:szCs w:val="24"/>
        </w:rPr>
        <w:t>i</w:t>
      </w:r>
      <w:r w:rsidRPr="00B808B2">
        <w:rPr>
          <w:i/>
          <w:sz w:val="24"/>
          <w:szCs w:val="24"/>
        </w:rPr>
        <w:t>s</w:t>
      </w:r>
      <w:proofErr w:type="spellEnd"/>
      <w:r w:rsidRPr="00B808B2">
        <w:rPr>
          <w:bCs/>
          <w:sz w:val="24"/>
          <w:szCs w:val="24"/>
        </w:rPr>
        <w:t>: Behandlingstiden er 4-8 uger</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Symptomatisk behandling af halsbrand og </w:t>
      </w:r>
      <w:proofErr w:type="spellStart"/>
      <w:r w:rsidRPr="00B808B2">
        <w:rPr>
          <w:bCs/>
          <w:i/>
          <w:sz w:val="24"/>
          <w:szCs w:val="24"/>
        </w:rPr>
        <w:t>syreregurgitation</w:t>
      </w:r>
      <w:proofErr w:type="spellEnd"/>
      <w:r w:rsidRPr="00B808B2">
        <w:rPr>
          <w:bCs/>
          <w:i/>
          <w:sz w:val="24"/>
          <w:szCs w:val="24"/>
        </w:rPr>
        <w:t xml:space="preserve"> ved </w:t>
      </w:r>
      <w:proofErr w:type="spellStart"/>
      <w:r w:rsidRPr="00B808B2">
        <w:rPr>
          <w:bCs/>
          <w:i/>
          <w:sz w:val="24"/>
          <w:szCs w:val="24"/>
        </w:rPr>
        <w:t>gastroøsofageal</w:t>
      </w:r>
      <w:proofErr w:type="spellEnd"/>
      <w:r w:rsidRPr="00B808B2">
        <w:rPr>
          <w:bCs/>
          <w:i/>
          <w:sz w:val="24"/>
          <w:szCs w:val="24"/>
        </w:rPr>
        <w:t xml:space="preserve"> </w:t>
      </w:r>
      <w:proofErr w:type="spellStart"/>
      <w:r w:rsidRPr="00B808B2">
        <w:rPr>
          <w:bCs/>
          <w:i/>
          <w:sz w:val="24"/>
          <w:szCs w:val="24"/>
        </w:rPr>
        <w:t>reflukssygdom</w:t>
      </w:r>
      <w:proofErr w:type="spellEnd"/>
      <w:r w:rsidRPr="00B808B2">
        <w:rPr>
          <w:bCs/>
          <w:i/>
          <w:sz w:val="24"/>
          <w:szCs w:val="24"/>
        </w:rPr>
        <w:t xml:space="preserve">: </w:t>
      </w:r>
      <w:r w:rsidRPr="00B808B2">
        <w:rPr>
          <w:bCs/>
          <w:sz w:val="24"/>
          <w:szCs w:val="24"/>
        </w:rPr>
        <w:t>Behandlingstiden er 2-4 uger. Hvis symptomkontrol ikke er opnået efter 2-4 uger, bør patienten undersøges yderligere.</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u w:val="single"/>
        </w:rPr>
        <w:t>Børn og unge over 4 år</w:t>
      </w:r>
    </w:p>
    <w:p w:rsidR="00037C49" w:rsidRPr="00B808B2" w:rsidRDefault="00037C49" w:rsidP="00037C49">
      <w:pPr>
        <w:shd w:val="clear" w:color="auto" w:fill="FFFFFF"/>
        <w:ind w:left="851"/>
        <w:rPr>
          <w:bCs/>
          <w:sz w:val="24"/>
          <w:szCs w:val="24"/>
        </w:rPr>
      </w:pPr>
      <w:r w:rsidRPr="00B808B2">
        <w:rPr>
          <w:bCs/>
          <w:i/>
          <w:sz w:val="24"/>
          <w:szCs w:val="24"/>
        </w:rPr>
        <w:t xml:space="preserve">Behandling af </w:t>
      </w:r>
      <w:proofErr w:type="spellStart"/>
      <w:r w:rsidRPr="00B808B2">
        <w:rPr>
          <w:bCs/>
          <w:i/>
          <w:sz w:val="24"/>
          <w:szCs w:val="24"/>
        </w:rPr>
        <w:t>duodenalt</w:t>
      </w:r>
      <w:proofErr w:type="spellEnd"/>
      <w:r w:rsidRPr="00B808B2">
        <w:rPr>
          <w:bCs/>
          <w:i/>
          <w:sz w:val="24"/>
          <w:szCs w:val="24"/>
        </w:rPr>
        <w:t xml:space="preserve"> ulcus forårsaget af H. </w:t>
      </w:r>
      <w:proofErr w:type="spellStart"/>
      <w:r w:rsidRPr="00B808B2">
        <w:rPr>
          <w:bCs/>
          <w:i/>
          <w:sz w:val="24"/>
          <w:szCs w:val="24"/>
        </w:rPr>
        <w:t>pylori</w:t>
      </w:r>
      <w:proofErr w:type="spellEnd"/>
    </w:p>
    <w:p w:rsidR="00037C49" w:rsidRPr="00B808B2" w:rsidRDefault="00037C49" w:rsidP="00037C49">
      <w:pPr>
        <w:shd w:val="clear" w:color="auto" w:fill="FFFFFF"/>
        <w:ind w:left="851"/>
        <w:rPr>
          <w:bCs/>
          <w:sz w:val="24"/>
          <w:szCs w:val="24"/>
        </w:rPr>
      </w:pPr>
      <w:r w:rsidRPr="00B808B2">
        <w:rPr>
          <w:bCs/>
          <w:sz w:val="24"/>
          <w:szCs w:val="24"/>
        </w:rPr>
        <w:t>Ved valg af relevant kombinationsbehandling bør officielle nationale, regionale og lokale vejledninger vedrørende bakteriel resistens, behandlingsvarighed (som oftest 7 dage men af og til op til 14 dage), og hensigtsmæssig brug af antibiotika tages i betragtning.</w:t>
      </w:r>
    </w:p>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left="851"/>
        <w:rPr>
          <w:bCs/>
          <w:sz w:val="24"/>
          <w:szCs w:val="24"/>
        </w:rPr>
      </w:pPr>
      <w:r w:rsidRPr="00B808B2">
        <w:rPr>
          <w:bCs/>
          <w:sz w:val="24"/>
          <w:szCs w:val="24"/>
        </w:rPr>
        <w:t xml:space="preserve">Behandlingen bør foregå under supervision af en specialist. </w:t>
      </w:r>
    </w:p>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firstLine="851"/>
        <w:rPr>
          <w:bCs/>
          <w:sz w:val="24"/>
          <w:szCs w:val="24"/>
        </w:rPr>
      </w:pPr>
      <w:r w:rsidRPr="00B808B2">
        <w:rPr>
          <w:bCs/>
          <w:sz w:val="24"/>
          <w:szCs w:val="24"/>
        </w:rPr>
        <w:t>Doseringsanbefalinger:</w:t>
      </w:r>
    </w:p>
    <w:tbl>
      <w:tblPr>
        <w:tblW w:w="88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6"/>
      </w:tblGrid>
      <w:tr w:rsidR="00037C49" w:rsidRPr="00B808B2" w:rsidTr="000E5510">
        <w:tc>
          <w:tcPr>
            <w:tcW w:w="1276" w:type="dxa"/>
          </w:tcPr>
          <w:p w:rsidR="00037C49" w:rsidRPr="00B808B2" w:rsidRDefault="00037C49" w:rsidP="00D123CD">
            <w:pPr>
              <w:shd w:val="clear" w:color="auto" w:fill="FFFFFF"/>
              <w:rPr>
                <w:bCs/>
                <w:sz w:val="24"/>
                <w:szCs w:val="24"/>
              </w:rPr>
            </w:pPr>
            <w:r w:rsidRPr="00B808B2">
              <w:rPr>
                <w:bCs/>
                <w:sz w:val="24"/>
                <w:szCs w:val="24"/>
              </w:rPr>
              <w:t>Vægt</w:t>
            </w:r>
          </w:p>
        </w:tc>
        <w:tc>
          <w:tcPr>
            <w:tcW w:w="7546" w:type="dxa"/>
          </w:tcPr>
          <w:p w:rsidR="00037C49" w:rsidRPr="00B808B2" w:rsidRDefault="00037C49" w:rsidP="00D123CD">
            <w:pPr>
              <w:shd w:val="clear" w:color="auto" w:fill="FFFFFF"/>
              <w:rPr>
                <w:bCs/>
                <w:sz w:val="24"/>
                <w:szCs w:val="24"/>
              </w:rPr>
            </w:pPr>
            <w:r w:rsidRPr="00B808B2">
              <w:rPr>
                <w:spacing w:val="-1"/>
                <w:sz w:val="24"/>
                <w:szCs w:val="24"/>
              </w:rPr>
              <w:t>D</w:t>
            </w:r>
            <w:r w:rsidRPr="00B808B2">
              <w:rPr>
                <w:sz w:val="24"/>
                <w:szCs w:val="24"/>
              </w:rPr>
              <w:t>o</w:t>
            </w:r>
            <w:r w:rsidRPr="00B808B2">
              <w:rPr>
                <w:spacing w:val="1"/>
                <w:sz w:val="24"/>
                <w:szCs w:val="24"/>
              </w:rPr>
              <w:t>se</w:t>
            </w:r>
            <w:r w:rsidRPr="00B808B2">
              <w:rPr>
                <w:spacing w:val="-1"/>
                <w:sz w:val="24"/>
                <w:szCs w:val="24"/>
              </w:rPr>
              <w:t>r</w:t>
            </w:r>
            <w:r w:rsidRPr="00B808B2">
              <w:rPr>
                <w:spacing w:val="1"/>
                <w:sz w:val="24"/>
                <w:szCs w:val="24"/>
              </w:rPr>
              <w:t>i</w:t>
            </w:r>
            <w:r w:rsidRPr="00B808B2">
              <w:rPr>
                <w:sz w:val="24"/>
                <w:szCs w:val="24"/>
              </w:rPr>
              <w:t>ng</w:t>
            </w:r>
          </w:p>
          <w:p w:rsidR="00037C49" w:rsidRPr="00B808B2" w:rsidRDefault="00037C49" w:rsidP="00D123CD">
            <w:pPr>
              <w:shd w:val="clear" w:color="auto" w:fill="FFFFFF"/>
              <w:rPr>
                <w:bCs/>
                <w:sz w:val="24"/>
                <w:szCs w:val="24"/>
              </w:rPr>
            </w:pPr>
          </w:p>
        </w:tc>
      </w:tr>
      <w:tr w:rsidR="00037C49" w:rsidRPr="00B808B2" w:rsidTr="000E5510">
        <w:tc>
          <w:tcPr>
            <w:tcW w:w="1276" w:type="dxa"/>
          </w:tcPr>
          <w:p w:rsidR="00037C49" w:rsidRPr="00B808B2" w:rsidRDefault="00037C49" w:rsidP="00D123CD">
            <w:pPr>
              <w:shd w:val="clear" w:color="auto" w:fill="FFFFFF"/>
              <w:rPr>
                <w:bCs/>
                <w:sz w:val="24"/>
                <w:szCs w:val="24"/>
              </w:rPr>
            </w:pPr>
            <w:r w:rsidRPr="00B808B2">
              <w:rPr>
                <w:bCs/>
                <w:sz w:val="24"/>
                <w:szCs w:val="24"/>
              </w:rPr>
              <w:t>15–30 kg</w:t>
            </w:r>
          </w:p>
        </w:tc>
        <w:tc>
          <w:tcPr>
            <w:tcW w:w="7546" w:type="dxa"/>
          </w:tcPr>
          <w:p w:rsidR="00037C49" w:rsidRPr="00B808B2" w:rsidRDefault="00037C49" w:rsidP="00D123CD">
            <w:pPr>
              <w:shd w:val="clear" w:color="auto" w:fill="FFFFFF"/>
              <w:rPr>
                <w:bCs/>
                <w:sz w:val="24"/>
                <w:szCs w:val="24"/>
              </w:rPr>
            </w:pPr>
            <w:r w:rsidRPr="00B808B2">
              <w:rPr>
                <w:bCs/>
                <w:sz w:val="24"/>
                <w:szCs w:val="24"/>
              </w:rPr>
              <w:t xml:space="preserve">Kombination med to antibiotika: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10 mg, </w:t>
            </w:r>
            <w:proofErr w:type="spellStart"/>
            <w:r w:rsidRPr="00B808B2">
              <w:rPr>
                <w:bCs/>
                <w:sz w:val="24"/>
                <w:szCs w:val="24"/>
              </w:rPr>
              <w:t>amoxicillin</w:t>
            </w:r>
            <w:proofErr w:type="spellEnd"/>
            <w:r w:rsidRPr="00B808B2">
              <w:rPr>
                <w:bCs/>
                <w:sz w:val="24"/>
                <w:szCs w:val="24"/>
              </w:rPr>
              <w:t xml:space="preserve"> 25 mg/kg legemsvægt og </w:t>
            </w:r>
            <w:proofErr w:type="spellStart"/>
            <w:r w:rsidRPr="00B808B2">
              <w:rPr>
                <w:bCs/>
                <w:sz w:val="24"/>
                <w:szCs w:val="24"/>
              </w:rPr>
              <w:t>clarithromycin</w:t>
            </w:r>
            <w:proofErr w:type="spellEnd"/>
            <w:r w:rsidRPr="00B808B2">
              <w:rPr>
                <w:bCs/>
                <w:sz w:val="24"/>
                <w:szCs w:val="24"/>
              </w:rPr>
              <w:t xml:space="preserve"> 7,5 mg/kg legemsvægt gives samtidigt to gange </w:t>
            </w:r>
            <w:r>
              <w:rPr>
                <w:bCs/>
                <w:sz w:val="24"/>
                <w:szCs w:val="24"/>
              </w:rPr>
              <w:t>daglig</w:t>
            </w:r>
            <w:r w:rsidRPr="00B808B2">
              <w:rPr>
                <w:bCs/>
                <w:sz w:val="24"/>
                <w:szCs w:val="24"/>
              </w:rPr>
              <w:t xml:space="preserve"> i en uge</w:t>
            </w:r>
          </w:p>
        </w:tc>
      </w:tr>
      <w:tr w:rsidR="00037C49" w:rsidRPr="00B808B2" w:rsidTr="000E5510">
        <w:tc>
          <w:tcPr>
            <w:tcW w:w="1276" w:type="dxa"/>
          </w:tcPr>
          <w:p w:rsidR="00037C49" w:rsidRPr="00B808B2" w:rsidRDefault="00037C49" w:rsidP="00D123CD">
            <w:pPr>
              <w:shd w:val="clear" w:color="auto" w:fill="FFFFFF"/>
              <w:rPr>
                <w:bCs/>
                <w:sz w:val="24"/>
                <w:szCs w:val="24"/>
              </w:rPr>
            </w:pPr>
            <w:r w:rsidRPr="00B808B2">
              <w:rPr>
                <w:bCs/>
                <w:sz w:val="24"/>
                <w:szCs w:val="24"/>
              </w:rPr>
              <w:t>30–40 kg</w:t>
            </w:r>
          </w:p>
        </w:tc>
        <w:tc>
          <w:tcPr>
            <w:tcW w:w="7546" w:type="dxa"/>
          </w:tcPr>
          <w:p w:rsidR="00037C49" w:rsidRPr="00B808B2" w:rsidRDefault="00037C49" w:rsidP="00D123CD">
            <w:pPr>
              <w:shd w:val="clear" w:color="auto" w:fill="FFFFFF"/>
              <w:rPr>
                <w:bCs/>
                <w:sz w:val="24"/>
                <w:szCs w:val="24"/>
              </w:rPr>
            </w:pPr>
            <w:r w:rsidRPr="00B808B2">
              <w:rPr>
                <w:bCs/>
                <w:sz w:val="24"/>
                <w:szCs w:val="24"/>
              </w:rPr>
              <w:t xml:space="preserve">Kombination med to antibiotika: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20 mg, </w:t>
            </w:r>
            <w:proofErr w:type="spellStart"/>
            <w:r w:rsidRPr="00B808B2">
              <w:rPr>
                <w:bCs/>
                <w:sz w:val="24"/>
                <w:szCs w:val="24"/>
              </w:rPr>
              <w:t>amoxicillin</w:t>
            </w:r>
            <w:proofErr w:type="spellEnd"/>
            <w:r w:rsidRPr="00B808B2">
              <w:rPr>
                <w:bCs/>
                <w:sz w:val="24"/>
                <w:szCs w:val="24"/>
              </w:rPr>
              <w:t xml:space="preserve"> 750 mg og </w:t>
            </w:r>
            <w:proofErr w:type="spellStart"/>
            <w:r w:rsidRPr="00B808B2">
              <w:rPr>
                <w:bCs/>
                <w:sz w:val="24"/>
                <w:szCs w:val="24"/>
              </w:rPr>
              <w:t>clarithromycin</w:t>
            </w:r>
            <w:proofErr w:type="spellEnd"/>
            <w:r w:rsidRPr="00B808B2">
              <w:rPr>
                <w:bCs/>
                <w:sz w:val="24"/>
                <w:szCs w:val="24"/>
              </w:rPr>
              <w:t xml:space="preserve"> 7,5 mg/kg legemsvægt gives alle to gange </w:t>
            </w:r>
            <w:r>
              <w:rPr>
                <w:bCs/>
                <w:sz w:val="24"/>
                <w:szCs w:val="24"/>
              </w:rPr>
              <w:t>daglig</w:t>
            </w:r>
            <w:r w:rsidRPr="00B808B2">
              <w:rPr>
                <w:bCs/>
                <w:sz w:val="24"/>
                <w:szCs w:val="24"/>
              </w:rPr>
              <w:t xml:space="preserve"> i en uge</w:t>
            </w:r>
          </w:p>
        </w:tc>
      </w:tr>
      <w:tr w:rsidR="00037C49" w:rsidRPr="00B808B2" w:rsidTr="000E5510">
        <w:tc>
          <w:tcPr>
            <w:tcW w:w="1276" w:type="dxa"/>
          </w:tcPr>
          <w:p w:rsidR="00037C49" w:rsidRPr="00B808B2" w:rsidRDefault="00037C49" w:rsidP="00D123CD">
            <w:pPr>
              <w:shd w:val="clear" w:color="auto" w:fill="FFFFFF"/>
              <w:rPr>
                <w:bCs/>
                <w:sz w:val="24"/>
                <w:szCs w:val="24"/>
              </w:rPr>
            </w:pPr>
            <w:r w:rsidRPr="00B808B2">
              <w:rPr>
                <w:bCs/>
                <w:sz w:val="24"/>
                <w:szCs w:val="24"/>
              </w:rPr>
              <w:t>&gt; 40 kg</w:t>
            </w:r>
          </w:p>
        </w:tc>
        <w:tc>
          <w:tcPr>
            <w:tcW w:w="7546" w:type="dxa"/>
          </w:tcPr>
          <w:p w:rsidR="00037C49" w:rsidRPr="00B808B2" w:rsidRDefault="00037C49" w:rsidP="00D123CD">
            <w:pPr>
              <w:shd w:val="clear" w:color="auto" w:fill="FFFFFF"/>
              <w:rPr>
                <w:bCs/>
                <w:sz w:val="24"/>
                <w:szCs w:val="24"/>
              </w:rPr>
            </w:pPr>
            <w:r w:rsidRPr="00B808B2">
              <w:rPr>
                <w:spacing w:val="1"/>
                <w:sz w:val="24"/>
                <w:szCs w:val="24"/>
              </w:rPr>
              <w:t>K</w:t>
            </w:r>
            <w:r w:rsidRPr="00B808B2">
              <w:rPr>
                <w:sz w:val="24"/>
                <w:szCs w:val="24"/>
              </w:rPr>
              <w:t>o</w:t>
            </w:r>
            <w:r w:rsidRPr="00B808B2">
              <w:rPr>
                <w:spacing w:val="-4"/>
                <w:sz w:val="24"/>
                <w:szCs w:val="24"/>
              </w:rPr>
              <w:t>m</w:t>
            </w:r>
            <w:r w:rsidRPr="00B808B2">
              <w:rPr>
                <w:sz w:val="24"/>
                <w:szCs w:val="24"/>
              </w:rPr>
              <w:t>bina</w:t>
            </w:r>
            <w:r w:rsidRPr="00B808B2">
              <w:rPr>
                <w:spacing w:val="-1"/>
                <w:sz w:val="24"/>
                <w:szCs w:val="24"/>
              </w:rPr>
              <w:t>t</w:t>
            </w:r>
            <w:r w:rsidRPr="00B808B2">
              <w:rPr>
                <w:sz w:val="24"/>
                <w:szCs w:val="24"/>
              </w:rPr>
              <w:t>ion</w:t>
            </w:r>
            <w:r w:rsidRPr="00B808B2">
              <w:rPr>
                <w:spacing w:val="1"/>
                <w:sz w:val="24"/>
                <w:szCs w:val="24"/>
              </w:rPr>
              <w:t xml:space="preserve"> </w:t>
            </w:r>
            <w:r w:rsidRPr="00B808B2">
              <w:rPr>
                <w:spacing w:val="-4"/>
                <w:sz w:val="24"/>
                <w:szCs w:val="24"/>
              </w:rPr>
              <w:t>m</w:t>
            </w:r>
            <w:r w:rsidRPr="00B808B2">
              <w:rPr>
                <w:sz w:val="24"/>
                <w:szCs w:val="24"/>
              </w:rPr>
              <w:t>ed</w:t>
            </w:r>
            <w:r w:rsidRPr="00B808B2">
              <w:rPr>
                <w:spacing w:val="1"/>
                <w:sz w:val="24"/>
                <w:szCs w:val="24"/>
              </w:rPr>
              <w:t xml:space="preserve"> </w:t>
            </w:r>
            <w:r w:rsidRPr="00B808B2">
              <w:rPr>
                <w:sz w:val="24"/>
                <w:szCs w:val="24"/>
              </w:rPr>
              <w:t>to</w:t>
            </w:r>
            <w:r w:rsidRPr="00B808B2">
              <w:rPr>
                <w:spacing w:val="-2"/>
                <w:sz w:val="24"/>
                <w:szCs w:val="24"/>
              </w:rPr>
              <w:t xml:space="preserve"> </w:t>
            </w:r>
            <w:r w:rsidRPr="00B808B2">
              <w:rPr>
                <w:sz w:val="24"/>
                <w:szCs w:val="24"/>
              </w:rPr>
              <w:t>an</w:t>
            </w:r>
            <w:r w:rsidRPr="00B808B2">
              <w:rPr>
                <w:spacing w:val="-1"/>
                <w:sz w:val="24"/>
                <w:szCs w:val="24"/>
              </w:rPr>
              <w:t>t</w:t>
            </w:r>
            <w:r w:rsidRPr="00B808B2">
              <w:rPr>
                <w:spacing w:val="1"/>
                <w:sz w:val="24"/>
                <w:szCs w:val="24"/>
              </w:rPr>
              <w:t>i</w:t>
            </w:r>
            <w:r w:rsidRPr="00B808B2">
              <w:rPr>
                <w:spacing w:val="-2"/>
                <w:sz w:val="24"/>
                <w:szCs w:val="24"/>
              </w:rPr>
              <w:t>b</w:t>
            </w:r>
            <w:r w:rsidRPr="00B808B2">
              <w:rPr>
                <w:spacing w:val="-1"/>
                <w:sz w:val="24"/>
                <w:szCs w:val="24"/>
              </w:rPr>
              <w:t>i</w:t>
            </w:r>
            <w:r w:rsidRPr="00B808B2">
              <w:rPr>
                <w:sz w:val="24"/>
                <w:szCs w:val="24"/>
              </w:rPr>
              <w:t>oti</w:t>
            </w:r>
            <w:r w:rsidRPr="00B808B2">
              <w:rPr>
                <w:spacing w:val="-2"/>
                <w:sz w:val="24"/>
                <w:szCs w:val="24"/>
              </w:rPr>
              <w:t>k</w:t>
            </w:r>
            <w:r w:rsidRPr="00B808B2">
              <w:rPr>
                <w:sz w:val="24"/>
                <w:szCs w:val="24"/>
              </w:rPr>
              <w:t>a:</w:t>
            </w:r>
            <w:r w:rsidRPr="00B808B2">
              <w:rPr>
                <w:spacing w:val="1"/>
                <w:sz w:val="24"/>
                <w:szCs w:val="24"/>
              </w:rPr>
              <w:t xml:space="preserve"> </w:t>
            </w:r>
            <w:proofErr w:type="spellStart"/>
            <w:r w:rsidR="00D123CD">
              <w:rPr>
                <w:bCs/>
                <w:sz w:val="24"/>
                <w:szCs w:val="24"/>
              </w:rPr>
              <w:t>Omeprazol</w:t>
            </w:r>
            <w:proofErr w:type="spellEnd"/>
            <w:r w:rsidR="00D123CD">
              <w:rPr>
                <w:bCs/>
                <w:sz w:val="24"/>
                <w:szCs w:val="24"/>
              </w:rPr>
              <w:t xml:space="preserve"> "</w:t>
            </w:r>
            <w:proofErr w:type="spellStart"/>
            <w:r w:rsidR="00D123CD">
              <w:rPr>
                <w:bCs/>
                <w:sz w:val="24"/>
                <w:szCs w:val="24"/>
              </w:rPr>
              <w:t>Amarox</w:t>
            </w:r>
            <w:proofErr w:type="spellEnd"/>
            <w:r w:rsidR="00D123CD">
              <w:rPr>
                <w:bCs/>
                <w:sz w:val="24"/>
                <w:szCs w:val="24"/>
              </w:rPr>
              <w:t>"</w:t>
            </w:r>
            <w:r w:rsidRPr="00B808B2">
              <w:rPr>
                <w:bCs/>
                <w:sz w:val="24"/>
                <w:szCs w:val="24"/>
              </w:rPr>
              <w:t xml:space="preserve"> </w:t>
            </w:r>
            <w:r w:rsidRPr="00B808B2">
              <w:rPr>
                <w:sz w:val="24"/>
                <w:szCs w:val="24"/>
              </w:rPr>
              <w:t>20</w:t>
            </w:r>
            <w:r w:rsidRPr="00B808B2">
              <w:rPr>
                <w:spacing w:val="1"/>
                <w:sz w:val="24"/>
                <w:szCs w:val="24"/>
              </w:rPr>
              <w:t xml:space="preserve"> </w:t>
            </w:r>
            <w:r w:rsidRPr="00B808B2">
              <w:rPr>
                <w:spacing w:val="-4"/>
                <w:sz w:val="24"/>
                <w:szCs w:val="24"/>
              </w:rPr>
              <w:t>m</w:t>
            </w:r>
            <w:r w:rsidRPr="00B808B2">
              <w:rPr>
                <w:spacing w:val="-2"/>
                <w:sz w:val="24"/>
                <w:szCs w:val="24"/>
              </w:rPr>
              <w:t>g</w:t>
            </w:r>
            <w:r w:rsidRPr="00B808B2">
              <w:rPr>
                <w:sz w:val="24"/>
                <w:szCs w:val="24"/>
              </w:rPr>
              <w:t>,</w:t>
            </w:r>
            <w:r w:rsidRPr="00B808B2">
              <w:rPr>
                <w:spacing w:val="1"/>
                <w:sz w:val="24"/>
                <w:szCs w:val="24"/>
              </w:rPr>
              <w:t xml:space="preserve"> </w:t>
            </w:r>
            <w:proofErr w:type="spellStart"/>
            <w:r w:rsidRPr="00B808B2">
              <w:rPr>
                <w:spacing w:val="3"/>
                <w:sz w:val="24"/>
                <w:szCs w:val="24"/>
              </w:rPr>
              <w:t>a</w:t>
            </w:r>
            <w:r w:rsidRPr="00B808B2">
              <w:rPr>
                <w:spacing w:val="-4"/>
                <w:sz w:val="24"/>
                <w:szCs w:val="24"/>
              </w:rPr>
              <w:t>m</w:t>
            </w:r>
            <w:r w:rsidRPr="00B808B2">
              <w:rPr>
                <w:sz w:val="24"/>
                <w:szCs w:val="24"/>
              </w:rPr>
              <w:t>oxici</w:t>
            </w:r>
            <w:r w:rsidRPr="00B808B2">
              <w:rPr>
                <w:spacing w:val="-1"/>
                <w:sz w:val="24"/>
                <w:szCs w:val="24"/>
              </w:rPr>
              <w:t>l</w:t>
            </w:r>
            <w:r w:rsidRPr="00B808B2">
              <w:rPr>
                <w:sz w:val="24"/>
                <w:szCs w:val="24"/>
              </w:rPr>
              <w:t>lin</w:t>
            </w:r>
            <w:proofErr w:type="spellEnd"/>
            <w:r w:rsidRPr="00B808B2">
              <w:rPr>
                <w:spacing w:val="-2"/>
                <w:sz w:val="24"/>
                <w:szCs w:val="24"/>
              </w:rPr>
              <w:t xml:space="preserve"> </w:t>
            </w:r>
            <w:r w:rsidRPr="00B808B2">
              <w:rPr>
                <w:sz w:val="24"/>
                <w:szCs w:val="24"/>
              </w:rPr>
              <w:t>1</w:t>
            </w:r>
            <w:r w:rsidRPr="00B808B2">
              <w:rPr>
                <w:spacing w:val="1"/>
                <w:sz w:val="24"/>
                <w:szCs w:val="24"/>
              </w:rPr>
              <w:t xml:space="preserve"> </w:t>
            </w:r>
            <w:r w:rsidRPr="00B808B2">
              <w:rPr>
                <w:sz w:val="24"/>
                <w:szCs w:val="24"/>
              </w:rPr>
              <w:t>g</w:t>
            </w:r>
            <w:r w:rsidRPr="00B808B2">
              <w:rPr>
                <w:spacing w:val="-2"/>
                <w:sz w:val="24"/>
                <w:szCs w:val="24"/>
              </w:rPr>
              <w:t xml:space="preserve"> </w:t>
            </w:r>
            <w:r w:rsidRPr="00B808B2">
              <w:rPr>
                <w:sz w:val="24"/>
                <w:szCs w:val="24"/>
              </w:rPr>
              <w:t>og</w:t>
            </w:r>
            <w:r w:rsidRPr="00B808B2">
              <w:rPr>
                <w:spacing w:val="-2"/>
                <w:sz w:val="24"/>
                <w:szCs w:val="24"/>
              </w:rPr>
              <w:t xml:space="preserve"> </w:t>
            </w:r>
            <w:proofErr w:type="spellStart"/>
            <w:r w:rsidRPr="00B808B2">
              <w:rPr>
                <w:sz w:val="24"/>
                <w:szCs w:val="24"/>
              </w:rPr>
              <w:t>clar</w:t>
            </w:r>
            <w:r w:rsidRPr="00B808B2">
              <w:rPr>
                <w:spacing w:val="-1"/>
                <w:sz w:val="24"/>
                <w:szCs w:val="24"/>
              </w:rPr>
              <w:t>i</w:t>
            </w:r>
            <w:r w:rsidRPr="00B808B2">
              <w:rPr>
                <w:spacing w:val="1"/>
                <w:sz w:val="24"/>
                <w:szCs w:val="24"/>
              </w:rPr>
              <w:t>t</w:t>
            </w:r>
            <w:r w:rsidRPr="00B808B2">
              <w:rPr>
                <w:spacing w:val="-2"/>
                <w:sz w:val="24"/>
                <w:szCs w:val="24"/>
              </w:rPr>
              <w:t>h</w:t>
            </w:r>
            <w:r w:rsidRPr="00B808B2">
              <w:rPr>
                <w:spacing w:val="1"/>
                <w:sz w:val="24"/>
                <w:szCs w:val="24"/>
              </w:rPr>
              <w:t>r</w:t>
            </w:r>
            <w:r w:rsidRPr="00B808B2">
              <w:rPr>
                <w:sz w:val="24"/>
                <w:szCs w:val="24"/>
              </w:rPr>
              <w:t>o</w:t>
            </w:r>
            <w:r w:rsidRPr="00B808B2">
              <w:rPr>
                <w:spacing w:val="-4"/>
                <w:sz w:val="24"/>
                <w:szCs w:val="24"/>
              </w:rPr>
              <w:t>m</w:t>
            </w:r>
            <w:r w:rsidRPr="00B808B2">
              <w:rPr>
                <w:spacing w:val="-2"/>
                <w:sz w:val="24"/>
                <w:szCs w:val="24"/>
              </w:rPr>
              <w:t>y</w:t>
            </w:r>
            <w:r w:rsidRPr="00B808B2">
              <w:rPr>
                <w:sz w:val="24"/>
                <w:szCs w:val="24"/>
              </w:rPr>
              <w:t>cin</w:t>
            </w:r>
            <w:proofErr w:type="spellEnd"/>
            <w:r w:rsidRPr="00B808B2">
              <w:rPr>
                <w:sz w:val="24"/>
                <w:szCs w:val="24"/>
              </w:rPr>
              <w:t xml:space="preserve"> 500</w:t>
            </w:r>
            <w:r w:rsidRPr="00B808B2">
              <w:rPr>
                <w:spacing w:val="1"/>
                <w:sz w:val="24"/>
                <w:szCs w:val="24"/>
              </w:rPr>
              <w:t xml:space="preserve"> </w:t>
            </w:r>
            <w:r w:rsidRPr="00B808B2">
              <w:rPr>
                <w:spacing w:val="-1"/>
                <w:sz w:val="24"/>
                <w:szCs w:val="24"/>
              </w:rPr>
              <w:t>m</w:t>
            </w:r>
            <w:r w:rsidRPr="00B808B2">
              <w:rPr>
                <w:sz w:val="24"/>
                <w:szCs w:val="24"/>
              </w:rPr>
              <w:t>g</w:t>
            </w:r>
            <w:r w:rsidRPr="00B808B2">
              <w:rPr>
                <w:spacing w:val="-2"/>
                <w:sz w:val="24"/>
                <w:szCs w:val="24"/>
              </w:rPr>
              <w:t xml:space="preserve"> g</w:t>
            </w:r>
            <w:r w:rsidRPr="00B808B2">
              <w:rPr>
                <w:spacing w:val="4"/>
                <w:sz w:val="24"/>
                <w:szCs w:val="24"/>
              </w:rPr>
              <w:t>i</w:t>
            </w:r>
            <w:r w:rsidRPr="00B808B2">
              <w:rPr>
                <w:spacing w:val="-2"/>
                <w:sz w:val="24"/>
                <w:szCs w:val="24"/>
              </w:rPr>
              <w:t>v</w:t>
            </w:r>
            <w:r w:rsidRPr="00B808B2">
              <w:rPr>
                <w:sz w:val="24"/>
                <w:szCs w:val="24"/>
              </w:rPr>
              <w:t>es</w:t>
            </w:r>
            <w:r w:rsidRPr="00B808B2">
              <w:rPr>
                <w:spacing w:val="1"/>
                <w:sz w:val="24"/>
                <w:szCs w:val="24"/>
              </w:rPr>
              <w:t xml:space="preserve"> </w:t>
            </w:r>
            <w:r w:rsidRPr="00B808B2">
              <w:rPr>
                <w:sz w:val="24"/>
                <w:szCs w:val="24"/>
              </w:rPr>
              <w:t>al</w:t>
            </w:r>
            <w:r w:rsidRPr="00B808B2">
              <w:rPr>
                <w:spacing w:val="-1"/>
                <w:sz w:val="24"/>
                <w:szCs w:val="24"/>
              </w:rPr>
              <w:t>l</w:t>
            </w:r>
            <w:r w:rsidRPr="00B808B2">
              <w:rPr>
                <w:sz w:val="24"/>
                <w:szCs w:val="24"/>
              </w:rPr>
              <w:t>e</w:t>
            </w:r>
            <w:r w:rsidRPr="00B808B2">
              <w:rPr>
                <w:spacing w:val="1"/>
                <w:sz w:val="24"/>
                <w:szCs w:val="24"/>
              </w:rPr>
              <w:t xml:space="preserve"> </w:t>
            </w:r>
            <w:r w:rsidRPr="00B808B2">
              <w:rPr>
                <w:spacing w:val="-1"/>
                <w:sz w:val="24"/>
                <w:szCs w:val="24"/>
              </w:rPr>
              <w:t>t</w:t>
            </w:r>
            <w:r w:rsidRPr="00B808B2">
              <w:rPr>
                <w:sz w:val="24"/>
                <w:szCs w:val="24"/>
              </w:rPr>
              <w:t xml:space="preserve">o </w:t>
            </w:r>
            <w:r w:rsidRPr="00B808B2">
              <w:rPr>
                <w:spacing w:val="-2"/>
                <w:sz w:val="24"/>
                <w:szCs w:val="24"/>
              </w:rPr>
              <w:t>g</w:t>
            </w:r>
            <w:r w:rsidRPr="00B808B2">
              <w:rPr>
                <w:sz w:val="24"/>
                <w:szCs w:val="24"/>
              </w:rPr>
              <w:t>an</w:t>
            </w:r>
            <w:r w:rsidRPr="00B808B2">
              <w:rPr>
                <w:spacing w:val="-2"/>
                <w:sz w:val="24"/>
                <w:szCs w:val="24"/>
              </w:rPr>
              <w:t>g</w:t>
            </w:r>
            <w:r w:rsidRPr="00B808B2">
              <w:rPr>
                <w:sz w:val="24"/>
                <w:szCs w:val="24"/>
              </w:rPr>
              <w:t>e</w:t>
            </w:r>
            <w:r w:rsidRPr="00B808B2">
              <w:rPr>
                <w:spacing w:val="1"/>
                <w:sz w:val="24"/>
                <w:szCs w:val="24"/>
              </w:rPr>
              <w:t xml:space="preserve"> </w:t>
            </w:r>
            <w:r>
              <w:rPr>
                <w:sz w:val="24"/>
                <w:szCs w:val="24"/>
              </w:rPr>
              <w:t>daglig</w:t>
            </w:r>
            <w:r w:rsidRPr="00B808B2">
              <w:rPr>
                <w:spacing w:val="1"/>
                <w:sz w:val="24"/>
                <w:szCs w:val="24"/>
              </w:rPr>
              <w:t xml:space="preserve"> </w:t>
            </w:r>
            <w:r w:rsidRPr="00B808B2">
              <w:rPr>
                <w:sz w:val="24"/>
                <w:szCs w:val="24"/>
              </w:rPr>
              <w:t>i</w:t>
            </w:r>
            <w:r w:rsidRPr="00B808B2">
              <w:rPr>
                <w:spacing w:val="1"/>
                <w:sz w:val="24"/>
                <w:szCs w:val="24"/>
              </w:rPr>
              <w:t xml:space="preserve"> </w:t>
            </w:r>
            <w:r w:rsidRPr="00B808B2">
              <w:rPr>
                <w:spacing w:val="-2"/>
                <w:sz w:val="24"/>
                <w:szCs w:val="24"/>
              </w:rPr>
              <w:t>e</w:t>
            </w:r>
            <w:r w:rsidRPr="00B808B2">
              <w:rPr>
                <w:sz w:val="24"/>
                <w:szCs w:val="24"/>
              </w:rPr>
              <w:t>n u</w:t>
            </w:r>
            <w:r w:rsidRPr="00B808B2">
              <w:rPr>
                <w:spacing w:val="-2"/>
                <w:sz w:val="24"/>
                <w:szCs w:val="24"/>
              </w:rPr>
              <w:t>g</w:t>
            </w:r>
            <w:r w:rsidRPr="00B808B2">
              <w:rPr>
                <w:sz w:val="24"/>
                <w:szCs w:val="24"/>
              </w:rPr>
              <w:t>e</w:t>
            </w:r>
            <w:r w:rsidRPr="00B808B2">
              <w:rPr>
                <w:bCs/>
                <w:sz w:val="24"/>
                <w:szCs w:val="24"/>
              </w:rPr>
              <w:t>.</w:t>
            </w:r>
          </w:p>
        </w:tc>
      </w:tr>
    </w:tbl>
    <w:p w:rsidR="000E5510" w:rsidRDefault="000E5510" w:rsidP="00037C49">
      <w:pPr>
        <w:shd w:val="clear" w:color="auto" w:fill="FFFFFF"/>
        <w:rPr>
          <w:sz w:val="24"/>
          <w:szCs w:val="24"/>
        </w:rPr>
      </w:pPr>
    </w:p>
    <w:p w:rsidR="000E5510" w:rsidRDefault="000E5510">
      <w:pPr>
        <w:rPr>
          <w:sz w:val="24"/>
          <w:szCs w:val="24"/>
        </w:rPr>
      </w:pPr>
      <w:r>
        <w:rPr>
          <w:sz w:val="24"/>
          <w:szCs w:val="24"/>
        </w:rPr>
        <w:br w:type="page"/>
      </w:r>
    </w:p>
    <w:p w:rsidR="00037C49" w:rsidRDefault="00037C49" w:rsidP="00037C49">
      <w:pPr>
        <w:shd w:val="clear" w:color="auto" w:fill="FFFFFF"/>
        <w:rPr>
          <w:sz w:val="24"/>
          <w:szCs w:val="24"/>
        </w:rPr>
      </w:pPr>
    </w:p>
    <w:p w:rsidR="00037C49" w:rsidRPr="00B808B2" w:rsidRDefault="00037C49" w:rsidP="00037C49">
      <w:pPr>
        <w:shd w:val="clear" w:color="auto" w:fill="FFFFFF"/>
        <w:ind w:left="851"/>
        <w:rPr>
          <w:bCs/>
          <w:sz w:val="24"/>
          <w:szCs w:val="24"/>
          <w:u w:val="single"/>
        </w:rPr>
      </w:pPr>
      <w:r w:rsidRPr="00B808B2">
        <w:rPr>
          <w:bCs/>
          <w:sz w:val="24"/>
          <w:szCs w:val="24"/>
          <w:u w:val="single"/>
        </w:rPr>
        <w:t>Særlige patientgrupper</w:t>
      </w:r>
    </w:p>
    <w:p w:rsidR="00037C49" w:rsidRPr="00B808B2" w:rsidRDefault="00037C49" w:rsidP="00037C49">
      <w:pPr>
        <w:shd w:val="clear" w:color="auto" w:fill="FFFFFF"/>
        <w:ind w:left="851"/>
        <w:rPr>
          <w:bCs/>
          <w:i/>
          <w:sz w:val="24"/>
          <w:szCs w:val="24"/>
        </w:rPr>
      </w:pPr>
      <w:r w:rsidRPr="00B808B2">
        <w:rPr>
          <w:bCs/>
          <w:i/>
          <w:sz w:val="24"/>
          <w:szCs w:val="24"/>
        </w:rPr>
        <w:t>Nedsat nyrefunktion</w:t>
      </w:r>
    </w:p>
    <w:p w:rsidR="00037C49" w:rsidRPr="00B808B2" w:rsidRDefault="00037C49" w:rsidP="00037C49">
      <w:pPr>
        <w:shd w:val="clear" w:color="auto" w:fill="FFFFFF"/>
        <w:ind w:left="851"/>
        <w:rPr>
          <w:bCs/>
          <w:sz w:val="24"/>
          <w:szCs w:val="24"/>
        </w:rPr>
      </w:pPr>
      <w:r w:rsidRPr="00B808B2">
        <w:rPr>
          <w:bCs/>
          <w:sz w:val="24"/>
          <w:szCs w:val="24"/>
        </w:rPr>
        <w:t>Dosisjustering er ikke nødvendig hos patienter med nedsat nyrefunktion (se pkt. 5.2).</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Nedsat leverfunktion</w:t>
      </w:r>
    </w:p>
    <w:p w:rsidR="00037C49" w:rsidRPr="00B808B2" w:rsidRDefault="00037C49" w:rsidP="00037C49">
      <w:pPr>
        <w:shd w:val="clear" w:color="auto" w:fill="FFFFFF"/>
        <w:ind w:left="851"/>
        <w:rPr>
          <w:bCs/>
          <w:sz w:val="24"/>
          <w:szCs w:val="24"/>
        </w:rPr>
      </w:pPr>
      <w:r w:rsidRPr="00B808B2">
        <w:rPr>
          <w:bCs/>
          <w:sz w:val="24"/>
          <w:szCs w:val="24"/>
        </w:rPr>
        <w:t>Hos patienter med nedsat leverfunktion kan en daglig dosis på 10-20 mg være tilstrækkelig (se pkt. 5.2).</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i/>
          <w:sz w:val="24"/>
          <w:szCs w:val="24"/>
        </w:rPr>
        <w:t xml:space="preserve">Ældre </w:t>
      </w:r>
    </w:p>
    <w:p w:rsidR="00037C49" w:rsidRPr="00B808B2" w:rsidRDefault="00037C49" w:rsidP="00037C49">
      <w:pPr>
        <w:shd w:val="clear" w:color="auto" w:fill="FFFFFF"/>
        <w:ind w:left="851"/>
        <w:rPr>
          <w:bCs/>
          <w:sz w:val="24"/>
          <w:szCs w:val="24"/>
        </w:rPr>
      </w:pPr>
      <w:r w:rsidRPr="00B808B2">
        <w:rPr>
          <w:bCs/>
          <w:sz w:val="24"/>
          <w:szCs w:val="24"/>
        </w:rPr>
        <w:t>Dosisjustering er ikke nødvendig hos ældre (se pkt. 5.2).</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u w:val="single"/>
        </w:rPr>
      </w:pPr>
      <w:r w:rsidRPr="00B808B2">
        <w:rPr>
          <w:bCs/>
          <w:sz w:val="24"/>
          <w:szCs w:val="24"/>
          <w:u w:val="single"/>
        </w:rPr>
        <w:t>Administrationsmetode</w:t>
      </w:r>
    </w:p>
    <w:p w:rsidR="00037C49" w:rsidRPr="00B808B2" w:rsidRDefault="00037C49" w:rsidP="00037C49">
      <w:pPr>
        <w:shd w:val="clear" w:color="auto" w:fill="FFFFFF"/>
        <w:ind w:left="851"/>
        <w:rPr>
          <w:rFonts w:eastAsia="Calibri"/>
          <w:bCs/>
          <w:sz w:val="24"/>
          <w:szCs w:val="24"/>
          <w:lang w:eastAsia="da-DK" w:bidi="da-DK"/>
        </w:rPr>
      </w:pPr>
      <w:r w:rsidRPr="00B808B2">
        <w:rPr>
          <w:rFonts w:eastAsia="Calibri"/>
          <w:bCs/>
          <w:sz w:val="24"/>
          <w:szCs w:val="24"/>
          <w:lang w:eastAsia="da-DK" w:bidi="da-DK"/>
        </w:rPr>
        <w:t xml:space="preserve">Det anbefales at tage </w:t>
      </w:r>
      <w:proofErr w:type="spellStart"/>
      <w:r w:rsidR="00D123CD">
        <w:rPr>
          <w:rFonts w:eastAsia="Calibri"/>
          <w:bCs/>
          <w:sz w:val="24"/>
          <w:szCs w:val="24"/>
          <w:lang w:eastAsia="da-DK" w:bidi="da-DK"/>
        </w:rPr>
        <w:t>Omeprazol</w:t>
      </w:r>
      <w:proofErr w:type="spellEnd"/>
      <w:r w:rsidR="00D123CD">
        <w:rPr>
          <w:rFonts w:eastAsia="Calibri"/>
          <w:bCs/>
          <w:sz w:val="24"/>
          <w:szCs w:val="24"/>
          <w:lang w:eastAsia="da-DK" w:bidi="da-DK"/>
        </w:rPr>
        <w:t xml:space="preserve"> "</w:t>
      </w:r>
      <w:proofErr w:type="spellStart"/>
      <w:r w:rsidR="00D123CD">
        <w:rPr>
          <w:rFonts w:eastAsia="Calibri"/>
          <w:bCs/>
          <w:sz w:val="24"/>
          <w:szCs w:val="24"/>
          <w:lang w:eastAsia="da-DK" w:bidi="da-DK"/>
        </w:rPr>
        <w:t>Amarox</w:t>
      </w:r>
      <w:proofErr w:type="spellEnd"/>
      <w:r w:rsidR="00D123CD">
        <w:rPr>
          <w:rFonts w:eastAsia="Calibri"/>
          <w:bCs/>
          <w:sz w:val="24"/>
          <w:szCs w:val="24"/>
          <w:lang w:eastAsia="da-DK" w:bidi="da-DK"/>
        </w:rPr>
        <w:t>"</w:t>
      </w:r>
      <w:r w:rsidRPr="00B808B2">
        <w:rPr>
          <w:rFonts w:eastAsia="Calibri"/>
          <w:bCs/>
          <w:sz w:val="24"/>
          <w:szCs w:val="24"/>
          <w:lang w:eastAsia="da-DK" w:bidi="da-DK"/>
        </w:rPr>
        <w:t xml:space="preserve"> kaps</w:t>
      </w:r>
      <w:r>
        <w:rPr>
          <w:rFonts w:eastAsia="Calibri"/>
          <w:bCs/>
          <w:sz w:val="24"/>
          <w:szCs w:val="24"/>
          <w:lang w:eastAsia="da-DK" w:bidi="da-DK"/>
        </w:rPr>
        <w:t>lerne om morgenen</w:t>
      </w:r>
      <w:r w:rsidRPr="00B808B2">
        <w:rPr>
          <w:rFonts w:eastAsia="Calibri"/>
          <w:bCs/>
          <w:sz w:val="24"/>
          <w:szCs w:val="24"/>
          <w:lang w:eastAsia="da-DK" w:bidi="da-DK"/>
        </w:rPr>
        <w:t>. De synkes hele med et halvt glas vand. Kapslerne må ikke tygges elle</w:t>
      </w:r>
      <w:r>
        <w:rPr>
          <w:rFonts w:eastAsia="Calibri"/>
          <w:bCs/>
          <w:sz w:val="24"/>
          <w:szCs w:val="24"/>
          <w:lang w:eastAsia="da-DK" w:bidi="da-DK"/>
        </w:rPr>
        <w:t>r</w:t>
      </w:r>
      <w:r w:rsidRPr="00B808B2">
        <w:rPr>
          <w:rFonts w:eastAsia="Calibri"/>
          <w:bCs/>
          <w:sz w:val="24"/>
          <w:szCs w:val="24"/>
          <w:lang w:eastAsia="da-DK" w:bidi="da-DK"/>
        </w:rPr>
        <w:t xml:space="preserve"> knuses.</w:t>
      </w:r>
    </w:p>
    <w:p w:rsidR="00037C49" w:rsidRPr="00B808B2" w:rsidRDefault="00037C49" w:rsidP="00037C49">
      <w:pPr>
        <w:shd w:val="clear" w:color="auto" w:fill="FFFFFF"/>
        <w:ind w:left="851"/>
        <w:rPr>
          <w:rFonts w:eastAsia="Calibri"/>
          <w:bCs/>
          <w:sz w:val="24"/>
          <w:szCs w:val="24"/>
          <w:lang w:eastAsia="da-DK" w:bidi="da-DK"/>
        </w:rPr>
      </w:pPr>
    </w:p>
    <w:p w:rsidR="00037C49" w:rsidRPr="00B808B2" w:rsidRDefault="00037C49" w:rsidP="00037C49">
      <w:pPr>
        <w:shd w:val="clear" w:color="auto" w:fill="FFFFFF"/>
        <w:ind w:left="851"/>
        <w:rPr>
          <w:rFonts w:eastAsia="Calibri"/>
          <w:bCs/>
          <w:i/>
          <w:sz w:val="24"/>
          <w:szCs w:val="24"/>
          <w:lang w:eastAsia="da-DK" w:bidi="da-DK"/>
        </w:rPr>
      </w:pPr>
      <w:r w:rsidRPr="00B808B2">
        <w:rPr>
          <w:rFonts w:eastAsia="Calibri"/>
          <w:bCs/>
          <w:i/>
          <w:sz w:val="24"/>
          <w:szCs w:val="24"/>
          <w:lang w:eastAsia="da-DK" w:bidi="da-DK"/>
        </w:rPr>
        <w:t>Patienter der har svært ved at synke, og børn, der kan drikke eller synke halvfast føde</w:t>
      </w:r>
      <w:r w:rsidRPr="00B808B2">
        <w:rPr>
          <w:rFonts w:eastAsia="Calibri"/>
          <w:bCs/>
          <w:sz w:val="24"/>
          <w:szCs w:val="24"/>
          <w:lang w:eastAsia="da-DK" w:bidi="da-DK"/>
        </w:rPr>
        <w:t>:</w:t>
      </w:r>
    </w:p>
    <w:p w:rsidR="00037C49" w:rsidRDefault="00037C49" w:rsidP="00037C49">
      <w:pPr>
        <w:ind w:left="851"/>
        <w:rPr>
          <w:rFonts w:eastAsia="Calibri"/>
          <w:bCs/>
          <w:sz w:val="24"/>
          <w:szCs w:val="24"/>
          <w:lang w:eastAsia="da-DK" w:bidi="da-DK"/>
        </w:rPr>
      </w:pPr>
      <w:r w:rsidRPr="00B808B2">
        <w:rPr>
          <w:rFonts w:eastAsia="Calibri"/>
          <w:bCs/>
          <w:sz w:val="24"/>
          <w:szCs w:val="24"/>
          <w:lang w:eastAsia="da-DK" w:bidi="da-DK"/>
        </w:rPr>
        <w:t>Patienterne kan åbne kapslen og synke indholdet med et halvt glas vand. Indholdet kan også blandes med en svagt syreholdig væske som f.eks. frugtjuice, æblemos eller vand uden kulsyre. Patienterne bør instrueres i, at opslæmningen skal indtages med det samme (eller inden for 30 minutter) og</w:t>
      </w:r>
      <w:r>
        <w:rPr>
          <w:rFonts w:eastAsia="Calibri"/>
          <w:bCs/>
          <w:sz w:val="24"/>
          <w:szCs w:val="24"/>
          <w:lang w:eastAsia="da-DK" w:bidi="da-DK"/>
        </w:rPr>
        <w:t xml:space="preserve"> </w:t>
      </w:r>
      <w:r w:rsidRPr="00B808B2">
        <w:rPr>
          <w:rFonts w:eastAsia="Calibri"/>
          <w:bCs/>
          <w:sz w:val="24"/>
          <w:szCs w:val="24"/>
          <w:lang w:eastAsia="da-DK" w:bidi="da-DK"/>
        </w:rPr>
        <w:t>altid omrøres, umiddelbart før den drikkes. Glasset skal skylles efter med et halvt glas vand, som også drikkes.</w:t>
      </w:r>
    </w:p>
    <w:p w:rsidR="00037C49" w:rsidRPr="0017270C" w:rsidRDefault="00037C49" w:rsidP="00037C49">
      <w:pPr>
        <w:ind w:left="851"/>
        <w:rPr>
          <w:rFonts w:eastAsia="Calibri"/>
          <w:b/>
          <w:bCs/>
          <w:sz w:val="24"/>
          <w:szCs w:val="24"/>
          <w:lang w:eastAsia="da-DK" w:bidi="da-DK"/>
        </w:rPr>
      </w:pPr>
      <w:r w:rsidRPr="0017270C">
        <w:rPr>
          <w:rFonts w:eastAsia="Calibri"/>
          <w:b/>
          <w:bCs/>
          <w:sz w:val="24"/>
          <w:szCs w:val="24"/>
          <w:lang w:eastAsia="da-DK" w:bidi="da-DK"/>
        </w:rPr>
        <w:t>Brug IKKE mælk eller danskvand.</w:t>
      </w:r>
    </w:p>
    <w:p w:rsidR="00037C49" w:rsidRPr="00B808B2" w:rsidRDefault="00037C49" w:rsidP="00037C49">
      <w:pPr>
        <w:ind w:left="851"/>
        <w:rPr>
          <w:rFonts w:eastAsia="Calibri"/>
          <w:bCs/>
          <w:sz w:val="24"/>
          <w:szCs w:val="24"/>
          <w:lang w:eastAsia="da-DK" w:bidi="da-DK"/>
        </w:rPr>
      </w:pPr>
    </w:p>
    <w:p w:rsidR="00037C49" w:rsidRPr="00B808B2" w:rsidRDefault="00037C49" w:rsidP="00037C49">
      <w:pPr>
        <w:shd w:val="clear" w:color="auto" w:fill="FFFFFF"/>
        <w:ind w:left="851"/>
        <w:rPr>
          <w:bCs/>
          <w:sz w:val="24"/>
          <w:szCs w:val="24"/>
        </w:rPr>
      </w:pPr>
      <w:r w:rsidRPr="00B808B2">
        <w:rPr>
          <w:rFonts w:eastAsia="Calibri"/>
          <w:bCs/>
          <w:sz w:val="24"/>
          <w:szCs w:val="24"/>
          <w:lang w:eastAsia="da-DK" w:bidi="da-DK"/>
        </w:rPr>
        <w:t xml:space="preserve">Alternativt kan patienter sutte på kapslen og synke </w:t>
      </w:r>
      <w:proofErr w:type="spellStart"/>
      <w:r w:rsidRPr="00B808B2">
        <w:rPr>
          <w:rFonts w:eastAsia="Calibri"/>
          <w:bCs/>
          <w:sz w:val="24"/>
          <w:szCs w:val="24"/>
          <w:lang w:eastAsia="da-DK" w:bidi="da-DK"/>
        </w:rPr>
        <w:t>enterogranulatet</w:t>
      </w:r>
      <w:proofErr w:type="spellEnd"/>
      <w:r w:rsidRPr="00B808B2">
        <w:rPr>
          <w:rFonts w:eastAsia="Calibri"/>
          <w:bCs/>
          <w:sz w:val="24"/>
          <w:szCs w:val="24"/>
          <w:lang w:eastAsia="da-DK" w:bidi="da-DK"/>
        </w:rPr>
        <w:t xml:space="preserve"> med et halvt glas vand. </w:t>
      </w:r>
      <w:proofErr w:type="spellStart"/>
      <w:r w:rsidRPr="00B808B2">
        <w:rPr>
          <w:rFonts w:eastAsia="Calibri"/>
          <w:bCs/>
          <w:sz w:val="24"/>
          <w:szCs w:val="24"/>
          <w:lang w:eastAsia="da-DK" w:bidi="da-DK"/>
        </w:rPr>
        <w:t>Enterogranulatet</w:t>
      </w:r>
      <w:proofErr w:type="spellEnd"/>
      <w:r w:rsidRPr="00B808B2">
        <w:rPr>
          <w:rFonts w:eastAsia="Calibri"/>
          <w:bCs/>
          <w:sz w:val="24"/>
          <w:szCs w:val="24"/>
          <w:lang w:eastAsia="da-DK" w:bidi="da-DK"/>
        </w:rPr>
        <w:t xml:space="preserve"> må ikke tygges.</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4.3</w:t>
      </w:r>
      <w:r w:rsidRPr="00B808B2">
        <w:rPr>
          <w:b/>
          <w:sz w:val="24"/>
          <w:szCs w:val="24"/>
        </w:rPr>
        <w:tab/>
        <w:t>Kontraindikationer</w:t>
      </w:r>
    </w:p>
    <w:p w:rsidR="00037C49" w:rsidRPr="00B808B2" w:rsidRDefault="00037C49" w:rsidP="00037C49">
      <w:pPr>
        <w:shd w:val="clear" w:color="auto" w:fill="FFFFFF"/>
        <w:ind w:left="851"/>
        <w:rPr>
          <w:bCs/>
          <w:sz w:val="24"/>
          <w:szCs w:val="24"/>
        </w:rPr>
      </w:pPr>
      <w:r w:rsidRPr="00B808B2">
        <w:rPr>
          <w:bCs/>
          <w:sz w:val="24"/>
          <w:szCs w:val="24"/>
        </w:rPr>
        <w:t xml:space="preserve">Overfølsomhed over for </w:t>
      </w:r>
      <w:proofErr w:type="spellStart"/>
      <w:r w:rsidRPr="00B808B2">
        <w:rPr>
          <w:bCs/>
          <w:sz w:val="24"/>
          <w:szCs w:val="24"/>
        </w:rPr>
        <w:t>omeprazol</w:t>
      </w:r>
      <w:proofErr w:type="spellEnd"/>
      <w:r w:rsidRPr="00B808B2">
        <w:rPr>
          <w:bCs/>
          <w:sz w:val="24"/>
          <w:szCs w:val="24"/>
        </w:rPr>
        <w:t xml:space="preserve">, substituerede </w:t>
      </w:r>
      <w:proofErr w:type="spellStart"/>
      <w:r w:rsidRPr="00B808B2">
        <w:rPr>
          <w:bCs/>
          <w:sz w:val="24"/>
          <w:szCs w:val="24"/>
        </w:rPr>
        <w:t>benzimidazoler</w:t>
      </w:r>
      <w:proofErr w:type="spellEnd"/>
      <w:r w:rsidRPr="00B808B2">
        <w:rPr>
          <w:bCs/>
          <w:sz w:val="24"/>
          <w:szCs w:val="24"/>
        </w:rPr>
        <w:t xml:space="preserve"> eller over for et eller flere af hjælpestofferne</w:t>
      </w:r>
      <w:r>
        <w:rPr>
          <w:bCs/>
          <w:sz w:val="24"/>
          <w:szCs w:val="24"/>
        </w:rPr>
        <w:t xml:space="preserve"> </w:t>
      </w:r>
      <w:r>
        <w:rPr>
          <w:bCs/>
        </w:rPr>
        <w:t>(se pkt. 6.1)</w:t>
      </w:r>
      <w:r w:rsidRPr="00B808B2">
        <w:rPr>
          <w:bCs/>
          <w:sz w:val="24"/>
          <w:szCs w:val="24"/>
        </w:rPr>
        <w:t>.</w:t>
      </w:r>
    </w:p>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left="851"/>
        <w:rPr>
          <w:bCs/>
          <w:sz w:val="24"/>
          <w:szCs w:val="24"/>
        </w:rPr>
      </w:pPr>
      <w:r w:rsidRPr="00B808B2">
        <w:rPr>
          <w:bCs/>
          <w:sz w:val="24"/>
          <w:szCs w:val="24"/>
        </w:rPr>
        <w:t xml:space="preserve">Som andre </w:t>
      </w:r>
      <w:proofErr w:type="spellStart"/>
      <w:r w:rsidRPr="00B808B2">
        <w:rPr>
          <w:bCs/>
          <w:sz w:val="24"/>
          <w:szCs w:val="24"/>
        </w:rPr>
        <w:t>protonpumpehæmmere</w:t>
      </w:r>
      <w:proofErr w:type="spellEnd"/>
      <w:r w:rsidRPr="00B808B2">
        <w:rPr>
          <w:bCs/>
          <w:sz w:val="24"/>
          <w:szCs w:val="24"/>
        </w:rPr>
        <w:t xml:space="preserve"> må </w:t>
      </w:r>
      <w:proofErr w:type="spellStart"/>
      <w:r w:rsidRPr="00B808B2">
        <w:rPr>
          <w:bCs/>
          <w:sz w:val="24"/>
          <w:szCs w:val="24"/>
        </w:rPr>
        <w:t>omeprazol</w:t>
      </w:r>
      <w:proofErr w:type="spellEnd"/>
      <w:r w:rsidRPr="00B808B2">
        <w:rPr>
          <w:bCs/>
          <w:sz w:val="24"/>
          <w:szCs w:val="24"/>
        </w:rPr>
        <w:t xml:space="preserve"> ikke anvendes samtidigt med </w:t>
      </w:r>
      <w:proofErr w:type="spellStart"/>
      <w:r w:rsidRPr="00B808B2">
        <w:rPr>
          <w:bCs/>
          <w:sz w:val="24"/>
          <w:szCs w:val="24"/>
        </w:rPr>
        <w:t>nelfinavir</w:t>
      </w:r>
      <w:proofErr w:type="spellEnd"/>
      <w:r w:rsidRPr="00B808B2">
        <w:rPr>
          <w:bCs/>
          <w:sz w:val="24"/>
          <w:szCs w:val="24"/>
        </w:rPr>
        <w:t xml:space="preserve"> (se pkt. 4.5).</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4.4</w:t>
      </w:r>
      <w:r w:rsidRPr="00B808B2">
        <w:rPr>
          <w:b/>
          <w:sz w:val="24"/>
          <w:szCs w:val="24"/>
        </w:rPr>
        <w:tab/>
        <w:t>Særlige advarsler og forsigtighedsregler vedrørende brugen</w:t>
      </w:r>
    </w:p>
    <w:p w:rsidR="00037C49" w:rsidRPr="00B808B2" w:rsidRDefault="00037C49" w:rsidP="00037C49">
      <w:pPr>
        <w:shd w:val="clear" w:color="auto" w:fill="FFFFFF"/>
        <w:ind w:left="851"/>
        <w:rPr>
          <w:bCs/>
          <w:sz w:val="24"/>
          <w:szCs w:val="24"/>
        </w:rPr>
      </w:pPr>
      <w:r w:rsidRPr="00B808B2">
        <w:rPr>
          <w:bCs/>
          <w:sz w:val="24"/>
          <w:szCs w:val="24"/>
        </w:rPr>
        <w:t>Hvis der er nogen form for alarmsymptomer (</w:t>
      </w:r>
      <w:r>
        <w:rPr>
          <w:bCs/>
          <w:sz w:val="24"/>
          <w:szCs w:val="24"/>
        </w:rPr>
        <w:t>f.eks.</w:t>
      </w:r>
      <w:r w:rsidRPr="00B808B2">
        <w:rPr>
          <w:bCs/>
          <w:sz w:val="24"/>
          <w:szCs w:val="24"/>
        </w:rPr>
        <w:t xml:space="preserve"> signifikant, utilsigtet vægttab, gentagne opkastninger, </w:t>
      </w:r>
      <w:proofErr w:type="spellStart"/>
      <w:r w:rsidRPr="00B808B2">
        <w:rPr>
          <w:bCs/>
          <w:sz w:val="24"/>
          <w:szCs w:val="24"/>
        </w:rPr>
        <w:t>dysfagi</w:t>
      </w:r>
      <w:proofErr w:type="spellEnd"/>
      <w:r w:rsidRPr="00B808B2">
        <w:rPr>
          <w:bCs/>
          <w:sz w:val="24"/>
          <w:szCs w:val="24"/>
        </w:rPr>
        <w:t xml:space="preserve">, </w:t>
      </w:r>
      <w:proofErr w:type="spellStart"/>
      <w:r w:rsidRPr="00B808B2">
        <w:rPr>
          <w:bCs/>
          <w:sz w:val="24"/>
          <w:szCs w:val="24"/>
        </w:rPr>
        <w:t>hæmatemese</w:t>
      </w:r>
      <w:proofErr w:type="spellEnd"/>
      <w:r w:rsidRPr="00B808B2">
        <w:rPr>
          <w:bCs/>
          <w:sz w:val="24"/>
          <w:szCs w:val="24"/>
        </w:rPr>
        <w:t xml:space="preserve"> eller </w:t>
      </w:r>
      <w:proofErr w:type="spellStart"/>
      <w:r w:rsidRPr="00B808B2">
        <w:rPr>
          <w:bCs/>
          <w:sz w:val="24"/>
          <w:szCs w:val="24"/>
        </w:rPr>
        <w:t>melæna</w:t>
      </w:r>
      <w:proofErr w:type="spellEnd"/>
      <w:r w:rsidRPr="00B808B2">
        <w:rPr>
          <w:bCs/>
          <w:sz w:val="24"/>
          <w:szCs w:val="24"/>
        </w:rPr>
        <w:t>), og hvis gastrisk ulcus er mistænkt eller bekræftet, skal malign lidelse udelukkes, da behandlingen kan lindre symptomerne og derved forsinke diagnosticering.</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r w:rsidRPr="00B808B2">
        <w:rPr>
          <w:bCs/>
          <w:sz w:val="24"/>
          <w:szCs w:val="24"/>
        </w:rPr>
        <w:t xml:space="preserve">Co-administration af </w:t>
      </w:r>
      <w:proofErr w:type="spellStart"/>
      <w:r w:rsidRPr="00B808B2">
        <w:rPr>
          <w:bCs/>
          <w:sz w:val="24"/>
          <w:szCs w:val="24"/>
        </w:rPr>
        <w:t>atazanavir</w:t>
      </w:r>
      <w:proofErr w:type="spellEnd"/>
      <w:r w:rsidRPr="00B808B2">
        <w:rPr>
          <w:bCs/>
          <w:sz w:val="24"/>
          <w:szCs w:val="24"/>
        </w:rPr>
        <w:t xml:space="preserve"> med </w:t>
      </w:r>
      <w:proofErr w:type="spellStart"/>
      <w:r w:rsidRPr="00B808B2">
        <w:rPr>
          <w:bCs/>
          <w:sz w:val="24"/>
          <w:szCs w:val="24"/>
        </w:rPr>
        <w:t>protonoumpehæmmere</w:t>
      </w:r>
      <w:proofErr w:type="spellEnd"/>
      <w:r w:rsidRPr="00B808B2">
        <w:rPr>
          <w:bCs/>
          <w:sz w:val="24"/>
          <w:szCs w:val="24"/>
        </w:rPr>
        <w:t xml:space="preserve"> kan ikke anbefales (se pkt. 4.5). Hvis kombination af </w:t>
      </w:r>
      <w:proofErr w:type="spellStart"/>
      <w:r w:rsidRPr="00B808B2">
        <w:rPr>
          <w:bCs/>
          <w:sz w:val="24"/>
          <w:szCs w:val="24"/>
        </w:rPr>
        <w:t>atazanavir</w:t>
      </w:r>
      <w:proofErr w:type="spellEnd"/>
      <w:r w:rsidRPr="00B808B2">
        <w:rPr>
          <w:bCs/>
          <w:sz w:val="24"/>
          <w:szCs w:val="24"/>
        </w:rPr>
        <w:t xml:space="preserve"> og en protonpumpehæmmer vurderes at være uundgåelig, anbefales tæt klinisk monitorering (f.eks. virusbelastning) i kombination med øgning af </w:t>
      </w:r>
      <w:proofErr w:type="spellStart"/>
      <w:r w:rsidRPr="00B808B2">
        <w:rPr>
          <w:bCs/>
          <w:sz w:val="24"/>
          <w:szCs w:val="24"/>
        </w:rPr>
        <w:t>atazanavir</w:t>
      </w:r>
      <w:proofErr w:type="spellEnd"/>
      <w:r w:rsidRPr="00B808B2">
        <w:rPr>
          <w:bCs/>
          <w:sz w:val="24"/>
          <w:szCs w:val="24"/>
        </w:rPr>
        <w:t xml:space="preserve"> dosis til 400 mg med 100 mg </w:t>
      </w:r>
      <w:proofErr w:type="spellStart"/>
      <w:r w:rsidRPr="00B808B2">
        <w:rPr>
          <w:bCs/>
          <w:sz w:val="24"/>
          <w:szCs w:val="24"/>
        </w:rPr>
        <w:t>ritonavir</w:t>
      </w:r>
      <w:proofErr w:type="spellEnd"/>
      <w:r w:rsidRPr="00B808B2">
        <w:rPr>
          <w:bCs/>
          <w:sz w:val="24"/>
          <w:szCs w:val="24"/>
        </w:rPr>
        <w:t xml:space="preserve">. En dosis på 20 mg </w:t>
      </w:r>
      <w:proofErr w:type="spellStart"/>
      <w:r w:rsidRPr="00B808B2">
        <w:rPr>
          <w:bCs/>
          <w:sz w:val="24"/>
          <w:szCs w:val="24"/>
        </w:rPr>
        <w:t>omeprazol</w:t>
      </w:r>
      <w:proofErr w:type="spellEnd"/>
      <w:r w:rsidRPr="00B808B2">
        <w:rPr>
          <w:bCs/>
          <w:sz w:val="24"/>
          <w:szCs w:val="24"/>
        </w:rPr>
        <w:t xml:space="preserve"> bør ikke overskrides.</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proofErr w:type="spellStart"/>
      <w:r w:rsidRPr="00B808B2">
        <w:rPr>
          <w:bCs/>
          <w:sz w:val="24"/>
          <w:szCs w:val="24"/>
        </w:rPr>
        <w:t>Omeprazol</w:t>
      </w:r>
      <w:proofErr w:type="spellEnd"/>
      <w:r w:rsidRPr="00B808B2">
        <w:rPr>
          <w:bCs/>
          <w:sz w:val="24"/>
          <w:szCs w:val="24"/>
        </w:rPr>
        <w:t xml:space="preserve"> kan i lighed med alle syrehæmmende midler reducere absorptionen af </w:t>
      </w:r>
      <w:proofErr w:type="spellStart"/>
      <w:r w:rsidRPr="00B808B2">
        <w:rPr>
          <w:bCs/>
          <w:sz w:val="24"/>
          <w:szCs w:val="24"/>
        </w:rPr>
        <w:t>cyanocobalamin</w:t>
      </w:r>
      <w:proofErr w:type="spellEnd"/>
      <w:r w:rsidRPr="00B808B2">
        <w:rPr>
          <w:bCs/>
          <w:sz w:val="24"/>
          <w:szCs w:val="24"/>
        </w:rPr>
        <w:t xml:space="preserve"> (vitamin B</w:t>
      </w:r>
      <w:r w:rsidRPr="0017270C">
        <w:rPr>
          <w:bCs/>
          <w:sz w:val="24"/>
          <w:szCs w:val="24"/>
          <w:vertAlign w:val="subscript"/>
        </w:rPr>
        <w:t>12</w:t>
      </w:r>
      <w:r w:rsidRPr="00B808B2">
        <w:rPr>
          <w:bCs/>
          <w:sz w:val="24"/>
          <w:szCs w:val="24"/>
        </w:rPr>
        <w:t xml:space="preserve">) på grund af </w:t>
      </w:r>
      <w:proofErr w:type="spellStart"/>
      <w:r w:rsidRPr="00B808B2">
        <w:rPr>
          <w:bCs/>
          <w:sz w:val="24"/>
          <w:szCs w:val="24"/>
        </w:rPr>
        <w:t>hypo</w:t>
      </w:r>
      <w:proofErr w:type="spellEnd"/>
      <w:r w:rsidRPr="00B808B2">
        <w:rPr>
          <w:bCs/>
          <w:sz w:val="24"/>
          <w:szCs w:val="24"/>
        </w:rPr>
        <w:t xml:space="preserve">- eller </w:t>
      </w:r>
      <w:proofErr w:type="spellStart"/>
      <w:r w:rsidRPr="00B808B2">
        <w:rPr>
          <w:bCs/>
          <w:sz w:val="24"/>
          <w:szCs w:val="24"/>
        </w:rPr>
        <w:t>aklorhydri</w:t>
      </w:r>
      <w:proofErr w:type="spellEnd"/>
      <w:r w:rsidRPr="00B808B2">
        <w:rPr>
          <w:bCs/>
          <w:sz w:val="24"/>
          <w:szCs w:val="24"/>
        </w:rPr>
        <w:t>. Ved langtidsbehandling bør der tages højde for dette hos patienter med reduceret depot eller risikofaktorer for nedsat vitamin B</w:t>
      </w:r>
      <w:r w:rsidRPr="0017270C">
        <w:rPr>
          <w:bCs/>
          <w:sz w:val="24"/>
          <w:szCs w:val="24"/>
          <w:vertAlign w:val="subscript"/>
        </w:rPr>
        <w:t>12</w:t>
      </w:r>
      <w:r w:rsidRPr="00B808B2">
        <w:rPr>
          <w:bCs/>
          <w:sz w:val="24"/>
          <w:szCs w:val="24"/>
        </w:rPr>
        <w:t>-absorption.</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sz w:val="24"/>
          <w:szCs w:val="24"/>
        </w:rPr>
      </w:pPr>
      <w:proofErr w:type="spellStart"/>
      <w:r w:rsidRPr="00B808B2">
        <w:rPr>
          <w:bCs/>
          <w:sz w:val="24"/>
          <w:szCs w:val="24"/>
        </w:rPr>
        <w:lastRenderedPageBreak/>
        <w:t>Omeprazol</w:t>
      </w:r>
      <w:proofErr w:type="spellEnd"/>
      <w:r w:rsidRPr="00B808B2">
        <w:rPr>
          <w:bCs/>
          <w:sz w:val="24"/>
          <w:szCs w:val="24"/>
        </w:rPr>
        <w:t xml:space="preserve"> er en CYP2C19-hæmmer. Ved start og afslutning af behandling med </w:t>
      </w:r>
      <w:proofErr w:type="spellStart"/>
      <w:r w:rsidRPr="00B808B2">
        <w:rPr>
          <w:bCs/>
          <w:sz w:val="24"/>
          <w:szCs w:val="24"/>
        </w:rPr>
        <w:t>omeprazol</w:t>
      </w:r>
      <w:proofErr w:type="spellEnd"/>
      <w:r w:rsidRPr="00B808B2">
        <w:rPr>
          <w:bCs/>
          <w:sz w:val="24"/>
          <w:szCs w:val="24"/>
        </w:rPr>
        <w:t xml:space="preserve"> skal risikoen for interaktioner med lægemidler, som </w:t>
      </w:r>
      <w:proofErr w:type="spellStart"/>
      <w:r w:rsidRPr="00B808B2">
        <w:rPr>
          <w:bCs/>
          <w:sz w:val="24"/>
          <w:szCs w:val="24"/>
        </w:rPr>
        <w:t>metaboliseres</w:t>
      </w:r>
      <w:proofErr w:type="spellEnd"/>
      <w:r w:rsidRPr="00B808B2">
        <w:rPr>
          <w:bCs/>
          <w:sz w:val="24"/>
          <w:szCs w:val="24"/>
        </w:rPr>
        <w:t xml:space="preserve"> via CYP2C19, tages i betragtning. Der er set interaktion mellem </w:t>
      </w:r>
      <w:proofErr w:type="spellStart"/>
      <w:r w:rsidRPr="00B808B2">
        <w:rPr>
          <w:bCs/>
          <w:sz w:val="24"/>
          <w:szCs w:val="24"/>
        </w:rPr>
        <w:t>clopidogrel</w:t>
      </w:r>
      <w:proofErr w:type="spellEnd"/>
      <w:r w:rsidRPr="00B808B2">
        <w:rPr>
          <w:bCs/>
          <w:sz w:val="24"/>
          <w:szCs w:val="24"/>
        </w:rPr>
        <w:t xml:space="preserve"> og </w:t>
      </w:r>
      <w:proofErr w:type="spellStart"/>
      <w:r w:rsidRPr="00B808B2">
        <w:rPr>
          <w:bCs/>
          <w:sz w:val="24"/>
          <w:szCs w:val="24"/>
        </w:rPr>
        <w:t>omeprazol</w:t>
      </w:r>
      <w:proofErr w:type="spellEnd"/>
      <w:r w:rsidRPr="00B808B2">
        <w:rPr>
          <w:bCs/>
          <w:sz w:val="24"/>
          <w:szCs w:val="24"/>
        </w:rPr>
        <w:t xml:space="preserve"> (se pkt. 4.5). Den kliniske relevans af denne interaktion er uafklaret. Som en forholdsregel frarådes samtidig brug af </w:t>
      </w:r>
      <w:proofErr w:type="spellStart"/>
      <w:r w:rsidRPr="00B808B2">
        <w:rPr>
          <w:bCs/>
          <w:sz w:val="24"/>
          <w:szCs w:val="24"/>
        </w:rPr>
        <w:t>omeprazol</w:t>
      </w:r>
      <w:proofErr w:type="spellEnd"/>
      <w:r w:rsidRPr="00B808B2">
        <w:rPr>
          <w:bCs/>
          <w:sz w:val="24"/>
          <w:szCs w:val="24"/>
        </w:rPr>
        <w:t xml:space="preserve"> og </w:t>
      </w:r>
      <w:proofErr w:type="spellStart"/>
      <w:r w:rsidRPr="00B808B2">
        <w:rPr>
          <w:bCs/>
          <w:sz w:val="24"/>
          <w:szCs w:val="24"/>
        </w:rPr>
        <w:t>clopidogrel</w:t>
      </w:r>
      <w:proofErr w:type="spellEnd"/>
      <w:r w:rsidRPr="00B808B2">
        <w:rPr>
          <w:bCs/>
          <w:sz w:val="24"/>
          <w:szCs w:val="24"/>
        </w:rPr>
        <w:t>.</w:t>
      </w:r>
    </w:p>
    <w:p w:rsidR="00037C49" w:rsidRPr="00B808B2"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 xml:space="preserve">Alvorlig </w:t>
      </w:r>
      <w:proofErr w:type="spellStart"/>
      <w:r w:rsidRPr="00C51C9F">
        <w:rPr>
          <w:bCs/>
          <w:sz w:val="24"/>
          <w:szCs w:val="24"/>
        </w:rPr>
        <w:t>hypomagnesiæmi</w:t>
      </w:r>
      <w:proofErr w:type="spellEnd"/>
      <w:r w:rsidRPr="00C51C9F">
        <w:rPr>
          <w:bCs/>
          <w:sz w:val="24"/>
          <w:szCs w:val="24"/>
        </w:rPr>
        <w:t xml:space="preserve"> har være rapporteret hos patienter behandlet med </w:t>
      </w:r>
      <w:proofErr w:type="spellStart"/>
      <w:r w:rsidRPr="00C51C9F">
        <w:rPr>
          <w:bCs/>
          <w:sz w:val="24"/>
          <w:szCs w:val="24"/>
        </w:rPr>
        <w:t>PPI’er</w:t>
      </w:r>
      <w:proofErr w:type="spellEnd"/>
      <w:r w:rsidRPr="00C51C9F">
        <w:rPr>
          <w:bCs/>
          <w:sz w:val="24"/>
          <w:szCs w:val="24"/>
        </w:rPr>
        <w:t xml:space="preserve">, såsom </w:t>
      </w:r>
      <w:proofErr w:type="spellStart"/>
      <w:r w:rsidRPr="00C51C9F">
        <w:rPr>
          <w:bCs/>
          <w:sz w:val="24"/>
          <w:szCs w:val="24"/>
        </w:rPr>
        <w:t>omeprazol</w:t>
      </w:r>
      <w:proofErr w:type="spellEnd"/>
      <w:r w:rsidRPr="00C51C9F">
        <w:rPr>
          <w:bCs/>
          <w:sz w:val="24"/>
          <w:szCs w:val="24"/>
        </w:rPr>
        <w:t xml:space="preserve">, i mindst tre måneder og i de fleste tilfælde i et år. Alvorlige manifestationer af </w:t>
      </w:r>
      <w:proofErr w:type="spellStart"/>
      <w:r w:rsidRPr="00C51C9F">
        <w:rPr>
          <w:bCs/>
          <w:sz w:val="24"/>
          <w:szCs w:val="24"/>
        </w:rPr>
        <w:t>hypomagnesiæmi</w:t>
      </w:r>
      <w:proofErr w:type="spellEnd"/>
      <w:r w:rsidRPr="00C51C9F">
        <w:rPr>
          <w:bCs/>
          <w:sz w:val="24"/>
          <w:szCs w:val="24"/>
        </w:rPr>
        <w:t xml:space="preserve"> som træthed, tetani, delirium, kramper, svimmelhed og </w:t>
      </w:r>
      <w:proofErr w:type="spellStart"/>
      <w:r w:rsidRPr="00C51C9F">
        <w:rPr>
          <w:bCs/>
          <w:sz w:val="24"/>
          <w:szCs w:val="24"/>
        </w:rPr>
        <w:t>ventrikulær</w:t>
      </w:r>
      <w:proofErr w:type="spellEnd"/>
      <w:r w:rsidRPr="00C51C9F">
        <w:rPr>
          <w:bCs/>
          <w:sz w:val="24"/>
          <w:szCs w:val="24"/>
        </w:rPr>
        <w:t xml:space="preserve"> </w:t>
      </w:r>
      <w:proofErr w:type="spellStart"/>
      <w:r w:rsidRPr="00C51C9F">
        <w:rPr>
          <w:bCs/>
          <w:sz w:val="24"/>
          <w:szCs w:val="24"/>
        </w:rPr>
        <w:t>arytmi</w:t>
      </w:r>
      <w:proofErr w:type="spellEnd"/>
      <w:r w:rsidRPr="00C51C9F">
        <w:rPr>
          <w:bCs/>
          <w:sz w:val="24"/>
          <w:szCs w:val="24"/>
        </w:rPr>
        <w:t xml:space="preserve"> kan forekomme, men kan begynde stille og kan blive overset. Tilstanden forbedres hos de fleste patienter efter magnesium erstatning og </w:t>
      </w:r>
      <w:proofErr w:type="spellStart"/>
      <w:r w:rsidRPr="00C51C9F">
        <w:rPr>
          <w:bCs/>
          <w:sz w:val="24"/>
          <w:szCs w:val="24"/>
        </w:rPr>
        <w:t>seponering</w:t>
      </w:r>
      <w:proofErr w:type="spellEnd"/>
      <w:r w:rsidRPr="00C51C9F">
        <w:rPr>
          <w:bCs/>
          <w:sz w:val="24"/>
          <w:szCs w:val="24"/>
        </w:rPr>
        <w:t xml:space="preserve"> af PPI. </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 xml:space="preserve">Det bør overvejes at måle serummagnesium før opstart af </w:t>
      </w:r>
      <w:proofErr w:type="gramStart"/>
      <w:r w:rsidRPr="00C51C9F">
        <w:rPr>
          <w:bCs/>
          <w:sz w:val="24"/>
          <w:szCs w:val="24"/>
        </w:rPr>
        <w:t>PPI behandling</w:t>
      </w:r>
      <w:proofErr w:type="gramEnd"/>
      <w:r w:rsidRPr="00C51C9F">
        <w:rPr>
          <w:bCs/>
          <w:sz w:val="24"/>
          <w:szCs w:val="24"/>
        </w:rPr>
        <w:t xml:space="preserve"> og regelmæssigt under behandlingen hos patienter, der forventes at være i langvarig behandling eller tager </w:t>
      </w:r>
      <w:proofErr w:type="spellStart"/>
      <w:r w:rsidRPr="00C51C9F">
        <w:rPr>
          <w:bCs/>
          <w:sz w:val="24"/>
          <w:szCs w:val="24"/>
        </w:rPr>
        <w:t>PPI’er</w:t>
      </w:r>
      <w:proofErr w:type="spellEnd"/>
      <w:r w:rsidRPr="00C51C9F">
        <w:rPr>
          <w:bCs/>
          <w:sz w:val="24"/>
          <w:szCs w:val="24"/>
        </w:rPr>
        <w:t xml:space="preserve"> samtidigt med </w:t>
      </w:r>
      <w:proofErr w:type="spellStart"/>
      <w:r w:rsidRPr="00C51C9F">
        <w:rPr>
          <w:bCs/>
          <w:sz w:val="24"/>
          <w:szCs w:val="24"/>
        </w:rPr>
        <w:t>digoxin</w:t>
      </w:r>
      <w:proofErr w:type="spellEnd"/>
      <w:r w:rsidRPr="00C51C9F">
        <w:rPr>
          <w:bCs/>
          <w:sz w:val="24"/>
          <w:szCs w:val="24"/>
        </w:rPr>
        <w:t xml:space="preserve"> eller andre lægemidler, der kan forårsage </w:t>
      </w:r>
      <w:proofErr w:type="spellStart"/>
      <w:r w:rsidRPr="00C51C9F">
        <w:rPr>
          <w:bCs/>
          <w:sz w:val="24"/>
          <w:szCs w:val="24"/>
        </w:rPr>
        <w:t>hypomagnesiæmi</w:t>
      </w:r>
      <w:proofErr w:type="spellEnd"/>
      <w:r w:rsidRPr="00C51C9F">
        <w:rPr>
          <w:bCs/>
          <w:sz w:val="24"/>
          <w:szCs w:val="24"/>
        </w:rPr>
        <w:t xml:space="preserve"> (</w:t>
      </w:r>
      <w:r w:rsidR="000E5510">
        <w:rPr>
          <w:bCs/>
          <w:sz w:val="24"/>
          <w:szCs w:val="24"/>
        </w:rPr>
        <w:t>f.eks.</w:t>
      </w:r>
      <w:r w:rsidRPr="00C51C9F">
        <w:rPr>
          <w:bCs/>
          <w:sz w:val="24"/>
          <w:szCs w:val="24"/>
        </w:rPr>
        <w:t xml:space="preserve"> </w:t>
      </w:r>
      <w:proofErr w:type="spellStart"/>
      <w:r w:rsidRPr="00C51C9F">
        <w:rPr>
          <w:bCs/>
          <w:sz w:val="24"/>
          <w:szCs w:val="24"/>
        </w:rPr>
        <w:t>diuretika</w:t>
      </w:r>
      <w:proofErr w:type="spellEnd"/>
      <w:r w:rsidRPr="00C51C9F">
        <w:rPr>
          <w:bCs/>
          <w:sz w:val="24"/>
          <w:szCs w:val="24"/>
        </w:rPr>
        <w:t>).</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Som ved al langtidsbehandling, især når behandlingsvarigheden overstiger et år, bør patienterne tilses regelmæssigt.</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proofErr w:type="spellStart"/>
      <w:r w:rsidRPr="00C51C9F">
        <w:rPr>
          <w:bCs/>
          <w:sz w:val="24"/>
          <w:szCs w:val="24"/>
        </w:rPr>
        <w:t>Protonpumpehæmmere</w:t>
      </w:r>
      <w:proofErr w:type="spellEnd"/>
      <w:r w:rsidRPr="00C51C9F">
        <w:rPr>
          <w:bCs/>
          <w:sz w:val="24"/>
          <w:szCs w:val="24"/>
        </w:rPr>
        <w:t xml:space="preserve"> kan øge risikoen for hofte-, håndleds- og rygfrakturer beskedent, hovedsageligt hos ældre eller ved tilstedeværelse af andre kendte risikofaktorer især hvis det bruges i høje doser og over lange behandlingsperioder (&gt; 1 år). Observationsstudier antyder, at </w:t>
      </w:r>
      <w:proofErr w:type="spellStart"/>
      <w:r w:rsidRPr="00C51C9F">
        <w:rPr>
          <w:bCs/>
          <w:sz w:val="24"/>
          <w:szCs w:val="24"/>
        </w:rPr>
        <w:t>protonpumpehæmmere</w:t>
      </w:r>
      <w:proofErr w:type="spellEnd"/>
      <w:r w:rsidRPr="00C51C9F">
        <w:rPr>
          <w:bCs/>
          <w:sz w:val="24"/>
          <w:szCs w:val="24"/>
        </w:rPr>
        <w:t xml:space="preserve"> kan øge den overordnede risiko for fraktur med 10 40 %. Noget af denne øgning kan skyldes andre risikofaktorer. Patienter med risiko for osteoporose bør modtage behandling i henhold til gældende kliniske guidelines og de bør have et tilstrækkeligt indtag af vitamin D og calcium.</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rFonts w:cstheme="minorBidi"/>
          <w:bCs/>
          <w:sz w:val="24"/>
          <w:szCs w:val="24"/>
          <w:u w:val="single"/>
          <w:lang w:val="en-US"/>
        </w:rPr>
      </w:pPr>
      <w:proofErr w:type="spellStart"/>
      <w:r w:rsidRPr="00C51C9F">
        <w:rPr>
          <w:bCs/>
          <w:sz w:val="24"/>
          <w:szCs w:val="24"/>
          <w:u w:val="single"/>
          <w:lang w:val="en-US"/>
        </w:rPr>
        <w:t>Subakut</w:t>
      </w:r>
      <w:proofErr w:type="spellEnd"/>
      <w:r w:rsidRPr="00C51C9F">
        <w:rPr>
          <w:bCs/>
          <w:sz w:val="24"/>
          <w:szCs w:val="24"/>
          <w:u w:val="single"/>
          <w:lang w:val="en-US"/>
        </w:rPr>
        <w:t xml:space="preserve"> </w:t>
      </w:r>
      <w:proofErr w:type="spellStart"/>
      <w:r w:rsidRPr="00C51C9F">
        <w:rPr>
          <w:bCs/>
          <w:sz w:val="24"/>
          <w:szCs w:val="24"/>
          <w:u w:val="single"/>
          <w:lang w:val="en-US"/>
        </w:rPr>
        <w:t>kutan</w:t>
      </w:r>
      <w:proofErr w:type="spellEnd"/>
      <w:r w:rsidRPr="00C51C9F">
        <w:rPr>
          <w:bCs/>
          <w:sz w:val="24"/>
          <w:szCs w:val="24"/>
          <w:u w:val="single"/>
          <w:lang w:val="en-US"/>
        </w:rPr>
        <w:t xml:space="preserve"> lupus erythematosus (SCLE) </w:t>
      </w:r>
    </w:p>
    <w:p w:rsidR="00037C49" w:rsidRPr="00C51C9F" w:rsidRDefault="00037C49" w:rsidP="00037C49">
      <w:pPr>
        <w:shd w:val="clear" w:color="auto" w:fill="FFFFFF"/>
        <w:ind w:left="851"/>
        <w:rPr>
          <w:bCs/>
          <w:sz w:val="24"/>
          <w:szCs w:val="24"/>
        </w:rPr>
      </w:pPr>
      <w:proofErr w:type="spellStart"/>
      <w:r w:rsidRPr="00C51C9F">
        <w:rPr>
          <w:bCs/>
          <w:sz w:val="24"/>
          <w:szCs w:val="24"/>
        </w:rPr>
        <w:t>Protonpumpehæmmere</w:t>
      </w:r>
      <w:proofErr w:type="spellEnd"/>
      <w:r w:rsidRPr="00C51C9F">
        <w:rPr>
          <w:bCs/>
          <w:sz w:val="24"/>
          <w:szCs w:val="24"/>
        </w:rPr>
        <w:t xml:space="preserve"> er forbundet med meget sjældne tilfælde af SCLE. Hvis sådanne hudreaktioner optræder, navnlig på hudområder udsat for sol, og er ledsaget af </w:t>
      </w:r>
      <w:proofErr w:type="spellStart"/>
      <w:r w:rsidRPr="00C51C9F">
        <w:rPr>
          <w:bCs/>
          <w:sz w:val="24"/>
          <w:szCs w:val="24"/>
        </w:rPr>
        <w:t>artralgi</w:t>
      </w:r>
      <w:proofErr w:type="spellEnd"/>
      <w:r w:rsidRPr="00C51C9F">
        <w:rPr>
          <w:bCs/>
          <w:sz w:val="24"/>
          <w:szCs w:val="24"/>
        </w:rPr>
        <w:t xml:space="preserve">, bør patienten straks søge læge, og lægen bør overveje at seponere </w:t>
      </w:r>
      <w:proofErr w:type="spellStart"/>
      <w:r w:rsidR="00D72BC6">
        <w:rPr>
          <w:bCs/>
          <w:sz w:val="24"/>
          <w:szCs w:val="24"/>
        </w:rPr>
        <w:t>Omeprazol</w:t>
      </w:r>
      <w:proofErr w:type="spellEnd"/>
      <w:r w:rsidR="00D72BC6">
        <w:rPr>
          <w:bCs/>
          <w:sz w:val="24"/>
          <w:szCs w:val="24"/>
        </w:rPr>
        <w:t xml:space="preserve"> "</w:t>
      </w:r>
      <w:proofErr w:type="spellStart"/>
      <w:r w:rsidR="00D72BC6">
        <w:rPr>
          <w:bCs/>
          <w:sz w:val="24"/>
          <w:szCs w:val="24"/>
        </w:rPr>
        <w:t>Amarox</w:t>
      </w:r>
      <w:proofErr w:type="spellEnd"/>
      <w:r w:rsidR="00D72BC6">
        <w:rPr>
          <w:bCs/>
          <w:sz w:val="24"/>
          <w:szCs w:val="24"/>
        </w:rPr>
        <w:t>"</w:t>
      </w:r>
      <w:r w:rsidRPr="00C51C9F">
        <w:rPr>
          <w:bCs/>
          <w:sz w:val="24"/>
          <w:szCs w:val="24"/>
        </w:rPr>
        <w:t xml:space="preserve">, SCLE efter tidligere behandling med en protonpumpehæmmer kan øge risikoen for SCLE med andre </w:t>
      </w:r>
      <w:proofErr w:type="spellStart"/>
      <w:r w:rsidRPr="00C51C9F">
        <w:rPr>
          <w:bCs/>
          <w:sz w:val="24"/>
          <w:szCs w:val="24"/>
        </w:rPr>
        <w:t>protonpumpehæmmere</w:t>
      </w:r>
      <w:proofErr w:type="spellEnd"/>
      <w:r w:rsidRPr="00C51C9F">
        <w:rPr>
          <w:bCs/>
          <w:sz w:val="24"/>
          <w:szCs w:val="24"/>
        </w:rPr>
        <w:t>.</w:t>
      </w:r>
    </w:p>
    <w:p w:rsidR="00037C49" w:rsidRDefault="00037C49" w:rsidP="000039DD">
      <w:pPr>
        <w:shd w:val="clear" w:color="auto" w:fill="FFFFFF"/>
        <w:ind w:left="851"/>
        <w:rPr>
          <w:bCs/>
          <w:sz w:val="24"/>
          <w:szCs w:val="24"/>
        </w:rPr>
      </w:pPr>
    </w:p>
    <w:p w:rsidR="000039DD" w:rsidRPr="00016E50" w:rsidRDefault="000039DD" w:rsidP="000039DD">
      <w:pPr>
        <w:shd w:val="clear" w:color="auto" w:fill="FFFFFF"/>
        <w:ind w:left="851"/>
        <w:rPr>
          <w:bCs/>
          <w:sz w:val="24"/>
          <w:szCs w:val="24"/>
          <w:u w:val="single"/>
        </w:rPr>
      </w:pPr>
      <w:r w:rsidRPr="00016E50">
        <w:rPr>
          <w:bCs/>
          <w:sz w:val="24"/>
          <w:szCs w:val="24"/>
          <w:u w:val="single"/>
        </w:rPr>
        <w:t>Nedsat nyrefunktion</w:t>
      </w:r>
    </w:p>
    <w:p w:rsidR="000039DD" w:rsidRPr="00016E50" w:rsidRDefault="000039DD" w:rsidP="000039DD">
      <w:pPr>
        <w:shd w:val="clear" w:color="auto" w:fill="FFFFFF"/>
        <w:ind w:left="851"/>
        <w:rPr>
          <w:bCs/>
          <w:sz w:val="24"/>
          <w:szCs w:val="24"/>
        </w:rPr>
      </w:pPr>
      <w:r w:rsidRPr="00016E50">
        <w:rPr>
          <w:bCs/>
          <w:sz w:val="24"/>
          <w:szCs w:val="24"/>
        </w:rPr>
        <w:t xml:space="preserve">Akut </w:t>
      </w:r>
      <w:proofErr w:type="spellStart"/>
      <w:r w:rsidRPr="00016E50">
        <w:rPr>
          <w:bCs/>
          <w:sz w:val="24"/>
          <w:szCs w:val="24"/>
        </w:rPr>
        <w:t>tubulointerstitiel</w:t>
      </w:r>
      <w:proofErr w:type="spellEnd"/>
      <w:r w:rsidRPr="00016E50">
        <w:rPr>
          <w:bCs/>
          <w:sz w:val="24"/>
          <w:szCs w:val="24"/>
        </w:rPr>
        <w:t xml:space="preserve"> </w:t>
      </w:r>
      <w:proofErr w:type="spellStart"/>
      <w:r w:rsidRPr="00016E50">
        <w:rPr>
          <w:bCs/>
          <w:sz w:val="24"/>
          <w:szCs w:val="24"/>
        </w:rPr>
        <w:t>nefritis</w:t>
      </w:r>
      <w:proofErr w:type="spellEnd"/>
      <w:r w:rsidRPr="00016E50">
        <w:rPr>
          <w:bCs/>
          <w:sz w:val="24"/>
          <w:szCs w:val="24"/>
        </w:rPr>
        <w:t xml:space="preserve"> (TIN) er set hos patienter, der tager </w:t>
      </w:r>
      <w:proofErr w:type="spellStart"/>
      <w:r w:rsidRPr="00016E50">
        <w:rPr>
          <w:bCs/>
          <w:sz w:val="24"/>
          <w:szCs w:val="24"/>
        </w:rPr>
        <w:t>omeprazol</w:t>
      </w:r>
      <w:proofErr w:type="spellEnd"/>
      <w:r w:rsidRPr="00016E50">
        <w:rPr>
          <w:bCs/>
          <w:sz w:val="24"/>
          <w:szCs w:val="24"/>
        </w:rPr>
        <w:t xml:space="preserve">, og kan forekomme når som helst under behandling med </w:t>
      </w:r>
      <w:proofErr w:type="spellStart"/>
      <w:r w:rsidRPr="00016E50">
        <w:rPr>
          <w:bCs/>
          <w:sz w:val="24"/>
          <w:szCs w:val="24"/>
        </w:rPr>
        <w:t>omeprazol</w:t>
      </w:r>
      <w:proofErr w:type="spellEnd"/>
      <w:r w:rsidRPr="00016E50">
        <w:rPr>
          <w:bCs/>
          <w:sz w:val="24"/>
          <w:szCs w:val="24"/>
        </w:rPr>
        <w:t xml:space="preserve"> (se punkt 4.8). Akut </w:t>
      </w:r>
      <w:proofErr w:type="spellStart"/>
      <w:r w:rsidRPr="00016E50">
        <w:rPr>
          <w:bCs/>
          <w:sz w:val="24"/>
          <w:szCs w:val="24"/>
        </w:rPr>
        <w:t>tubulointerstitiel</w:t>
      </w:r>
      <w:proofErr w:type="spellEnd"/>
      <w:r w:rsidRPr="00016E50">
        <w:rPr>
          <w:bCs/>
          <w:sz w:val="24"/>
          <w:szCs w:val="24"/>
        </w:rPr>
        <w:t xml:space="preserve"> </w:t>
      </w:r>
      <w:proofErr w:type="spellStart"/>
      <w:r w:rsidRPr="00016E50">
        <w:rPr>
          <w:bCs/>
          <w:sz w:val="24"/>
          <w:szCs w:val="24"/>
        </w:rPr>
        <w:t>nefritis</w:t>
      </w:r>
      <w:proofErr w:type="spellEnd"/>
      <w:r w:rsidRPr="00016E50">
        <w:rPr>
          <w:bCs/>
          <w:sz w:val="24"/>
          <w:szCs w:val="24"/>
        </w:rPr>
        <w:t xml:space="preserve"> kan forværres til nyresvigt.</w:t>
      </w:r>
    </w:p>
    <w:p w:rsidR="000039DD" w:rsidRPr="00016E50" w:rsidRDefault="000039DD" w:rsidP="000039DD">
      <w:pPr>
        <w:shd w:val="clear" w:color="auto" w:fill="FFFFFF"/>
        <w:ind w:left="851"/>
        <w:rPr>
          <w:bCs/>
          <w:sz w:val="24"/>
          <w:szCs w:val="24"/>
        </w:rPr>
      </w:pPr>
    </w:p>
    <w:p w:rsidR="000039DD" w:rsidRPr="00016E50" w:rsidRDefault="000039DD" w:rsidP="000039DD">
      <w:pPr>
        <w:shd w:val="clear" w:color="auto" w:fill="FFFFFF"/>
        <w:ind w:left="851"/>
        <w:rPr>
          <w:bCs/>
          <w:sz w:val="24"/>
          <w:szCs w:val="24"/>
        </w:rPr>
      </w:pPr>
      <w:proofErr w:type="spellStart"/>
      <w:r w:rsidRPr="00016E50">
        <w:rPr>
          <w:bCs/>
          <w:sz w:val="24"/>
          <w:szCs w:val="24"/>
        </w:rPr>
        <w:t>Omeprazol</w:t>
      </w:r>
      <w:proofErr w:type="spellEnd"/>
      <w:r w:rsidRPr="00016E50">
        <w:rPr>
          <w:bCs/>
          <w:sz w:val="24"/>
          <w:szCs w:val="24"/>
        </w:rPr>
        <w:t xml:space="preserve"> bør seponeres ved mistanke om TIN, og passende behandling bør iværksættes med det samme.</w:t>
      </w:r>
    </w:p>
    <w:p w:rsidR="000039DD" w:rsidRPr="00C51C9F" w:rsidRDefault="000039DD" w:rsidP="000039DD">
      <w:pPr>
        <w:shd w:val="clear" w:color="auto" w:fill="FFFFFF"/>
        <w:ind w:left="851"/>
        <w:rPr>
          <w:bCs/>
          <w:sz w:val="24"/>
          <w:szCs w:val="24"/>
        </w:rPr>
      </w:pPr>
    </w:p>
    <w:p w:rsidR="00037C49" w:rsidRPr="00C51C9F" w:rsidRDefault="00037C49" w:rsidP="00037C49">
      <w:pPr>
        <w:shd w:val="clear" w:color="auto" w:fill="FFFFFF"/>
        <w:ind w:left="851"/>
        <w:rPr>
          <w:bCs/>
          <w:i/>
          <w:iCs/>
          <w:sz w:val="24"/>
          <w:szCs w:val="24"/>
        </w:rPr>
      </w:pPr>
      <w:r w:rsidRPr="00C51C9F">
        <w:rPr>
          <w:bCs/>
          <w:i/>
          <w:iCs/>
          <w:sz w:val="24"/>
          <w:szCs w:val="24"/>
        </w:rPr>
        <w:t xml:space="preserve">Interferens med laboratorieundersøgelser </w:t>
      </w:r>
    </w:p>
    <w:p w:rsidR="00037C49" w:rsidRPr="00BF3BCC" w:rsidRDefault="00037C49" w:rsidP="00037C49">
      <w:pPr>
        <w:shd w:val="clear" w:color="auto" w:fill="FFFFFF"/>
        <w:ind w:left="851"/>
        <w:rPr>
          <w:bCs/>
          <w:sz w:val="24"/>
          <w:szCs w:val="24"/>
        </w:rPr>
      </w:pPr>
      <w:proofErr w:type="spellStart"/>
      <w:r w:rsidRPr="00BF3BCC">
        <w:rPr>
          <w:bCs/>
          <w:sz w:val="24"/>
          <w:szCs w:val="24"/>
        </w:rPr>
        <w:t>Forhøjetchromogranin</w:t>
      </w:r>
      <w:proofErr w:type="spellEnd"/>
      <w:r w:rsidRPr="00BF3BCC">
        <w:rPr>
          <w:bCs/>
          <w:sz w:val="24"/>
          <w:szCs w:val="24"/>
        </w:rPr>
        <w:t xml:space="preserve"> A (</w:t>
      </w:r>
      <w:proofErr w:type="spellStart"/>
      <w:r w:rsidRPr="00BF3BCC">
        <w:rPr>
          <w:bCs/>
          <w:sz w:val="24"/>
          <w:szCs w:val="24"/>
        </w:rPr>
        <w:t>CgA</w:t>
      </w:r>
      <w:proofErr w:type="spellEnd"/>
      <w:r w:rsidRPr="00BF3BCC">
        <w:rPr>
          <w:bCs/>
          <w:sz w:val="24"/>
          <w:szCs w:val="24"/>
        </w:rPr>
        <w:t xml:space="preserve">-niveau) kan </w:t>
      </w:r>
      <w:proofErr w:type="spellStart"/>
      <w:r w:rsidRPr="00BF3BCC">
        <w:rPr>
          <w:bCs/>
          <w:sz w:val="24"/>
          <w:szCs w:val="24"/>
        </w:rPr>
        <w:t>interfere</w:t>
      </w:r>
      <w:proofErr w:type="spellEnd"/>
      <w:r w:rsidRPr="00BF3BCC">
        <w:rPr>
          <w:bCs/>
          <w:sz w:val="24"/>
          <w:szCs w:val="24"/>
        </w:rPr>
        <w:t xml:space="preserve"> med undersøgelser for </w:t>
      </w:r>
      <w:proofErr w:type="spellStart"/>
      <w:r w:rsidRPr="00BF3BCC">
        <w:rPr>
          <w:bCs/>
          <w:sz w:val="24"/>
          <w:szCs w:val="24"/>
        </w:rPr>
        <w:t>neuroendokrine</w:t>
      </w:r>
      <w:proofErr w:type="spellEnd"/>
      <w:r w:rsidRPr="00BF3BCC">
        <w:rPr>
          <w:bCs/>
          <w:sz w:val="24"/>
          <w:szCs w:val="24"/>
        </w:rPr>
        <w:t xml:space="preserve"> tumorer. For at undgå denne interferens bør </w:t>
      </w:r>
      <w:proofErr w:type="spellStart"/>
      <w:r w:rsidRPr="00BF3BCC">
        <w:rPr>
          <w:bCs/>
          <w:sz w:val="24"/>
          <w:szCs w:val="24"/>
        </w:rPr>
        <w:t>omeprazol</w:t>
      </w:r>
      <w:proofErr w:type="spellEnd"/>
      <w:r w:rsidRPr="00BF3BCC">
        <w:rPr>
          <w:bCs/>
          <w:sz w:val="24"/>
          <w:szCs w:val="24"/>
        </w:rPr>
        <w:t xml:space="preserve"> seponeres mindst 5 dage inden måling af </w:t>
      </w:r>
      <w:proofErr w:type="spellStart"/>
      <w:r w:rsidRPr="00BF3BCC">
        <w:rPr>
          <w:bCs/>
          <w:sz w:val="24"/>
          <w:szCs w:val="24"/>
        </w:rPr>
        <w:t>CgA</w:t>
      </w:r>
      <w:proofErr w:type="spellEnd"/>
      <w:r w:rsidRPr="00BF3BCC">
        <w:rPr>
          <w:bCs/>
          <w:sz w:val="24"/>
          <w:szCs w:val="24"/>
        </w:rPr>
        <w:t xml:space="preserve"> (se pkt. 5.1). Hvis indholdet af </w:t>
      </w:r>
      <w:proofErr w:type="spellStart"/>
      <w:r w:rsidRPr="00BF3BCC">
        <w:rPr>
          <w:bCs/>
          <w:sz w:val="24"/>
          <w:szCs w:val="24"/>
        </w:rPr>
        <w:t>CgA</w:t>
      </w:r>
      <w:proofErr w:type="spellEnd"/>
      <w:r w:rsidRPr="00BF3BCC">
        <w:rPr>
          <w:bCs/>
          <w:sz w:val="24"/>
          <w:szCs w:val="24"/>
        </w:rPr>
        <w:t xml:space="preserve"> og gastrin ikke er returneret til referenceområdet ved den første måling, bør målingen gentages 14 dage efter </w:t>
      </w:r>
      <w:proofErr w:type="spellStart"/>
      <w:r w:rsidRPr="00BF3BCC">
        <w:rPr>
          <w:bCs/>
          <w:sz w:val="24"/>
          <w:szCs w:val="24"/>
        </w:rPr>
        <w:t>seponering</w:t>
      </w:r>
      <w:proofErr w:type="spellEnd"/>
      <w:r w:rsidRPr="00BF3BCC">
        <w:rPr>
          <w:bCs/>
          <w:sz w:val="24"/>
          <w:szCs w:val="24"/>
        </w:rPr>
        <w:t xml:space="preserve"> af protonpumpehæmmeren.</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Selvom det ikke er anbefalet kan nogle børn med kroniske sygdomme behøve langvarig behandling.</w:t>
      </w:r>
    </w:p>
    <w:p w:rsidR="00037C49" w:rsidRPr="00C51C9F" w:rsidRDefault="00037C49" w:rsidP="00037C49">
      <w:pPr>
        <w:shd w:val="clear" w:color="auto" w:fill="FFFFFF"/>
        <w:ind w:left="851"/>
        <w:rPr>
          <w:bCs/>
          <w:sz w:val="24"/>
          <w:szCs w:val="24"/>
        </w:rPr>
      </w:pPr>
    </w:p>
    <w:p w:rsidR="00037C49" w:rsidRPr="00C51C9F" w:rsidRDefault="00D72BC6" w:rsidP="00037C49">
      <w:pPr>
        <w:shd w:val="clear" w:color="auto" w:fill="FFFFFF"/>
        <w:ind w:left="851"/>
        <w:rPr>
          <w:bCs/>
          <w:sz w:val="24"/>
          <w:szCs w:val="24"/>
        </w:rPr>
      </w:pPr>
      <w:proofErr w:type="spellStart"/>
      <w:r>
        <w:rPr>
          <w:bCs/>
          <w:sz w:val="24"/>
          <w:szCs w:val="24"/>
        </w:rPr>
        <w:t>Omeprazol</w:t>
      </w:r>
      <w:proofErr w:type="spellEnd"/>
      <w:r>
        <w:rPr>
          <w:bCs/>
          <w:sz w:val="24"/>
          <w:szCs w:val="24"/>
        </w:rPr>
        <w:t xml:space="preserve"> "</w:t>
      </w:r>
      <w:proofErr w:type="spellStart"/>
      <w:r>
        <w:rPr>
          <w:bCs/>
          <w:sz w:val="24"/>
          <w:szCs w:val="24"/>
        </w:rPr>
        <w:t>Amarox</w:t>
      </w:r>
      <w:proofErr w:type="spellEnd"/>
      <w:r>
        <w:rPr>
          <w:bCs/>
          <w:sz w:val="24"/>
          <w:szCs w:val="24"/>
        </w:rPr>
        <w:t>"</w:t>
      </w:r>
      <w:r w:rsidR="00037C49" w:rsidRPr="00C51C9F">
        <w:rPr>
          <w:bCs/>
          <w:sz w:val="24"/>
          <w:szCs w:val="24"/>
        </w:rPr>
        <w:t xml:space="preserve"> </w:t>
      </w:r>
      <w:proofErr w:type="spellStart"/>
      <w:r w:rsidR="00037C49" w:rsidRPr="00C51C9F">
        <w:rPr>
          <w:bCs/>
          <w:sz w:val="24"/>
          <w:szCs w:val="24"/>
        </w:rPr>
        <w:t>enterokapsler</w:t>
      </w:r>
      <w:proofErr w:type="spellEnd"/>
      <w:r w:rsidR="00037C49" w:rsidRPr="00C51C9F">
        <w:rPr>
          <w:bCs/>
          <w:sz w:val="24"/>
          <w:szCs w:val="24"/>
        </w:rPr>
        <w:t xml:space="preserve"> indeholder </w:t>
      </w:r>
      <w:proofErr w:type="spellStart"/>
      <w:r w:rsidR="00037C49" w:rsidRPr="00C51C9F">
        <w:rPr>
          <w:bCs/>
          <w:sz w:val="24"/>
          <w:szCs w:val="24"/>
        </w:rPr>
        <w:t>saccharose</w:t>
      </w:r>
      <w:proofErr w:type="spellEnd"/>
      <w:r w:rsidR="00037C49" w:rsidRPr="00C51C9F">
        <w:rPr>
          <w:bCs/>
          <w:sz w:val="24"/>
          <w:szCs w:val="24"/>
        </w:rPr>
        <w:t xml:space="preserve">. Patienter med sjældne, arvelige tilstande som </w:t>
      </w:r>
      <w:proofErr w:type="spellStart"/>
      <w:r w:rsidR="00037C49" w:rsidRPr="00C51C9F">
        <w:rPr>
          <w:bCs/>
          <w:sz w:val="24"/>
          <w:szCs w:val="24"/>
        </w:rPr>
        <w:t>fructoseintolerans</w:t>
      </w:r>
      <w:proofErr w:type="spellEnd"/>
      <w:r w:rsidR="00037C49" w:rsidRPr="00C51C9F">
        <w:rPr>
          <w:bCs/>
          <w:sz w:val="24"/>
          <w:szCs w:val="24"/>
        </w:rPr>
        <w:t xml:space="preserve">, </w:t>
      </w:r>
      <w:proofErr w:type="spellStart"/>
      <w:r w:rsidR="00037C49" w:rsidRPr="00C51C9F">
        <w:rPr>
          <w:bCs/>
          <w:sz w:val="24"/>
          <w:szCs w:val="24"/>
        </w:rPr>
        <w:t>glucose-galactosemalabsorbtion</w:t>
      </w:r>
      <w:proofErr w:type="spellEnd"/>
      <w:r w:rsidR="00037C49" w:rsidRPr="00C51C9F">
        <w:rPr>
          <w:bCs/>
          <w:sz w:val="24"/>
          <w:szCs w:val="24"/>
        </w:rPr>
        <w:t xml:space="preserve"> eller </w:t>
      </w:r>
      <w:proofErr w:type="spellStart"/>
      <w:r w:rsidR="00037C49" w:rsidRPr="00C51C9F">
        <w:rPr>
          <w:bCs/>
          <w:sz w:val="24"/>
          <w:szCs w:val="24"/>
        </w:rPr>
        <w:t>sucrase-isomaltasemangel</w:t>
      </w:r>
      <w:proofErr w:type="spellEnd"/>
      <w:r w:rsidR="00037C49" w:rsidRPr="00C51C9F">
        <w:rPr>
          <w:bCs/>
          <w:sz w:val="24"/>
          <w:szCs w:val="24"/>
        </w:rPr>
        <w:t xml:space="preserve"> bør ikke tage dette lægemiddel.</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 xml:space="preserve">Behandling med </w:t>
      </w:r>
      <w:proofErr w:type="spellStart"/>
      <w:r w:rsidRPr="00C51C9F">
        <w:rPr>
          <w:bCs/>
          <w:sz w:val="24"/>
          <w:szCs w:val="24"/>
        </w:rPr>
        <w:t>protonpumpehæmmere</w:t>
      </w:r>
      <w:proofErr w:type="spellEnd"/>
      <w:r w:rsidRPr="00C51C9F">
        <w:rPr>
          <w:bCs/>
          <w:sz w:val="24"/>
          <w:szCs w:val="24"/>
        </w:rPr>
        <w:t xml:space="preserve"> kan medføre en let forøget risiko for </w:t>
      </w:r>
      <w:proofErr w:type="spellStart"/>
      <w:r w:rsidRPr="00C51C9F">
        <w:rPr>
          <w:bCs/>
          <w:sz w:val="24"/>
          <w:szCs w:val="24"/>
        </w:rPr>
        <w:t>gastrointestinale</w:t>
      </w:r>
      <w:proofErr w:type="spellEnd"/>
      <w:r w:rsidRPr="00C51C9F">
        <w:rPr>
          <w:bCs/>
          <w:sz w:val="24"/>
          <w:szCs w:val="24"/>
        </w:rPr>
        <w:t xml:space="preserve"> infektioner såsom </w:t>
      </w:r>
      <w:r w:rsidRPr="00C51C9F">
        <w:rPr>
          <w:bCs/>
          <w:i/>
          <w:sz w:val="24"/>
          <w:szCs w:val="24"/>
        </w:rPr>
        <w:t xml:space="preserve">Salmonella </w:t>
      </w:r>
      <w:r w:rsidRPr="00C51C9F">
        <w:rPr>
          <w:bCs/>
          <w:sz w:val="24"/>
          <w:szCs w:val="24"/>
        </w:rPr>
        <w:t xml:space="preserve">og </w:t>
      </w:r>
      <w:r w:rsidRPr="00C51C9F">
        <w:rPr>
          <w:bCs/>
          <w:i/>
          <w:sz w:val="24"/>
          <w:szCs w:val="24"/>
        </w:rPr>
        <w:t xml:space="preserve">Campylobacter </w:t>
      </w:r>
      <w:r w:rsidRPr="00C51C9F">
        <w:rPr>
          <w:color w:val="000000"/>
          <w:sz w:val="24"/>
          <w:szCs w:val="24"/>
        </w:rPr>
        <w:t>og muligvis også</w:t>
      </w:r>
      <w:r w:rsidRPr="00C51C9F">
        <w:rPr>
          <w:rStyle w:val="apple-converted-space"/>
          <w:sz w:val="24"/>
          <w:szCs w:val="24"/>
        </w:rPr>
        <w:t> </w:t>
      </w:r>
      <w:proofErr w:type="spellStart"/>
      <w:r w:rsidRPr="00C51C9F">
        <w:rPr>
          <w:i/>
          <w:iCs/>
          <w:color w:val="000000"/>
          <w:sz w:val="24"/>
          <w:szCs w:val="24"/>
        </w:rPr>
        <w:t>Clostridium</w:t>
      </w:r>
      <w:proofErr w:type="spellEnd"/>
      <w:r w:rsidRPr="00C51C9F">
        <w:rPr>
          <w:i/>
          <w:iCs/>
          <w:color w:val="000000"/>
          <w:sz w:val="24"/>
          <w:szCs w:val="24"/>
        </w:rPr>
        <w:t xml:space="preserve"> difficile</w:t>
      </w:r>
      <w:r w:rsidRPr="00C51C9F">
        <w:rPr>
          <w:rStyle w:val="apple-converted-space"/>
          <w:sz w:val="24"/>
          <w:szCs w:val="24"/>
        </w:rPr>
        <w:t> </w:t>
      </w:r>
      <w:r w:rsidRPr="00C51C9F">
        <w:rPr>
          <w:color w:val="000000"/>
          <w:sz w:val="24"/>
          <w:szCs w:val="24"/>
        </w:rPr>
        <w:t>hos patienter, der er hospitalsindlagte.</w:t>
      </w:r>
      <w:r w:rsidRPr="00C51C9F">
        <w:rPr>
          <w:bCs/>
          <w:i/>
          <w:sz w:val="24"/>
          <w:szCs w:val="24"/>
        </w:rPr>
        <w:t xml:space="preserve"> </w:t>
      </w:r>
      <w:r w:rsidRPr="00C51C9F">
        <w:rPr>
          <w:bCs/>
          <w:sz w:val="24"/>
          <w:szCs w:val="24"/>
        </w:rPr>
        <w:t>(se pkt. 5.1).</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Som ved al langtidsbehandling, især når behandlingsvarigheden overstiger et år, bør patienterne tilses regelmæssigt.</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4.5</w:t>
      </w:r>
      <w:r w:rsidRPr="00B808B2">
        <w:rPr>
          <w:b/>
          <w:sz w:val="24"/>
          <w:szCs w:val="24"/>
        </w:rPr>
        <w:tab/>
        <w:t>Interaktion med andre lægemidler og andre former for interaktion</w:t>
      </w:r>
    </w:p>
    <w:p w:rsidR="00D72BC6" w:rsidRDefault="00D72BC6" w:rsidP="00037C49">
      <w:pPr>
        <w:shd w:val="clear" w:color="auto" w:fill="FFFFFF"/>
        <w:ind w:left="851"/>
        <w:rPr>
          <w:sz w:val="24"/>
          <w:szCs w:val="24"/>
          <w:u w:val="single"/>
        </w:rPr>
      </w:pPr>
    </w:p>
    <w:p w:rsidR="00037C49" w:rsidRPr="00B808B2" w:rsidRDefault="00037C49" w:rsidP="00037C49">
      <w:pPr>
        <w:shd w:val="clear" w:color="auto" w:fill="FFFFFF"/>
        <w:ind w:left="851"/>
        <w:rPr>
          <w:sz w:val="24"/>
          <w:szCs w:val="24"/>
          <w:u w:val="single"/>
        </w:rPr>
      </w:pPr>
      <w:proofErr w:type="spellStart"/>
      <w:r w:rsidRPr="00B808B2">
        <w:rPr>
          <w:sz w:val="24"/>
          <w:szCs w:val="24"/>
          <w:u w:val="single"/>
        </w:rPr>
        <w:t>Omeprazols</w:t>
      </w:r>
      <w:proofErr w:type="spellEnd"/>
      <w:r w:rsidRPr="00B808B2">
        <w:rPr>
          <w:sz w:val="24"/>
          <w:szCs w:val="24"/>
          <w:u w:val="single"/>
        </w:rPr>
        <w:t xml:space="preserve"> virkning på andre lægemidlers farmakokinetik</w:t>
      </w:r>
    </w:p>
    <w:p w:rsidR="00037C49" w:rsidRPr="00B808B2" w:rsidRDefault="00037C49" w:rsidP="00037C49">
      <w:pPr>
        <w:shd w:val="clear" w:color="auto" w:fill="FFFFFF"/>
        <w:ind w:left="851"/>
        <w:rPr>
          <w:sz w:val="24"/>
          <w:szCs w:val="24"/>
          <w:u w:val="single"/>
        </w:rPr>
      </w:pPr>
    </w:p>
    <w:p w:rsidR="00037C49" w:rsidRPr="00B808B2" w:rsidRDefault="00037C49" w:rsidP="00037C49">
      <w:pPr>
        <w:shd w:val="clear" w:color="auto" w:fill="FFFFFF"/>
        <w:ind w:left="851"/>
        <w:rPr>
          <w:i/>
          <w:sz w:val="24"/>
          <w:szCs w:val="24"/>
          <w:u w:val="single"/>
        </w:rPr>
      </w:pPr>
      <w:r w:rsidRPr="00B808B2">
        <w:rPr>
          <w:i/>
          <w:sz w:val="24"/>
          <w:szCs w:val="24"/>
          <w:u w:val="single"/>
        </w:rPr>
        <w:t>Lægemidler med pH-afhængig absorption</w:t>
      </w:r>
    </w:p>
    <w:p w:rsidR="00037C49" w:rsidRPr="00B808B2" w:rsidRDefault="00037C49" w:rsidP="00037C49">
      <w:pPr>
        <w:shd w:val="clear" w:color="auto" w:fill="FFFFFF"/>
        <w:ind w:left="851"/>
        <w:rPr>
          <w:sz w:val="24"/>
          <w:szCs w:val="24"/>
        </w:rPr>
      </w:pPr>
      <w:r w:rsidRPr="00B808B2">
        <w:rPr>
          <w:sz w:val="24"/>
          <w:szCs w:val="24"/>
        </w:rPr>
        <w:t xml:space="preserve">Den nedsatte intragastriske surhedsgrad under behandling med </w:t>
      </w:r>
      <w:proofErr w:type="spellStart"/>
      <w:r w:rsidRPr="00B808B2">
        <w:rPr>
          <w:sz w:val="24"/>
          <w:szCs w:val="24"/>
        </w:rPr>
        <w:t>omeprazol</w:t>
      </w:r>
      <w:proofErr w:type="spellEnd"/>
      <w:r w:rsidRPr="00B808B2">
        <w:rPr>
          <w:sz w:val="24"/>
          <w:szCs w:val="24"/>
        </w:rPr>
        <w:t xml:space="preserve"> kan øge eller nedsætte absorptionen af aktive stoffer med gastrisk pH-afhængig absorption.</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Nelfinavir</w:t>
      </w:r>
      <w:proofErr w:type="spellEnd"/>
      <w:r w:rsidRPr="00B808B2">
        <w:rPr>
          <w:i/>
          <w:sz w:val="24"/>
          <w:szCs w:val="24"/>
        </w:rPr>
        <w:t xml:space="preserve">, </w:t>
      </w:r>
      <w:proofErr w:type="spellStart"/>
      <w:r w:rsidRPr="00B808B2">
        <w:rPr>
          <w:i/>
          <w:sz w:val="24"/>
          <w:szCs w:val="24"/>
        </w:rPr>
        <w:t>atazanavir</w:t>
      </w:r>
      <w:proofErr w:type="spellEnd"/>
    </w:p>
    <w:p w:rsidR="00037C49" w:rsidRPr="00B808B2" w:rsidRDefault="00037C49" w:rsidP="00037C49">
      <w:pPr>
        <w:shd w:val="clear" w:color="auto" w:fill="FFFFFF"/>
        <w:ind w:left="851"/>
        <w:rPr>
          <w:sz w:val="24"/>
          <w:szCs w:val="24"/>
        </w:rPr>
      </w:pPr>
      <w:r w:rsidRPr="00B808B2">
        <w:rPr>
          <w:sz w:val="24"/>
          <w:szCs w:val="24"/>
        </w:rPr>
        <w:t xml:space="preserve">Plasmakoncentrationerne af </w:t>
      </w:r>
      <w:proofErr w:type="spellStart"/>
      <w:r w:rsidRPr="00B808B2">
        <w:rPr>
          <w:sz w:val="24"/>
          <w:szCs w:val="24"/>
        </w:rPr>
        <w:t>nelfinavir</w:t>
      </w:r>
      <w:proofErr w:type="spellEnd"/>
      <w:r w:rsidRPr="00B808B2">
        <w:rPr>
          <w:sz w:val="24"/>
          <w:szCs w:val="24"/>
        </w:rPr>
        <w:t xml:space="preserve"> og </w:t>
      </w:r>
      <w:proofErr w:type="spellStart"/>
      <w:r w:rsidRPr="00B808B2">
        <w:rPr>
          <w:sz w:val="24"/>
          <w:szCs w:val="24"/>
        </w:rPr>
        <w:t>atazanavir</w:t>
      </w:r>
      <w:proofErr w:type="spellEnd"/>
      <w:r w:rsidRPr="00B808B2">
        <w:rPr>
          <w:sz w:val="24"/>
          <w:szCs w:val="24"/>
        </w:rPr>
        <w:t xml:space="preserve"> reduceres ved </w:t>
      </w:r>
      <w:proofErr w:type="spellStart"/>
      <w:r w:rsidRPr="00B808B2">
        <w:rPr>
          <w:sz w:val="24"/>
          <w:szCs w:val="24"/>
        </w:rPr>
        <w:t>co</w:t>
      </w:r>
      <w:proofErr w:type="spellEnd"/>
      <w:r w:rsidRPr="00B808B2">
        <w:rPr>
          <w:sz w:val="24"/>
          <w:szCs w:val="24"/>
        </w:rPr>
        <w:t xml:space="preserve">-administration af </w:t>
      </w:r>
      <w:proofErr w:type="spellStart"/>
      <w:r w:rsidRPr="00B808B2">
        <w:rPr>
          <w:sz w:val="24"/>
          <w:szCs w:val="24"/>
        </w:rPr>
        <w:t>omeprazol</w:t>
      </w:r>
      <w:proofErr w:type="spellEnd"/>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r w:rsidRPr="00B808B2">
        <w:rPr>
          <w:sz w:val="24"/>
          <w:szCs w:val="24"/>
        </w:rPr>
        <w:t xml:space="preserve">Samtidig administration af </w:t>
      </w:r>
      <w:proofErr w:type="spellStart"/>
      <w:r w:rsidRPr="00B808B2">
        <w:rPr>
          <w:sz w:val="24"/>
          <w:szCs w:val="24"/>
        </w:rPr>
        <w:t>omeprazol</w:t>
      </w:r>
      <w:proofErr w:type="spellEnd"/>
      <w:r w:rsidRPr="00B808B2">
        <w:rPr>
          <w:sz w:val="24"/>
          <w:szCs w:val="24"/>
        </w:rPr>
        <w:t xml:space="preserve"> og </w:t>
      </w:r>
      <w:proofErr w:type="spellStart"/>
      <w:r w:rsidRPr="00B808B2">
        <w:rPr>
          <w:sz w:val="24"/>
          <w:szCs w:val="24"/>
        </w:rPr>
        <w:t>nelfinavir</w:t>
      </w:r>
      <w:proofErr w:type="spellEnd"/>
      <w:r w:rsidRPr="00B808B2">
        <w:rPr>
          <w:sz w:val="24"/>
          <w:szCs w:val="24"/>
        </w:rPr>
        <w:t xml:space="preserve"> er kontraindiceret (se pkt. 4.3). Co-administration af </w:t>
      </w:r>
      <w:proofErr w:type="spellStart"/>
      <w:r w:rsidRPr="00B808B2">
        <w:rPr>
          <w:sz w:val="24"/>
          <w:szCs w:val="24"/>
        </w:rPr>
        <w:t>omeprazol</w:t>
      </w:r>
      <w:proofErr w:type="spellEnd"/>
      <w:r w:rsidRPr="00B808B2">
        <w:rPr>
          <w:sz w:val="24"/>
          <w:szCs w:val="24"/>
        </w:rPr>
        <w:t xml:space="preserve"> (40 mg en gang </w:t>
      </w:r>
      <w:r>
        <w:rPr>
          <w:sz w:val="24"/>
          <w:szCs w:val="24"/>
        </w:rPr>
        <w:t>daglig</w:t>
      </w:r>
      <w:r w:rsidRPr="00B808B2">
        <w:rPr>
          <w:sz w:val="24"/>
          <w:szCs w:val="24"/>
        </w:rPr>
        <w:t xml:space="preserve">) reducerede den gennemsnitlige eksponering for </w:t>
      </w:r>
      <w:proofErr w:type="spellStart"/>
      <w:r w:rsidRPr="00B808B2">
        <w:rPr>
          <w:sz w:val="24"/>
          <w:szCs w:val="24"/>
        </w:rPr>
        <w:t>nelfinavir</w:t>
      </w:r>
      <w:proofErr w:type="spellEnd"/>
      <w:r w:rsidRPr="00B808B2">
        <w:rPr>
          <w:sz w:val="24"/>
          <w:szCs w:val="24"/>
        </w:rPr>
        <w:t xml:space="preserve"> med ca. 40 %, og den gennemsnitlige eksponering for den farmakologisk aktive metabolit M8 blev reduceret med 75-90 %. Interaktionen kan også involvere hæmning af CYP2C19.</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r w:rsidRPr="00B808B2">
        <w:rPr>
          <w:sz w:val="24"/>
          <w:szCs w:val="24"/>
        </w:rPr>
        <w:t xml:space="preserve">Samtidig administration af </w:t>
      </w:r>
      <w:proofErr w:type="spellStart"/>
      <w:r w:rsidRPr="00B808B2">
        <w:rPr>
          <w:sz w:val="24"/>
          <w:szCs w:val="24"/>
        </w:rPr>
        <w:t>omeprazol</w:t>
      </w:r>
      <w:proofErr w:type="spellEnd"/>
      <w:r w:rsidRPr="00B808B2">
        <w:rPr>
          <w:sz w:val="24"/>
          <w:szCs w:val="24"/>
        </w:rPr>
        <w:t xml:space="preserve"> og </w:t>
      </w:r>
      <w:proofErr w:type="spellStart"/>
      <w:r w:rsidRPr="00B808B2">
        <w:rPr>
          <w:sz w:val="24"/>
          <w:szCs w:val="24"/>
        </w:rPr>
        <w:t>atazanavir</w:t>
      </w:r>
      <w:proofErr w:type="spellEnd"/>
      <w:r w:rsidRPr="00B808B2">
        <w:rPr>
          <w:sz w:val="24"/>
          <w:szCs w:val="24"/>
        </w:rPr>
        <w:t xml:space="preserve"> kan ikke anbefales (se pkt. 4.4). Samtidig administration af </w:t>
      </w:r>
      <w:proofErr w:type="spellStart"/>
      <w:r w:rsidRPr="00B808B2">
        <w:rPr>
          <w:sz w:val="24"/>
          <w:szCs w:val="24"/>
        </w:rPr>
        <w:t>omeprazol</w:t>
      </w:r>
      <w:proofErr w:type="spellEnd"/>
      <w:r w:rsidRPr="00B808B2">
        <w:rPr>
          <w:sz w:val="24"/>
          <w:szCs w:val="24"/>
        </w:rPr>
        <w:t xml:space="preserve"> (40 mg én gang </w:t>
      </w:r>
      <w:r>
        <w:rPr>
          <w:sz w:val="24"/>
          <w:szCs w:val="24"/>
        </w:rPr>
        <w:t>daglig</w:t>
      </w:r>
      <w:r w:rsidRPr="00B808B2">
        <w:rPr>
          <w:sz w:val="24"/>
          <w:szCs w:val="24"/>
        </w:rPr>
        <w:t xml:space="preserve">) og </w:t>
      </w:r>
      <w:proofErr w:type="spellStart"/>
      <w:r w:rsidRPr="00B808B2">
        <w:rPr>
          <w:sz w:val="24"/>
          <w:szCs w:val="24"/>
        </w:rPr>
        <w:t>atazanavir</w:t>
      </w:r>
      <w:proofErr w:type="spellEnd"/>
      <w:r w:rsidRPr="00B808B2">
        <w:rPr>
          <w:sz w:val="24"/>
          <w:szCs w:val="24"/>
        </w:rPr>
        <w:t xml:space="preserve"> 300 mg/</w:t>
      </w:r>
      <w:proofErr w:type="spellStart"/>
      <w:r w:rsidRPr="00B808B2">
        <w:rPr>
          <w:sz w:val="24"/>
          <w:szCs w:val="24"/>
        </w:rPr>
        <w:t>ritonavir</w:t>
      </w:r>
      <w:proofErr w:type="spellEnd"/>
      <w:r w:rsidRPr="00B808B2">
        <w:rPr>
          <w:sz w:val="24"/>
          <w:szCs w:val="24"/>
        </w:rPr>
        <w:t xml:space="preserve"> 100 mg til raske frivillige resulterede i en reduktion af </w:t>
      </w:r>
      <w:proofErr w:type="spellStart"/>
      <w:r w:rsidRPr="00B808B2">
        <w:rPr>
          <w:sz w:val="24"/>
          <w:szCs w:val="24"/>
        </w:rPr>
        <w:t>atazanavir</w:t>
      </w:r>
      <w:proofErr w:type="spellEnd"/>
      <w:r w:rsidRPr="00B808B2">
        <w:rPr>
          <w:sz w:val="24"/>
          <w:szCs w:val="24"/>
        </w:rPr>
        <w:t xml:space="preserve">-eksponeringen på 75 %. Øgning af </w:t>
      </w:r>
      <w:proofErr w:type="spellStart"/>
      <w:r w:rsidRPr="00B808B2">
        <w:rPr>
          <w:sz w:val="24"/>
          <w:szCs w:val="24"/>
        </w:rPr>
        <w:t>atazanavirdosis</w:t>
      </w:r>
      <w:proofErr w:type="spellEnd"/>
      <w:r w:rsidRPr="00B808B2">
        <w:rPr>
          <w:sz w:val="24"/>
          <w:szCs w:val="24"/>
        </w:rPr>
        <w:t xml:space="preserve"> til 400 mg kompenserede ikke for indvirkningen af </w:t>
      </w:r>
      <w:proofErr w:type="spellStart"/>
      <w:r w:rsidRPr="00B808B2">
        <w:rPr>
          <w:sz w:val="24"/>
          <w:szCs w:val="24"/>
        </w:rPr>
        <w:t>omeprazol</w:t>
      </w:r>
      <w:proofErr w:type="spellEnd"/>
      <w:r w:rsidRPr="00B808B2">
        <w:rPr>
          <w:sz w:val="24"/>
          <w:szCs w:val="24"/>
        </w:rPr>
        <w:t xml:space="preserve"> på </w:t>
      </w:r>
      <w:proofErr w:type="spellStart"/>
      <w:r w:rsidRPr="00B808B2">
        <w:rPr>
          <w:sz w:val="24"/>
          <w:szCs w:val="24"/>
        </w:rPr>
        <w:t>atazanavir</w:t>
      </w:r>
      <w:proofErr w:type="spellEnd"/>
      <w:r w:rsidRPr="00B808B2">
        <w:rPr>
          <w:sz w:val="24"/>
          <w:szCs w:val="24"/>
        </w:rPr>
        <w:t xml:space="preserve">-eksponeringen. Co- administration af </w:t>
      </w:r>
      <w:proofErr w:type="spellStart"/>
      <w:r w:rsidRPr="00B808B2">
        <w:rPr>
          <w:sz w:val="24"/>
          <w:szCs w:val="24"/>
        </w:rPr>
        <w:t>omeprazol</w:t>
      </w:r>
      <w:proofErr w:type="spellEnd"/>
      <w:r w:rsidRPr="00B808B2">
        <w:rPr>
          <w:sz w:val="24"/>
          <w:szCs w:val="24"/>
        </w:rPr>
        <w:t xml:space="preserve"> (20 mg en gang </w:t>
      </w:r>
      <w:r>
        <w:rPr>
          <w:sz w:val="24"/>
          <w:szCs w:val="24"/>
        </w:rPr>
        <w:t>daglig</w:t>
      </w:r>
      <w:r w:rsidRPr="00B808B2">
        <w:rPr>
          <w:sz w:val="24"/>
          <w:szCs w:val="24"/>
        </w:rPr>
        <w:t xml:space="preserve">) med </w:t>
      </w:r>
      <w:proofErr w:type="spellStart"/>
      <w:r w:rsidRPr="00B808B2">
        <w:rPr>
          <w:sz w:val="24"/>
          <w:szCs w:val="24"/>
        </w:rPr>
        <w:t>atazanavir</w:t>
      </w:r>
      <w:proofErr w:type="spellEnd"/>
      <w:r w:rsidRPr="00B808B2">
        <w:rPr>
          <w:sz w:val="24"/>
          <w:szCs w:val="24"/>
        </w:rPr>
        <w:t xml:space="preserve"> 400 mg/</w:t>
      </w:r>
      <w:proofErr w:type="spellStart"/>
      <w:r w:rsidRPr="00B808B2">
        <w:rPr>
          <w:sz w:val="24"/>
          <w:szCs w:val="24"/>
        </w:rPr>
        <w:t>ritonavir</w:t>
      </w:r>
      <w:proofErr w:type="spellEnd"/>
      <w:r w:rsidRPr="00B808B2">
        <w:rPr>
          <w:sz w:val="24"/>
          <w:szCs w:val="24"/>
        </w:rPr>
        <w:t xml:space="preserve"> 100 mg til raske frivillige resulterede i et fald i eksponeringen for </w:t>
      </w:r>
      <w:proofErr w:type="spellStart"/>
      <w:r w:rsidRPr="00B808B2">
        <w:rPr>
          <w:sz w:val="24"/>
          <w:szCs w:val="24"/>
        </w:rPr>
        <w:t>atazanavir</w:t>
      </w:r>
      <w:proofErr w:type="spellEnd"/>
      <w:r w:rsidRPr="00B808B2">
        <w:rPr>
          <w:sz w:val="24"/>
          <w:szCs w:val="24"/>
        </w:rPr>
        <w:t xml:space="preserve"> på ca. 30 % sammenlignet med </w:t>
      </w:r>
      <w:proofErr w:type="spellStart"/>
      <w:r w:rsidRPr="00B808B2">
        <w:rPr>
          <w:sz w:val="24"/>
          <w:szCs w:val="24"/>
        </w:rPr>
        <w:t>atazanavir</w:t>
      </w:r>
      <w:proofErr w:type="spellEnd"/>
      <w:r w:rsidRPr="00B808B2">
        <w:rPr>
          <w:sz w:val="24"/>
          <w:szCs w:val="24"/>
        </w:rPr>
        <w:t xml:space="preserve"> 300 mg/</w:t>
      </w:r>
      <w:proofErr w:type="spellStart"/>
      <w:r w:rsidRPr="00B808B2">
        <w:rPr>
          <w:sz w:val="24"/>
          <w:szCs w:val="24"/>
        </w:rPr>
        <w:t>ritonavir</w:t>
      </w:r>
      <w:proofErr w:type="spellEnd"/>
      <w:r w:rsidRPr="00B808B2">
        <w:rPr>
          <w:sz w:val="24"/>
          <w:szCs w:val="24"/>
        </w:rPr>
        <w:t xml:space="preserve"> 100 mg en gang </w:t>
      </w:r>
      <w:r>
        <w:rPr>
          <w:sz w:val="24"/>
          <w:szCs w:val="24"/>
        </w:rPr>
        <w:t>daglig</w:t>
      </w:r>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Digoxin</w:t>
      </w:r>
      <w:proofErr w:type="spellEnd"/>
    </w:p>
    <w:p w:rsidR="00037C49" w:rsidRPr="00B808B2" w:rsidRDefault="00037C49" w:rsidP="00037C49">
      <w:pPr>
        <w:shd w:val="clear" w:color="auto" w:fill="FFFFFF"/>
        <w:ind w:left="851"/>
        <w:rPr>
          <w:sz w:val="24"/>
          <w:szCs w:val="24"/>
        </w:rPr>
      </w:pPr>
      <w:r w:rsidRPr="00B808B2">
        <w:rPr>
          <w:sz w:val="24"/>
          <w:szCs w:val="24"/>
        </w:rPr>
        <w:t xml:space="preserve">Samtidig behandling med </w:t>
      </w:r>
      <w:proofErr w:type="spellStart"/>
      <w:r w:rsidRPr="00B808B2">
        <w:rPr>
          <w:sz w:val="24"/>
          <w:szCs w:val="24"/>
        </w:rPr>
        <w:t>omeprazol</w:t>
      </w:r>
      <w:proofErr w:type="spellEnd"/>
      <w:r w:rsidRPr="00B808B2">
        <w:rPr>
          <w:sz w:val="24"/>
          <w:szCs w:val="24"/>
        </w:rPr>
        <w:t xml:space="preserve"> (20 mg </w:t>
      </w:r>
      <w:r>
        <w:rPr>
          <w:sz w:val="24"/>
          <w:szCs w:val="24"/>
        </w:rPr>
        <w:t>daglig</w:t>
      </w:r>
      <w:r w:rsidRPr="00B808B2">
        <w:rPr>
          <w:sz w:val="24"/>
          <w:szCs w:val="24"/>
        </w:rPr>
        <w:t xml:space="preserve">) og </w:t>
      </w:r>
      <w:proofErr w:type="spellStart"/>
      <w:r w:rsidRPr="00B808B2">
        <w:rPr>
          <w:sz w:val="24"/>
          <w:szCs w:val="24"/>
        </w:rPr>
        <w:t>digoxin</w:t>
      </w:r>
      <w:proofErr w:type="spellEnd"/>
      <w:r w:rsidRPr="00B808B2">
        <w:rPr>
          <w:sz w:val="24"/>
          <w:szCs w:val="24"/>
        </w:rPr>
        <w:t xml:space="preserve"> til raske frivillige øgede biotilgængeligheden af </w:t>
      </w:r>
      <w:proofErr w:type="spellStart"/>
      <w:r w:rsidRPr="00B808B2">
        <w:rPr>
          <w:sz w:val="24"/>
          <w:szCs w:val="24"/>
        </w:rPr>
        <w:t>digoxin</w:t>
      </w:r>
      <w:proofErr w:type="spellEnd"/>
      <w:r w:rsidRPr="00B808B2">
        <w:rPr>
          <w:sz w:val="24"/>
          <w:szCs w:val="24"/>
        </w:rPr>
        <w:t xml:space="preserve"> med 10 %. </w:t>
      </w:r>
      <w:proofErr w:type="spellStart"/>
      <w:r w:rsidRPr="00B808B2">
        <w:rPr>
          <w:sz w:val="24"/>
          <w:szCs w:val="24"/>
        </w:rPr>
        <w:t>Digoxintoksicitet</w:t>
      </w:r>
      <w:proofErr w:type="spellEnd"/>
      <w:r w:rsidRPr="00B808B2">
        <w:rPr>
          <w:sz w:val="24"/>
          <w:szCs w:val="24"/>
        </w:rPr>
        <w:t xml:space="preserve"> er sjældent blevet rapporteret. Dog bør der udvises forsigtighed, når </w:t>
      </w:r>
      <w:proofErr w:type="spellStart"/>
      <w:r w:rsidRPr="00B808B2">
        <w:rPr>
          <w:sz w:val="24"/>
          <w:szCs w:val="24"/>
        </w:rPr>
        <w:t>omeprazol</w:t>
      </w:r>
      <w:proofErr w:type="spellEnd"/>
      <w:r w:rsidRPr="00B808B2">
        <w:rPr>
          <w:sz w:val="24"/>
          <w:szCs w:val="24"/>
        </w:rPr>
        <w:t xml:space="preserve"> gives i høje doser til ældre patienter. Serumkoncentrationen af </w:t>
      </w:r>
      <w:proofErr w:type="spellStart"/>
      <w:r w:rsidRPr="00B808B2">
        <w:rPr>
          <w:sz w:val="24"/>
          <w:szCs w:val="24"/>
        </w:rPr>
        <w:t>digoxin</w:t>
      </w:r>
      <w:proofErr w:type="spellEnd"/>
      <w:r w:rsidRPr="00B808B2">
        <w:rPr>
          <w:sz w:val="24"/>
          <w:szCs w:val="24"/>
        </w:rPr>
        <w:t xml:space="preserve"> bør monitoreres.</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Clopidogrel</w:t>
      </w:r>
      <w:proofErr w:type="spellEnd"/>
    </w:p>
    <w:p w:rsidR="00037C49" w:rsidRPr="00C51C9F" w:rsidRDefault="00037C49" w:rsidP="00037C49">
      <w:pPr>
        <w:shd w:val="clear" w:color="auto" w:fill="FFFFFF"/>
        <w:ind w:left="851"/>
        <w:rPr>
          <w:sz w:val="24"/>
          <w:szCs w:val="24"/>
        </w:rPr>
      </w:pPr>
      <w:r w:rsidRPr="00C51C9F">
        <w:rPr>
          <w:sz w:val="24"/>
          <w:szCs w:val="24"/>
        </w:rPr>
        <w:t xml:space="preserve">Resultater fra studier hos raske forsøgspersoner har vist en </w:t>
      </w:r>
      <w:proofErr w:type="spellStart"/>
      <w:r w:rsidRPr="00C51C9F">
        <w:rPr>
          <w:sz w:val="24"/>
          <w:szCs w:val="24"/>
        </w:rPr>
        <w:t>pharmakokinetisk</w:t>
      </w:r>
      <w:proofErr w:type="spellEnd"/>
      <w:r w:rsidRPr="00C51C9F">
        <w:rPr>
          <w:sz w:val="24"/>
          <w:szCs w:val="24"/>
        </w:rPr>
        <w:t xml:space="preserve"> (PK)/</w:t>
      </w:r>
      <w:proofErr w:type="spellStart"/>
      <w:r w:rsidRPr="00C51C9F">
        <w:rPr>
          <w:sz w:val="24"/>
          <w:szCs w:val="24"/>
        </w:rPr>
        <w:t>phamrko</w:t>
      </w:r>
      <w:r>
        <w:rPr>
          <w:sz w:val="24"/>
          <w:szCs w:val="24"/>
        </w:rPr>
        <w:t>dynamisk</w:t>
      </w:r>
      <w:proofErr w:type="spellEnd"/>
      <w:r>
        <w:rPr>
          <w:sz w:val="24"/>
          <w:szCs w:val="24"/>
        </w:rPr>
        <w:t xml:space="preserve"> (PD) interaktion mellem</w:t>
      </w:r>
      <w:r w:rsidRPr="00C51C9F">
        <w:rPr>
          <w:sz w:val="24"/>
          <w:szCs w:val="24"/>
        </w:rPr>
        <w:t xml:space="preserve"> </w:t>
      </w:r>
      <w:proofErr w:type="spellStart"/>
      <w:r w:rsidRPr="00C51C9F">
        <w:rPr>
          <w:sz w:val="24"/>
          <w:szCs w:val="24"/>
        </w:rPr>
        <w:t>clopidogrel</w:t>
      </w:r>
      <w:proofErr w:type="spellEnd"/>
      <w:r w:rsidRPr="00C51C9F">
        <w:rPr>
          <w:sz w:val="24"/>
          <w:szCs w:val="24"/>
        </w:rPr>
        <w:t xml:space="preserve"> (300 mg belastningsdosis/75 mg dagligt vedligeholde</w:t>
      </w:r>
      <w:r w:rsidR="0052561D">
        <w:rPr>
          <w:sz w:val="24"/>
          <w:szCs w:val="24"/>
        </w:rPr>
        <w:t>l</w:t>
      </w:r>
      <w:r w:rsidRPr="00C51C9F">
        <w:rPr>
          <w:sz w:val="24"/>
          <w:szCs w:val="24"/>
        </w:rPr>
        <w:t xml:space="preserve">sesdosis) og </w:t>
      </w:r>
      <w:proofErr w:type="spellStart"/>
      <w:r w:rsidRPr="00C51C9F">
        <w:rPr>
          <w:sz w:val="24"/>
          <w:szCs w:val="24"/>
        </w:rPr>
        <w:t>omeprazol</w:t>
      </w:r>
      <w:proofErr w:type="spellEnd"/>
      <w:r w:rsidRPr="00C51C9F">
        <w:rPr>
          <w:sz w:val="24"/>
          <w:szCs w:val="24"/>
        </w:rPr>
        <w:t xml:space="preserve"> (80 mg peroral dosis dagligt), der resulterede i et fald på 46 % (gennemsnitsværdi) i eksponering af </w:t>
      </w:r>
      <w:proofErr w:type="spellStart"/>
      <w:r w:rsidRPr="00C51C9F">
        <w:rPr>
          <w:sz w:val="24"/>
          <w:szCs w:val="24"/>
        </w:rPr>
        <w:t>clopidogrels</w:t>
      </w:r>
      <w:proofErr w:type="spellEnd"/>
      <w:r w:rsidRPr="00C51C9F">
        <w:rPr>
          <w:sz w:val="24"/>
          <w:szCs w:val="24"/>
        </w:rPr>
        <w:t xml:space="preserve"> aktive metabolit og et fald på 16 % (gennemsnitsværdi) i den maksimale hæm</w:t>
      </w:r>
      <w:r w:rsidR="00D72BC6">
        <w:rPr>
          <w:sz w:val="24"/>
          <w:szCs w:val="24"/>
        </w:rPr>
        <w:t>n</w:t>
      </w:r>
      <w:r w:rsidRPr="00C51C9F">
        <w:rPr>
          <w:sz w:val="24"/>
          <w:szCs w:val="24"/>
        </w:rPr>
        <w:t xml:space="preserve">ing af (ADP-induceret) </w:t>
      </w:r>
      <w:proofErr w:type="spellStart"/>
      <w:r w:rsidRPr="00C51C9F">
        <w:rPr>
          <w:sz w:val="24"/>
          <w:szCs w:val="24"/>
        </w:rPr>
        <w:t>trombocytaggregationen</w:t>
      </w:r>
      <w:proofErr w:type="spellEnd"/>
      <w:r w:rsidRPr="00C51C9F">
        <w:rPr>
          <w:sz w:val="24"/>
          <w:szCs w:val="24"/>
        </w:rPr>
        <w:t>.</w:t>
      </w:r>
    </w:p>
    <w:p w:rsidR="00037C49" w:rsidRPr="00C51C9F" w:rsidRDefault="00037C49" w:rsidP="00037C49">
      <w:pPr>
        <w:shd w:val="clear" w:color="auto" w:fill="FFFFFF"/>
        <w:ind w:left="851"/>
        <w:rPr>
          <w:sz w:val="24"/>
          <w:szCs w:val="24"/>
        </w:rPr>
      </w:pPr>
    </w:p>
    <w:p w:rsidR="00037C49" w:rsidRPr="00C51C9F" w:rsidRDefault="00037C49" w:rsidP="00037C49">
      <w:pPr>
        <w:shd w:val="clear" w:color="auto" w:fill="FFFFFF"/>
        <w:ind w:left="851"/>
        <w:rPr>
          <w:sz w:val="24"/>
          <w:szCs w:val="24"/>
        </w:rPr>
      </w:pPr>
      <w:r w:rsidRPr="00C51C9F">
        <w:rPr>
          <w:sz w:val="24"/>
          <w:szCs w:val="24"/>
        </w:rPr>
        <w:t>Inkonsistente data vedrørende de kliniske konsekvenser af PK/</w:t>
      </w:r>
      <w:proofErr w:type="gramStart"/>
      <w:r w:rsidRPr="00C51C9F">
        <w:rPr>
          <w:sz w:val="24"/>
          <w:szCs w:val="24"/>
        </w:rPr>
        <w:t>PD interaktionen</w:t>
      </w:r>
      <w:proofErr w:type="gramEnd"/>
      <w:r w:rsidRPr="00C51C9F">
        <w:rPr>
          <w:sz w:val="24"/>
          <w:szCs w:val="24"/>
        </w:rPr>
        <w:t xml:space="preserve"> med hensyn til større </w:t>
      </w:r>
      <w:proofErr w:type="spellStart"/>
      <w:r w:rsidRPr="00C51C9F">
        <w:rPr>
          <w:sz w:val="24"/>
          <w:szCs w:val="24"/>
        </w:rPr>
        <w:t>kardiovaskulære</w:t>
      </w:r>
      <w:proofErr w:type="spellEnd"/>
      <w:r w:rsidRPr="00C51C9F">
        <w:rPr>
          <w:sz w:val="24"/>
          <w:szCs w:val="24"/>
        </w:rPr>
        <w:t xml:space="preserve"> hændelser er blevet rapporteret fra observations- og kliniske studier. Som forebyggende foranstaltning frarådes derfor samtidig anvendelse af </w:t>
      </w:r>
      <w:proofErr w:type="spellStart"/>
      <w:r w:rsidRPr="00C51C9F">
        <w:rPr>
          <w:sz w:val="24"/>
          <w:szCs w:val="24"/>
        </w:rPr>
        <w:t>omeprazol</w:t>
      </w:r>
      <w:proofErr w:type="spellEnd"/>
      <w:r w:rsidRPr="00C51C9F">
        <w:rPr>
          <w:sz w:val="24"/>
          <w:szCs w:val="24"/>
        </w:rPr>
        <w:t xml:space="preserve"> og </w:t>
      </w:r>
      <w:proofErr w:type="spellStart"/>
      <w:r w:rsidRPr="00C51C9F">
        <w:rPr>
          <w:sz w:val="24"/>
          <w:szCs w:val="24"/>
        </w:rPr>
        <w:t>clopidogrel</w:t>
      </w:r>
      <w:proofErr w:type="spellEnd"/>
      <w:r w:rsidRPr="00C51C9F">
        <w:rPr>
          <w:sz w:val="24"/>
          <w:szCs w:val="24"/>
        </w:rPr>
        <w:t xml:space="preserve"> (se pkt. 4.4).</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i/>
          <w:sz w:val="24"/>
          <w:szCs w:val="24"/>
        </w:rPr>
      </w:pPr>
      <w:r w:rsidRPr="00B808B2">
        <w:rPr>
          <w:i/>
          <w:sz w:val="24"/>
          <w:szCs w:val="24"/>
        </w:rPr>
        <w:t>Andre lægemidler</w:t>
      </w:r>
    </w:p>
    <w:p w:rsidR="00037C49" w:rsidRPr="00B808B2" w:rsidRDefault="00037C49" w:rsidP="00037C49">
      <w:pPr>
        <w:shd w:val="clear" w:color="auto" w:fill="FFFFFF"/>
        <w:ind w:left="851"/>
        <w:rPr>
          <w:sz w:val="24"/>
          <w:szCs w:val="24"/>
        </w:rPr>
      </w:pPr>
      <w:r w:rsidRPr="00B808B2">
        <w:rPr>
          <w:sz w:val="24"/>
          <w:szCs w:val="24"/>
        </w:rPr>
        <w:t xml:space="preserve">Absorptionen af </w:t>
      </w:r>
      <w:proofErr w:type="spellStart"/>
      <w:r w:rsidRPr="00B808B2">
        <w:rPr>
          <w:sz w:val="24"/>
          <w:szCs w:val="24"/>
        </w:rPr>
        <w:t>posaconazol</w:t>
      </w:r>
      <w:proofErr w:type="spellEnd"/>
      <w:r w:rsidRPr="00B808B2">
        <w:rPr>
          <w:sz w:val="24"/>
          <w:szCs w:val="24"/>
        </w:rPr>
        <w:t xml:space="preserve">, </w:t>
      </w:r>
      <w:proofErr w:type="spellStart"/>
      <w:r w:rsidRPr="00B808B2">
        <w:rPr>
          <w:sz w:val="24"/>
          <w:szCs w:val="24"/>
        </w:rPr>
        <w:t>erlotinib</w:t>
      </w:r>
      <w:proofErr w:type="spellEnd"/>
      <w:r w:rsidRPr="00B808B2">
        <w:rPr>
          <w:sz w:val="24"/>
          <w:szCs w:val="24"/>
        </w:rPr>
        <w:t xml:space="preserve">, </w:t>
      </w:r>
      <w:proofErr w:type="spellStart"/>
      <w:r w:rsidRPr="00B808B2">
        <w:rPr>
          <w:sz w:val="24"/>
          <w:szCs w:val="24"/>
        </w:rPr>
        <w:t>ketoconazol</w:t>
      </w:r>
      <w:proofErr w:type="spellEnd"/>
      <w:r w:rsidRPr="00B808B2">
        <w:rPr>
          <w:sz w:val="24"/>
          <w:szCs w:val="24"/>
        </w:rPr>
        <w:t xml:space="preserve"> og </w:t>
      </w:r>
      <w:proofErr w:type="spellStart"/>
      <w:r w:rsidRPr="00B808B2">
        <w:rPr>
          <w:sz w:val="24"/>
          <w:szCs w:val="24"/>
        </w:rPr>
        <w:t>itraconazol</w:t>
      </w:r>
      <w:proofErr w:type="spellEnd"/>
      <w:r w:rsidRPr="00B808B2">
        <w:rPr>
          <w:sz w:val="24"/>
          <w:szCs w:val="24"/>
        </w:rPr>
        <w:t xml:space="preserve"> reduceres signifikant, og den kliniske effekt kan være nedsat. Med hensyn til </w:t>
      </w:r>
      <w:proofErr w:type="spellStart"/>
      <w:r w:rsidRPr="00B808B2">
        <w:rPr>
          <w:sz w:val="24"/>
          <w:szCs w:val="24"/>
        </w:rPr>
        <w:t>posaconazol</w:t>
      </w:r>
      <w:proofErr w:type="spellEnd"/>
      <w:r w:rsidRPr="00B808B2">
        <w:rPr>
          <w:sz w:val="24"/>
          <w:szCs w:val="24"/>
        </w:rPr>
        <w:t xml:space="preserve"> og </w:t>
      </w:r>
      <w:proofErr w:type="spellStart"/>
      <w:r w:rsidRPr="00B808B2">
        <w:rPr>
          <w:sz w:val="24"/>
          <w:szCs w:val="24"/>
        </w:rPr>
        <w:t>erlonitib</w:t>
      </w:r>
      <w:proofErr w:type="spellEnd"/>
      <w:r w:rsidRPr="00B808B2">
        <w:rPr>
          <w:sz w:val="24"/>
          <w:szCs w:val="24"/>
        </w:rPr>
        <w:t xml:space="preserve"> bør samtidig anvendelse undgås.</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r w:rsidRPr="00B808B2">
        <w:rPr>
          <w:i/>
          <w:sz w:val="24"/>
          <w:szCs w:val="24"/>
          <w:u w:val="single"/>
        </w:rPr>
        <w:t xml:space="preserve">Lægemidler, der </w:t>
      </w:r>
      <w:proofErr w:type="spellStart"/>
      <w:r w:rsidRPr="00B808B2">
        <w:rPr>
          <w:i/>
          <w:sz w:val="24"/>
          <w:szCs w:val="24"/>
          <w:u w:val="single"/>
        </w:rPr>
        <w:t>metaboliseres</w:t>
      </w:r>
      <w:proofErr w:type="spellEnd"/>
      <w:r w:rsidRPr="00B808B2">
        <w:rPr>
          <w:i/>
          <w:sz w:val="24"/>
          <w:szCs w:val="24"/>
          <w:u w:val="single"/>
        </w:rPr>
        <w:t xml:space="preserve"> via CYP2C19</w:t>
      </w:r>
    </w:p>
    <w:p w:rsidR="00037C49" w:rsidRPr="00B808B2" w:rsidRDefault="00037C49" w:rsidP="00037C49">
      <w:pPr>
        <w:shd w:val="clear" w:color="auto" w:fill="FFFFFF"/>
        <w:ind w:left="851"/>
        <w:rPr>
          <w:sz w:val="24"/>
          <w:szCs w:val="24"/>
        </w:rPr>
      </w:pPr>
      <w:proofErr w:type="spellStart"/>
      <w:r w:rsidRPr="00B808B2">
        <w:rPr>
          <w:sz w:val="24"/>
          <w:szCs w:val="24"/>
        </w:rPr>
        <w:t>Omeprazol</w:t>
      </w:r>
      <w:proofErr w:type="spellEnd"/>
      <w:r w:rsidRPr="00B808B2">
        <w:rPr>
          <w:sz w:val="24"/>
          <w:szCs w:val="24"/>
        </w:rPr>
        <w:t xml:space="preserve"> er en moderat inhibitor af CYP2C19, som er det primære enzym i </w:t>
      </w:r>
      <w:proofErr w:type="spellStart"/>
      <w:r w:rsidRPr="00B808B2">
        <w:rPr>
          <w:sz w:val="24"/>
          <w:szCs w:val="24"/>
        </w:rPr>
        <w:t>omeprazols</w:t>
      </w:r>
      <w:proofErr w:type="spellEnd"/>
      <w:r w:rsidRPr="00B808B2">
        <w:rPr>
          <w:sz w:val="24"/>
          <w:szCs w:val="24"/>
        </w:rPr>
        <w:t xml:space="preserve"> metabolisme. Derfor kan metabolismen af aktive stoffer, der indtages samtidig og </w:t>
      </w:r>
      <w:proofErr w:type="spellStart"/>
      <w:r w:rsidRPr="00B808B2">
        <w:rPr>
          <w:sz w:val="24"/>
          <w:szCs w:val="24"/>
        </w:rPr>
        <w:t>metaboliseres</w:t>
      </w:r>
      <w:proofErr w:type="spellEnd"/>
      <w:r w:rsidRPr="00B808B2">
        <w:rPr>
          <w:sz w:val="24"/>
          <w:szCs w:val="24"/>
        </w:rPr>
        <w:t xml:space="preserve"> af CYP2C19, nedsættes, og den systemiske eksponering for disse lægemidler øges. Eksempler på sådanne lægemidler er R-</w:t>
      </w:r>
      <w:proofErr w:type="spellStart"/>
      <w:r w:rsidRPr="00B808B2">
        <w:rPr>
          <w:sz w:val="24"/>
          <w:szCs w:val="24"/>
        </w:rPr>
        <w:t>warfarin</w:t>
      </w:r>
      <w:proofErr w:type="spellEnd"/>
      <w:r w:rsidRPr="00B808B2">
        <w:rPr>
          <w:sz w:val="24"/>
          <w:szCs w:val="24"/>
        </w:rPr>
        <w:t xml:space="preserve"> og andre </w:t>
      </w:r>
      <w:proofErr w:type="gramStart"/>
      <w:r w:rsidRPr="00B808B2">
        <w:rPr>
          <w:sz w:val="24"/>
          <w:szCs w:val="24"/>
        </w:rPr>
        <w:t>vitamin K-antagonister</w:t>
      </w:r>
      <w:proofErr w:type="gramEnd"/>
      <w:r w:rsidRPr="00B808B2">
        <w:rPr>
          <w:sz w:val="24"/>
          <w:szCs w:val="24"/>
        </w:rPr>
        <w:t xml:space="preserve">, </w:t>
      </w:r>
      <w:proofErr w:type="spellStart"/>
      <w:r w:rsidRPr="00B808B2">
        <w:rPr>
          <w:sz w:val="24"/>
          <w:szCs w:val="24"/>
        </w:rPr>
        <w:t>cilostazol</w:t>
      </w:r>
      <w:proofErr w:type="spellEnd"/>
      <w:r w:rsidRPr="00B808B2">
        <w:rPr>
          <w:sz w:val="24"/>
          <w:szCs w:val="24"/>
        </w:rPr>
        <w:t xml:space="preserve">, </w:t>
      </w:r>
      <w:proofErr w:type="spellStart"/>
      <w:r w:rsidRPr="00B808B2">
        <w:rPr>
          <w:sz w:val="24"/>
          <w:szCs w:val="24"/>
        </w:rPr>
        <w:t>diazepam</w:t>
      </w:r>
      <w:proofErr w:type="spellEnd"/>
      <w:r w:rsidRPr="00B808B2">
        <w:rPr>
          <w:sz w:val="24"/>
          <w:szCs w:val="24"/>
        </w:rPr>
        <w:t xml:space="preserve"> og </w:t>
      </w:r>
      <w:proofErr w:type="spellStart"/>
      <w:r w:rsidRPr="00B808B2">
        <w:rPr>
          <w:sz w:val="24"/>
          <w:szCs w:val="24"/>
        </w:rPr>
        <w:t>phenytoin</w:t>
      </w:r>
      <w:proofErr w:type="spellEnd"/>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Cilostazol</w:t>
      </w:r>
      <w:proofErr w:type="spellEnd"/>
    </w:p>
    <w:p w:rsidR="00037C49" w:rsidRPr="00B808B2" w:rsidRDefault="00037C49" w:rsidP="00037C49">
      <w:pPr>
        <w:shd w:val="clear" w:color="auto" w:fill="FFFFFF"/>
        <w:ind w:left="851"/>
        <w:rPr>
          <w:sz w:val="24"/>
          <w:szCs w:val="24"/>
        </w:rPr>
      </w:pPr>
      <w:proofErr w:type="spellStart"/>
      <w:r w:rsidRPr="00B808B2">
        <w:rPr>
          <w:sz w:val="24"/>
          <w:szCs w:val="24"/>
        </w:rPr>
        <w:t>Omeprazol</w:t>
      </w:r>
      <w:proofErr w:type="spellEnd"/>
      <w:r w:rsidRPr="00B808B2">
        <w:rPr>
          <w:sz w:val="24"/>
          <w:szCs w:val="24"/>
        </w:rPr>
        <w:t xml:space="preserve"> givet i doser på 40 mg til raske frivillige i en cross-over undersøgelse øgede </w:t>
      </w:r>
      <w:proofErr w:type="spellStart"/>
      <w:r w:rsidRPr="00B808B2">
        <w:rPr>
          <w:sz w:val="24"/>
          <w:szCs w:val="24"/>
        </w:rPr>
        <w:t>C</w:t>
      </w:r>
      <w:r w:rsidRPr="00B808B2">
        <w:rPr>
          <w:sz w:val="24"/>
          <w:szCs w:val="24"/>
          <w:vertAlign w:val="subscript"/>
        </w:rPr>
        <w:t>max</w:t>
      </w:r>
      <w:proofErr w:type="spellEnd"/>
      <w:r w:rsidRPr="00B808B2">
        <w:rPr>
          <w:sz w:val="24"/>
          <w:szCs w:val="24"/>
          <w:vertAlign w:val="subscript"/>
        </w:rPr>
        <w:t xml:space="preserve"> </w:t>
      </w:r>
      <w:r w:rsidRPr="00B808B2">
        <w:rPr>
          <w:sz w:val="24"/>
          <w:szCs w:val="24"/>
        </w:rPr>
        <w:t xml:space="preserve">og arealet under plasmakoncentration-tid-kurven (AUC) for </w:t>
      </w:r>
      <w:proofErr w:type="spellStart"/>
      <w:r w:rsidRPr="00B808B2">
        <w:rPr>
          <w:sz w:val="24"/>
          <w:szCs w:val="24"/>
        </w:rPr>
        <w:t>cilostazol</w:t>
      </w:r>
      <w:proofErr w:type="spellEnd"/>
      <w:r w:rsidRPr="00B808B2">
        <w:rPr>
          <w:sz w:val="24"/>
          <w:szCs w:val="24"/>
        </w:rPr>
        <w:t xml:space="preserve"> med henholdsvis 18 % og 26 % og for en af dets aktive metabolitter med henholdsvis 29 % og 69 %.</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Phenytoin</w:t>
      </w:r>
      <w:proofErr w:type="spellEnd"/>
    </w:p>
    <w:p w:rsidR="00037C49" w:rsidRPr="00B808B2" w:rsidRDefault="00037C49" w:rsidP="00037C49">
      <w:pPr>
        <w:shd w:val="clear" w:color="auto" w:fill="FFFFFF"/>
        <w:ind w:left="851"/>
        <w:rPr>
          <w:sz w:val="24"/>
          <w:szCs w:val="24"/>
        </w:rPr>
      </w:pPr>
      <w:r w:rsidRPr="00B808B2">
        <w:rPr>
          <w:sz w:val="24"/>
          <w:szCs w:val="24"/>
        </w:rPr>
        <w:t xml:space="preserve">Det anbefales at monitorere plasmakoncentrationen af </w:t>
      </w:r>
      <w:proofErr w:type="spellStart"/>
      <w:r w:rsidRPr="00B808B2">
        <w:rPr>
          <w:sz w:val="24"/>
          <w:szCs w:val="24"/>
        </w:rPr>
        <w:t>phenytoin</w:t>
      </w:r>
      <w:proofErr w:type="spellEnd"/>
      <w:r w:rsidRPr="00B808B2">
        <w:rPr>
          <w:sz w:val="24"/>
          <w:szCs w:val="24"/>
        </w:rPr>
        <w:t xml:space="preserve"> de to første uger efter initiering af </w:t>
      </w:r>
      <w:proofErr w:type="spellStart"/>
      <w:r w:rsidRPr="00B808B2">
        <w:rPr>
          <w:sz w:val="24"/>
          <w:szCs w:val="24"/>
        </w:rPr>
        <w:t>omeprazolbehandling</w:t>
      </w:r>
      <w:proofErr w:type="spellEnd"/>
      <w:r w:rsidRPr="00B808B2">
        <w:rPr>
          <w:sz w:val="24"/>
          <w:szCs w:val="24"/>
        </w:rPr>
        <w:t xml:space="preserve">. Såfremt </w:t>
      </w:r>
      <w:proofErr w:type="spellStart"/>
      <w:r w:rsidRPr="00B808B2">
        <w:rPr>
          <w:sz w:val="24"/>
          <w:szCs w:val="24"/>
        </w:rPr>
        <w:t>phenytoindosis</w:t>
      </w:r>
      <w:proofErr w:type="spellEnd"/>
      <w:r w:rsidRPr="00B808B2">
        <w:rPr>
          <w:sz w:val="24"/>
          <w:szCs w:val="24"/>
        </w:rPr>
        <w:t xml:space="preserve"> justeres, anbefales monitorering og yderligere dosisjustering ved afslutning af </w:t>
      </w:r>
      <w:proofErr w:type="spellStart"/>
      <w:r w:rsidRPr="00B808B2">
        <w:rPr>
          <w:sz w:val="24"/>
          <w:szCs w:val="24"/>
        </w:rPr>
        <w:t>omprazolbehandling</w:t>
      </w:r>
      <w:proofErr w:type="spellEnd"/>
      <w:r w:rsidRPr="00B808B2">
        <w:rPr>
          <w:sz w:val="24"/>
          <w:szCs w:val="24"/>
        </w:rPr>
        <w: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r w:rsidRPr="00B808B2">
        <w:rPr>
          <w:sz w:val="24"/>
          <w:szCs w:val="24"/>
          <w:u w:val="single"/>
        </w:rPr>
        <w:t>Ukendt mekanisme</w:t>
      </w:r>
    </w:p>
    <w:p w:rsidR="00037C49" w:rsidRPr="00B808B2" w:rsidRDefault="00037C49" w:rsidP="00037C49">
      <w:pPr>
        <w:shd w:val="clear" w:color="auto" w:fill="FFFFFF"/>
        <w:ind w:left="851"/>
        <w:rPr>
          <w:sz w:val="24"/>
          <w:szCs w:val="24"/>
        </w:rPr>
      </w:pPr>
      <w:proofErr w:type="spellStart"/>
      <w:r w:rsidRPr="00B808B2">
        <w:rPr>
          <w:i/>
          <w:sz w:val="24"/>
          <w:szCs w:val="24"/>
        </w:rPr>
        <w:t>Saquinavir</w:t>
      </w:r>
      <w:proofErr w:type="spellEnd"/>
    </w:p>
    <w:p w:rsidR="00037C49" w:rsidRDefault="00037C49" w:rsidP="00037C49">
      <w:pPr>
        <w:shd w:val="clear" w:color="auto" w:fill="FFFFFF"/>
        <w:ind w:left="851"/>
        <w:rPr>
          <w:sz w:val="24"/>
          <w:szCs w:val="24"/>
        </w:rPr>
      </w:pPr>
      <w:r w:rsidRPr="00B808B2">
        <w:rPr>
          <w:sz w:val="24"/>
          <w:szCs w:val="24"/>
        </w:rPr>
        <w:t xml:space="preserve">Samtidig administration af </w:t>
      </w:r>
      <w:proofErr w:type="spellStart"/>
      <w:r w:rsidRPr="00B808B2">
        <w:rPr>
          <w:sz w:val="24"/>
          <w:szCs w:val="24"/>
        </w:rPr>
        <w:t>omeprazol</w:t>
      </w:r>
      <w:proofErr w:type="spellEnd"/>
      <w:r w:rsidRPr="00B808B2">
        <w:rPr>
          <w:sz w:val="24"/>
          <w:szCs w:val="24"/>
        </w:rPr>
        <w:t xml:space="preserve"> og </w:t>
      </w:r>
      <w:proofErr w:type="spellStart"/>
      <w:r w:rsidRPr="00B808B2">
        <w:rPr>
          <w:sz w:val="24"/>
          <w:szCs w:val="24"/>
        </w:rPr>
        <w:t>saquinavir</w:t>
      </w:r>
      <w:proofErr w:type="spellEnd"/>
      <w:r w:rsidRPr="00B808B2">
        <w:rPr>
          <w:sz w:val="24"/>
          <w:szCs w:val="24"/>
        </w:rPr>
        <w:t>/</w:t>
      </w:r>
      <w:proofErr w:type="spellStart"/>
      <w:r w:rsidRPr="00B808B2">
        <w:rPr>
          <w:sz w:val="24"/>
          <w:szCs w:val="24"/>
        </w:rPr>
        <w:t>ritonavir</w:t>
      </w:r>
      <w:proofErr w:type="spellEnd"/>
      <w:r w:rsidRPr="00B808B2">
        <w:rPr>
          <w:sz w:val="24"/>
          <w:szCs w:val="24"/>
        </w:rPr>
        <w:t xml:space="preserve"> resulterede i øgede plasmakoncentrationer af </w:t>
      </w:r>
      <w:proofErr w:type="spellStart"/>
      <w:r w:rsidRPr="00B808B2">
        <w:rPr>
          <w:sz w:val="24"/>
          <w:szCs w:val="24"/>
        </w:rPr>
        <w:t>saquinavir</w:t>
      </w:r>
      <w:proofErr w:type="spellEnd"/>
      <w:r w:rsidRPr="00B808B2">
        <w:rPr>
          <w:sz w:val="24"/>
          <w:szCs w:val="24"/>
        </w:rPr>
        <w:t xml:space="preserve"> på op til omkring 70 %. Dette var forbundet med god </w:t>
      </w:r>
      <w:proofErr w:type="spellStart"/>
      <w:r w:rsidRPr="00B808B2">
        <w:rPr>
          <w:sz w:val="24"/>
          <w:szCs w:val="24"/>
        </w:rPr>
        <w:t>tolerabilitet</w:t>
      </w:r>
      <w:proofErr w:type="spellEnd"/>
      <w:r w:rsidRPr="00B808B2">
        <w:rPr>
          <w:sz w:val="24"/>
          <w:szCs w:val="24"/>
        </w:rPr>
        <w:t xml:space="preserve"> i HIV-inficerede patienter.</w:t>
      </w:r>
    </w:p>
    <w:p w:rsidR="00037C49"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proofErr w:type="spellStart"/>
      <w:r w:rsidRPr="00B808B2">
        <w:rPr>
          <w:i/>
          <w:sz w:val="24"/>
          <w:szCs w:val="24"/>
        </w:rPr>
        <w:t>Tacrolimus</w:t>
      </w:r>
      <w:proofErr w:type="spellEnd"/>
    </w:p>
    <w:p w:rsidR="00037C49" w:rsidRPr="00B808B2" w:rsidRDefault="00037C49" w:rsidP="00037C49">
      <w:pPr>
        <w:shd w:val="clear" w:color="auto" w:fill="FFFFFF"/>
        <w:ind w:left="851"/>
        <w:rPr>
          <w:sz w:val="24"/>
          <w:szCs w:val="24"/>
        </w:rPr>
      </w:pPr>
      <w:r w:rsidRPr="00B808B2">
        <w:rPr>
          <w:sz w:val="24"/>
          <w:szCs w:val="24"/>
        </w:rPr>
        <w:t xml:space="preserve">Det er rapporteret, at samtidig administration af </w:t>
      </w:r>
      <w:proofErr w:type="spellStart"/>
      <w:r w:rsidRPr="00B808B2">
        <w:rPr>
          <w:sz w:val="24"/>
          <w:szCs w:val="24"/>
        </w:rPr>
        <w:t>omeprazol</w:t>
      </w:r>
      <w:proofErr w:type="spellEnd"/>
      <w:r w:rsidRPr="00B808B2">
        <w:rPr>
          <w:sz w:val="24"/>
          <w:szCs w:val="24"/>
        </w:rPr>
        <w:t xml:space="preserve"> øger serumniveauet af </w:t>
      </w:r>
      <w:proofErr w:type="spellStart"/>
      <w:r w:rsidRPr="00B808B2">
        <w:rPr>
          <w:sz w:val="24"/>
          <w:szCs w:val="24"/>
        </w:rPr>
        <w:t>tacrolimus</w:t>
      </w:r>
      <w:proofErr w:type="spellEnd"/>
      <w:r w:rsidRPr="00B808B2">
        <w:rPr>
          <w:sz w:val="24"/>
          <w:szCs w:val="24"/>
        </w:rPr>
        <w:t xml:space="preserve">. Koncentrationen af </w:t>
      </w:r>
      <w:proofErr w:type="spellStart"/>
      <w:r w:rsidRPr="00B808B2">
        <w:rPr>
          <w:sz w:val="24"/>
          <w:szCs w:val="24"/>
        </w:rPr>
        <w:t>tacrolimus</w:t>
      </w:r>
      <w:proofErr w:type="spellEnd"/>
      <w:r w:rsidRPr="00B808B2">
        <w:rPr>
          <w:sz w:val="24"/>
          <w:szCs w:val="24"/>
        </w:rPr>
        <w:t xml:space="preserve"> samt nyrefunktionen (</w:t>
      </w:r>
      <w:proofErr w:type="spellStart"/>
      <w:r w:rsidRPr="00B808B2">
        <w:rPr>
          <w:sz w:val="24"/>
          <w:szCs w:val="24"/>
        </w:rPr>
        <w:t>kreatininclearance</w:t>
      </w:r>
      <w:proofErr w:type="spellEnd"/>
      <w:r w:rsidRPr="00B808B2">
        <w:rPr>
          <w:sz w:val="24"/>
          <w:szCs w:val="24"/>
        </w:rPr>
        <w:t xml:space="preserve">) bør monitoreres, og </w:t>
      </w:r>
      <w:proofErr w:type="spellStart"/>
      <w:r w:rsidRPr="00B808B2">
        <w:rPr>
          <w:sz w:val="24"/>
          <w:szCs w:val="24"/>
        </w:rPr>
        <w:t>tacrolimusdosis</w:t>
      </w:r>
      <w:proofErr w:type="spellEnd"/>
      <w:r w:rsidRPr="00B808B2">
        <w:rPr>
          <w:sz w:val="24"/>
          <w:szCs w:val="24"/>
        </w:rPr>
        <w:t xml:space="preserve"> justeres om nødvendigt.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bCs/>
          <w:i/>
          <w:sz w:val="24"/>
          <w:szCs w:val="24"/>
        </w:rPr>
      </w:pPr>
      <w:proofErr w:type="spellStart"/>
      <w:r w:rsidRPr="00B808B2">
        <w:rPr>
          <w:bCs/>
          <w:i/>
          <w:sz w:val="24"/>
          <w:szCs w:val="24"/>
        </w:rPr>
        <w:t>Methotrexat</w:t>
      </w:r>
      <w:proofErr w:type="spellEnd"/>
    </w:p>
    <w:p w:rsidR="00037C49" w:rsidRPr="00B808B2" w:rsidRDefault="00037C49" w:rsidP="00037C49">
      <w:pPr>
        <w:shd w:val="clear" w:color="auto" w:fill="FFFFFF"/>
        <w:ind w:left="851"/>
        <w:rPr>
          <w:bCs/>
          <w:sz w:val="24"/>
          <w:szCs w:val="24"/>
        </w:rPr>
      </w:pPr>
      <w:r w:rsidRPr="00B808B2">
        <w:rPr>
          <w:bCs/>
          <w:sz w:val="24"/>
          <w:szCs w:val="24"/>
        </w:rPr>
        <w:t xml:space="preserve">Ved samtidig administration af </w:t>
      </w:r>
      <w:proofErr w:type="spellStart"/>
      <w:r w:rsidRPr="00B808B2">
        <w:rPr>
          <w:bCs/>
          <w:sz w:val="24"/>
          <w:szCs w:val="24"/>
        </w:rPr>
        <w:t>protonpumpehæmmere</w:t>
      </w:r>
      <w:proofErr w:type="spellEnd"/>
      <w:r w:rsidRPr="00B808B2">
        <w:rPr>
          <w:bCs/>
          <w:sz w:val="24"/>
          <w:szCs w:val="24"/>
        </w:rPr>
        <w:t xml:space="preserve"> er der set stigende </w:t>
      </w:r>
      <w:proofErr w:type="spellStart"/>
      <w:r w:rsidRPr="00B808B2">
        <w:rPr>
          <w:bCs/>
          <w:sz w:val="24"/>
          <w:szCs w:val="24"/>
        </w:rPr>
        <w:t>methotrexatkoncentrationer</w:t>
      </w:r>
      <w:proofErr w:type="spellEnd"/>
      <w:r w:rsidRPr="00B808B2">
        <w:rPr>
          <w:bCs/>
          <w:sz w:val="24"/>
          <w:szCs w:val="24"/>
        </w:rPr>
        <w:t xml:space="preserve"> hos nogle patienter. Ved administration af </w:t>
      </w:r>
      <w:proofErr w:type="spellStart"/>
      <w:r w:rsidRPr="00B808B2">
        <w:rPr>
          <w:bCs/>
          <w:sz w:val="24"/>
          <w:szCs w:val="24"/>
        </w:rPr>
        <w:t>methotrexat</w:t>
      </w:r>
      <w:proofErr w:type="spellEnd"/>
      <w:r w:rsidRPr="00B808B2">
        <w:rPr>
          <w:bCs/>
          <w:sz w:val="24"/>
          <w:szCs w:val="24"/>
        </w:rPr>
        <w:t xml:space="preserve"> i høj dosis kan det være nødvendigt midlertidigt at seponere administrationen af </w:t>
      </w:r>
      <w:proofErr w:type="spellStart"/>
      <w:r w:rsidRPr="00B808B2">
        <w:rPr>
          <w:bCs/>
          <w:sz w:val="24"/>
          <w:szCs w:val="24"/>
        </w:rPr>
        <w:t>omeprazol</w:t>
      </w:r>
      <w:proofErr w:type="spellEnd"/>
      <w:r w:rsidRPr="00B808B2">
        <w:rPr>
          <w:bCs/>
          <w:sz w:val="24"/>
          <w:szCs w:val="24"/>
        </w:rPr>
        <w:t>.</w:t>
      </w:r>
    </w:p>
    <w:p w:rsidR="00037C49" w:rsidRPr="00B808B2" w:rsidRDefault="00037C49" w:rsidP="00037C49">
      <w:pPr>
        <w:shd w:val="clear" w:color="auto" w:fill="FFFFFF"/>
        <w:ind w:left="851"/>
        <w:rPr>
          <w:bCs/>
          <w:sz w:val="24"/>
          <w:szCs w:val="24"/>
        </w:rPr>
      </w:pPr>
    </w:p>
    <w:p w:rsidR="00037C49" w:rsidRPr="00B808B2" w:rsidRDefault="00037C49" w:rsidP="00037C49">
      <w:pPr>
        <w:shd w:val="clear" w:color="auto" w:fill="FFFFFF"/>
        <w:ind w:left="851"/>
        <w:rPr>
          <w:sz w:val="24"/>
          <w:szCs w:val="24"/>
          <w:u w:val="single"/>
        </w:rPr>
      </w:pPr>
      <w:r w:rsidRPr="00B808B2">
        <w:rPr>
          <w:sz w:val="24"/>
          <w:szCs w:val="24"/>
          <w:u w:val="single"/>
        </w:rPr>
        <w:t xml:space="preserve">Andre lægemidlers virkning på </w:t>
      </w:r>
      <w:proofErr w:type="spellStart"/>
      <w:r w:rsidRPr="00B808B2">
        <w:rPr>
          <w:sz w:val="24"/>
          <w:szCs w:val="24"/>
          <w:u w:val="single"/>
        </w:rPr>
        <w:t>omeprazols</w:t>
      </w:r>
      <w:proofErr w:type="spellEnd"/>
      <w:r w:rsidRPr="00B808B2">
        <w:rPr>
          <w:sz w:val="24"/>
          <w:szCs w:val="24"/>
          <w:u w:val="single"/>
        </w:rPr>
        <w:t xml:space="preserve"> farmakokinetik</w:t>
      </w:r>
    </w:p>
    <w:p w:rsidR="00037C49" w:rsidRPr="00B808B2" w:rsidRDefault="00037C49" w:rsidP="00037C49">
      <w:pPr>
        <w:shd w:val="clear" w:color="auto" w:fill="FFFFFF"/>
        <w:ind w:left="851"/>
        <w:rPr>
          <w:i/>
          <w:sz w:val="24"/>
          <w:szCs w:val="24"/>
          <w:u w:val="single"/>
        </w:rPr>
      </w:pPr>
    </w:p>
    <w:p w:rsidR="00037C49" w:rsidRPr="00B808B2" w:rsidRDefault="00037C49" w:rsidP="00037C49">
      <w:pPr>
        <w:shd w:val="clear" w:color="auto" w:fill="FFFFFF"/>
        <w:ind w:left="851"/>
        <w:rPr>
          <w:i/>
          <w:sz w:val="24"/>
          <w:szCs w:val="24"/>
          <w:u w:val="single"/>
        </w:rPr>
      </w:pPr>
      <w:r w:rsidRPr="00B808B2">
        <w:rPr>
          <w:i/>
          <w:sz w:val="24"/>
          <w:szCs w:val="24"/>
          <w:u w:val="single"/>
        </w:rPr>
        <w:t>Inhibitorer af CYP2C19 og/eller CYP3A4</w:t>
      </w:r>
    </w:p>
    <w:p w:rsidR="00037C49" w:rsidRPr="00B808B2" w:rsidRDefault="00037C49" w:rsidP="00037C49">
      <w:pPr>
        <w:shd w:val="clear" w:color="auto" w:fill="FFFFFF"/>
        <w:ind w:left="851"/>
        <w:rPr>
          <w:sz w:val="24"/>
          <w:szCs w:val="24"/>
        </w:rPr>
      </w:pPr>
      <w:r w:rsidRPr="00B808B2">
        <w:rPr>
          <w:sz w:val="24"/>
          <w:szCs w:val="24"/>
        </w:rPr>
        <w:t xml:space="preserve">Da </w:t>
      </w:r>
      <w:proofErr w:type="spellStart"/>
      <w:r w:rsidRPr="00B808B2">
        <w:rPr>
          <w:sz w:val="24"/>
          <w:szCs w:val="24"/>
        </w:rPr>
        <w:t>omeprazol</w:t>
      </w:r>
      <w:proofErr w:type="spellEnd"/>
      <w:r w:rsidRPr="00B808B2">
        <w:rPr>
          <w:sz w:val="24"/>
          <w:szCs w:val="24"/>
        </w:rPr>
        <w:t xml:space="preserve"> </w:t>
      </w:r>
      <w:proofErr w:type="spellStart"/>
      <w:r w:rsidRPr="00B808B2">
        <w:rPr>
          <w:sz w:val="24"/>
          <w:szCs w:val="24"/>
        </w:rPr>
        <w:t>metaboliseres</w:t>
      </w:r>
      <w:proofErr w:type="spellEnd"/>
      <w:r w:rsidRPr="00B808B2">
        <w:rPr>
          <w:sz w:val="24"/>
          <w:szCs w:val="24"/>
        </w:rPr>
        <w:t xml:space="preserve"> via CYP2C19 og CYP3A4, kan lægemidler, der hæmmer CYP2C19 eller CYP3A4 (såsom </w:t>
      </w:r>
      <w:proofErr w:type="spellStart"/>
      <w:r w:rsidRPr="00B808B2">
        <w:rPr>
          <w:sz w:val="24"/>
          <w:szCs w:val="24"/>
        </w:rPr>
        <w:t>clarithromycin</w:t>
      </w:r>
      <w:proofErr w:type="spellEnd"/>
      <w:r w:rsidRPr="00B808B2">
        <w:rPr>
          <w:sz w:val="24"/>
          <w:szCs w:val="24"/>
        </w:rPr>
        <w:t xml:space="preserve"> og </w:t>
      </w:r>
      <w:proofErr w:type="spellStart"/>
      <w:r w:rsidRPr="00B808B2">
        <w:rPr>
          <w:sz w:val="24"/>
          <w:szCs w:val="24"/>
        </w:rPr>
        <w:t>voriconazol</w:t>
      </w:r>
      <w:proofErr w:type="spellEnd"/>
      <w:r w:rsidRPr="00B808B2">
        <w:rPr>
          <w:sz w:val="24"/>
          <w:szCs w:val="24"/>
        </w:rPr>
        <w:t xml:space="preserve">), medføre øgede serumniveauer af </w:t>
      </w:r>
      <w:proofErr w:type="spellStart"/>
      <w:r w:rsidRPr="00B808B2">
        <w:rPr>
          <w:sz w:val="24"/>
          <w:szCs w:val="24"/>
        </w:rPr>
        <w:t>omprazol</w:t>
      </w:r>
      <w:proofErr w:type="spellEnd"/>
      <w:r w:rsidRPr="00B808B2">
        <w:rPr>
          <w:sz w:val="24"/>
          <w:szCs w:val="24"/>
        </w:rPr>
        <w:t xml:space="preserve">, idet </w:t>
      </w:r>
      <w:proofErr w:type="spellStart"/>
      <w:r w:rsidRPr="00B808B2">
        <w:rPr>
          <w:sz w:val="24"/>
          <w:szCs w:val="24"/>
        </w:rPr>
        <w:t>omeprazols</w:t>
      </w:r>
      <w:proofErr w:type="spellEnd"/>
      <w:r w:rsidRPr="00B808B2">
        <w:rPr>
          <w:sz w:val="24"/>
          <w:szCs w:val="24"/>
        </w:rPr>
        <w:t xml:space="preserve"> </w:t>
      </w:r>
      <w:proofErr w:type="spellStart"/>
      <w:r w:rsidRPr="00B808B2">
        <w:rPr>
          <w:sz w:val="24"/>
          <w:szCs w:val="24"/>
        </w:rPr>
        <w:t>metaboliseringshastighed</w:t>
      </w:r>
      <w:proofErr w:type="spellEnd"/>
      <w:r w:rsidRPr="00B808B2">
        <w:rPr>
          <w:sz w:val="24"/>
          <w:szCs w:val="24"/>
        </w:rPr>
        <w:t xml:space="preserve"> falder. Samtidig behandling med </w:t>
      </w:r>
      <w:proofErr w:type="spellStart"/>
      <w:r w:rsidRPr="00B808B2">
        <w:rPr>
          <w:sz w:val="24"/>
          <w:szCs w:val="24"/>
        </w:rPr>
        <w:t>voriconazol</w:t>
      </w:r>
      <w:proofErr w:type="spellEnd"/>
      <w:r w:rsidRPr="00B808B2">
        <w:rPr>
          <w:sz w:val="24"/>
          <w:szCs w:val="24"/>
        </w:rPr>
        <w:t xml:space="preserve"> resulterede i mere end en fordobling af </w:t>
      </w:r>
      <w:proofErr w:type="spellStart"/>
      <w:r w:rsidRPr="00B808B2">
        <w:rPr>
          <w:sz w:val="24"/>
          <w:szCs w:val="24"/>
        </w:rPr>
        <w:t>omeprazol</w:t>
      </w:r>
      <w:r w:rsidR="0052561D">
        <w:rPr>
          <w:sz w:val="24"/>
          <w:szCs w:val="24"/>
        </w:rPr>
        <w:softHyphen/>
      </w:r>
      <w:r w:rsidRPr="00B808B2">
        <w:rPr>
          <w:sz w:val="24"/>
          <w:szCs w:val="24"/>
        </w:rPr>
        <w:t>eksponeringen</w:t>
      </w:r>
      <w:proofErr w:type="spellEnd"/>
      <w:r w:rsidRPr="00B808B2">
        <w:rPr>
          <w:sz w:val="24"/>
          <w:szCs w:val="24"/>
        </w:rPr>
        <w:t xml:space="preserve">. Eftersom høje doser af </w:t>
      </w:r>
      <w:proofErr w:type="spellStart"/>
      <w:r w:rsidRPr="00B808B2">
        <w:rPr>
          <w:sz w:val="24"/>
          <w:szCs w:val="24"/>
        </w:rPr>
        <w:t>omeprazol</w:t>
      </w:r>
      <w:proofErr w:type="spellEnd"/>
      <w:r w:rsidRPr="00B808B2">
        <w:rPr>
          <w:sz w:val="24"/>
          <w:szCs w:val="24"/>
        </w:rPr>
        <w:t xml:space="preserve"> har været veltolereret, er det typisk ikke nødvendigt at justere </w:t>
      </w:r>
      <w:proofErr w:type="spellStart"/>
      <w:r w:rsidRPr="00B808B2">
        <w:rPr>
          <w:sz w:val="24"/>
          <w:szCs w:val="24"/>
        </w:rPr>
        <w:t>omeprazoldosis</w:t>
      </w:r>
      <w:proofErr w:type="spellEnd"/>
      <w:r w:rsidRPr="00B808B2">
        <w:rPr>
          <w:sz w:val="24"/>
          <w:szCs w:val="24"/>
        </w:rPr>
        <w:t>. Dog bør dosisjustering overvejes hos patienter med alvorligt nedsat leverfunktion, og hvis langvarig behandling er indiceret.</w:t>
      </w:r>
    </w:p>
    <w:p w:rsidR="00037C49" w:rsidRPr="00B808B2" w:rsidRDefault="00037C49" w:rsidP="00037C49">
      <w:pPr>
        <w:shd w:val="clear" w:color="auto" w:fill="FFFFFF"/>
        <w:ind w:left="851"/>
        <w:rPr>
          <w:sz w:val="24"/>
          <w:szCs w:val="24"/>
        </w:rPr>
      </w:pPr>
    </w:p>
    <w:p w:rsidR="00037C49" w:rsidRPr="00B808B2" w:rsidRDefault="00037C49" w:rsidP="00037C49">
      <w:pPr>
        <w:shd w:val="clear" w:color="auto" w:fill="FFFFFF"/>
        <w:ind w:left="851"/>
        <w:rPr>
          <w:sz w:val="24"/>
          <w:szCs w:val="24"/>
        </w:rPr>
      </w:pPr>
      <w:r w:rsidRPr="00B808B2">
        <w:rPr>
          <w:i/>
          <w:sz w:val="24"/>
          <w:szCs w:val="24"/>
          <w:u w:val="single"/>
        </w:rPr>
        <w:t>Induktorer af CYP2C19 og/eller CYP3A4</w:t>
      </w:r>
    </w:p>
    <w:p w:rsidR="00037C49" w:rsidRPr="00B808B2" w:rsidRDefault="00037C49" w:rsidP="00037C49">
      <w:pPr>
        <w:shd w:val="clear" w:color="auto" w:fill="FFFFFF"/>
        <w:ind w:left="851"/>
        <w:rPr>
          <w:sz w:val="24"/>
          <w:szCs w:val="24"/>
        </w:rPr>
      </w:pPr>
      <w:r w:rsidRPr="00B808B2">
        <w:rPr>
          <w:sz w:val="24"/>
          <w:szCs w:val="24"/>
        </w:rPr>
        <w:t xml:space="preserve">Lægemidler, der inducerer CYP2C19 eller CYP3A4 eller begge (såsom </w:t>
      </w:r>
      <w:proofErr w:type="spellStart"/>
      <w:r w:rsidRPr="00B808B2">
        <w:rPr>
          <w:sz w:val="24"/>
          <w:szCs w:val="24"/>
        </w:rPr>
        <w:t>rifampicin</w:t>
      </w:r>
      <w:proofErr w:type="spellEnd"/>
      <w:r w:rsidRPr="00B808B2">
        <w:rPr>
          <w:sz w:val="24"/>
          <w:szCs w:val="24"/>
        </w:rPr>
        <w:t xml:space="preserve"> og perikon), kan medføre nedsat serumkoncentration af </w:t>
      </w:r>
      <w:proofErr w:type="spellStart"/>
      <w:r w:rsidRPr="00B808B2">
        <w:rPr>
          <w:sz w:val="24"/>
          <w:szCs w:val="24"/>
        </w:rPr>
        <w:t>omeprazol</w:t>
      </w:r>
      <w:proofErr w:type="spellEnd"/>
      <w:r w:rsidRPr="00B808B2">
        <w:rPr>
          <w:sz w:val="24"/>
          <w:szCs w:val="24"/>
        </w:rPr>
        <w:t xml:space="preserve">, idet </w:t>
      </w:r>
      <w:proofErr w:type="spellStart"/>
      <w:r w:rsidRPr="00B808B2">
        <w:rPr>
          <w:sz w:val="24"/>
          <w:szCs w:val="24"/>
        </w:rPr>
        <w:t>omeprazols</w:t>
      </w:r>
      <w:proofErr w:type="spellEnd"/>
      <w:r w:rsidRPr="00B808B2">
        <w:rPr>
          <w:sz w:val="24"/>
          <w:szCs w:val="24"/>
        </w:rPr>
        <w:t xml:space="preserve"> </w:t>
      </w:r>
      <w:proofErr w:type="spellStart"/>
      <w:r w:rsidRPr="00B808B2">
        <w:rPr>
          <w:sz w:val="24"/>
          <w:szCs w:val="24"/>
        </w:rPr>
        <w:t>metaboliseringshastighed</w:t>
      </w:r>
      <w:proofErr w:type="spellEnd"/>
      <w:r w:rsidRPr="00B808B2">
        <w:rPr>
          <w:sz w:val="24"/>
          <w:szCs w:val="24"/>
        </w:rPr>
        <w:t xml:space="preserve"> øges.</w:t>
      </w:r>
    </w:p>
    <w:p w:rsidR="00037C49" w:rsidRPr="00B808B2" w:rsidRDefault="00037C49" w:rsidP="00037C49">
      <w:pPr>
        <w:shd w:val="clear" w:color="auto" w:fill="FFFFFF"/>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4.6</w:t>
      </w:r>
      <w:r w:rsidRPr="00B808B2">
        <w:rPr>
          <w:b/>
          <w:sz w:val="24"/>
          <w:szCs w:val="24"/>
        </w:rPr>
        <w:tab/>
      </w:r>
      <w:r w:rsidR="000039DD">
        <w:rPr>
          <w:b/>
          <w:sz w:val="24"/>
          <w:szCs w:val="24"/>
        </w:rPr>
        <w:t>Fertilitet, g</w:t>
      </w:r>
      <w:r w:rsidRPr="00B808B2">
        <w:rPr>
          <w:b/>
          <w:sz w:val="24"/>
          <w:szCs w:val="24"/>
        </w:rPr>
        <w:t>raviditet og amning</w:t>
      </w:r>
    </w:p>
    <w:p w:rsidR="0052561D" w:rsidRDefault="0052561D" w:rsidP="00037C49">
      <w:pPr>
        <w:shd w:val="clear" w:color="auto" w:fill="FFFFFF"/>
        <w:ind w:firstLine="851"/>
        <w:rPr>
          <w:rFonts w:eastAsia="Calibri"/>
          <w:bCs/>
          <w:sz w:val="24"/>
          <w:szCs w:val="24"/>
          <w:u w:val="single"/>
          <w:lang w:eastAsia="da-DK" w:bidi="da-DK"/>
        </w:rPr>
      </w:pPr>
    </w:p>
    <w:p w:rsidR="00037C49" w:rsidRPr="00B808B2" w:rsidRDefault="00037C49" w:rsidP="00037C49">
      <w:pPr>
        <w:shd w:val="clear" w:color="auto" w:fill="FFFFFF"/>
        <w:ind w:firstLine="851"/>
        <w:rPr>
          <w:rFonts w:eastAsia="Calibri"/>
          <w:bCs/>
          <w:sz w:val="24"/>
          <w:szCs w:val="24"/>
          <w:u w:val="single"/>
          <w:lang w:eastAsia="da-DK" w:bidi="da-DK"/>
        </w:rPr>
      </w:pPr>
      <w:r w:rsidRPr="00B808B2">
        <w:rPr>
          <w:rFonts w:eastAsia="Calibri"/>
          <w:bCs/>
          <w:sz w:val="24"/>
          <w:szCs w:val="24"/>
          <w:u w:val="single"/>
          <w:lang w:eastAsia="da-DK" w:bidi="da-DK"/>
        </w:rPr>
        <w:t>Fertilitet</w:t>
      </w:r>
    </w:p>
    <w:p w:rsidR="00037C49" w:rsidRPr="00B808B2" w:rsidRDefault="00037C49" w:rsidP="00037C49">
      <w:pPr>
        <w:shd w:val="clear" w:color="auto" w:fill="FFFFFF"/>
        <w:ind w:left="851"/>
        <w:rPr>
          <w:bCs/>
          <w:sz w:val="24"/>
          <w:szCs w:val="24"/>
        </w:rPr>
      </w:pPr>
      <w:r w:rsidRPr="00B808B2">
        <w:rPr>
          <w:rFonts w:eastAsia="Calibri"/>
          <w:bCs/>
          <w:sz w:val="24"/>
          <w:szCs w:val="24"/>
          <w:lang w:eastAsia="da-DK" w:bidi="da-DK"/>
        </w:rPr>
        <w:t xml:space="preserve">Dyreforsøg med oral administration af den </w:t>
      </w:r>
      <w:proofErr w:type="spellStart"/>
      <w:r w:rsidRPr="00B808B2">
        <w:rPr>
          <w:rFonts w:eastAsia="Calibri"/>
          <w:bCs/>
          <w:sz w:val="24"/>
          <w:szCs w:val="24"/>
          <w:lang w:eastAsia="da-DK" w:bidi="da-DK"/>
        </w:rPr>
        <w:t>racemiske</w:t>
      </w:r>
      <w:proofErr w:type="spellEnd"/>
      <w:r w:rsidRPr="00B808B2">
        <w:rPr>
          <w:rFonts w:eastAsia="Calibri"/>
          <w:bCs/>
          <w:sz w:val="24"/>
          <w:szCs w:val="24"/>
          <w:lang w:eastAsia="da-DK" w:bidi="da-DK"/>
        </w:rPr>
        <w:t xml:space="preserve"> </w:t>
      </w:r>
      <w:proofErr w:type="spellStart"/>
      <w:r w:rsidRPr="00B808B2">
        <w:rPr>
          <w:rFonts w:eastAsia="Calibri"/>
          <w:bCs/>
          <w:sz w:val="24"/>
          <w:szCs w:val="24"/>
          <w:lang w:eastAsia="da-DK" w:bidi="da-DK"/>
        </w:rPr>
        <w:t>omeprazolblanding</w:t>
      </w:r>
      <w:proofErr w:type="spellEnd"/>
      <w:r w:rsidRPr="00B808B2">
        <w:rPr>
          <w:rFonts w:eastAsia="Calibri"/>
          <w:bCs/>
          <w:sz w:val="24"/>
          <w:szCs w:val="24"/>
          <w:lang w:eastAsia="da-DK" w:bidi="da-DK"/>
        </w:rPr>
        <w:t xml:space="preserve"> tyder ikke på nogen påvirkning af fertiliteten.</w:t>
      </w:r>
    </w:p>
    <w:p w:rsidR="00037C49" w:rsidRPr="00B808B2" w:rsidRDefault="00037C49" w:rsidP="00037C49">
      <w:pPr>
        <w:shd w:val="clear" w:color="auto" w:fill="FFFFFF"/>
        <w:ind w:left="851" w:hanging="851"/>
        <w:rPr>
          <w:sz w:val="24"/>
          <w:szCs w:val="24"/>
        </w:rPr>
      </w:pPr>
    </w:p>
    <w:p w:rsidR="00037C49" w:rsidRPr="00B808B2" w:rsidRDefault="00037C49" w:rsidP="00037C49">
      <w:pPr>
        <w:shd w:val="clear" w:color="auto" w:fill="FFFFFF"/>
        <w:ind w:left="851" w:hanging="851"/>
        <w:rPr>
          <w:bCs/>
          <w:sz w:val="24"/>
          <w:szCs w:val="24"/>
          <w:u w:val="single"/>
        </w:rPr>
      </w:pPr>
      <w:r w:rsidRPr="00B808B2">
        <w:rPr>
          <w:sz w:val="24"/>
          <w:szCs w:val="24"/>
        </w:rPr>
        <w:tab/>
      </w:r>
      <w:r w:rsidRPr="00B808B2">
        <w:rPr>
          <w:bCs/>
          <w:sz w:val="24"/>
          <w:szCs w:val="24"/>
          <w:u w:val="single"/>
        </w:rPr>
        <w:t>Graviditet</w:t>
      </w:r>
    </w:p>
    <w:p w:rsidR="00037C49" w:rsidRPr="00B808B2" w:rsidRDefault="00037C49" w:rsidP="00037C49">
      <w:pPr>
        <w:shd w:val="clear" w:color="auto" w:fill="FFFFFF"/>
        <w:ind w:left="851"/>
        <w:rPr>
          <w:bCs/>
          <w:sz w:val="24"/>
          <w:szCs w:val="24"/>
        </w:rPr>
      </w:pPr>
      <w:r w:rsidRPr="00B808B2">
        <w:rPr>
          <w:bCs/>
          <w:sz w:val="24"/>
          <w:szCs w:val="24"/>
        </w:rPr>
        <w:t xml:space="preserve">Resultater fra tre </w:t>
      </w:r>
      <w:proofErr w:type="spellStart"/>
      <w:r w:rsidRPr="00B808B2">
        <w:rPr>
          <w:bCs/>
          <w:sz w:val="24"/>
          <w:szCs w:val="24"/>
        </w:rPr>
        <w:t>prospektive</w:t>
      </w:r>
      <w:proofErr w:type="spellEnd"/>
      <w:r w:rsidRPr="00B808B2">
        <w:rPr>
          <w:bCs/>
          <w:sz w:val="24"/>
          <w:szCs w:val="24"/>
        </w:rPr>
        <w:t xml:space="preserve">, epidemiologiske undersøgelser (med resultater fra mere end 1.000 eksponeringer) viser ingen skadelige virkninger af </w:t>
      </w:r>
      <w:proofErr w:type="spellStart"/>
      <w:r w:rsidRPr="00B808B2">
        <w:rPr>
          <w:bCs/>
          <w:sz w:val="24"/>
          <w:szCs w:val="24"/>
        </w:rPr>
        <w:t>omeprazol</w:t>
      </w:r>
      <w:proofErr w:type="spellEnd"/>
      <w:r w:rsidRPr="00B808B2">
        <w:rPr>
          <w:bCs/>
          <w:sz w:val="24"/>
          <w:szCs w:val="24"/>
        </w:rPr>
        <w:t xml:space="preserve"> på graviditeten eller på fostrets/det nyfødte barns sundhedstilstand. </w:t>
      </w:r>
      <w:proofErr w:type="spellStart"/>
      <w:r w:rsidRPr="00B808B2">
        <w:rPr>
          <w:bCs/>
          <w:sz w:val="24"/>
          <w:szCs w:val="24"/>
        </w:rPr>
        <w:t>Omeprazol</w:t>
      </w:r>
      <w:proofErr w:type="spellEnd"/>
      <w:r w:rsidRPr="00B808B2">
        <w:rPr>
          <w:bCs/>
          <w:sz w:val="24"/>
          <w:szCs w:val="24"/>
        </w:rPr>
        <w:t xml:space="preserve"> kan anvendes under graviditet.</w:t>
      </w:r>
    </w:p>
    <w:p w:rsidR="00037C49" w:rsidRPr="00B808B2" w:rsidRDefault="00037C49" w:rsidP="00037C49">
      <w:pPr>
        <w:shd w:val="clear" w:color="auto" w:fill="FFFFFF"/>
        <w:ind w:left="851" w:hanging="851"/>
        <w:rPr>
          <w:bCs/>
          <w:sz w:val="24"/>
          <w:szCs w:val="24"/>
        </w:rPr>
      </w:pPr>
    </w:p>
    <w:p w:rsidR="00037C49" w:rsidRPr="00B808B2" w:rsidRDefault="00037C49" w:rsidP="00037C49">
      <w:pPr>
        <w:shd w:val="clear" w:color="auto" w:fill="FFFFFF"/>
        <w:ind w:firstLine="851"/>
        <w:rPr>
          <w:bCs/>
          <w:sz w:val="24"/>
          <w:szCs w:val="24"/>
          <w:u w:val="single"/>
        </w:rPr>
      </w:pPr>
      <w:r w:rsidRPr="00B808B2">
        <w:rPr>
          <w:bCs/>
          <w:sz w:val="24"/>
          <w:szCs w:val="24"/>
          <w:u w:val="single"/>
        </w:rPr>
        <w:t>Amning</w:t>
      </w:r>
    </w:p>
    <w:p w:rsidR="00037C49" w:rsidRPr="00B808B2" w:rsidRDefault="00037C49" w:rsidP="00037C49">
      <w:pPr>
        <w:shd w:val="clear" w:color="auto" w:fill="FFFFFF"/>
        <w:ind w:left="851"/>
        <w:rPr>
          <w:bCs/>
          <w:sz w:val="24"/>
          <w:szCs w:val="24"/>
        </w:rPr>
      </w:pPr>
      <w:proofErr w:type="spellStart"/>
      <w:r w:rsidRPr="00B808B2">
        <w:rPr>
          <w:bCs/>
          <w:sz w:val="24"/>
          <w:szCs w:val="24"/>
        </w:rPr>
        <w:t>Omeprazol</w:t>
      </w:r>
      <w:proofErr w:type="spellEnd"/>
      <w:r w:rsidRPr="00B808B2">
        <w:rPr>
          <w:bCs/>
          <w:sz w:val="24"/>
          <w:szCs w:val="24"/>
        </w:rPr>
        <w:t xml:space="preserve"> udskilles i modermælk, men det er ikke sandsynligt, at barnet påvirkes, når der anvendes terapeutiske doser.</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4.7</w:t>
      </w:r>
      <w:r w:rsidRPr="00B808B2">
        <w:rPr>
          <w:b/>
          <w:sz w:val="24"/>
          <w:szCs w:val="24"/>
        </w:rPr>
        <w:tab/>
        <w:t xml:space="preserve">Virkning på evnen til at føre motorkøretøj </w:t>
      </w:r>
      <w:r w:rsidR="000039DD">
        <w:rPr>
          <w:b/>
          <w:sz w:val="24"/>
          <w:szCs w:val="24"/>
        </w:rPr>
        <w:t xml:space="preserve">og </w:t>
      </w:r>
      <w:r w:rsidRPr="00B808B2">
        <w:rPr>
          <w:b/>
          <w:sz w:val="24"/>
          <w:szCs w:val="24"/>
        </w:rPr>
        <w:t>betjene maskiner</w:t>
      </w:r>
    </w:p>
    <w:p w:rsidR="00037C49" w:rsidRPr="0052561D" w:rsidRDefault="00037C49" w:rsidP="00037C49">
      <w:pPr>
        <w:shd w:val="clear" w:color="auto" w:fill="FFFFFF"/>
        <w:ind w:firstLine="851"/>
        <w:rPr>
          <w:sz w:val="24"/>
          <w:szCs w:val="24"/>
        </w:rPr>
      </w:pPr>
      <w:r w:rsidRPr="0052561D">
        <w:rPr>
          <w:sz w:val="24"/>
          <w:szCs w:val="24"/>
        </w:rPr>
        <w:t>Ikke mærkning.</w:t>
      </w:r>
    </w:p>
    <w:p w:rsidR="00037C49" w:rsidRDefault="00D123CD" w:rsidP="00037C49">
      <w:pPr>
        <w:shd w:val="clear" w:color="auto" w:fill="FFFFFF"/>
        <w:ind w:left="851"/>
        <w:rPr>
          <w:sz w:val="24"/>
          <w:szCs w:val="24"/>
        </w:rPr>
      </w:pPr>
      <w:proofErr w:type="spellStart"/>
      <w:r>
        <w:rPr>
          <w:sz w:val="24"/>
          <w:szCs w:val="24"/>
        </w:rPr>
        <w:t>Omeprazol</w:t>
      </w:r>
      <w:proofErr w:type="spellEnd"/>
      <w:r>
        <w:rPr>
          <w:sz w:val="24"/>
          <w:szCs w:val="24"/>
        </w:rPr>
        <w:t xml:space="preserve"> "</w:t>
      </w:r>
      <w:proofErr w:type="spellStart"/>
      <w:r>
        <w:rPr>
          <w:sz w:val="24"/>
          <w:szCs w:val="24"/>
        </w:rPr>
        <w:t>Amarox</w:t>
      </w:r>
      <w:proofErr w:type="spellEnd"/>
      <w:r>
        <w:rPr>
          <w:sz w:val="24"/>
          <w:szCs w:val="24"/>
        </w:rPr>
        <w:t>"</w:t>
      </w:r>
      <w:r w:rsidR="00037C49" w:rsidRPr="00B808B2">
        <w:rPr>
          <w:sz w:val="24"/>
          <w:szCs w:val="24"/>
        </w:rPr>
        <w:t xml:space="preserve"> påvirker ikke evnen til at føre motorkøretøj eller betjene maskiner. Der kan forekomme bivirkninger som f.eks. svimmelhed og synsforstyrrelser (se pkt. 4.8). Patienter, der påvirkes af disse, må ikke føre motorkøretøj eller betjene maskiner.</w:t>
      </w:r>
    </w:p>
    <w:p w:rsidR="00037C49" w:rsidRPr="00B808B2" w:rsidRDefault="00037C49" w:rsidP="00037C49">
      <w:pPr>
        <w:shd w:val="clear" w:color="auto" w:fill="FFFFFF"/>
        <w:ind w:left="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4.8</w:t>
      </w:r>
      <w:r w:rsidRPr="00B808B2">
        <w:rPr>
          <w:b/>
          <w:sz w:val="24"/>
          <w:szCs w:val="24"/>
        </w:rPr>
        <w:tab/>
        <w:t>Bivirkninger</w:t>
      </w:r>
    </w:p>
    <w:p w:rsidR="00037C49" w:rsidRPr="00B808B2" w:rsidRDefault="00037C49" w:rsidP="00037C49">
      <w:pPr>
        <w:shd w:val="clear" w:color="auto" w:fill="FFFFFF"/>
        <w:ind w:left="851"/>
        <w:rPr>
          <w:bCs/>
          <w:sz w:val="24"/>
          <w:szCs w:val="24"/>
          <w:u w:val="single"/>
        </w:rPr>
      </w:pPr>
      <w:r w:rsidRPr="00B808B2">
        <w:rPr>
          <w:bCs/>
          <w:sz w:val="24"/>
          <w:szCs w:val="24"/>
          <w:u w:val="single"/>
        </w:rPr>
        <w:t>Resumé af sikkerhedsprofilen</w:t>
      </w:r>
    </w:p>
    <w:p w:rsidR="00037C49" w:rsidRPr="00B808B2" w:rsidRDefault="00037C49" w:rsidP="00037C49">
      <w:pPr>
        <w:shd w:val="clear" w:color="auto" w:fill="FFFFFF"/>
        <w:ind w:left="851"/>
        <w:rPr>
          <w:bCs/>
          <w:sz w:val="24"/>
          <w:szCs w:val="24"/>
        </w:rPr>
      </w:pPr>
      <w:r w:rsidRPr="00B808B2">
        <w:rPr>
          <w:bCs/>
          <w:sz w:val="24"/>
          <w:szCs w:val="24"/>
        </w:rPr>
        <w:t xml:space="preserve">De almindeligst forekommende bivirkninger (ses hos 1-10 % af patienterne) er hovedpine, </w:t>
      </w:r>
      <w:proofErr w:type="spellStart"/>
      <w:r w:rsidRPr="00B808B2">
        <w:rPr>
          <w:bCs/>
          <w:sz w:val="24"/>
          <w:szCs w:val="24"/>
        </w:rPr>
        <w:t>abdominalsmerte</w:t>
      </w:r>
      <w:proofErr w:type="spellEnd"/>
      <w:r w:rsidRPr="00B808B2">
        <w:rPr>
          <w:bCs/>
          <w:sz w:val="24"/>
          <w:szCs w:val="24"/>
        </w:rPr>
        <w:t xml:space="preserve">, obstipation, diarré, </w:t>
      </w:r>
      <w:proofErr w:type="spellStart"/>
      <w:r w:rsidRPr="00B808B2">
        <w:rPr>
          <w:bCs/>
          <w:sz w:val="24"/>
          <w:szCs w:val="24"/>
        </w:rPr>
        <w:t>flatulens</w:t>
      </w:r>
      <w:proofErr w:type="spellEnd"/>
      <w:r w:rsidRPr="00B808B2">
        <w:rPr>
          <w:bCs/>
          <w:sz w:val="24"/>
          <w:szCs w:val="24"/>
        </w:rPr>
        <w:t xml:space="preserve"> og kvalme/opkastning.</w:t>
      </w:r>
    </w:p>
    <w:p w:rsidR="00037C49" w:rsidRPr="00B808B2" w:rsidRDefault="00037C49" w:rsidP="00037C49">
      <w:pPr>
        <w:shd w:val="clear" w:color="auto" w:fill="FFFFFF"/>
        <w:ind w:left="851"/>
        <w:rPr>
          <w:bCs/>
          <w:sz w:val="24"/>
          <w:szCs w:val="24"/>
        </w:rPr>
      </w:pPr>
    </w:p>
    <w:p w:rsidR="000039DD" w:rsidRPr="00B808B2" w:rsidRDefault="000039DD" w:rsidP="000039DD">
      <w:pPr>
        <w:shd w:val="clear" w:color="auto" w:fill="FFFFFF"/>
        <w:ind w:left="851"/>
        <w:rPr>
          <w:bCs/>
          <w:sz w:val="24"/>
          <w:szCs w:val="24"/>
          <w:u w:val="single"/>
        </w:rPr>
      </w:pPr>
      <w:r w:rsidRPr="00B808B2">
        <w:rPr>
          <w:bCs/>
          <w:sz w:val="24"/>
          <w:szCs w:val="24"/>
          <w:u w:val="single"/>
        </w:rPr>
        <w:t>Liste over bivirkninger i tabelform</w:t>
      </w:r>
    </w:p>
    <w:p w:rsidR="000039DD" w:rsidRPr="00B808B2" w:rsidRDefault="000039DD" w:rsidP="000039DD">
      <w:pPr>
        <w:shd w:val="clear" w:color="auto" w:fill="FFFFFF"/>
        <w:ind w:left="851"/>
        <w:rPr>
          <w:bCs/>
          <w:sz w:val="24"/>
          <w:szCs w:val="24"/>
        </w:rPr>
      </w:pPr>
      <w:r w:rsidRPr="00B808B2">
        <w:rPr>
          <w:bCs/>
          <w:sz w:val="24"/>
          <w:szCs w:val="24"/>
        </w:rPr>
        <w:t xml:space="preserve">Følgende bivirkninger er påvist eller anset som mulige i </w:t>
      </w:r>
      <w:proofErr w:type="spellStart"/>
      <w:r w:rsidRPr="00B808B2">
        <w:rPr>
          <w:bCs/>
          <w:sz w:val="24"/>
          <w:szCs w:val="24"/>
        </w:rPr>
        <w:t>omeprazols</w:t>
      </w:r>
      <w:proofErr w:type="spellEnd"/>
      <w:r w:rsidRPr="00B808B2">
        <w:rPr>
          <w:bCs/>
          <w:sz w:val="24"/>
          <w:szCs w:val="24"/>
        </w:rPr>
        <w:t xml:space="preserve"> kliniske forsøgsprogram og post- marketing. Ingen var dosisafhængige. Bivirkningerne er nedenfor anført efter frekvens og organklasse. </w:t>
      </w:r>
    </w:p>
    <w:p w:rsidR="000039DD" w:rsidRPr="00B808B2" w:rsidRDefault="000039DD" w:rsidP="000039DD">
      <w:pPr>
        <w:shd w:val="clear" w:color="auto" w:fill="FFFFFF"/>
        <w:ind w:left="851"/>
        <w:rPr>
          <w:bCs/>
          <w:sz w:val="24"/>
          <w:szCs w:val="24"/>
        </w:rPr>
      </w:pPr>
      <w:r w:rsidRPr="00B808B2">
        <w:rPr>
          <w:bCs/>
          <w:sz w:val="24"/>
          <w:szCs w:val="24"/>
        </w:rPr>
        <w:t>Frekvenskategorierne er defineret som følger: Meget almindelig (≥1/10), Almindelig (≥1/100 til &lt;1/10), Ikke almindelig (≥1/1.000 til &lt;1/100), Sjælden (≥1/10.000 til &lt;1/1.000), Meget sjælden (&lt;1/10.000), Ikke kendt (kan ikke estimeres ud fra forhåndenværende data)</w:t>
      </w:r>
    </w:p>
    <w:p w:rsidR="000039DD" w:rsidRPr="00B808B2" w:rsidRDefault="000039DD" w:rsidP="000039DD">
      <w:pPr>
        <w:shd w:val="clear" w:color="auto" w:fill="FFFFFF"/>
        <w:rPr>
          <w:bCs/>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5"/>
        <w:gridCol w:w="6446"/>
      </w:tblGrid>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b/>
                <w:bCs/>
                <w:sz w:val="24"/>
                <w:szCs w:val="24"/>
                <w:lang w:eastAsia="da-DK"/>
              </w:rPr>
            </w:pPr>
            <w:r w:rsidRPr="00B808B2">
              <w:rPr>
                <w:b/>
                <w:bCs/>
                <w:sz w:val="24"/>
                <w:szCs w:val="24"/>
                <w:lang w:eastAsia="da-DK"/>
              </w:rPr>
              <w:t>Organklasse/frekvens</w:t>
            </w:r>
          </w:p>
          <w:p w:rsidR="000039DD" w:rsidRPr="00B808B2" w:rsidRDefault="000039DD" w:rsidP="00016E50">
            <w:pPr>
              <w:rPr>
                <w:b/>
                <w:bCs/>
                <w:sz w:val="24"/>
                <w:szCs w:val="24"/>
                <w:lang w:eastAsia="da-DK"/>
              </w:rPr>
            </w:pP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b/>
                <w:bCs/>
                <w:sz w:val="24"/>
                <w:szCs w:val="24"/>
                <w:lang w:eastAsia="da-DK"/>
              </w:rPr>
            </w:pPr>
            <w:r w:rsidRPr="00B808B2">
              <w:rPr>
                <w:b/>
                <w:bCs/>
                <w:sz w:val="24"/>
                <w:szCs w:val="24"/>
                <w:lang w:eastAsia="da-DK"/>
              </w:rPr>
              <w:t>Bivirkning</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Blod og lymfesystem</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 xml:space="preserve">Sjælden: </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Leukopeni</w:t>
            </w:r>
            <w:proofErr w:type="spellEnd"/>
            <w:r w:rsidRPr="00B808B2">
              <w:rPr>
                <w:sz w:val="24"/>
                <w:szCs w:val="24"/>
                <w:lang w:eastAsia="da-DK"/>
              </w:rPr>
              <w:t xml:space="preserve">, </w:t>
            </w:r>
            <w:proofErr w:type="spellStart"/>
            <w:r w:rsidRPr="00B808B2">
              <w:rPr>
                <w:sz w:val="24"/>
                <w:szCs w:val="24"/>
                <w:lang w:eastAsia="da-DK"/>
              </w:rPr>
              <w:t>trombocytopeni</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 xml:space="preserve">Meget sjælden: </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Agranulocytose</w:t>
            </w:r>
            <w:proofErr w:type="spellEnd"/>
            <w:r w:rsidRPr="00B808B2">
              <w:rPr>
                <w:sz w:val="24"/>
                <w:szCs w:val="24"/>
                <w:lang w:eastAsia="da-DK"/>
              </w:rPr>
              <w:t xml:space="preserve">, </w:t>
            </w:r>
            <w:proofErr w:type="spellStart"/>
            <w:r w:rsidRPr="00B808B2">
              <w:rPr>
                <w:sz w:val="24"/>
                <w:szCs w:val="24"/>
                <w:lang w:eastAsia="da-DK"/>
              </w:rPr>
              <w:t>pancytopeni</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Immunsystemet</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 xml:space="preserve">Overfølsomhedsreaktioner f.eks. feber, </w:t>
            </w:r>
            <w:proofErr w:type="spellStart"/>
            <w:r w:rsidRPr="00B808B2">
              <w:rPr>
                <w:sz w:val="24"/>
                <w:szCs w:val="24"/>
                <w:lang w:eastAsia="da-DK"/>
              </w:rPr>
              <w:t>angioødem</w:t>
            </w:r>
            <w:proofErr w:type="spellEnd"/>
            <w:r w:rsidRPr="00B808B2">
              <w:rPr>
                <w:sz w:val="24"/>
                <w:szCs w:val="24"/>
                <w:lang w:eastAsia="da-DK"/>
              </w:rPr>
              <w:t xml:space="preserve"> og </w:t>
            </w:r>
            <w:proofErr w:type="spellStart"/>
            <w:r w:rsidRPr="00B808B2">
              <w:rPr>
                <w:sz w:val="24"/>
                <w:szCs w:val="24"/>
                <w:lang w:eastAsia="da-DK"/>
              </w:rPr>
              <w:t>anafylaktisk</w:t>
            </w:r>
            <w:proofErr w:type="spellEnd"/>
            <w:r w:rsidRPr="00B808B2">
              <w:rPr>
                <w:sz w:val="24"/>
                <w:szCs w:val="24"/>
                <w:lang w:eastAsia="da-DK"/>
              </w:rPr>
              <w:t xml:space="preserve"> reaktion/</w:t>
            </w:r>
            <w:proofErr w:type="spellStart"/>
            <w:r w:rsidRPr="00B808B2">
              <w:rPr>
                <w:sz w:val="24"/>
                <w:szCs w:val="24"/>
                <w:lang w:eastAsia="da-DK"/>
              </w:rPr>
              <w:t>shock</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Metabolisme og ernæring</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keepNext/>
              <w:outlineLvl w:val="7"/>
              <w:rPr>
                <w:sz w:val="24"/>
                <w:szCs w:val="24"/>
                <w:lang w:eastAsia="da-DK"/>
              </w:rPr>
            </w:pPr>
            <w:proofErr w:type="spellStart"/>
            <w:r w:rsidRPr="00B808B2">
              <w:rPr>
                <w:sz w:val="24"/>
                <w:szCs w:val="24"/>
                <w:lang w:eastAsia="da-DK"/>
              </w:rPr>
              <w:t>Hyponatriæmi</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Frekvens ikke kendt:</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Hypomagnesiæmi</w:t>
            </w:r>
            <w:proofErr w:type="spellEnd"/>
            <w:r w:rsidRPr="00B808B2">
              <w:rPr>
                <w:sz w:val="24"/>
                <w:szCs w:val="24"/>
                <w:lang w:eastAsia="da-DK"/>
              </w:rPr>
              <w:t xml:space="preserve">; svær </w:t>
            </w:r>
            <w:proofErr w:type="spellStart"/>
            <w:r w:rsidRPr="00B808B2">
              <w:rPr>
                <w:sz w:val="24"/>
                <w:szCs w:val="24"/>
                <w:lang w:eastAsia="da-DK"/>
              </w:rPr>
              <w:t>hypomagnesiæmi</w:t>
            </w:r>
            <w:proofErr w:type="spellEnd"/>
            <w:r w:rsidRPr="00B808B2">
              <w:rPr>
                <w:sz w:val="24"/>
                <w:szCs w:val="24"/>
                <w:lang w:eastAsia="da-DK"/>
              </w:rPr>
              <w:t xml:space="preserve"> kan forårsage </w:t>
            </w:r>
            <w:proofErr w:type="spellStart"/>
            <w:r w:rsidRPr="00B808B2">
              <w:rPr>
                <w:sz w:val="24"/>
                <w:szCs w:val="24"/>
                <w:lang w:eastAsia="da-DK"/>
              </w:rPr>
              <w:t>hypokalcæmi</w:t>
            </w:r>
            <w:proofErr w:type="spellEnd"/>
            <w:r w:rsidRPr="00B808B2">
              <w:rPr>
                <w:sz w:val="24"/>
                <w:szCs w:val="24"/>
                <w:lang w:eastAsia="da-DK"/>
              </w:rPr>
              <w:t xml:space="preserve">. </w:t>
            </w:r>
            <w:proofErr w:type="spellStart"/>
            <w:r w:rsidRPr="00B808B2">
              <w:rPr>
                <w:sz w:val="24"/>
                <w:szCs w:val="24"/>
                <w:lang w:eastAsia="da-DK"/>
              </w:rPr>
              <w:t>Hypomagnesiæmi</w:t>
            </w:r>
            <w:proofErr w:type="spellEnd"/>
            <w:r w:rsidRPr="00B808B2">
              <w:rPr>
                <w:sz w:val="24"/>
                <w:szCs w:val="24"/>
                <w:lang w:eastAsia="da-DK"/>
              </w:rPr>
              <w:t xml:space="preserve"> kan også være f</w:t>
            </w:r>
            <w:r>
              <w:rPr>
                <w:sz w:val="24"/>
                <w:szCs w:val="24"/>
                <w:lang w:eastAsia="da-DK"/>
              </w:rPr>
              <w:t xml:space="preserve">orbundet med </w:t>
            </w:r>
            <w:proofErr w:type="spellStart"/>
            <w:r>
              <w:rPr>
                <w:sz w:val="24"/>
                <w:szCs w:val="24"/>
                <w:lang w:eastAsia="da-DK"/>
              </w:rPr>
              <w:t>hypokaliæmi</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Psykiske forstyrrelser</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Insomni</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Agitation, konfusion, depression</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Meget 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Aggression, hallucinationer</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Nervesystemet</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Hovedpine</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 xml:space="preserve">Svimmelhed, </w:t>
            </w:r>
            <w:proofErr w:type="spellStart"/>
            <w:r w:rsidRPr="00B808B2">
              <w:rPr>
                <w:sz w:val="24"/>
                <w:szCs w:val="24"/>
                <w:lang w:eastAsia="da-DK"/>
              </w:rPr>
              <w:t>paræstesi</w:t>
            </w:r>
            <w:proofErr w:type="spellEnd"/>
            <w:r w:rsidRPr="00B808B2">
              <w:rPr>
                <w:sz w:val="24"/>
                <w:szCs w:val="24"/>
                <w:lang w:eastAsia="da-DK"/>
              </w:rPr>
              <w:t>, døsighed</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Smagsforstyrrelser</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Øjne</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Uklart syn</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Øre og labyrint</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Vertigo</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 xml:space="preserve">Luftveje, thorax og </w:t>
            </w:r>
            <w:proofErr w:type="spellStart"/>
            <w:r w:rsidRPr="00B808B2">
              <w:rPr>
                <w:b/>
                <w:bCs/>
                <w:sz w:val="24"/>
                <w:szCs w:val="24"/>
                <w:lang w:eastAsia="da-DK"/>
              </w:rPr>
              <w:t>mediastinum</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Bronkospasme</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Mave-tarm-kanalen</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Pr>
                <w:sz w:val="24"/>
                <w:szCs w:val="24"/>
                <w:lang w:eastAsia="da-DK"/>
              </w:rPr>
              <w:t>Abdominalsmerte</w:t>
            </w:r>
            <w:proofErr w:type="spellEnd"/>
            <w:r>
              <w:rPr>
                <w:sz w:val="24"/>
                <w:szCs w:val="24"/>
                <w:lang w:eastAsia="da-DK"/>
              </w:rPr>
              <w:t xml:space="preserve">, obstipation, diarré, </w:t>
            </w:r>
            <w:proofErr w:type="spellStart"/>
            <w:r>
              <w:rPr>
                <w:sz w:val="24"/>
                <w:szCs w:val="24"/>
                <w:lang w:eastAsia="da-DK"/>
              </w:rPr>
              <w:t>flatulens</w:t>
            </w:r>
            <w:proofErr w:type="spellEnd"/>
            <w:r>
              <w:rPr>
                <w:sz w:val="24"/>
                <w:szCs w:val="24"/>
                <w:lang w:eastAsia="da-DK"/>
              </w:rPr>
              <w:t>, kvalme/opkastning, benigne gastriske polypper.</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 xml:space="preserve">Mundtørhed, </w:t>
            </w:r>
            <w:proofErr w:type="spellStart"/>
            <w:r w:rsidRPr="00B808B2">
              <w:rPr>
                <w:sz w:val="24"/>
                <w:szCs w:val="24"/>
                <w:lang w:eastAsia="da-DK"/>
              </w:rPr>
              <w:t>stomatitis</w:t>
            </w:r>
            <w:proofErr w:type="spellEnd"/>
            <w:r w:rsidRPr="00B808B2">
              <w:rPr>
                <w:sz w:val="24"/>
                <w:szCs w:val="24"/>
                <w:lang w:eastAsia="da-DK"/>
              </w:rPr>
              <w:t xml:space="preserve">, </w:t>
            </w:r>
            <w:proofErr w:type="spellStart"/>
            <w:r w:rsidRPr="00B808B2">
              <w:rPr>
                <w:sz w:val="24"/>
                <w:szCs w:val="24"/>
                <w:lang w:eastAsia="da-DK"/>
              </w:rPr>
              <w:t>gastrointestinal</w:t>
            </w:r>
            <w:proofErr w:type="spellEnd"/>
            <w:r w:rsidRPr="00B808B2">
              <w:rPr>
                <w:sz w:val="24"/>
                <w:szCs w:val="24"/>
                <w:lang w:eastAsia="da-DK"/>
              </w:rPr>
              <w:t xml:space="preserve"> </w:t>
            </w:r>
            <w:proofErr w:type="spellStart"/>
            <w:r w:rsidRPr="00B808B2">
              <w:rPr>
                <w:sz w:val="24"/>
                <w:szCs w:val="24"/>
                <w:lang w:eastAsia="da-DK"/>
              </w:rPr>
              <w:t>candidiasis</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Frekvens ikke kendt</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Mikroskopisk colitis</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Lever og galdeveje</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Forhøjede leverenzymer</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Hepatitis med eller uden gulsot</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Meget 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Leversvigt, encefalopati hos patienter med præeksisterende leversygdom</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Hud og subkutane væv</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b/>
                <w:bCs/>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Dermatitis</w:t>
            </w:r>
            <w:proofErr w:type="spellEnd"/>
            <w:r w:rsidRPr="00B808B2">
              <w:rPr>
                <w:sz w:val="24"/>
                <w:szCs w:val="24"/>
                <w:lang w:eastAsia="da-DK"/>
              </w:rPr>
              <w:t xml:space="preserve">, </w:t>
            </w:r>
            <w:proofErr w:type="spellStart"/>
            <w:r w:rsidRPr="00B808B2">
              <w:rPr>
                <w:sz w:val="24"/>
                <w:szCs w:val="24"/>
                <w:lang w:eastAsia="da-DK"/>
              </w:rPr>
              <w:t>pruritus</w:t>
            </w:r>
            <w:proofErr w:type="spellEnd"/>
            <w:r w:rsidRPr="00B808B2">
              <w:rPr>
                <w:sz w:val="24"/>
                <w:szCs w:val="24"/>
                <w:lang w:eastAsia="da-DK"/>
              </w:rPr>
              <w:t xml:space="preserve">, hududslæt, </w:t>
            </w:r>
            <w:proofErr w:type="spellStart"/>
            <w:r w:rsidRPr="00B808B2">
              <w:rPr>
                <w:sz w:val="24"/>
                <w:szCs w:val="24"/>
                <w:lang w:eastAsia="da-DK"/>
              </w:rPr>
              <w:t>urticaria</w:t>
            </w:r>
            <w:proofErr w:type="spellEnd"/>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Alopeci</w:t>
            </w:r>
            <w:proofErr w:type="spellEnd"/>
            <w:r w:rsidRPr="00B808B2">
              <w:rPr>
                <w:sz w:val="24"/>
                <w:szCs w:val="24"/>
                <w:lang w:eastAsia="da-DK"/>
              </w:rPr>
              <w:t>, fotosensibilitet</w:t>
            </w:r>
          </w:p>
        </w:tc>
      </w:tr>
      <w:tr w:rsidR="000039DD" w:rsidRPr="00B808B2" w:rsidTr="00016E50">
        <w:trPr>
          <w:trHeight w:val="656"/>
        </w:trPr>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Meget 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Erythema</w:t>
            </w:r>
            <w:proofErr w:type="spellEnd"/>
            <w:r w:rsidRPr="00B808B2">
              <w:rPr>
                <w:sz w:val="24"/>
                <w:szCs w:val="24"/>
                <w:lang w:eastAsia="da-DK"/>
              </w:rPr>
              <w:t xml:space="preserve"> multiforme, Stevens-Johnsons syndrom, toksisk </w:t>
            </w:r>
            <w:proofErr w:type="spellStart"/>
            <w:r w:rsidRPr="00B808B2">
              <w:rPr>
                <w:sz w:val="24"/>
                <w:szCs w:val="24"/>
                <w:lang w:eastAsia="da-DK"/>
              </w:rPr>
              <w:t>epidermal</w:t>
            </w:r>
            <w:proofErr w:type="spellEnd"/>
            <w:r w:rsidRPr="00B808B2">
              <w:rPr>
                <w:sz w:val="24"/>
                <w:szCs w:val="24"/>
                <w:lang w:eastAsia="da-DK"/>
              </w:rPr>
              <w:t xml:space="preserve"> </w:t>
            </w:r>
            <w:proofErr w:type="spellStart"/>
            <w:r w:rsidRPr="00B808B2">
              <w:rPr>
                <w:sz w:val="24"/>
                <w:szCs w:val="24"/>
                <w:lang w:eastAsia="da-DK"/>
              </w:rPr>
              <w:t>nekrolyse</w:t>
            </w:r>
            <w:proofErr w:type="spellEnd"/>
            <w:r w:rsidRPr="00B808B2">
              <w:rPr>
                <w:sz w:val="24"/>
                <w:szCs w:val="24"/>
                <w:lang w:eastAsia="da-DK"/>
              </w:rPr>
              <w:t xml:space="preserve"> (TEN)</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Pr>
                <w:sz w:val="24"/>
                <w:szCs w:val="24"/>
                <w:lang w:eastAsia="da-DK"/>
              </w:rPr>
              <w:t>I</w:t>
            </w:r>
            <w:r w:rsidRPr="001A3AEA">
              <w:rPr>
                <w:sz w:val="24"/>
                <w:szCs w:val="24"/>
                <w:lang w:eastAsia="da-DK"/>
              </w:rPr>
              <w:t>kke kendt</w:t>
            </w:r>
            <w:r>
              <w:rPr>
                <w:sz w:val="24"/>
                <w:szCs w:val="24"/>
                <w:lang w:eastAsia="da-DK"/>
              </w:rPr>
              <w:t>:</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1A3AEA">
              <w:rPr>
                <w:sz w:val="24"/>
                <w:szCs w:val="24"/>
                <w:lang w:eastAsia="da-DK"/>
              </w:rPr>
              <w:t xml:space="preserve"> </w:t>
            </w:r>
            <w:proofErr w:type="spellStart"/>
            <w:r w:rsidRPr="001A3AEA">
              <w:rPr>
                <w:sz w:val="24"/>
                <w:szCs w:val="24"/>
                <w:lang w:eastAsia="da-DK"/>
              </w:rPr>
              <w:t>Subakut</w:t>
            </w:r>
            <w:proofErr w:type="spellEnd"/>
            <w:r w:rsidRPr="001A3AEA">
              <w:rPr>
                <w:sz w:val="24"/>
                <w:szCs w:val="24"/>
                <w:lang w:eastAsia="da-DK"/>
              </w:rPr>
              <w:t xml:space="preserve"> </w:t>
            </w:r>
            <w:proofErr w:type="spellStart"/>
            <w:r w:rsidRPr="001A3AEA">
              <w:rPr>
                <w:sz w:val="24"/>
                <w:szCs w:val="24"/>
                <w:lang w:eastAsia="da-DK"/>
              </w:rPr>
              <w:t>kutan</w:t>
            </w:r>
            <w:proofErr w:type="spellEnd"/>
            <w:r w:rsidRPr="001A3AEA">
              <w:rPr>
                <w:sz w:val="24"/>
                <w:szCs w:val="24"/>
                <w:lang w:eastAsia="da-DK"/>
              </w:rPr>
              <w:t xml:space="preserve"> lupus </w:t>
            </w:r>
            <w:proofErr w:type="spellStart"/>
            <w:r w:rsidRPr="001A3AEA">
              <w:rPr>
                <w:sz w:val="24"/>
                <w:szCs w:val="24"/>
                <w:lang w:eastAsia="da-DK"/>
              </w:rPr>
              <w:t>erythematosus</w:t>
            </w:r>
            <w:proofErr w:type="spellEnd"/>
            <w:r w:rsidRPr="001A3AEA">
              <w:rPr>
                <w:sz w:val="24"/>
                <w:szCs w:val="24"/>
                <w:lang w:eastAsia="da-DK"/>
              </w:rPr>
              <w:t xml:space="preserve"> (se pkt. 4.4).</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Knogler, led, muskler og bindevæv</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rPr>
              <w:t xml:space="preserve">Fraktur på hofte, håndled eller rygrad </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Artralgi</w:t>
            </w:r>
            <w:proofErr w:type="spellEnd"/>
            <w:r w:rsidRPr="00B808B2">
              <w:rPr>
                <w:sz w:val="24"/>
                <w:szCs w:val="24"/>
                <w:lang w:eastAsia="da-DK"/>
              </w:rPr>
              <w:t>, myalgi</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Meget 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Muskelsvaghed</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Nyrer og urinveje</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016E50">
              <w:rPr>
                <w:bCs/>
                <w:sz w:val="24"/>
                <w:szCs w:val="24"/>
                <w:lang w:eastAsia="da-DK"/>
              </w:rPr>
              <w:t>Tubulo</w:t>
            </w:r>
            <w:r>
              <w:rPr>
                <w:sz w:val="24"/>
                <w:szCs w:val="24"/>
                <w:lang w:eastAsia="da-DK"/>
              </w:rPr>
              <w:t>i</w:t>
            </w:r>
            <w:r w:rsidRPr="00B808B2">
              <w:rPr>
                <w:sz w:val="24"/>
                <w:szCs w:val="24"/>
                <w:lang w:eastAsia="da-DK"/>
              </w:rPr>
              <w:t>nterstitiel</w:t>
            </w:r>
            <w:proofErr w:type="spellEnd"/>
            <w:r w:rsidRPr="00B808B2">
              <w:rPr>
                <w:sz w:val="24"/>
                <w:szCs w:val="24"/>
                <w:lang w:eastAsia="da-DK"/>
              </w:rPr>
              <w:t xml:space="preserve"> </w:t>
            </w:r>
            <w:proofErr w:type="spellStart"/>
            <w:r w:rsidRPr="00B808B2">
              <w:rPr>
                <w:sz w:val="24"/>
                <w:szCs w:val="24"/>
                <w:lang w:eastAsia="da-DK"/>
              </w:rPr>
              <w:t>nefritis</w:t>
            </w:r>
            <w:proofErr w:type="spellEnd"/>
            <w:r w:rsidRPr="00016E50">
              <w:rPr>
                <w:rFonts w:ascii="TimesNewRomanPS-BoldMT" w:hAnsi="TimesNewRomanPS-BoldMT" w:cs="TimesNewRomanPS-BoldMT"/>
                <w:b/>
                <w:bCs/>
                <w:sz w:val="22"/>
                <w:szCs w:val="22"/>
                <w:lang w:eastAsia="da-DK"/>
              </w:rPr>
              <w:t xml:space="preserve"> </w:t>
            </w:r>
            <w:r w:rsidRPr="00016E50">
              <w:rPr>
                <w:bCs/>
                <w:sz w:val="24"/>
                <w:szCs w:val="24"/>
                <w:lang w:eastAsia="da-DK"/>
              </w:rPr>
              <w:t>(med mulig forværring til nyresvigt)</w:t>
            </w:r>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Det reproduktive system og mammae</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Meget 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proofErr w:type="spellStart"/>
            <w:r w:rsidRPr="00B808B2">
              <w:rPr>
                <w:sz w:val="24"/>
                <w:szCs w:val="24"/>
                <w:lang w:eastAsia="da-DK"/>
              </w:rPr>
              <w:t>Gynækomasti</w:t>
            </w:r>
            <w:proofErr w:type="spellEnd"/>
          </w:p>
        </w:tc>
      </w:tr>
      <w:tr w:rsidR="000039DD" w:rsidRPr="00B808B2"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b/>
                <w:bCs/>
                <w:sz w:val="24"/>
                <w:szCs w:val="24"/>
                <w:lang w:eastAsia="da-DK"/>
              </w:rPr>
              <w:t>Almene symptomer og reaktioner på administrationsstedet</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Ikke almindelig:</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Utilpashed, perifere ødemer</w:t>
            </w:r>
          </w:p>
        </w:tc>
      </w:tr>
      <w:tr w:rsidR="000039DD" w:rsidRPr="00B808B2" w:rsidTr="00016E50">
        <w:tc>
          <w:tcPr>
            <w:tcW w:w="1391"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Sjælden:</w:t>
            </w:r>
          </w:p>
        </w:tc>
        <w:tc>
          <w:tcPr>
            <w:tcW w:w="3609" w:type="pct"/>
            <w:tcBorders>
              <w:top w:val="single" w:sz="4" w:space="0" w:color="auto"/>
              <w:left w:val="single" w:sz="4" w:space="0" w:color="auto"/>
              <w:bottom w:val="single" w:sz="4" w:space="0" w:color="auto"/>
              <w:right w:val="single" w:sz="4" w:space="0" w:color="auto"/>
            </w:tcBorders>
          </w:tcPr>
          <w:p w:rsidR="000039DD" w:rsidRPr="00B808B2" w:rsidRDefault="000039DD" w:rsidP="00016E50">
            <w:pPr>
              <w:rPr>
                <w:sz w:val="24"/>
                <w:szCs w:val="24"/>
                <w:lang w:eastAsia="da-DK"/>
              </w:rPr>
            </w:pPr>
            <w:r w:rsidRPr="00B808B2">
              <w:rPr>
                <w:sz w:val="24"/>
                <w:szCs w:val="24"/>
                <w:lang w:eastAsia="da-DK"/>
              </w:rPr>
              <w:t>Øget svedtendens</w:t>
            </w:r>
          </w:p>
        </w:tc>
      </w:tr>
    </w:tbl>
    <w:p w:rsidR="000039DD" w:rsidRPr="00B808B2" w:rsidRDefault="000039DD" w:rsidP="000039DD">
      <w:pPr>
        <w:shd w:val="clear" w:color="auto" w:fill="FFFFFF"/>
        <w:rPr>
          <w:bCs/>
          <w:sz w:val="24"/>
          <w:szCs w:val="24"/>
        </w:rPr>
      </w:pPr>
    </w:p>
    <w:p w:rsidR="000039DD" w:rsidRPr="00B808B2" w:rsidRDefault="000039DD" w:rsidP="000039DD">
      <w:pPr>
        <w:shd w:val="clear" w:color="auto" w:fill="FFFFFF"/>
        <w:ind w:left="851"/>
        <w:rPr>
          <w:bCs/>
          <w:sz w:val="24"/>
          <w:szCs w:val="24"/>
          <w:u w:val="single"/>
        </w:rPr>
      </w:pPr>
      <w:r w:rsidRPr="00B808B2">
        <w:rPr>
          <w:bCs/>
          <w:sz w:val="24"/>
          <w:szCs w:val="24"/>
          <w:u w:val="single"/>
        </w:rPr>
        <w:t>Pædiatrisk population</w:t>
      </w:r>
    </w:p>
    <w:p w:rsidR="000039DD" w:rsidRPr="00B808B2" w:rsidRDefault="000039DD" w:rsidP="000039DD">
      <w:pPr>
        <w:shd w:val="clear" w:color="auto" w:fill="FFFFFF"/>
        <w:ind w:left="851"/>
        <w:rPr>
          <w:bCs/>
          <w:sz w:val="24"/>
          <w:szCs w:val="24"/>
        </w:rPr>
      </w:pPr>
      <w:proofErr w:type="spellStart"/>
      <w:r w:rsidRPr="00B808B2">
        <w:rPr>
          <w:bCs/>
          <w:sz w:val="24"/>
          <w:szCs w:val="24"/>
        </w:rPr>
        <w:t>Omeprazols</w:t>
      </w:r>
      <w:proofErr w:type="spellEnd"/>
      <w:r w:rsidRPr="00B808B2">
        <w:rPr>
          <w:bCs/>
          <w:sz w:val="24"/>
          <w:szCs w:val="24"/>
        </w:rPr>
        <w:t xml:space="preserve"> sikkerhed er undersøgt hos i alt 310 børn mellem 0 og 16 år med syrerelateret sygdom. Der er begrænsede </w:t>
      </w:r>
      <w:proofErr w:type="spellStart"/>
      <w:r w:rsidRPr="00B808B2">
        <w:rPr>
          <w:bCs/>
          <w:sz w:val="24"/>
          <w:szCs w:val="24"/>
        </w:rPr>
        <w:t>langtids</w:t>
      </w:r>
      <w:proofErr w:type="spellEnd"/>
      <w:r w:rsidRPr="00B808B2">
        <w:rPr>
          <w:bCs/>
          <w:sz w:val="24"/>
          <w:szCs w:val="24"/>
        </w:rPr>
        <w:t xml:space="preserve">-sikkerhedsdata fra 46 børn, som i op til 749 dage fik </w:t>
      </w:r>
      <w:proofErr w:type="spellStart"/>
      <w:r w:rsidRPr="00B808B2">
        <w:rPr>
          <w:bCs/>
          <w:sz w:val="24"/>
          <w:szCs w:val="24"/>
        </w:rPr>
        <w:t>omeprazol</w:t>
      </w:r>
      <w:proofErr w:type="spellEnd"/>
      <w:r w:rsidRPr="00B808B2">
        <w:rPr>
          <w:bCs/>
          <w:sz w:val="24"/>
          <w:szCs w:val="24"/>
        </w:rPr>
        <w:t xml:space="preserve"> som vedligeholdelsesbehandling i et klinisk forsøg for svær </w:t>
      </w:r>
      <w:proofErr w:type="spellStart"/>
      <w:r w:rsidRPr="00B808B2">
        <w:rPr>
          <w:bCs/>
          <w:sz w:val="24"/>
          <w:szCs w:val="24"/>
        </w:rPr>
        <w:t>erosiv</w:t>
      </w:r>
      <w:proofErr w:type="spellEnd"/>
      <w:r w:rsidRPr="00B808B2">
        <w:rPr>
          <w:bCs/>
          <w:sz w:val="24"/>
          <w:szCs w:val="24"/>
        </w:rPr>
        <w:t xml:space="preserve"> </w:t>
      </w:r>
      <w:proofErr w:type="spellStart"/>
      <w:r w:rsidRPr="00B808B2">
        <w:rPr>
          <w:bCs/>
          <w:sz w:val="24"/>
          <w:szCs w:val="24"/>
        </w:rPr>
        <w:t>øsofagitis</w:t>
      </w:r>
      <w:proofErr w:type="spellEnd"/>
      <w:r w:rsidRPr="00B808B2">
        <w:rPr>
          <w:bCs/>
          <w:sz w:val="24"/>
          <w:szCs w:val="24"/>
        </w:rPr>
        <w:t xml:space="preserve">. Bivirkningsprofilen var generelt den samme som hos voksne i både korttids- og langtidsbehandling. Der er ingen langtidsdata vedrørende effekten af </w:t>
      </w:r>
      <w:proofErr w:type="spellStart"/>
      <w:r w:rsidRPr="00B808B2">
        <w:rPr>
          <w:bCs/>
          <w:sz w:val="24"/>
          <w:szCs w:val="24"/>
        </w:rPr>
        <w:t>omeprazolbehandling</w:t>
      </w:r>
      <w:proofErr w:type="spellEnd"/>
      <w:r w:rsidRPr="00B808B2">
        <w:rPr>
          <w:bCs/>
          <w:sz w:val="24"/>
          <w:szCs w:val="24"/>
        </w:rPr>
        <w:t xml:space="preserve"> på pubertet og vækst.</w:t>
      </w:r>
    </w:p>
    <w:p w:rsidR="000039DD" w:rsidRPr="00B808B2" w:rsidRDefault="000039DD" w:rsidP="000039DD">
      <w:pPr>
        <w:shd w:val="clear" w:color="auto" w:fill="FFFFFF"/>
        <w:ind w:left="851"/>
        <w:rPr>
          <w:bCs/>
          <w:sz w:val="24"/>
          <w:szCs w:val="24"/>
        </w:rPr>
      </w:pPr>
    </w:p>
    <w:p w:rsidR="000039DD" w:rsidRPr="003952CE" w:rsidRDefault="000039DD" w:rsidP="000039DD">
      <w:pPr>
        <w:autoSpaceDE w:val="0"/>
        <w:autoSpaceDN w:val="0"/>
        <w:ind w:left="851"/>
        <w:rPr>
          <w:sz w:val="24"/>
          <w:szCs w:val="24"/>
          <w:u w:val="single"/>
        </w:rPr>
      </w:pPr>
      <w:r w:rsidRPr="003952CE">
        <w:rPr>
          <w:sz w:val="24"/>
          <w:szCs w:val="24"/>
          <w:u w:val="single"/>
        </w:rPr>
        <w:t>Indberetning af formodede bivirkninger</w:t>
      </w:r>
    </w:p>
    <w:p w:rsidR="000039DD" w:rsidRPr="003952CE" w:rsidRDefault="000039DD" w:rsidP="000039D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0039DD" w:rsidRPr="003952CE" w:rsidRDefault="000039DD" w:rsidP="000039DD">
      <w:pPr>
        <w:tabs>
          <w:tab w:val="left" w:pos="2440"/>
        </w:tabs>
        <w:ind w:left="851"/>
        <w:rPr>
          <w:sz w:val="24"/>
          <w:szCs w:val="24"/>
        </w:rPr>
      </w:pPr>
    </w:p>
    <w:p w:rsidR="000039DD" w:rsidRPr="003952CE" w:rsidRDefault="000039DD" w:rsidP="000039DD">
      <w:pPr>
        <w:ind w:left="851"/>
        <w:rPr>
          <w:sz w:val="24"/>
          <w:szCs w:val="24"/>
        </w:rPr>
      </w:pPr>
      <w:r w:rsidRPr="003952CE">
        <w:rPr>
          <w:sz w:val="24"/>
          <w:szCs w:val="24"/>
        </w:rPr>
        <w:t>Lægemiddelstyrelsen</w:t>
      </w:r>
    </w:p>
    <w:p w:rsidR="000039DD" w:rsidRPr="003952CE" w:rsidRDefault="000039DD" w:rsidP="000039DD">
      <w:pPr>
        <w:ind w:left="851"/>
        <w:rPr>
          <w:sz w:val="24"/>
          <w:szCs w:val="24"/>
        </w:rPr>
      </w:pPr>
      <w:r w:rsidRPr="003952CE">
        <w:rPr>
          <w:sz w:val="24"/>
          <w:szCs w:val="24"/>
        </w:rPr>
        <w:t>Axel Heides Gade 1</w:t>
      </w:r>
    </w:p>
    <w:p w:rsidR="000039DD" w:rsidRPr="003952CE" w:rsidRDefault="000039DD" w:rsidP="000039DD">
      <w:pPr>
        <w:ind w:left="851"/>
        <w:rPr>
          <w:sz w:val="24"/>
          <w:szCs w:val="24"/>
        </w:rPr>
      </w:pPr>
      <w:r w:rsidRPr="003952CE">
        <w:rPr>
          <w:sz w:val="24"/>
          <w:szCs w:val="24"/>
        </w:rPr>
        <w:t>DK-2300 København S</w:t>
      </w:r>
    </w:p>
    <w:p w:rsidR="000039DD" w:rsidRDefault="000039DD" w:rsidP="000039DD">
      <w:pPr>
        <w:ind w:left="851"/>
        <w:rPr>
          <w:rStyle w:val="Hyperlink"/>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0039DD" w:rsidRPr="000A1DC3" w:rsidRDefault="000039DD" w:rsidP="000039DD">
      <w:pPr>
        <w:ind w:left="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4.9</w:t>
      </w:r>
      <w:r w:rsidRPr="00B808B2">
        <w:rPr>
          <w:b/>
          <w:sz w:val="24"/>
          <w:szCs w:val="24"/>
        </w:rPr>
        <w:tab/>
        <w:t>Overdosering</w:t>
      </w:r>
    </w:p>
    <w:p w:rsidR="00037C49" w:rsidRPr="00B808B2" w:rsidRDefault="00037C49" w:rsidP="00037C49">
      <w:pPr>
        <w:autoSpaceDE w:val="0"/>
        <w:autoSpaceDN w:val="0"/>
        <w:adjustRightInd w:val="0"/>
        <w:ind w:left="851"/>
        <w:rPr>
          <w:sz w:val="24"/>
          <w:szCs w:val="24"/>
        </w:rPr>
      </w:pPr>
      <w:r w:rsidRPr="00B808B2">
        <w:rPr>
          <w:sz w:val="24"/>
          <w:szCs w:val="24"/>
        </w:rPr>
        <w:t xml:space="preserve">Der er begrænset information til rådighed om virkningerne af overdosering med </w:t>
      </w:r>
      <w:proofErr w:type="spellStart"/>
      <w:r w:rsidRPr="00B808B2">
        <w:rPr>
          <w:sz w:val="24"/>
          <w:szCs w:val="24"/>
        </w:rPr>
        <w:t>omeprazol</w:t>
      </w:r>
      <w:proofErr w:type="spellEnd"/>
      <w:r w:rsidRPr="00B808B2">
        <w:rPr>
          <w:sz w:val="24"/>
          <w:szCs w:val="24"/>
        </w:rPr>
        <w:t xml:space="preserve"> hos mennesker. I litteraturen er doser op til 560 mg beskrevet, og lejlighedsvis er der rapporteret om enkelte orale doser på op til 2.400 mg </w:t>
      </w:r>
      <w:proofErr w:type="spellStart"/>
      <w:r w:rsidRPr="00B808B2">
        <w:rPr>
          <w:sz w:val="24"/>
          <w:szCs w:val="24"/>
        </w:rPr>
        <w:t>omeprazol</w:t>
      </w:r>
      <w:proofErr w:type="spellEnd"/>
      <w:r w:rsidRPr="00B808B2">
        <w:rPr>
          <w:sz w:val="24"/>
          <w:szCs w:val="24"/>
        </w:rPr>
        <w:t xml:space="preserve"> (120 gange større end den sædvanligt anbefalede kliniske dosis). Der er rapporteret om kvalme, opkastning, svimmelhed, </w:t>
      </w:r>
      <w:proofErr w:type="spellStart"/>
      <w:r w:rsidRPr="00B808B2">
        <w:rPr>
          <w:sz w:val="24"/>
          <w:szCs w:val="24"/>
        </w:rPr>
        <w:t>abdominale</w:t>
      </w:r>
      <w:proofErr w:type="spellEnd"/>
      <w:r w:rsidRPr="00B808B2">
        <w:rPr>
          <w:sz w:val="24"/>
          <w:szCs w:val="24"/>
        </w:rPr>
        <w:t xml:space="preserve"> smerter, diarré og hovedpine. I enkelte tilfælde er apati, depression og konfusion også blevet beskrevet.</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sz w:val="24"/>
          <w:szCs w:val="24"/>
        </w:rPr>
        <w:t>De beskrevne symptomer har været forbigående, og der er ikke rapporteret om alvorlige følgevirkninger. Eliminationshastigheden var uændret ved øgede doser (1. ordens kinetik). Behandlingen er, hvis nødvendig, symptomatisk.</w:t>
      </w:r>
    </w:p>
    <w:p w:rsidR="00037C49" w:rsidRPr="00B808B2" w:rsidRDefault="00037C49" w:rsidP="00037C49">
      <w:pPr>
        <w:shd w:val="clear" w:color="auto" w:fill="FFFFFF"/>
        <w:rPr>
          <w:bCs/>
          <w:sz w:val="24"/>
          <w:szCs w:val="24"/>
        </w:rPr>
      </w:pPr>
    </w:p>
    <w:p w:rsidR="00037C49" w:rsidRPr="00B808B2" w:rsidRDefault="00037C49" w:rsidP="00037C49">
      <w:pPr>
        <w:autoSpaceDE w:val="0"/>
        <w:autoSpaceDN w:val="0"/>
        <w:adjustRightInd w:val="0"/>
        <w:ind w:left="851" w:hanging="851"/>
        <w:rPr>
          <w:b/>
          <w:sz w:val="24"/>
          <w:szCs w:val="24"/>
        </w:rPr>
      </w:pPr>
      <w:r w:rsidRPr="00B808B2">
        <w:rPr>
          <w:b/>
          <w:sz w:val="24"/>
          <w:szCs w:val="24"/>
        </w:rPr>
        <w:t>4.10</w:t>
      </w:r>
      <w:r w:rsidRPr="00B808B2">
        <w:rPr>
          <w:b/>
          <w:sz w:val="24"/>
          <w:szCs w:val="24"/>
        </w:rPr>
        <w:tab/>
        <w:t>Udlevering</w:t>
      </w:r>
    </w:p>
    <w:p w:rsidR="00037C49" w:rsidRPr="00B808B2" w:rsidRDefault="00037C49" w:rsidP="00037C49">
      <w:pPr>
        <w:tabs>
          <w:tab w:val="left" w:pos="851"/>
        </w:tabs>
        <w:ind w:left="851" w:hanging="851"/>
        <w:rPr>
          <w:sz w:val="24"/>
          <w:szCs w:val="24"/>
        </w:rPr>
      </w:pPr>
      <w:r w:rsidRPr="00B808B2">
        <w:rPr>
          <w:sz w:val="24"/>
          <w:szCs w:val="24"/>
        </w:rPr>
        <w:tab/>
        <w:t>B</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sz w:val="24"/>
          <w:szCs w:val="24"/>
        </w:rPr>
      </w:pPr>
    </w:p>
    <w:p w:rsidR="00037C49" w:rsidRPr="000039DD" w:rsidRDefault="00037C49" w:rsidP="000039DD">
      <w:pPr>
        <w:tabs>
          <w:tab w:val="left" w:pos="851"/>
        </w:tabs>
        <w:ind w:left="851" w:hanging="851"/>
        <w:rPr>
          <w:b/>
          <w:sz w:val="24"/>
          <w:szCs w:val="24"/>
        </w:rPr>
      </w:pPr>
      <w:r w:rsidRPr="00B808B2">
        <w:rPr>
          <w:b/>
          <w:sz w:val="24"/>
          <w:szCs w:val="24"/>
        </w:rPr>
        <w:t>5.</w:t>
      </w:r>
      <w:r w:rsidRPr="00B808B2">
        <w:rPr>
          <w:b/>
          <w:sz w:val="24"/>
          <w:szCs w:val="24"/>
        </w:rPr>
        <w:tab/>
        <w:t>FARMAKOLOGISKE EGENSKABER</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num" w:pos="851"/>
        </w:tabs>
        <w:ind w:left="851" w:hanging="851"/>
        <w:rPr>
          <w:b/>
          <w:sz w:val="24"/>
          <w:szCs w:val="24"/>
        </w:rPr>
      </w:pPr>
      <w:r w:rsidRPr="00B808B2">
        <w:rPr>
          <w:b/>
          <w:sz w:val="24"/>
          <w:szCs w:val="24"/>
        </w:rPr>
        <w:t>5.1</w:t>
      </w:r>
      <w:r w:rsidRPr="00B808B2">
        <w:rPr>
          <w:b/>
          <w:sz w:val="24"/>
          <w:szCs w:val="24"/>
        </w:rPr>
        <w:tab/>
      </w:r>
      <w:proofErr w:type="spellStart"/>
      <w:r w:rsidRPr="00B808B2">
        <w:rPr>
          <w:b/>
          <w:sz w:val="24"/>
          <w:szCs w:val="24"/>
        </w:rPr>
        <w:t>Farmakodynamiske</w:t>
      </w:r>
      <w:proofErr w:type="spellEnd"/>
      <w:r w:rsidRPr="00B808B2">
        <w:rPr>
          <w:b/>
          <w:sz w:val="24"/>
          <w:szCs w:val="24"/>
        </w:rPr>
        <w:t xml:space="preserve"> egenskaber</w:t>
      </w:r>
    </w:p>
    <w:p w:rsidR="000039DD" w:rsidRPr="00C51C9F" w:rsidRDefault="000039DD" w:rsidP="000039DD">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C51C9F">
        <w:rPr>
          <w:sz w:val="24"/>
          <w:szCs w:val="24"/>
        </w:rPr>
        <w:t xml:space="preserve">Midler mod mavesår og </w:t>
      </w:r>
      <w:proofErr w:type="spellStart"/>
      <w:r w:rsidRPr="00C51C9F">
        <w:rPr>
          <w:sz w:val="24"/>
          <w:szCs w:val="24"/>
        </w:rPr>
        <w:t>gastro-oesophageal</w:t>
      </w:r>
      <w:proofErr w:type="spellEnd"/>
      <w:r w:rsidRPr="00C51C9F">
        <w:rPr>
          <w:sz w:val="24"/>
          <w:szCs w:val="24"/>
        </w:rPr>
        <w:t xml:space="preserve"> </w:t>
      </w:r>
      <w:proofErr w:type="spellStart"/>
      <w:r w:rsidRPr="00C51C9F">
        <w:rPr>
          <w:sz w:val="24"/>
          <w:szCs w:val="24"/>
        </w:rPr>
        <w:t>reflux</w:t>
      </w:r>
      <w:proofErr w:type="spellEnd"/>
      <w:r w:rsidRPr="00C51C9F">
        <w:rPr>
          <w:sz w:val="24"/>
          <w:szCs w:val="24"/>
        </w:rPr>
        <w:t xml:space="preserve"> (GERD), protonpumpehæmmer</w:t>
      </w:r>
      <w:r>
        <w:rPr>
          <w:sz w:val="24"/>
          <w:szCs w:val="24"/>
        </w:rPr>
        <w:t>.</w:t>
      </w:r>
      <w:r>
        <w:rPr>
          <w:sz w:val="24"/>
          <w:szCs w:val="24"/>
        </w:rPr>
        <w:t xml:space="preserve"> </w:t>
      </w:r>
      <w:r w:rsidRPr="00C51C9F">
        <w:rPr>
          <w:sz w:val="24"/>
          <w:szCs w:val="24"/>
        </w:rPr>
        <w:t>ATC-kode: A</w:t>
      </w:r>
      <w:r>
        <w:rPr>
          <w:sz w:val="24"/>
          <w:szCs w:val="24"/>
        </w:rPr>
        <w:t xml:space="preserve"> </w:t>
      </w:r>
      <w:r w:rsidRPr="00C51C9F">
        <w:rPr>
          <w:sz w:val="24"/>
          <w:szCs w:val="24"/>
        </w:rPr>
        <w:t>02</w:t>
      </w:r>
      <w:r>
        <w:rPr>
          <w:sz w:val="24"/>
          <w:szCs w:val="24"/>
        </w:rPr>
        <w:t xml:space="preserve"> </w:t>
      </w:r>
      <w:r w:rsidRPr="00C51C9F">
        <w:rPr>
          <w:sz w:val="24"/>
          <w:szCs w:val="24"/>
        </w:rPr>
        <w:t>BC</w:t>
      </w:r>
      <w:r>
        <w:rPr>
          <w:sz w:val="24"/>
          <w:szCs w:val="24"/>
        </w:rPr>
        <w:t xml:space="preserve"> </w:t>
      </w:r>
      <w:r w:rsidRPr="00C51C9F">
        <w:rPr>
          <w:sz w:val="24"/>
          <w:szCs w:val="24"/>
        </w:rPr>
        <w:t>01</w:t>
      </w:r>
    </w:p>
    <w:p w:rsidR="00194D61" w:rsidRDefault="00194D61" w:rsidP="000039DD">
      <w:pPr>
        <w:tabs>
          <w:tab w:val="left" w:pos="1961"/>
        </w:tabs>
        <w:autoSpaceDE w:val="0"/>
        <w:autoSpaceDN w:val="0"/>
        <w:adjustRightInd w:val="0"/>
        <w:ind w:left="851" w:hanging="851"/>
        <w:rPr>
          <w:sz w:val="24"/>
          <w:szCs w:val="24"/>
        </w:rPr>
      </w:pPr>
    </w:p>
    <w:p w:rsidR="00037C49" w:rsidRPr="00B808B2" w:rsidRDefault="00037C49" w:rsidP="00194D61">
      <w:pPr>
        <w:autoSpaceDE w:val="0"/>
        <w:autoSpaceDN w:val="0"/>
        <w:adjustRightInd w:val="0"/>
        <w:ind w:left="851"/>
        <w:rPr>
          <w:bCs/>
          <w:sz w:val="24"/>
          <w:szCs w:val="24"/>
        </w:rPr>
      </w:pPr>
      <w:r w:rsidRPr="00B808B2">
        <w:rPr>
          <w:bCs/>
          <w:sz w:val="24"/>
          <w:szCs w:val="24"/>
          <w:u w:val="single"/>
        </w:rPr>
        <w:t>Virkningsmekanisme</w:t>
      </w:r>
    </w:p>
    <w:p w:rsidR="00037C49" w:rsidRPr="00B808B2" w:rsidRDefault="00037C49" w:rsidP="00037C49">
      <w:pPr>
        <w:autoSpaceDE w:val="0"/>
        <w:autoSpaceDN w:val="0"/>
        <w:adjustRightInd w:val="0"/>
        <w:ind w:left="851"/>
        <w:rPr>
          <w:bCs/>
          <w:sz w:val="24"/>
          <w:szCs w:val="24"/>
        </w:rPr>
      </w:pPr>
      <w:proofErr w:type="spellStart"/>
      <w:r w:rsidRPr="00B808B2">
        <w:rPr>
          <w:bCs/>
          <w:sz w:val="24"/>
          <w:szCs w:val="24"/>
        </w:rPr>
        <w:t>Omeprazol</w:t>
      </w:r>
      <w:proofErr w:type="spellEnd"/>
      <w:r w:rsidRPr="00B808B2">
        <w:rPr>
          <w:bCs/>
          <w:sz w:val="24"/>
          <w:szCs w:val="24"/>
        </w:rPr>
        <w:t xml:space="preserve">, en </w:t>
      </w:r>
      <w:proofErr w:type="spellStart"/>
      <w:r w:rsidRPr="00B808B2">
        <w:rPr>
          <w:bCs/>
          <w:sz w:val="24"/>
          <w:szCs w:val="24"/>
        </w:rPr>
        <w:t>racemisk</w:t>
      </w:r>
      <w:proofErr w:type="spellEnd"/>
      <w:r w:rsidRPr="00B808B2">
        <w:rPr>
          <w:bCs/>
          <w:sz w:val="24"/>
          <w:szCs w:val="24"/>
        </w:rPr>
        <w:t xml:space="preserve"> blanding af to </w:t>
      </w:r>
      <w:proofErr w:type="spellStart"/>
      <w:r w:rsidRPr="00B808B2">
        <w:rPr>
          <w:bCs/>
          <w:sz w:val="24"/>
          <w:szCs w:val="24"/>
        </w:rPr>
        <w:t>enantiomerer</w:t>
      </w:r>
      <w:proofErr w:type="spellEnd"/>
      <w:r w:rsidRPr="00B808B2">
        <w:rPr>
          <w:bCs/>
          <w:sz w:val="24"/>
          <w:szCs w:val="24"/>
        </w:rPr>
        <w:t xml:space="preserve">, nedsætter sekretionen af mavesyre ved en yderst målrettet virkningsmekanisme. Det er en specifik inhibitor af syrepumpen i </w:t>
      </w:r>
      <w:proofErr w:type="spellStart"/>
      <w:r w:rsidRPr="00B808B2">
        <w:rPr>
          <w:bCs/>
          <w:sz w:val="24"/>
          <w:szCs w:val="24"/>
        </w:rPr>
        <w:t>parietalcellerne</w:t>
      </w:r>
      <w:proofErr w:type="spellEnd"/>
      <w:r w:rsidRPr="00B808B2">
        <w:rPr>
          <w:bCs/>
          <w:sz w:val="24"/>
          <w:szCs w:val="24"/>
        </w:rPr>
        <w:t xml:space="preserve">. Der er en hurtig indtrædende effekt, og kontrol opnås gennem reversibel </w:t>
      </w:r>
      <w:proofErr w:type="spellStart"/>
      <w:r w:rsidRPr="00B808B2">
        <w:rPr>
          <w:bCs/>
          <w:sz w:val="24"/>
          <w:szCs w:val="24"/>
        </w:rPr>
        <w:t>inhibering</w:t>
      </w:r>
      <w:proofErr w:type="spellEnd"/>
      <w:r w:rsidRPr="00B808B2">
        <w:rPr>
          <w:bCs/>
          <w:sz w:val="24"/>
          <w:szCs w:val="24"/>
        </w:rPr>
        <w:t xml:space="preserve"> af mavesyresekretionen med en daglig dosering.</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proofErr w:type="spellStart"/>
      <w:r w:rsidRPr="00B808B2">
        <w:rPr>
          <w:bCs/>
          <w:sz w:val="24"/>
          <w:szCs w:val="24"/>
        </w:rPr>
        <w:t>Omeprazol</w:t>
      </w:r>
      <w:proofErr w:type="spellEnd"/>
      <w:r w:rsidRPr="00B808B2">
        <w:rPr>
          <w:bCs/>
          <w:sz w:val="24"/>
          <w:szCs w:val="24"/>
        </w:rPr>
        <w:t xml:space="preserve"> er en svag base, der koncentreres og omdannes til den aktive form i det meget sure miljø i </w:t>
      </w:r>
      <w:proofErr w:type="spellStart"/>
      <w:r w:rsidRPr="00B808B2">
        <w:rPr>
          <w:bCs/>
          <w:sz w:val="24"/>
          <w:szCs w:val="24"/>
        </w:rPr>
        <w:t>parietalcellernes</w:t>
      </w:r>
      <w:proofErr w:type="spellEnd"/>
      <w:r w:rsidRPr="00B808B2">
        <w:rPr>
          <w:bCs/>
          <w:sz w:val="24"/>
          <w:szCs w:val="24"/>
        </w:rPr>
        <w:t xml:space="preserve"> intracellulære </w:t>
      </w:r>
      <w:proofErr w:type="spellStart"/>
      <w:r w:rsidRPr="00B808B2">
        <w:rPr>
          <w:bCs/>
          <w:sz w:val="24"/>
          <w:szCs w:val="24"/>
        </w:rPr>
        <w:t>canaliculi</w:t>
      </w:r>
      <w:proofErr w:type="spellEnd"/>
      <w:r w:rsidRPr="00B808B2">
        <w:rPr>
          <w:bCs/>
          <w:sz w:val="24"/>
          <w:szCs w:val="24"/>
        </w:rPr>
        <w:t>, hvor det hæmmer enzymet H</w:t>
      </w:r>
      <w:proofErr w:type="gramStart"/>
      <w:r w:rsidRPr="00B808B2">
        <w:rPr>
          <w:bCs/>
          <w:sz w:val="24"/>
          <w:szCs w:val="24"/>
        </w:rPr>
        <w:t>+,K</w:t>
      </w:r>
      <w:proofErr w:type="gramEnd"/>
      <w:r w:rsidRPr="00B808B2">
        <w:rPr>
          <w:bCs/>
          <w:sz w:val="24"/>
          <w:szCs w:val="24"/>
        </w:rPr>
        <w:t>+-</w:t>
      </w:r>
      <w:proofErr w:type="spellStart"/>
      <w:r w:rsidRPr="00B808B2">
        <w:rPr>
          <w:bCs/>
          <w:sz w:val="24"/>
          <w:szCs w:val="24"/>
        </w:rPr>
        <w:t>ATPase</w:t>
      </w:r>
      <w:proofErr w:type="spellEnd"/>
      <w:r w:rsidRPr="00B808B2">
        <w:rPr>
          <w:bCs/>
          <w:sz w:val="24"/>
          <w:szCs w:val="24"/>
        </w:rPr>
        <w:t>, syrepumpen. Denne virkning på det sidste trin i processen for dannelse af mavesyre er dosisafhængig og sikrer en meget effektiv hæmning af såvel basal som stimuleret syresekretion, uanset stimuli.</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proofErr w:type="spellStart"/>
      <w:r w:rsidRPr="00B808B2">
        <w:rPr>
          <w:bCs/>
          <w:sz w:val="24"/>
          <w:szCs w:val="24"/>
          <w:u w:val="single"/>
        </w:rPr>
        <w:t>Farmakodynamiske</w:t>
      </w:r>
      <w:proofErr w:type="spellEnd"/>
      <w:r w:rsidRPr="00B808B2">
        <w:rPr>
          <w:bCs/>
          <w:sz w:val="24"/>
          <w:szCs w:val="24"/>
          <w:u w:val="single"/>
        </w:rPr>
        <w:t xml:space="preserve"> virkninger</w:t>
      </w:r>
    </w:p>
    <w:p w:rsidR="00037C49" w:rsidRPr="00B808B2" w:rsidRDefault="00037C49" w:rsidP="00037C49">
      <w:pPr>
        <w:autoSpaceDE w:val="0"/>
        <w:autoSpaceDN w:val="0"/>
        <w:adjustRightInd w:val="0"/>
        <w:ind w:left="851"/>
        <w:rPr>
          <w:bCs/>
          <w:sz w:val="24"/>
          <w:szCs w:val="24"/>
        </w:rPr>
      </w:pPr>
      <w:r w:rsidRPr="00B808B2">
        <w:rPr>
          <w:bCs/>
          <w:sz w:val="24"/>
          <w:szCs w:val="24"/>
        </w:rPr>
        <w:t xml:space="preserve">Alle observerede </w:t>
      </w:r>
      <w:proofErr w:type="spellStart"/>
      <w:r w:rsidRPr="00B808B2">
        <w:rPr>
          <w:bCs/>
          <w:sz w:val="24"/>
          <w:szCs w:val="24"/>
        </w:rPr>
        <w:t>farmakodynamiske</w:t>
      </w:r>
      <w:proofErr w:type="spellEnd"/>
      <w:r w:rsidRPr="00B808B2">
        <w:rPr>
          <w:bCs/>
          <w:sz w:val="24"/>
          <w:szCs w:val="24"/>
        </w:rPr>
        <w:t xml:space="preserve"> virkninger kan forklares ved </w:t>
      </w:r>
      <w:proofErr w:type="spellStart"/>
      <w:r w:rsidRPr="00B808B2">
        <w:rPr>
          <w:bCs/>
          <w:sz w:val="24"/>
          <w:szCs w:val="24"/>
        </w:rPr>
        <w:t>omeprazols</w:t>
      </w:r>
      <w:proofErr w:type="spellEnd"/>
      <w:r w:rsidRPr="00B808B2">
        <w:rPr>
          <w:bCs/>
          <w:sz w:val="24"/>
          <w:szCs w:val="24"/>
        </w:rPr>
        <w:t xml:space="preserve"> virkning på syresekretionen.</w:t>
      </w:r>
    </w:p>
    <w:p w:rsidR="00037C49" w:rsidRPr="00B808B2" w:rsidRDefault="00037C49" w:rsidP="00037C49">
      <w:pPr>
        <w:autoSpaceDE w:val="0"/>
        <w:autoSpaceDN w:val="0"/>
        <w:adjustRightInd w:val="0"/>
        <w:ind w:left="851"/>
        <w:rPr>
          <w:bCs/>
          <w:sz w:val="24"/>
          <w:szCs w:val="24"/>
        </w:rPr>
      </w:pPr>
    </w:p>
    <w:p w:rsidR="00037C49" w:rsidRPr="00194D61" w:rsidRDefault="00037C49" w:rsidP="00194D61">
      <w:pPr>
        <w:ind w:left="851"/>
        <w:rPr>
          <w:i/>
          <w:sz w:val="24"/>
          <w:szCs w:val="24"/>
        </w:rPr>
      </w:pPr>
      <w:r w:rsidRPr="00194D61">
        <w:rPr>
          <w:i/>
          <w:sz w:val="24"/>
          <w:szCs w:val="24"/>
        </w:rPr>
        <w:t>Virkning på mavesyresekretionen</w:t>
      </w:r>
    </w:p>
    <w:p w:rsidR="00037C49" w:rsidRPr="00B808B2" w:rsidRDefault="00037C49" w:rsidP="00037C49">
      <w:pPr>
        <w:autoSpaceDE w:val="0"/>
        <w:autoSpaceDN w:val="0"/>
        <w:adjustRightInd w:val="0"/>
        <w:ind w:left="851"/>
        <w:rPr>
          <w:bCs/>
          <w:sz w:val="24"/>
          <w:szCs w:val="24"/>
        </w:rPr>
      </w:pPr>
      <w:r w:rsidRPr="00B808B2">
        <w:rPr>
          <w:bCs/>
          <w:sz w:val="24"/>
          <w:szCs w:val="24"/>
        </w:rPr>
        <w:t xml:space="preserve">En oral dosis </w:t>
      </w:r>
      <w:proofErr w:type="spellStart"/>
      <w:r w:rsidRPr="00B808B2">
        <w:rPr>
          <w:bCs/>
          <w:sz w:val="24"/>
          <w:szCs w:val="24"/>
        </w:rPr>
        <w:t>omeprazol</w:t>
      </w:r>
      <w:proofErr w:type="spellEnd"/>
      <w:r w:rsidRPr="00B808B2">
        <w:rPr>
          <w:bCs/>
          <w:sz w:val="24"/>
          <w:szCs w:val="24"/>
        </w:rPr>
        <w:t xml:space="preserve"> en gang daglig giver en hurtig og effektiv hæmning af mavesyresekretionen i dag- og nattetimerne med maksimal virkning inden for 4 dages behandling. Med </w:t>
      </w:r>
      <w:proofErr w:type="spellStart"/>
      <w:r w:rsidRPr="00B808B2">
        <w:rPr>
          <w:bCs/>
          <w:sz w:val="24"/>
          <w:szCs w:val="24"/>
        </w:rPr>
        <w:t>omeprazol</w:t>
      </w:r>
      <w:proofErr w:type="spellEnd"/>
      <w:r w:rsidRPr="00B808B2">
        <w:rPr>
          <w:bCs/>
          <w:sz w:val="24"/>
          <w:szCs w:val="24"/>
        </w:rPr>
        <w:t xml:space="preserve"> 20 mg bibeholdes en gennemsnitlig reduktion af ventriklens surhedsgrad på mindst 80 % over 24 timer hos patienter med </w:t>
      </w:r>
      <w:proofErr w:type="spellStart"/>
      <w:r w:rsidRPr="00B808B2">
        <w:rPr>
          <w:bCs/>
          <w:sz w:val="24"/>
          <w:szCs w:val="24"/>
        </w:rPr>
        <w:t>duodenalt</w:t>
      </w:r>
      <w:proofErr w:type="spellEnd"/>
      <w:r w:rsidRPr="00B808B2">
        <w:rPr>
          <w:bCs/>
          <w:sz w:val="24"/>
          <w:szCs w:val="24"/>
        </w:rPr>
        <w:t xml:space="preserve"> ulcus, mens den gennemsnitlige reduktion af den maksimale syreproduktion efter </w:t>
      </w:r>
      <w:proofErr w:type="spellStart"/>
      <w:r w:rsidRPr="00B808B2">
        <w:rPr>
          <w:bCs/>
          <w:sz w:val="24"/>
          <w:szCs w:val="24"/>
        </w:rPr>
        <w:t>pentagastrinstimulering</w:t>
      </w:r>
      <w:proofErr w:type="spellEnd"/>
      <w:r w:rsidRPr="00B808B2">
        <w:rPr>
          <w:bCs/>
          <w:sz w:val="24"/>
          <w:szCs w:val="24"/>
        </w:rPr>
        <w:t xml:space="preserve"> er ca. 70 % 24 timer efter dosisindgift.</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sz w:val="24"/>
          <w:szCs w:val="24"/>
        </w:rPr>
        <w:t xml:space="preserve">En oral dosis </w:t>
      </w:r>
      <w:proofErr w:type="spellStart"/>
      <w:r w:rsidRPr="00B808B2">
        <w:rPr>
          <w:bCs/>
          <w:sz w:val="24"/>
          <w:szCs w:val="24"/>
        </w:rPr>
        <w:t>omeprazol</w:t>
      </w:r>
      <w:proofErr w:type="spellEnd"/>
      <w:r w:rsidRPr="00B808B2">
        <w:rPr>
          <w:bCs/>
          <w:sz w:val="24"/>
          <w:szCs w:val="24"/>
        </w:rPr>
        <w:t xml:space="preserve"> på 20 mg til patienter med </w:t>
      </w:r>
      <w:proofErr w:type="spellStart"/>
      <w:r w:rsidRPr="00B808B2">
        <w:rPr>
          <w:bCs/>
          <w:sz w:val="24"/>
          <w:szCs w:val="24"/>
        </w:rPr>
        <w:t>duodenalt</w:t>
      </w:r>
      <w:proofErr w:type="spellEnd"/>
      <w:r w:rsidRPr="00B808B2">
        <w:rPr>
          <w:bCs/>
          <w:sz w:val="24"/>
          <w:szCs w:val="24"/>
        </w:rPr>
        <w:t xml:space="preserve"> ulcus opretholder </w:t>
      </w:r>
      <w:proofErr w:type="spellStart"/>
      <w:r w:rsidRPr="00B808B2">
        <w:rPr>
          <w:bCs/>
          <w:sz w:val="24"/>
          <w:szCs w:val="24"/>
        </w:rPr>
        <w:t>intragastisk</w:t>
      </w:r>
      <w:proofErr w:type="spellEnd"/>
      <w:r w:rsidRPr="00B808B2">
        <w:rPr>
          <w:bCs/>
          <w:sz w:val="24"/>
          <w:szCs w:val="24"/>
        </w:rPr>
        <w:t xml:space="preserve"> pH på ≥ 3 i gennemsnitligt 17 timer ud af en periode på 24 timer.</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sz w:val="24"/>
          <w:szCs w:val="24"/>
        </w:rPr>
        <w:t xml:space="preserve">Som en konsekvens af nedsat syreproduktion og nedsat surhedsgrad i ventriklen reducerer/normaliserer </w:t>
      </w:r>
      <w:proofErr w:type="spellStart"/>
      <w:r w:rsidRPr="00B808B2">
        <w:rPr>
          <w:bCs/>
          <w:sz w:val="24"/>
          <w:szCs w:val="24"/>
        </w:rPr>
        <w:t>omeprazol</w:t>
      </w:r>
      <w:proofErr w:type="spellEnd"/>
      <w:r w:rsidRPr="00B808B2">
        <w:rPr>
          <w:bCs/>
          <w:sz w:val="24"/>
          <w:szCs w:val="24"/>
        </w:rPr>
        <w:t xml:space="preserve"> dosisafhængigt </w:t>
      </w:r>
      <w:proofErr w:type="spellStart"/>
      <w:r w:rsidRPr="00B808B2">
        <w:rPr>
          <w:bCs/>
          <w:sz w:val="24"/>
          <w:szCs w:val="24"/>
        </w:rPr>
        <w:t>øsofagus</w:t>
      </w:r>
      <w:proofErr w:type="spellEnd"/>
      <w:r w:rsidRPr="00B808B2">
        <w:rPr>
          <w:bCs/>
          <w:sz w:val="24"/>
          <w:szCs w:val="24"/>
        </w:rPr>
        <w:t xml:space="preserve"> eksponering for syre hos patienter med </w:t>
      </w:r>
      <w:proofErr w:type="spellStart"/>
      <w:r w:rsidRPr="00B808B2">
        <w:rPr>
          <w:bCs/>
          <w:sz w:val="24"/>
          <w:szCs w:val="24"/>
        </w:rPr>
        <w:t>gastroøsofageal</w:t>
      </w:r>
      <w:proofErr w:type="spellEnd"/>
      <w:r w:rsidRPr="00B808B2">
        <w:rPr>
          <w:bCs/>
          <w:sz w:val="24"/>
          <w:szCs w:val="24"/>
        </w:rPr>
        <w:t xml:space="preserve"> </w:t>
      </w:r>
      <w:proofErr w:type="spellStart"/>
      <w:r w:rsidRPr="00B808B2">
        <w:rPr>
          <w:bCs/>
          <w:sz w:val="24"/>
          <w:szCs w:val="24"/>
        </w:rPr>
        <w:t>reflukssygdom</w:t>
      </w:r>
      <w:proofErr w:type="spellEnd"/>
      <w:r w:rsidRPr="00B808B2">
        <w:rPr>
          <w:bCs/>
          <w:sz w:val="24"/>
          <w:szCs w:val="24"/>
        </w:rPr>
        <w:t>.</w:t>
      </w:r>
    </w:p>
    <w:p w:rsidR="00037C49" w:rsidRPr="00B808B2" w:rsidRDefault="00037C49" w:rsidP="00037C49">
      <w:pPr>
        <w:autoSpaceDE w:val="0"/>
        <w:autoSpaceDN w:val="0"/>
        <w:adjustRightInd w:val="0"/>
        <w:ind w:left="851"/>
        <w:rPr>
          <w:bCs/>
          <w:sz w:val="24"/>
          <w:szCs w:val="24"/>
        </w:rPr>
      </w:pPr>
      <w:r w:rsidRPr="00B808B2">
        <w:rPr>
          <w:bCs/>
          <w:sz w:val="24"/>
          <w:szCs w:val="24"/>
        </w:rPr>
        <w:t xml:space="preserve">Hæmningen af syresekretionen er relateret til AUC for </w:t>
      </w:r>
      <w:proofErr w:type="spellStart"/>
      <w:r w:rsidRPr="00B808B2">
        <w:rPr>
          <w:bCs/>
          <w:sz w:val="24"/>
          <w:szCs w:val="24"/>
        </w:rPr>
        <w:t>omeprazol</w:t>
      </w:r>
      <w:proofErr w:type="spellEnd"/>
      <w:r w:rsidRPr="00B808B2">
        <w:rPr>
          <w:bCs/>
          <w:sz w:val="24"/>
          <w:szCs w:val="24"/>
        </w:rPr>
        <w:t xml:space="preserve"> og ikke til </w:t>
      </w:r>
      <w:proofErr w:type="gramStart"/>
      <w:r w:rsidRPr="00B808B2">
        <w:rPr>
          <w:bCs/>
          <w:sz w:val="24"/>
          <w:szCs w:val="24"/>
        </w:rPr>
        <w:t>den aktuelle plasmakoncentrationen</w:t>
      </w:r>
      <w:proofErr w:type="gramEnd"/>
      <w:r w:rsidRPr="00B808B2">
        <w:rPr>
          <w:bCs/>
          <w:sz w:val="24"/>
          <w:szCs w:val="24"/>
        </w:rPr>
        <w:t xml:space="preserve"> på et givet tidspunkt.</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sz w:val="24"/>
          <w:szCs w:val="24"/>
        </w:rPr>
        <w:t xml:space="preserve">Der er ikke set </w:t>
      </w:r>
      <w:proofErr w:type="spellStart"/>
      <w:r w:rsidRPr="00B808B2">
        <w:rPr>
          <w:bCs/>
          <w:sz w:val="24"/>
          <w:szCs w:val="24"/>
        </w:rPr>
        <w:t>takyfylaksi</w:t>
      </w:r>
      <w:proofErr w:type="spellEnd"/>
      <w:r w:rsidRPr="00B808B2">
        <w:rPr>
          <w:bCs/>
          <w:sz w:val="24"/>
          <w:szCs w:val="24"/>
        </w:rPr>
        <w:t xml:space="preserve"> under behandling med </w:t>
      </w:r>
      <w:proofErr w:type="spellStart"/>
      <w:r w:rsidRPr="00B808B2">
        <w:rPr>
          <w:bCs/>
          <w:sz w:val="24"/>
          <w:szCs w:val="24"/>
        </w:rPr>
        <w:t>omeprazol</w:t>
      </w:r>
      <w:proofErr w:type="spellEnd"/>
      <w:r w:rsidRPr="00B808B2">
        <w:rPr>
          <w:bCs/>
          <w:sz w:val="24"/>
          <w:szCs w:val="24"/>
        </w:rPr>
        <w:t>.</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i/>
          <w:sz w:val="24"/>
          <w:szCs w:val="24"/>
        </w:rPr>
        <w:t xml:space="preserve">Virkning på H. </w:t>
      </w:r>
      <w:proofErr w:type="spellStart"/>
      <w:r w:rsidRPr="00B808B2">
        <w:rPr>
          <w:bCs/>
          <w:i/>
          <w:sz w:val="24"/>
          <w:szCs w:val="24"/>
        </w:rPr>
        <w:t>pylori</w:t>
      </w:r>
      <w:proofErr w:type="spellEnd"/>
    </w:p>
    <w:p w:rsidR="00037C49" w:rsidRPr="00B808B2" w:rsidRDefault="00037C49" w:rsidP="00037C49">
      <w:pPr>
        <w:autoSpaceDE w:val="0"/>
        <w:autoSpaceDN w:val="0"/>
        <w:adjustRightInd w:val="0"/>
        <w:ind w:left="851"/>
        <w:rPr>
          <w:bCs/>
          <w:sz w:val="24"/>
          <w:szCs w:val="24"/>
        </w:rPr>
      </w:pP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 xml:space="preserve">er associeret med </w:t>
      </w:r>
      <w:proofErr w:type="spellStart"/>
      <w:r w:rsidRPr="00B808B2">
        <w:rPr>
          <w:bCs/>
          <w:sz w:val="24"/>
          <w:szCs w:val="24"/>
        </w:rPr>
        <w:t>peptisk</w:t>
      </w:r>
      <w:proofErr w:type="spellEnd"/>
      <w:r w:rsidRPr="00B808B2">
        <w:rPr>
          <w:bCs/>
          <w:sz w:val="24"/>
          <w:szCs w:val="24"/>
        </w:rPr>
        <w:t xml:space="preserve"> ulcussygdom, inklusive </w:t>
      </w:r>
      <w:proofErr w:type="spellStart"/>
      <w:r w:rsidRPr="00B808B2">
        <w:rPr>
          <w:bCs/>
          <w:sz w:val="24"/>
          <w:szCs w:val="24"/>
        </w:rPr>
        <w:t>duodenal</w:t>
      </w:r>
      <w:proofErr w:type="spellEnd"/>
      <w:r w:rsidRPr="00B808B2">
        <w:rPr>
          <w:bCs/>
          <w:sz w:val="24"/>
          <w:szCs w:val="24"/>
        </w:rPr>
        <w:t xml:space="preserve"> og gastrisk ulcussygdom.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 xml:space="preserve">er en vigtig faktor i udvikling af gastritis.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 xml:space="preserve">er sammen med mavesyre vigtige faktorer i udviklingen af </w:t>
      </w:r>
      <w:proofErr w:type="spellStart"/>
      <w:r w:rsidRPr="00B808B2">
        <w:rPr>
          <w:bCs/>
          <w:sz w:val="24"/>
          <w:szCs w:val="24"/>
        </w:rPr>
        <w:t>peptisk</w:t>
      </w:r>
      <w:proofErr w:type="spellEnd"/>
      <w:r w:rsidRPr="00B808B2">
        <w:rPr>
          <w:bCs/>
          <w:sz w:val="24"/>
          <w:szCs w:val="24"/>
        </w:rPr>
        <w:t xml:space="preserve"> ulcussygdom.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er en vigtig faktor ved udviklingen af atrofisk gastritis, som associeres med en øget risiko for udvikling af ventrikelcancer.</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proofErr w:type="spellStart"/>
      <w:r w:rsidRPr="00B808B2">
        <w:rPr>
          <w:bCs/>
          <w:sz w:val="24"/>
          <w:szCs w:val="24"/>
        </w:rPr>
        <w:t>Eradikation</w:t>
      </w:r>
      <w:proofErr w:type="spellEnd"/>
      <w:r w:rsidRPr="00B808B2">
        <w:rPr>
          <w:bCs/>
          <w:sz w:val="24"/>
          <w:szCs w:val="24"/>
        </w:rPr>
        <w:t xml:space="preserve"> af </w:t>
      </w:r>
      <w:r w:rsidRPr="00B808B2">
        <w:rPr>
          <w:bCs/>
          <w:i/>
          <w:sz w:val="24"/>
          <w:szCs w:val="24"/>
        </w:rPr>
        <w:t xml:space="preserve">H. </w:t>
      </w:r>
      <w:proofErr w:type="spellStart"/>
      <w:r w:rsidRPr="00B808B2">
        <w:rPr>
          <w:bCs/>
          <w:i/>
          <w:sz w:val="24"/>
          <w:szCs w:val="24"/>
        </w:rPr>
        <w:t>pylori</w:t>
      </w:r>
      <w:proofErr w:type="spellEnd"/>
      <w:r w:rsidRPr="00B808B2">
        <w:rPr>
          <w:bCs/>
          <w:i/>
          <w:sz w:val="24"/>
          <w:szCs w:val="24"/>
        </w:rPr>
        <w:t xml:space="preserve"> </w:t>
      </w:r>
      <w:r w:rsidRPr="00B808B2">
        <w:rPr>
          <w:bCs/>
          <w:sz w:val="24"/>
          <w:szCs w:val="24"/>
        </w:rPr>
        <w:t xml:space="preserve">med </w:t>
      </w:r>
      <w:proofErr w:type="spellStart"/>
      <w:r w:rsidRPr="00B808B2">
        <w:rPr>
          <w:bCs/>
          <w:sz w:val="24"/>
          <w:szCs w:val="24"/>
        </w:rPr>
        <w:t>omeprazol</w:t>
      </w:r>
      <w:proofErr w:type="spellEnd"/>
      <w:r w:rsidRPr="00B808B2">
        <w:rPr>
          <w:bCs/>
          <w:sz w:val="24"/>
          <w:szCs w:val="24"/>
        </w:rPr>
        <w:t xml:space="preserve"> og antibiotika er forbundet med høj grad af heling og langtidsremission af </w:t>
      </w:r>
      <w:proofErr w:type="spellStart"/>
      <w:r w:rsidRPr="00B808B2">
        <w:rPr>
          <w:bCs/>
          <w:sz w:val="24"/>
          <w:szCs w:val="24"/>
        </w:rPr>
        <w:t>peptiske</w:t>
      </w:r>
      <w:proofErr w:type="spellEnd"/>
      <w:r w:rsidRPr="00B808B2">
        <w:rPr>
          <w:bCs/>
          <w:sz w:val="24"/>
          <w:szCs w:val="24"/>
        </w:rPr>
        <w:t xml:space="preserve"> </w:t>
      </w:r>
      <w:proofErr w:type="spellStart"/>
      <w:r w:rsidRPr="00B808B2">
        <w:rPr>
          <w:bCs/>
          <w:sz w:val="24"/>
          <w:szCs w:val="24"/>
        </w:rPr>
        <w:t>ulcera</w:t>
      </w:r>
      <w:proofErr w:type="spellEnd"/>
      <w:r w:rsidRPr="00B808B2">
        <w:rPr>
          <w:bCs/>
          <w:sz w:val="24"/>
          <w:szCs w:val="24"/>
        </w:rPr>
        <w:t>.</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sz w:val="24"/>
          <w:szCs w:val="24"/>
        </w:rPr>
        <w:t>2-stof-terapier er blevet gennemprøvet og vurderes at være mindre effektive end 3-stof-terapier. De kan dog overvejes i tilfælde, hvor overfølsomhed udelukker 3-stof-terapierne.</w:t>
      </w:r>
    </w:p>
    <w:p w:rsidR="00037C49" w:rsidRPr="00B808B2" w:rsidRDefault="00037C49" w:rsidP="00037C49">
      <w:pPr>
        <w:autoSpaceDE w:val="0"/>
        <w:autoSpaceDN w:val="0"/>
        <w:adjustRightInd w:val="0"/>
        <w:ind w:left="851"/>
        <w:rPr>
          <w:bCs/>
          <w:sz w:val="24"/>
          <w:szCs w:val="24"/>
        </w:rPr>
      </w:pPr>
    </w:p>
    <w:p w:rsidR="00037C49" w:rsidRPr="00B808B2" w:rsidRDefault="00037C49" w:rsidP="00037C49">
      <w:pPr>
        <w:autoSpaceDE w:val="0"/>
        <w:autoSpaceDN w:val="0"/>
        <w:adjustRightInd w:val="0"/>
        <w:ind w:left="851"/>
        <w:rPr>
          <w:bCs/>
          <w:sz w:val="24"/>
          <w:szCs w:val="24"/>
        </w:rPr>
      </w:pPr>
      <w:r w:rsidRPr="00B808B2">
        <w:rPr>
          <w:bCs/>
          <w:i/>
          <w:sz w:val="24"/>
          <w:szCs w:val="24"/>
        </w:rPr>
        <w:t>Anden effekt relateret til syrehæmning</w:t>
      </w:r>
    </w:p>
    <w:p w:rsidR="00037C49" w:rsidRPr="00B808B2" w:rsidRDefault="00037C49" w:rsidP="00037C49">
      <w:pPr>
        <w:autoSpaceDE w:val="0"/>
        <w:autoSpaceDN w:val="0"/>
        <w:adjustRightInd w:val="0"/>
        <w:ind w:left="851"/>
        <w:rPr>
          <w:bCs/>
          <w:sz w:val="24"/>
          <w:szCs w:val="24"/>
        </w:rPr>
      </w:pPr>
      <w:r w:rsidRPr="00B808B2">
        <w:rPr>
          <w:bCs/>
          <w:sz w:val="24"/>
          <w:szCs w:val="24"/>
        </w:rPr>
        <w:t xml:space="preserve">Ved langtidsbehandling er der rapporteret en noget øget frekvens af gastriske, </w:t>
      </w:r>
      <w:proofErr w:type="spellStart"/>
      <w:r w:rsidRPr="00B808B2">
        <w:rPr>
          <w:bCs/>
          <w:sz w:val="24"/>
          <w:szCs w:val="24"/>
        </w:rPr>
        <w:t>glandulære</w:t>
      </w:r>
      <w:proofErr w:type="spellEnd"/>
      <w:r w:rsidRPr="00B808B2">
        <w:rPr>
          <w:bCs/>
          <w:sz w:val="24"/>
          <w:szCs w:val="24"/>
        </w:rPr>
        <w:t xml:space="preserve"> cyster. Disse ændringer, der er en fysiologisk konsekvens af udtalt hæmning af syresekretionen, er godartede og synes at være reversible.</w:t>
      </w:r>
    </w:p>
    <w:p w:rsidR="00037C49" w:rsidRPr="00B808B2" w:rsidRDefault="00037C49" w:rsidP="00037C49">
      <w:pPr>
        <w:autoSpaceDE w:val="0"/>
        <w:autoSpaceDN w:val="0"/>
        <w:adjustRightInd w:val="0"/>
        <w:ind w:left="851"/>
        <w:rPr>
          <w:bCs/>
          <w:sz w:val="24"/>
          <w:szCs w:val="24"/>
        </w:rPr>
      </w:pPr>
    </w:p>
    <w:p w:rsidR="00037C49" w:rsidRPr="00C51C9F" w:rsidRDefault="00037C49" w:rsidP="00037C49">
      <w:pPr>
        <w:autoSpaceDE w:val="0"/>
        <w:autoSpaceDN w:val="0"/>
        <w:adjustRightInd w:val="0"/>
        <w:ind w:left="851"/>
        <w:rPr>
          <w:i/>
          <w:iCs/>
          <w:sz w:val="24"/>
          <w:szCs w:val="24"/>
        </w:rPr>
      </w:pPr>
      <w:r w:rsidRPr="00C51C9F">
        <w:rPr>
          <w:bCs/>
          <w:sz w:val="24"/>
          <w:szCs w:val="24"/>
        </w:rPr>
        <w:t xml:space="preserve">Nedsat gastrisk surhedsgrad, uanset årsag inklusive </w:t>
      </w:r>
      <w:proofErr w:type="spellStart"/>
      <w:r w:rsidRPr="00C51C9F">
        <w:rPr>
          <w:bCs/>
          <w:sz w:val="24"/>
          <w:szCs w:val="24"/>
        </w:rPr>
        <w:t>protonpumpehæmmere</w:t>
      </w:r>
      <w:proofErr w:type="spellEnd"/>
      <w:r w:rsidRPr="00C51C9F">
        <w:rPr>
          <w:bCs/>
          <w:sz w:val="24"/>
          <w:szCs w:val="24"/>
        </w:rPr>
        <w:t xml:space="preserve">, øger antallet af normalt forekommende bakterier i mave-tarm-kanalen. Behandling med syrehæmmende farmaka kan derfor medføre en let forøget risiko for </w:t>
      </w:r>
      <w:proofErr w:type="spellStart"/>
      <w:r w:rsidRPr="00C51C9F">
        <w:rPr>
          <w:bCs/>
          <w:sz w:val="24"/>
          <w:szCs w:val="24"/>
        </w:rPr>
        <w:t>gastrointestinale</w:t>
      </w:r>
      <w:proofErr w:type="spellEnd"/>
      <w:r w:rsidRPr="00C51C9F">
        <w:rPr>
          <w:bCs/>
          <w:sz w:val="24"/>
          <w:szCs w:val="24"/>
        </w:rPr>
        <w:t xml:space="preserve"> infektioner såsom </w:t>
      </w:r>
      <w:r w:rsidRPr="00C51C9F">
        <w:rPr>
          <w:bCs/>
          <w:i/>
          <w:sz w:val="24"/>
          <w:szCs w:val="24"/>
        </w:rPr>
        <w:t xml:space="preserve">Salmonella </w:t>
      </w:r>
      <w:r w:rsidRPr="00C51C9F">
        <w:rPr>
          <w:bCs/>
          <w:sz w:val="24"/>
          <w:szCs w:val="24"/>
        </w:rPr>
        <w:t xml:space="preserve">og </w:t>
      </w:r>
      <w:r w:rsidRPr="00C51C9F">
        <w:rPr>
          <w:bCs/>
          <w:i/>
          <w:sz w:val="24"/>
          <w:szCs w:val="24"/>
        </w:rPr>
        <w:t>Campylobacter</w:t>
      </w:r>
      <w:r w:rsidRPr="00C51C9F">
        <w:rPr>
          <w:color w:val="000000"/>
          <w:sz w:val="24"/>
          <w:szCs w:val="24"/>
        </w:rPr>
        <w:t xml:space="preserve"> og muligvis også</w:t>
      </w:r>
      <w:r w:rsidRPr="00C51C9F">
        <w:rPr>
          <w:rStyle w:val="apple-converted-space"/>
          <w:sz w:val="24"/>
          <w:szCs w:val="24"/>
        </w:rPr>
        <w:t> </w:t>
      </w:r>
      <w:proofErr w:type="spellStart"/>
      <w:r w:rsidRPr="00C51C9F">
        <w:rPr>
          <w:i/>
          <w:iCs/>
          <w:color w:val="000000"/>
          <w:sz w:val="24"/>
          <w:szCs w:val="24"/>
        </w:rPr>
        <w:t>Clostridium</w:t>
      </w:r>
      <w:proofErr w:type="spellEnd"/>
      <w:r w:rsidRPr="00C51C9F">
        <w:rPr>
          <w:i/>
          <w:iCs/>
          <w:color w:val="000000"/>
          <w:sz w:val="24"/>
          <w:szCs w:val="24"/>
        </w:rPr>
        <w:t xml:space="preserve"> difficile</w:t>
      </w:r>
      <w:r w:rsidRPr="00C51C9F">
        <w:rPr>
          <w:rStyle w:val="apple-converted-space"/>
          <w:sz w:val="24"/>
          <w:szCs w:val="24"/>
        </w:rPr>
        <w:t> </w:t>
      </w:r>
      <w:r w:rsidRPr="00C51C9F">
        <w:rPr>
          <w:color w:val="000000"/>
          <w:sz w:val="24"/>
          <w:szCs w:val="24"/>
        </w:rPr>
        <w:t>hos patienter, der er hospitalsindlagte</w:t>
      </w:r>
      <w:r w:rsidRPr="00C51C9F">
        <w:rPr>
          <w:bCs/>
          <w:sz w:val="24"/>
          <w:szCs w:val="24"/>
        </w:rPr>
        <w:t>.</w:t>
      </w:r>
    </w:p>
    <w:p w:rsidR="00037C49" w:rsidRPr="00B808B2" w:rsidRDefault="00037C49" w:rsidP="00037C49">
      <w:pPr>
        <w:shd w:val="clear" w:color="auto" w:fill="FFFFFF"/>
        <w:ind w:left="851"/>
        <w:rPr>
          <w:bCs/>
          <w:sz w:val="24"/>
          <w:szCs w:val="24"/>
        </w:rPr>
      </w:pPr>
    </w:p>
    <w:p w:rsidR="00037C49" w:rsidRPr="007D627A" w:rsidRDefault="00037C49" w:rsidP="00037C49">
      <w:pPr>
        <w:shd w:val="clear" w:color="auto" w:fill="FFFFFF"/>
        <w:ind w:left="851"/>
        <w:rPr>
          <w:bCs/>
          <w:sz w:val="24"/>
          <w:szCs w:val="24"/>
        </w:rPr>
      </w:pPr>
      <w:r w:rsidRPr="007D627A">
        <w:rPr>
          <w:bCs/>
          <w:sz w:val="24"/>
          <w:szCs w:val="24"/>
        </w:rPr>
        <w:t>Under</w:t>
      </w:r>
      <w:r>
        <w:rPr>
          <w:bCs/>
          <w:sz w:val="24"/>
          <w:szCs w:val="24"/>
        </w:rPr>
        <w:t xml:space="preserve"> </w:t>
      </w:r>
      <w:r w:rsidRPr="007D627A">
        <w:rPr>
          <w:bCs/>
          <w:sz w:val="24"/>
          <w:szCs w:val="24"/>
        </w:rPr>
        <w:t>behandling med sekretionshæmme</w:t>
      </w:r>
      <w:r>
        <w:rPr>
          <w:bCs/>
          <w:sz w:val="24"/>
          <w:szCs w:val="24"/>
        </w:rPr>
        <w:t>nde lægemidler stiger indholdet</w:t>
      </w:r>
      <w:r w:rsidRPr="007D627A">
        <w:rPr>
          <w:bCs/>
          <w:sz w:val="24"/>
          <w:szCs w:val="24"/>
        </w:rPr>
        <w:t xml:space="preserve"> af gastrin i serum som reaktio</w:t>
      </w:r>
      <w:r>
        <w:rPr>
          <w:bCs/>
          <w:sz w:val="24"/>
          <w:szCs w:val="24"/>
        </w:rPr>
        <w:t>n på den nedsatte syresekretion</w:t>
      </w:r>
      <w:r w:rsidRPr="007D627A">
        <w:rPr>
          <w:bCs/>
          <w:sz w:val="24"/>
          <w:szCs w:val="24"/>
        </w:rPr>
        <w:t xml:space="preserve">. Også indholdet af </w:t>
      </w:r>
      <w:proofErr w:type="spellStart"/>
      <w:r w:rsidRPr="007D627A">
        <w:rPr>
          <w:bCs/>
          <w:sz w:val="24"/>
          <w:szCs w:val="24"/>
        </w:rPr>
        <w:t>CgA</w:t>
      </w:r>
      <w:proofErr w:type="spellEnd"/>
      <w:r w:rsidRPr="007D627A">
        <w:rPr>
          <w:bCs/>
          <w:sz w:val="24"/>
          <w:szCs w:val="24"/>
        </w:rPr>
        <w:t xml:space="preserve"> stiger på grund af den nedsatte gastriske </w:t>
      </w:r>
      <w:proofErr w:type="spellStart"/>
      <w:r w:rsidRPr="007D627A">
        <w:rPr>
          <w:bCs/>
          <w:sz w:val="24"/>
          <w:szCs w:val="24"/>
        </w:rPr>
        <w:t>aciditet</w:t>
      </w:r>
      <w:proofErr w:type="spellEnd"/>
      <w:r w:rsidRPr="007D627A">
        <w:rPr>
          <w:bCs/>
          <w:sz w:val="24"/>
          <w:szCs w:val="24"/>
        </w:rPr>
        <w:t>.  Det forhøjede in</w:t>
      </w:r>
      <w:r>
        <w:rPr>
          <w:bCs/>
          <w:sz w:val="24"/>
          <w:szCs w:val="24"/>
        </w:rPr>
        <w:t>d</w:t>
      </w:r>
      <w:r w:rsidRPr="007D627A">
        <w:rPr>
          <w:bCs/>
          <w:sz w:val="24"/>
          <w:szCs w:val="24"/>
        </w:rPr>
        <w:t xml:space="preserve">hold af </w:t>
      </w:r>
      <w:proofErr w:type="spellStart"/>
      <w:r w:rsidRPr="007D627A">
        <w:rPr>
          <w:bCs/>
          <w:sz w:val="24"/>
          <w:szCs w:val="24"/>
        </w:rPr>
        <w:t>CgA</w:t>
      </w:r>
      <w:proofErr w:type="spellEnd"/>
      <w:r w:rsidRPr="007D627A">
        <w:rPr>
          <w:bCs/>
          <w:sz w:val="24"/>
          <w:szCs w:val="24"/>
        </w:rPr>
        <w:t xml:space="preserve"> kan interferere med undersøgelser for </w:t>
      </w:r>
      <w:proofErr w:type="spellStart"/>
      <w:r w:rsidRPr="007D627A">
        <w:rPr>
          <w:bCs/>
          <w:sz w:val="24"/>
          <w:szCs w:val="24"/>
        </w:rPr>
        <w:t>neuroendokrine</w:t>
      </w:r>
      <w:proofErr w:type="spellEnd"/>
      <w:r w:rsidRPr="007D627A">
        <w:rPr>
          <w:bCs/>
          <w:sz w:val="24"/>
          <w:szCs w:val="24"/>
        </w:rPr>
        <w:t xml:space="preserve"> tumorer. Den foreliggende publicerede dokumentation antyder, at </w:t>
      </w:r>
      <w:proofErr w:type="spellStart"/>
      <w:r w:rsidRPr="007D627A">
        <w:rPr>
          <w:bCs/>
          <w:sz w:val="24"/>
          <w:szCs w:val="24"/>
        </w:rPr>
        <w:t>protonpumpehæmmere</w:t>
      </w:r>
      <w:proofErr w:type="spellEnd"/>
      <w:r w:rsidRPr="007D627A">
        <w:rPr>
          <w:bCs/>
          <w:sz w:val="24"/>
          <w:szCs w:val="24"/>
        </w:rPr>
        <w:t xml:space="preserve"> bør seponeres mellem 5 dage og 2 uger før måling af </w:t>
      </w:r>
      <w:proofErr w:type="spellStart"/>
      <w:r w:rsidRPr="007D627A">
        <w:rPr>
          <w:bCs/>
          <w:sz w:val="24"/>
          <w:szCs w:val="24"/>
        </w:rPr>
        <w:t>CgA</w:t>
      </w:r>
      <w:proofErr w:type="spellEnd"/>
      <w:r w:rsidRPr="007D627A">
        <w:rPr>
          <w:bCs/>
          <w:sz w:val="24"/>
          <w:szCs w:val="24"/>
        </w:rPr>
        <w:t xml:space="preserve">. Dette er for at eventuelle falskt forhøjede værdier af </w:t>
      </w:r>
      <w:proofErr w:type="spellStart"/>
      <w:r w:rsidRPr="007D627A">
        <w:rPr>
          <w:bCs/>
          <w:sz w:val="24"/>
          <w:szCs w:val="24"/>
        </w:rPr>
        <w:t>CgA</w:t>
      </w:r>
      <w:proofErr w:type="spellEnd"/>
      <w:r w:rsidRPr="007D627A">
        <w:rPr>
          <w:bCs/>
          <w:sz w:val="24"/>
          <w:szCs w:val="24"/>
        </w:rPr>
        <w:t xml:space="preserve"> i forbindelse med behandling med </w:t>
      </w:r>
      <w:proofErr w:type="spellStart"/>
      <w:r w:rsidRPr="007D627A">
        <w:rPr>
          <w:bCs/>
          <w:sz w:val="24"/>
          <w:szCs w:val="24"/>
        </w:rPr>
        <w:t>protonpumpehæmmere</w:t>
      </w:r>
      <w:proofErr w:type="spellEnd"/>
      <w:r w:rsidRPr="007D627A">
        <w:rPr>
          <w:bCs/>
          <w:sz w:val="24"/>
          <w:szCs w:val="24"/>
        </w:rPr>
        <w:t xml:space="preserve"> kan vende tilbage til referenceområdet.</w:t>
      </w:r>
    </w:p>
    <w:p w:rsidR="00037C49" w:rsidRPr="00C51C9F" w:rsidRDefault="00037C49" w:rsidP="00037C49">
      <w:pPr>
        <w:shd w:val="clear" w:color="auto" w:fill="FFFFFF"/>
        <w:ind w:left="851"/>
        <w:rPr>
          <w:bCs/>
          <w:sz w:val="24"/>
          <w:szCs w:val="24"/>
        </w:rPr>
      </w:pPr>
    </w:p>
    <w:p w:rsidR="00037C49" w:rsidRPr="00C51C9F" w:rsidRDefault="00037C49" w:rsidP="00037C49">
      <w:pPr>
        <w:shd w:val="clear" w:color="auto" w:fill="FFFFFF"/>
        <w:ind w:left="851"/>
        <w:rPr>
          <w:bCs/>
          <w:sz w:val="24"/>
          <w:szCs w:val="24"/>
        </w:rPr>
      </w:pPr>
      <w:r w:rsidRPr="00C51C9F">
        <w:rPr>
          <w:bCs/>
          <w:sz w:val="24"/>
          <w:szCs w:val="24"/>
        </w:rPr>
        <w:t xml:space="preserve">Ved langtidsbehandling med </w:t>
      </w:r>
      <w:proofErr w:type="spellStart"/>
      <w:r w:rsidRPr="00C51C9F">
        <w:rPr>
          <w:bCs/>
          <w:sz w:val="24"/>
          <w:szCs w:val="24"/>
        </w:rPr>
        <w:t>omeprazol</w:t>
      </w:r>
      <w:proofErr w:type="spellEnd"/>
      <w:r w:rsidRPr="00C51C9F">
        <w:rPr>
          <w:bCs/>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037C49" w:rsidRPr="00C51C9F" w:rsidRDefault="00037C49" w:rsidP="00037C49">
      <w:pPr>
        <w:shd w:val="clear" w:color="auto" w:fill="FFFFFF"/>
        <w:ind w:left="851"/>
        <w:rPr>
          <w:bCs/>
          <w:sz w:val="24"/>
          <w:szCs w:val="24"/>
        </w:rPr>
      </w:pPr>
    </w:p>
    <w:p w:rsidR="00037C49" w:rsidRDefault="00037C49" w:rsidP="00037C49">
      <w:pPr>
        <w:autoSpaceDE w:val="0"/>
        <w:autoSpaceDN w:val="0"/>
        <w:adjustRightInd w:val="0"/>
        <w:ind w:left="851"/>
        <w:rPr>
          <w:u w:val="single"/>
        </w:rPr>
      </w:pPr>
      <w:r w:rsidRPr="00C51C9F">
        <w:rPr>
          <w:sz w:val="24"/>
          <w:szCs w:val="24"/>
          <w:u w:val="single"/>
        </w:rPr>
        <w:t>Pædiatrisk population</w:t>
      </w:r>
    </w:p>
    <w:p w:rsidR="00037C49" w:rsidRPr="00B808B2" w:rsidRDefault="00037C49" w:rsidP="00037C49">
      <w:pPr>
        <w:autoSpaceDE w:val="0"/>
        <w:autoSpaceDN w:val="0"/>
        <w:adjustRightInd w:val="0"/>
        <w:ind w:left="851"/>
        <w:rPr>
          <w:sz w:val="24"/>
          <w:szCs w:val="24"/>
        </w:rPr>
      </w:pPr>
      <w:r w:rsidRPr="00B808B2">
        <w:rPr>
          <w:sz w:val="24"/>
          <w:szCs w:val="24"/>
        </w:rPr>
        <w:t xml:space="preserve">I et ikke-kontrolleret forsøg med børn (mellem 1 og 16 år) med svær </w:t>
      </w:r>
      <w:proofErr w:type="spellStart"/>
      <w:r w:rsidRPr="00B808B2">
        <w:rPr>
          <w:sz w:val="24"/>
          <w:szCs w:val="24"/>
        </w:rPr>
        <w:t>refluksøsofagitis</w:t>
      </w:r>
      <w:proofErr w:type="spellEnd"/>
      <w:r w:rsidRPr="00B808B2">
        <w:rPr>
          <w:sz w:val="24"/>
          <w:szCs w:val="24"/>
        </w:rPr>
        <w:t xml:space="preserve"> forbedrede </w:t>
      </w:r>
      <w:proofErr w:type="spellStart"/>
      <w:r w:rsidRPr="00B808B2">
        <w:rPr>
          <w:sz w:val="24"/>
          <w:szCs w:val="24"/>
        </w:rPr>
        <w:t>omeprazol</w:t>
      </w:r>
      <w:proofErr w:type="spellEnd"/>
      <w:r w:rsidRPr="00B808B2">
        <w:rPr>
          <w:sz w:val="24"/>
          <w:szCs w:val="24"/>
        </w:rPr>
        <w:t xml:space="preserve"> i doser mellem 0,7-1,4 mg/kg graden af </w:t>
      </w:r>
      <w:proofErr w:type="spellStart"/>
      <w:r w:rsidRPr="00B808B2">
        <w:rPr>
          <w:sz w:val="24"/>
          <w:szCs w:val="24"/>
        </w:rPr>
        <w:t>øsofagitis</w:t>
      </w:r>
      <w:proofErr w:type="spellEnd"/>
      <w:r w:rsidRPr="00B808B2">
        <w:rPr>
          <w:sz w:val="24"/>
          <w:szCs w:val="24"/>
        </w:rPr>
        <w:t xml:space="preserve"> i 90 % af tilfældene og reducerede </w:t>
      </w:r>
      <w:proofErr w:type="spellStart"/>
      <w:r w:rsidRPr="00B808B2">
        <w:rPr>
          <w:sz w:val="24"/>
          <w:szCs w:val="24"/>
        </w:rPr>
        <w:t>reflukssymptomerne</w:t>
      </w:r>
      <w:proofErr w:type="spellEnd"/>
      <w:r w:rsidRPr="00B808B2">
        <w:rPr>
          <w:sz w:val="24"/>
          <w:szCs w:val="24"/>
        </w:rPr>
        <w:t xml:space="preserve"> signifikant. I et enkeltblindet forsøg blev børn mellem 0 og 24 måneder med klinisk diagnosticeret </w:t>
      </w:r>
      <w:proofErr w:type="spellStart"/>
      <w:r w:rsidRPr="00B808B2">
        <w:rPr>
          <w:sz w:val="24"/>
          <w:szCs w:val="24"/>
        </w:rPr>
        <w:t>gastroøsofageal</w:t>
      </w:r>
      <w:proofErr w:type="spellEnd"/>
      <w:r w:rsidRPr="00B808B2">
        <w:rPr>
          <w:sz w:val="24"/>
          <w:szCs w:val="24"/>
        </w:rPr>
        <w:t xml:space="preserve"> </w:t>
      </w:r>
      <w:proofErr w:type="spellStart"/>
      <w:r w:rsidRPr="00B808B2">
        <w:rPr>
          <w:sz w:val="24"/>
          <w:szCs w:val="24"/>
        </w:rPr>
        <w:t>reflukssygdom</w:t>
      </w:r>
      <w:proofErr w:type="spellEnd"/>
      <w:r w:rsidRPr="00B808B2">
        <w:rPr>
          <w:sz w:val="24"/>
          <w:szCs w:val="24"/>
        </w:rPr>
        <w:t xml:space="preserve"> behandlet med 0,5, 1,0 eller 1,5 mg </w:t>
      </w:r>
      <w:proofErr w:type="spellStart"/>
      <w:r w:rsidRPr="00B808B2">
        <w:rPr>
          <w:sz w:val="24"/>
          <w:szCs w:val="24"/>
        </w:rPr>
        <w:t>omeprazol</w:t>
      </w:r>
      <w:proofErr w:type="spellEnd"/>
      <w:r w:rsidRPr="00B808B2">
        <w:rPr>
          <w:sz w:val="24"/>
          <w:szCs w:val="24"/>
        </w:rPr>
        <w:t>/kg. Hyppigheden af episoder med opkastning/</w:t>
      </w:r>
      <w:proofErr w:type="spellStart"/>
      <w:r w:rsidRPr="00B808B2">
        <w:rPr>
          <w:sz w:val="24"/>
          <w:szCs w:val="24"/>
        </w:rPr>
        <w:t>regurgitation</w:t>
      </w:r>
      <w:proofErr w:type="spellEnd"/>
      <w:r w:rsidRPr="00B808B2">
        <w:rPr>
          <w:sz w:val="24"/>
          <w:szCs w:val="24"/>
        </w:rPr>
        <w:t xml:space="preserve"> faldt med 50 % efter 8 ugers behandling uanset dosis.</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proofErr w:type="spellStart"/>
      <w:r w:rsidRPr="00B808B2">
        <w:rPr>
          <w:i/>
          <w:sz w:val="24"/>
          <w:szCs w:val="24"/>
        </w:rPr>
        <w:t>Eradikation</w:t>
      </w:r>
      <w:proofErr w:type="spellEnd"/>
      <w:r w:rsidRPr="00B808B2">
        <w:rPr>
          <w:i/>
          <w:sz w:val="24"/>
          <w:szCs w:val="24"/>
        </w:rPr>
        <w:t xml:space="preserve"> af H. </w:t>
      </w:r>
      <w:proofErr w:type="spellStart"/>
      <w:r w:rsidRPr="00B808B2">
        <w:rPr>
          <w:i/>
          <w:sz w:val="24"/>
          <w:szCs w:val="24"/>
        </w:rPr>
        <w:t>pylori</w:t>
      </w:r>
      <w:proofErr w:type="spellEnd"/>
      <w:r w:rsidRPr="00B808B2">
        <w:rPr>
          <w:i/>
          <w:sz w:val="24"/>
          <w:szCs w:val="24"/>
        </w:rPr>
        <w:t xml:space="preserve"> hos børn</w:t>
      </w:r>
    </w:p>
    <w:p w:rsidR="00037C49" w:rsidRDefault="00037C49" w:rsidP="00037C49">
      <w:pPr>
        <w:autoSpaceDE w:val="0"/>
        <w:autoSpaceDN w:val="0"/>
        <w:adjustRightInd w:val="0"/>
        <w:ind w:left="851"/>
        <w:rPr>
          <w:sz w:val="24"/>
          <w:szCs w:val="24"/>
        </w:rPr>
      </w:pPr>
      <w:r w:rsidRPr="00B808B2">
        <w:rPr>
          <w:sz w:val="24"/>
          <w:szCs w:val="24"/>
        </w:rPr>
        <w:t>Et randomiseret dobbeltblindet klinisk forsøg (</w:t>
      </w:r>
      <w:proofErr w:type="spellStart"/>
      <w:r w:rsidRPr="00B808B2">
        <w:rPr>
          <w:sz w:val="24"/>
          <w:szCs w:val="24"/>
        </w:rPr>
        <w:t>Héliot</w:t>
      </w:r>
      <w:proofErr w:type="spellEnd"/>
      <w:r w:rsidRPr="00B808B2">
        <w:rPr>
          <w:sz w:val="24"/>
          <w:szCs w:val="24"/>
        </w:rPr>
        <w:t xml:space="preserve">-studiet) konkluderede, at </w:t>
      </w:r>
      <w:proofErr w:type="spellStart"/>
      <w:r w:rsidRPr="00B808B2">
        <w:rPr>
          <w:sz w:val="24"/>
          <w:szCs w:val="24"/>
        </w:rPr>
        <w:t>omeprazol</w:t>
      </w:r>
      <w:proofErr w:type="spellEnd"/>
      <w:r w:rsidRPr="00B808B2">
        <w:rPr>
          <w:sz w:val="24"/>
          <w:szCs w:val="24"/>
        </w:rPr>
        <w:t xml:space="preserve"> i kombination med to antibiotika (</w:t>
      </w:r>
      <w:proofErr w:type="spellStart"/>
      <w:r w:rsidRPr="00B808B2">
        <w:rPr>
          <w:sz w:val="24"/>
          <w:szCs w:val="24"/>
        </w:rPr>
        <w:t>amoxicillin</w:t>
      </w:r>
      <w:proofErr w:type="spellEnd"/>
      <w:r w:rsidRPr="00B808B2">
        <w:rPr>
          <w:sz w:val="24"/>
          <w:szCs w:val="24"/>
        </w:rPr>
        <w:t xml:space="preserve"> og </w:t>
      </w:r>
      <w:proofErr w:type="spellStart"/>
      <w:r w:rsidRPr="00B808B2">
        <w:rPr>
          <w:sz w:val="24"/>
          <w:szCs w:val="24"/>
        </w:rPr>
        <w:t>clarithromycin</w:t>
      </w:r>
      <w:proofErr w:type="spellEnd"/>
      <w:r w:rsidRPr="00B808B2">
        <w:rPr>
          <w:sz w:val="24"/>
          <w:szCs w:val="24"/>
        </w:rPr>
        <w:t xml:space="preserve">) var sikkert og effektivt i behandlingen af </w:t>
      </w:r>
      <w:r w:rsidRPr="00B808B2">
        <w:rPr>
          <w:i/>
          <w:sz w:val="24"/>
          <w:szCs w:val="24"/>
        </w:rPr>
        <w:t xml:space="preserve">H. </w:t>
      </w:r>
      <w:proofErr w:type="spellStart"/>
      <w:r w:rsidRPr="00B808B2">
        <w:rPr>
          <w:i/>
          <w:sz w:val="24"/>
          <w:szCs w:val="24"/>
        </w:rPr>
        <w:t>pylori</w:t>
      </w:r>
      <w:proofErr w:type="spellEnd"/>
      <w:r w:rsidRPr="00B808B2">
        <w:rPr>
          <w:i/>
          <w:sz w:val="24"/>
          <w:szCs w:val="24"/>
        </w:rPr>
        <w:t>-</w:t>
      </w:r>
      <w:r w:rsidRPr="00B808B2">
        <w:rPr>
          <w:sz w:val="24"/>
          <w:szCs w:val="24"/>
        </w:rPr>
        <w:t xml:space="preserve">infektion hos børn fra 4 år med gastritis. Frekvens for </w:t>
      </w:r>
      <w:proofErr w:type="spellStart"/>
      <w:r w:rsidRPr="00B808B2">
        <w:rPr>
          <w:sz w:val="24"/>
          <w:szCs w:val="24"/>
        </w:rPr>
        <w:t>eradikation</w:t>
      </w:r>
      <w:proofErr w:type="spellEnd"/>
      <w:r w:rsidRPr="00B808B2">
        <w:rPr>
          <w:sz w:val="24"/>
          <w:szCs w:val="24"/>
        </w:rPr>
        <w:t xml:space="preserve"> af </w:t>
      </w:r>
      <w:r w:rsidRPr="00B808B2">
        <w:rPr>
          <w:i/>
          <w:sz w:val="24"/>
          <w:szCs w:val="24"/>
        </w:rPr>
        <w:t xml:space="preserve">H. </w:t>
      </w:r>
      <w:proofErr w:type="spellStart"/>
      <w:r w:rsidRPr="00B808B2">
        <w:rPr>
          <w:i/>
          <w:sz w:val="24"/>
          <w:szCs w:val="24"/>
        </w:rPr>
        <w:t>pylori</w:t>
      </w:r>
      <w:proofErr w:type="spellEnd"/>
      <w:r w:rsidRPr="00B808B2">
        <w:rPr>
          <w:sz w:val="24"/>
          <w:szCs w:val="24"/>
        </w:rPr>
        <w:t xml:space="preserve">: 74,2 % (23/31 patienter) med </w:t>
      </w:r>
      <w:proofErr w:type="spellStart"/>
      <w:r w:rsidRPr="00B808B2">
        <w:rPr>
          <w:sz w:val="24"/>
          <w:szCs w:val="24"/>
        </w:rPr>
        <w:t>omeprazol</w:t>
      </w:r>
      <w:proofErr w:type="spellEnd"/>
      <w:r w:rsidRPr="00B808B2">
        <w:rPr>
          <w:sz w:val="24"/>
          <w:szCs w:val="24"/>
        </w:rPr>
        <w:t xml:space="preserve"> + </w:t>
      </w:r>
      <w:proofErr w:type="spellStart"/>
      <w:r w:rsidRPr="00B808B2">
        <w:rPr>
          <w:sz w:val="24"/>
          <w:szCs w:val="24"/>
        </w:rPr>
        <w:t>amoxicillin</w:t>
      </w:r>
      <w:proofErr w:type="spellEnd"/>
      <w:r w:rsidRPr="00B808B2">
        <w:rPr>
          <w:sz w:val="24"/>
          <w:szCs w:val="24"/>
        </w:rPr>
        <w:t xml:space="preserve"> + </w:t>
      </w:r>
      <w:proofErr w:type="spellStart"/>
      <w:r w:rsidRPr="00B808B2">
        <w:rPr>
          <w:sz w:val="24"/>
          <w:szCs w:val="24"/>
        </w:rPr>
        <w:t>clarithromycin</w:t>
      </w:r>
      <w:proofErr w:type="spellEnd"/>
      <w:r w:rsidRPr="00B808B2">
        <w:rPr>
          <w:sz w:val="24"/>
          <w:szCs w:val="24"/>
        </w:rPr>
        <w:t xml:space="preserve"> </w:t>
      </w:r>
      <w:r w:rsidRPr="00B808B2">
        <w:rPr>
          <w:i/>
          <w:sz w:val="24"/>
          <w:szCs w:val="24"/>
        </w:rPr>
        <w:t xml:space="preserve">versus </w:t>
      </w:r>
      <w:r w:rsidRPr="00B808B2">
        <w:rPr>
          <w:sz w:val="24"/>
          <w:szCs w:val="24"/>
        </w:rPr>
        <w:t xml:space="preserve">9,4 % (3/32 patienter) med </w:t>
      </w:r>
      <w:proofErr w:type="spellStart"/>
      <w:r w:rsidRPr="00B808B2">
        <w:rPr>
          <w:sz w:val="24"/>
          <w:szCs w:val="24"/>
        </w:rPr>
        <w:t>amoxicillin</w:t>
      </w:r>
      <w:proofErr w:type="spellEnd"/>
      <w:r w:rsidRPr="00B808B2">
        <w:rPr>
          <w:sz w:val="24"/>
          <w:szCs w:val="24"/>
        </w:rPr>
        <w:t xml:space="preserve"> + </w:t>
      </w:r>
      <w:proofErr w:type="spellStart"/>
      <w:r w:rsidRPr="00B808B2">
        <w:rPr>
          <w:sz w:val="24"/>
          <w:szCs w:val="24"/>
        </w:rPr>
        <w:t>clarithromycin</w:t>
      </w:r>
      <w:proofErr w:type="spellEnd"/>
      <w:r w:rsidRPr="00B808B2">
        <w:rPr>
          <w:sz w:val="24"/>
          <w:szCs w:val="24"/>
        </w:rPr>
        <w:t>. Med hensyn til dyspeptiske symptomer var der dog ikke evidens for kliniske fordele. Dette forsøg giver ingen informationer om børn under 4 år.</w:t>
      </w:r>
    </w:p>
    <w:p w:rsidR="00037C49" w:rsidRDefault="00037C49" w:rsidP="00037C49">
      <w:pPr>
        <w:autoSpaceDE w:val="0"/>
        <w:autoSpaceDN w:val="0"/>
        <w:adjustRightInd w:val="0"/>
        <w:ind w:left="851"/>
        <w:rPr>
          <w:sz w:val="24"/>
          <w:szCs w:val="24"/>
        </w:rPr>
      </w:pPr>
    </w:p>
    <w:p w:rsidR="00037C49" w:rsidRPr="00B808B2" w:rsidRDefault="00037C49" w:rsidP="00037C49">
      <w:pPr>
        <w:tabs>
          <w:tab w:val="left" w:pos="851"/>
        </w:tabs>
        <w:ind w:left="851" w:hanging="851"/>
        <w:rPr>
          <w:sz w:val="24"/>
          <w:szCs w:val="24"/>
        </w:rPr>
      </w:pPr>
      <w:r w:rsidRPr="00B808B2">
        <w:rPr>
          <w:b/>
          <w:sz w:val="24"/>
          <w:szCs w:val="24"/>
        </w:rPr>
        <w:t>5.2</w:t>
      </w:r>
      <w:r w:rsidRPr="00B808B2">
        <w:rPr>
          <w:b/>
          <w:sz w:val="24"/>
          <w:szCs w:val="24"/>
        </w:rPr>
        <w:tab/>
      </w:r>
      <w:proofErr w:type="spellStart"/>
      <w:r w:rsidRPr="00B808B2">
        <w:rPr>
          <w:b/>
          <w:sz w:val="24"/>
          <w:szCs w:val="24"/>
        </w:rPr>
        <w:t>Farmakokinetiske</w:t>
      </w:r>
      <w:proofErr w:type="spellEnd"/>
      <w:r w:rsidRPr="00B808B2">
        <w:rPr>
          <w:b/>
          <w:sz w:val="24"/>
          <w:szCs w:val="24"/>
        </w:rPr>
        <w:t xml:space="preserve"> egenskaber</w:t>
      </w:r>
    </w:p>
    <w:p w:rsidR="00E14105" w:rsidRDefault="00E14105" w:rsidP="00037C49">
      <w:pPr>
        <w:autoSpaceDE w:val="0"/>
        <w:autoSpaceDN w:val="0"/>
        <w:adjustRightInd w:val="0"/>
        <w:ind w:left="851"/>
        <w:rPr>
          <w:sz w:val="24"/>
          <w:szCs w:val="24"/>
          <w:u w:val="single"/>
        </w:rPr>
      </w:pPr>
    </w:p>
    <w:p w:rsidR="00037C49" w:rsidRPr="00B808B2" w:rsidRDefault="00037C49" w:rsidP="00037C49">
      <w:pPr>
        <w:autoSpaceDE w:val="0"/>
        <w:autoSpaceDN w:val="0"/>
        <w:adjustRightInd w:val="0"/>
        <w:ind w:left="851"/>
        <w:rPr>
          <w:sz w:val="24"/>
          <w:szCs w:val="24"/>
          <w:u w:val="single"/>
        </w:rPr>
      </w:pPr>
      <w:r w:rsidRPr="00B808B2">
        <w:rPr>
          <w:sz w:val="24"/>
          <w:szCs w:val="24"/>
          <w:u w:val="single"/>
        </w:rPr>
        <w:t>Absorption</w:t>
      </w:r>
    </w:p>
    <w:p w:rsidR="00037C49" w:rsidRPr="00B808B2" w:rsidRDefault="00037C49" w:rsidP="00037C49">
      <w:pPr>
        <w:autoSpaceDE w:val="0"/>
        <w:autoSpaceDN w:val="0"/>
        <w:adjustRightInd w:val="0"/>
        <w:ind w:left="851"/>
        <w:rPr>
          <w:sz w:val="24"/>
          <w:szCs w:val="24"/>
        </w:rPr>
      </w:pPr>
      <w:proofErr w:type="spellStart"/>
      <w:r w:rsidRPr="00B808B2">
        <w:rPr>
          <w:sz w:val="24"/>
          <w:szCs w:val="24"/>
        </w:rPr>
        <w:t>Omeprazol</w:t>
      </w:r>
      <w:proofErr w:type="spellEnd"/>
      <w:r w:rsidRPr="00B808B2">
        <w:rPr>
          <w:sz w:val="24"/>
          <w:szCs w:val="24"/>
        </w:rPr>
        <w:t xml:space="preserve"> og </w:t>
      </w:r>
      <w:proofErr w:type="spellStart"/>
      <w:r w:rsidRPr="00B808B2">
        <w:rPr>
          <w:sz w:val="24"/>
          <w:szCs w:val="24"/>
        </w:rPr>
        <w:t>omeprazolmagnesium</w:t>
      </w:r>
      <w:proofErr w:type="spellEnd"/>
      <w:r w:rsidRPr="00B808B2">
        <w:rPr>
          <w:sz w:val="24"/>
          <w:szCs w:val="24"/>
        </w:rPr>
        <w:t xml:space="preserve"> er syrelabile og administreres derfor oralt som </w:t>
      </w:r>
      <w:proofErr w:type="spellStart"/>
      <w:r w:rsidRPr="00B808B2">
        <w:rPr>
          <w:sz w:val="24"/>
          <w:szCs w:val="24"/>
        </w:rPr>
        <w:t>enterocoatede</w:t>
      </w:r>
      <w:proofErr w:type="spellEnd"/>
      <w:r w:rsidRPr="00B808B2">
        <w:rPr>
          <w:sz w:val="24"/>
          <w:szCs w:val="24"/>
        </w:rPr>
        <w:t xml:space="preserve"> granulater i kapsler eller tabletter. Absorptionen af </w:t>
      </w:r>
      <w:proofErr w:type="spellStart"/>
      <w:r w:rsidRPr="00B808B2">
        <w:rPr>
          <w:sz w:val="24"/>
          <w:szCs w:val="24"/>
        </w:rPr>
        <w:t>omeprazol</w:t>
      </w:r>
      <w:proofErr w:type="spellEnd"/>
      <w:r w:rsidRPr="00B808B2">
        <w:rPr>
          <w:sz w:val="24"/>
          <w:szCs w:val="24"/>
        </w:rPr>
        <w:t xml:space="preserve"> er hurtig med maksimale plasmakoncentrationer cirka 1-2 timer efter dosering. Absorption af </w:t>
      </w:r>
      <w:proofErr w:type="spellStart"/>
      <w:r w:rsidRPr="00B808B2">
        <w:rPr>
          <w:sz w:val="24"/>
          <w:szCs w:val="24"/>
        </w:rPr>
        <w:t>omeprazol</w:t>
      </w:r>
      <w:proofErr w:type="spellEnd"/>
      <w:r w:rsidRPr="00B808B2">
        <w:rPr>
          <w:sz w:val="24"/>
          <w:szCs w:val="24"/>
        </w:rPr>
        <w:t xml:space="preserve"> finder sted i tyndtarmen og er sædvanligvis fuldstændig i løbet af 3-6 timer. Samtidig indtagelse af føde påvirker ikke biotilgængeligheden. Den systemiske tilgængelighed (biotilgængelighed) af </w:t>
      </w:r>
      <w:proofErr w:type="spellStart"/>
      <w:r w:rsidRPr="00B808B2">
        <w:rPr>
          <w:sz w:val="24"/>
          <w:szCs w:val="24"/>
        </w:rPr>
        <w:t>omeprazol</w:t>
      </w:r>
      <w:proofErr w:type="spellEnd"/>
      <w:r w:rsidRPr="00B808B2">
        <w:rPr>
          <w:sz w:val="24"/>
          <w:szCs w:val="24"/>
        </w:rPr>
        <w:t xml:space="preserve"> efter en enkel oral dosis er ca. 40 %. Efter gentagen dosering en gang </w:t>
      </w:r>
      <w:r>
        <w:rPr>
          <w:sz w:val="24"/>
          <w:szCs w:val="24"/>
        </w:rPr>
        <w:t>daglig</w:t>
      </w:r>
      <w:r w:rsidRPr="00B808B2">
        <w:rPr>
          <w:sz w:val="24"/>
          <w:szCs w:val="24"/>
        </w:rPr>
        <w:t xml:space="preserve"> øges biotilgængeligheden til ca. 60 %.</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sz w:val="24"/>
          <w:szCs w:val="24"/>
          <w:u w:val="single"/>
        </w:rPr>
        <w:t>Fordeling</w:t>
      </w:r>
    </w:p>
    <w:p w:rsidR="00037C49" w:rsidRPr="00B808B2" w:rsidRDefault="00037C49" w:rsidP="00037C49">
      <w:pPr>
        <w:autoSpaceDE w:val="0"/>
        <w:autoSpaceDN w:val="0"/>
        <w:adjustRightInd w:val="0"/>
        <w:ind w:left="851"/>
        <w:rPr>
          <w:sz w:val="24"/>
          <w:szCs w:val="24"/>
        </w:rPr>
      </w:pPr>
      <w:r w:rsidRPr="00B808B2">
        <w:rPr>
          <w:sz w:val="24"/>
          <w:szCs w:val="24"/>
        </w:rPr>
        <w:t>Hos raske forsøgspersoner er det tilsyneladende fordelingsvolumen (</w:t>
      </w:r>
      <w:proofErr w:type="spellStart"/>
      <w:r w:rsidRPr="00B808B2">
        <w:rPr>
          <w:sz w:val="24"/>
          <w:szCs w:val="24"/>
        </w:rPr>
        <w:t>Vdapp</w:t>
      </w:r>
      <w:proofErr w:type="spellEnd"/>
      <w:r w:rsidRPr="00B808B2">
        <w:rPr>
          <w:sz w:val="24"/>
          <w:szCs w:val="24"/>
        </w:rPr>
        <w:t xml:space="preserve">) ca. 0,3 l/kg legemsvægt. Plasmaproteinbindingsgraden af </w:t>
      </w:r>
      <w:proofErr w:type="spellStart"/>
      <w:r w:rsidRPr="00B808B2">
        <w:rPr>
          <w:sz w:val="24"/>
          <w:szCs w:val="24"/>
        </w:rPr>
        <w:t>omeprazol</w:t>
      </w:r>
      <w:proofErr w:type="spellEnd"/>
      <w:r w:rsidRPr="00B808B2">
        <w:rPr>
          <w:sz w:val="24"/>
          <w:szCs w:val="24"/>
        </w:rPr>
        <w:t xml:space="preserve"> er ca. 97 %.</w:t>
      </w:r>
    </w:p>
    <w:p w:rsidR="00037C49" w:rsidRPr="00B808B2" w:rsidRDefault="00037C49" w:rsidP="00037C49">
      <w:pPr>
        <w:shd w:val="clear" w:color="auto" w:fill="FFFFFF"/>
        <w:ind w:left="851"/>
        <w:rPr>
          <w:bCs/>
          <w:sz w:val="24"/>
          <w:szCs w:val="24"/>
        </w:rPr>
      </w:pPr>
    </w:p>
    <w:p w:rsidR="00037C49" w:rsidRPr="00B808B2" w:rsidRDefault="00037C49" w:rsidP="00037C49">
      <w:pPr>
        <w:autoSpaceDE w:val="0"/>
        <w:autoSpaceDN w:val="0"/>
        <w:adjustRightInd w:val="0"/>
        <w:ind w:left="851"/>
        <w:rPr>
          <w:sz w:val="24"/>
          <w:szCs w:val="24"/>
          <w:u w:val="single"/>
        </w:rPr>
      </w:pPr>
      <w:r w:rsidRPr="00B808B2">
        <w:rPr>
          <w:sz w:val="24"/>
          <w:szCs w:val="24"/>
          <w:u w:val="single"/>
        </w:rPr>
        <w:t>Biotransformation</w:t>
      </w:r>
    </w:p>
    <w:p w:rsidR="00037C49" w:rsidRPr="00B808B2" w:rsidRDefault="00037C49" w:rsidP="00037C49">
      <w:pPr>
        <w:autoSpaceDE w:val="0"/>
        <w:autoSpaceDN w:val="0"/>
        <w:adjustRightInd w:val="0"/>
        <w:ind w:left="851"/>
        <w:rPr>
          <w:sz w:val="24"/>
          <w:szCs w:val="24"/>
        </w:rPr>
      </w:pPr>
      <w:proofErr w:type="spellStart"/>
      <w:r w:rsidRPr="00B808B2">
        <w:rPr>
          <w:sz w:val="24"/>
          <w:szCs w:val="24"/>
        </w:rPr>
        <w:t>Omeprazol</w:t>
      </w:r>
      <w:proofErr w:type="spellEnd"/>
      <w:r w:rsidRPr="00B808B2">
        <w:rPr>
          <w:sz w:val="24"/>
          <w:szCs w:val="24"/>
        </w:rPr>
        <w:t xml:space="preserve"> </w:t>
      </w:r>
      <w:proofErr w:type="spellStart"/>
      <w:r w:rsidRPr="00B808B2">
        <w:rPr>
          <w:sz w:val="24"/>
          <w:szCs w:val="24"/>
        </w:rPr>
        <w:t>metaboliseres</w:t>
      </w:r>
      <w:proofErr w:type="spellEnd"/>
      <w:r w:rsidRPr="00B808B2">
        <w:rPr>
          <w:sz w:val="24"/>
          <w:szCs w:val="24"/>
        </w:rPr>
        <w:t xml:space="preserve"> fuldstændigt af </w:t>
      </w:r>
      <w:proofErr w:type="spellStart"/>
      <w:r w:rsidRPr="00B808B2">
        <w:rPr>
          <w:sz w:val="24"/>
          <w:szCs w:val="24"/>
        </w:rPr>
        <w:t>cytochrom</w:t>
      </w:r>
      <w:proofErr w:type="spellEnd"/>
      <w:r w:rsidRPr="00B808B2">
        <w:rPr>
          <w:sz w:val="24"/>
          <w:szCs w:val="24"/>
        </w:rPr>
        <w:t xml:space="preserve"> P-450-systemet (CYP). Størstedelen af </w:t>
      </w:r>
      <w:proofErr w:type="spellStart"/>
      <w:r w:rsidRPr="00B808B2">
        <w:rPr>
          <w:sz w:val="24"/>
          <w:szCs w:val="24"/>
        </w:rPr>
        <w:t>omeprazols</w:t>
      </w:r>
      <w:proofErr w:type="spellEnd"/>
      <w:r w:rsidRPr="00B808B2">
        <w:rPr>
          <w:sz w:val="24"/>
          <w:szCs w:val="24"/>
        </w:rPr>
        <w:t xml:space="preserve"> </w:t>
      </w:r>
      <w:proofErr w:type="spellStart"/>
      <w:r w:rsidRPr="00B808B2">
        <w:rPr>
          <w:sz w:val="24"/>
          <w:szCs w:val="24"/>
        </w:rPr>
        <w:t>metabolisering</w:t>
      </w:r>
      <w:proofErr w:type="spellEnd"/>
      <w:r w:rsidRPr="00B808B2">
        <w:rPr>
          <w:sz w:val="24"/>
          <w:szCs w:val="24"/>
        </w:rPr>
        <w:t xml:space="preserve"> er afhængig af det polymorft formulerede CYP2C19, som er ansvarligt for dannelsen af </w:t>
      </w:r>
      <w:proofErr w:type="spellStart"/>
      <w:r w:rsidRPr="00B808B2">
        <w:rPr>
          <w:sz w:val="24"/>
          <w:szCs w:val="24"/>
        </w:rPr>
        <w:t>hydroxyomeprazol</w:t>
      </w:r>
      <w:proofErr w:type="spellEnd"/>
      <w:r w:rsidRPr="00B808B2">
        <w:rPr>
          <w:sz w:val="24"/>
          <w:szCs w:val="24"/>
        </w:rPr>
        <w:t xml:space="preserve">, der er den primære metabolit i plasma. Den resterende del er afhængig af en anden specifik </w:t>
      </w:r>
      <w:proofErr w:type="spellStart"/>
      <w:r w:rsidRPr="00B808B2">
        <w:rPr>
          <w:sz w:val="24"/>
          <w:szCs w:val="24"/>
        </w:rPr>
        <w:t>isoform</w:t>
      </w:r>
      <w:proofErr w:type="spellEnd"/>
      <w:r w:rsidRPr="00B808B2">
        <w:rPr>
          <w:sz w:val="24"/>
          <w:szCs w:val="24"/>
        </w:rPr>
        <w:t xml:space="preserve"> CYP3A4, som er ansvarlig for dannelsen af </w:t>
      </w:r>
      <w:proofErr w:type="spellStart"/>
      <w:r w:rsidRPr="00B808B2">
        <w:rPr>
          <w:sz w:val="24"/>
          <w:szCs w:val="24"/>
        </w:rPr>
        <w:t>omeprazolsulfon</w:t>
      </w:r>
      <w:proofErr w:type="spellEnd"/>
      <w:r w:rsidRPr="00B808B2">
        <w:rPr>
          <w:sz w:val="24"/>
          <w:szCs w:val="24"/>
        </w:rPr>
        <w:t xml:space="preserve">. Som en konsekvens af </w:t>
      </w:r>
      <w:proofErr w:type="spellStart"/>
      <w:r w:rsidRPr="00B808B2">
        <w:rPr>
          <w:sz w:val="24"/>
          <w:szCs w:val="24"/>
        </w:rPr>
        <w:t>omeprazols</w:t>
      </w:r>
      <w:proofErr w:type="spellEnd"/>
      <w:r w:rsidRPr="00B808B2">
        <w:rPr>
          <w:sz w:val="24"/>
          <w:szCs w:val="24"/>
        </w:rPr>
        <w:t xml:space="preserve"> høje affinitet til CYP2C19 er der potentiale for </w:t>
      </w:r>
      <w:proofErr w:type="spellStart"/>
      <w:r w:rsidRPr="00B808B2">
        <w:rPr>
          <w:sz w:val="24"/>
          <w:szCs w:val="24"/>
        </w:rPr>
        <w:t>kompetitiv</w:t>
      </w:r>
      <w:proofErr w:type="spellEnd"/>
      <w:r w:rsidRPr="00B808B2">
        <w:rPr>
          <w:sz w:val="24"/>
          <w:szCs w:val="24"/>
        </w:rPr>
        <w:t xml:space="preserve"> </w:t>
      </w:r>
      <w:proofErr w:type="spellStart"/>
      <w:r w:rsidRPr="00B808B2">
        <w:rPr>
          <w:sz w:val="24"/>
          <w:szCs w:val="24"/>
        </w:rPr>
        <w:t>inhibering</w:t>
      </w:r>
      <w:proofErr w:type="spellEnd"/>
      <w:r w:rsidRPr="00B808B2">
        <w:rPr>
          <w:sz w:val="24"/>
          <w:szCs w:val="24"/>
        </w:rPr>
        <w:t xml:space="preserve"> og metabolisk lægemiddel-lægemiddel interaktioner med andre substrater for CYP2C19. På grund af den lave affinitet til CYP3A4 har </w:t>
      </w:r>
      <w:proofErr w:type="spellStart"/>
      <w:r w:rsidRPr="00B808B2">
        <w:rPr>
          <w:sz w:val="24"/>
          <w:szCs w:val="24"/>
        </w:rPr>
        <w:t>omeprazol</w:t>
      </w:r>
      <w:proofErr w:type="spellEnd"/>
      <w:r w:rsidRPr="00B808B2">
        <w:rPr>
          <w:sz w:val="24"/>
          <w:szCs w:val="24"/>
        </w:rPr>
        <w:t xml:space="preserve"> dog ikke potentialet til at inhibere metabolismen af andre CYP3A4-substrater. Endvidere mangler </w:t>
      </w:r>
      <w:proofErr w:type="spellStart"/>
      <w:r w:rsidRPr="00B808B2">
        <w:rPr>
          <w:sz w:val="24"/>
          <w:szCs w:val="24"/>
        </w:rPr>
        <w:t>omeprazol</w:t>
      </w:r>
      <w:proofErr w:type="spellEnd"/>
      <w:r w:rsidRPr="00B808B2">
        <w:rPr>
          <w:sz w:val="24"/>
          <w:szCs w:val="24"/>
        </w:rPr>
        <w:t xml:space="preserve"> en hæmmende virkning på de vigtigste CYP-enzymer.</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sz w:val="24"/>
          <w:szCs w:val="24"/>
        </w:rPr>
        <w:t xml:space="preserve">Ca. 3 % af den kaukasiske befolkning og 15-20 % af den asiatiske befolkning mangler et funktionelt CYP2C19-enzym og kaldes </w:t>
      </w:r>
      <w:r w:rsidR="00D123CD">
        <w:rPr>
          <w:sz w:val="24"/>
          <w:szCs w:val="24"/>
        </w:rPr>
        <w:t>"</w:t>
      </w:r>
      <w:proofErr w:type="spellStart"/>
      <w:r w:rsidRPr="00B808B2">
        <w:rPr>
          <w:sz w:val="24"/>
          <w:szCs w:val="24"/>
        </w:rPr>
        <w:t>poor</w:t>
      </w:r>
      <w:proofErr w:type="spellEnd"/>
      <w:r w:rsidRPr="00B808B2">
        <w:rPr>
          <w:sz w:val="24"/>
          <w:szCs w:val="24"/>
        </w:rPr>
        <w:t xml:space="preserve"> </w:t>
      </w:r>
      <w:proofErr w:type="spellStart"/>
      <w:r w:rsidRPr="00B808B2">
        <w:rPr>
          <w:sz w:val="24"/>
          <w:szCs w:val="24"/>
        </w:rPr>
        <w:t>metabolisers</w:t>
      </w:r>
      <w:proofErr w:type="spellEnd"/>
      <w:r w:rsidR="00D123CD">
        <w:rPr>
          <w:sz w:val="24"/>
          <w:szCs w:val="24"/>
        </w:rPr>
        <w:t>"</w:t>
      </w:r>
      <w:r w:rsidRPr="00B808B2">
        <w:rPr>
          <w:sz w:val="24"/>
          <w:szCs w:val="24"/>
        </w:rPr>
        <w:t xml:space="preserve">. Sandsynligvis er </w:t>
      </w:r>
      <w:proofErr w:type="spellStart"/>
      <w:r w:rsidRPr="00B808B2">
        <w:rPr>
          <w:sz w:val="24"/>
          <w:szCs w:val="24"/>
        </w:rPr>
        <w:t>omeprazols</w:t>
      </w:r>
      <w:proofErr w:type="spellEnd"/>
      <w:r w:rsidRPr="00B808B2">
        <w:rPr>
          <w:sz w:val="24"/>
          <w:szCs w:val="24"/>
        </w:rPr>
        <w:t xml:space="preserve"> </w:t>
      </w:r>
      <w:proofErr w:type="spellStart"/>
      <w:r w:rsidRPr="00B808B2">
        <w:rPr>
          <w:sz w:val="24"/>
          <w:szCs w:val="24"/>
        </w:rPr>
        <w:t>metabolisering</w:t>
      </w:r>
      <w:proofErr w:type="spellEnd"/>
      <w:r w:rsidRPr="00B808B2">
        <w:rPr>
          <w:sz w:val="24"/>
          <w:szCs w:val="24"/>
        </w:rPr>
        <w:t xml:space="preserve"> hos disse personer hovedsageligt katalyseret af CYP3A4. Efter gentagen administration af 20 mg </w:t>
      </w:r>
      <w:proofErr w:type="spellStart"/>
      <w:r w:rsidRPr="00B808B2">
        <w:rPr>
          <w:sz w:val="24"/>
          <w:szCs w:val="24"/>
        </w:rPr>
        <w:t>omeprazol</w:t>
      </w:r>
      <w:proofErr w:type="spellEnd"/>
      <w:r w:rsidRPr="00B808B2">
        <w:rPr>
          <w:sz w:val="24"/>
          <w:szCs w:val="24"/>
        </w:rPr>
        <w:t xml:space="preserve"> en gang </w:t>
      </w:r>
      <w:r>
        <w:rPr>
          <w:sz w:val="24"/>
          <w:szCs w:val="24"/>
        </w:rPr>
        <w:t>daglig</w:t>
      </w:r>
      <w:r w:rsidRPr="00B808B2">
        <w:rPr>
          <w:sz w:val="24"/>
          <w:szCs w:val="24"/>
        </w:rPr>
        <w:t xml:space="preserve"> var middel-AUC 5-10 gange højere hos </w:t>
      </w:r>
      <w:r w:rsidR="00D123CD">
        <w:rPr>
          <w:sz w:val="24"/>
          <w:szCs w:val="24"/>
        </w:rPr>
        <w:t>"</w:t>
      </w:r>
      <w:proofErr w:type="spellStart"/>
      <w:r w:rsidRPr="00B808B2">
        <w:rPr>
          <w:sz w:val="24"/>
          <w:szCs w:val="24"/>
        </w:rPr>
        <w:t>poor</w:t>
      </w:r>
      <w:proofErr w:type="spellEnd"/>
      <w:r w:rsidRPr="00B808B2">
        <w:rPr>
          <w:sz w:val="24"/>
          <w:szCs w:val="24"/>
        </w:rPr>
        <w:t xml:space="preserve"> </w:t>
      </w:r>
      <w:proofErr w:type="spellStart"/>
      <w:r w:rsidRPr="00B808B2">
        <w:rPr>
          <w:sz w:val="24"/>
          <w:szCs w:val="24"/>
        </w:rPr>
        <w:t>metabolisers</w:t>
      </w:r>
      <w:proofErr w:type="spellEnd"/>
      <w:r w:rsidR="00D123CD">
        <w:rPr>
          <w:sz w:val="24"/>
          <w:szCs w:val="24"/>
        </w:rPr>
        <w:t>"</w:t>
      </w:r>
      <w:r w:rsidRPr="00B808B2">
        <w:rPr>
          <w:sz w:val="24"/>
          <w:szCs w:val="24"/>
        </w:rPr>
        <w:t xml:space="preserve"> end hos individer med et funktionelt CYP2C19-enzym (</w:t>
      </w:r>
      <w:r w:rsidR="00D123CD">
        <w:rPr>
          <w:sz w:val="24"/>
          <w:szCs w:val="24"/>
        </w:rPr>
        <w:t>"</w:t>
      </w:r>
      <w:proofErr w:type="spellStart"/>
      <w:r w:rsidRPr="00B808B2">
        <w:rPr>
          <w:sz w:val="24"/>
          <w:szCs w:val="24"/>
        </w:rPr>
        <w:t>extensive</w:t>
      </w:r>
      <w:proofErr w:type="spellEnd"/>
      <w:r w:rsidRPr="00B808B2">
        <w:rPr>
          <w:sz w:val="24"/>
          <w:szCs w:val="24"/>
        </w:rPr>
        <w:t xml:space="preserve"> </w:t>
      </w:r>
      <w:proofErr w:type="spellStart"/>
      <w:r w:rsidRPr="00B808B2">
        <w:rPr>
          <w:sz w:val="24"/>
          <w:szCs w:val="24"/>
        </w:rPr>
        <w:t>metabolisers</w:t>
      </w:r>
      <w:proofErr w:type="spellEnd"/>
      <w:r w:rsidR="00D123CD">
        <w:rPr>
          <w:sz w:val="24"/>
          <w:szCs w:val="24"/>
        </w:rPr>
        <w:t>"</w:t>
      </w:r>
      <w:r w:rsidRPr="00B808B2">
        <w:rPr>
          <w:sz w:val="24"/>
          <w:szCs w:val="24"/>
        </w:rPr>
        <w:t xml:space="preserve">). De gennemsnitlige peak- plasmakoncentrationer var også 3-5 gange højere. Dette har dog ingen konsekvenser for doseringen af </w:t>
      </w:r>
      <w:proofErr w:type="spellStart"/>
      <w:r w:rsidRPr="00B808B2">
        <w:rPr>
          <w:sz w:val="24"/>
          <w:szCs w:val="24"/>
        </w:rPr>
        <w:t>omeprazol</w:t>
      </w:r>
      <w:proofErr w:type="spellEnd"/>
      <w:r w:rsidRPr="00B808B2">
        <w:rPr>
          <w:sz w:val="24"/>
          <w:szCs w:val="24"/>
        </w:rPr>
        <w:t>.</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sz w:val="24"/>
          <w:szCs w:val="24"/>
          <w:u w:val="single"/>
        </w:rPr>
        <w:t>Elimination</w:t>
      </w:r>
    </w:p>
    <w:p w:rsidR="00037C49" w:rsidRPr="00B808B2" w:rsidRDefault="00037C49" w:rsidP="00037C49">
      <w:pPr>
        <w:autoSpaceDE w:val="0"/>
        <w:autoSpaceDN w:val="0"/>
        <w:adjustRightInd w:val="0"/>
        <w:ind w:left="851"/>
        <w:rPr>
          <w:sz w:val="24"/>
          <w:szCs w:val="24"/>
        </w:rPr>
      </w:pPr>
      <w:r w:rsidRPr="00B808B2">
        <w:rPr>
          <w:sz w:val="24"/>
          <w:szCs w:val="24"/>
        </w:rPr>
        <w:t xml:space="preserve">Halveringstiden for </w:t>
      </w:r>
      <w:proofErr w:type="spellStart"/>
      <w:r w:rsidRPr="00B808B2">
        <w:rPr>
          <w:sz w:val="24"/>
          <w:szCs w:val="24"/>
        </w:rPr>
        <w:t>omeprazols</w:t>
      </w:r>
      <w:proofErr w:type="spellEnd"/>
      <w:r w:rsidRPr="00B808B2">
        <w:rPr>
          <w:sz w:val="24"/>
          <w:szCs w:val="24"/>
        </w:rPr>
        <w:t xml:space="preserve"> elimination fra plasma er som regel under 1 time både efter enkelt og gentagen oral dosering en gang </w:t>
      </w:r>
      <w:r>
        <w:rPr>
          <w:sz w:val="24"/>
          <w:szCs w:val="24"/>
        </w:rPr>
        <w:t>daglig</w:t>
      </w:r>
      <w:r w:rsidRPr="00B808B2">
        <w:rPr>
          <w:sz w:val="24"/>
          <w:szCs w:val="24"/>
        </w:rPr>
        <w:t xml:space="preserve">. </w:t>
      </w:r>
      <w:proofErr w:type="spellStart"/>
      <w:r w:rsidRPr="00B808B2">
        <w:rPr>
          <w:sz w:val="24"/>
          <w:szCs w:val="24"/>
        </w:rPr>
        <w:t>Omeprazol</w:t>
      </w:r>
      <w:proofErr w:type="spellEnd"/>
      <w:r w:rsidRPr="00B808B2">
        <w:rPr>
          <w:sz w:val="24"/>
          <w:szCs w:val="24"/>
        </w:rPr>
        <w:t xml:space="preserve"> elimineres fuldstændigt fra plasma mellem doserne uden tendens til akkumulering ved administration en gang </w:t>
      </w:r>
      <w:r>
        <w:rPr>
          <w:sz w:val="24"/>
          <w:szCs w:val="24"/>
        </w:rPr>
        <w:t>daglig</w:t>
      </w:r>
      <w:r w:rsidRPr="00B808B2">
        <w:rPr>
          <w:sz w:val="24"/>
          <w:szCs w:val="24"/>
        </w:rPr>
        <w:t xml:space="preserve">. Næsten 80 % af en oral </w:t>
      </w:r>
      <w:proofErr w:type="spellStart"/>
      <w:r w:rsidRPr="00B808B2">
        <w:rPr>
          <w:sz w:val="24"/>
          <w:szCs w:val="24"/>
        </w:rPr>
        <w:t>omeprazoldosis</w:t>
      </w:r>
      <w:proofErr w:type="spellEnd"/>
      <w:r w:rsidRPr="00B808B2">
        <w:rPr>
          <w:sz w:val="24"/>
          <w:szCs w:val="24"/>
        </w:rPr>
        <w:t xml:space="preserve"> udskilles som metabolitter i urinen, den resterende del, som primært stammer fra galdesekretion, i fæces.</w:t>
      </w:r>
    </w:p>
    <w:p w:rsidR="00037C49" w:rsidRPr="00B808B2" w:rsidRDefault="00037C49" w:rsidP="00037C49">
      <w:pPr>
        <w:shd w:val="clear" w:color="auto" w:fill="FFFFFF"/>
        <w:ind w:left="851"/>
        <w:rPr>
          <w:bCs/>
          <w:sz w:val="24"/>
          <w:szCs w:val="24"/>
        </w:rPr>
      </w:pPr>
    </w:p>
    <w:p w:rsidR="00037C49" w:rsidRPr="00B808B2" w:rsidRDefault="00037C49" w:rsidP="00037C49">
      <w:pPr>
        <w:autoSpaceDE w:val="0"/>
        <w:autoSpaceDN w:val="0"/>
        <w:adjustRightInd w:val="0"/>
        <w:ind w:left="851"/>
        <w:rPr>
          <w:sz w:val="24"/>
          <w:szCs w:val="24"/>
          <w:u w:val="single"/>
        </w:rPr>
      </w:pPr>
      <w:r w:rsidRPr="00B808B2">
        <w:rPr>
          <w:sz w:val="24"/>
          <w:szCs w:val="24"/>
          <w:u w:val="single"/>
        </w:rPr>
        <w:t>Linearitet/non-linearitet</w:t>
      </w:r>
    </w:p>
    <w:p w:rsidR="00037C49" w:rsidRPr="00B808B2" w:rsidRDefault="00037C49" w:rsidP="00037C49">
      <w:pPr>
        <w:autoSpaceDE w:val="0"/>
        <w:autoSpaceDN w:val="0"/>
        <w:adjustRightInd w:val="0"/>
        <w:ind w:left="851"/>
        <w:rPr>
          <w:sz w:val="24"/>
          <w:szCs w:val="24"/>
        </w:rPr>
      </w:pPr>
      <w:r w:rsidRPr="00B808B2">
        <w:rPr>
          <w:sz w:val="24"/>
          <w:szCs w:val="24"/>
        </w:rPr>
        <w:t xml:space="preserve">AUC øges ved gentagen administration af </w:t>
      </w:r>
      <w:proofErr w:type="spellStart"/>
      <w:r w:rsidRPr="00B808B2">
        <w:rPr>
          <w:sz w:val="24"/>
          <w:szCs w:val="24"/>
        </w:rPr>
        <w:t>omeprazol</w:t>
      </w:r>
      <w:proofErr w:type="spellEnd"/>
      <w:r w:rsidRPr="00B808B2">
        <w:rPr>
          <w:sz w:val="24"/>
          <w:szCs w:val="24"/>
        </w:rPr>
        <w:t xml:space="preserve">. Denne øgning er dosisafhængig og resulterer i et ikke-lineært dosis-AUC-forhold efter gentagen administration. Denne tids- og dosisafhængighed skyldes et fald i </w:t>
      </w:r>
      <w:proofErr w:type="spellStart"/>
      <w:r w:rsidRPr="00B808B2">
        <w:rPr>
          <w:i/>
          <w:sz w:val="24"/>
          <w:szCs w:val="24"/>
        </w:rPr>
        <w:t>first</w:t>
      </w:r>
      <w:proofErr w:type="spellEnd"/>
      <w:r w:rsidRPr="00B808B2">
        <w:rPr>
          <w:i/>
          <w:sz w:val="24"/>
          <w:szCs w:val="24"/>
        </w:rPr>
        <w:t xml:space="preserve"> </w:t>
      </w:r>
      <w:proofErr w:type="spellStart"/>
      <w:r w:rsidRPr="00B808B2">
        <w:rPr>
          <w:i/>
          <w:sz w:val="24"/>
          <w:szCs w:val="24"/>
        </w:rPr>
        <w:t>pass</w:t>
      </w:r>
      <w:proofErr w:type="spellEnd"/>
      <w:r w:rsidRPr="00B808B2">
        <w:rPr>
          <w:i/>
          <w:sz w:val="24"/>
          <w:szCs w:val="24"/>
        </w:rPr>
        <w:t xml:space="preserve"> </w:t>
      </w:r>
      <w:r w:rsidRPr="00B808B2">
        <w:rPr>
          <w:sz w:val="24"/>
          <w:szCs w:val="24"/>
        </w:rPr>
        <w:t xml:space="preserve">metabolismen og systemisk </w:t>
      </w:r>
      <w:proofErr w:type="spellStart"/>
      <w:r w:rsidRPr="00B808B2">
        <w:rPr>
          <w:sz w:val="24"/>
          <w:szCs w:val="24"/>
        </w:rPr>
        <w:t>clearance</w:t>
      </w:r>
      <w:proofErr w:type="spellEnd"/>
      <w:r w:rsidRPr="00B808B2">
        <w:rPr>
          <w:sz w:val="24"/>
          <w:szCs w:val="24"/>
        </w:rPr>
        <w:t xml:space="preserve">, som sandsynligvis skyldes </w:t>
      </w:r>
      <w:proofErr w:type="spellStart"/>
      <w:r w:rsidRPr="00B808B2">
        <w:rPr>
          <w:sz w:val="24"/>
          <w:szCs w:val="24"/>
        </w:rPr>
        <w:t>omeprazols</w:t>
      </w:r>
      <w:proofErr w:type="spellEnd"/>
      <w:r w:rsidRPr="00B808B2">
        <w:rPr>
          <w:sz w:val="24"/>
          <w:szCs w:val="24"/>
        </w:rPr>
        <w:t xml:space="preserve"> og/eller dets metabolitters (f.eks. sulfonets) hæmning af CYP2C19-enzymet. Der er ikke fundet metabolitter med effekt på den gastriske syresekretion. </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sz w:val="24"/>
          <w:szCs w:val="24"/>
          <w:u w:val="single"/>
        </w:rPr>
        <w:t>Særlige patientgrupper</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i/>
          <w:sz w:val="24"/>
          <w:szCs w:val="24"/>
        </w:rPr>
        <w:t>Nedsat leverfunktion</w:t>
      </w:r>
    </w:p>
    <w:p w:rsidR="00037C49" w:rsidRPr="00B808B2" w:rsidRDefault="00037C49" w:rsidP="00037C49">
      <w:pPr>
        <w:autoSpaceDE w:val="0"/>
        <w:autoSpaceDN w:val="0"/>
        <w:adjustRightInd w:val="0"/>
        <w:ind w:left="851"/>
        <w:rPr>
          <w:sz w:val="24"/>
          <w:szCs w:val="24"/>
        </w:rPr>
      </w:pPr>
      <w:proofErr w:type="spellStart"/>
      <w:r w:rsidRPr="00B808B2">
        <w:rPr>
          <w:sz w:val="24"/>
          <w:szCs w:val="24"/>
        </w:rPr>
        <w:t>Omeprazols</w:t>
      </w:r>
      <w:proofErr w:type="spellEnd"/>
      <w:r w:rsidRPr="00B808B2">
        <w:rPr>
          <w:sz w:val="24"/>
          <w:szCs w:val="24"/>
        </w:rPr>
        <w:t xml:space="preserve"> metabolisme er nedsat hos patienter med nedsat leverfunktion, hvilket resulterer i en øget AUC. </w:t>
      </w:r>
      <w:proofErr w:type="spellStart"/>
      <w:r w:rsidRPr="00B808B2">
        <w:rPr>
          <w:sz w:val="24"/>
          <w:szCs w:val="24"/>
        </w:rPr>
        <w:t>Omeprazol</w:t>
      </w:r>
      <w:proofErr w:type="spellEnd"/>
      <w:r w:rsidRPr="00B808B2">
        <w:rPr>
          <w:sz w:val="24"/>
          <w:szCs w:val="24"/>
        </w:rPr>
        <w:t xml:space="preserve"> viser ingen tendens til akkumulering ved dosering en gang </w:t>
      </w:r>
      <w:r>
        <w:rPr>
          <w:sz w:val="24"/>
          <w:szCs w:val="24"/>
        </w:rPr>
        <w:t>daglig</w:t>
      </w:r>
      <w:r w:rsidRPr="00B808B2">
        <w:rPr>
          <w:sz w:val="24"/>
          <w:szCs w:val="24"/>
        </w:rPr>
        <w:t>.</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i/>
          <w:sz w:val="24"/>
          <w:szCs w:val="24"/>
        </w:rPr>
        <w:t>Nedsat nyrefunktion</w:t>
      </w:r>
    </w:p>
    <w:p w:rsidR="00037C49" w:rsidRPr="00B808B2" w:rsidRDefault="00037C49" w:rsidP="00037C49">
      <w:pPr>
        <w:autoSpaceDE w:val="0"/>
        <w:autoSpaceDN w:val="0"/>
        <w:adjustRightInd w:val="0"/>
        <w:ind w:left="851"/>
        <w:rPr>
          <w:sz w:val="24"/>
          <w:szCs w:val="24"/>
        </w:rPr>
      </w:pPr>
      <w:proofErr w:type="spellStart"/>
      <w:r w:rsidRPr="00B808B2">
        <w:rPr>
          <w:sz w:val="24"/>
          <w:szCs w:val="24"/>
        </w:rPr>
        <w:t>Omeprazols</w:t>
      </w:r>
      <w:proofErr w:type="spellEnd"/>
      <w:r w:rsidRPr="00B808B2">
        <w:rPr>
          <w:sz w:val="24"/>
          <w:szCs w:val="24"/>
        </w:rPr>
        <w:t xml:space="preserve"> farmakokinetik inklusive systemiske biotilgængelighed og eliminationshastighed er uændret hos patienter med nedsat nyrefunktion.</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sz w:val="24"/>
          <w:szCs w:val="24"/>
        </w:rPr>
      </w:pPr>
      <w:r w:rsidRPr="00B808B2">
        <w:rPr>
          <w:i/>
          <w:sz w:val="24"/>
          <w:szCs w:val="24"/>
        </w:rPr>
        <w:t>Ældre</w:t>
      </w:r>
    </w:p>
    <w:p w:rsidR="00037C49" w:rsidRPr="00B808B2" w:rsidRDefault="00037C49" w:rsidP="00037C49">
      <w:pPr>
        <w:autoSpaceDE w:val="0"/>
        <w:autoSpaceDN w:val="0"/>
        <w:adjustRightInd w:val="0"/>
        <w:ind w:left="851"/>
        <w:rPr>
          <w:sz w:val="24"/>
          <w:szCs w:val="24"/>
        </w:rPr>
      </w:pPr>
      <w:proofErr w:type="spellStart"/>
      <w:r w:rsidRPr="00B808B2">
        <w:rPr>
          <w:sz w:val="24"/>
          <w:szCs w:val="24"/>
        </w:rPr>
        <w:t>Omeprazols</w:t>
      </w:r>
      <w:proofErr w:type="spellEnd"/>
      <w:r w:rsidRPr="00B808B2">
        <w:rPr>
          <w:sz w:val="24"/>
          <w:szCs w:val="24"/>
        </w:rPr>
        <w:t xml:space="preserve"> metabolisme er noget nedsat hos ældre personer (75-79 år).</w:t>
      </w:r>
    </w:p>
    <w:p w:rsidR="00037C49" w:rsidRPr="00B808B2" w:rsidRDefault="00037C49" w:rsidP="00037C49">
      <w:pPr>
        <w:autoSpaceDE w:val="0"/>
        <w:autoSpaceDN w:val="0"/>
        <w:adjustRightInd w:val="0"/>
        <w:ind w:left="851"/>
        <w:rPr>
          <w:sz w:val="24"/>
          <w:szCs w:val="24"/>
        </w:rPr>
      </w:pPr>
    </w:p>
    <w:p w:rsidR="00037C49" w:rsidRPr="00B808B2" w:rsidRDefault="00037C49" w:rsidP="00037C49">
      <w:pPr>
        <w:autoSpaceDE w:val="0"/>
        <w:autoSpaceDN w:val="0"/>
        <w:adjustRightInd w:val="0"/>
        <w:ind w:left="851"/>
        <w:rPr>
          <w:i/>
          <w:sz w:val="24"/>
          <w:szCs w:val="24"/>
        </w:rPr>
      </w:pPr>
      <w:r>
        <w:rPr>
          <w:i/>
          <w:sz w:val="24"/>
          <w:szCs w:val="24"/>
        </w:rPr>
        <w:t>Pædiatriske population</w:t>
      </w:r>
    </w:p>
    <w:p w:rsidR="00037C49" w:rsidRPr="00B808B2" w:rsidRDefault="00037C49" w:rsidP="00037C49">
      <w:pPr>
        <w:autoSpaceDE w:val="0"/>
        <w:autoSpaceDN w:val="0"/>
        <w:adjustRightInd w:val="0"/>
        <w:ind w:left="851"/>
        <w:rPr>
          <w:sz w:val="24"/>
          <w:szCs w:val="24"/>
        </w:rPr>
      </w:pPr>
      <w:r w:rsidRPr="00B808B2">
        <w:rPr>
          <w:sz w:val="24"/>
          <w:szCs w:val="24"/>
        </w:rPr>
        <w:t xml:space="preserve">Ved behandling med de anbefalede doser til børn fra 1 år, sås tilsvarende plasmakoncentrationer som hos voksne. Hos børn yngre end 6 måneder er </w:t>
      </w:r>
      <w:proofErr w:type="spellStart"/>
      <w:r w:rsidRPr="00B808B2">
        <w:rPr>
          <w:sz w:val="24"/>
          <w:szCs w:val="24"/>
        </w:rPr>
        <w:t>omeprazols</w:t>
      </w:r>
      <w:proofErr w:type="spellEnd"/>
      <w:r w:rsidRPr="00B808B2">
        <w:rPr>
          <w:sz w:val="24"/>
          <w:szCs w:val="24"/>
        </w:rPr>
        <w:t xml:space="preserve"> </w:t>
      </w:r>
      <w:proofErr w:type="spellStart"/>
      <w:r w:rsidRPr="00B808B2">
        <w:rPr>
          <w:sz w:val="24"/>
          <w:szCs w:val="24"/>
        </w:rPr>
        <w:t>clearance</w:t>
      </w:r>
      <w:proofErr w:type="spellEnd"/>
      <w:r w:rsidRPr="00B808B2">
        <w:rPr>
          <w:sz w:val="24"/>
          <w:szCs w:val="24"/>
        </w:rPr>
        <w:t xml:space="preserve"> lav på grund af lav </w:t>
      </w:r>
      <w:proofErr w:type="spellStart"/>
      <w:r w:rsidRPr="00B808B2">
        <w:rPr>
          <w:sz w:val="24"/>
          <w:szCs w:val="24"/>
        </w:rPr>
        <w:t>metaboliseringskapacitet</w:t>
      </w:r>
      <w:proofErr w:type="spellEnd"/>
      <w:r w:rsidRPr="00B808B2">
        <w:rPr>
          <w:sz w:val="24"/>
          <w:szCs w:val="24"/>
        </w:rPr>
        <w:t xml:space="preserve"> for </w:t>
      </w:r>
      <w:proofErr w:type="spellStart"/>
      <w:r w:rsidRPr="00B808B2">
        <w:rPr>
          <w:sz w:val="24"/>
          <w:szCs w:val="24"/>
        </w:rPr>
        <w:t>omeprazol</w:t>
      </w:r>
      <w:proofErr w:type="spellEnd"/>
      <w:r w:rsidRPr="00B808B2">
        <w:rPr>
          <w:sz w:val="24"/>
          <w:szCs w:val="24"/>
        </w:rPr>
        <w:t>.</w:t>
      </w:r>
    </w:p>
    <w:p w:rsidR="00037C49" w:rsidRPr="00B808B2" w:rsidRDefault="00037C49" w:rsidP="00037C49">
      <w:pPr>
        <w:autoSpaceDE w:val="0"/>
        <w:autoSpaceDN w:val="0"/>
        <w:adjustRightInd w:val="0"/>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5.3</w:t>
      </w:r>
      <w:r w:rsidRPr="00B808B2">
        <w:rPr>
          <w:b/>
          <w:sz w:val="24"/>
          <w:szCs w:val="24"/>
        </w:rPr>
        <w:tab/>
      </w:r>
      <w:r w:rsidR="000039DD">
        <w:rPr>
          <w:b/>
          <w:sz w:val="24"/>
          <w:szCs w:val="24"/>
        </w:rPr>
        <w:t>Non-</w:t>
      </w:r>
      <w:r w:rsidRPr="00B808B2">
        <w:rPr>
          <w:b/>
          <w:sz w:val="24"/>
          <w:szCs w:val="24"/>
        </w:rPr>
        <w:t>kliniske sikkerhedsdata</w:t>
      </w:r>
    </w:p>
    <w:p w:rsidR="00037C49" w:rsidRPr="00B808B2" w:rsidRDefault="00037C49" w:rsidP="00037C49">
      <w:pPr>
        <w:shd w:val="clear" w:color="auto" w:fill="FFFFFF"/>
        <w:ind w:left="851"/>
        <w:rPr>
          <w:iCs/>
          <w:spacing w:val="-3"/>
          <w:sz w:val="24"/>
          <w:szCs w:val="24"/>
        </w:rPr>
      </w:pPr>
      <w:r w:rsidRPr="00B808B2">
        <w:rPr>
          <w:iCs/>
          <w:spacing w:val="-3"/>
          <w:sz w:val="24"/>
          <w:szCs w:val="24"/>
        </w:rPr>
        <w:t>Gastrisk ECL-celle-</w:t>
      </w:r>
      <w:proofErr w:type="spellStart"/>
      <w:r w:rsidRPr="00B808B2">
        <w:rPr>
          <w:iCs/>
          <w:spacing w:val="-3"/>
          <w:sz w:val="24"/>
          <w:szCs w:val="24"/>
        </w:rPr>
        <w:t>hyperplasi</w:t>
      </w:r>
      <w:proofErr w:type="spellEnd"/>
      <w:r w:rsidRPr="00B808B2">
        <w:rPr>
          <w:iCs/>
          <w:spacing w:val="-3"/>
          <w:sz w:val="24"/>
          <w:szCs w:val="24"/>
        </w:rPr>
        <w:t xml:space="preserve"> og </w:t>
      </w:r>
      <w:proofErr w:type="spellStart"/>
      <w:r w:rsidRPr="00B808B2">
        <w:rPr>
          <w:iCs/>
          <w:spacing w:val="-3"/>
          <w:sz w:val="24"/>
          <w:szCs w:val="24"/>
        </w:rPr>
        <w:t>karcinoider</w:t>
      </w:r>
      <w:proofErr w:type="spellEnd"/>
      <w:r w:rsidRPr="00B808B2">
        <w:rPr>
          <w:iCs/>
          <w:spacing w:val="-3"/>
          <w:sz w:val="24"/>
          <w:szCs w:val="24"/>
        </w:rPr>
        <w:t xml:space="preserve"> er observeret i livslange studier hos rotter behandlet med </w:t>
      </w:r>
      <w:proofErr w:type="spellStart"/>
      <w:r w:rsidRPr="00B808B2">
        <w:rPr>
          <w:iCs/>
          <w:spacing w:val="-3"/>
          <w:sz w:val="24"/>
          <w:szCs w:val="24"/>
        </w:rPr>
        <w:t>omeprazol</w:t>
      </w:r>
      <w:proofErr w:type="spellEnd"/>
      <w:r w:rsidRPr="00B808B2">
        <w:rPr>
          <w:iCs/>
          <w:spacing w:val="-3"/>
          <w:sz w:val="24"/>
          <w:szCs w:val="24"/>
        </w:rPr>
        <w:t xml:space="preserve">. Disse forandringer er et resultat af langvarig </w:t>
      </w:r>
      <w:proofErr w:type="spellStart"/>
      <w:r w:rsidRPr="00B808B2">
        <w:rPr>
          <w:iCs/>
          <w:spacing w:val="-3"/>
          <w:sz w:val="24"/>
          <w:szCs w:val="24"/>
        </w:rPr>
        <w:t>hypergastrinæmi</w:t>
      </w:r>
      <w:proofErr w:type="spellEnd"/>
      <w:r w:rsidRPr="00B808B2">
        <w:rPr>
          <w:iCs/>
          <w:spacing w:val="-3"/>
          <w:sz w:val="24"/>
          <w:szCs w:val="24"/>
        </w:rPr>
        <w:t xml:space="preserve">, der er sekundær til syrehæmning. </w:t>
      </w:r>
    </w:p>
    <w:p w:rsidR="00037C49" w:rsidRPr="00B808B2" w:rsidRDefault="00037C49" w:rsidP="00037C49">
      <w:pPr>
        <w:shd w:val="clear" w:color="auto" w:fill="FFFFFF"/>
        <w:ind w:left="851"/>
        <w:rPr>
          <w:iCs/>
          <w:spacing w:val="-3"/>
          <w:sz w:val="24"/>
          <w:szCs w:val="24"/>
        </w:rPr>
      </w:pPr>
    </w:p>
    <w:p w:rsidR="00037C49" w:rsidRPr="00B808B2" w:rsidRDefault="00037C49" w:rsidP="00037C49">
      <w:pPr>
        <w:shd w:val="clear" w:color="auto" w:fill="FFFFFF"/>
        <w:ind w:left="851"/>
        <w:rPr>
          <w:bCs/>
          <w:sz w:val="24"/>
          <w:szCs w:val="24"/>
        </w:rPr>
      </w:pPr>
      <w:r w:rsidRPr="00B808B2">
        <w:rPr>
          <w:iCs/>
          <w:spacing w:val="-3"/>
          <w:sz w:val="24"/>
          <w:szCs w:val="24"/>
        </w:rPr>
        <w:t xml:space="preserve">Tilsvarende forandringer er fundet efter behandling med H2-receptorantagonister, </w:t>
      </w:r>
      <w:proofErr w:type="spellStart"/>
      <w:r w:rsidRPr="00B808B2">
        <w:rPr>
          <w:iCs/>
          <w:spacing w:val="-3"/>
          <w:sz w:val="24"/>
          <w:szCs w:val="24"/>
        </w:rPr>
        <w:t>protonpumpehæmmere</w:t>
      </w:r>
      <w:proofErr w:type="spellEnd"/>
      <w:r w:rsidRPr="00B808B2">
        <w:rPr>
          <w:iCs/>
          <w:spacing w:val="-3"/>
          <w:sz w:val="24"/>
          <w:szCs w:val="24"/>
        </w:rPr>
        <w:t xml:space="preserve"> og efter gastrisk </w:t>
      </w:r>
      <w:proofErr w:type="spellStart"/>
      <w:r w:rsidRPr="00B808B2">
        <w:rPr>
          <w:iCs/>
          <w:spacing w:val="-3"/>
          <w:sz w:val="24"/>
          <w:szCs w:val="24"/>
        </w:rPr>
        <w:t>fundektomi</w:t>
      </w:r>
      <w:proofErr w:type="spellEnd"/>
      <w:r w:rsidRPr="00B808B2">
        <w:rPr>
          <w:iCs/>
          <w:spacing w:val="-3"/>
          <w:sz w:val="24"/>
          <w:szCs w:val="24"/>
        </w:rPr>
        <w:t>. Disse ændringer er derfor ikke en direkte effekt af et enkelt lægemiddel.</w:t>
      </w:r>
    </w:p>
    <w:p w:rsidR="00037C49" w:rsidRPr="00B808B2" w:rsidRDefault="00037C49" w:rsidP="00037C49">
      <w:pPr>
        <w:shd w:val="clear" w:color="auto" w:fill="FFFFFF"/>
        <w:rPr>
          <w:bCs/>
          <w:sz w:val="24"/>
          <w:szCs w:val="24"/>
        </w:rPr>
      </w:pPr>
    </w:p>
    <w:p w:rsidR="00037C49" w:rsidRPr="00B808B2" w:rsidRDefault="00037C49" w:rsidP="00037C49">
      <w:pPr>
        <w:shd w:val="clear" w:color="auto" w:fill="FFFFFF"/>
        <w:ind w:left="851" w:hanging="851"/>
        <w:rPr>
          <w:sz w:val="24"/>
          <w:szCs w:val="24"/>
        </w:rPr>
      </w:pPr>
    </w:p>
    <w:p w:rsidR="000E5510" w:rsidRPr="00C84483" w:rsidRDefault="000E5510" w:rsidP="000E551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E5510" w:rsidRPr="00BA09F1" w:rsidRDefault="000E5510" w:rsidP="000E5510">
      <w:pPr>
        <w:tabs>
          <w:tab w:val="left" w:pos="851"/>
        </w:tabs>
        <w:ind w:left="851"/>
        <w:rPr>
          <w:sz w:val="24"/>
          <w:szCs w:val="24"/>
        </w:rPr>
      </w:pPr>
    </w:p>
    <w:p w:rsidR="000E5510" w:rsidRPr="00C84483" w:rsidRDefault="000E5510" w:rsidP="000E5510">
      <w:pPr>
        <w:tabs>
          <w:tab w:val="left" w:pos="851"/>
        </w:tabs>
        <w:ind w:left="851" w:hanging="851"/>
        <w:rPr>
          <w:b/>
          <w:sz w:val="24"/>
          <w:szCs w:val="24"/>
        </w:rPr>
      </w:pPr>
      <w:r w:rsidRPr="00C84483">
        <w:rPr>
          <w:b/>
          <w:sz w:val="24"/>
          <w:szCs w:val="24"/>
        </w:rPr>
        <w:t>6.1</w:t>
      </w:r>
      <w:r w:rsidRPr="00C84483">
        <w:rPr>
          <w:b/>
          <w:sz w:val="24"/>
          <w:szCs w:val="24"/>
        </w:rPr>
        <w:tab/>
        <w:t>Hjælpestoffer</w:t>
      </w:r>
    </w:p>
    <w:p w:rsidR="00037C49" w:rsidRPr="00B808B2" w:rsidRDefault="00037C49" w:rsidP="00037C49">
      <w:pPr>
        <w:autoSpaceDE w:val="0"/>
        <w:autoSpaceDN w:val="0"/>
        <w:adjustRightInd w:val="0"/>
        <w:ind w:left="851"/>
        <w:rPr>
          <w:rFonts w:eastAsia="Calibri"/>
          <w:i/>
          <w:sz w:val="24"/>
          <w:szCs w:val="24"/>
          <w:lang w:eastAsia="da-DK" w:bidi="da-DK"/>
        </w:rPr>
      </w:pPr>
      <w:r w:rsidRPr="00B808B2">
        <w:rPr>
          <w:rFonts w:eastAsia="Calibri"/>
          <w:i/>
          <w:sz w:val="24"/>
          <w:szCs w:val="24"/>
          <w:lang w:eastAsia="da-DK" w:bidi="da-DK"/>
        </w:rPr>
        <w:t>Granulat</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 xml:space="preserve">Sukkerkugler </w:t>
      </w:r>
    </w:p>
    <w:p w:rsidR="00037C49" w:rsidRPr="00B808B2" w:rsidRDefault="00037C49" w:rsidP="00037C49">
      <w:pPr>
        <w:autoSpaceDE w:val="0"/>
        <w:autoSpaceDN w:val="0"/>
        <w:adjustRightInd w:val="0"/>
        <w:ind w:left="851"/>
        <w:rPr>
          <w:rFonts w:eastAsia="Calibri"/>
          <w:sz w:val="24"/>
          <w:szCs w:val="24"/>
          <w:lang w:eastAsia="da-DK" w:bidi="da-DK"/>
        </w:rPr>
      </w:pPr>
      <w:proofErr w:type="spellStart"/>
      <w:r w:rsidRPr="00B808B2">
        <w:rPr>
          <w:rFonts w:eastAsia="Calibri"/>
          <w:sz w:val="24"/>
          <w:szCs w:val="24"/>
          <w:lang w:eastAsia="da-DK" w:bidi="da-DK"/>
        </w:rPr>
        <w:t>Hypromellose</w:t>
      </w:r>
      <w:proofErr w:type="spellEnd"/>
      <w:r w:rsidRPr="00B808B2">
        <w:rPr>
          <w:rFonts w:eastAsia="Calibri"/>
          <w:sz w:val="24"/>
          <w:szCs w:val="24"/>
          <w:lang w:eastAsia="da-DK" w:bidi="da-DK"/>
        </w:rPr>
        <w:t xml:space="preserve"> 2910 5CPS</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 xml:space="preserve">Talkum </w:t>
      </w:r>
    </w:p>
    <w:p w:rsidR="00037C49" w:rsidRPr="00B808B2" w:rsidRDefault="00037C49" w:rsidP="00037C49">
      <w:pPr>
        <w:autoSpaceDE w:val="0"/>
        <w:autoSpaceDN w:val="0"/>
        <w:adjustRightInd w:val="0"/>
        <w:ind w:left="851"/>
        <w:rPr>
          <w:rFonts w:eastAsia="Calibri"/>
          <w:sz w:val="24"/>
          <w:szCs w:val="24"/>
          <w:lang w:eastAsia="da-DK" w:bidi="da-DK"/>
        </w:rPr>
      </w:pPr>
      <w:proofErr w:type="spellStart"/>
      <w:r w:rsidRPr="00B808B2">
        <w:rPr>
          <w:rFonts w:eastAsia="Calibri"/>
          <w:sz w:val="24"/>
          <w:szCs w:val="24"/>
          <w:lang w:eastAsia="da-DK" w:bidi="da-DK"/>
        </w:rPr>
        <w:t>Nattriumhydroxid</w:t>
      </w:r>
      <w:proofErr w:type="spellEnd"/>
    </w:p>
    <w:p w:rsidR="00037C49" w:rsidRPr="00B808B2" w:rsidRDefault="00037C49" w:rsidP="00037C49">
      <w:pPr>
        <w:autoSpaceDE w:val="0"/>
        <w:autoSpaceDN w:val="0"/>
        <w:adjustRightInd w:val="0"/>
        <w:ind w:left="851"/>
        <w:rPr>
          <w:rFonts w:eastAsia="Calibri"/>
          <w:sz w:val="24"/>
          <w:szCs w:val="24"/>
          <w:lang w:eastAsia="da-DK" w:bidi="da-DK"/>
        </w:rPr>
      </w:pPr>
      <w:proofErr w:type="spellStart"/>
      <w:r w:rsidRPr="00B808B2">
        <w:rPr>
          <w:rFonts w:eastAsia="Calibri"/>
          <w:sz w:val="24"/>
          <w:szCs w:val="24"/>
          <w:lang w:eastAsia="da-DK" w:bidi="da-DK"/>
        </w:rPr>
        <w:t>Methakrylsyre-ethylacrylat-copolymer</w:t>
      </w:r>
      <w:proofErr w:type="spellEnd"/>
      <w:r w:rsidRPr="00B808B2">
        <w:rPr>
          <w:rFonts w:eastAsia="Calibri"/>
          <w:sz w:val="24"/>
          <w:szCs w:val="24"/>
          <w:lang w:eastAsia="da-DK" w:bidi="da-DK"/>
        </w:rPr>
        <w:t xml:space="preserve"> (1:1) dispergeret 30 procent</w:t>
      </w:r>
    </w:p>
    <w:p w:rsidR="00037C49" w:rsidRPr="00B808B2" w:rsidRDefault="00037C49" w:rsidP="00037C49">
      <w:pPr>
        <w:autoSpaceDE w:val="0"/>
        <w:autoSpaceDN w:val="0"/>
        <w:adjustRightInd w:val="0"/>
        <w:ind w:left="851"/>
        <w:rPr>
          <w:rFonts w:eastAsia="Calibri"/>
          <w:sz w:val="24"/>
          <w:szCs w:val="24"/>
          <w:lang w:eastAsia="da-DK" w:bidi="da-DK"/>
        </w:rPr>
      </w:pPr>
      <w:proofErr w:type="spellStart"/>
      <w:r w:rsidRPr="00B808B2">
        <w:rPr>
          <w:rFonts w:eastAsia="Calibri"/>
          <w:sz w:val="24"/>
          <w:szCs w:val="24"/>
          <w:lang w:eastAsia="da-DK" w:bidi="da-DK"/>
        </w:rPr>
        <w:t>Macrogol</w:t>
      </w:r>
      <w:proofErr w:type="spellEnd"/>
      <w:r w:rsidRPr="00B808B2">
        <w:rPr>
          <w:rFonts w:eastAsia="Calibri"/>
          <w:sz w:val="24"/>
          <w:szCs w:val="24"/>
          <w:lang w:eastAsia="da-DK" w:bidi="da-DK"/>
        </w:rPr>
        <w:t xml:space="preserve"> 400</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Titandioxid (E171)</w:t>
      </w:r>
    </w:p>
    <w:p w:rsidR="00037C49" w:rsidRPr="00B808B2" w:rsidRDefault="00037C49" w:rsidP="00037C49">
      <w:pPr>
        <w:autoSpaceDE w:val="0"/>
        <w:autoSpaceDN w:val="0"/>
        <w:adjustRightInd w:val="0"/>
        <w:ind w:left="851"/>
        <w:rPr>
          <w:rFonts w:eastAsia="Calibri"/>
          <w:sz w:val="24"/>
          <w:szCs w:val="24"/>
          <w:lang w:eastAsia="da-DK" w:bidi="da-DK"/>
        </w:rPr>
      </w:pPr>
    </w:p>
    <w:p w:rsidR="00037C49" w:rsidRPr="00B808B2" w:rsidRDefault="00037C49" w:rsidP="00037C49">
      <w:pPr>
        <w:autoSpaceDE w:val="0"/>
        <w:autoSpaceDN w:val="0"/>
        <w:adjustRightInd w:val="0"/>
        <w:ind w:left="851"/>
        <w:rPr>
          <w:rFonts w:eastAsia="Calibri"/>
          <w:i/>
          <w:sz w:val="24"/>
          <w:szCs w:val="24"/>
          <w:lang w:eastAsia="da-DK" w:bidi="da-DK"/>
        </w:rPr>
      </w:pPr>
      <w:r w:rsidRPr="00B808B2">
        <w:rPr>
          <w:rFonts w:eastAsia="Calibri"/>
          <w:i/>
          <w:sz w:val="24"/>
          <w:szCs w:val="24"/>
          <w:lang w:eastAsia="da-DK" w:bidi="da-DK"/>
        </w:rPr>
        <w:t>Kapsler</w:t>
      </w:r>
    </w:p>
    <w:p w:rsidR="00037C49" w:rsidRPr="00B808B2" w:rsidRDefault="00037C49" w:rsidP="00037C49">
      <w:pPr>
        <w:ind w:left="851"/>
        <w:rPr>
          <w:rFonts w:eastAsia="Calibri"/>
          <w:sz w:val="24"/>
          <w:szCs w:val="24"/>
          <w:lang w:eastAsia="da-DK" w:bidi="da-DK"/>
        </w:rPr>
      </w:pPr>
      <w:r w:rsidRPr="00B808B2">
        <w:rPr>
          <w:rFonts w:eastAsia="Calibri"/>
          <w:sz w:val="24"/>
          <w:szCs w:val="24"/>
          <w:lang w:eastAsia="da-DK" w:bidi="da-DK"/>
        </w:rPr>
        <w:t xml:space="preserve">Gelatine </w:t>
      </w:r>
    </w:p>
    <w:p w:rsidR="00037C49" w:rsidRPr="00B808B2" w:rsidRDefault="00037C49" w:rsidP="00037C49">
      <w:pPr>
        <w:ind w:left="851"/>
        <w:rPr>
          <w:rFonts w:eastAsia="Calibri"/>
          <w:sz w:val="24"/>
          <w:szCs w:val="24"/>
          <w:lang w:eastAsia="da-DK" w:bidi="da-DK"/>
        </w:rPr>
      </w:pPr>
      <w:r w:rsidRPr="00B808B2">
        <w:rPr>
          <w:rFonts w:eastAsia="Calibri"/>
          <w:sz w:val="24"/>
          <w:szCs w:val="24"/>
          <w:lang w:eastAsia="da-DK" w:bidi="da-DK"/>
        </w:rPr>
        <w:t>Jernoxid rød (E172)</w:t>
      </w:r>
    </w:p>
    <w:p w:rsidR="00037C49" w:rsidRPr="00B808B2" w:rsidRDefault="00037C49" w:rsidP="00037C49">
      <w:pPr>
        <w:ind w:left="851"/>
        <w:rPr>
          <w:rFonts w:eastAsia="Calibri"/>
          <w:sz w:val="24"/>
          <w:szCs w:val="24"/>
          <w:lang w:val="nl-NL" w:eastAsia="da-DK" w:bidi="da-DK"/>
        </w:rPr>
      </w:pPr>
      <w:r w:rsidRPr="00B808B2">
        <w:rPr>
          <w:rFonts w:eastAsia="Calibri"/>
          <w:sz w:val="24"/>
          <w:szCs w:val="24"/>
          <w:lang w:eastAsia="da-DK" w:bidi="da-DK"/>
        </w:rPr>
        <w:t>Titandioxid (E171)</w:t>
      </w:r>
    </w:p>
    <w:p w:rsidR="00037C49" w:rsidRPr="00B808B2" w:rsidRDefault="00037C49" w:rsidP="00037C49">
      <w:pPr>
        <w:ind w:left="851"/>
        <w:rPr>
          <w:rFonts w:eastAsia="Calibri"/>
          <w:sz w:val="24"/>
          <w:szCs w:val="24"/>
          <w:lang w:val="nl-NL" w:eastAsia="da-DK" w:bidi="da-DK"/>
        </w:rPr>
      </w:pPr>
    </w:p>
    <w:p w:rsidR="00037C49" w:rsidRPr="00B808B2" w:rsidRDefault="00037C49" w:rsidP="00037C49">
      <w:pPr>
        <w:ind w:left="851"/>
        <w:rPr>
          <w:rFonts w:eastAsia="Calibri"/>
          <w:i/>
          <w:sz w:val="24"/>
          <w:szCs w:val="24"/>
          <w:lang w:val="nl-NL" w:eastAsia="da-DK" w:bidi="da-DK"/>
        </w:rPr>
      </w:pPr>
      <w:r w:rsidRPr="00B808B2">
        <w:rPr>
          <w:rFonts w:eastAsia="Calibri"/>
          <w:i/>
          <w:sz w:val="24"/>
          <w:szCs w:val="24"/>
          <w:lang w:eastAsia="da-DK" w:bidi="da-DK"/>
        </w:rPr>
        <w:t>Blæk til prægning</w:t>
      </w:r>
    </w:p>
    <w:p w:rsidR="00037C49" w:rsidRPr="00B808B2" w:rsidRDefault="00037C49" w:rsidP="00037C49">
      <w:pPr>
        <w:ind w:left="851"/>
        <w:rPr>
          <w:rFonts w:eastAsia="Calibri"/>
          <w:sz w:val="24"/>
          <w:szCs w:val="24"/>
          <w:lang w:val="nl-NL" w:eastAsia="da-DK" w:bidi="da-DK"/>
        </w:rPr>
      </w:pPr>
      <w:r w:rsidRPr="00B808B2">
        <w:rPr>
          <w:rFonts w:eastAsia="Calibri"/>
          <w:sz w:val="24"/>
          <w:szCs w:val="24"/>
          <w:lang w:eastAsia="da-DK" w:bidi="da-DK"/>
        </w:rPr>
        <w:t>Shellak (E904)</w:t>
      </w:r>
    </w:p>
    <w:p w:rsidR="00037C49" w:rsidRDefault="00037C49" w:rsidP="00037C49">
      <w:pPr>
        <w:ind w:left="851"/>
        <w:rPr>
          <w:sz w:val="24"/>
          <w:szCs w:val="24"/>
        </w:rPr>
      </w:pPr>
      <w:r w:rsidRPr="00B808B2">
        <w:rPr>
          <w:rFonts w:eastAsia="Calibri"/>
          <w:sz w:val="24"/>
          <w:szCs w:val="24"/>
          <w:lang w:eastAsia="da-DK" w:bidi="da-DK"/>
        </w:rPr>
        <w:t>Jernoxid sort (E172)</w:t>
      </w:r>
      <w:r w:rsidRPr="00B808B2">
        <w:rPr>
          <w:sz w:val="24"/>
          <w:szCs w:val="24"/>
        </w:rPr>
        <w:t xml:space="preserve"> </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6.2</w:t>
      </w:r>
      <w:r w:rsidRPr="00B808B2">
        <w:rPr>
          <w:b/>
          <w:sz w:val="24"/>
          <w:szCs w:val="24"/>
        </w:rPr>
        <w:tab/>
        <w:t>Uforligeligheder</w:t>
      </w:r>
    </w:p>
    <w:p w:rsidR="00037C49" w:rsidRPr="00B808B2" w:rsidRDefault="00037C49" w:rsidP="00037C49">
      <w:pPr>
        <w:ind w:left="851" w:hanging="851"/>
        <w:rPr>
          <w:sz w:val="24"/>
          <w:szCs w:val="24"/>
        </w:rPr>
      </w:pPr>
      <w:r w:rsidRPr="00B808B2">
        <w:rPr>
          <w:sz w:val="24"/>
          <w:szCs w:val="24"/>
        </w:rPr>
        <w:tab/>
        <w:t>Ikke relevant.</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6.3</w:t>
      </w:r>
      <w:r w:rsidRPr="00B808B2">
        <w:rPr>
          <w:b/>
          <w:sz w:val="24"/>
          <w:szCs w:val="24"/>
        </w:rPr>
        <w:tab/>
        <w:t>Opbevaringstid</w:t>
      </w:r>
    </w:p>
    <w:p w:rsidR="00037C49" w:rsidRPr="00B808B2" w:rsidRDefault="00037C49" w:rsidP="00037C49">
      <w:pPr>
        <w:autoSpaceDE w:val="0"/>
        <w:autoSpaceDN w:val="0"/>
        <w:adjustRightInd w:val="0"/>
        <w:ind w:left="851" w:hanging="851"/>
        <w:rPr>
          <w:sz w:val="24"/>
          <w:szCs w:val="24"/>
        </w:rPr>
      </w:pPr>
      <w:r w:rsidRPr="00B808B2">
        <w:rPr>
          <w:sz w:val="24"/>
          <w:szCs w:val="24"/>
        </w:rPr>
        <w:tab/>
      </w:r>
      <w:r>
        <w:rPr>
          <w:sz w:val="24"/>
          <w:szCs w:val="24"/>
        </w:rPr>
        <w:t>2</w:t>
      </w:r>
      <w:r w:rsidRPr="00B808B2">
        <w:rPr>
          <w:sz w:val="24"/>
          <w:szCs w:val="24"/>
        </w:rPr>
        <w:t xml:space="preserve"> år.</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6.4</w:t>
      </w:r>
      <w:r w:rsidRPr="00B808B2">
        <w:rPr>
          <w:b/>
          <w:sz w:val="24"/>
          <w:szCs w:val="24"/>
        </w:rPr>
        <w:tab/>
        <w:t>Særlige opbevaringsforhold</w:t>
      </w:r>
    </w:p>
    <w:p w:rsidR="00037C49" w:rsidRPr="00B808B2" w:rsidRDefault="00037C49" w:rsidP="00037C49">
      <w:pPr>
        <w:autoSpaceDE w:val="0"/>
        <w:autoSpaceDN w:val="0"/>
        <w:adjustRightInd w:val="0"/>
        <w:ind w:left="851" w:hanging="851"/>
        <w:rPr>
          <w:sz w:val="24"/>
          <w:szCs w:val="24"/>
        </w:rPr>
      </w:pPr>
      <w:r w:rsidRPr="00B808B2">
        <w:rPr>
          <w:sz w:val="24"/>
          <w:szCs w:val="24"/>
        </w:rPr>
        <w:tab/>
        <w:t>Dette lægemiddel kræver ingen særlige forholdsregler vedrørende opbevaringen.</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6.5</w:t>
      </w:r>
      <w:r w:rsidRPr="00B808B2">
        <w:rPr>
          <w:b/>
          <w:sz w:val="24"/>
          <w:szCs w:val="24"/>
        </w:rPr>
        <w:tab/>
        <w:t>Emballagetype og pakningsstørrelser</w:t>
      </w:r>
    </w:p>
    <w:p w:rsidR="00037C49" w:rsidRPr="00B808B2" w:rsidRDefault="00D123CD" w:rsidP="00037C49">
      <w:pPr>
        <w:autoSpaceDE w:val="0"/>
        <w:autoSpaceDN w:val="0"/>
        <w:adjustRightInd w:val="0"/>
        <w:ind w:left="851"/>
        <w:rPr>
          <w:rFonts w:eastAsia="Calibri"/>
          <w:sz w:val="24"/>
          <w:szCs w:val="24"/>
          <w:lang w:eastAsia="da-DK" w:bidi="da-DK"/>
        </w:rPr>
      </w:pPr>
      <w:proofErr w:type="spellStart"/>
      <w:r>
        <w:rPr>
          <w:rFonts w:eastAsia="Calibri"/>
          <w:sz w:val="24"/>
          <w:szCs w:val="24"/>
          <w:lang w:eastAsia="da-DK" w:bidi="da-DK"/>
        </w:rPr>
        <w:t>Omeprazol</w:t>
      </w:r>
      <w:proofErr w:type="spellEnd"/>
      <w:r>
        <w:rPr>
          <w:rFonts w:eastAsia="Calibri"/>
          <w:sz w:val="24"/>
          <w:szCs w:val="24"/>
          <w:lang w:eastAsia="da-DK" w:bidi="da-DK"/>
        </w:rPr>
        <w:t xml:space="preserve"> "</w:t>
      </w:r>
      <w:proofErr w:type="spellStart"/>
      <w:r>
        <w:rPr>
          <w:rFonts w:eastAsia="Calibri"/>
          <w:sz w:val="24"/>
          <w:szCs w:val="24"/>
          <w:lang w:eastAsia="da-DK" w:bidi="da-DK"/>
        </w:rPr>
        <w:t>Amarox</w:t>
      </w:r>
      <w:proofErr w:type="spellEnd"/>
      <w:r>
        <w:rPr>
          <w:rFonts w:eastAsia="Calibri"/>
          <w:sz w:val="24"/>
          <w:szCs w:val="24"/>
          <w:lang w:eastAsia="da-DK" w:bidi="da-DK"/>
        </w:rPr>
        <w:t>"</w:t>
      </w:r>
      <w:r w:rsidR="00037C49" w:rsidRPr="00B808B2">
        <w:rPr>
          <w:rFonts w:eastAsia="Calibri"/>
          <w:sz w:val="24"/>
          <w:szCs w:val="24"/>
          <w:lang w:eastAsia="da-DK" w:bidi="da-DK"/>
        </w:rPr>
        <w:t xml:space="preserve"> 10 mg:</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Aluminium/aluminium blisterpakning i en ydre karton: 30, 50, 50</w:t>
      </w:r>
      <w:r w:rsidR="006F75F3">
        <w:rPr>
          <w:rFonts w:eastAsia="Calibri"/>
          <w:sz w:val="24"/>
          <w:szCs w:val="24"/>
          <w:lang w:eastAsia="da-DK" w:bidi="da-DK"/>
        </w:rPr>
        <w:t>×</w:t>
      </w:r>
      <w:r w:rsidRPr="00B808B2">
        <w:rPr>
          <w:rFonts w:eastAsia="Calibri"/>
          <w:sz w:val="24"/>
          <w:szCs w:val="24"/>
          <w:lang w:eastAsia="da-DK" w:bidi="da-DK"/>
        </w:rPr>
        <w:t>1, 56, 56</w:t>
      </w:r>
      <w:r w:rsidR="006F75F3">
        <w:rPr>
          <w:rFonts w:eastAsia="Calibri"/>
          <w:sz w:val="24"/>
          <w:szCs w:val="24"/>
          <w:lang w:eastAsia="da-DK" w:bidi="da-DK"/>
        </w:rPr>
        <w:t>×</w:t>
      </w:r>
      <w:r w:rsidRPr="00B808B2">
        <w:rPr>
          <w:rFonts w:eastAsia="Calibri"/>
          <w:sz w:val="24"/>
          <w:szCs w:val="24"/>
          <w:lang w:eastAsia="da-DK" w:bidi="da-DK"/>
        </w:rPr>
        <w:t xml:space="preserve">1, 60, 98, 100 og 500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r w:rsidRPr="00B808B2">
        <w:rPr>
          <w:rFonts w:eastAsia="Calibri"/>
          <w:sz w:val="24"/>
          <w:szCs w:val="24"/>
          <w:lang w:eastAsia="da-DK" w:bidi="da-DK"/>
        </w:rPr>
        <w:t>HPDE</w:t>
      </w:r>
      <w:r>
        <w:rPr>
          <w:rFonts w:eastAsia="Calibri"/>
          <w:sz w:val="24"/>
          <w:szCs w:val="24"/>
          <w:lang w:eastAsia="da-DK" w:bidi="da-DK"/>
        </w:rPr>
        <w:t>-beholder</w:t>
      </w:r>
      <w:r w:rsidRPr="00B808B2">
        <w:rPr>
          <w:rFonts w:eastAsia="Calibri"/>
          <w:sz w:val="24"/>
          <w:szCs w:val="24"/>
          <w:lang w:eastAsia="da-DK" w:bidi="da-DK"/>
        </w:rPr>
        <w:t xml:space="preserve">: 30 og 100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p>
    <w:p w:rsidR="00037C49" w:rsidRPr="00B808B2" w:rsidRDefault="00D123CD" w:rsidP="00037C49">
      <w:pPr>
        <w:autoSpaceDE w:val="0"/>
        <w:autoSpaceDN w:val="0"/>
        <w:adjustRightInd w:val="0"/>
        <w:ind w:left="851"/>
        <w:rPr>
          <w:rFonts w:eastAsia="Calibri"/>
          <w:sz w:val="24"/>
          <w:szCs w:val="24"/>
          <w:lang w:eastAsia="da-DK" w:bidi="da-DK"/>
        </w:rPr>
      </w:pPr>
      <w:proofErr w:type="spellStart"/>
      <w:r>
        <w:rPr>
          <w:rFonts w:eastAsia="Calibri"/>
          <w:sz w:val="24"/>
          <w:szCs w:val="24"/>
          <w:lang w:eastAsia="da-DK" w:bidi="da-DK"/>
        </w:rPr>
        <w:t>Omeprazol</w:t>
      </w:r>
      <w:proofErr w:type="spellEnd"/>
      <w:r>
        <w:rPr>
          <w:rFonts w:eastAsia="Calibri"/>
          <w:sz w:val="24"/>
          <w:szCs w:val="24"/>
          <w:lang w:eastAsia="da-DK" w:bidi="da-DK"/>
        </w:rPr>
        <w:t xml:space="preserve"> "</w:t>
      </w:r>
      <w:proofErr w:type="spellStart"/>
      <w:r>
        <w:rPr>
          <w:rFonts w:eastAsia="Calibri"/>
          <w:sz w:val="24"/>
          <w:szCs w:val="24"/>
          <w:lang w:eastAsia="da-DK" w:bidi="da-DK"/>
        </w:rPr>
        <w:t>Amarox</w:t>
      </w:r>
      <w:proofErr w:type="spellEnd"/>
      <w:r>
        <w:rPr>
          <w:rFonts w:eastAsia="Calibri"/>
          <w:sz w:val="24"/>
          <w:szCs w:val="24"/>
          <w:lang w:eastAsia="da-DK" w:bidi="da-DK"/>
        </w:rPr>
        <w:t>"</w:t>
      </w:r>
      <w:r w:rsidR="00037C49" w:rsidRPr="00B808B2">
        <w:rPr>
          <w:rFonts w:eastAsia="Calibri"/>
          <w:sz w:val="24"/>
          <w:szCs w:val="24"/>
          <w:lang w:eastAsia="da-DK" w:bidi="da-DK"/>
        </w:rPr>
        <w:t xml:space="preserve"> 20 mg:</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Aluminium/aluminium blisterpakning i en ydre karton: 15, 28, 28</w:t>
      </w:r>
      <w:r w:rsidR="006F75F3">
        <w:rPr>
          <w:rFonts w:eastAsia="Calibri"/>
          <w:sz w:val="24"/>
          <w:szCs w:val="24"/>
          <w:lang w:eastAsia="da-DK" w:bidi="da-DK"/>
        </w:rPr>
        <w:t>×</w:t>
      </w:r>
      <w:r w:rsidRPr="00B808B2">
        <w:rPr>
          <w:rFonts w:eastAsia="Calibri"/>
          <w:sz w:val="24"/>
          <w:szCs w:val="24"/>
          <w:lang w:eastAsia="da-DK" w:bidi="da-DK"/>
        </w:rPr>
        <w:t>1, 30, 50, 50</w:t>
      </w:r>
      <w:r w:rsidR="006F75F3">
        <w:rPr>
          <w:rFonts w:eastAsia="Calibri"/>
          <w:sz w:val="24"/>
          <w:szCs w:val="24"/>
          <w:lang w:eastAsia="da-DK" w:bidi="da-DK"/>
        </w:rPr>
        <w:t>×</w:t>
      </w:r>
      <w:r w:rsidRPr="00B808B2">
        <w:rPr>
          <w:rFonts w:eastAsia="Calibri"/>
          <w:sz w:val="24"/>
          <w:szCs w:val="24"/>
          <w:lang w:eastAsia="da-DK" w:bidi="da-DK"/>
        </w:rPr>
        <w:t>1, 56, 56</w:t>
      </w:r>
      <w:r w:rsidR="006F75F3">
        <w:rPr>
          <w:rFonts w:eastAsia="Calibri"/>
          <w:sz w:val="24"/>
          <w:szCs w:val="24"/>
          <w:lang w:eastAsia="da-DK" w:bidi="da-DK"/>
        </w:rPr>
        <w:t>×</w:t>
      </w:r>
      <w:r w:rsidRPr="00B808B2">
        <w:rPr>
          <w:rFonts w:eastAsia="Calibri"/>
          <w:sz w:val="24"/>
          <w:szCs w:val="24"/>
          <w:lang w:eastAsia="da-DK" w:bidi="da-DK"/>
        </w:rPr>
        <w:t xml:space="preserve">1, 60, 98, 100 og 500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r w:rsidRPr="00B808B2">
        <w:rPr>
          <w:rFonts w:eastAsia="Calibri"/>
          <w:sz w:val="24"/>
          <w:szCs w:val="24"/>
          <w:lang w:eastAsia="da-DK" w:bidi="da-DK"/>
        </w:rPr>
        <w:t>HPDE</w:t>
      </w:r>
      <w:r>
        <w:rPr>
          <w:rFonts w:eastAsia="Calibri"/>
          <w:sz w:val="24"/>
          <w:szCs w:val="24"/>
          <w:lang w:eastAsia="da-DK" w:bidi="da-DK"/>
        </w:rPr>
        <w:t>-beholder</w:t>
      </w:r>
      <w:r w:rsidRPr="00B808B2">
        <w:rPr>
          <w:rFonts w:eastAsia="Calibri"/>
          <w:sz w:val="24"/>
          <w:szCs w:val="24"/>
          <w:lang w:eastAsia="da-DK" w:bidi="da-DK"/>
        </w:rPr>
        <w:t xml:space="preserve">: 30 og 100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p>
    <w:p w:rsidR="00037C49" w:rsidRPr="00B808B2" w:rsidRDefault="00D123CD" w:rsidP="00037C49">
      <w:pPr>
        <w:autoSpaceDE w:val="0"/>
        <w:autoSpaceDN w:val="0"/>
        <w:adjustRightInd w:val="0"/>
        <w:ind w:left="851"/>
        <w:rPr>
          <w:rFonts w:eastAsia="Calibri"/>
          <w:sz w:val="24"/>
          <w:szCs w:val="24"/>
          <w:lang w:eastAsia="da-DK" w:bidi="da-DK"/>
        </w:rPr>
      </w:pPr>
      <w:proofErr w:type="spellStart"/>
      <w:r>
        <w:rPr>
          <w:rFonts w:eastAsia="Calibri"/>
          <w:sz w:val="24"/>
          <w:szCs w:val="24"/>
          <w:lang w:eastAsia="da-DK" w:bidi="da-DK"/>
        </w:rPr>
        <w:t>Omeprazol</w:t>
      </w:r>
      <w:proofErr w:type="spellEnd"/>
      <w:r>
        <w:rPr>
          <w:rFonts w:eastAsia="Calibri"/>
          <w:sz w:val="24"/>
          <w:szCs w:val="24"/>
          <w:lang w:eastAsia="da-DK" w:bidi="da-DK"/>
        </w:rPr>
        <w:t xml:space="preserve"> "</w:t>
      </w:r>
      <w:proofErr w:type="spellStart"/>
      <w:r>
        <w:rPr>
          <w:rFonts w:eastAsia="Calibri"/>
          <w:sz w:val="24"/>
          <w:szCs w:val="24"/>
          <w:lang w:eastAsia="da-DK" w:bidi="da-DK"/>
        </w:rPr>
        <w:t>Amarox</w:t>
      </w:r>
      <w:proofErr w:type="spellEnd"/>
      <w:r>
        <w:rPr>
          <w:rFonts w:eastAsia="Calibri"/>
          <w:sz w:val="24"/>
          <w:szCs w:val="24"/>
          <w:lang w:eastAsia="da-DK" w:bidi="da-DK"/>
        </w:rPr>
        <w:t>"</w:t>
      </w:r>
      <w:r w:rsidR="00037C49" w:rsidRPr="00B808B2">
        <w:rPr>
          <w:rFonts w:eastAsia="Calibri"/>
          <w:sz w:val="24"/>
          <w:szCs w:val="24"/>
          <w:lang w:eastAsia="da-DK" w:bidi="da-DK"/>
        </w:rPr>
        <w:t xml:space="preserve"> 40 mg:</w:t>
      </w:r>
    </w:p>
    <w:p w:rsidR="00037C49" w:rsidRPr="00B808B2" w:rsidRDefault="00037C49" w:rsidP="00037C49">
      <w:pPr>
        <w:autoSpaceDE w:val="0"/>
        <w:autoSpaceDN w:val="0"/>
        <w:adjustRightInd w:val="0"/>
        <w:ind w:left="851"/>
        <w:rPr>
          <w:rFonts w:eastAsia="Calibri"/>
          <w:sz w:val="24"/>
          <w:szCs w:val="24"/>
          <w:lang w:eastAsia="da-DK" w:bidi="da-DK"/>
        </w:rPr>
      </w:pPr>
      <w:r w:rsidRPr="00B808B2">
        <w:rPr>
          <w:rFonts w:eastAsia="Calibri"/>
          <w:sz w:val="24"/>
          <w:szCs w:val="24"/>
          <w:lang w:eastAsia="da-DK" w:bidi="da-DK"/>
        </w:rPr>
        <w:t>Aluminium/aluminium blisterpakning i en ydre karton: 7, 7</w:t>
      </w:r>
      <w:r w:rsidR="006F75F3">
        <w:rPr>
          <w:rFonts w:eastAsia="Calibri"/>
          <w:sz w:val="24"/>
          <w:szCs w:val="24"/>
          <w:lang w:eastAsia="da-DK" w:bidi="da-DK"/>
        </w:rPr>
        <w:t>×</w:t>
      </w:r>
      <w:r w:rsidRPr="00B808B2">
        <w:rPr>
          <w:rFonts w:eastAsia="Calibri"/>
          <w:sz w:val="24"/>
          <w:szCs w:val="24"/>
          <w:lang w:eastAsia="da-DK" w:bidi="da-DK"/>
        </w:rPr>
        <w:t>1, 10, 14, 14</w:t>
      </w:r>
      <w:r w:rsidR="0089294C">
        <w:rPr>
          <w:rFonts w:eastAsia="Calibri"/>
          <w:sz w:val="24"/>
          <w:szCs w:val="24"/>
          <w:lang w:eastAsia="da-DK" w:bidi="da-DK"/>
        </w:rPr>
        <w:t>×</w:t>
      </w:r>
      <w:r w:rsidRPr="00B808B2">
        <w:rPr>
          <w:rFonts w:eastAsia="Calibri"/>
          <w:sz w:val="24"/>
          <w:szCs w:val="24"/>
          <w:lang w:eastAsia="da-DK" w:bidi="da-DK"/>
        </w:rPr>
        <w:t>1, 15, 28, 28</w:t>
      </w:r>
      <w:r w:rsidR="0089294C">
        <w:rPr>
          <w:rFonts w:eastAsia="Calibri"/>
          <w:sz w:val="24"/>
          <w:szCs w:val="24"/>
          <w:lang w:eastAsia="da-DK" w:bidi="da-DK"/>
        </w:rPr>
        <w:t>×</w:t>
      </w:r>
      <w:r w:rsidRPr="00B808B2">
        <w:rPr>
          <w:rFonts w:eastAsia="Calibri"/>
          <w:sz w:val="24"/>
          <w:szCs w:val="24"/>
          <w:lang w:eastAsia="da-DK" w:bidi="da-DK"/>
        </w:rPr>
        <w:t>1, 30, 50, 50</w:t>
      </w:r>
      <w:r w:rsidR="006F75F3">
        <w:rPr>
          <w:rFonts w:eastAsia="Calibri"/>
          <w:sz w:val="24"/>
          <w:szCs w:val="24"/>
          <w:lang w:eastAsia="da-DK" w:bidi="da-DK"/>
        </w:rPr>
        <w:t>×</w:t>
      </w:r>
      <w:r w:rsidRPr="00B808B2">
        <w:rPr>
          <w:rFonts w:eastAsia="Calibri"/>
          <w:sz w:val="24"/>
          <w:szCs w:val="24"/>
          <w:lang w:eastAsia="da-DK" w:bidi="da-DK"/>
        </w:rPr>
        <w:t>1, 56, 56</w:t>
      </w:r>
      <w:r w:rsidR="006F75F3">
        <w:rPr>
          <w:rFonts w:eastAsia="Calibri"/>
          <w:sz w:val="24"/>
          <w:szCs w:val="24"/>
          <w:lang w:eastAsia="da-DK" w:bidi="da-DK"/>
        </w:rPr>
        <w:t>×</w:t>
      </w:r>
      <w:r w:rsidRPr="00B808B2">
        <w:rPr>
          <w:rFonts w:eastAsia="Calibri"/>
          <w:sz w:val="24"/>
          <w:szCs w:val="24"/>
          <w:lang w:eastAsia="da-DK" w:bidi="da-DK"/>
        </w:rPr>
        <w:t xml:space="preserve">1, 60, 98, 100 og 500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r w:rsidRPr="00B808B2">
        <w:rPr>
          <w:rFonts w:eastAsia="Calibri"/>
          <w:sz w:val="24"/>
          <w:szCs w:val="24"/>
          <w:lang w:eastAsia="da-DK" w:bidi="da-DK"/>
        </w:rPr>
        <w:t>HPDE</w:t>
      </w:r>
      <w:r>
        <w:rPr>
          <w:rFonts w:eastAsia="Calibri"/>
          <w:sz w:val="24"/>
          <w:szCs w:val="24"/>
          <w:lang w:eastAsia="da-DK" w:bidi="da-DK"/>
        </w:rPr>
        <w:t>-beholder</w:t>
      </w:r>
      <w:r w:rsidRPr="00B808B2">
        <w:rPr>
          <w:rFonts w:eastAsia="Calibri"/>
          <w:sz w:val="24"/>
          <w:szCs w:val="24"/>
          <w:lang w:eastAsia="da-DK" w:bidi="da-DK"/>
        </w:rPr>
        <w:t xml:space="preserve">: 14, 30 og 100 </w:t>
      </w:r>
      <w:proofErr w:type="spellStart"/>
      <w:r w:rsidRPr="00B808B2">
        <w:rPr>
          <w:rFonts w:eastAsia="Calibri"/>
          <w:sz w:val="24"/>
          <w:szCs w:val="24"/>
          <w:lang w:eastAsia="da-DK" w:bidi="da-DK"/>
        </w:rPr>
        <w:t>enterokapsler</w:t>
      </w:r>
      <w:proofErr w:type="spellEnd"/>
      <w:r w:rsidRPr="00B808B2">
        <w:rPr>
          <w:rFonts w:eastAsia="Calibri"/>
          <w:sz w:val="24"/>
          <w:szCs w:val="24"/>
          <w:lang w:eastAsia="da-DK" w:bidi="da-DK"/>
        </w:rPr>
        <w:t>.</w:t>
      </w:r>
    </w:p>
    <w:p w:rsidR="00037C49" w:rsidRPr="00B808B2" w:rsidRDefault="00037C49" w:rsidP="00037C49">
      <w:pPr>
        <w:autoSpaceDE w:val="0"/>
        <w:autoSpaceDN w:val="0"/>
        <w:adjustRightInd w:val="0"/>
        <w:ind w:left="851"/>
        <w:rPr>
          <w:sz w:val="24"/>
          <w:szCs w:val="24"/>
        </w:rPr>
      </w:pPr>
    </w:p>
    <w:p w:rsidR="0089294C" w:rsidRDefault="00037C49" w:rsidP="000039DD">
      <w:pPr>
        <w:autoSpaceDE w:val="0"/>
        <w:autoSpaceDN w:val="0"/>
        <w:adjustRightInd w:val="0"/>
        <w:ind w:left="851"/>
        <w:rPr>
          <w:sz w:val="24"/>
          <w:szCs w:val="24"/>
        </w:rPr>
      </w:pPr>
      <w:r w:rsidRPr="00B808B2">
        <w:rPr>
          <w:sz w:val="24"/>
          <w:szCs w:val="24"/>
        </w:rPr>
        <w:t>Ikke alle pakningsstørrelser er nødvendigvis markedsført.</w:t>
      </w:r>
    </w:p>
    <w:p w:rsidR="00037C49" w:rsidRPr="00B808B2" w:rsidRDefault="00037C49" w:rsidP="00037C49">
      <w:pPr>
        <w:autoSpaceDE w:val="0"/>
        <w:autoSpaceDN w:val="0"/>
        <w:adjustRightInd w:val="0"/>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6.6</w:t>
      </w:r>
      <w:r w:rsidRPr="00B808B2">
        <w:rPr>
          <w:b/>
          <w:sz w:val="24"/>
          <w:szCs w:val="24"/>
        </w:rPr>
        <w:tab/>
        <w:t xml:space="preserve">Regler for </w:t>
      </w:r>
      <w:r w:rsidR="000039DD">
        <w:rPr>
          <w:b/>
          <w:sz w:val="24"/>
          <w:szCs w:val="24"/>
        </w:rPr>
        <w:t>bortskaffelse</w:t>
      </w:r>
      <w:r w:rsidRPr="00B808B2">
        <w:rPr>
          <w:b/>
          <w:sz w:val="24"/>
          <w:szCs w:val="24"/>
        </w:rPr>
        <w:t xml:space="preserve"> og anden håndtering</w:t>
      </w:r>
    </w:p>
    <w:p w:rsidR="00037C49" w:rsidRPr="00B808B2" w:rsidRDefault="00037C49" w:rsidP="00037C49">
      <w:pPr>
        <w:shd w:val="clear" w:color="auto" w:fill="FFFFFF"/>
        <w:ind w:left="851" w:hanging="851"/>
        <w:rPr>
          <w:sz w:val="24"/>
          <w:szCs w:val="24"/>
        </w:rPr>
      </w:pPr>
      <w:r w:rsidRPr="00B808B2">
        <w:rPr>
          <w:sz w:val="24"/>
          <w:szCs w:val="24"/>
        </w:rPr>
        <w:tab/>
        <w:t>Ingen særlige forholdsregler.</w:t>
      </w:r>
    </w:p>
    <w:p w:rsidR="00037C49" w:rsidRPr="00B808B2" w:rsidRDefault="00037C49" w:rsidP="00037C49">
      <w:pPr>
        <w:tabs>
          <w:tab w:val="left" w:pos="851"/>
        </w:tabs>
        <w:ind w:left="851" w:hanging="851"/>
        <w:jc w:val="both"/>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7.</w:t>
      </w:r>
      <w:r w:rsidRPr="00B808B2">
        <w:rPr>
          <w:b/>
          <w:sz w:val="24"/>
          <w:szCs w:val="24"/>
        </w:rPr>
        <w:tab/>
        <w:t>INDEHAVER AF MARKEDSFØRINGSTILLADELSEN</w:t>
      </w:r>
    </w:p>
    <w:p w:rsidR="002746B4" w:rsidRPr="00E14105" w:rsidRDefault="002746B4" w:rsidP="00E14105">
      <w:pPr>
        <w:shd w:val="clear" w:color="auto" w:fill="FFFFFF"/>
        <w:ind w:left="851"/>
        <w:rPr>
          <w:sz w:val="24"/>
          <w:szCs w:val="24"/>
          <w:lang w:val="en-US"/>
        </w:rPr>
      </w:pPr>
      <w:proofErr w:type="spellStart"/>
      <w:r w:rsidRPr="00E14105">
        <w:rPr>
          <w:sz w:val="24"/>
          <w:szCs w:val="24"/>
          <w:lang w:val="en-US"/>
        </w:rPr>
        <w:t>Amarox</w:t>
      </w:r>
      <w:proofErr w:type="spellEnd"/>
      <w:r w:rsidRPr="00E14105">
        <w:rPr>
          <w:sz w:val="24"/>
          <w:szCs w:val="24"/>
          <w:lang w:val="en-US"/>
        </w:rPr>
        <w:t xml:space="preserve"> Pharma B.V.</w:t>
      </w:r>
    </w:p>
    <w:p w:rsidR="002746B4" w:rsidRPr="00E14105" w:rsidRDefault="002746B4" w:rsidP="00E14105">
      <w:pPr>
        <w:shd w:val="clear" w:color="auto" w:fill="FFFFFF"/>
        <w:ind w:left="851"/>
        <w:rPr>
          <w:sz w:val="24"/>
          <w:szCs w:val="24"/>
          <w:lang w:val="en-US"/>
        </w:rPr>
      </w:pPr>
      <w:proofErr w:type="spellStart"/>
      <w:r w:rsidRPr="00E14105">
        <w:rPr>
          <w:sz w:val="24"/>
          <w:szCs w:val="24"/>
          <w:lang w:val="en-US"/>
        </w:rPr>
        <w:t>Rouboslaan</w:t>
      </w:r>
      <w:proofErr w:type="spellEnd"/>
      <w:r w:rsidRPr="00E14105">
        <w:rPr>
          <w:sz w:val="24"/>
          <w:szCs w:val="24"/>
          <w:lang w:val="en-US"/>
        </w:rPr>
        <w:t xml:space="preserve"> 32</w:t>
      </w:r>
    </w:p>
    <w:p w:rsidR="002746B4" w:rsidRPr="00E14105" w:rsidRDefault="002746B4" w:rsidP="00E14105">
      <w:pPr>
        <w:shd w:val="clear" w:color="auto" w:fill="FFFFFF"/>
        <w:ind w:left="851"/>
        <w:rPr>
          <w:sz w:val="24"/>
          <w:szCs w:val="24"/>
        </w:rPr>
      </w:pPr>
      <w:r w:rsidRPr="00E14105">
        <w:rPr>
          <w:sz w:val="24"/>
          <w:szCs w:val="24"/>
        </w:rPr>
        <w:t xml:space="preserve">2252 TR </w:t>
      </w:r>
      <w:proofErr w:type="spellStart"/>
      <w:r w:rsidRPr="00E14105">
        <w:rPr>
          <w:sz w:val="24"/>
          <w:szCs w:val="24"/>
        </w:rPr>
        <w:t>Voorschoten</w:t>
      </w:r>
      <w:proofErr w:type="spellEnd"/>
    </w:p>
    <w:p w:rsidR="002746B4" w:rsidRPr="00E14105" w:rsidRDefault="002746B4" w:rsidP="00E14105">
      <w:pPr>
        <w:shd w:val="clear" w:color="auto" w:fill="FFFFFF"/>
        <w:ind w:left="851"/>
        <w:rPr>
          <w:sz w:val="24"/>
          <w:szCs w:val="24"/>
        </w:rPr>
      </w:pPr>
      <w:r w:rsidRPr="00E14105">
        <w:rPr>
          <w:sz w:val="24"/>
          <w:szCs w:val="24"/>
        </w:rPr>
        <w:t>Holland</w:t>
      </w:r>
    </w:p>
    <w:p w:rsidR="00037C49" w:rsidRPr="00B808B2" w:rsidRDefault="00037C49" w:rsidP="002746B4">
      <w:pPr>
        <w:shd w:val="clear" w:color="auto" w:fill="FFFFFF"/>
        <w:ind w:left="851" w:hanging="851"/>
        <w:rPr>
          <w:sz w:val="24"/>
          <w:szCs w:val="24"/>
        </w:rPr>
      </w:pPr>
      <w:bookmarkStart w:id="0" w:name="_GoBack"/>
      <w:bookmarkEnd w:id="0"/>
    </w:p>
    <w:p w:rsidR="00037C49" w:rsidRPr="00B808B2" w:rsidRDefault="00037C49" w:rsidP="00037C49">
      <w:pPr>
        <w:tabs>
          <w:tab w:val="left" w:pos="851"/>
        </w:tabs>
        <w:ind w:left="851" w:hanging="851"/>
        <w:rPr>
          <w:b/>
          <w:sz w:val="24"/>
          <w:szCs w:val="24"/>
        </w:rPr>
      </w:pPr>
      <w:r w:rsidRPr="00B808B2">
        <w:rPr>
          <w:b/>
          <w:sz w:val="24"/>
          <w:szCs w:val="24"/>
        </w:rPr>
        <w:t>8.</w:t>
      </w:r>
      <w:r w:rsidRPr="00B808B2">
        <w:rPr>
          <w:b/>
          <w:sz w:val="24"/>
          <w:szCs w:val="24"/>
        </w:rPr>
        <w:tab/>
        <w:t>MARKEDSFØRINGSTILLADELSESNUMMER (</w:t>
      </w:r>
      <w:r w:rsidR="000039DD">
        <w:rPr>
          <w:b/>
          <w:sz w:val="24"/>
          <w:szCs w:val="24"/>
        </w:rPr>
        <w:t>-</w:t>
      </w:r>
      <w:r w:rsidRPr="00B808B2">
        <w:rPr>
          <w:b/>
          <w:sz w:val="24"/>
          <w:szCs w:val="24"/>
        </w:rPr>
        <w:t>NUMRE)</w:t>
      </w:r>
    </w:p>
    <w:p w:rsidR="00037C49" w:rsidRPr="00B808B2" w:rsidRDefault="00037C49" w:rsidP="00037C49">
      <w:pPr>
        <w:tabs>
          <w:tab w:val="left" w:pos="851"/>
        </w:tabs>
        <w:ind w:left="851" w:hanging="851"/>
        <w:rPr>
          <w:sz w:val="24"/>
          <w:szCs w:val="24"/>
        </w:rPr>
      </w:pPr>
      <w:r w:rsidRPr="00B808B2">
        <w:rPr>
          <w:sz w:val="24"/>
          <w:szCs w:val="24"/>
        </w:rPr>
        <w:tab/>
        <w:t>10 mg: 53798</w:t>
      </w:r>
    </w:p>
    <w:p w:rsidR="00037C49" w:rsidRPr="00B808B2" w:rsidRDefault="00037C49" w:rsidP="00037C49">
      <w:pPr>
        <w:tabs>
          <w:tab w:val="left" w:pos="851"/>
        </w:tabs>
        <w:ind w:left="851" w:hanging="851"/>
        <w:rPr>
          <w:sz w:val="24"/>
          <w:szCs w:val="24"/>
        </w:rPr>
      </w:pPr>
      <w:r w:rsidRPr="00B808B2">
        <w:rPr>
          <w:sz w:val="24"/>
          <w:szCs w:val="24"/>
        </w:rPr>
        <w:tab/>
        <w:t>20 mg: 53799</w:t>
      </w:r>
    </w:p>
    <w:p w:rsidR="00037C49" w:rsidRPr="00B808B2" w:rsidRDefault="00037C49" w:rsidP="00037C49">
      <w:pPr>
        <w:tabs>
          <w:tab w:val="left" w:pos="851"/>
        </w:tabs>
        <w:ind w:left="851" w:hanging="851"/>
        <w:rPr>
          <w:sz w:val="24"/>
          <w:szCs w:val="24"/>
        </w:rPr>
      </w:pPr>
      <w:r w:rsidRPr="00B808B2">
        <w:rPr>
          <w:sz w:val="24"/>
          <w:szCs w:val="24"/>
        </w:rPr>
        <w:tab/>
        <w:t>40 mg: 53800</w:t>
      </w:r>
    </w:p>
    <w:p w:rsidR="00037C49" w:rsidRPr="00B808B2" w:rsidRDefault="00037C49" w:rsidP="00037C49">
      <w:pPr>
        <w:tabs>
          <w:tab w:val="left" w:pos="851"/>
        </w:tabs>
        <w:ind w:left="851" w:hanging="851"/>
        <w:jc w:val="both"/>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9.</w:t>
      </w:r>
      <w:r w:rsidRPr="00B808B2">
        <w:rPr>
          <w:b/>
          <w:sz w:val="24"/>
          <w:szCs w:val="24"/>
        </w:rPr>
        <w:tab/>
        <w:t>DATO FOR FØRSTE MARKEDSFØRINGSTILLADELSE</w:t>
      </w:r>
    </w:p>
    <w:p w:rsidR="00037C49" w:rsidRPr="00B808B2" w:rsidRDefault="00037C49" w:rsidP="00037C49">
      <w:pPr>
        <w:tabs>
          <w:tab w:val="left" w:pos="851"/>
        </w:tabs>
        <w:ind w:left="851" w:hanging="851"/>
        <w:rPr>
          <w:sz w:val="24"/>
          <w:szCs w:val="24"/>
        </w:rPr>
      </w:pPr>
      <w:r w:rsidRPr="00B808B2">
        <w:rPr>
          <w:sz w:val="24"/>
          <w:szCs w:val="24"/>
        </w:rPr>
        <w:tab/>
        <w:t>25. september 2015</w:t>
      </w:r>
    </w:p>
    <w:p w:rsidR="00037C49" w:rsidRPr="00B808B2" w:rsidRDefault="00037C49" w:rsidP="00037C49">
      <w:pPr>
        <w:tabs>
          <w:tab w:val="left" w:pos="851"/>
        </w:tabs>
        <w:ind w:left="851" w:hanging="851"/>
        <w:rPr>
          <w:sz w:val="24"/>
          <w:szCs w:val="24"/>
        </w:rPr>
      </w:pPr>
    </w:p>
    <w:p w:rsidR="00037C49" w:rsidRPr="00B808B2" w:rsidRDefault="00037C49" w:rsidP="00037C49">
      <w:pPr>
        <w:tabs>
          <w:tab w:val="left" w:pos="851"/>
        </w:tabs>
        <w:ind w:left="851" w:hanging="851"/>
        <w:rPr>
          <w:b/>
          <w:sz w:val="24"/>
          <w:szCs w:val="24"/>
        </w:rPr>
      </w:pPr>
      <w:r w:rsidRPr="00B808B2">
        <w:rPr>
          <w:b/>
          <w:sz w:val="24"/>
          <w:szCs w:val="24"/>
        </w:rPr>
        <w:t>10.</w:t>
      </w:r>
      <w:r w:rsidRPr="00B808B2">
        <w:rPr>
          <w:b/>
          <w:sz w:val="24"/>
          <w:szCs w:val="24"/>
        </w:rPr>
        <w:tab/>
        <w:t>DATO FOR ÆNDRING AF TEKSTEN</w:t>
      </w:r>
    </w:p>
    <w:p w:rsidR="009260DE" w:rsidRPr="00037C49" w:rsidRDefault="00037C49" w:rsidP="00E14105">
      <w:pPr>
        <w:tabs>
          <w:tab w:val="left" w:pos="851"/>
        </w:tabs>
        <w:ind w:left="851" w:hanging="851"/>
      </w:pPr>
      <w:r w:rsidRPr="00B808B2">
        <w:rPr>
          <w:sz w:val="24"/>
          <w:szCs w:val="24"/>
        </w:rPr>
        <w:tab/>
      </w:r>
      <w:r w:rsidR="000039DD">
        <w:rPr>
          <w:sz w:val="24"/>
          <w:szCs w:val="24"/>
        </w:rPr>
        <w:t>17. november 2023</w:t>
      </w:r>
    </w:p>
    <w:sectPr w:rsidR="009260DE" w:rsidRPr="00037C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23CD" w:rsidRDefault="00D123CD">
      <w:r>
        <w:separator/>
      </w:r>
    </w:p>
  </w:endnote>
  <w:endnote w:type="continuationSeparator" w:id="0">
    <w:p w:rsidR="00D123CD" w:rsidRDefault="00D12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3CD" w:rsidRDefault="00D123CD">
    <w:pPr>
      <w:pStyle w:val="Sidefod"/>
      <w:pBdr>
        <w:bottom w:val="single" w:sz="6" w:space="1" w:color="auto"/>
      </w:pBdr>
    </w:pPr>
  </w:p>
  <w:p w:rsidR="00D123CD" w:rsidRDefault="00D123CD" w:rsidP="00C42586">
    <w:pPr>
      <w:pStyle w:val="Sidefod"/>
      <w:tabs>
        <w:tab w:val="clear" w:pos="4819"/>
        <w:tab w:val="left" w:pos="8505"/>
      </w:tabs>
      <w:rPr>
        <w:i/>
        <w:sz w:val="18"/>
        <w:szCs w:val="18"/>
      </w:rPr>
    </w:pPr>
  </w:p>
  <w:p w:rsidR="00D123CD" w:rsidRPr="00B373D7" w:rsidRDefault="00D123C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E5510">
      <w:rPr>
        <w:i/>
        <w:noProof/>
        <w:sz w:val="18"/>
        <w:szCs w:val="18"/>
      </w:rPr>
      <w:t>Omeprazol Amarox, hårde enterokapsler 10 mg, over 28 stk., 20 mg, over 14 stk., og 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23CD" w:rsidRDefault="00D123CD">
      <w:r>
        <w:separator/>
      </w:r>
    </w:p>
  </w:footnote>
  <w:footnote w:type="continuationSeparator" w:id="0">
    <w:p w:rsidR="00D123CD" w:rsidRDefault="00D123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BFB0414"/>
    <w:multiLevelType w:val="hybridMultilevel"/>
    <w:tmpl w:val="25BC2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49"/>
    <w:rsid w:val="000039DD"/>
    <w:rsid w:val="000259B9"/>
    <w:rsid w:val="00037C49"/>
    <w:rsid w:val="00041491"/>
    <w:rsid w:val="00050D16"/>
    <w:rsid w:val="00074F2A"/>
    <w:rsid w:val="000A1CA8"/>
    <w:rsid w:val="000A466B"/>
    <w:rsid w:val="000B058C"/>
    <w:rsid w:val="000E4EE6"/>
    <w:rsid w:val="000E5510"/>
    <w:rsid w:val="001454E2"/>
    <w:rsid w:val="00194D61"/>
    <w:rsid w:val="00206CE8"/>
    <w:rsid w:val="0021526C"/>
    <w:rsid w:val="002746B4"/>
    <w:rsid w:val="00283A2B"/>
    <w:rsid w:val="002B30AD"/>
    <w:rsid w:val="002C2C01"/>
    <w:rsid w:val="00377AAB"/>
    <w:rsid w:val="003A29AE"/>
    <w:rsid w:val="003A32D7"/>
    <w:rsid w:val="003A7982"/>
    <w:rsid w:val="003B4074"/>
    <w:rsid w:val="003C769A"/>
    <w:rsid w:val="003D65D5"/>
    <w:rsid w:val="003F1838"/>
    <w:rsid w:val="00447D63"/>
    <w:rsid w:val="0045746C"/>
    <w:rsid w:val="0049104B"/>
    <w:rsid w:val="004E3B12"/>
    <w:rsid w:val="0052561D"/>
    <w:rsid w:val="00532310"/>
    <w:rsid w:val="00560ECC"/>
    <w:rsid w:val="00565F0F"/>
    <w:rsid w:val="00594A86"/>
    <w:rsid w:val="00596D86"/>
    <w:rsid w:val="00637F5A"/>
    <w:rsid w:val="00651580"/>
    <w:rsid w:val="006560B1"/>
    <w:rsid w:val="006756DD"/>
    <w:rsid w:val="006F75F3"/>
    <w:rsid w:val="00737275"/>
    <w:rsid w:val="00740EEC"/>
    <w:rsid w:val="0078011A"/>
    <w:rsid w:val="00782AF4"/>
    <w:rsid w:val="00790EE7"/>
    <w:rsid w:val="007B6649"/>
    <w:rsid w:val="0081546F"/>
    <w:rsid w:val="0082576E"/>
    <w:rsid w:val="0089294C"/>
    <w:rsid w:val="008B02D4"/>
    <w:rsid w:val="00907F75"/>
    <w:rsid w:val="009260DE"/>
    <w:rsid w:val="0093258A"/>
    <w:rsid w:val="009C7BA3"/>
    <w:rsid w:val="009D1F5A"/>
    <w:rsid w:val="00A07D58"/>
    <w:rsid w:val="00B003BF"/>
    <w:rsid w:val="00B373D7"/>
    <w:rsid w:val="00C36276"/>
    <w:rsid w:val="00C42586"/>
    <w:rsid w:val="00C60CCD"/>
    <w:rsid w:val="00C84483"/>
    <w:rsid w:val="00C95551"/>
    <w:rsid w:val="00CB032C"/>
    <w:rsid w:val="00CB20D7"/>
    <w:rsid w:val="00D020B0"/>
    <w:rsid w:val="00D11748"/>
    <w:rsid w:val="00D123CD"/>
    <w:rsid w:val="00D366CF"/>
    <w:rsid w:val="00D72BC6"/>
    <w:rsid w:val="00E108AA"/>
    <w:rsid w:val="00E14105"/>
    <w:rsid w:val="00E31812"/>
    <w:rsid w:val="00E3749A"/>
    <w:rsid w:val="00E7437F"/>
    <w:rsid w:val="00E865B8"/>
    <w:rsid w:val="00EB28BD"/>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A27D"/>
  <w15:chartTrackingRefBased/>
  <w15:docId w15:val="{37C36F31-BD2A-4CE7-AF85-5DF62675B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9D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37C49"/>
    <w:pPr>
      <w:spacing w:after="200" w:line="276" w:lineRule="auto"/>
      <w:ind w:left="720"/>
      <w:contextualSpacing/>
    </w:pPr>
    <w:rPr>
      <w:rFonts w:ascii="Calibri" w:eastAsia="Calibri" w:hAnsi="Calibri"/>
      <w:sz w:val="22"/>
      <w:szCs w:val="22"/>
      <w:lang w:val="en-GB"/>
    </w:rPr>
  </w:style>
  <w:style w:type="character" w:styleId="Hyperlink">
    <w:name w:val="Hyperlink"/>
    <w:uiPriority w:val="99"/>
    <w:unhideWhenUsed/>
    <w:rsid w:val="00037C49"/>
    <w:rPr>
      <w:color w:val="399B83"/>
      <w:u w:val="single"/>
    </w:rPr>
  </w:style>
  <w:style w:type="character" w:customStyle="1" w:styleId="apple-converted-space">
    <w:name w:val="apple-converted-space"/>
    <w:basedOn w:val="Standardskrifttypeiafsnit"/>
    <w:rsid w:val="0003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4892</Words>
  <Characters>31469</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2023043197 _x000d_
SPC pkt. 4.4, 4.8</dc:description>
  <cp:lastModifiedBy>Iman El Kadiri</cp:lastModifiedBy>
  <cp:revision>3</cp:revision>
  <cp:lastPrinted>2012-08-22T08:53:00Z</cp:lastPrinted>
  <dcterms:created xsi:type="dcterms:W3CDTF">2023-11-14T12:59:00Z</dcterms:created>
  <dcterms:modified xsi:type="dcterms:W3CDTF">2023-11-14T13:07:00Z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