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DDD" w:rsidRDefault="00821DDD" w:rsidP="00821DDD">
      <w:bookmarkStart w:id="0" w:name="_GoBack"/>
      <w:bookmarkEnd w:id="0"/>
      <w:r>
        <w:rPr>
          <w:noProof/>
          <w:lang w:eastAsia="da-DK"/>
        </w:rPr>
        <w:drawing>
          <wp:inline distT="0" distB="0" distL="0" distR="0" wp14:anchorId="5F270167" wp14:editId="766DA821">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6A0E37" w:rsidRDefault="006A0E37" w:rsidP="00821DDD"/>
    <w:p w:rsidR="00821DDD" w:rsidRPr="0093258A" w:rsidRDefault="00D527C6" w:rsidP="00821DDD">
      <w:pPr>
        <w:pStyle w:val="Titel"/>
        <w:tabs>
          <w:tab w:val="right" w:pos="9356"/>
        </w:tabs>
        <w:jc w:val="right"/>
        <w:rPr>
          <w:szCs w:val="24"/>
        </w:rPr>
      </w:pPr>
      <w:r>
        <w:rPr>
          <w:szCs w:val="24"/>
        </w:rPr>
        <w:t>18</w:t>
      </w:r>
      <w:r w:rsidR="00754C35">
        <w:rPr>
          <w:szCs w:val="24"/>
        </w:rPr>
        <w:t xml:space="preserve">. </w:t>
      </w:r>
      <w:r>
        <w:rPr>
          <w:szCs w:val="24"/>
        </w:rPr>
        <w:t>april</w:t>
      </w:r>
      <w:r w:rsidR="00754C35">
        <w:rPr>
          <w:szCs w:val="24"/>
        </w:rPr>
        <w:t xml:space="preserve"> 202</w:t>
      </w:r>
      <w:r>
        <w:rPr>
          <w:szCs w:val="24"/>
        </w:rPr>
        <w:t>4</w:t>
      </w:r>
    </w:p>
    <w:p w:rsidR="00821DDD" w:rsidRDefault="00821DDD" w:rsidP="00821DDD">
      <w:pPr>
        <w:pStyle w:val="Titel"/>
        <w:jc w:val="left"/>
        <w:rPr>
          <w:b w:val="0"/>
        </w:rPr>
      </w:pPr>
    </w:p>
    <w:p w:rsidR="00821DDD" w:rsidRPr="00EC0B9B" w:rsidRDefault="00821DDD" w:rsidP="00821DDD">
      <w:pPr>
        <w:jc w:val="center"/>
        <w:rPr>
          <w:b/>
          <w:sz w:val="24"/>
          <w:szCs w:val="24"/>
        </w:rPr>
      </w:pPr>
      <w:r w:rsidRPr="00EC0B9B">
        <w:rPr>
          <w:b/>
          <w:sz w:val="24"/>
          <w:szCs w:val="24"/>
        </w:rPr>
        <w:t>PRODUKTRESUMÉ</w:t>
      </w:r>
    </w:p>
    <w:p w:rsidR="00821DDD" w:rsidRPr="00EC0B9B" w:rsidRDefault="00821DDD" w:rsidP="00821DDD">
      <w:pPr>
        <w:jc w:val="center"/>
        <w:rPr>
          <w:b/>
          <w:sz w:val="24"/>
          <w:szCs w:val="24"/>
        </w:rPr>
      </w:pPr>
    </w:p>
    <w:p w:rsidR="00821DDD" w:rsidRPr="00EC0B9B" w:rsidRDefault="00821DDD" w:rsidP="00821DDD">
      <w:pPr>
        <w:jc w:val="center"/>
        <w:rPr>
          <w:b/>
          <w:sz w:val="24"/>
          <w:szCs w:val="24"/>
        </w:rPr>
      </w:pPr>
      <w:r w:rsidRPr="00EC0B9B">
        <w:rPr>
          <w:b/>
          <w:sz w:val="24"/>
          <w:szCs w:val="24"/>
        </w:rPr>
        <w:t>for</w:t>
      </w:r>
    </w:p>
    <w:p w:rsidR="00821DDD" w:rsidRPr="00EC0B9B" w:rsidRDefault="00821DDD" w:rsidP="00821DDD">
      <w:pPr>
        <w:jc w:val="center"/>
        <w:rPr>
          <w:b/>
          <w:sz w:val="24"/>
          <w:szCs w:val="24"/>
        </w:rPr>
      </w:pPr>
    </w:p>
    <w:p w:rsidR="00821DDD" w:rsidRDefault="00821DDD" w:rsidP="00821DDD">
      <w:pPr>
        <w:jc w:val="center"/>
        <w:rPr>
          <w:b/>
          <w:sz w:val="24"/>
          <w:szCs w:val="24"/>
        </w:rPr>
      </w:pPr>
      <w:proofErr w:type="spellStart"/>
      <w:r>
        <w:rPr>
          <w:b/>
          <w:sz w:val="24"/>
          <w:szCs w:val="24"/>
        </w:rPr>
        <w:t>Omeprazol</w:t>
      </w:r>
      <w:proofErr w:type="spellEnd"/>
      <w:r>
        <w:rPr>
          <w:b/>
          <w:sz w:val="24"/>
          <w:szCs w:val="24"/>
        </w:rPr>
        <w:t xml:space="preserve"> ”Sandoz”, hårde </w:t>
      </w:r>
      <w:proofErr w:type="spellStart"/>
      <w:r>
        <w:rPr>
          <w:b/>
          <w:sz w:val="24"/>
          <w:szCs w:val="24"/>
        </w:rPr>
        <w:t>enterokapsler</w:t>
      </w:r>
      <w:proofErr w:type="spellEnd"/>
      <w:r>
        <w:rPr>
          <w:b/>
          <w:sz w:val="24"/>
          <w:szCs w:val="24"/>
        </w:rPr>
        <w:t xml:space="preserve"> </w:t>
      </w:r>
    </w:p>
    <w:p w:rsidR="00821DDD" w:rsidRPr="0049104B" w:rsidRDefault="00821DDD" w:rsidP="00821DDD">
      <w:pPr>
        <w:jc w:val="center"/>
        <w:rPr>
          <w:b/>
          <w:sz w:val="24"/>
          <w:szCs w:val="24"/>
        </w:rPr>
      </w:pPr>
      <w:r>
        <w:rPr>
          <w:b/>
          <w:sz w:val="24"/>
          <w:szCs w:val="24"/>
        </w:rPr>
        <w:t>20 mg, pakningsstørrelser ≤ 14 stk.</w:t>
      </w:r>
    </w:p>
    <w:p w:rsidR="00821DDD" w:rsidRPr="00EC0B9B" w:rsidRDefault="00821DDD" w:rsidP="00821DDD">
      <w:pPr>
        <w:jc w:val="both"/>
        <w:rPr>
          <w:sz w:val="24"/>
          <w:szCs w:val="24"/>
        </w:rPr>
      </w:pPr>
    </w:p>
    <w:p w:rsidR="00821DDD" w:rsidRPr="00774AEF" w:rsidRDefault="00821DDD" w:rsidP="00821DDD">
      <w:pPr>
        <w:ind w:left="851" w:hanging="851"/>
        <w:jc w:val="both"/>
        <w:rPr>
          <w:sz w:val="24"/>
          <w:szCs w:val="24"/>
        </w:rPr>
      </w:pPr>
    </w:p>
    <w:p w:rsidR="00821DDD" w:rsidRPr="00774AEF" w:rsidRDefault="00821DDD" w:rsidP="00821DDD">
      <w:pPr>
        <w:numPr>
          <w:ilvl w:val="0"/>
          <w:numId w:val="1"/>
        </w:numPr>
        <w:tabs>
          <w:tab w:val="clear" w:pos="855"/>
        </w:tabs>
        <w:ind w:left="851" w:hanging="851"/>
        <w:rPr>
          <w:b/>
          <w:sz w:val="24"/>
          <w:szCs w:val="24"/>
        </w:rPr>
      </w:pPr>
      <w:r w:rsidRPr="00774AEF">
        <w:rPr>
          <w:b/>
          <w:sz w:val="24"/>
          <w:szCs w:val="24"/>
        </w:rPr>
        <w:t>D.SP.NR.</w:t>
      </w:r>
    </w:p>
    <w:p w:rsidR="00821DDD" w:rsidRPr="00774AEF" w:rsidRDefault="00821DDD" w:rsidP="00821DDD">
      <w:pPr>
        <w:ind w:left="851" w:hanging="851"/>
        <w:rPr>
          <w:sz w:val="24"/>
          <w:szCs w:val="24"/>
        </w:rPr>
      </w:pPr>
      <w:r w:rsidRPr="00774AEF">
        <w:rPr>
          <w:sz w:val="24"/>
          <w:szCs w:val="24"/>
        </w:rPr>
        <w:tab/>
      </w:r>
      <w:r>
        <w:rPr>
          <w:sz w:val="24"/>
          <w:szCs w:val="24"/>
        </w:rPr>
        <w:t>26787</w:t>
      </w:r>
    </w:p>
    <w:p w:rsidR="00821DDD" w:rsidRPr="00774AEF" w:rsidRDefault="00821DDD" w:rsidP="00821DDD">
      <w:pPr>
        <w:ind w:left="851" w:hanging="851"/>
        <w:rPr>
          <w:sz w:val="24"/>
          <w:szCs w:val="24"/>
        </w:rPr>
      </w:pPr>
    </w:p>
    <w:p w:rsidR="00821DDD" w:rsidRPr="00774AEF" w:rsidRDefault="00821DDD" w:rsidP="00821DDD">
      <w:pPr>
        <w:numPr>
          <w:ilvl w:val="0"/>
          <w:numId w:val="1"/>
        </w:numPr>
        <w:tabs>
          <w:tab w:val="clear" w:pos="855"/>
        </w:tabs>
        <w:ind w:left="851" w:hanging="851"/>
        <w:rPr>
          <w:b/>
          <w:sz w:val="24"/>
          <w:szCs w:val="24"/>
        </w:rPr>
      </w:pPr>
      <w:r w:rsidRPr="00774AEF">
        <w:rPr>
          <w:b/>
          <w:sz w:val="24"/>
          <w:szCs w:val="24"/>
        </w:rPr>
        <w:t>LÆGEMIDLETS NAVN</w:t>
      </w:r>
    </w:p>
    <w:p w:rsidR="00821DDD" w:rsidRPr="00774AEF" w:rsidRDefault="00821DDD" w:rsidP="00821DDD">
      <w:pPr>
        <w:ind w:left="851" w:hanging="851"/>
        <w:rPr>
          <w:sz w:val="24"/>
          <w:szCs w:val="24"/>
        </w:rPr>
      </w:pPr>
      <w:r w:rsidRPr="00774AEF">
        <w:rPr>
          <w:sz w:val="24"/>
          <w:szCs w:val="24"/>
        </w:rPr>
        <w:tab/>
      </w:r>
      <w:proofErr w:type="spellStart"/>
      <w:r>
        <w:rPr>
          <w:sz w:val="24"/>
          <w:szCs w:val="24"/>
        </w:rPr>
        <w:t>Omeprazol</w:t>
      </w:r>
      <w:proofErr w:type="spellEnd"/>
      <w:r>
        <w:rPr>
          <w:sz w:val="24"/>
          <w:szCs w:val="24"/>
        </w:rPr>
        <w:t xml:space="preserve"> ”Sandoz”</w:t>
      </w:r>
    </w:p>
    <w:p w:rsidR="00821DDD" w:rsidRPr="00774AEF" w:rsidRDefault="00821DDD" w:rsidP="00821DDD">
      <w:pPr>
        <w:ind w:left="851" w:hanging="851"/>
        <w:rPr>
          <w:sz w:val="24"/>
          <w:szCs w:val="24"/>
        </w:rPr>
      </w:pPr>
      <w:r w:rsidRPr="00774AEF">
        <w:rPr>
          <w:sz w:val="24"/>
          <w:szCs w:val="24"/>
        </w:rPr>
        <w:tab/>
      </w:r>
    </w:p>
    <w:p w:rsidR="00821DDD" w:rsidRPr="00774AEF" w:rsidRDefault="00821DDD" w:rsidP="00821DDD">
      <w:pPr>
        <w:numPr>
          <w:ilvl w:val="0"/>
          <w:numId w:val="1"/>
        </w:numPr>
        <w:tabs>
          <w:tab w:val="clear" w:pos="855"/>
        </w:tabs>
        <w:ind w:left="851" w:hanging="851"/>
        <w:rPr>
          <w:b/>
          <w:sz w:val="24"/>
          <w:szCs w:val="24"/>
        </w:rPr>
      </w:pPr>
      <w:r w:rsidRPr="00774AEF">
        <w:rPr>
          <w:b/>
          <w:sz w:val="24"/>
          <w:szCs w:val="24"/>
        </w:rPr>
        <w:t>KVALITATIV OG KVANTITATIV SAMMENSÆTNING</w:t>
      </w:r>
    </w:p>
    <w:p w:rsidR="00821DDD" w:rsidRPr="00774AEF" w:rsidRDefault="00821DDD" w:rsidP="00821DDD">
      <w:pPr>
        <w:ind w:left="851" w:hanging="851"/>
        <w:rPr>
          <w:sz w:val="24"/>
          <w:szCs w:val="24"/>
        </w:rPr>
      </w:pPr>
      <w:r w:rsidRPr="00774AEF">
        <w:rPr>
          <w:sz w:val="24"/>
          <w:szCs w:val="24"/>
        </w:rPr>
        <w:tab/>
      </w:r>
      <w:r>
        <w:rPr>
          <w:sz w:val="24"/>
          <w:szCs w:val="24"/>
        </w:rPr>
        <w:t>En kapsel indeholder 2</w:t>
      </w:r>
      <w:r w:rsidRPr="00774AEF">
        <w:rPr>
          <w:sz w:val="24"/>
          <w:szCs w:val="24"/>
        </w:rPr>
        <w:t xml:space="preserve">0 mg </w:t>
      </w:r>
      <w:proofErr w:type="spellStart"/>
      <w:r w:rsidRPr="00774AEF">
        <w:rPr>
          <w:sz w:val="24"/>
          <w:szCs w:val="24"/>
        </w:rPr>
        <w:t>omeprazol</w:t>
      </w:r>
      <w:proofErr w:type="spellEnd"/>
      <w:r w:rsidRPr="00774AEF">
        <w:rPr>
          <w:sz w:val="24"/>
          <w:szCs w:val="24"/>
        </w:rPr>
        <w:t>.</w:t>
      </w:r>
    </w:p>
    <w:p w:rsidR="00821DDD" w:rsidRPr="00774AEF" w:rsidRDefault="00821DDD" w:rsidP="00821DDD">
      <w:pPr>
        <w:ind w:left="851" w:hanging="851"/>
        <w:rPr>
          <w:sz w:val="24"/>
          <w:szCs w:val="24"/>
        </w:rPr>
      </w:pPr>
    </w:p>
    <w:p w:rsidR="00821DDD" w:rsidRPr="00EA0D4B" w:rsidRDefault="00821DDD" w:rsidP="00821DDD">
      <w:pPr>
        <w:ind w:left="851"/>
        <w:rPr>
          <w:sz w:val="24"/>
          <w:szCs w:val="24"/>
          <w:u w:val="single"/>
        </w:rPr>
      </w:pPr>
      <w:r w:rsidRPr="00EA0D4B">
        <w:rPr>
          <w:sz w:val="24"/>
          <w:szCs w:val="24"/>
          <w:u w:val="single"/>
        </w:rPr>
        <w:t>Hjælpestof, som behandleren skal være opmærksom på:</w:t>
      </w:r>
    </w:p>
    <w:p w:rsidR="00821DDD" w:rsidRPr="00774AEF" w:rsidRDefault="00821DDD" w:rsidP="00821DDD">
      <w:pPr>
        <w:widowControl w:val="0"/>
        <w:numPr>
          <w:ilvl w:val="0"/>
          <w:numId w:val="6"/>
        </w:numPr>
        <w:snapToGrid w:val="0"/>
        <w:ind w:left="1276" w:hanging="425"/>
        <w:rPr>
          <w:sz w:val="24"/>
          <w:szCs w:val="24"/>
        </w:rPr>
      </w:pPr>
      <w:r>
        <w:rPr>
          <w:sz w:val="24"/>
          <w:szCs w:val="24"/>
        </w:rPr>
        <w:t xml:space="preserve">Hver </w:t>
      </w:r>
      <w:proofErr w:type="spellStart"/>
      <w:r>
        <w:rPr>
          <w:sz w:val="24"/>
          <w:szCs w:val="24"/>
        </w:rPr>
        <w:t>omeprazol</w:t>
      </w:r>
      <w:proofErr w:type="spellEnd"/>
      <w:r>
        <w:rPr>
          <w:sz w:val="24"/>
          <w:szCs w:val="24"/>
        </w:rPr>
        <w:t xml:space="preserve"> kapsel indeholder 102</w:t>
      </w:r>
      <w:r w:rsidRPr="00774AEF">
        <w:rPr>
          <w:sz w:val="24"/>
          <w:szCs w:val="24"/>
        </w:rPr>
        <w:t xml:space="preserve"> til </w:t>
      </w:r>
      <w:r>
        <w:rPr>
          <w:sz w:val="24"/>
          <w:szCs w:val="24"/>
        </w:rPr>
        <w:t>116</w:t>
      </w:r>
      <w:r w:rsidRPr="00774AEF">
        <w:rPr>
          <w:sz w:val="24"/>
          <w:szCs w:val="24"/>
        </w:rPr>
        <w:t xml:space="preserve"> mg </w:t>
      </w:r>
      <w:proofErr w:type="spellStart"/>
      <w:r w:rsidRPr="00774AEF">
        <w:rPr>
          <w:sz w:val="24"/>
          <w:szCs w:val="24"/>
        </w:rPr>
        <w:t>saccharose</w:t>
      </w:r>
      <w:proofErr w:type="spellEnd"/>
    </w:p>
    <w:p w:rsidR="00821DDD" w:rsidRPr="00774AEF" w:rsidRDefault="00821DDD" w:rsidP="00821DDD">
      <w:pPr>
        <w:ind w:left="851" w:hanging="851"/>
        <w:rPr>
          <w:sz w:val="24"/>
          <w:szCs w:val="24"/>
        </w:rPr>
      </w:pPr>
    </w:p>
    <w:p w:rsidR="00821DDD" w:rsidRPr="00774AEF" w:rsidRDefault="00821DDD" w:rsidP="00821DDD">
      <w:pPr>
        <w:ind w:left="851"/>
        <w:rPr>
          <w:sz w:val="24"/>
          <w:szCs w:val="24"/>
        </w:rPr>
      </w:pPr>
      <w:r w:rsidRPr="00774AEF">
        <w:rPr>
          <w:sz w:val="24"/>
          <w:szCs w:val="24"/>
        </w:rPr>
        <w:t>Alle hjælpestoffer er anført under pkt. 6.1.</w:t>
      </w:r>
    </w:p>
    <w:p w:rsidR="00821DDD" w:rsidRPr="00774AEF" w:rsidRDefault="00821DDD" w:rsidP="00821DDD">
      <w:pPr>
        <w:ind w:left="851" w:hanging="851"/>
        <w:rPr>
          <w:sz w:val="24"/>
          <w:szCs w:val="24"/>
        </w:rPr>
      </w:pPr>
    </w:p>
    <w:p w:rsidR="00821DDD" w:rsidRPr="00774AEF" w:rsidRDefault="00821DDD" w:rsidP="00821DDD">
      <w:pPr>
        <w:numPr>
          <w:ilvl w:val="0"/>
          <w:numId w:val="1"/>
        </w:numPr>
        <w:tabs>
          <w:tab w:val="clear" w:pos="855"/>
        </w:tabs>
        <w:ind w:left="851" w:hanging="851"/>
        <w:rPr>
          <w:b/>
          <w:sz w:val="24"/>
          <w:szCs w:val="24"/>
        </w:rPr>
      </w:pPr>
      <w:r w:rsidRPr="00774AEF">
        <w:rPr>
          <w:b/>
          <w:sz w:val="24"/>
          <w:szCs w:val="24"/>
        </w:rPr>
        <w:t>LÆGEMIDDELFORM</w:t>
      </w:r>
    </w:p>
    <w:p w:rsidR="00821DDD" w:rsidRPr="00EA0D4B" w:rsidRDefault="00821DDD" w:rsidP="00821DDD">
      <w:pPr>
        <w:ind w:left="851"/>
        <w:rPr>
          <w:sz w:val="24"/>
          <w:szCs w:val="24"/>
        </w:rPr>
      </w:pPr>
      <w:r w:rsidRPr="00EA0D4B">
        <w:rPr>
          <w:sz w:val="24"/>
          <w:szCs w:val="24"/>
        </w:rPr>
        <w:t xml:space="preserve">Hårde </w:t>
      </w:r>
      <w:proofErr w:type="spellStart"/>
      <w:r w:rsidRPr="00EA0D4B">
        <w:rPr>
          <w:sz w:val="24"/>
          <w:szCs w:val="24"/>
        </w:rPr>
        <w:t>enterokapsler</w:t>
      </w:r>
      <w:proofErr w:type="spellEnd"/>
      <w:r w:rsidRPr="00EA0D4B">
        <w:rPr>
          <w:sz w:val="24"/>
          <w:szCs w:val="24"/>
        </w:rPr>
        <w:t>.</w:t>
      </w:r>
    </w:p>
    <w:p w:rsidR="00821DDD" w:rsidRPr="00EA0D4B" w:rsidRDefault="00821DDD" w:rsidP="00821DDD">
      <w:pPr>
        <w:ind w:left="851" w:hanging="851"/>
        <w:rPr>
          <w:sz w:val="24"/>
          <w:szCs w:val="24"/>
        </w:rPr>
      </w:pPr>
    </w:p>
    <w:p w:rsidR="00821DDD" w:rsidRPr="00774AEF" w:rsidRDefault="00821DDD" w:rsidP="00821DDD">
      <w:pPr>
        <w:ind w:left="851"/>
        <w:rPr>
          <w:sz w:val="24"/>
          <w:szCs w:val="24"/>
        </w:rPr>
      </w:pPr>
      <w:r>
        <w:rPr>
          <w:sz w:val="24"/>
          <w:szCs w:val="24"/>
        </w:rPr>
        <w:t>Ugennemsigtig gul størrelse nr. 2</w:t>
      </w:r>
      <w:r w:rsidRPr="00774AEF">
        <w:rPr>
          <w:sz w:val="24"/>
          <w:szCs w:val="24"/>
        </w:rPr>
        <w:t xml:space="preserve"> kapsel indeholdende grålighvide til cremehvide kugleformede mikrokorn.</w:t>
      </w:r>
    </w:p>
    <w:p w:rsidR="00821DDD" w:rsidRDefault="00821DDD" w:rsidP="00821DDD">
      <w:pPr>
        <w:ind w:left="851" w:hanging="851"/>
        <w:rPr>
          <w:sz w:val="24"/>
          <w:szCs w:val="24"/>
        </w:rPr>
      </w:pPr>
    </w:p>
    <w:p w:rsidR="00821DDD" w:rsidRPr="00774AEF" w:rsidRDefault="00821DDD" w:rsidP="00821DDD">
      <w:pPr>
        <w:ind w:left="851" w:hanging="851"/>
        <w:rPr>
          <w:sz w:val="24"/>
          <w:szCs w:val="24"/>
        </w:rPr>
      </w:pPr>
    </w:p>
    <w:p w:rsidR="00821DDD" w:rsidRPr="00774AEF" w:rsidRDefault="00821DDD" w:rsidP="00821DDD">
      <w:pPr>
        <w:numPr>
          <w:ilvl w:val="0"/>
          <w:numId w:val="1"/>
        </w:numPr>
        <w:tabs>
          <w:tab w:val="clear" w:pos="855"/>
        </w:tabs>
        <w:ind w:left="851" w:hanging="851"/>
        <w:rPr>
          <w:b/>
          <w:sz w:val="24"/>
          <w:szCs w:val="24"/>
        </w:rPr>
      </w:pPr>
      <w:r w:rsidRPr="00774AEF">
        <w:rPr>
          <w:b/>
          <w:sz w:val="24"/>
          <w:szCs w:val="24"/>
        </w:rPr>
        <w:t>KLINISKE OPLYSNINGER</w:t>
      </w:r>
    </w:p>
    <w:p w:rsidR="00821DDD" w:rsidRPr="00774AEF" w:rsidRDefault="00821DDD" w:rsidP="00821DDD">
      <w:pPr>
        <w:ind w:left="851" w:hanging="851"/>
        <w:rPr>
          <w:b/>
          <w:sz w:val="24"/>
          <w:szCs w:val="24"/>
        </w:rPr>
      </w:pPr>
    </w:p>
    <w:p w:rsidR="00821DDD" w:rsidRPr="00774AEF" w:rsidRDefault="00821DDD" w:rsidP="00821DDD">
      <w:pPr>
        <w:numPr>
          <w:ilvl w:val="1"/>
          <w:numId w:val="1"/>
        </w:numPr>
        <w:tabs>
          <w:tab w:val="clear" w:pos="855"/>
        </w:tabs>
        <w:ind w:left="851" w:hanging="851"/>
        <w:rPr>
          <w:b/>
          <w:sz w:val="24"/>
          <w:szCs w:val="24"/>
          <w:u w:val="single"/>
        </w:rPr>
      </w:pPr>
      <w:r w:rsidRPr="00774AEF">
        <w:rPr>
          <w:b/>
          <w:sz w:val="24"/>
          <w:szCs w:val="24"/>
        </w:rPr>
        <w:t>Terapeutiske indikationer</w:t>
      </w:r>
    </w:p>
    <w:p w:rsidR="00821DDD" w:rsidRPr="00774AEF" w:rsidRDefault="00821DDD" w:rsidP="00821DDD">
      <w:pPr>
        <w:pStyle w:val="Brdtekst"/>
        <w:widowControl/>
        <w:tabs>
          <w:tab w:val="clear" w:pos="-1440"/>
          <w:tab w:val="clear" w:pos="-720"/>
        </w:tabs>
        <w:ind w:left="855"/>
        <w:rPr>
          <w:rFonts w:ascii="Times New Roman" w:hAnsi="Times New Roman"/>
          <w:sz w:val="24"/>
          <w:szCs w:val="24"/>
          <w:lang w:val="da-DK"/>
        </w:rPr>
      </w:pPr>
      <w:proofErr w:type="spellStart"/>
      <w:r>
        <w:rPr>
          <w:rFonts w:ascii="Times New Roman" w:hAnsi="Times New Roman"/>
          <w:sz w:val="24"/>
          <w:szCs w:val="24"/>
          <w:lang w:val="da-DK"/>
        </w:rPr>
        <w:t>Omeprazol</w:t>
      </w:r>
      <w:proofErr w:type="spellEnd"/>
      <w:r>
        <w:rPr>
          <w:rFonts w:ascii="Times New Roman" w:hAnsi="Times New Roman"/>
          <w:sz w:val="24"/>
          <w:szCs w:val="24"/>
          <w:lang w:val="da-DK"/>
        </w:rPr>
        <w:t xml:space="preserve"> ”Sandoz” </w:t>
      </w:r>
      <w:proofErr w:type="spellStart"/>
      <w:r>
        <w:rPr>
          <w:rFonts w:ascii="Times New Roman" w:hAnsi="Times New Roman"/>
          <w:sz w:val="24"/>
          <w:szCs w:val="24"/>
          <w:lang w:val="da-DK"/>
        </w:rPr>
        <w:t>enterokapsler</w:t>
      </w:r>
      <w:proofErr w:type="spellEnd"/>
      <w:r>
        <w:rPr>
          <w:rFonts w:ascii="Times New Roman" w:hAnsi="Times New Roman"/>
          <w:sz w:val="24"/>
          <w:szCs w:val="24"/>
          <w:lang w:val="da-DK"/>
        </w:rPr>
        <w:t xml:space="preserve"> er indiceret til behandling af </w:t>
      </w:r>
      <w:proofErr w:type="spellStart"/>
      <w:r>
        <w:rPr>
          <w:rFonts w:ascii="Times New Roman" w:hAnsi="Times New Roman"/>
          <w:sz w:val="24"/>
          <w:szCs w:val="24"/>
          <w:lang w:val="da-DK"/>
        </w:rPr>
        <w:t>reflukssymptomer</w:t>
      </w:r>
      <w:proofErr w:type="spellEnd"/>
      <w:r>
        <w:rPr>
          <w:rFonts w:ascii="Times New Roman" w:hAnsi="Times New Roman"/>
          <w:sz w:val="24"/>
          <w:szCs w:val="24"/>
          <w:lang w:val="da-DK"/>
        </w:rPr>
        <w:t xml:space="preserve"> (f.eks. halsbrand og </w:t>
      </w:r>
      <w:proofErr w:type="spellStart"/>
      <w:r>
        <w:rPr>
          <w:rFonts w:ascii="Times New Roman" w:hAnsi="Times New Roman"/>
          <w:sz w:val="24"/>
          <w:szCs w:val="24"/>
          <w:lang w:val="da-DK"/>
        </w:rPr>
        <w:t>syreregurgitation</w:t>
      </w:r>
      <w:proofErr w:type="spellEnd"/>
      <w:r>
        <w:rPr>
          <w:rFonts w:ascii="Times New Roman" w:hAnsi="Times New Roman"/>
          <w:sz w:val="24"/>
          <w:szCs w:val="24"/>
          <w:lang w:val="da-DK"/>
        </w:rPr>
        <w:t>) hos voksne.</w:t>
      </w:r>
    </w:p>
    <w:p w:rsidR="00821DDD" w:rsidRPr="00774AEF" w:rsidRDefault="00821DDD" w:rsidP="00821DDD">
      <w:pPr>
        <w:ind w:left="851" w:hanging="851"/>
        <w:rPr>
          <w:sz w:val="24"/>
          <w:szCs w:val="24"/>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 xml:space="preserve">Dosering og </w:t>
      </w:r>
      <w:r w:rsidR="00754C35">
        <w:rPr>
          <w:b/>
          <w:sz w:val="24"/>
          <w:szCs w:val="24"/>
        </w:rPr>
        <w:t>administration</w:t>
      </w:r>
    </w:p>
    <w:p w:rsidR="00821DDD" w:rsidRPr="00674E63" w:rsidRDefault="00821DDD" w:rsidP="00821DDD">
      <w:pPr>
        <w:pStyle w:val="Default"/>
        <w:ind w:left="855"/>
        <w:rPr>
          <w:snapToGrid w:val="0"/>
          <w:color w:val="auto"/>
          <w:u w:val="single"/>
          <w:lang w:val="da-DK" w:eastAsia="nl-NL"/>
        </w:rPr>
      </w:pPr>
      <w:r w:rsidRPr="00674E63">
        <w:rPr>
          <w:snapToGrid w:val="0"/>
          <w:color w:val="auto"/>
          <w:u w:val="single"/>
          <w:lang w:val="da-DK" w:eastAsia="nl-NL"/>
        </w:rPr>
        <w:t>Dosering til voksne</w:t>
      </w:r>
    </w:p>
    <w:p w:rsidR="00821DDD" w:rsidRPr="00115F9E" w:rsidRDefault="00821DDD" w:rsidP="00821DDD">
      <w:pPr>
        <w:pStyle w:val="Listeafsnit"/>
        <w:ind w:left="855"/>
        <w:jc w:val="both"/>
        <w:rPr>
          <w:sz w:val="24"/>
          <w:szCs w:val="24"/>
        </w:rPr>
      </w:pPr>
      <w:r w:rsidRPr="00115F9E">
        <w:rPr>
          <w:sz w:val="24"/>
          <w:szCs w:val="24"/>
        </w:rPr>
        <w:t>Den anbefalede dosis er 20 mg en gang dagligt i 14 dage.</w:t>
      </w:r>
    </w:p>
    <w:p w:rsidR="00821DDD" w:rsidRPr="00115F9E" w:rsidRDefault="00821DDD" w:rsidP="000834E7">
      <w:pPr>
        <w:pStyle w:val="Listeafsnit"/>
        <w:ind w:left="855"/>
        <w:rPr>
          <w:sz w:val="24"/>
          <w:szCs w:val="24"/>
        </w:rPr>
      </w:pPr>
    </w:p>
    <w:p w:rsidR="00821DDD" w:rsidRPr="00115F9E" w:rsidRDefault="00821DDD" w:rsidP="000834E7">
      <w:pPr>
        <w:pStyle w:val="Listeafsnit"/>
        <w:ind w:left="855"/>
        <w:rPr>
          <w:sz w:val="24"/>
          <w:szCs w:val="24"/>
        </w:rPr>
      </w:pPr>
      <w:r w:rsidRPr="00115F9E">
        <w:rPr>
          <w:sz w:val="24"/>
          <w:szCs w:val="24"/>
        </w:rPr>
        <w:t>Det kan være nødvendigt at tage kapslerne i 2-3 på hinanden følgende dage for at opnå en bedring af symptomerne.</w:t>
      </w:r>
    </w:p>
    <w:p w:rsidR="00821DDD" w:rsidRPr="00115F9E" w:rsidRDefault="00821DDD" w:rsidP="000834E7">
      <w:pPr>
        <w:pStyle w:val="Listeafsnit"/>
        <w:ind w:left="855"/>
        <w:rPr>
          <w:sz w:val="24"/>
          <w:szCs w:val="24"/>
        </w:rPr>
      </w:pPr>
      <w:r w:rsidRPr="00115F9E">
        <w:rPr>
          <w:sz w:val="24"/>
          <w:szCs w:val="24"/>
        </w:rPr>
        <w:t>De fleste patienter fik fuldstændig lindring af halsbrand inden for 7 dage. Når der er fuldstændig lindring af symptomer, skal behandlingen seponeres.</w:t>
      </w:r>
    </w:p>
    <w:p w:rsidR="00821DDD" w:rsidRPr="00115F9E" w:rsidRDefault="00821DDD" w:rsidP="000834E7">
      <w:pPr>
        <w:pStyle w:val="Listeafsnit"/>
        <w:ind w:left="855"/>
        <w:rPr>
          <w:sz w:val="24"/>
          <w:szCs w:val="24"/>
        </w:rPr>
      </w:pPr>
    </w:p>
    <w:p w:rsidR="00821DDD" w:rsidRPr="00774AEF" w:rsidRDefault="00821DDD" w:rsidP="00821DDD">
      <w:pPr>
        <w:pStyle w:val="Default"/>
        <w:ind w:left="855"/>
        <w:rPr>
          <w:color w:val="auto"/>
          <w:u w:val="single"/>
          <w:lang w:val="da-DK"/>
        </w:rPr>
      </w:pPr>
      <w:r w:rsidRPr="00774AEF">
        <w:rPr>
          <w:color w:val="auto"/>
          <w:u w:val="single"/>
          <w:lang w:val="da-DK"/>
        </w:rPr>
        <w:lastRenderedPageBreak/>
        <w:t xml:space="preserve">Særlige </w:t>
      </w:r>
      <w:r>
        <w:rPr>
          <w:color w:val="auto"/>
          <w:u w:val="single"/>
          <w:lang w:val="da-DK"/>
        </w:rPr>
        <w:t>patientgrupper</w:t>
      </w:r>
      <w:r w:rsidRPr="00774AEF">
        <w:rPr>
          <w:color w:val="auto"/>
          <w:u w:val="single"/>
          <w:lang w:val="da-DK"/>
        </w:rPr>
        <w:t xml:space="preserve"> </w:t>
      </w:r>
    </w:p>
    <w:p w:rsidR="00821DDD" w:rsidRPr="00774AEF" w:rsidRDefault="00821DDD" w:rsidP="00821DDD">
      <w:pPr>
        <w:pStyle w:val="Default"/>
        <w:ind w:left="855"/>
        <w:rPr>
          <w:i/>
          <w:snapToGrid w:val="0"/>
          <w:color w:val="auto"/>
          <w:lang w:val="da-DK" w:eastAsia="nl-NL"/>
        </w:rPr>
      </w:pPr>
      <w:r w:rsidRPr="00774AEF">
        <w:rPr>
          <w:i/>
          <w:snapToGrid w:val="0"/>
          <w:color w:val="auto"/>
          <w:lang w:val="da-DK" w:eastAsia="nl-NL"/>
        </w:rPr>
        <w:t>Nedsat nyrefunktion</w:t>
      </w:r>
    </w:p>
    <w:p w:rsidR="00821DDD" w:rsidRPr="00774AEF" w:rsidRDefault="00821DDD" w:rsidP="00821DDD">
      <w:pPr>
        <w:pStyle w:val="Default"/>
        <w:ind w:left="855"/>
        <w:rPr>
          <w:lang w:val="da-DK"/>
        </w:rPr>
      </w:pPr>
      <w:r w:rsidRPr="00774AEF">
        <w:rPr>
          <w:lang w:val="da-DK"/>
        </w:rPr>
        <w:t xml:space="preserve">Dosisjustering er ikke nødvendig hos patienter med nedsat nyrefunktion (se pkt. 5.2). </w:t>
      </w:r>
    </w:p>
    <w:p w:rsidR="00821DDD" w:rsidRPr="00774AEF" w:rsidRDefault="00821DDD" w:rsidP="00821DDD">
      <w:pPr>
        <w:pStyle w:val="Default"/>
        <w:ind w:left="855"/>
        <w:rPr>
          <w:lang w:val="da-DK"/>
        </w:rPr>
      </w:pPr>
    </w:p>
    <w:p w:rsidR="00821DDD" w:rsidRDefault="00821DDD" w:rsidP="00821DDD">
      <w:pPr>
        <w:pStyle w:val="Default"/>
        <w:ind w:left="855"/>
        <w:rPr>
          <w:i/>
          <w:snapToGrid w:val="0"/>
          <w:color w:val="auto"/>
          <w:lang w:val="da-DK" w:eastAsia="nl-NL"/>
        </w:rPr>
      </w:pPr>
      <w:r>
        <w:rPr>
          <w:i/>
          <w:snapToGrid w:val="0"/>
          <w:color w:val="auto"/>
          <w:lang w:val="da-DK" w:eastAsia="nl-NL"/>
        </w:rPr>
        <w:t xml:space="preserve">Nedsat leverfunktion </w:t>
      </w:r>
    </w:p>
    <w:p w:rsidR="00821DDD" w:rsidRDefault="00821DDD" w:rsidP="00821DDD">
      <w:pPr>
        <w:pStyle w:val="Default"/>
        <w:ind w:left="855"/>
        <w:rPr>
          <w:lang w:val="da-DK"/>
        </w:rPr>
      </w:pPr>
      <w:r>
        <w:rPr>
          <w:lang w:val="da-DK"/>
        </w:rPr>
        <w:t xml:space="preserve">Patienter med nedsat leverfunktion skal rådgives af en læge, inden de tager </w:t>
      </w:r>
      <w:proofErr w:type="spellStart"/>
      <w:r>
        <w:rPr>
          <w:lang w:val="da-DK"/>
        </w:rPr>
        <w:t>Omeprazol</w:t>
      </w:r>
      <w:proofErr w:type="spellEnd"/>
      <w:r>
        <w:rPr>
          <w:lang w:val="da-DK"/>
        </w:rPr>
        <w:t xml:space="preserve"> ”Sandoz” (se pkt. 5.2). </w:t>
      </w:r>
    </w:p>
    <w:p w:rsidR="00821DDD" w:rsidRDefault="00821DDD" w:rsidP="00821DDD">
      <w:pPr>
        <w:pStyle w:val="Default"/>
        <w:ind w:left="855"/>
        <w:rPr>
          <w:lang w:val="da-DK"/>
        </w:rPr>
      </w:pPr>
    </w:p>
    <w:p w:rsidR="00821DDD" w:rsidRDefault="00821DDD" w:rsidP="00821DDD">
      <w:pPr>
        <w:pStyle w:val="Default"/>
        <w:ind w:left="855"/>
        <w:rPr>
          <w:i/>
          <w:snapToGrid w:val="0"/>
          <w:color w:val="auto"/>
          <w:lang w:val="da-DK" w:eastAsia="nl-NL"/>
        </w:rPr>
      </w:pPr>
      <w:r>
        <w:rPr>
          <w:i/>
          <w:snapToGrid w:val="0"/>
          <w:color w:val="auto"/>
          <w:lang w:val="da-DK" w:eastAsia="nl-NL"/>
        </w:rPr>
        <w:t xml:space="preserve">Ældre </w:t>
      </w:r>
    </w:p>
    <w:p w:rsidR="00821DDD" w:rsidRDefault="00821DDD" w:rsidP="00821DDD">
      <w:pPr>
        <w:pStyle w:val="Default"/>
        <w:ind w:left="855"/>
        <w:rPr>
          <w:lang w:val="da-DK"/>
        </w:rPr>
      </w:pPr>
      <w:r>
        <w:rPr>
          <w:lang w:val="da-DK"/>
        </w:rPr>
        <w:t xml:space="preserve">Dosisjustering er ikke nødvendig hos ældre (se pkt. 5.2). </w:t>
      </w:r>
    </w:p>
    <w:p w:rsidR="00821DDD" w:rsidRDefault="00821DDD" w:rsidP="00821DDD">
      <w:pPr>
        <w:pStyle w:val="Default"/>
        <w:ind w:left="855"/>
        <w:rPr>
          <w:color w:val="auto"/>
          <w:u w:val="single"/>
          <w:lang w:val="da-DK"/>
        </w:rPr>
      </w:pPr>
    </w:p>
    <w:p w:rsidR="00821DDD" w:rsidRDefault="00821DDD" w:rsidP="00821DDD">
      <w:pPr>
        <w:pStyle w:val="Default"/>
        <w:ind w:left="855"/>
        <w:rPr>
          <w:color w:val="auto"/>
          <w:u w:val="single"/>
          <w:lang w:val="da-DK"/>
        </w:rPr>
      </w:pPr>
      <w:r>
        <w:rPr>
          <w:u w:val="single"/>
          <w:lang w:val="da-DK"/>
        </w:rPr>
        <w:t>Administration</w:t>
      </w:r>
      <w:r>
        <w:rPr>
          <w:color w:val="auto"/>
          <w:u w:val="single"/>
          <w:lang w:val="da-DK"/>
        </w:rPr>
        <w:t xml:space="preserve"> </w:t>
      </w:r>
    </w:p>
    <w:p w:rsidR="00821DDD" w:rsidRDefault="00821DDD" w:rsidP="00821DDD">
      <w:pPr>
        <w:pStyle w:val="Default"/>
        <w:ind w:left="851"/>
        <w:rPr>
          <w:lang w:val="da-DK"/>
        </w:rPr>
      </w:pPr>
      <w:r>
        <w:rPr>
          <w:lang w:val="da-DK"/>
        </w:rPr>
        <w:t xml:space="preserve">Det anbefales at tage </w:t>
      </w:r>
      <w:proofErr w:type="spellStart"/>
      <w:r>
        <w:rPr>
          <w:lang w:val="da-DK"/>
        </w:rPr>
        <w:t>Omeprazol</w:t>
      </w:r>
      <w:proofErr w:type="spellEnd"/>
      <w:r>
        <w:rPr>
          <w:lang w:val="da-DK"/>
        </w:rPr>
        <w:t xml:space="preserve"> ”Sandoz” kapsler om morgenen. Synkes hele med et halvt glas vand</w:t>
      </w:r>
      <w:proofErr w:type="gramStart"/>
      <w:r>
        <w:rPr>
          <w:lang w:val="da-DK"/>
        </w:rPr>
        <w:t>.</w:t>
      </w:r>
      <w:proofErr w:type="gramEnd"/>
      <w:r>
        <w:rPr>
          <w:lang w:val="da-DK"/>
        </w:rPr>
        <w:t xml:space="preserve"> Kapslerne må ikke tygges eller knuses. </w:t>
      </w:r>
    </w:p>
    <w:p w:rsidR="00821DDD" w:rsidRDefault="00821DDD" w:rsidP="00821DDD">
      <w:pPr>
        <w:pStyle w:val="Default"/>
        <w:ind w:left="851" w:hanging="851"/>
        <w:rPr>
          <w:lang w:val="da-DK"/>
        </w:rPr>
      </w:pPr>
    </w:p>
    <w:p w:rsidR="00821DDD" w:rsidRDefault="00821DDD" w:rsidP="00821DDD">
      <w:pPr>
        <w:pStyle w:val="Default"/>
        <w:ind w:left="851"/>
        <w:rPr>
          <w:i/>
          <w:snapToGrid w:val="0"/>
          <w:color w:val="auto"/>
          <w:lang w:val="da-DK" w:eastAsia="nl-NL"/>
        </w:rPr>
      </w:pPr>
      <w:r>
        <w:rPr>
          <w:i/>
          <w:snapToGrid w:val="0"/>
          <w:color w:val="auto"/>
          <w:lang w:val="da-DK" w:eastAsia="nl-NL"/>
        </w:rPr>
        <w:t>For patienter med synkebesvær, som kan drikke eller synke halvfast føde</w:t>
      </w:r>
    </w:p>
    <w:p w:rsidR="00821DDD" w:rsidRDefault="00821DDD" w:rsidP="00821DDD">
      <w:pPr>
        <w:pStyle w:val="Default"/>
        <w:ind w:left="851"/>
        <w:rPr>
          <w:lang w:val="da-DK"/>
        </w:rPr>
      </w:pPr>
      <w:r>
        <w:rPr>
          <w:lang w:val="da-DK"/>
        </w:rPr>
        <w:t xml:space="preserve">Patienterne kan åbne kapslen og synke indholdet med et halvt glas vand eller efter at have blandet indholdet i en let syrlig væske, f.eks. yoghurt, frugtjuice eller æblemos. Patienter skal rådgives om, at blandingen skal tages omgående (eller inden for 30 minutter) og altid omrøres, lige før den drikkes, og skylles ned med et halvt glas vand. </w:t>
      </w:r>
    </w:p>
    <w:p w:rsidR="00821DDD" w:rsidRDefault="00821DDD" w:rsidP="00821DDD">
      <w:pPr>
        <w:pStyle w:val="Default"/>
        <w:ind w:left="851" w:hanging="851"/>
        <w:rPr>
          <w:lang w:val="da-DK"/>
        </w:rPr>
      </w:pPr>
    </w:p>
    <w:p w:rsidR="00821DDD" w:rsidRDefault="00821DDD" w:rsidP="00821DDD">
      <w:pPr>
        <w:ind w:left="851"/>
        <w:rPr>
          <w:sz w:val="24"/>
          <w:szCs w:val="24"/>
        </w:rPr>
      </w:pPr>
      <w:r>
        <w:rPr>
          <w:snapToGrid w:val="0"/>
          <w:sz w:val="24"/>
          <w:szCs w:val="24"/>
        </w:rPr>
        <w:t xml:space="preserve">Alternativt kan patienterne sutte på kapslen og synke de små </w:t>
      </w:r>
      <w:proofErr w:type="spellStart"/>
      <w:r>
        <w:rPr>
          <w:snapToGrid w:val="0"/>
          <w:sz w:val="24"/>
          <w:szCs w:val="24"/>
        </w:rPr>
        <w:t>entero</w:t>
      </w:r>
      <w:proofErr w:type="spellEnd"/>
      <w:r>
        <w:rPr>
          <w:snapToGrid w:val="0"/>
          <w:sz w:val="24"/>
          <w:szCs w:val="24"/>
        </w:rPr>
        <w:t xml:space="preserve">-coatede kugler med et halvt glas vand. De </w:t>
      </w:r>
      <w:proofErr w:type="spellStart"/>
      <w:r>
        <w:rPr>
          <w:snapToGrid w:val="0"/>
          <w:sz w:val="24"/>
          <w:szCs w:val="24"/>
        </w:rPr>
        <w:t>entero</w:t>
      </w:r>
      <w:proofErr w:type="spellEnd"/>
      <w:r>
        <w:rPr>
          <w:snapToGrid w:val="0"/>
          <w:sz w:val="24"/>
          <w:szCs w:val="24"/>
        </w:rPr>
        <w:t>-coatede små kugler må ikke tygges.</w:t>
      </w:r>
    </w:p>
    <w:p w:rsidR="00821DDD" w:rsidRPr="00774AEF" w:rsidRDefault="00821DDD" w:rsidP="00821DDD">
      <w:pPr>
        <w:ind w:left="851" w:hanging="851"/>
        <w:rPr>
          <w:sz w:val="24"/>
          <w:szCs w:val="24"/>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Kontraindikationer</w:t>
      </w:r>
    </w:p>
    <w:p w:rsidR="00821DDD" w:rsidRDefault="00821DDD" w:rsidP="00821DDD">
      <w:pPr>
        <w:ind w:left="851" w:hanging="851"/>
        <w:rPr>
          <w:sz w:val="24"/>
          <w:szCs w:val="24"/>
        </w:rPr>
      </w:pPr>
      <w:r>
        <w:rPr>
          <w:sz w:val="24"/>
          <w:szCs w:val="24"/>
        </w:rPr>
        <w:tab/>
        <w:t xml:space="preserve">Overfølsomhed over for det aktive stof, substituerede </w:t>
      </w:r>
      <w:proofErr w:type="spellStart"/>
      <w:r>
        <w:rPr>
          <w:sz w:val="24"/>
          <w:szCs w:val="24"/>
        </w:rPr>
        <w:t>benzimidazoler</w:t>
      </w:r>
      <w:proofErr w:type="spellEnd"/>
      <w:r>
        <w:rPr>
          <w:sz w:val="24"/>
          <w:szCs w:val="24"/>
        </w:rPr>
        <w:t xml:space="preserve"> eller over for et eller flere af hjælpestofferne anført i pkt. 6.1.</w:t>
      </w:r>
    </w:p>
    <w:p w:rsidR="00821DDD" w:rsidRDefault="00821DDD" w:rsidP="00821DDD">
      <w:pPr>
        <w:ind w:left="851" w:hanging="851"/>
        <w:rPr>
          <w:sz w:val="24"/>
          <w:szCs w:val="24"/>
        </w:rPr>
      </w:pPr>
    </w:p>
    <w:p w:rsidR="00821DDD" w:rsidRDefault="00821DDD" w:rsidP="00821DDD">
      <w:pPr>
        <w:pStyle w:val="Default"/>
        <w:ind w:left="851"/>
        <w:rPr>
          <w:lang w:val="da-DK"/>
        </w:rPr>
      </w:pPr>
      <w:proofErr w:type="spellStart"/>
      <w:r>
        <w:rPr>
          <w:lang w:val="da-DK"/>
        </w:rPr>
        <w:t>Omeprazol</w:t>
      </w:r>
      <w:proofErr w:type="spellEnd"/>
      <w:r>
        <w:rPr>
          <w:lang w:val="da-DK"/>
        </w:rPr>
        <w:t xml:space="preserve"> må ligesom andre </w:t>
      </w:r>
      <w:proofErr w:type="spellStart"/>
      <w:r>
        <w:rPr>
          <w:lang w:val="da-DK"/>
        </w:rPr>
        <w:t>protonpumpehæmmere</w:t>
      </w:r>
      <w:proofErr w:type="spellEnd"/>
      <w:r>
        <w:rPr>
          <w:lang w:val="da-DK"/>
        </w:rPr>
        <w:t xml:space="preserve"> (PPI) ikke bruges samtidig med </w:t>
      </w:r>
      <w:proofErr w:type="spellStart"/>
      <w:r>
        <w:rPr>
          <w:lang w:val="da-DK"/>
        </w:rPr>
        <w:t>nelfinavir</w:t>
      </w:r>
      <w:proofErr w:type="spellEnd"/>
      <w:r>
        <w:rPr>
          <w:lang w:val="da-DK"/>
        </w:rPr>
        <w:t xml:space="preserve"> (se pkt. 4.5). </w:t>
      </w:r>
    </w:p>
    <w:p w:rsidR="00821DDD" w:rsidRPr="00774AEF" w:rsidRDefault="00821DDD" w:rsidP="00821DDD">
      <w:pPr>
        <w:ind w:left="851" w:hanging="851"/>
        <w:rPr>
          <w:sz w:val="24"/>
          <w:szCs w:val="24"/>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Særlige advarsler og forsigtighedsregler vedrørende brugen</w:t>
      </w:r>
    </w:p>
    <w:p w:rsidR="00821DDD" w:rsidRPr="00774AEF" w:rsidRDefault="00821DDD" w:rsidP="00821DDD">
      <w:pPr>
        <w:pStyle w:val="Default"/>
        <w:ind w:left="855"/>
        <w:rPr>
          <w:lang w:val="da-DK"/>
        </w:rPr>
      </w:pPr>
      <w:r>
        <w:rPr>
          <w:lang w:val="da-DK"/>
        </w:rPr>
        <w:t>Hvis der er nogen form for alarmsymptomer</w:t>
      </w:r>
      <w:r w:rsidRPr="00774AEF">
        <w:rPr>
          <w:lang w:val="da-DK"/>
        </w:rPr>
        <w:t xml:space="preserve"> </w:t>
      </w:r>
      <w:r w:rsidRPr="00E137E3">
        <w:rPr>
          <w:lang w:val="da-DK"/>
        </w:rPr>
        <w:t xml:space="preserve">(f.eks. signifikant utilsigtet vægttab, gentagne opkastninger, </w:t>
      </w:r>
      <w:proofErr w:type="spellStart"/>
      <w:r w:rsidRPr="00E137E3">
        <w:rPr>
          <w:lang w:val="da-DK"/>
        </w:rPr>
        <w:t>dysfagi</w:t>
      </w:r>
      <w:proofErr w:type="spellEnd"/>
      <w:r w:rsidRPr="00E137E3">
        <w:rPr>
          <w:lang w:val="da-DK"/>
        </w:rPr>
        <w:t xml:space="preserve">, </w:t>
      </w:r>
      <w:proofErr w:type="spellStart"/>
      <w:r w:rsidRPr="00E137E3">
        <w:rPr>
          <w:lang w:val="da-DK"/>
        </w:rPr>
        <w:t>hæmatemese</w:t>
      </w:r>
      <w:proofErr w:type="spellEnd"/>
      <w:r w:rsidRPr="00E137E3">
        <w:rPr>
          <w:lang w:val="da-DK"/>
        </w:rPr>
        <w:t xml:space="preserve"> eller </w:t>
      </w:r>
      <w:proofErr w:type="spellStart"/>
      <w:r w:rsidRPr="00E137E3">
        <w:rPr>
          <w:lang w:val="da-DK"/>
        </w:rPr>
        <w:t>melæna</w:t>
      </w:r>
      <w:proofErr w:type="spellEnd"/>
      <w:r w:rsidRPr="00E137E3">
        <w:rPr>
          <w:lang w:val="da-DK"/>
        </w:rPr>
        <w:t>), og hvis gastrisk ulcus er mistænkt eller bekræftet, skal malign lidelse udelukkes, da behandlingen kan lindre symptomerne og derved forsinke diagnosticering.</w:t>
      </w:r>
    </w:p>
    <w:p w:rsidR="00821DDD" w:rsidRPr="00774AEF" w:rsidRDefault="00821DDD" w:rsidP="00821DDD">
      <w:pPr>
        <w:pStyle w:val="Default"/>
        <w:ind w:left="855"/>
        <w:rPr>
          <w:lang w:val="da-DK"/>
        </w:rPr>
      </w:pPr>
    </w:p>
    <w:p w:rsidR="00821DDD" w:rsidRPr="00774AEF" w:rsidRDefault="00821DDD" w:rsidP="00821DDD">
      <w:pPr>
        <w:pStyle w:val="Default"/>
        <w:ind w:left="855"/>
        <w:rPr>
          <w:lang w:val="da-DK"/>
        </w:rPr>
      </w:pPr>
      <w:r>
        <w:rPr>
          <w:lang w:val="da-DK"/>
        </w:rPr>
        <w:t>Co-</w:t>
      </w:r>
      <w:r w:rsidRPr="00774AEF">
        <w:rPr>
          <w:lang w:val="da-DK"/>
        </w:rPr>
        <w:t xml:space="preserve">administration af </w:t>
      </w:r>
      <w:proofErr w:type="spellStart"/>
      <w:r w:rsidRPr="00774AEF">
        <w:rPr>
          <w:lang w:val="da-DK"/>
        </w:rPr>
        <w:t>atazanavir</w:t>
      </w:r>
      <w:proofErr w:type="spellEnd"/>
      <w:r w:rsidRPr="00774AEF">
        <w:rPr>
          <w:lang w:val="da-DK"/>
        </w:rPr>
        <w:t xml:space="preserve"> </w:t>
      </w:r>
      <w:r>
        <w:rPr>
          <w:lang w:val="da-DK"/>
        </w:rPr>
        <w:t>med</w:t>
      </w:r>
      <w:r w:rsidRPr="00774AEF">
        <w:rPr>
          <w:lang w:val="da-DK"/>
        </w:rPr>
        <w:t xml:space="preserve"> </w:t>
      </w:r>
      <w:proofErr w:type="spellStart"/>
      <w:r w:rsidRPr="00774AEF">
        <w:rPr>
          <w:lang w:val="da-DK"/>
        </w:rPr>
        <w:t>protonpumpehæmmere</w:t>
      </w:r>
      <w:proofErr w:type="spellEnd"/>
      <w:r w:rsidRPr="00774AEF">
        <w:rPr>
          <w:lang w:val="da-DK"/>
        </w:rPr>
        <w:t xml:space="preserve"> </w:t>
      </w:r>
      <w:r>
        <w:rPr>
          <w:lang w:val="da-DK"/>
        </w:rPr>
        <w:t xml:space="preserve">kan ikke </w:t>
      </w:r>
      <w:r w:rsidRPr="00774AEF">
        <w:rPr>
          <w:lang w:val="da-DK"/>
        </w:rPr>
        <w:t xml:space="preserve">anbefales (se pkt. 4.5). Hvis kombinationen af </w:t>
      </w:r>
      <w:proofErr w:type="spellStart"/>
      <w:r w:rsidRPr="00774AEF">
        <w:rPr>
          <w:lang w:val="da-DK"/>
        </w:rPr>
        <w:t>atazanavir</w:t>
      </w:r>
      <w:proofErr w:type="spellEnd"/>
      <w:r w:rsidRPr="00774AEF">
        <w:rPr>
          <w:lang w:val="da-DK"/>
        </w:rPr>
        <w:t xml:space="preserve"> og en protonpumpehæmmer </w:t>
      </w:r>
      <w:r>
        <w:rPr>
          <w:lang w:val="da-DK"/>
        </w:rPr>
        <w:t>vurderes at være</w:t>
      </w:r>
      <w:r w:rsidRPr="00774AEF">
        <w:rPr>
          <w:lang w:val="da-DK"/>
        </w:rPr>
        <w:t xml:space="preserve"> uundgåelig, anbefales tæt klinisk </w:t>
      </w:r>
      <w:r>
        <w:rPr>
          <w:lang w:val="da-DK"/>
        </w:rPr>
        <w:t>monitorering</w:t>
      </w:r>
      <w:r w:rsidRPr="00774AEF">
        <w:rPr>
          <w:lang w:val="da-DK"/>
        </w:rPr>
        <w:t xml:space="preserve"> (f.eks. virusbelastning) i kombination med </w:t>
      </w:r>
      <w:r>
        <w:rPr>
          <w:lang w:val="da-DK"/>
        </w:rPr>
        <w:t>øgning</w:t>
      </w:r>
      <w:r w:rsidRPr="00774AEF">
        <w:rPr>
          <w:lang w:val="da-DK"/>
        </w:rPr>
        <w:t xml:space="preserve"> af </w:t>
      </w:r>
      <w:proofErr w:type="spellStart"/>
      <w:r w:rsidRPr="00774AEF">
        <w:rPr>
          <w:lang w:val="da-DK"/>
        </w:rPr>
        <w:t>atazanavirdosis</w:t>
      </w:r>
      <w:proofErr w:type="spellEnd"/>
      <w:r w:rsidRPr="00774AEF">
        <w:rPr>
          <w:lang w:val="da-DK"/>
        </w:rPr>
        <w:t xml:space="preserve"> til 400 mg med 100 mg </w:t>
      </w:r>
      <w:proofErr w:type="spellStart"/>
      <w:r w:rsidRPr="00774AEF">
        <w:rPr>
          <w:lang w:val="da-DK"/>
        </w:rPr>
        <w:t>ritonavir</w:t>
      </w:r>
      <w:proofErr w:type="spellEnd"/>
      <w:r w:rsidRPr="00774AEF">
        <w:rPr>
          <w:lang w:val="da-DK"/>
        </w:rPr>
        <w:t xml:space="preserve">. </w:t>
      </w:r>
      <w:r>
        <w:rPr>
          <w:lang w:val="da-DK"/>
        </w:rPr>
        <w:t xml:space="preserve">En dosis på 20 mg </w:t>
      </w:r>
      <w:proofErr w:type="spellStart"/>
      <w:r>
        <w:rPr>
          <w:lang w:val="da-DK"/>
        </w:rPr>
        <w:t>o</w:t>
      </w:r>
      <w:r w:rsidRPr="00774AEF">
        <w:rPr>
          <w:lang w:val="da-DK"/>
        </w:rPr>
        <w:t>meprazol</w:t>
      </w:r>
      <w:proofErr w:type="spellEnd"/>
      <w:r w:rsidRPr="00774AEF">
        <w:rPr>
          <w:lang w:val="da-DK"/>
        </w:rPr>
        <w:t xml:space="preserve"> </w:t>
      </w:r>
      <w:r>
        <w:rPr>
          <w:lang w:val="da-DK"/>
        </w:rPr>
        <w:t>bør</w:t>
      </w:r>
      <w:r w:rsidRPr="00774AEF">
        <w:rPr>
          <w:lang w:val="da-DK"/>
        </w:rPr>
        <w:t xml:space="preserve"> ikke overskrides. </w:t>
      </w:r>
    </w:p>
    <w:p w:rsidR="00821DDD" w:rsidRPr="00774AEF" w:rsidRDefault="00821DDD" w:rsidP="00821DDD">
      <w:pPr>
        <w:pStyle w:val="Default"/>
        <w:ind w:left="851" w:hanging="851"/>
        <w:rPr>
          <w:lang w:val="da-DK"/>
        </w:rPr>
      </w:pPr>
    </w:p>
    <w:p w:rsidR="00821DDD" w:rsidRDefault="00821DDD" w:rsidP="00821DDD">
      <w:pPr>
        <w:pStyle w:val="Default"/>
        <w:ind w:left="851"/>
        <w:rPr>
          <w:lang w:val="da-DK"/>
        </w:rPr>
      </w:pPr>
      <w:proofErr w:type="spellStart"/>
      <w:r>
        <w:rPr>
          <w:lang w:val="da-DK"/>
        </w:rPr>
        <w:t>Omeprazol</w:t>
      </w:r>
      <w:proofErr w:type="spellEnd"/>
      <w:r>
        <w:rPr>
          <w:lang w:val="da-DK"/>
        </w:rPr>
        <w:t>, såvel som syre-blokerende lægemidler, kan reducere absorptionen af vitamin B12 (</w:t>
      </w:r>
      <w:proofErr w:type="spellStart"/>
      <w:r>
        <w:rPr>
          <w:lang w:val="da-DK"/>
        </w:rPr>
        <w:t>cyanocobalamin</w:t>
      </w:r>
      <w:proofErr w:type="spellEnd"/>
      <w:r>
        <w:rPr>
          <w:lang w:val="da-DK"/>
        </w:rPr>
        <w:t xml:space="preserve">) på grund af </w:t>
      </w:r>
      <w:proofErr w:type="spellStart"/>
      <w:r>
        <w:rPr>
          <w:lang w:val="da-DK"/>
        </w:rPr>
        <w:t>hypo</w:t>
      </w:r>
      <w:proofErr w:type="spellEnd"/>
      <w:r>
        <w:rPr>
          <w:lang w:val="da-DK"/>
        </w:rPr>
        <w:t xml:space="preserve">- eller </w:t>
      </w:r>
      <w:proofErr w:type="spellStart"/>
      <w:r>
        <w:rPr>
          <w:lang w:val="da-DK"/>
        </w:rPr>
        <w:t>achlorhydri</w:t>
      </w:r>
      <w:proofErr w:type="spellEnd"/>
      <w:r>
        <w:rPr>
          <w:lang w:val="da-DK"/>
        </w:rPr>
        <w:t xml:space="preserve">. Dette bør tages i betragtning hos patienter med reducerede lagre i kroppen eller risikofaktorer for reduceret vitamin B12-absorption i langtidsbehandling. </w:t>
      </w:r>
    </w:p>
    <w:p w:rsidR="00821DDD" w:rsidRDefault="00821DDD" w:rsidP="00821DDD">
      <w:pPr>
        <w:pStyle w:val="Default"/>
        <w:ind w:left="851" w:hanging="851"/>
        <w:rPr>
          <w:lang w:val="da-DK"/>
        </w:rPr>
      </w:pPr>
    </w:p>
    <w:p w:rsidR="00821DDD" w:rsidRDefault="00821DDD" w:rsidP="00821DDD">
      <w:pPr>
        <w:pStyle w:val="Default"/>
        <w:ind w:left="851"/>
        <w:rPr>
          <w:lang w:val="da-DK"/>
        </w:rPr>
      </w:pPr>
      <w:proofErr w:type="spellStart"/>
      <w:r>
        <w:rPr>
          <w:lang w:val="da-DK"/>
        </w:rPr>
        <w:t>Omeprazol</w:t>
      </w:r>
      <w:proofErr w:type="spellEnd"/>
      <w:r>
        <w:rPr>
          <w:lang w:val="da-DK"/>
        </w:rPr>
        <w:t xml:space="preserve"> er en CYP2C19-hæmmer. Ved start og afslutning af behandling med </w:t>
      </w:r>
      <w:proofErr w:type="spellStart"/>
      <w:r>
        <w:rPr>
          <w:lang w:val="da-DK"/>
        </w:rPr>
        <w:t>omeprazol</w:t>
      </w:r>
      <w:proofErr w:type="spellEnd"/>
      <w:r>
        <w:rPr>
          <w:lang w:val="da-DK"/>
        </w:rPr>
        <w:t xml:space="preserve"> skal risikoen for interaktioner med lægemidler, som </w:t>
      </w:r>
      <w:proofErr w:type="spellStart"/>
      <w:r>
        <w:rPr>
          <w:lang w:val="da-DK"/>
        </w:rPr>
        <w:t>metaboliseres</w:t>
      </w:r>
      <w:proofErr w:type="spellEnd"/>
      <w:r>
        <w:rPr>
          <w:lang w:val="da-DK"/>
        </w:rPr>
        <w:t xml:space="preserve"> via CYP2C19, tages i betragtning. Der er set interaktion mellem </w:t>
      </w:r>
      <w:proofErr w:type="spellStart"/>
      <w:r>
        <w:rPr>
          <w:lang w:val="da-DK"/>
        </w:rPr>
        <w:t>clopidogrel</w:t>
      </w:r>
      <w:proofErr w:type="spellEnd"/>
      <w:r>
        <w:rPr>
          <w:lang w:val="da-DK"/>
        </w:rPr>
        <w:t xml:space="preserve"> og </w:t>
      </w:r>
      <w:proofErr w:type="spellStart"/>
      <w:r>
        <w:rPr>
          <w:lang w:val="da-DK"/>
        </w:rPr>
        <w:t>omeprazol</w:t>
      </w:r>
      <w:proofErr w:type="spellEnd"/>
      <w:r>
        <w:rPr>
          <w:lang w:val="da-DK"/>
        </w:rPr>
        <w:t xml:space="preserve"> (se </w:t>
      </w:r>
      <w:r>
        <w:rPr>
          <w:lang w:val="da-DK"/>
        </w:rPr>
        <w:lastRenderedPageBreak/>
        <w:t xml:space="preserve">pkt. 4.5). Den kliniske relevans af denne interaktion er uafklaret. Som en forholdsregel frarådes samtidig brug af </w:t>
      </w:r>
      <w:proofErr w:type="spellStart"/>
      <w:r>
        <w:rPr>
          <w:lang w:val="da-DK"/>
        </w:rPr>
        <w:t>omeprazol</w:t>
      </w:r>
      <w:proofErr w:type="spellEnd"/>
      <w:r>
        <w:rPr>
          <w:lang w:val="da-DK"/>
        </w:rPr>
        <w:t xml:space="preserve"> og </w:t>
      </w:r>
      <w:proofErr w:type="spellStart"/>
      <w:r>
        <w:rPr>
          <w:lang w:val="da-DK"/>
        </w:rPr>
        <w:t>clopidogrel</w:t>
      </w:r>
      <w:proofErr w:type="spellEnd"/>
      <w:r>
        <w:rPr>
          <w:lang w:val="da-DK"/>
        </w:rPr>
        <w:t>.</w:t>
      </w:r>
    </w:p>
    <w:p w:rsidR="00527D5D" w:rsidRDefault="00527D5D" w:rsidP="00821DDD">
      <w:pPr>
        <w:pStyle w:val="Default"/>
        <w:ind w:left="851"/>
        <w:rPr>
          <w:lang w:val="da-DK"/>
        </w:rPr>
      </w:pPr>
    </w:p>
    <w:p w:rsidR="00527D5D" w:rsidRDefault="00527D5D" w:rsidP="00527D5D">
      <w:pPr>
        <w:pStyle w:val="Default"/>
        <w:ind w:left="851"/>
        <w:rPr>
          <w:lang w:val="da-DK"/>
        </w:rPr>
      </w:pPr>
      <w:r w:rsidRPr="00DC4243">
        <w:rPr>
          <w:lang w:val="da-DK"/>
        </w:rPr>
        <w:t xml:space="preserve">Svære </w:t>
      </w:r>
      <w:proofErr w:type="spellStart"/>
      <w:r w:rsidRPr="00DC4243">
        <w:rPr>
          <w:lang w:val="da-DK"/>
        </w:rPr>
        <w:t>kutane</w:t>
      </w:r>
      <w:proofErr w:type="spellEnd"/>
      <w:r w:rsidRPr="00DC4243">
        <w:rPr>
          <w:lang w:val="da-DK"/>
        </w:rPr>
        <w:t xml:space="preserve"> bivirkninger (</w:t>
      </w:r>
      <w:proofErr w:type="spellStart"/>
      <w:r w:rsidRPr="00DC4243">
        <w:rPr>
          <w:lang w:val="da-DK"/>
        </w:rPr>
        <w:t>SCAR’er</w:t>
      </w:r>
      <w:proofErr w:type="spellEnd"/>
      <w:r w:rsidRPr="00DC4243">
        <w:rPr>
          <w:lang w:val="da-DK"/>
        </w:rPr>
        <w:t xml:space="preserve">), inklusive Stevens-Johnsons syndrom (SJS), toksisk </w:t>
      </w:r>
      <w:proofErr w:type="spellStart"/>
      <w:r w:rsidRPr="00DC4243">
        <w:rPr>
          <w:lang w:val="da-DK"/>
        </w:rPr>
        <w:t>epidermal</w:t>
      </w:r>
      <w:proofErr w:type="spellEnd"/>
      <w:r w:rsidRPr="00DC4243">
        <w:rPr>
          <w:lang w:val="da-DK"/>
        </w:rPr>
        <w:t xml:space="preserve"> </w:t>
      </w:r>
      <w:proofErr w:type="spellStart"/>
      <w:r w:rsidRPr="00DC4243">
        <w:rPr>
          <w:lang w:val="da-DK"/>
        </w:rPr>
        <w:t>nekrolyse</w:t>
      </w:r>
      <w:proofErr w:type="spellEnd"/>
      <w:r w:rsidRPr="00DC4243">
        <w:rPr>
          <w:lang w:val="da-DK"/>
        </w:rPr>
        <w:t xml:space="preserve"> (TEN), lægemiddelreaktion med </w:t>
      </w:r>
      <w:proofErr w:type="spellStart"/>
      <w:r w:rsidRPr="00DC4243">
        <w:rPr>
          <w:lang w:val="da-DK"/>
        </w:rPr>
        <w:t>eosinofili</w:t>
      </w:r>
      <w:proofErr w:type="spellEnd"/>
      <w:r w:rsidRPr="00DC4243">
        <w:rPr>
          <w:lang w:val="da-DK"/>
        </w:rPr>
        <w:t xml:space="preserve"> og systemiske symptomer (DRESS) og akut generaliseret </w:t>
      </w:r>
      <w:proofErr w:type="spellStart"/>
      <w:r w:rsidRPr="00DC4243">
        <w:rPr>
          <w:lang w:val="da-DK"/>
        </w:rPr>
        <w:t>eksantematøs</w:t>
      </w:r>
      <w:proofErr w:type="spellEnd"/>
      <w:r w:rsidRPr="00DC4243">
        <w:rPr>
          <w:lang w:val="da-DK"/>
        </w:rPr>
        <w:t xml:space="preserve"> </w:t>
      </w:r>
      <w:proofErr w:type="spellStart"/>
      <w:r w:rsidRPr="00DC4243">
        <w:rPr>
          <w:lang w:val="da-DK"/>
        </w:rPr>
        <w:t>pustulose</w:t>
      </w:r>
      <w:proofErr w:type="spellEnd"/>
      <w:r w:rsidRPr="00DC4243">
        <w:rPr>
          <w:lang w:val="da-DK"/>
        </w:rPr>
        <w:t xml:space="preserve"> (AGEP), som kan være livstruende eller dødelige, er blevet rapporteret</w:t>
      </w:r>
      <w:r>
        <w:rPr>
          <w:lang w:val="da-DK"/>
        </w:rPr>
        <w:t xml:space="preserve"> henholdsvis meget sjældent og sjældent</w:t>
      </w:r>
      <w:r w:rsidRPr="00DC4243">
        <w:rPr>
          <w:lang w:val="da-DK"/>
        </w:rPr>
        <w:t xml:space="preserve"> i forbindelse med </w:t>
      </w:r>
      <w:proofErr w:type="spellStart"/>
      <w:r w:rsidRPr="00DC4243">
        <w:rPr>
          <w:lang w:val="da-DK"/>
        </w:rPr>
        <w:t>omeprazolbehandling</w:t>
      </w:r>
      <w:proofErr w:type="spellEnd"/>
      <w:r w:rsidRPr="00DC4243">
        <w:rPr>
          <w:lang w:val="da-DK"/>
        </w:rPr>
        <w:t>.</w:t>
      </w:r>
    </w:p>
    <w:p w:rsidR="00821DDD" w:rsidRDefault="00821DDD" w:rsidP="00821DDD">
      <w:pPr>
        <w:pStyle w:val="Default"/>
        <w:ind w:left="851" w:hanging="851"/>
        <w:rPr>
          <w:lang w:val="da-DK"/>
        </w:rPr>
      </w:pPr>
    </w:p>
    <w:p w:rsidR="000834E7" w:rsidRPr="001E7A7A" w:rsidRDefault="000834E7" w:rsidP="000834E7">
      <w:pPr>
        <w:pStyle w:val="Default"/>
        <w:ind w:left="851"/>
        <w:rPr>
          <w:i/>
          <w:lang w:val="en-US"/>
        </w:rPr>
      </w:pPr>
      <w:proofErr w:type="spellStart"/>
      <w:r w:rsidRPr="001E7A7A">
        <w:rPr>
          <w:i/>
          <w:lang w:val="en-US"/>
        </w:rPr>
        <w:t>Subakut</w:t>
      </w:r>
      <w:proofErr w:type="spellEnd"/>
      <w:r w:rsidRPr="001E7A7A">
        <w:rPr>
          <w:i/>
          <w:lang w:val="en-US"/>
        </w:rPr>
        <w:t xml:space="preserve"> </w:t>
      </w:r>
      <w:proofErr w:type="spellStart"/>
      <w:r w:rsidRPr="001E7A7A">
        <w:rPr>
          <w:i/>
          <w:lang w:val="en-US"/>
        </w:rPr>
        <w:t>kutan</w:t>
      </w:r>
      <w:proofErr w:type="spellEnd"/>
      <w:r w:rsidRPr="001E7A7A">
        <w:rPr>
          <w:i/>
          <w:lang w:val="en-US"/>
        </w:rPr>
        <w:t xml:space="preserve"> lupus erythematosus (SCLE)</w:t>
      </w:r>
    </w:p>
    <w:p w:rsidR="000834E7" w:rsidRPr="00EA0D4B" w:rsidRDefault="000834E7" w:rsidP="000834E7">
      <w:pPr>
        <w:pStyle w:val="Default"/>
        <w:ind w:left="851"/>
        <w:rPr>
          <w:lang w:val="da-DK"/>
        </w:rPr>
      </w:pPr>
      <w:proofErr w:type="spellStart"/>
      <w:r>
        <w:rPr>
          <w:lang w:val="da-DK"/>
        </w:rPr>
        <w:t>Protonpumpehæmmere</w:t>
      </w:r>
      <w:proofErr w:type="spellEnd"/>
      <w:r>
        <w:rPr>
          <w:lang w:val="da-DK"/>
        </w:rPr>
        <w:t xml:space="preserve"> er forbundet med meget sjældne tilfælde af SCLE. Hvis sådanne hudreaktioner optræder, navnlig på hudområder udsat for sol, og er ledsaget af </w:t>
      </w:r>
      <w:proofErr w:type="spellStart"/>
      <w:r>
        <w:rPr>
          <w:lang w:val="da-DK"/>
        </w:rPr>
        <w:t>artralgi</w:t>
      </w:r>
      <w:proofErr w:type="spellEnd"/>
      <w:r>
        <w:rPr>
          <w:lang w:val="da-DK"/>
        </w:rPr>
        <w:t xml:space="preserve">, bør patienten straks søge læge, og lægen bør overveje at seponere </w:t>
      </w:r>
      <w:proofErr w:type="spellStart"/>
      <w:r>
        <w:rPr>
          <w:lang w:val="da-DK"/>
        </w:rPr>
        <w:t>Omeprazol</w:t>
      </w:r>
      <w:proofErr w:type="spellEnd"/>
      <w:r>
        <w:rPr>
          <w:lang w:val="da-DK"/>
        </w:rPr>
        <w:t xml:space="preserve"> ”Sandoz”. SCLE efter tidligere behandling med en protonpumpehæmmer kan øge risikoen for SCLE med andre </w:t>
      </w:r>
      <w:proofErr w:type="spellStart"/>
      <w:r w:rsidRPr="00EA0D4B">
        <w:rPr>
          <w:lang w:val="da-DK"/>
        </w:rPr>
        <w:t>protonpumpehæmmere</w:t>
      </w:r>
      <w:proofErr w:type="spellEnd"/>
      <w:r w:rsidRPr="00EA0D4B">
        <w:rPr>
          <w:lang w:val="da-DK"/>
        </w:rPr>
        <w:t>.</w:t>
      </w:r>
    </w:p>
    <w:p w:rsidR="000834E7" w:rsidRPr="00EA0D4B" w:rsidRDefault="000834E7" w:rsidP="000834E7">
      <w:pPr>
        <w:pStyle w:val="Default"/>
        <w:ind w:left="851"/>
        <w:rPr>
          <w:lang w:val="da-DK"/>
        </w:rPr>
      </w:pPr>
    </w:p>
    <w:p w:rsidR="000834E7" w:rsidRPr="00EA0D4B" w:rsidRDefault="000834E7" w:rsidP="000834E7">
      <w:pPr>
        <w:ind w:left="855"/>
        <w:rPr>
          <w:i/>
          <w:iCs/>
          <w:sz w:val="24"/>
          <w:szCs w:val="24"/>
        </w:rPr>
      </w:pPr>
      <w:r w:rsidRPr="00EA0D4B">
        <w:rPr>
          <w:i/>
          <w:iCs/>
          <w:sz w:val="24"/>
          <w:szCs w:val="24"/>
        </w:rPr>
        <w:t xml:space="preserve">Interferens med laboratorieprøver </w:t>
      </w:r>
    </w:p>
    <w:p w:rsidR="000834E7" w:rsidRDefault="000834E7" w:rsidP="000834E7">
      <w:pPr>
        <w:ind w:left="855"/>
        <w:rPr>
          <w:sz w:val="24"/>
          <w:szCs w:val="24"/>
        </w:rPr>
      </w:pPr>
      <w:r w:rsidRPr="00EA0D4B">
        <w:rPr>
          <w:sz w:val="24"/>
          <w:szCs w:val="24"/>
        </w:rPr>
        <w:t xml:space="preserve">Forhøjet </w:t>
      </w:r>
      <w:proofErr w:type="spellStart"/>
      <w:r w:rsidRPr="00EA0D4B">
        <w:rPr>
          <w:sz w:val="24"/>
          <w:szCs w:val="24"/>
        </w:rPr>
        <w:t>chromogranin</w:t>
      </w:r>
      <w:proofErr w:type="spellEnd"/>
      <w:r w:rsidRPr="00EA0D4B">
        <w:rPr>
          <w:sz w:val="24"/>
          <w:szCs w:val="24"/>
        </w:rPr>
        <w:t xml:space="preserve"> A (</w:t>
      </w:r>
      <w:proofErr w:type="spellStart"/>
      <w:r w:rsidRPr="00EA0D4B">
        <w:rPr>
          <w:sz w:val="24"/>
          <w:szCs w:val="24"/>
        </w:rPr>
        <w:t>CgA</w:t>
      </w:r>
      <w:proofErr w:type="spellEnd"/>
      <w:r w:rsidRPr="00EA0D4B">
        <w:rPr>
          <w:sz w:val="24"/>
          <w:szCs w:val="24"/>
        </w:rPr>
        <w:t xml:space="preserve">) kan interferere med undersøgelser for </w:t>
      </w:r>
      <w:proofErr w:type="spellStart"/>
      <w:r w:rsidRPr="00EA0D4B">
        <w:rPr>
          <w:sz w:val="24"/>
          <w:szCs w:val="24"/>
        </w:rPr>
        <w:t>neuroendokrine</w:t>
      </w:r>
      <w:proofErr w:type="spellEnd"/>
      <w:r w:rsidRPr="00EA0D4B">
        <w:rPr>
          <w:sz w:val="24"/>
          <w:szCs w:val="24"/>
        </w:rPr>
        <w:t xml:space="preserve"> tumorer. For at undgå denne interferens bør </w:t>
      </w:r>
      <w:proofErr w:type="spellStart"/>
      <w:r>
        <w:rPr>
          <w:sz w:val="24"/>
          <w:szCs w:val="24"/>
        </w:rPr>
        <w:t>omeprazolbehandling</w:t>
      </w:r>
      <w:proofErr w:type="spellEnd"/>
      <w:r w:rsidRPr="00EA0D4B">
        <w:rPr>
          <w:sz w:val="24"/>
          <w:szCs w:val="24"/>
        </w:rPr>
        <w:t xml:space="preserve"> seponeres mindst 5 dage inden måling af </w:t>
      </w:r>
      <w:proofErr w:type="spellStart"/>
      <w:r w:rsidRPr="00EA0D4B">
        <w:rPr>
          <w:sz w:val="24"/>
          <w:szCs w:val="24"/>
        </w:rPr>
        <w:t>CgA</w:t>
      </w:r>
      <w:proofErr w:type="spellEnd"/>
      <w:r w:rsidRPr="00EA0D4B">
        <w:rPr>
          <w:sz w:val="24"/>
          <w:szCs w:val="24"/>
        </w:rPr>
        <w:t xml:space="preserve"> (se pkt. 5.1). Hvis indholdet af </w:t>
      </w:r>
      <w:proofErr w:type="spellStart"/>
      <w:r w:rsidRPr="00EA0D4B">
        <w:rPr>
          <w:sz w:val="24"/>
          <w:szCs w:val="24"/>
        </w:rPr>
        <w:t>CgA</w:t>
      </w:r>
      <w:proofErr w:type="spellEnd"/>
      <w:r w:rsidRPr="00EA0D4B">
        <w:rPr>
          <w:sz w:val="24"/>
          <w:szCs w:val="24"/>
        </w:rPr>
        <w:t xml:space="preserve"> og gastrin ikke er returneret til referenceområdet ved den første måling, bør målingen gentages 14 dage efter </w:t>
      </w:r>
      <w:proofErr w:type="spellStart"/>
      <w:r w:rsidRPr="00EA0D4B">
        <w:rPr>
          <w:sz w:val="24"/>
          <w:szCs w:val="24"/>
        </w:rPr>
        <w:t>seponering</w:t>
      </w:r>
      <w:proofErr w:type="spellEnd"/>
      <w:r w:rsidRPr="00EA0D4B">
        <w:rPr>
          <w:sz w:val="24"/>
          <w:szCs w:val="24"/>
        </w:rPr>
        <w:t xml:space="preserve"> af protonpumpehæmmeren.</w:t>
      </w:r>
    </w:p>
    <w:p w:rsidR="00527D5D" w:rsidRDefault="00527D5D" w:rsidP="000834E7">
      <w:pPr>
        <w:ind w:left="855"/>
        <w:rPr>
          <w:sz w:val="24"/>
          <w:szCs w:val="24"/>
        </w:rPr>
      </w:pPr>
    </w:p>
    <w:p w:rsidR="00527D5D" w:rsidRPr="0055392A" w:rsidRDefault="00527D5D" w:rsidP="00527D5D">
      <w:pPr>
        <w:ind w:left="851"/>
        <w:rPr>
          <w:i/>
          <w:iCs/>
          <w:sz w:val="24"/>
          <w:szCs w:val="24"/>
        </w:rPr>
      </w:pPr>
      <w:r w:rsidRPr="0055392A">
        <w:rPr>
          <w:i/>
          <w:iCs/>
          <w:sz w:val="24"/>
          <w:szCs w:val="24"/>
        </w:rPr>
        <w:t xml:space="preserve">Nedsat nyrefunktion </w:t>
      </w:r>
    </w:p>
    <w:p w:rsidR="00527D5D" w:rsidRPr="0055392A" w:rsidRDefault="00527D5D" w:rsidP="00527D5D">
      <w:pPr>
        <w:ind w:left="851"/>
        <w:rPr>
          <w:sz w:val="24"/>
          <w:szCs w:val="24"/>
        </w:rPr>
      </w:pPr>
      <w:r w:rsidRPr="0055392A">
        <w:rPr>
          <w:sz w:val="24"/>
          <w:szCs w:val="24"/>
        </w:rPr>
        <w:t xml:space="preserve">Akut </w:t>
      </w:r>
      <w:proofErr w:type="spellStart"/>
      <w:r w:rsidRPr="0055392A">
        <w:rPr>
          <w:sz w:val="24"/>
          <w:szCs w:val="24"/>
        </w:rPr>
        <w:t>tubulointerstitiel</w:t>
      </w:r>
      <w:proofErr w:type="spellEnd"/>
      <w:r w:rsidRPr="0055392A">
        <w:rPr>
          <w:sz w:val="24"/>
          <w:szCs w:val="24"/>
        </w:rPr>
        <w:t xml:space="preserve"> </w:t>
      </w:r>
      <w:proofErr w:type="spellStart"/>
      <w:r w:rsidRPr="0055392A">
        <w:rPr>
          <w:sz w:val="24"/>
          <w:szCs w:val="24"/>
        </w:rPr>
        <w:t>nefritis</w:t>
      </w:r>
      <w:proofErr w:type="spellEnd"/>
      <w:r w:rsidRPr="0055392A">
        <w:rPr>
          <w:sz w:val="24"/>
          <w:szCs w:val="24"/>
        </w:rPr>
        <w:t xml:space="preserve"> (TIN) er set hos patienter, der tager </w:t>
      </w:r>
      <w:proofErr w:type="spellStart"/>
      <w:r w:rsidRPr="0055392A">
        <w:rPr>
          <w:sz w:val="24"/>
          <w:szCs w:val="24"/>
        </w:rPr>
        <w:t>omeprazol</w:t>
      </w:r>
      <w:proofErr w:type="spellEnd"/>
      <w:r w:rsidRPr="0055392A">
        <w:rPr>
          <w:sz w:val="24"/>
          <w:szCs w:val="24"/>
        </w:rPr>
        <w:t xml:space="preserve">, og kan forekomme når som helst under behandling med </w:t>
      </w:r>
      <w:proofErr w:type="spellStart"/>
      <w:r w:rsidRPr="0055392A">
        <w:rPr>
          <w:sz w:val="24"/>
          <w:szCs w:val="24"/>
        </w:rPr>
        <w:t>omeprazol</w:t>
      </w:r>
      <w:proofErr w:type="spellEnd"/>
      <w:r w:rsidRPr="0055392A">
        <w:rPr>
          <w:sz w:val="24"/>
          <w:szCs w:val="24"/>
        </w:rPr>
        <w:t xml:space="preserve"> (se punkt 4.8). Akut </w:t>
      </w:r>
      <w:proofErr w:type="spellStart"/>
      <w:r w:rsidRPr="0055392A">
        <w:rPr>
          <w:sz w:val="24"/>
          <w:szCs w:val="24"/>
        </w:rPr>
        <w:t>tubulointerstitiel</w:t>
      </w:r>
      <w:proofErr w:type="spellEnd"/>
      <w:r w:rsidRPr="0055392A">
        <w:rPr>
          <w:sz w:val="24"/>
          <w:szCs w:val="24"/>
        </w:rPr>
        <w:t xml:space="preserve"> </w:t>
      </w:r>
      <w:proofErr w:type="spellStart"/>
      <w:r w:rsidRPr="0055392A">
        <w:rPr>
          <w:sz w:val="24"/>
          <w:szCs w:val="24"/>
        </w:rPr>
        <w:t>nefritis</w:t>
      </w:r>
      <w:proofErr w:type="spellEnd"/>
      <w:r w:rsidRPr="0055392A">
        <w:rPr>
          <w:sz w:val="24"/>
          <w:szCs w:val="24"/>
        </w:rPr>
        <w:t xml:space="preserve"> kan forværres til nyresvigt. </w:t>
      </w:r>
    </w:p>
    <w:p w:rsidR="00527D5D" w:rsidRPr="0055392A" w:rsidRDefault="00527D5D" w:rsidP="00527D5D">
      <w:pPr>
        <w:ind w:left="851"/>
        <w:rPr>
          <w:sz w:val="24"/>
          <w:szCs w:val="24"/>
        </w:rPr>
      </w:pPr>
    </w:p>
    <w:p w:rsidR="00527D5D" w:rsidRPr="00EA0D4B" w:rsidRDefault="00527D5D" w:rsidP="00527D5D">
      <w:pPr>
        <w:ind w:left="855"/>
        <w:rPr>
          <w:sz w:val="24"/>
          <w:szCs w:val="24"/>
        </w:rPr>
      </w:pPr>
      <w:proofErr w:type="spellStart"/>
      <w:r w:rsidRPr="0055392A">
        <w:rPr>
          <w:sz w:val="24"/>
          <w:szCs w:val="24"/>
        </w:rPr>
        <w:t>Omeprazol</w:t>
      </w:r>
      <w:proofErr w:type="spellEnd"/>
      <w:r w:rsidRPr="0055392A">
        <w:rPr>
          <w:sz w:val="24"/>
          <w:szCs w:val="24"/>
        </w:rPr>
        <w:t xml:space="preserve"> bør seponeres ved mistanke om TIN, og passende behandling bør iværksættes med det samme.</w:t>
      </w:r>
    </w:p>
    <w:p w:rsidR="000834E7" w:rsidRPr="00EA0D4B" w:rsidRDefault="000834E7" w:rsidP="000834E7">
      <w:pPr>
        <w:ind w:left="855"/>
        <w:rPr>
          <w:sz w:val="24"/>
          <w:szCs w:val="24"/>
        </w:rPr>
      </w:pPr>
    </w:p>
    <w:p w:rsidR="000834E7" w:rsidRPr="00EA0D4B" w:rsidRDefault="000834E7" w:rsidP="000834E7">
      <w:pPr>
        <w:ind w:left="855"/>
        <w:rPr>
          <w:sz w:val="24"/>
          <w:szCs w:val="24"/>
        </w:rPr>
      </w:pPr>
      <w:r w:rsidRPr="00EA0D4B">
        <w:rPr>
          <w:sz w:val="24"/>
          <w:szCs w:val="24"/>
        </w:rPr>
        <w:t xml:space="preserve">Behandling med </w:t>
      </w:r>
      <w:proofErr w:type="spellStart"/>
      <w:r w:rsidRPr="00EA0D4B">
        <w:rPr>
          <w:sz w:val="24"/>
          <w:szCs w:val="24"/>
        </w:rPr>
        <w:t>protonpumpehæmmere</w:t>
      </w:r>
      <w:proofErr w:type="spellEnd"/>
      <w:r w:rsidRPr="00EA0D4B">
        <w:rPr>
          <w:sz w:val="24"/>
          <w:szCs w:val="24"/>
        </w:rPr>
        <w:t xml:space="preserve"> kan medføre en let forøget risiko for </w:t>
      </w:r>
      <w:proofErr w:type="spellStart"/>
      <w:r w:rsidRPr="00EA0D4B">
        <w:rPr>
          <w:sz w:val="24"/>
          <w:szCs w:val="24"/>
        </w:rPr>
        <w:t>gastrointestinale</w:t>
      </w:r>
      <w:proofErr w:type="spellEnd"/>
      <w:r w:rsidRPr="00EA0D4B">
        <w:rPr>
          <w:sz w:val="24"/>
          <w:szCs w:val="24"/>
        </w:rPr>
        <w:t xml:space="preserve"> infektioner såsom </w:t>
      </w:r>
      <w:r w:rsidRPr="00A34E5E">
        <w:rPr>
          <w:i/>
          <w:iCs/>
          <w:sz w:val="24"/>
          <w:szCs w:val="24"/>
        </w:rPr>
        <w:t>Salmonella</w:t>
      </w:r>
      <w:r w:rsidRPr="00EA0D4B">
        <w:rPr>
          <w:sz w:val="24"/>
          <w:szCs w:val="24"/>
        </w:rPr>
        <w:t xml:space="preserve"> og </w:t>
      </w:r>
      <w:r w:rsidRPr="00A34E5E">
        <w:rPr>
          <w:i/>
          <w:iCs/>
          <w:sz w:val="24"/>
          <w:szCs w:val="24"/>
        </w:rPr>
        <w:t>Campylobacter</w:t>
      </w:r>
      <w:r w:rsidRPr="00EA0D4B">
        <w:rPr>
          <w:sz w:val="24"/>
          <w:szCs w:val="24"/>
        </w:rPr>
        <w:t xml:space="preserve"> og hos hospitalsindlagte patienter muligvis også </w:t>
      </w:r>
      <w:proofErr w:type="spellStart"/>
      <w:r w:rsidRPr="00EA0D4B">
        <w:rPr>
          <w:i/>
          <w:sz w:val="24"/>
          <w:szCs w:val="24"/>
        </w:rPr>
        <w:t>Clostridium</w:t>
      </w:r>
      <w:proofErr w:type="spellEnd"/>
      <w:r w:rsidRPr="00EA0D4B">
        <w:rPr>
          <w:i/>
          <w:sz w:val="24"/>
          <w:szCs w:val="24"/>
        </w:rPr>
        <w:t xml:space="preserve"> difficile</w:t>
      </w:r>
      <w:r w:rsidRPr="00EA0D4B">
        <w:rPr>
          <w:sz w:val="24"/>
          <w:szCs w:val="24"/>
        </w:rPr>
        <w:t xml:space="preserve"> (se pkt. 5.1).</w:t>
      </w:r>
    </w:p>
    <w:p w:rsidR="000834E7" w:rsidRPr="00EA0D4B" w:rsidRDefault="000834E7" w:rsidP="000834E7">
      <w:pPr>
        <w:ind w:left="855"/>
        <w:rPr>
          <w:sz w:val="24"/>
          <w:szCs w:val="24"/>
        </w:rPr>
      </w:pPr>
    </w:p>
    <w:p w:rsidR="000834E7" w:rsidRPr="00EA0D4B" w:rsidRDefault="000834E7" w:rsidP="000834E7">
      <w:pPr>
        <w:ind w:left="855"/>
        <w:rPr>
          <w:sz w:val="24"/>
          <w:szCs w:val="24"/>
        </w:rPr>
      </w:pPr>
      <w:r w:rsidRPr="00EA0D4B">
        <w:rPr>
          <w:sz w:val="24"/>
          <w:szCs w:val="24"/>
        </w:rPr>
        <w:t>Patienter med langvarige tilbagevendende symptomer på fordøjelsesbesvær eller halsbrand bør konsultere deres læge med regelmæssige intervaller. Specielt patienter over 55 år, som dagligt tager ikke-receptpligtige lægemidler mod fordøjelsesbesvær og halsbrand, bør informere deres apotek eller læge.</w:t>
      </w:r>
    </w:p>
    <w:p w:rsidR="000834E7" w:rsidRPr="00EA0D4B" w:rsidRDefault="000834E7" w:rsidP="000834E7">
      <w:pPr>
        <w:ind w:left="855"/>
        <w:rPr>
          <w:sz w:val="24"/>
          <w:szCs w:val="24"/>
        </w:rPr>
      </w:pPr>
    </w:p>
    <w:p w:rsidR="000834E7" w:rsidRPr="00EA0D4B" w:rsidRDefault="000834E7" w:rsidP="000834E7">
      <w:pPr>
        <w:ind w:left="855"/>
        <w:rPr>
          <w:sz w:val="24"/>
          <w:szCs w:val="24"/>
        </w:rPr>
      </w:pPr>
      <w:r w:rsidRPr="00EA0D4B">
        <w:rPr>
          <w:sz w:val="24"/>
          <w:szCs w:val="24"/>
        </w:rPr>
        <w:t>Patienter bør instrueres i at kontakte lægen, hvis:</w:t>
      </w:r>
    </w:p>
    <w:p w:rsidR="000834E7" w:rsidRDefault="000834E7" w:rsidP="000834E7">
      <w:pPr>
        <w:numPr>
          <w:ilvl w:val="0"/>
          <w:numId w:val="7"/>
        </w:numPr>
        <w:rPr>
          <w:sz w:val="24"/>
          <w:szCs w:val="24"/>
        </w:rPr>
      </w:pPr>
      <w:r w:rsidRPr="00EA0D4B">
        <w:rPr>
          <w:sz w:val="24"/>
          <w:szCs w:val="24"/>
        </w:rPr>
        <w:t>De tidligere har haft gastrisk</w:t>
      </w:r>
      <w:r>
        <w:rPr>
          <w:sz w:val="24"/>
          <w:szCs w:val="24"/>
        </w:rPr>
        <w:t xml:space="preserve"> ulcus eller fået foretaget </w:t>
      </w:r>
      <w:proofErr w:type="spellStart"/>
      <w:r>
        <w:rPr>
          <w:sz w:val="24"/>
          <w:szCs w:val="24"/>
        </w:rPr>
        <w:t>gastrointestinal</w:t>
      </w:r>
      <w:proofErr w:type="spellEnd"/>
      <w:r>
        <w:rPr>
          <w:sz w:val="24"/>
          <w:szCs w:val="24"/>
        </w:rPr>
        <w:t xml:space="preserve"> kirurgi</w:t>
      </w:r>
    </w:p>
    <w:p w:rsidR="000834E7" w:rsidRDefault="000834E7" w:rsidP="000834E7">
      <w:pPr>
        <w:numPr>
          <w:ilvl w:val="0"/>
          <w:numId w:val="7"/>
        </w:numPr>
        <w:rPr>
          <w:sz w:val="24"/>
          <w:szCs w:val="24"/>
        </w:rPr>
      </w:pPr>
      <w:r>
        <w:rPr>
          <w:sz w:val="24"/>
          <w:szCs w:val="24"/>
        </w:rPr>
        <w:t>De har fået kontinuerlig symptomatisk behandling for fordøjelsesbesvær eller halsbrand i 4 uger eller mere</w:t>
      </w:r>
    </w:p>
    <w:p w:rsidR="000834E7" w:rsidRDefault="000834E7" w:rsidP="000834E7">
      <w:pPr>
        <w:numPr>
          <w:ilvl w:val="0"/>
          <w:numId w:val="7"/>
        </w:numPr>
        <w:rPr>
          <w:sz w:val="24"/>
          <w:szCs w:val="24"/>
        </w:rPr>
      </w:pPr>
      <w:r>
        <w:rPr>
          <w:sz w:val="24"/>
          <w:szCs w:val="24"/>
        </w:rPr>
        <w:t>De har gulsot eller alvorlig leversygdom</w:t>
      </w:r>
    </w:p>
    <w:p w:rsidR="000834E7" w:rsidRDefault="000834E7" w:rsidP="000834E7">
      <w:pPr>
        <w:numPr>
          <w:ilvl w:val="0"/>
          <w:numId w:val="7"/>
        </w:numPr>
        <w:rPr>
          <w:sz w:val="24"/>
          <w:szCs w:val="24"/>
        </w:rPr>
      </w:pPr>
      <w:r>
        <w:rPr>
          <w:sz w:val="24"/>
          <w:szCs w:val="24"/>
        </w:rPr>
        <w:t>De er over 55 år og får nye eller nyligt ændrede symptomer</w:t>
      </w:r>
    </w:p>
    <w:p w:rsidR="000834E7" w:rsidRDefault="000834E7" w:rsidP="000834E7">
      <w:pPr>
        <w:rPr>
          <w:sz w:val="24"/>
          <w:szCs w:val="24"/>
        </w:rPr>
      </w:pPr>
    </w:p>
    <w:p w:rsidR="000834E7" w:rsidRDefault="000834E7" w:rsidP="000834E7">
      <w:pPr>
        <w:ind w:left="851"/>
        <w:rPr>
          <w:sz w:val="24"/>
          <w:szCs w:val="24"/>
        </w:rPr>
      </w:pPr>
      <w:r>
        <w:rPr>
          <w:sz w:val="24"/>
          <w:szCs w:val="24"/>
        </w:rPr>
        <w:t xml:space="preserve">Patienterne bør ikke tage </w:t>
      </w:r>
      <w:proofErr w:type="spellStart"/>
      <w:r>
        <w:rPr>
          <w:sz w:val="24"/>
          <w:szCs w:val="24"/>
        </w:rPr>
        <w:t>omeprazol</w:t>
      </w:r>
      <w:proofErr w:type="spellEnd"/>
      <w:r>
        <w:rPr>
          <w:sz w:val="24"/>
          <w:szCs w:val="24"/>
        </w:rPr>
        <w:t xml:space="preserve"> som et forebyggende lægemiddel.</w:t>
      </w:r>
    </w:p>
    <w:p w:rsidR="00754C35" w:rsidRDefault="00754C35" w:rsidP="00754C35"/>
    <w:p w:rsidR="00527D5D" w:rsidRDefault="00527D5D" w:rsidP="00754C35"/>
    <w:p w:rsidR="00527D5D" w:rsidRDefault="00527D5D" w:rsidP="00754C35"/>
    <w:p w:rsidR="00754C35" w:rsidRPr="00754C35" w:rsidRDefault="00754C35" w:rsidP="00754C35">
      <w:pPr>
        <w:pStyle w:val="Default"/>
        <w:ind w:left="851"/>
        <w:rPr>
          <w:i/>
          <w:u w:val="single"/>
          <w:lang w:val="da-DK"/>
        </w:rPr>
      </w:pPr>
      <w:proofErr w:type="spellStart"/>
      <w:r w:rsidRPr="004F5AD8">
        <w:rPr>
          <w:i/>
          <w:u w:val="single"/>
          <w:lang w:val="da-DK"/>
        </w:rPr>
        <w:lastRenderedPageBreak/>
        <w:t>Omeprazol</w:t>
      </w:r>
      <w:proofErr w:type="spellEnd"/>
      <w:r w:rsidRPr="004F5AD8">
        <w:rPr>
          <w:i/>
          <w:u w:val="single"/>
          <w:lang w:val="da-DK"/>
        </w:rPr>
        <w:t xml:space="preserve"> ”Sandoz” indeholder </w:t>
      </w:r>
      <w:proofErr w:type="spellStart"/>
      <w:r w:rsidRPr="004F5AD8">
        <w:rPr>
          <w:i/>
          <w:u w:val="single"/>
          <w:lang w:val="da-DK"/>
        </w:rPr>
        <w:t>saccharose</w:t>
      </w:r>
      <w:proofErr w:type="spellEnd"/>
      <w:r w:rsidRPr="004F5AD8">
        <w:rPr>
          <w:i/>
          <w:u w:val="single"/>
          <w:lang w:val="da-DK"/>
        </w:rPr>
        <w:t xml:space="preserve"> og natrium</w:t>
      </w:r>
    </w:p>
    <w:p w:rsidR="00754C35" w:rsidRDefault="00754C35" w:rsidP="00754C35">
      <w:pPr>
        <w:pStyle w:val="Default"/>
        <w:ind w:left="851"/>
        <w:rPr>
          <w:lang w:val="da-DK"/>
        </w:rPr>
      </w:pPr>
      <w:r>
        <w:rPr>
          <w:lang w:val="da-DK"/>
        </w:rPr>
        <w:t xml:space="preserve">Bør ikke anvendes til patienter med hereditær </w:t>
      </w:r>
      <w:proofErr w:type="spellStart"/>
      <w:r>
        <w:rPr>
          <w:lang w:val="da-DK"/>
        </w:rPr>
        <w:t>fructoseintolerans</w:t>
      </w:r>
      <w:proofErr w:type="spellEnd"/>
      <w:r>
        <w:rPr>
          <w:lang w:val="da-DK"/>
        </w:rPr>
        <w:t xml:space="preserve">, </w:t>
      </w:r>
      <w:proofErr w:type="spellStart"/>
      <w:r>
        <w:rPr>
          <w:lang w:val="da-DK"/>
        </w:rPr>
        <w:t>glucose</w:t>
      </w:r>
      <w:proofErr w:type="spellEnd"/>
      <w:r>
        <w:rPr>
          <w:lang w:val="da-DK"/>
        </w:rPr>
        <w:t>-/</w:t>
      </w:r>
      <w:proofErr w:type="spellStart"/>
      <w:r>
        <w:rPr>
          <w:lang w:val="da-DK"/>
        </w:rPr>
        <w:t>galactose-malabsorption</w:t>
      </w:r>
      <w:proofErr w:type="spellEnd"/>
      <w:r>
        <w:rPr>
          <w:lang w:val="da-DK"/>
        </w:rPr>
        <w:t xml:space="preserve"> og </w:t>
      </w:r>
      <w:proofErr w:type="spellStart"/>
      <w:r>
        <w:rPr>
          <w:lang w:val="da-DK"/>
        </w:rPr>
        <w:t>sucrase-isomaltasemangel</w:t>
      </w:r>
      <w:proofErr w:type="spellEnd"/>
      <w:r>
        <w:rPr>
          <w:lang w:val="da-DK"/>
        </w:rPr>
        <w:t xml:space="preserve">. </w:t>
      </w:r>
    </w:p>
    <w:p w:rsidR="00754C35" w:rsidRDefault="00754C35" w:rsidP="000834E7"/>
    <w:p w:rsidR="000834E7" w:rsidRDefault="000834E7" w:rsidP="000834E7">
      <w:pPr>
        <w:ind w:left="851"/>
        <w:rPr>
          <w:sz w:val="24"/>
          <w:szCs w:val="24"/>
        </w:rPr>
      </w:pPr>
      <w:r w:rsidRPr="00167DA0">
        <w:t>Dette lægemiddel indeholder mindre end 1 mmol (23 mg) natrium pr. kapsel, dvs. det er i det væsentlige natriumfrit.</w:t>
      </w:r>
    </w:p>
    <w:p w:rsidR="00821DDD" w:rsidRPr="00774AEF" w:rsidRDefault="00821DDD" w:rsidP="00821DDD">
      <w:pPr>
        <w:pStyle w:val="Default"/>
        <w:ind w:left="851" w:hanging="851"/>
        <w:rPr>
          <w:lang w:val="da-DK"/>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Interaktion med andre lægemidler og andre former for interaktion</w:t>
      </w:r>
    </w:p>
    <w:p w:rsidR="000834E7" w:rsidRPr="00774AEF" w:rsidRDefault="00821DDD" w:rsidP="000834E7">
      <w:pPr>
        <w:ind w:left="851" w:hanging="851"/>
        <w:jc w:val="both"/>
      </w:pPr>
      <w:r w:rsidRPr="00774AEF">
        <w:rPr>
          <w:sz w:val="24"/>
          <w:szCs w:val="24"/>
        </w:rPr>
        <w:tab/>
      </w:r>
      <w:proofErr w:type="spellStart"/>
      <w:r w:rsidR="000834E7" w:rsidRPr="00774AEF">
        <w:rPr>
          <w:u w:val="single"/>
        </w:rPr>
        <w:t>Omeprazols</w:t>
      </w:r>
      <w:proofErr w:type="spellEnd"/>
      <w:r w:rsidR="000834E7" w:rsidRPr="00774AEF">
        <w:rPr>
          <w:u w:val="single"/>
        </w:rPr>
        <w:t xml:space="preserve"> virkning på andre </w:t>
      </w:r>
      <w:r w:rsidR="000834E7" w:rsidRPr="008D367D">
        <w:rPr>
          <w:u w:val="single"/>
        </w:rPr>
        <w:t>aktive stoffer</w:t>
      </w:r>
      <w:r w:rsidR="000834E7">
        <w:rPr>
          <w:u w:val="single"/>
        </w:rPr>
        <w:t xml:space="preserve">s </w:t>
      </w:r>
      <w:r w:rsidR="000834E7" w:rsidRPr="00774AEF">
        <w:rPr>
          <w:u w:val="single"/>
        </w:rPr>
        <w:t xml:space="preserve">farmakokinetik </w:t>
      </w:r>
    </w:p>
    <w:p w:rsidR="000834E7" w:rsidRPr="00774AEF" w:rsidRDefault="000834E7" w:rsidP="000834E7">
      <w:pPr>
        <w:pStyle w:val="Default"/>
        <w:ind w:left="851" w:right="-40"/>
        <w:rPr>
          <w:u w:val="single"/>
          <w:lang w:val="da-DK"/>
        </w:rPr>
      </w:pPr>
      <w:r>
        <w:rPr>
          <w:i/>
          <w:u w:val="single"/>
          <w:lang w:val="da-DK"/>
        </w:rPr>
        <w:t>Aktive stoffer</w:t>
      </w:r>
      <w:r w:rsidRPr="00774AEF">
        <w:rPr>
          <w:i/>
          <w:u w:val="single"/>
          <w:lang w:val="da-DK"/>
        </w:rPr>
        <w:t xml:space="preserve"> med pH-afhængig absorption</w:t>
      </w:r>
    </w:p>
    <w:p w:rsidR="000834E7" w:rsidRPr="00774AEF" w:rsidRDefault="000834E7" w:rsidP="000834E7">
      <w:pPr>
        <w:pStyle w:val="Default"/>
        <w:ind w:left="851" w:right="-40"/>
        <w:rPr>
          <w:lang w:val="da-DK"/>
        </w:rPr>
      </w:pPr>
      <w:r w:rsidRPr="00774AEF">
        <w:rPr>
          <w:lang w:val="da-DK"/>
        </w:rPr>
        <w:t>Den nedsatte intragastriske surhed</w:t>
      </w:r>
      <w:r>
        <w:rPr>
          <w:lang w:val="da-DK"/>
        </w:rPr>
        <w:t>sgrad</w:t>
      </w:r>
      <w:r w:rsidRPr="00774AEF">
        <w:rPr>
          <w:lang w:val="da-DK"/>
        </w:rPr>
        <w:t xml:space="preserve"> under behandling med </w:t>
      </w:r>
      <w:proofErr w:type="spellStart"/>
      <w:r w:rsidRPr="00774AEF">
        <w:rPr>
          <w:lang w:val="da-DK"/>
        </w:rPr>
        <w:t>omeprazol</w:t>
      </w:r>
      <w:proofErr w:type="spellEnd"/>
      <w:r w:rsidRPr="00774AEF">
        <w:rPr>
          <w:lang w:val="da-DK"/>
        </w:rPr>
        <w:t xml:space="preserve"> kan øge eller </w:t>
      </w:r>
      <w:r>
        <w:rPr>
          <w:lang w:val="da-DK"/>
        </w:rPr>
        <w:t>nedsætte</w:t>
      </w:r>
      <w:r w:rsidRPr="00774AEF">
        <w:rPr>
          <w:lang w:val="da-DK"/>
        </w:rPr>
        <w:t xml:space="preserve"> absorptionen af aktive stoffer med gastrisk pH-afhængig absorption. </w:t>
      </w:r>
    </w:p>
    <w:p w:rsidR="00821DDD" w:rsidRPr="00774AEF" w:rsidRDefault="00821DDD" w:rsidP="000834E7">
      <w:pPr>
        <w:ind w:left="851" w:hanging="851"/>
        <w:jc w:val="both"/>
      </w:pPr>
    </w:p>
    <w:p w:rsidR="00821DDD" w:rsidRPr="00774AEF" w:rsidRDefault="00821DDD" w:rsidP="00821DDD">
      <w:pPr>
        <w:pStyle w:val="Default"/>
        <w:ind w:left="851" w:right="-40"/>
        <w:rPr>
          <w:i/>
          <w:lang w:val="da-DK"/>
        </w:rPr>
      </w:pPr>
      <w:proofErr w:type="spellStart"/>
      <w:r w:rsidRPr="00774AEF">
        <w:rPr>
          <w:i/>
          <w:lang w:val="da-DK"/>
        </w:rPr>
        <w:t>Nelfinavir</w:t>
      </w:r>
      <w:proofErr w:type="spellEnd"/>
      <w:r w:rsidRPr="00774AEF">
        <w:rPr>
          <w:i/>
          <w:lang w:val="da-DK"/>
        </w:rPr>
        <w:t xml:space="preserve">, </w:t>
      </w:r>
      <w:proofErr w:type="spellStart"/>
      <w:r w:rsidRPr="00774AEF">
        <w:rPr>
          <w:i/>
          <w:lang w:val="da-DK"/>
        </w:rPr>
        <w:t>atazanavir</w:t>
      </w:r>
      <w:proofErr w:type="spellEnd"/>
      <w:r w:rsidRPr="00774AEF">
        <w:rPr>
          <w:i/>
          <w:lang w:val="da-DK"/>
        </w:rPr>
        <w:t xml:space="preserve"> </w:t>
      </w:r>
    </w:p>
    <w:p w:rsidR="00821DDD" w:rsidRPr="00774AEF" w:rsidRDefault="00821DDD" w:rsidP="00821DDD">
      <w:pPr>
        <w:pStyle w:val="Default"/>
        <w:ind w:left="851" w:right="-40"/>
        <w:rPr>
          <w:lang w:val="da-DK"/>
        </w:rPr>
      </w:pPr>
      <w:r>
        <w:rPr>
          <w:lang w:val="da-DK"/>
        </w:rPr>
        <w:t>Plasmakoncentrationerne</w:t>
      </w:r>
      <w:r w:rsidRPr="00774AEF">
        <w:rPr>
          <w:lang w:val="da-DK"/>
        </w:rPr>
        <w:t xml:space="preserve"> af </w:t>
      </w:r>
      <w:proofErr w:type="spellStart"/>
      <w:r w:rsidRPr="00774AEF">
        <w:rPr>
          <w:lang w:val="da-DK"/>
        </w:rPr>
        <w:t>nelfinavir</w:t>
      </w:r>
      <w:proofErr w:type="spellEnd"/>
      <w:r w:rsidRPr="00774AEF">
        <w:rPr>
          <w:lang w:val="da-DK"/>
        </w:rPr>
        <w:t xml:space="preserve"> og </w:t>
      </w:r>
      <w:proofErr w:type="spellStart"/>
      <w:r w:rsidRPr="00774AEF">
        <w:rPr>
          <w:lang w:val="da-DK"/>
        </w:rPr>
        <w:t>atazanavir</w:t>
      </w:r>
      <w:proofErr w:type="spellEnd"/>
      <w:r w:rsidRPr="00774AEF">
        <w:rPr>
          <w:lang w:val="da-DK"/>
        </w:rPr>
        <w:t xml:space="preserve"> reduceres </w:t>
      </w:r>
      <w:r>
        <w:rPr>
          <w:lang w:val="da-DK"/>
        </w:rPr>
        <w:t xml:space="preserve">ved </w:t>
      </w:r>
      <w:proofErr w:type="spellStart"/>
      <w:r>
        <w:rPr>
          <w:lang w:val="da-DK"/>
        </w:rPr>
        <w:t>co</w:t>
      </w:r>
      <w:proofErr w:type="spellEnd"/>
      <w:r>
        <w:rPr>
          <w:lang w:val="da-DK"/>
        </w:rPr>
        <w:t>-administration af</w:t>
      </w:r>
      <w:r w:rsidRPr="00774AEF">
        <w:rPr>
          <w:lang w:val="da-DK"/>
        </w:rPr>
        <w:t xml:space="preserve"> </w:t>
      </w:r>
      <w:proofErr w:type="spellStart"/>
      <w:r w:rsidRPr="00774AEF">
        <w:rPr>
          <w:lang w:val="da-DK"/>
        </w:rPr>
        <w:t>omeprazol</w:t>
      </w:r>
      <w:proofErr w:type="spellEnd"/>
      <w:r w:rsidRPr="00774AEF">
        <w:rPr>
          <w:lang w:val="da-DK"/>
        </w:rPr>
        <w:t xml:space="preserve">. </w:t>
      </w:r>
    </w:p>
    <w:p w:rsidR="00821DDD" w:rsidRPr="00774AEF" w:rsidRDefault="00821DDD" w:rsidP="00821DDD">
      <w:pPr>
        <w:pStyle w:val="Default"/>
        <w:ind w:left="851" w:right="-40" w:hanging="851"/>
        <w:rPr>
          <w:lang w:val="da-DK"/>
        </w:rPr>
      </w:pPr>
    </w:p>
    <w:p w:rsidR="00821DDD" w:rsidRDefault="00821DDD" w:rsidP="00821DDD">
      <w:pPr>
        <w:pStyle w:val="Default"/>
        <w:ind w:left="851" w:right="-40"/>
        <w:rPr>
          <w:lang w:val="da-DK"/>
        </w:rPr>
      </w:pPr>
      <w:r>
        <w:rPr>
          <w:lang w:val="da-DK"/>
        </w:rPr>
        <w:t xml:space="preserve">Samtidig administration af </w:t>
      </w:r>
      <w:proofErr w:type="spellStart"/>
      <w:r>
        <w:rPr>
          <w:lang w:val="da-DK"/>
        </w:rPr>
        <w:t>omeprazol</w:t>
      </w:r>
      <w:proofErr w:type="spellEnd"/>
      <w:r>
        <w:rPr>
          <w:lang w:val="da-DK"/>
        </w:rPr>
        <w:t xml:space="preserve"> og </w:t>
      </w:r>
      <w:proofErr w:type="spellStart"/>
      <w:r>
        <w:rPr>
          <w:lang w:val="da-DK"/>
        </w:rPr>
        <w:t>nelfinavir</w:t>
      </w:r>
      <w:proofErr w:type="spellEnd"/>
      <w:r>
        <w:rPr>
          <w:lang w:val="da-DK"/>
        </w:rPr>
        <w:t xml:space="preserve"> er kontraindiceret (se pkt. 4.3). Co-administration af </w:t>
      </w:r>
      <w:proofErr w:type="spellStart"/>
      <w:r>
        <w:rPr>
          <w:lang w:val="da-DK"/>
        </w:rPr>
        <w:t>omeprazol</w:t>
      </w:r>
      <w:proofErr w:type="spellEnd"/>
      <w:r>
        <w:rPr>
          <w:lang w:val="da-DK"/>
        </w:rPr>
        <w:t xml:space="preserve"> (40 mg en gang dagligt) reducerede den gennemsnitlige eksponering for </w:t>
      </w:r>
      <w:proofErr w:type="spellStart"/>
      <w:r>
        <w:rPr>
          <w:lang w:val="da-DK"/>
        </w:rPr>
        <w:t>nelfinavir</w:t>
      </w:r>
      <w:proofErr w:type="spellEnd"/>
      <w:r>
        <w:rPr>
          <w:lang w:val="da-DK"/>
        </w:rPr>
        <w:t xml:space="preserve"> med ca. 40 %, og den gennemsnitlige eksponering for den farmakologisk aktive metabolit M8 blev reduceret med ca. 75-90 %. Interaktionen kan også involvere hæmning af CYP2C19. </w:t>
      </w:r>
    </w:p>
    <w:p w:rsidR="00821DDD" w:rsidRDefault="00821DDD" w:rsidP="00821DDD">
      <w:pPr>
        <w:pStyle w:val="Default"/>
        <w:ind w:left="851" w:right="-40"/>
        <w:rPr>
          <w:lang w:val="da-DK"/>
        </w:rPr>
      </w:pPr>
    </w:p>
    <w:p w:rsidR="00821DDD" w:rsidRPr="00774AEF" w:rsidRDefault="00821DDD" w:rsidP="00821DDD">
      <w:pPr>
        <w:pStyle w:val="Default"/>
        <w:ind w:left="851" w:right="-40"/>
        <w:rPr>
          <w:lang w:val="da-DK"/>
        </w:rPr>
      </w:pPr>
      <w:r w:rsidRPr="00774AEF">
        <w:rPr>
          <w:lang w:val="da-DK"/>
        </w:rPr>
        <w:t xml:space="preserve">Samtidig administration af </w:t>
      </w:r>
      <w:proofErr w:type="spellStart"/>
      <w:r w:rsidRPr="00774AEF">
        <w:rPr>
          <w:lang w:val="da-DK"/>
        </w:rPr>
        <w:t>omeprazol</w:t>
      </w:r>
      <w:proofErr w:type="spellEnd"/>
      <w:r w:rsidRPr="00774AEF">
        <w:rPr>
          <w:lang w:val="da-DK"/>
        </w:rPr>
        <w:t xml:space="preserve"> og </w:t>
      </w:r>
      <w:proofErr w:type="spellStart"/>
      <w:r w:rsidRPr="00774AEF">
        <w:rPr>
          <w:lang w:val="da-DK"/>
        </w:rPr>
        <w:t>atazanavir</w:t>
      </w:r>
      <w:proofErr w:type="spellEnd"/>
      <w:r w:rsidRPr="00774AEF">
        <w:rPr>
          <w:lang w:val="da-DK"/>
        </w:rPr>
        <w:t xml:space="preserve"> </w:t>
      </w:r>
      <w:r>
        <w:rPr>
          <w:lang w:val="da-DK"/>
        </w:rPr>
        <w:t xml:space="preserve">kan ikke </w:t>
      </w:r>
      <w:r w:rsidRPr="00774AEF">
        <w:rPr>
          <w:lang w:val="da-DK"/>
        </w:rPr>
        <w:t xml:space="preserve">anbefales (se pkt. 4.4). Samtidig administration af </w:t>
      </w:r>
      <w:proofErr w:type="spellStart"/>
      <w:r w:rsidRPr="00774AEF">
        <w:rPr>
          <w:lang w:val="da-DK"/>
        </w:rPr>
        <w:t>omeprazol</w:t>
      </w:r>
      <w:proofErr w:type="spellEnd"/>
      <w:r w:rsidRPr="00774AEF">
        <w:rPr>
          <w:lang w:val="da-DK"/>
        </w:rPr>
        <w:t xml:space="preserve"> (40 mg </w:t>
      </w:r>
      <w:r>
        <w:rPr>
          <w:lang w:val="da-DK"/>
        </w:rPr>
        <w:t>é</w:t>
      </w:r>
      <w:r w:rsidRPr="00774AEF">
        <w:rPr>
          <w:lang w:val="da-DK"/>
        </w:rPr>
        <w:t xml:space="preserve">n gang dagligt) og </w:t>
      </w:r>
      <w:proofErr w:type="spellStart"/>
      <w:r w:rsidRPr="00774AEF">
        <w:rPr>
          <w:lang w:val="da-DK"/>
        </w:rPr>
        <w:t>atazanavir</w:t>
      </w:r>
      <w:proofErr w:type="spellEnd"/>
      <w:r w:rsidRPr="00774AEF">
        <w:rPr>
          <w:lang w:val="da-DK"/>
        </w:rPr>
        <w:t xml:space="preserve"> 300 mg/</w:t>
      </w:r>
      <w:proofErr w:type="spellStart"/>
      <w:r w:rsidRPr="00774AEF">
        <w:rPr>
          <w:lang w:val="da-DK"/>
        </w:rPr>
        <w:t>ritonavir</w:t>
      </w:r>
      <w:proofErr w:type="spellEnd"/>
      <w:r w:rsidRPr="00774AEF">
        <w:rPr>
          <w:lang w:val="da-DK"/>
        </w:rPr>
        <w:t xml:space="preserve"> 100 mg til raske frivillige resulterede i en reduktion af </w:t>
      </w:r>
      <w:proofErr w:type="spellStart"/>
      <w:r w:rsidRPr="00774AEF">
        <w:rPr>
          <w:lang w:val="da-DK"/>
        </w:rPr>
        <w:t>atazanavir</w:t>
      </w:r>
      <w:proofErr w:type="spellEnd"/>
      <w:r w:rsidRPr="00774AEF">
        <w:rPr>
          <w:lang w:val="da-DK"/>
        </w:rPr>
        <w:t>-eksponeringen</w:t>
      </w:r>
      <w:r>
        <w:rPr>
          <w:lang w:val="da-DK"/>
        </w:rPr>
        <w:t xml:space="preserve"> på 75 %</w:t>
      </w:r>
      <w:r w:rsidRPr="00774AEF">
        <w:rPr>
          <w:lang w:val="da-DK"/>
        </w:rPr>
        <w:t xml:space="preserve">. Øgning af </w:t>
      </w:r>
      <w:proofErr w:type="spellStart"/>
      <w:r w:rsidRPr="00774AEF">
        <w:rPr>
          <w:lang w:val="da-DK"/>
        </w:rPr>
        <w:t>atazanavir</w:t>
      </w:r>
      <w:r>
        <w:rPr>
          <w:lang w:val="da-DK"/>
        </w:rPr>
        <w:t>dosis</w:t>
      </w:r>
      <w:proofErr w:type="spellEnd"/>
      <w:r w:rsidRPr="00774AEF">
        <w:rPr>
          <w:lang w:val="da-DK"/>
        </w:rPr>
        <w:t xml:space="preserve"> til 400 mg kompenserede ikke for </w:t>
      </w:r>
      <w:r>
        <w:rPr>
          <w:lang w:val="da-DK"/>
        </w:rPr>
        <w:t xml:space="preserve">indvirkningen af </w:t>
      </w:r>
      <w:proofErr w:type="spellStart"/>
      <w:r w:rsidRPr="00774AEF">
        <w:rPr>
          <w:lang w:val="da-DK"/>
        </w:rPr>
        <w:t>omeprazol</w:t>
      </w:r>
      <w:proofErr w:type="spellEnd"/>
      <w:r w:rsidRPr="00774AEF">
        <w:rPr>
          <w:lang w:val="da-DK"/>
        </w:rPr>
        <w:t xml:space="preserve"> på </w:t>
      </w:r>
      <w:proofErr w:type="spellStart"/>
      <w:r w:rsidRPr="00774AEF">
        <w:rPr>
          <w:lang w:val="da-DK"/>
        </w:rPr>
        <w:t>atazanavir</w:t>
      </w:r>
      <w:proofErr w:type="spellEnd"/>
      <w:r w:rsidRPr="00774AEF">
        <w:rPr>
          <w:lang w:val="da-DK"/>
        </w:rPr>
        <w:t xml:space="preserve">-eksponeringen. </w:t>
      </w:r>
      <w:r>
        <w:rPr>
          <w:lang w:val="da-DK"/>
        </w:rPr>
        <w:t>Co-</w:t>
      </w:r>
      <w:r w:rsidRPr="00774AEF">
        <w:rPr>
          <w:lang w:val="da-DK"/>
        </w:rPr>
        <w:t xml:space="preserve">administration af </w:t>
      </w:r>
      <w:proofErr w:type="spellStart"/>
      <w:r w:rsidRPr="00774AEF">
        <w:rPr>
          <w:lang w:val="da-DK"/>
        </w:rPr>
        <w:t>omeprazol</w:t>
      </w:r>
      <w:proofErr w:type="spellEnd"/>
      <w:r w:rsidRPr="00774AEF">
        <w:rPr>
          <w:lang w:val="da-DK"/>
        </w:rPr>
        <w:t xml:space="preserve"> (20 mg en gang dagligt) </w:t>
      </w:r>
      <w:r>
        <w:rPr>
          <w:lang w:val="da-DK"/>
        </w:rPr>
        <w:t>med</w:t>
      </w:r>
      <w:r w:rsidRPr="00774AEF">
        <w:rPr>
          <w:lang w:val="da-DK"/>
        </w:rPr>
        <w:t xml:space="preserve"> </w:t>
      </w:r>
      <w:proofErr w:type="spellStart"/>
      <w:r w:rsidRPr="00774AEF">
        <w:rPr>
          <w:lang w:val="da-DK"/>
        </w:rPr>
        <w:t>atazanavir</w:t>
      </w:r>
      <w:proofErr w:type="spellEnd"/>
      <w:r w:rsidRPr="00774AEF">
        <w:rPr>
          <w:lang w:val="da-DK"/>
        </w:rPr>
        <w:t xml:space="preserve"> 400 mg/</w:t>
      </w:r>
      <w:proofErr w:type="spellStart"/>
      <w:r w:rsidRPr="00774AEF">
        <w:rPr>
          <w:lang w:val="da-DK"/>
        </w:rPr>
        <w:t>ritonavir</w:t>
      </w:r>
      <w:proofErr w:type="spellEnd"/>
      <w:r w:rsidRPr="00774AEF">
        <w:rPr>
          <w:lang w:val="da-DK"/>
        </w:rPr>
        <w:t xml:space="preserve"> 100 mg til raske frivillige </w:t>
      </w:r>
      <w:r>
        <w:rPr>
          <w:lang w:val="da-DK"/>
        </w:rPr>
        <w:t xml:space="preserve">resulterede i et fald i eksponeringen for </w:t>
      </w:r>
      <w:proofErr w:type="spellStart"/>
      <w:r>
        <w:rPr>
          <w:lang w:val="da-DK"/>
        </w:rPr>
        <w:t>atazanavir</w:t>
      </w:r>
      <w:proofErr w:type="spellEnd"/>
      <w:r>
        <w:rPr>
          <w:lang w:val="da-DK"/>
        </w:rPr>
        <w:t xml:space="preserve"> på ca. 30 %</w:t>
      </w:r>
      <w:r w:rsidRPr="00774AEF">
        <w:rPr>
          <w:lang w:val="da-DK"/>
        </w:rPr>
        <w:t xml:space="preserve"> sammenlignet med </w:t>
      </w:r>
      <w:proofErr w:type="spellStart"/>
      <w:r w:rsidRPr="00774AEF">
        <w:rPr>
          <w:lang w:val="da-DK"/>
        </w:rPr>
        <w:t>atazanavir</w:t>
      </w:r>
      <w:proofErr w:type="spellEnd"/>
      <w:r w:rsidRPr="00774AEF">
        <w:rPr>
          <w:lang w:val="da-DK"/>
        </w:rPr>
        <w:t xml:space="preserve"> 300 mg/</w:t>
      </w:r>
      <w:proofErr w:type="spellStart"/>
      <w:r w:rsidRPr="00774AEF">
        <w:rPr>
          <w:lang w:val="da-DK"/>
        </w:rPr>
        <w:t>ritonavir</w:t>
      </w:r>
      <w:proofErr w:type="spellEnd"/>
      <w:r w:rsidRPr="00774AEF">
        <w:rPr>
          <w:lang w:val="da-DK"/>
        </w:rPr>
        <w:t xml:space="preserve"> 100 mg en gang dagligt. </w:t>
      </w:r>
    </w:p>
    <w:p w:rsidR="00821DDD" w:rsidRDefault="00821DDD" w:rsidP="00821DDD">
      <w:pPr>
        <w:pStyle w:val="Default"/>
        <w:ind w:left="851" w:right="-40"/>
        <w:rPr>
          <w:i/>
          <w:lang w:val="da-DK"/>
        </w:rPr>
      </w:pPr>
    </w:p>
    <w:p w:rsidR="00821DDD" w:rsidRPr="00774AEF" w:rsidRDefault="00821DDD" w:rsidP="00821DDD">
      <w:pPr>
        <w:pStyle w:val="Default"/>
        <w:ind w:left="851" w:right="-40"/>
        <w:rPr>
          <w:i/>
          <w:lang w:val="da-DK"/>
        </w:rPr>
      </w:pPr>
      <w:proofErr w:type="spellStart"/>
      <w:r w:rsidRPr="00774AEF">
        <w:rPr>
          <w:i/>
          <w:lang w:val="da-DK"/>
        </w:rPr>
        <w:t>Digoxin</w:t>
      </w:r>
      <w:proofErr w:type="spellEnd"/>
      <w:r w:rsidRPr="00774AEF">
        <w:rPr>
          <w:i/>
          <w:lang w:val="da-DK"/>
        </w:rPr>
        <w:t xml:space="preserve"> </w:t>
      </w:r>
    </w:p>
    <w:p w:rsidR="00821DDD" w:rsidRDefault="00821DDD" w:rsidP="00821DDD">
      <w:pPr>
        <w:pStyle w:val="Default"/>
        <w:ind w:left="851" w:right="-40"/>
        <w:rPr>
          <w:lang w:val="da-DK"/>
        </w:rPr>
      </w:pPr>
      <w:r w:rsidRPr="00774AEF">
        <w:rPr>
          <w:lang w:val="da-DK"/>
        </w:rPr>
        <w:t xml:space="preserve">Samtidig behandling med </w:t>
      </w:r>
      <w:proofErr w:type="spellStart"/>
      <w:r w:rsidRPr="00774AEF">
        <w:rPr>
          <w:lang w:val="da-DK"/>
        </w:rPr>
        <w:t>omeprazol</w:t>
      </w:r>
      <w:proofErr w:type="spellEnd"/>
      <w:r w:rsidRPr="00774AEF">
        <w:rPr>
          <w:lang w:val="da-DK"/>
        </w:rPr>
        <w:t xml:space="preserve"> (20 mg dagligt) og </w:t>
      </w:r>
      <w:proofErr w:type="spellStart"/>
      <w:r w:rsidRPr="00774AEF">
        <w:rPr>
          <w:lang w:val="da-DK"/>
        </w:rPr>
        <w:t>digoxin</w:t>
      </w:r>
      <w:proofErr w:type="spellEnd"/>
      <w:r w:rsidRPr="00774AEF">
        <w:rPr>
          <w:lang w:val="da-DK"/>
        </w:rPr>
        <w:t xml:space="preserve"> </w:t>
      </w:r>
      <w:r>
        <w:rPr>
          <w:lang w:val="da-DK"/>
        </w:rPr>
        <w:t>til</w:t>
      </w:r>
      <w:r w:rsidRPr="00774AEF">
        <w:rPr>
          <w:lang w:val="da-DK"/>
        </w:rPr>
        <w:t xml:space="preserve"> raske </w:t>
      </w:r>
      <w:r>
        <w:rPr>
          <w:lang w:val="da-DK"/>
        </w:rPr>
        <w:t>frivillige</w:t>
      </w:r>
      <w:r w:rsidRPr="00774AEF">
        <w:rPr>
          <w:lang w:val="da-DK"/>
        </w:rPr>
        <w:t xml:space="preserve"> øgede </w:t>
      </w:r>
      <w:r>
        <w:rPr>
          <w:lang w:val="da-DK"/>
        </w:rPr>
        <w:t xml:space="preserve">biotilgængeligheden af </w:t>
      </w:r>
      <w:proofErr w:type="spellStart"/>
      <w:r w:rsidRPr="00774AEF">
        <w:rPr>
          <w:lang w:val="da-DK"/>
        </w:rPr>
        <w:t>digoxin</w:t>
      </w:r>
      <w:proofErr w:type="spellEnd"/>
      <w:r w:rsidRPr="00774AEF">
        <w:rPr>
          <w:lang w:val="da-DK"/>
        </w:rPr>
        <w:t xml:space="preserve"> med 10 %. </w:t>
      </w:r>
      <w:proofErr w:type="spellStart"/>
      <w:r w:rsidRPr="00774AEF">
        <w:rPr>
          <w:lang w:val="da-DK"/>
        </w:rPr>
        <w:t>Digoxintoksicitet</w:t>
      </w:r>
      <w:proofErr w:type="spellEnd"/>
      <w:r w:rsidRPr="00774AEF">
        <w:rPr>
          <w:lang w:val="da-DK"/>
        </w:rPr>
        <w:t xml:space="preserve"> </w:t>
      </w:r>
      <w:r>
        <w:rPr>
          <w:lang w:val="da-DK"/>
        </w:rPr>
        <w:t>e</w:t>
      </w:r>
      <w:r w:rsidRPr="00774AEF">
        <w:rPr>
          <w:lang w:val="da-DK"/>
        </w:rPr>
        <w:t xml:space="preserve">r sjældent </w:t>
      </w:r>
      <w:r>
        <w:rPr>
          <w:lang w:val="da-DK"/>
        </w:rPr>
        <w:t>blevet</w:t>
      </w:r>
      <w:r w:rsidRPr="00774AEF">
        <w:rPr>
          <w:lang w:val="da-DK"/>
        </w:rPr>
        <w:t xml:space="preserve"> rapporteret. </w:t>
      </w:r>
      <w:r>
        <w:rPr>
          <w:lang w:val="da-DK"/>
        </w:rPr>
        <w:t>Dog bør der</w:t>
      </w:r>
      <w:r w:rsidRPr="00774AEF">
        <w:rPr>
          <w:lang w:val="da-DK"/>
        </w:rPr>
        <w:t xml:space="preserve"> udvises forsigtighed, når </w:t>
      </w:r>
      <w:proofErr w:type="spellStart"/>
      <w:r w:rsidRPr="00774AEF">
        <w:rPr>
          <w:lang w:val="da-DK"/>
        </w:rPr>
        <w:t>omeprazol</w:t>
      </w:r>
      <w:proofErr w:type="spellEnd"/>
      <w:r w:rsidRPr="00774AEF">
        <w:rPr>
          <w:lang w:val="da-DK"/>
        </w:rPr>
        <w:t xml:space="preserve"> gives i høje doser til ældre patienter.</w:t>
      </w:r>
      <w:r>
        <w:rPr>
          <w:lang w:val="da-DK"/>
        </w:rPr>
        <w:t xml:space="preserve"> Serumkoncentrationen</w:t>
      </w:r>
      <w:r w:rsidRPr="00774AEF">
        <w:rPr>
          <w:lang w:val="da-DK"/>
        </w:rPr>
        <w:t xml:space="preserve"> af </w:t>
      </w:r>
      <w:proofErr w:type="spellStart"/>
      <w:r w:rsidRPr="00774AEF">
        <w:rPr>
          <w:lang w:val="da-DK"/>
        </w:rPr>
        <w:t>digoxin</w:t>
      </w:r>
      <w:proofErr w:type="spellEnd"/>
      <w:r w:rsidRPr="00774AEF">
        <w:rPr>
          <w:lang w:val="da-DK"/>
        </w:rPr>
        <w:t xml:space="preserve"> </w:t>
      </w:r>
      <w:r>
        <w:rPr>
          <w:lang w:val="da-DK"/>
        </w:rPr>
        <w:t>bør monitoreres</w:t>
      </w:r>
      <w:r w:rsidRPr="00774AEF">
        <w:rPr>
          <w:lang w:val="da-DK"/>
        </w:rPr>
        <w:t xml:space="preserve">. </w:t>
      </w:r>
    </w:p>
    <w:p w:rsidR="00821DDD" w:rsidRDefault="00821DDD" w:rsidP="00821DDD">
      <w:pPr>
        <w:pStyle w:val="Default"/>
        <w:ind w:left="851" w:right="-40"/>
        <w:rPr>
          <w:lang w:val="da-DK"/>
        </w:rPr>
      </w:pPr>
    </w:p>
    <w:p w:rsidR="00821DDD" w:rsidRPr="00774AEF" w:rsidRDefault="00821DDD" w:rsidP="00821DDD">
      <w:pPr>
        <w:pStyle w:val="Default"/>
        <w:ind w:left="851" w:right="-40"/>
        <w:rPr>
          <w:i/>
          <w:lang w:val="da-DK"/>
        </w:rPr>
      </w:pPr>
      <w:proofErr w:type="spellStart"/>
      <w:r w:rsidRPr="00774AEF">
        <w:rPr>
          <w:i/>
          <w:lang w:val="da-DK"/>
        </w:rPr>
        <w:t>Clopidogrel</w:t>
      </w:r>
      <w:proofErr w:type="spellEnd"/>
      <w:r w:rsidRPr="00774AEF">
        <w:rPr>
          <w:i/>
          <w:lang w:val="da-DK"/>
        </w:rPr>
        <w:t xml:space="preserve"> </w:t>
      </w:r>
    </w:p>
    <w:p w:rsidR="000834E7" w:rsidRDefault="000834E7" w:rsidP="000834E7">
      <w:pPr>
        <w:tabs>
          <w:tab w:val="left" w:pos="0"/>
          <w:tab w:val="left" w:pos="4536"/>
        </w:tabs>
        <w:ind w:left="850" w:right="-51"/>
        <w:rPr>
          <w:sz w:val="24"/>
          <w:szCs w:val="24"/>
        </w:rPr>
      </w:pPr>
      <w:r>
        <w:rPr>
          <w:sz w:val="24"/>
          <w:szCs w:val="24"/>
        </w:rPr>
        <w:t xml:space="preserve">Resultater fra studier hos raske forsøgspersoner har vist en </w:t>
      </w:r>
      <w:proofErr w:type="spellStart"/>
      <w:r>
        <w:rPr>
          <w:sz w:val="24"/>
          <w:szCs w:val="24"/>
        </w:rPr>
        <w:t>farmakokinetisk</w:t>
      </w:r>
      <w:proofErr w:type="spellEnd"/>
      <w:r>
        <w:rPr>
          <w:sz w:val="24"/>
          <w:szCs w:val="24"/>
        </w:rPr>
        <w:t xml:space="preserve"> (PK)/</w:t>
      </w:r>
      <w:proofErr w:type="spellStart"/>
      <w:r>
        <w:rPr>
          <w:sz w:val="24"/>
          <w:szCs w:val="24"/>
        </w:rPr>
        <w:t>farmakodynamisk</w:t>
      </w:r>
      <w:proofErr w:type="spellEnd"/>
      <w:r>
        <w:rPr>
          <w:sz w:val="24"/>
          <w:szCs w:val="24"/>
        </w:rPr>
        <w:t xml:space="preserve"> (PD) interaktion mellem</w:t>
      </w:r>
      <w:r w:rsidRPr="00AC2319">
        <w:rPr>
          <w:sz w:val="24"/>
        </w:rPr>
        <w:t xml:space="preserve"> </w:t>
      </w:r>
      <w:proofErr w:type="spellStart"/>
      <w:r w:rsidRPr="00AC2319">
        <w:rPr>
          <w:sz w:val="24"/>
        </w:rPr>
        <w:t>clopidogrel</w:t>
      </w:r>
      <w:proofErr w:type="spellEnd"/>
      <w:r w:rsidRPr="00AC2319">
        <w:rPr>
          <w:sz w:val="24"/>
        </w:rPr>
        <w:t xml:space="preserve"> (300 mg </w:t>
      </w:r>
      <w:r>
        <w:rPr>
          <w:sz w:val="24"/>
          <w:szCs w:val="24"/>
        </w:rPr>
        <w:t>belastningsdosis/</w:t>
      </w:r>
      <w:r w:rsidRPr="00AC2319">
        <w:rPr>
          <w:sz w:val="24"/>
        </w:rPr>
        <w:t>75 mg</w:t>
      </w:r>
      <w:r>
        <w:rPr>
          <w:sz w:val="24"/>
          <w:szCs w:val="24"/>
        </w:rPr>
        <w:t xml:space="preserve"> daglig vedligeholdelsesdosis)</w:t>
      </w:r>
      <w:r w:rsidRPr="00AC2319">
        <w:rPr>
          <w:sz w:val="24"/>
        </w:rPr>
        <w:t xml:space="preserve"> og </w:t>
      </w:r>
      <w:proofErr w:type="spellStart"/>
      <w:r w:rsidRPr="00AC2319">
        <w:rPr>
          <w:sz w:val="24"/>
        </w:rPr>
        <w:t>omeprazol</w:t>
      </w:r>
      <w:proofErr w:type="spellEnd"/>
      <w:r w:rsidRPr="00AC2319">
        <w:rPr>
          <w:sz w:val="24"/>
        </w:rPr>
        <w:t xml:space="preserve"> (80 mg </w:t>
      </w:r>
      <w:r>
        <w:rPr>
          <w:sz w:val="24"/>
          <w:szCs w:val="24"/>
        </w:rPr>
        <w:t xml:space="preserve">peroral dosis dagligt), der resulterede i et fald på 46 % (gennemsnitsværdi) i eksponering af </w:t>
      </w:r>
      <w:proofErr w:type="spellStart"/>
      <w:r w:rsidRPr="00AC2319">
        <w:rPr>
          <w:sz w:val="24"/>
        </w:rPr>
        <w:t>clopidogrels</w:t>
      </w:r>
      <w:proofErr w:type="spellEnd"/>
      <w:r w:rsidRPr="00AC2319">
        <w:rPr>
          <w:sz w:val="24"/>
        </w:rPr>
        <w:t xml:space="preserve"> aktive metabolit og </w:t>
      </w:r>
      <w:r>
        <w:rPr>
          <w:sz w:val="24"/>
          <w:szCs w:val="24"/>
        </w:rPr>
        <w:t>et fald på 16 % (gennemsnitsværdi) i den maksimale</w:t>
      </w:r>
      <w:r w:rsidRPr="00AC2319">
        <w:rPr>
          <w:sz w:val="24"/>
        </w:rPr>
        <w:t xml:space="preserve"> hæmning af </w:t>
      </w:r>
      <w:r>
        <w:rPr>
          <w:sz w:val="24"/>
          <w:szCs w:val="24"/>
        </w:rPr>
        <w:t xml:space="preserve">(ADP-induceret) </w:t>
      </w:r>
      <w:proofErr w:type="spellStart"/>
      <w:r w:rsidRPr="00AC2319">
        <w:rPr>
          <w:sz w:val="24"/>
        </w:rPr>
        <w:t>trombocytaggregationen</w:t>
      </w:r>
      <w:proofErr w:type="spellEnd"/>
      <w:r>
        <w:rPr>
          <w:sz w:val="24"/>
          <w:szCs w:val="24"/>
        </w:rPr>
        <w:t>.</w:t>
      </w:r>
    </w:p>
    <w:p w:rsidR="000834E7" w:rsidRDefault="000834E7" w:rsidP="000834E7">
      <w:pPr>
        <w:tabs>
          <w:tab w:val="left" w:pos="0"/>
          <w:tab w:val="left" w:pos="4536"/>
        </w:tabs>
        <w:ind w:right="-51"/>
        <w:rPr>
          <w:sz w:val="24"/>
          <w:szCs w:val="24"/>
        </w:rPr>
      </w:pPr>
    </w:p>
    <w:p w:rsidR="000834E7" w:rsidRPr="00AC2319" w:rsidRDefault="000834E7" w:rsidP="000834E7">
      <w:pPr>
        <w:tabs>
          <w:tab w:val="left" w:pos="0"/>
          <w:tab w:val="left" w:pos="4536"/>
        </w:tabs>
        <w:ind w:left="850" w:right="-51"/>
      </w:pPr>
      <w:r>
        <w:rPr>
          <w:sz w:val="24"/>
          <w:szCs w:val="24"/>
        </w:rPr>
        <w:t>Inkonsistente data vedrørende de kliniske konsekvenser</w:t>
      </w:r>
      <w:r w:rsidRPr="00AC2319">
        <w:rPr>
          <w:sz w:val="24"/>
        </w:rPr>
        <w:t xml:space="preserve"> af </w:t>
      </w:r>
      <w:r>
        <w:rPr>
          <w:sz w:val="24"/>
          <w:szCs w:val="24"/>
        </w:rPr>
        <w:t>PK/</w:t>
      </w:r>
      <w:proofErr w:type="gramStart"/>
      <w:r>
        <w:rPr>
          <w:sz w:val="24"/>
          <w:szCs w:val="24"/>
        </w:rPr>
        <w:t>PD interaktionen</w:t>
      </w:r>
      <w:proofErr w:type="gramEnd"/>
      <w:r w:rsidRPr="00AC2319">
        <w:rPr>
          <w:sz w:val="24"/>
        </w:rPr>
        <w:t xml:space="preserve"> med hensyn til </w:t>
      </w:r>
      <w:r>
        <w:rPr>
          <w:sz w:val="24"/>
          <w:szCs w:val="24"/>
        </w:rPr>
        <w:t>større</w:t>
      </w:r>
      <w:r w:rsidRPr="00AC2319">
        <w:rPr>
          <w:sz w:val="24"/>
        </w:rPr>
        <w:t xml:space="preserve"> </w:t>
      </w:r>
      <w:proofErr w:type="spellStart"/>
      <w:r w:rsidRPr="00AC2319">
        <w:rPr>
          <w:sz w:val="24"/>
        </w:rPr>
        <w:t>kardiovaskulære</w:t>
      </w:r>
      <w:proofErr w:type="spellEnd"/>
      <w:r w:rsidRPr="00AC2319">
        <w:rPr>
          <w:sz w:val="24"/>
        </w:rPr>
        <w:t xml:space="preserve"> hændelser</w:t>
      </w:r>
      <w:r>
        <w:rPr>
          <w:sz w:val="24"/>
          <w:szCs w:val="24"/>
        </w:rPr>
        <w:t xml:space="preserve"> er blevet rapporteret fra observations- og kliniske studier. Som forebyggende foranstaltning frarådes derfor samtidig anvendelse af </w:t>
      </w:r>
      <w:proofErr w:type="spellStart"/>
      <w:r>
        <w:rPr>
          <w:sz w:val="24"/>
          <w:szCs w:val="24"/>
        </w:rPr>
        <w:t>omeprazol</w:t>
      </w:r>
      <w:proofErr w:type="spellEnd"/>
      <w:r>
        <w:rPr>
          <w:sz w:val="24"/>
          <w:szCs w:val="24"/>
        </w:rPr>
        <w:t xml:space="preserve"> og </w:t>
      </w:r>
      <w:proofErr w:type="spellStart"/>
      <w:r>
        <w:rPr>
          <w:sz w:val="24"/>
          <w:szCs w:val="24"/>
        </w:rPr>
        <w:t>clopidogrel</w:t>
      </w:r>
      <w:proofErr w:type="spellEnd"/>
      <w:r>
        <w:rPr>
          <w:sz w:val="24"/>
          <w:szCs w:val="24"/>
        </w:rPr>
        <w:t xml:space="preserve"> (se pkt. </w:t>
      </w:r>
      <w:r w:rsidRPr="00AC2319">
        <w:rPr>
          <w:sz w:val="24"/>
        </w:rPr>
        <w:t>4.4)</w:t>
      </w:r>
    </w:p>
    <w:p w:rsidR="000834E7" w:rsidRPr="00774AEF" w:rsidRDefault="000834E7" w:rsidP="000834E7">
      <w:pPr>
        <w:pStyle w:val="Default"/>
        <w:ind w:left="851" w:hanging="851"/>
        <w:rPr>
          <w:i/>
          <w:u w:val="single"/>
          <w:lang w:val="da-DK"/>
        </w:rPr>
      </w:pPr>
    </w:p>
    <w:p w:rsidR="000834E7" w:rsidRPr="00774AEF" w:rsidRDefault="000834E7" w:rsidP="000834E7">
      <w:pPr>
        <w:pStyle w:val="Default"/>
        <w:ind w:left="851" w:right="-40"/>
        <w:rPr>
          <w:i/>
          <w:lang w:val="da-DK"/>
        </w:rPr>
      </w:pPr>
      <w:r w:rsidRPr="00774AEF">
        <w:rPr>
          <w:i/>
          <w:lang w:val="da-DK"/>
        </w:rPr>
        <w:lastRenderedPageBreak/>
        <w:t xml:space="preserve">Andre </w:t>
      </w:r>
      <w:r>
        <w:rPr>
          <w:i/>
          <w:lang w:val="da-DK"/>
        </w:rPr>
        <w:t>aktive stoffer</w:t>
      </w:r>
      <w:r w:rsidRPr="00774AEF">
        <w:rPr>
          <w:i/>
          <w:lang w:val="da-DK"/>
        </w:rPr>
        <w:t xml:space="preserve"> </w:t>
      </w:r>
    </w:p>
    <w:p w:rsidR="000834E7" w:rsidRPr="00774AEF" w:rsidRDefault="000834E7" w:rsidP="000834E7">
      <w:pPr>
        <w:pStyle w:val="Default"/>
        <w:ind w:left="851" w:right="-40"/>
        <w:rPr>
          <w:color w:val="auto"/>
          <w:lang w:val="da-DK"/>
        </w:rPr>
      </w:pPr>
      <w:r w:rsidRPr="00774AEF">
        <w:rPr>
          <w:color w:val="auto"/>
          <w:lang w:val="da-DK"/>
        </w:rPr>
        <w:t xml:space="preserve">Absorptionen af </w:t>
      </w:r>
      <w:proofErr w:type="spellStart"/>
      <w:r w:rsidRPr="00774AEF">
        <w:rPr>
          <w:color w:val="auto"/>
          <w:lang w:val="da-DK"/>
        </w:rPr>
        <w:t>posaconazol</w:t>
      </w:r>
      <w:proofErr w:type="spellEnd"/>
      <w:r w:rsidRPr="00774AEF">
        <w:rPr>
          <w:color w:val="auto"/>
          <w:lang w:val="da-DK"/>
        </w:rPr>
        <w:t xml:space="preserve">, </w:t>
      </w:r>
      <w:proofErr w:type="spellStart"/>
      <w:r w:rsidRPr="00774AEF">
        <w:rPr>
          <w:color w:val="auto"/>
          <w:lang w:val="da-DK"/>
        </w:rPr>
        <w:t>erlotinib</w:t>
      </w:r>
      <w:proofErr w:type="spellEnd"/>
      <w:r w:rsidRPr="00774AEF">
        <w:rPr>
          <w:color w:val="auto"/>
          <w:lang w:val="da-DK"/>
        </w:rPr>
        <w:t xml:space="preserve">, </w:t>
      </w:r>
      <w:proofErr w:type="spellStart"/>
      <w:r w:rsidRPr="00774AEF">
        <w:rPr>
          <w:color w:val="auto"/>
          <w:lang w:val="da-DK"/>
        </w:rPr>
        <w:t>ketoconazol</w:t>
      </w:r>
      <w:proofErr w:type="spellEnd"/>
      <w:r w:rsidRPr="00774AEF">
        <w:rPr>
          <w:color w:val="auto"/>
          <w:lang w:val="da-DK"/>
        </w:rPr>
        <w:t xml:space="preserve"> og </w:t>
      </w:r>
      <w:proofErr w:type="spellStart"/>
      <w:r w:rsidRPr="00774AEF">
        <w:rPr>
          <w:color w:val="auto"/>
          <w:lang w:val="da-DK"/>
        </w:rPr>
        <w:t>itraconazol</w:t>
      </w:r>
      <w:proofErr w:type="spellEnd"/>
      <w:r w:rsidRPr="00774AEF">
        <w:rPr>
          <w:color w:val="auto"/>
          <w:lang w:val="da-DK"/>
        </w:rPr>
        <w:t xml:space="preserve"> reduceres signifikant, og </w:t>
      </w:r>
      <w:r>
        <w:rPr>
          <w:color w:val="auto"/>
          <w:lang w:val="da-DK"/>
        </w:rPr>
        <w:t xml:space="preserve">den </w:t>
      </w:r>
      <w:r w:rsidRPr="00774AEF">
        <w:rPr>
          <w:color w:val="auto"/>
          <w:lang w:val="da-DK"/>
        </w:rPr>
        <w:t>klinisk</w:t>
      </w:r>
      <w:r>
        <w:rPr>
          <w:color w:val="auto"/>
          <w:lang w:val="da-DK"/>
        </w:rPr>
        <w:t>e</w:t>
      </w:r>
      <w:r w:rsidRPr="00774AEF">
        <w:rPr>
          <w:color w:val="auto"/>
          <w:lang w:val="da-DK"/>
        </w:rPr>
        <w:t xml:space="preserve"> </w:t>
      </w:r>
      <w:r>
        <w:rPr>
          <w:color w:val="auto"/>
          <w:lang w:val="da-DK"/>
        </w:rPr>
        <w:t>effekt kan være nedsat</w:t>
      </w:r>
      <w:r w:rsidRPr="00774AEF">
        <w:rPr>
          <w:color w:val="auto"/>
          <w:lang w:val="da-DK"/>
        </w:rPr>
        <w:t xml:space="preserve">. </w:t>
      </w:r>
      <w:r>
        <w:rPr>
          <w:color w:val="auto"/>
          <w:lang w:val="da-DK"/>
        </w:rPr>
        <w:t>Med hensyn</w:t>
      </w:r>
      <w:r w:rsidRPr="00774AEF">
        <w:rPr>
          <w:color w:val="auto"/>
          <w:lang w:val="da-DK"/>
        </w:rPr>
        <w:t xml:space="preserve"> </w:t>
      </w:r>
      <w:r>
        <w:rPr>
          <w:color w:val="auto"/>
          <w:lang w:val="da-DK"/>
        </w:rPr>
        <w:t xml:space="preserve">til </w:t>
      </w:r>
      <w:proofErr w:type="spellStart"/>
      <w:r w:rsidRPr="00774AEF">
        <w:rPr>
          <w:color w:val="auto"/>
          <w:lang w:val="da-DK"/>
        </w:rPr>
        <w:t>posaconazol</w:t>
      </w:r>
      <w:proofErr w:type="spellEnd"/>
      <w:r w:rsidRPr="00774AEF">
        <w:rPr>
          <w:color w:val="auto"/>
          <w:lang w:val="da-DK"/>
        </w:rPr>
        <w:t xml:space="preserve"> og </w:t>
      </w:r>
      <w:proofErr w:type="spellStart"/>
      <w:r w:rsidRPr="00774AEF">
        <w:rPr>
          <w:color w:val="auto"/>
          <w:lang w:val="da-DK"/>
        </w:rPr>
        <w:t>erlotinib</w:t>
      </w:r>
      <w:proofErr w:type="spellEnd"/>
      <w:r w:rsidRPr="00774AEF">
        <w:rPr>
          <w:color w:val="auto"/>
          <w:lang w:val="da-DK"/>
        </w:rPr>
        <w:t xml:space="preserve"> </w:t>
      </w:r>
      <w:r>
        <w:rPr>
          <w:color w:val="auto"/>
          <w:lang w:val="da-DK"/>
        </w:rPr>
        <w:t>bør samtidig anvendelse</w:t>
      </w:r>
      <w:r w:rsidRPr="00774AEF">
        <w:rPr>
          <w:color w:val="auto"/>
          <w:lang w:val="da-DK"/>
        </w:rPr>
        <w:t xml:space="preserve"> undgås. </w:t>
      </w:r>
    </w:p>
    <w:p w:rsidR="000834E7" w:rsidRDefault="000834E7" w:rsidP="000834E7">
      <w:pPr>
        <w:pStyle w:val="Default"/>
        <w:ind w:left="851"/>
        <w:rPr>
          <w:i/>
          <w:u w:val="single"/>
          <w:lang w:val="da-DK"/>
        </w:rPr>
      </w:pPr>
    </w:p>
    <w:p w:rsidR="000834E7" w:rsidRDefault="000834E7" w:rsidP="000834E7">
      <w:pPr>
        <w:pStyle w:val="Default"/>
        <w:ind w:left="851"/>
        <w:rPr>
          <w:color w:val="auto"/>
          <w:u w:val="single"/>
          <w:lang w:val="da-DK"/>
        </w:rPr>
      </w:pPr>
      <w:r>
        <w:rPr>
          <w:i/>
          <w:u w:val="single"/>
          <w:lang w:val="da-DK"/>
        </w:rPr>
        <w:t xml:space="preserve">Aktive stoffer, der </w:t>
      </w:r>
      <w:proofErr w:type="spellStart"/>
      <w:r>
        <w:rPr>
          <w:i/>
          <w:u w:val="single"/>
          <w:lang w:val="da-DK"/>
        </w:rPr>
        <w:t>metaboliseres</w:t>
      </w:r>
      <w:proofErr w:type="spellEnd"/>
      <w:r>
        <w:rPr>
          <w:i/>
          <w:u w:val="single"/>
          <w:lang w:val="da-DK"/>
        </w:rPr>
        <w:t xml:space="preserve"> via CYP2C19</w:t>
      </w:r>
    </w:p>
    <w:p w:rsidR="000834E7" w:rsidRDefault="000834E7" w:rsidP="000834E7">
      <w:pPr>
        <w:pStyle w:val="Default"/>
        <w:ind w:left="851"/>
        <w:rPr>
          <w:color w:val="auto"/>
          <w:lang w:val="da-DK"/>
        </w:rPr>
      </w:pPr>
      <w:proofErr w:type="spellStart"/>
      <w:r>
        <w:rPr>
          <w:color w:val="auto"/>
          <w:lang w:val="da-DK"/>
        </w:rPr>
        <w:t>Omeprazol</w:t>
      </w:r>
      <w:proofErr w:type="spellEnd"/>
      <w:r>
        <w:rPr>
          <w:color w:val="auto"/>
          <w:lang w:val="da-DK"/>
        </w:rPr>
        <w:t xml:space="preserve"> er en moderat inhibitor af CYP2C19, som er det primære enzym i </w:t>
      </w:r>
      <w:proofErr w:type="spellStart"/>
      <w:r>
        <w:rPr>
          <w:color w:val="auto"/>
          <w:lang w:val="da-DK"/>
        </w:rPr>
        <w:t>omeprazols</w:t>
      </w:r>
      <w:proofErr w:type="spellEnd"/>
      <w:r>
        <w:rPr>
          <w:color w:val="auto"/>
          <w:lang w:val="da-DK"/>
        </w:rPr>
        <w:t xml:space="preserve"> metabolisme. Derfor kan metabolismen af aktive stoffer, der indtages samtidig og </w:t>
      </w:r>
      <w:proofErr w:type="spellStart"/>
      <w:r>
        <w:rPr>
          <w:color w:val="auto"/>
          <w:lang w:val="da-DK"/>
        </w:rPr>
        <w:t>metaboliseres</w:t>
      </w:r>
      <w:proofErr w:type="spellEnd"/>
      <w:r>
        <w:rPr>
          <w:color w:val="auto"/>
          <w:lang w:val="da-DK"/>
        </w:rPr>
        <w:t xml:space="preserve"> af CYP2C19, nedsættes, og den systemiske eksponering for disse lægemidler øges. Eksempler på sådanne lægemidler er R-</w:t>
      </w:r>
      <w:proofErr w:type="spellStart"/>
      <w:r>
        <w:rPr>
          <w:color w:val="auto"/>
          <w:lang w:val="da-DK"/>
        </w:rPr>
        <w:t>warfarin</w:t>
      </w:r>
      <w:proofErr w:type="spellEnd"/>
      <w:r>
        <w:rPr>
          <w:color w:val="auto"/>
          <w:lang w:val="da-DK"/>
        </w:rPr>
        <w:t xml:space="preserve"> og andre </w:t>
      </w:r>
      <w:proofErr w:type="gramStart"/>
      <w:r>
        <w:rPr>
          <w:color w:val="auto"/>
          <w:lang w:val="da-DK"/>
        </w:rPr>
        <w:t>vitamin K-antagonister</w:t>
      </w:r>
      <w:proofErr w:type="gramEnd"/>
      <w:r>
        <w:rPr>
          <w:color w:val="auto"/>
          <w:lang w:val="da-DK"/>
        </w:rPr>
        <w:t xml:space="preserve">, </w:t>
      </w:r>
      <w:proofErr w:type="spellStart"/>
      <w:r>
        <w:rPr>
          <w:color w:val="auto"/>
          <w:lang w:val="da-DK"/>
        </w:rPr>
        <w:t>cilostazol</w:t>
      </w:r>
      <w:proofErr w:type="spellEnd"/>
      <w:r>
        <w:rPr>
          <w:color w:val="auto"/>
          <w:lang w:val="da-DK"/>
        </w:rPr>
        <w:t xml:space="preserve">, </w:t>
      </w:r>
      <w:proofErr w:type="spellStart"/>
      <w:r>
        <w:rPr>
          <w:color w:val="auto"/>
          <w:lang w:val="da-DK"/>
        </w:rPr>
        <w:t>diazepam</w:t>
      </w:r>
      <w:proofErr w:type="spellEnd"/>
      <w:r>
        <w:rPr>
          <w:color w:val="auto"/>
          <w:lang w:val="da-DK"/>
        </w:rPr>
        <w:t xml:space="preserve"> og </w:t>
      </w:r>
      <w:proofErr w:type="spellStart"/>
      <w:r>
        <w:rPr>
          <w:color w:val="auto"/>
          <w:lang w:val="da-DK"/>
        </w:rPr>
        <w:t>phenytoin</w:t>
      </w:r>
      <w:proofErr w:type="spellEnd"/>
      <w:r>
        <w:rPr>
          <w:color w:val="auto"/>
          <w:lang w:val="da-DK"/>
        </w:rPr>
        <w:t xml:space="preserve">. </w:t>
      </w:r>
    </w:p>
    <w:p w:rsidR="000834E7" w:rsidRDefault="000834E7" w:rsidP="000834E7">
      <w:pPr>
        <w:pStyle w:val="Default"/>
        <w:ind w:left="851" w:right="-40" w:hanging="851"/>
        <w:rPr>
          <w:i/>
          <w:lang w:val="da-DK"/>
        </w:rPr>
      </w:pPr>
    </w:p>
    <w:p w:rsidR="000834E7" w:rsidRDefault="000834E7" w:rsidP="000834E7">
      <w:pPr>
        <w:pStyle w:val="Default"/>
        <w:ind w:left="851" w:right="-40"/>
        <w:rPr>
          <w:i/>
          <w:lang w:val="da-DK"/>
        </w:rPr>
      </w:pPr>
      <w:proofErr w:type="spellStart"/>
      <w:r>
        <w:rPr>
          <w:i/>
          <w:lang w:val="da-DK"/>
        </w:rPr>
        <w:t>Cilostazol</w:t>
      </w:r>
      <w:proofErr w:type="spellEnd"/>
      <w:r>
        <w:rPr>
          <w:i/>
          <w:lang w:val="da-DK"/>
        </w:rPr>
        <w:t xml:space="preserve"> </w:t>
      </w:r>
    </w:p>
    <w:p w:rsidR="000834E7" w:rsidRDefault="000834E7" w:rsidP="000834E7">
      <w:pPr>
        <w:pStyle w:val="Default"/>
        <w:ind w:left="851"/>
        <w:rPr>
          <w:color w:val="auto"/>
          <w:lang w:val="da-DK"/>
        </w:rPr>
      </w:pPr>
      <w:proofErr w:type="spellStart"/>
      <w:r>
        <w:rPr>
          <w:color w:val="auto"/>
          <w:lang w:val="da-DK"/>
        </w:rPr>
        <w:t>Omeprazol</w:t>
      </w:r>
      <w:proofErr w:type="spellEnd"/>
      <w:r>
        <w:rPr>
          <w:color w:val="auto"/>
          <w:lang w:val="da-DK"/>
        </w:rPr>
        <w:t xml:space="preserve"> givet i doser på 40 mg til raske frivillige i en cross-over-undersøgelse øgede </w:t>
      </w:r>
      <w:proofErr w:type="spellStart"/>
      <w:r>
        <w:rPr>
          <w:color w:val="auto"/>
          <w:lang w:val="da-DK"/>
        </w:rPr>
        <w:t>C</w:t>
      </w:r>
      <w:r>
        <w:rPr>
          <w:color w:val="auto"/>
          <w:vertAlign w:val="subscript"/>
          <w:lang w:val="da-DK"/>
        </w:rPr>
        <w:t>max</w:t>
      </w:r>
      <w:proofErr w:type="spellEnd"/>
      <w:r>
        <w:rPr>
          <w:color w:val="auto"/>
          <w:lang w:val="da-DK"/>
        </w:rPr>
        <w:t xml:space="preserve"> og arealet under plasmakoncentration-tid-kurven (AUC) for </w:t>
      </w:r>
      <w:proofErr w:type="spellStart"/>
      <w:r>
        <w:rPr>
          <w:color w:val="auto"/>
          <w:lang w:val="da-DK"/>
        </w:rPr>
        <w:t>cilostazol</w:t>
      </w:r>
      <w:proofErr w:type="spellEnd"/>
      <w:r>
        <w:rPr>
          <w:color w:val="auto"/>
          <w:lang w:val="da-DK"/>
        </w:rPr>
        <w:t xml:space="preserve"> med henholdsvis 18 % og 26 % og for en af dets aktive metabolitter med henholdsvis 29 % og 69 %. </w:t>
      </w:r>
    </w:p>
    <w:p w:rsidR="000834E7" w:rsidRDefault="000834E7" w:rsidP="000834E7">
      <w:pPr>
        <w:pStyle w:val="Default"/>
        <w:ind w:left="851" w:right="-40" w:hanging="851"/>
        <w:rPr>
          <w:i/>
          <w:lang w:val="da-DK"/>
        </w:rPr>
      </w:pPr>
    </w:p>
    <w:p w:rsidR="000834E7" w:rsidRDefault="000834E7" w:rsidP="000834E7">
      <w:pPr>
        <w:pStyle w:val="Default"/>
        <w:ind w:left="851" w:right="-40"/>
        <w:rPr>
          <w:i/>
          <w:lang w:val="da-DK"/>
        </w:rPr>
      </w:pPr>
      <w:proofErr w:type="spellStart"/>
      <w:r>
        <w:rPr>
          <w:i/>
          <w:lang w:val="da-DK"/>
        </w:rPr>
        <w:t>Phenytoin</w:t>
      </w:r>
      <w:proofErr w:type="spellEnd"/>
      <w:r>
        <w:rPr>
          <w:i/>
          <w:lang w:val="da-DK"/>
        </w:rPr>
        <w:t xml:space="preserve">  </w:t>
      </w:r>
    </w:p>
    <w:p w:rsidR="000834E7" w:rsidRDefault="000834E7" w:rsidP="000834E7">
      <w:pPr>
        <w:pStyle w:val="Default"/>
        <w:ind w:left="851"/>
        <w:rPr>
          <w:color w:val="auto"/>
          <w:lang w:val="da-DK"/>
        </w:rPr>
      </w:pPr>
      <w:r>
        <w:rPr>
          <w:color w:val="auto"/>
          <w:lang w:val="da-DK"/>
        </w:rPr>
        <w:t xml:space="preserve">Det anbefales at monitorere plasmakoncentrationen af </w:t>
      </w:r>
      <w:proofErr w:type="spellStart"/>
      <w:r>
        <w:rPr>
          <w:color w:val="auto"/>
          <w:lang w:val="da-DK"/>
        </w:rPr>
        <w:t>phenytoin</w:t>
      </w:r>
      <w:proofErr w:type="spellEnd"/>
      <w:r>
        <w:rPr>
          <w:color w:val="auto"/>
          <w:lang w:val="da-DK"/>
        </w:rPr>
        <w:t xml:space="preserve"> de to første uger efter initiering af </w:t>
      </w:r>
      <w:proofErr w:type="spellStart"/>
      <w:r>
        <w:rPr>
          <w:color w:val="auto"/>
          <w:lang w:val="da-DK"/>
        </w:rPr>
        <w:t>omeprazolbehandling</w:t>
      </w:r>
      <w:proofErr w:type="spellEnd"/>
      <w:r>
        <w:rPr>
          <w:color w:val="auto"/>
          <w:lang w:val="da-DK"/>
        </w:rPr>
        <w:t xml:space="preserve">. Såfremt </w:t>
      </w:r>
      <w:proofErr w:type="spellStart"/>
      <w:r>
        <w:rPr>
          <w:color w:val="auto"/>
          <w:lang w:val="da-DK"/>
        </w:rPr>
        <w:t>phenytoindosis</w:t>
      </w:r>
      <w:proofErr w:type="spellEnd"/>
      <w:r>
        <w:rPr>
          <w:color w:val="auto"/>
          <w:lang w:val="da-DK"/>
        </w:rPr>
        <w:t xml:space="preserve"> justeres, anbefales monitorering og yderligere dosisjustering ved afslutning af </w:t>
      </w:r>
      <w:proofErr w:type="spellStart"/>
      <w:r>
        <w:rPr>
          <w:color w:val="auto"/>
          <w:lang w:val="da-DK"/>
        </w:rPr>
        <w:t>omeprazolbehandling</w:t>
      </w:r>
      <w:proofErr w:type="spellEnd"/>
      <w:r>
        <w:rPr>
          <w:color w:val="auto"/>
          <w:lang w:val="da-DK"/>
        </w:rPr>
        <w:t xml:space="preserve">. </w:t>
      </w:r>
    </w:p>
    <w:p w:rsidR="000834E7" w:rsidRDefault="000834E7" w:rsidP="000834E7">
      <w:pPr>
        <w:pStyle w:val="Default"/>
        <w:ind w:left="851" w:right="-40" w:hanging="851"/>
        <w:rPr>
          <w:color w:val="auto"/>
          <w:u w:val="single"/>
          <w:lang w:val="da-DK"/>
        </w:rPr>
      </w:pPr>
    </w:p>
    <w:p w:rsidR="000834E7" w:rsidRDefault="000834E7" w:rsidP="000834E7">
      <w:pPr>
        <w:pStyle w:val="Default"/>
        <w:ind w:left="851" w:right="-40"/>
        <w:rPr>
          <w:color w:val="auto"/>
          <w:lang w:val="da-DK"/>
        </w:rPr>
      </w:pPr>
      <w:r>
        <w:rPr>
          <w:color w:val="auto"/>
          <w:u w:val="single"/>
          <w:lang w:val="da-DK"/>
        </w:rPr>
        <w:t xml:space="preserve">Ukendt mekanisme </w:t>
      </w:r>
    </w:p>
    <w:p w:rsidR="000834E7" w:rsidRDefault="000834E7" w:rsidP="000834E7">
      <w:pPr>
        <w:pStyle w:val="Default"/>
        <w:ind w:left="851" w:right="-40"/>
        <w:rPr>
          <w:color w:val="auto"/>
          <w:lang w:val="da-DK"/>
        </w:rPr>
      </w:pPr>
      <w:proofErr w:type="spellStart"/>
      <w:r>
        <w:rPr>
          <w:i/>
          <w:lang w:val="da-DK"/>
        </w:rPr>
        <w:t>Saquinavir</w:t>
      </w:r>
      <w:proofErr w:type="spellEnd"/>
      <w:r>
        <w:rPr>
          <w:color w:val="auto"/>
          <w:lang w:val="da-DK"/>
        </w:rPr>
        <w:t xml:space="preserve"> </w:t>
      </w:r>
    </w:p>
    <w:p w:rsidR="000834E7" w:rsidRDefault="000834E7" w:rsidP="000834E7">
      <w:pPr>
        <w:pStyle w:val="Default"/>
        <w:ind w:left="851" w:right="-40"/>
        <w:rPr>
          <w:color w:val="auto"/>
          <w:lang w:val="da-DK"/>
        </w:rPr>
      </w:pPr>
      <w:r>
        <w:rPr>
          <w:color w:val="auto"/>
          <w:lang w:val="da-DK"/>
        </w:rPr>
        <w:t xml:space="preserve">Samtidig administration af </w:t>
      </w:r>
      <w:proofErr w:type="spellStart"/>
      <w:r>
        <w:rPr>
          <w:color w:val="auto"/>
          <w:lang w:val="da-DK"/>
        </w:rPr>
        <w:t>omeprazol</w:t>
      </w:r>
      <w:proofErr w:type="spellEnd"/>
      <w:r>
        <w:rPr>
          <w:color w:val="auto"/>
          <w:lang w:val="da-DK"/>
        </w:rPr>
        <w:t xml:space="preserve"> og </w:t>
      </w:r>
      <w:proofErr w:type="spellStart"/>
      <w:r>
        <w:rPr>
          <w:color w:val="auto"/>
          <w:lang w:val="da-DK"/>
        </w:rPr>
        <w:t>saquinavir</w:t>
      </w:r>
      <w:proofErr w:type="spellEnd"/>
      <w:r>
        <w:rPr>
          <w:color w:val="auto"/>
          <w:lang w:val="da-DK"/>
        </w:rPr>
        <w:t>/</w:t>
      </w:r>
      <w:proofErr w:type="spellStart"/>
      <w:r>
        <w:rPr>
          <w:color w:val="auto"/>
          <w:lang w:val="da-DK"/>
        </w:rPr>
        <w:t>ritonavir</w:t>
      </w:r>
      <w:proofErr w:type="spellEnd"/>
      <w:r>
        <w:rPr>
          <w:color w:val="auto"/>
          <w:lang w:val="da-DK"/>
        </w:rPr>
        <w:t xml:space="preserve"> resulterede i øgede plasmakoncentrationer af </w:t>
      </w:r>
      <w:proofErr w:type="spellStart"/>
      <w:r>
        <w:rPr>
          <w:color w:val="auto"/>
          <w:lang w:val="da-DK"/>
        </w:rPr>
        <w:t>saquinavir</w:t>
      </w:r>
      <w:proofErr w:type="spellEnd"/>
      <w:r>
        <w:rPr>
          <w:color w:val="auto"/>
          <w:lang w:val="da-DK"/>
        </w:rPr>
        <w:t xml:space="preserve"> på op til omkring 70 %. Dette var forbundet med god </w:t>
      </w:r>
      <w:proofErr w:type="spellStart"/>
      <w:r>
        <w:rPr>
          <w:color w:val="auto"/>
          <w:lang w:val="da-DK"/>
        </w:rPr>
        <w:t>tolerabilitet</w:t>
      </w:r>
      <w:proofErr w:type="spellEnd"/>
      <w:r>
        <w:rPr>
          <w:color w:val="auto"/>
          <w:lang w:val="da-DK"/>
        </w:rPr>
        <w:t xml:space="preserve"> i HIV-inficerede patienter. </w:t>
      </w:r>
    </w:p>
    <w:p w:rsidR="000834E7" w:rsidRDefault="000834E7" w:rsidP="000834E7">
      <w:pPr>
        <w:pStyle w:val="Default"/>
        <w:ind w:left="851" w:right="-40" w:hanging="851"/>
        <w:rPr>
          <w:i/>
          <w:lang w:val="da-DK"/>
        </w:rPr>
      </w:pPr>
    </w:p>
    <w:p w:rsidR="000834E7" w:rsidRDefault="000834E7" w:rsidP="000834E7">
      <w:pPr>
        <w:pStyle w:val="Default"/>
        <w:ind w:left="851" w:right="-40"/>
        <w:rPr>
          <w:i/>
          <w:lang w:val="da-DK"/>
        </w:rPr>
      </w:pPr>
      <w:proofErr w:type="spellStart"/>
      <w:r>
        <w:rPr>
          <w:i/>
          <w:lang w:val="da-DK"/>
        </w:rPr>
        <w:t>Tacrolimus</w:t>
      </w:r>
      <w:proofErr w:type="spellEnd"/>
    </w:p>
    <w:p w:rsidR="000834E7" w:rsidRDefault="000834E7" w:rsidP="000834E7">
      <w:pPr>
        <w:pStyle w:val="Default"/>
        <w:ind w:left="851" w:right="-40"/>
        <w:rPr>
          <w:color w:val="auto"/>
          <w:lang w:val="da-DK"/>
        </w:rPr>
      </w:pPr>
      <w:r>
        <w:rPr>
          <w:color w:val="auto"/>
          <w:lang w:val="da-DK"/>
        </w:rPr>
        <w:t xml:space="preserve">Det er rapporteret, at samtidig administration af </w:t>
      </w:r>
      <w:proofErr w:type="spellStart"/>
      <w:r>
        <w:rPr>
          <w:color w:val="auto"/>
          <w:lang w:val="da-DK"/>
        </w:rPr>
        <w:t>omeprazol</w:t>
      </w:r>
      <w:proofErr w:type="spellEnd"/>
      <w:r>
        <w:rPr>
          <w:color w:val="auto"/>
          <w:lang w:val="da-DK"/>
        </w:rPr>
        <w:t xml:space="preserve"> øger serumniveauet af </w:t>
      </w:r>
      <w:proofErr w:type="spellStart"/>
      <w:r>
        <w:rPr>
          <w:color w:val="auto"/>
          <w:lang w:val="da-DK"/>
        </w:rPr>
        <w:t>tacrolimus</w:t>
      </w:r>
      <w:proofErr w:type="spellEnd"/>
      <w:r>
        <w:rPr>
          <w:color w:val="auto"/>
          <w:lang w:val="da-DK"/>
        </w:rPr>
        <w:t xml:space="preserve">. Koncentrationen af </w:t>
      </w:r>
      <w:proofErr w:type="spellStart"/>
      <w:r>
        <w:rPr>
          <w:color w:val="auto"/>
          <w:lang w:val="da-DK"/>
        </w:rPr>
        <w:t>tacrolimus</w:t>
      </w:r>
      <w:proofErr w:type="spellEnd"/>
      <w:r>
        <w:rPr>
          <w:color w:val="auto"/>
          <w:lang w:val="da-DK"/>
        </w:rPr>
        <w:t xml:space="preserve"> samt nyrefunktionen (</w:t>
      </w:r>
      <w:proofErr w:type="spellStart"/>
      <w:r>
        <w:rPr>
          <w:color w:val="auto"/>
          <w:lang w:val="da-DK"/>
        </w:rPr>
        <w:t>kreatininclearance</w:t>
      </w:r>
      <w:proofErr w:type="spellEnd"/>
      <w:r>
        <w:rPr>
          <w:color w:val="auto"/>
          <w:lang w:val="da-DK"/>
        </w:rPr>
        <w:t xml:space="preserve">) bør monitoreres, og </w:t>
      </w:r>
      <w:proofErr w:type="spellStart"/>
      <w:r>
        <w:rPr>
          <w:color w:val="auto"/>
          <w:lang w:val="da-DK"/>
        </w:rPr>
        <w:t>tacrolimusdosis</w:t>
      </w:r>
      <w:proofErr w:type="spellEnd"/>
      <w:r>
        <w:rPr>
          <w:color w:val="auto"/>
          <w:lang w:val="da-DK"/>
        </w:rPr>
        <w:t xml:space="preserve"> justeres om nødvendigt. </w:t>
      </w:r>
    </w:p>
    <w:p w:rsidR="000834E7" w:rsidRDefault="000834E7" w:rsidP="000834E7">
      <w:pPr>
        <w:pStyle w:val="Default"/>
        <w:ind w:left="851" w:right="-40" w:hanging="851"/>
        <w:rPr>
          <w:color w:val="auto"/>
          <w:u w:val="single"/>
          <w:lang w:val="da-DK"/>
        </w:rPr>
      </w:pPr>
    </w:p>
    <w:p w:rsidR="000834E7" w:rsidRDefault="000834E7" w:rsidP="000834E7">
      <w:pPr>
        <w:ind w:left="850"/>
        <w:rPr>
          <w:i/>
          <w:sz w:val="24"/>
          <w:szCs w:val="24"/>
        </w:rPr>
      </w:pPr>
      <w:proofErr w:type="spellStart"/>
      <w:r>
        <w:rPr>
          <w:i/>
          <w:sz w:val="24"/>
          <w:szCs w:val="24"/>
        </w:rPr>
        <w:t>Methotrexat</w:t>
      </w:r>
      <w:proofErr w:type="spellEnd"/>
    </w:p>
    <w:p w:rsidR="000834E7" w:rsidRDefault="000834E7" w:rsidP="000834E7">
      <w:pPr>
        <w:ind w:left="850"/>
        <w:rPr>
          <w:sz w:val="24"/>
          <w:szCs w:val="24"/>
        </w:rPr>
      </w:pPr>
      <w:r>
        <w:rPr>
          <w:sz w:val="24"/>
          <w:szCs w:val="24"/>
        </w:rPr>
        <w:t xml:space="preserve">Ved samtidig administration af </w:t>
      </w:r>
      <w:proofErr w:type="spellStart"/>
      <w:r>
        <w:rPr>
          <w:sz w:val="24"/>
          <w:szCs w:val="24"/>
        </w:rPr>
        <w:t>protonpumpehæmmere</w:t>
      </w:r>
      <w:proofErr w:type="spellEnd"/>
      <w:r>
        <w:rPr>
          <w:sz w:val="24"/>
          <w:szCs w:val="24"/>
        </w:rPr>
        <w:t xml:space="preserve"> er der set stigende </w:t>
      </w:r>
      <w:proofErr w:type="spellStart"/>
      <w:r>
        <w:rPr>
          <w:sz w:val="24"/>
          <w:szCs w:val="24"/>
        </w:rPr>
        <w:t>methotrexatkoncentrationer</w:t>
      </w:r>
      <w:proofErr w:type="spellEnd"/>
      <w:r>
        <w:rPr>
          <w:sz w:val="24"/>
          <w:szCs w:val="24"/>
        </w:rPr>
        <w:t xml:space="preserve"> hos nogle patienter. Ved administration af </w:t>
      </w:r>
      <w:proofErr w:type="spellStart"/>
      <w:r>
        <w:rPr>
          <w:sz w:val="24"/>
          <w:szCs w:val="24"/>
        </w:rPr>
        <w:t>methotrexat</w:t>
      </w:r>
      <w:proofErr w:type="spellEnd"/>
      <w:r>
        <w:rPr>
          <w:sz w:val="24"/>
          <w:szCs w:val="24"/>
        </w:rPr>
        <w:t xml:space="preserve"> i høj dosis kan det være nødvendigt midlertidigt at seponere administrationen af </w:t>
      </w:r>
      <w:proofErr w:type="spellStart"/>
      <w:r>
        <w:rPr>
          <w:sz w:val="24"/>
          <w:szCs w:val="24"/>
        </w:rPr>
        <w:t>omeprazol</w:t>
      </w:r>
      <w:proofErr w:type="spellEnd"/>
      <w:r>
        <w:rPr>
          <w:sz w:val="24"/>
          <w:szCs w:val="24"/>
        </w:rPr>
        <w:t>.</w:t>
      </w:r>
    </w:p>
    <w:p w:rsidR="000834E7" w:rsidRDefault="000834E7" w:rsidP="000834E7">
      <w:pPr>
        <w:pStyle w:val="Default"/>
        <w:ind w:left="851" w:right="-40" w:hanging="851"/>
        <w:rPr>
          <w:color w:val="auto"/>
          <w:u w:val="single"/>
          <w:lang w:val="da-DK"/>
        </w:rPr>
      </w:pPr>
    </w:p>
    <w:p w:rsidR="000834E7" w:rsidRDefault="000834E7" w:rsidP="000834E7">
      <w:pPr>
        <w:pStyle w:val="Default"/>
        <w:ind w:left="851" w:right="-40"/>
        <w:rPr>
          <w:color w:val="auto"/>
          <w:lang w:val="da-DK"/>
        </w:rPr>
      </w:pPr>
      <w:r>
        <w:rPr>
          <w:color w:val="auto"/>
          <w:u w:val="single"/>
          <w:lang w:val="da-DK"/>
        </w:rPr>
        <w:t xml:space="preserve">Andre aktive stoffers virkning på </w:t>
      </w:r>
      <w:proofErr w:type="spellStart"/>
      <w:r>
        <w:rPr>
          <w:color w:val="auto"/>
          <w:u w:val="single"/>
          <w:lang w:val="da-DK"/>
        </w:rPr>
        <w:t>omeprazols</w:t>
      </w:r>
      <w:proofErr w:type="spellEnd"/>
      <w:r>
        <w:rPr>
          <w:color w:val="auto"/>
          <w:u w:val="single"/>
          <w:lang w:val="da-DK"/>
        </w:rPr>
        <w:t xml:space="preserve"> farmakokinetik </w:t>
      </w:r>
    </w:p>
    <w:p w:rsidR="000834E7" w:rsidRDefault="000834E7" w:rsidP="000834E7">
      <w:pPr>
        <w:pStyle w:val="Default"/>
        <w:ind w:left="851" w:right="-40"/>
        <w:rPr>
          <w:color w:val="auto"/>
          <w:u w:val="single"/>
          <w:lang w:val="da-DK"/>
        </w:rPr>
      </w:pPr>
      <w:r>
        <w:rPr>
          <w:i/>
          <w:u w:val="single"/>
          <w:lang w:val="da-DK"/>
        </w:rPr>
        <w:t>Inhibitorer af CYP2C19 og/eller CYP3A4</w:t>
      </w:r>
    </w:p>
    <w:p w:rsidR="000834E7" w:rsidRDefault="000834E7" w:rsidP="000834E7">
      <w:pPr>
        <w:pStyle w:val="Default"/>
        <w:ind w:left="851" w:right="-40"/>
        <w:rPr>
          <w:color w:val="auto"/>
          <w:lang w:val="da-DK"/>
        </w:rPr>
      </w:pPr>
      <w:r>
        <w:rPr>
          <w:color w:val="auto"/>
          <w:lang w:val="da-DK"/>
        </w:rPr>
        <w:t xml:space="preserve">Da </w:t>
      </w:r>
      <w:proofErr w:type="spellStart"/>
      <w:r>
        <w:rPr>
          <w:color w:val="auto"/>
          <w:lang w:val="da-DK"/>
        </w:rPr>
        <w:t>omeprazol</w:t>
      </w:r>
      <w:proofErr w:type="spellEnd"/>
      <w:r>
        <w:rPr>
          <w:color w:val="auto"/>
          <w:lang w:val="da-DK"/>
        </w:rPr>
        <w:t xml:space="preserve"> </w:t>
      </w:r>
      <w:proofErr w:type="spellStart"/>
      <w:r>
        <w:rPr>
          <w:color w:val="auto"/>
          <w:lang w:val="da-DK"/>
        </w:rPr>
        <w:t>metaboliseres</w:t>
      </w:r>
      <w:proofErr w:type="spellEnd"/>
      <w:r>
        <w:rPr>
          <w:color w:val="auto"/>
          <w:lang w:val="da-DK"/>
        </w:rPr>
        <w:t xml:space="preserve"> via CYP2C19 og CYP3A4, kan aktive stoffer, der hæmmer CYP2C19 eller CYP3A4 (såsom </w:t>
      </w:r>
      <w:proofErr w:type="spellStart"/>
      <w:r>
        <w:rPr>
          <w:color w:val="auto"/>
          <w:lang w:val="da-DK"/>
        </w:rPr>
        <w:t>clarithromycin</w:t>
      </w:r>
      <w:proofErr w:type="spellEnd"/>
      <w:r>
        <w:rPr>
          <w:color w:val="auto"/>
          <w:lang w:val="da-DK"/>
        </w:rPr>
        <w:t xml:space="preserve"> og </w:t>
      </w:r>
      <w:proofErr w:type="spellStart"/>
      <w:r>
        <w:rPr>
          <w:color w:val="auto"/>
          <w:lang w:val="da-DK"/>
        </w:rPr>
        <w:t>voriconazol</w:t>
      </w:r>
      <w:proofErr w:type="spellEnd"/>
      <w:r>
        <w:rPr>
          <w:color w:val="auto"/>
          <w:lang w:val="da-DK"/>
        </w:rPr>
        <w:t xml:space="preserve">), medføre øgede serumniveauer af </w:t>
      </w:r>
      <w:proofErr w:type="spellStart"/>
      <w:r>
        <w:rPr>
          <w:color w:val="auto"/>
          <w:lang w:val="da-DK"/>
        </w:rPr>
        <w:t>omeprazol</w:t>
      </w:r>
      <w:proofErr w:type="spellEnd"/>
      <w:r>
        <w:rPr>
          <w:color w:val="auto"/>
          <w:lang w:val="da-DK"/>
        </w:rPr>
        <w:t xml:space="preserve">, idet </w:t>
      </w:r>
      <w:proofErr w:type="spellStart"/>
      <w:r>
        <w:rPr>
          <w:color w:val="auto"/>
          <w:lang w:val="da-DK"/>
        </w:rPr>
        <w:t>omeprazols</w:t>
      </w:r>
      <w:proofErr w:type="spellEnd"/>
      <w:r>
        <w:rPr>
          <w:color w:val="auto"/>
          <w:lang w:val="da-DK"/>
        </w:rPr>
        <w:t xml:space="preserve"> </w:t>
      </w:r>
      <w:proofErr w:type="spellStart"/>
      <w:r>
        <w:rPr>
          <w:color w:val="auto"/>
          <w:lang w:val="da-DK"/>
        </w:rPr>
        <w:t>metaboliseringshastighed</w:t>
      </w:r>
      <w:proofErr w:type="spellEnd"/>
      <w:r>
        <w:rPr>
          <w:color w:val="auto"/>
          <w:lang w:val="da-DK"/>
        </w:rPr>
        <w:t xml:space="preserve"> falder. Samtidig behandling med </w:t>
      </w:r>
      <w:proofErr w:type="spellStart"/>
      <w:r>
        <w:rPr>
          <w:color w:val="auto"/>
          <w:lang w:val="da-DK"/>
        </w:rPr>
        <w:t>voriconazol</w:t>
      </w:r>
      <w:proofErr w:type="spellEnd"/>
      <w:r>
        <w:rPr>
          <w:color w:val="auto"/>
          <w:lang w:val="da-DK"/>
        </w:rPr>
        <w:t xml:space="preserve"> resulterede i mere end en fordobling af </w:t>
      </w:r>
      <w:proofErr w:type="spellStart"/>
      <w:r>
        <w:rPr>
          <w:color w:val="auto"/>
          <w:lang w:val="da-DK"/>
        </w:rPr>
        <w:t>omeprazoleksponeringen</w:t>
      </w:r>
      <w:proofErr w:type="spellEnd"/>
      <w:r>
        <w:rPr>
          <w:color w:val="auto"/>
          <w:lang w:val="da-DK"/>
        </w:rPr>
        <w:t xml:space="preserve">. Eftersom høje doser af </w:t>
      </w:r>
      <w:proofErr w:type="spellStart"/>
      <w:r>
        <w:rPr>
          <w:color w:val="auto"/>
          <w:lang w:val="da-DK"/>
        </w:rPr>
        <w:t>omeprazol</w:t>
      </w:r>
      <w:proofErr w:type="spellEnd"/>
      <w:r>
        <w:rPr>
          <w:color w:val="auto"/>
          <w:lang w:val="da-DK"/>
        </w:rPr>
        <w:t xml:space="preserve"> har været veltolereret, er det typisk ikke nødvendigt at justere </w:t>
      </w:r>
      <w:proofErr w:type="spellStart"/>
      <w:r>
        <w:rPr>
          <w:color w:val="auto"/>
          <w:lang w:val="da-DK"/>
        </w:rPr>
        <w:t>omeprazoldosis</w:t>
      </w:r>
      <w:proofErr w:type="spellEnd"/>
      <w:r>
        <w:rPr>
          <w:color w:val="auto"/>
          <w:lang w:val="da-DK"/>
        </w:rPr>
        <w:t xml:space="preserve">. Dog bør dosisjustering overvejes hos patienter med alvorligt nedsat leverfunktion, og hvis langvarig behandling er indiceret. </w:t>
      </w:r>
    </w:p>
    <w:p w:rsidR="000834E7" w:rsidRDefault="000834E7" w:rsidP="000834E7">
      <w:pPr>
        <w:pStyle w:val="Default"/>
        <w:ind w:left="851" w:right="-40" w:hanging="851"/>
        <w:rPr>
          <w:i/>
          <w:u w:val="single"/>
          <w:lang w:val="da-DK"/>
        </w:rPr>
      </w:pPr>
    </w:p>
    <w:p w:rsidR="00527D5D" w:rsidRDefault="00527D5D" w:rsidP="000834E7">
      <w:pPr>
        <w:pStyle w:val="Default"/>
        <w:ind w:left="851" w:right="-40" w:hanging="851"/>
        <w:rPr>
          <w:i/>
          <w:u w:val="single"/>
          <w:lang w:val="da-DK"/>
        </w:rPr>
      </w:pPr>
    </w:p>
    <w:p w:rsidR="00527D5D" w:rsidRDefault="00527D5D" w:rsidP="000834E7">
      <w:pPr>
        <w:pStyle w:val="Default"/>
        <w:ind w:left="851" w:right="-40" w:hanging="851"/>
        <w:rPr>
          <w:i/>
          <w:u w:val="single"/>
          <w:lang w:val="da-DK"/>
        </w:rPr>
      </w:pPr>
    </w:p>
    <w:p w:rsidR="000834E7" w:rsidRDefault="000834E7" w:rsidP="000834E7">
      <w:pPr>
        <w:pStyle w:val="Default"/>
        <w:ind w:left="851" w:right="-40"/>
        <w:rPr>
          <w:i/>
          <w:u w:val="single"/>
          <w:lang w:val="da-DK"/>
        </w:rPr>
      </w:pPr>
      <w:r>
        <w:rPr>
          <w:i/>
          <w:u w:val="single"/>
          <w:lang w:val="da-DK"/>
        </w:rPr>
        <w:lastRenderedPageBreak/>
        <w:t xml:space="preserve">Induktorer af CYP2C19 og/eller CYP3A4 </w:t>
      </w:r>
    </w:p>
    <w:p w:rsidR="000834E7" w:rsidRDefault="000834E7" w:rsidP="000834E7">
      <w:pPr>
        <w:ind w:left="851"/>
        <w:rPr>
          <w:sz w:val="24"/>
          <w:szCs w:val="24"/>
        </w:rPr>
      </w:pPr>
      <w:r>
        <w:rPr>
          <w:snapToGrid w:val="0"/>
          <w:sz w:val="24"/>
          <w:szCs w:val="24"/>
        </w:rPr>
        <w:t xml:space="preserve">Aktive stoffer, der inducerer CYP2C19 eller CYP3A4 eller begge (såsom </w:t>
      </w:r>
      <w:proofErr w:type="spellStart"/>
      <w:r>
        <w:rPr>
          <w:snapToGrid w:val="0"/>
          <w:sz w:val="24"/>
          <w:szCs w:val="24"/>
        </w:rPr>
        <w:t>rifampicin</w:t>
      </w:r>
      <w:proofErr w:type="spellEnd"/>
      <w:r>
        <w:rPr>
          <w:snapToGrid w:val="0"/>
          <w:sz w:val="24"/>
          <w:szCs w:val="24"/>
        </w:rPr>
        <w:t xml:space="preserve"> og perikon), kan medføre nedsat serumkoncentration af </w:t>
      </w:r>
      <w:proofErr w:type="spellStart"/>
      <w:r>
        <w:rPr>
          <w:snapToGrid w:val="0"/>
          <w:sz w:val="24"/>
          <w:szCs w:val="24"/>
        </w:rPr>
        <w:t>omeprazol</w:t>
      </w:r>
      <w:proofErr w:type="spellEnd"/>
      <w:r>
        <w:rPr>
          <w:snapToGrid w:val="0"/>
          <w:sz w:val="24"/>
          <w:szCs w:val="24"/>
        </w:rPr>
        <w:t xml:space="preserve">, idet </w:t>
      </w:r>
      <w:proofErr w:type="spellStart"/>
      <w:r>
        <w:rPr>
          <w:snapToGrid w:val="0"/>
          <w:sz w:val="24"/>
          <w:szCs w:val="24"/>
        </w:rPr>
        <w:t>omeprazols</w:t>
      </w:r>
      <w:proofErr w:type="spellEnd"/>
      <w:r>
        <w:rPr>
          <w:snapToGrid w:val="0"/>
          <w:sz w:val="24"/>
          <w:szCs w:val="24"/>
        </w:rPr>
        <w:t xml:space="preserve"> </w:t>
      </w:r>
      <w:proofErr w:type="spellStart"/>
      <w:r>
        <w:rPr>
          <w:snapToGrid w:val="0"/>
          <w:sz w:val="24"/>
          <w:szCs w:val="24"/>
        </w:rPr>
        <w:t>metaboliseringshastighed</w:t>
      </w:r>
      <w:proofErr w:type="spellEnd"/>
      <w:r>
        <w:rPr>
          <w:snapToGrid w:val="0"/>
          <w:sz w:val="24"/>
          <w:szCs w:val="24"/>
        </w:rPr>
        <w:t xml:space="preserve"> øges.</w:t>
      </w:r>
    </w:p>
    <w:p w:rsidR="0055738F" w:rsidRDefault="0055738F">
      <w:pPr>
        <w:rPr>
          <w:sz w:val="24"/>
          <w:szCs w:val="24"/>
        </w:rPr>
      </w:pPr>
    </w:p>
    <w:p w:rsidR="00821DDD" w:rsidRPr="00774AEF" w:rsidRDefault="00754C35" w:rsidP="00821DDD">
      <w:pPr>
        <w:numPr>
          <w:ilvl w:val="1"/>
          <w:numId w:val="1"/>
        </w:numPr>
        <w:tabs>
          <w:tab w:val="clear" w:pos="855"/>
        </w:tabs>
        <w:ind w:left="851" w:hanging="851"/>
        <w:rPr>
          <w:b/>
          <w:sz w:val="24"/>
          <w:szCs w:val="24"/>
        </w:rPr>
      </w:pPr>
      <w:r>
        <w:rPr>
          <w:b/>
          <w:sz w:val="24"/>
          <w:szCs w:val="24"/>
        </w:rPr>
        <w:t>Fertilitet, g</w:t>
      </w:r>
      <w:r w:rsidR="00821DDD" w:rsidRPr="00774AEF">
        <w:rPr>
          <w:b/>
          <w:sz w:val="24"/>
          <w:szCs w:val="24"/>
        </w:rPr>
        <w:t>raviditet og amning</w:t>
      </w:r>
    </w:p>
    <w:p w:rsidR="00821DDD" w:rsidRPr="00EA0D4B" w:rsidRDefault="00821DDD" w:rsidP="00821DDD">
      <w:pPr>
        <w:ind w:left="851"/>
        <w:rPr>
          <w:sz w:val="24"/>
          <w:szCs w:val="24"/>
          <w:u w:val="single"/>
        </w:rPr>
      </w:pPr>
      <w:r w:rsidRPr="00EA0D4B">
        <w:rPr>
          <w:sz w:val="24"/>
          <w:szCs w:val="24"/>
          <w:u w:val="single"/>
        </w:rPr>
        <w:t>Graviditet</w:t>
      </w:r>
    </w:p>
    <w:p w:rsidR="00821DDD" w:rsidRPr="00523B35" w:rsidRDefault="00821DDD" w:rsidP="00821DDD">
      <w:pPr>
        <w:ind w:left="851"/>
        <w:rPr>
          <w:sz w:val="24"/>
          <w:szCs w:val="24"/>
        </w:rPr>
      </w:pPr>
      <w:r w:rsidRPr="00523B35">
        <w:rPr>
          <w:sz w:val="24"/>
          <w:szCs w:val="24"/>
        </w:rPr>
        <w:t xml:space="preserve">Resultater fra tre </w:t>
      </w:r>
      <w:proofErr w:type="spellStart"/>
      <w:r w:rsidRPr="00523B35">
        <w:rPr>
          <w:sz w:val="24"/>
          <w:szCs w:val="24"/>
        </w:rPr>
        <w:t>prospektive</w:t>
      </w:r>
      <w:proofErr w:type="spellEnd"/>
      <w:r w:rsidRPr="00523B35">
        <w:rPr>
          <w:sz w:val="24"/>
          <w:szCs w:val="24"/>
        </w:rPr>
        <w:t xml:space="preserve"> epidemiologiske </w:t>
      </w:r>
      <w:r>
        <w:rPr>
          <w:sz w:val="24"/>
          <w:szCs w:val="24"/>
        </w:rPr>
        <w:t>undersøgelser</w:t>
      </w:r>
      <w:r w:rsidRPr="00523B35">
        <w:rPr>
          <w:sz w:val="24"/>
          <w:szCs w:val="24"/>
        </w:rPr>
        <w:t xml:space="preserve"> (</w:t>
      </w:r>
      <w:r>
        <w:rPr>
          <w:sz w:val="24"/>
          <w:szCs w:val="24"/>
        </w:rPr>
        <w:t xml:space="preserve">med resultater fra </w:t>
      </w:r>
      <w:r w:rsidRPr="00523B35">
        <w:rPr>
          <w:sz w:val="24"/>
          <w:szCs w:val="24"/>
        </w:rPr>
        <w:t>mere end 1000 ekspon</w:t>
      </w:r>
      <w:r>
        <w:rPr>
          <w:sz w:val="24"/>
          <w:szCs w:val="24"/>
        </w:rPr>
        <w:t>eringer</w:t>
      </w:r>
      <w:r w:rsidRPr="00523B35">
        <w:rPr>
          <w:sz w:val="24"/>
          <w:szCs w:val="24"/>
        </w:rPr>
        <w:t xml:space="preserve">) </w:t>
      </w:r>
      <w:r>
        <w:rPr>
          <w:sz w:val="24"/>
          <w:szCs w:val="24"/>
        </w:rPr>
        <w:t xml:space="preserve">viser ingen skadelige virkninger af </w:t>
      </w:r>
      <w:proofErr w:type="spellStart"/>
      <w:r>
        <w:rPr>
          <w:sz w:val="24"/>
          <w:szCs w:val="24"/>
        </w:rPr>
        <w:t>omeprazol</w:t>
      </w:r>
      <w:proofErr w:type="spellEnd"/>
      <w:r>
        <w:rPr>
          <w:sz w:val="24"/>
          <w:szCs w:val="24"/>
        </w:rPr>
        <w:t xml:space="preserve"> på graviditeten eller på fostrets/det nyfødte barns sundhedstilstand</w:t>
      </w:r>
      <w:r w:rsidRPr="00523B35">
        <w:rPr>
          <w:sz w:val="24"/>
          <w:szCs w:val="24"/>
        </w:rPr>
        <w:t xml:space="preserve">. </w:t>
      </w:r>
      <w:proofErr w:type="spellStart"/>
      <w:r w:rsidRPr="00523B35">
        <w:rPr>
          <w:sz w:val="24"/>
          <w:szCs w:val="24"/>
        </w:rPr>
        <w:t>Omeprazol</w:t>
      </w:r>
      <w:proofErr w:type="spellEnd"/>
      <w:r w:rsidRPr="00523B35">
        <w:rPr>
          <w:sz w:val="24"/>
          <w:szCs w:val="24"/>
        </w:rPr>
        <w:t xml:space="preserve"> kan </w:t>
      </w:r>
      <w:r>
        <w:rPr>
          <w:sz w:val="24"/>
          <w:szCs w:val="24"/>
        </w:rPr>
        <w:t>anvendes</w:t>
      </w:r>
      <w:r w:rsidRPr="00523B35">
        <w:rPr>
          <w:sz w:val="24"/>
          <w:szCs w:val="24"/>
        </w:rPr>
        <w:t xml:space="preserve"> under graviditet. </w:t>
      </w:r>
    </w:p>
    <w:p w:rsidR="00821DDD" w:rsidRDefault="00821DDD" w:rsidP="00821DDD">
      <w:pPr>
        <w:pStyle w:val="Default"/>
        <w:ind w:left="851" w:hanging="851"/>
        <w:rPr>
          <w:lang w:val="da-DK"/>
        </w:rPr>
      </w:pPr>
    </w:p>
    <w:p w:rsidR="00821DDD" w:rsidRDefault="00821DDD" w:rsidP="00821DDD">
      <w:pPr>
        <w:pStyle w:val="Default"/>
        <w:ind w:left="851" w:hanging="851"/>
        <w:rPr>
          <w:u w:val="single"/>
          <w:lang w:val="da-DK"/>
        </w:rPr>
      </w:pPr>
      <w:r>
        <w:rPr>
          <w:lang w:val="da-DK"/>
        </w:rPr>
        <w:tab/>
      </w:r>
      <w:r>
        <w:rPr>
          <w:u w:val="single"/>
          <w:lang w:val="da-DK"/>
        </w:rPr>
        <w:t>Amning</w:t>
      </w:r>
    </w:p>
    <w:p w:rsidR="00821DDD" w:rsidRDefault="00821DDD" w:rsidP="00821DDD">
      <w:pPr>
        <w:ind w:left="851"/>
        <w:rPr>
          <w:snapToGrid w:val="0"/>
          <w:sz w:val="24"/>
          <w:szCs w:val="24"/>
        </w:rPr>
      </w:pPr>
      <w:proofErr w:type="spellStart"/>
      <w:r>
        <w:rPr>
          <w:snapToGrid w:val="0"/>
          <w:sz w:val="24"/>
          <w:szCs w:val="24"/>
        </w:rPr>
        <w:t>Omeprazol</w:t>
      </w:r>
      <w:proofErr w:type="spellEnd"/>
      <w:r>
        <w:rPr>
          <w:snapToGrid w:val="0"/>
          <w:sz w:val="24"/>
          <w:szCs w:val="24"/>
        </w:rPr>
        <w:t xml:space="preserve"> udskilles i modermælk, men det er ikke sandsynligt, at barnet påvirkes, når der anvendes terapeutiske doser.</w:t>
      </w:r>
    </w:p>
    <w:p w:rsidR="00821DDD" w:rsidRDefault="00821DDD" w:rsidP="00821DDD">
      <w:pPr>
        <w:ind w:left="851"/>
        <w:rPr>
          <w:snapToGrid w:val="0"/>
          <w:sz w:val="24"/>
          <w:szCs w:val="24"/>
        </w:rPr>
      </w:pPr>
    </w:p>
    <w:p w:rsidR="00821DDD" w:rsidRDefault="00821DDD" w:rsidP="000834E7">
      <w:pPr>
        <w:keepNext/>
        <w:ind w:left="851"/>
        <w:rPr>
          <w:snapToGrid w:val="0"/>
          <w:sz w:val="24"/>
          <w:szCs w:val="24"/>
          <w:u w:val="single"/>
        </w:rPr>
      </w:pPr>
      <w:r>
        <w:rPr>
          <w:snapToGrid w:val="0"/>
          <w:sz w:val="24"/>
          <w:szCs w:val="24"/>
          <w:u w:val="single"/>
        </w:rPr>
        <w:t>Fertilitet</w:t>
      </w:r>
    </w:p>
    <w:p w:rsidR="000834E7" w:rsidRDefault="000834E7" w:rsidP="000834E7">
      <w:pPr>
        <w:ind w:left="851"/>
        <w:rPr>
          <w:snapToGrid w:val="0"/>
          <w:sz w:val="24"/>
          <w:szCs w:val="24"/>
        </w:rPr>
      </w:pPr>
      <w:r w:rsidRPr="00B27772">
        <w:rPr>
          <w:snapToGrid w:val="0"/>
          <w:sz w:val="24"/>
          <w:szCs w:val="24"/>
        </w:rPr>
        <w:t xml:space="preserve">I dyreforsøg med oral administration af den </w:t>
      </w:r>
      <w:proofErr w:type="spellStart"/>
      <w:r w:rsidRPr="00B27772">
        <w:rPr>
          <w:snapToGrid w:val="0"/>
          <w:sz w:val="24"/>
          <w:szCs w:val="24"/>
        </w:rPr>
        <w:t>racemiske</w:t>
      </w:r>
      <w:proofErr w:type="spellEnd"/>
      <w:r w:rsidRPr="00B27772">
        <w:rPr>
          <w:snapToGrid w:val="0"/>
          <w:sz w:val="24"/>
          <w:szCs w:val="24"/>
        </w:rPr>
        <w:t xml:space="preserve"> blanding</w:t>
      </w:r>
      <w:r>
        <w:rPr>
          <w:snapToGrid w:val="0"/>
          <w:sz w:val="24"/>
          <w:szCs w:val="24"/>
        </w:rPr>
        <w:t xml:space="preserve"> af</w:t>
      </w:r>
      <w:r w:rsidRPr="00B27772">
        <w:rPr>
          <w:snapToGrid w:val="0"/>
          <w:sz w:val="24"/>
          <w:szCs w:val="24"/>
        </w:rPr>
        <w:t xml:space="preserve"> </w:t>
      </w:r>
      <w:proofErr w:type="spellStart"/>
      <w:r w:rsidRPr="00B27772">
        <w:rPr>
          <w:snapToGrid w:val="0"/>
          <w:sz w:val="24"/>
          <w:szCs w:val="24"/>
        </w:rPr>
        <w:t>omeprazol</w:t>
      </w:r>
      <w:proofErr w:type="spellEnd"/>
      <w:r w:rsidRPr="00B27772">
        <w:rPr>
          <w:snapToGrid w:val="0"/>
          <w:sz w:val="24"/>
          <w:szCs w:val="24"/>
        </w:rPr>
        <w:t xml:space="preserve"> blev der ikke set tegn på virkninger, hvad angår fertiliteten.</w:t>
      </w:r>
    </w:p>
    <w:p w:rsidR="00821DDD" w:rsidRPr="00523B35" w:rsidRDefault="00821DDD" w:rsidP="00821DDD">
      <w:pPr>
        <w:ind w:left="851"/>
        <w:rPr>
          <w:sz w:val="24"/>
          <w:szCs w:val="24"/>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 xml:space="preserve">Virkning på evnen til at føre motorkøretøj </w:t>
      </w:r>
      <w:r w:rsidR="00754C35">
        <w:rPr>
          <w:b/>
          <w:sz w:val="24"/>
          <w:szCs w:val="24"/>
        </w:rPr>
        <w:t xml:space="preserve">og </w:t>
      </w:r>
      <w:r w:rsidRPr="00774AEF">
        <w:rPr>
          <w:b/>
          <w:sz w:val="24"/>
          <w:szCs w:val="24"/>
        </w:rPr>
        <w:t>betjene maskiner</w:t>
      </w:r>
    </w:p>
    <w:p w:rsidR="00821DDD" w:rsidRDefault="00821DDD" w:rsidP="00821DDD">
      <w:pPr>
        <w:ind w:left="851"/>
        <w:rPr>
          <w:sz w:val="24"/>
          <w:szCs w:val="24"/>
        </w:rPr>
      </w:pPr>
      <w:r>
        <w:rPr>
          <w:sz w:val="24"/>
          <w:szCs w:val="24"/>
        </w:rPr>
        <w:t>Ikke mærkning.</w:t>
      </w:r>
    </w:p>
    <w:p w:rsidR="000834E7" w:rsidRPr="00774AEF" w:rsidRDefault="000834E7" w:rsidP="000834E7">
      <w:pPr>
        <w:ind w:left="851"/>
        <w:rPr>
          <w:sz w:val="24"/>
          <w:szCs w:val="24"/>
        </w:rPr>
      </w:pPr>
      <w:proofErr w:type="spellStart"/>
      <w:r>
        <w:rPr>
          <w:sz w:val="24"/>
          <w:szCs w:val="24"/>
        </w:rPr>
        <w:t>Omeprazol</w:t>
      </w:r>
      <w:proofErr w:type="spellEnd"/>
      <w:r>
        <w:rPr>
          <w:sz w:val="24"/>
          <w:szCs w:val="24"/>
        </w:rPr>
        <w:t xml:space="preserve"> ”Sandoz” påvirker ikke evnen til at føre motorkøretøj og betjene maskiner. Der kan forekomme bivirkninger som f.eks. svimmelhed og synsforstyrrelser (se pkt. 4.8). Patienter, der påvirkes af disse, må ikke føre motorkøretøj eller betjene maskiner.</w:t>
      </w:r>
    </w:p>
    <w:p w:rsidR="00821DDD" w:rsidRPr="00774AEF" w:rsidRDefault="00821DDD" w:rsidP="00821DDD">
      <w:pPr>
        <w:rPr>
          <w:sz w:val="24"/>
          <w:szCs w:val="24"/>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Bivirkninger</w:t>
      </w:r>
    </w:p>
    <w:p w:rsidR="000834E7" w:rsidRPr="000834E7" w:rsidRDefault="000834E7" w:rsidP="000834E7">
      <w:pPr>
        <w:suppressAutoHyphens/>
        <w:ind w:left="851"/>
        <w:rPr>
          <w:i/>
          <w:sz w:val="24"/>
        </w:rPr>
      </w:pPr>
      <w:r w:rsidRPr="000834E7">
        <w:rPr>
          <w:i/>
          <w:sz w:val="24"/>
        </w:rPr>
        <w:t>Resumé af sikkerhedsprofilen</w:t>
      </w:r>
    </w:p>
    <w:p w:rsidR="000834E7" w:rsidRDefault="000834E7" w:rsidP="00527D5D">
      <w:pPr>
        <w:suppressAutoHyphens/>
        <w:ind w:left="851"/>
        <w:rPr>
          <w:sz w:val="24"/>
          <w:szCs w:val="24"/>
        </w:rPr>
      </w:pPr>
      <w:r w:rsidRPr="000834E7">
        <w:rPr>
          <w:sz w:val="24"/>
          <w:szCs w:val="24"/>
        </w:rPr>
        <w:t xml:space="preserve">De almindeligst forekommende bivirkninger (ses hos 1-10 % af patienterne) er hovedpine, </w:t>
      </w:r>
      <w:proofErr w:type="spellStart"/>
      <w:r w:rsidRPr="000834E7">
        <w:rPr>
          <w:sz w:val="24"/>
          <w:szCs w:val="24"/>
        </w:rPr>
        <w:t>abdominalsmerte</w:t>
      </w:r>
      <w:proofErr w:type="spellEnd"/>
      <w:r w:rsidRPr="000834E7">
        <w:rPr>
          <w:sz w:val="24"/>
          <w:szCs w:val="24"/>
        </w:rPr>
        <w:t xml:space="preserve">, obstipation, diarré, </w:t>
      </w:r>
      <w:proofErr w:type="spellStart"/>
      <w:r w:rsidRPr="000834E7">
        <w:rPr>
          <w:sz w:val="24"/>
          <w:szCs w:val="24"/>
        </w:rPr>
        <w:t>flatulens</w:t>
      </w:r>
      <w:proofErr w:type="spellEnd"/>
      <w:r w:rsidRPr="000834E7">
        <w:rPr>
          <w:sz w:val="24"/>
          <w:szCs w:val="24"/>
        </w:rPr>
        <w:t xml:space="preserve"> og kvalme/opkastning. </w:t>
      </w:r>
    </w:p>
    <w:p w:rsidR="00527D5D" w:rsidRDefault="00527D5D" w:rsidP="00527D5D">
      <w:pPr>
        <w:suppressAutoHyphens/>
        <w:ind w:left="851"/>
      </w:pPr>
    </w:p>
    <w:p w:rsidR="00527D5D" w:rsidRPr="000834E7" w:rsidRDefault="00527D5D" w:rsidP="00527D5D">
      <w:pPr>
        <w:suppressAutoHyphens/>
        <w:ind w:left="851"/>
        <w:rPr>
          <w:sz w:val="24"/>
          <w:szCs w:val="24"/>
        </w:rPr>
      </w:pPr>
      <w:r w:rsidRPr="00B375A9">
        <w:rPr>
          <w:sz w:val="24"/>
          <w:szCs w:val="24"/>
        </w:rPr>
        <w:t xml:space="preserve">Svære </w:t>
      </w:r>
      <w:proofErr w:type="spellStart"/>
      <w:r w:rsidRPr="00B375A9">
        <w:rPr>
          <w:sz w:val="24"/>
          <w:szCs w:val="24"/>
        </w:rPr>
        <w:t>kutane</w:t>
      </w:r>
      <w:proofErr w:type="spellEnd"/>
      <w:r w:rsidRPr="00B375A9">
        <w:rPr>
          <w:sz w:val="24"/>
          <w:szCs w:val="24"/>
        </w:rPr>
        <w:t xml:space="preserve"> bivirkninger (</w:t>
      </w:r>
      <w:proofErr w:type="spellStart"/>
      <w:r w:rsidRPr="00B375A9">
        <w:rPr>
          <w:sz w:val="24"/>
          <w:szCs w:val="24"/>
        </w:rPr>
        <w:t>SCAR’er</w:t>
      </w:r>
      <w:proofErr w:type="spellEnd"/>
      <w:r w:rsidRPr="00B375A9">
        <w:rPr>
          <w:sz w:val="24"/>
          <w:szCs w:val="24"/>
        </w:rPr>
        <w:t xml:space="preserve">), inklusive Stevens-Johnsons syndrom (SJS), toksisk </w:t>
      </w:r>
      <w:proofErr w:type="spellStart"/>
      <w:r w:rsidRPr="00B375A9">
        <w:rPr>
          <w:sz w:val="24"/>
          <w:szCs w:val="24"/>
        </w:rPr>
        <w:t>epidermal</w:t>
      </w:r>
      <w:proofErr w:type="spellEnd"/>
      <w:r w:rsidRPr="00B375A9">
        <w:rPr>
          <w:sz w:val="24"/>
          <w:szCs w:val="24"/>
        </w:rPr>
        <w:t xml:space="preserve"> </w:t>
      </w:r>
      <w:proofErr w:type="spellStart"/>
      <w:r w:rsidRPr="00B375A9">
        <w:rPr>
          <w:sz w:val="24"/>
          <w:szCs w:val="24"/>
        </w:rPr>
        <w:t>nekrolyse</w:t>
      </w:r>
      <w:proofErr w:type="spellEnd"/>
      <w:r w:rsidRPr="00B375A9">
        <w:rPr>
          <w:sz w:val="24"/>
          <w:szCs w:val="24"/>
        </w:rPr>
        <w:t xml:space="preserve"> (TEN), lægemiddelreaktion med </w:t>
      </w:r>
      <w:proofErr w:type="spellStart"/>
      <w:r w:rsidRPr="00B375A9">
        <w:rPr>
          <w:sz w:val="24"/>
          <w:szCs w:val="24"/>
        </w:rPr>
        <w:t>eosinofili</w:t>
      </w:r>
      <w:proofErr w:type="spellEnd"/>
      <w:r w:rsidRPr="00B375A9">
        <w:rPr>
          <w:sz w:val="24"/>
          <w:szCs w:val="24"/>
        </w:rPr>
        <w:t xml:space="preserve"> og systemiske symptomer</w:t>
      </w:r>
      <w:r>
        <w:rPr>
          <w:sz w:val="24"/>
          <w:szCs w:val="24"/>
        </w:rPr>
        <w:t xml:space="preserve"> </w:t>
      </w:r>
      <w:r w:rsidRPr="00B375A9">
        <w:rPr>
          <w:sz w:val="24"/>
          <w:szCs w:val="24"/>
        </w:rPr>
        <w:t xml:space="preserve">(DRESS) og akut generaliseret </w:t>
      </w:r>
      <w:proofErr w:type="spellStart"/>
      <w:r w:rsidRPr="00B375A9">
        <w:rPr>
          <w:sz w:val="24"/>
          <w:szCs w:val="24"/>
        </w:rPr>
        <w:t>eksantematøs</w:t>
      </w:r>
      <w:proofErr w:type="spellEnd"/>
      <w:r w:rsidRPr="00B375A9">
        <w:rPr>
          <w:sz w:val="24"/>
          <w:szCs w:val="24"/>
        </w:rPr>
        <w:t xml:space="preserve"> </w:t>
      </w:r>
      <w:proofErr w:type="spellStart"/>
      <w:r w:rsidRPr="00B375A9">
        <w:rPr>
          <w:sz w:val="24"/>
          <w:szCs w:val="24"/>
        </w:rPr>
        <w:t>pustulose</w:t>
      </w:r>
      <w:proofErr w:type="spellEnd"/>
      <w:r w:rsidRPr="00B375A9">
        <w:rPr>
          <w:sz w:val="24"/>
          <w:szCs w:val="24"/>
        </w:rPr>
        <w:t xml:space="preserve"> (AGEP) er blevet rapporteret i</w:t>
      </w:r>
      <w:r>
        <w:rPr>
          <w:sz w:val="24"/>
          <w:szCs w:val="24"/>
        </w:rPr>
        <w:t xml:space="preserve"> </w:t>
      </w:r>
      <w:r w:rsidRPr="00B375A9">
        <w:rPr>
          <w:sz w:val="24"/>
          <w:szCs w:val="24"/>
        </w:rPr>
        <w:t xml:space="preserve">forbindelse med </w:t>
      </w:r>
      <w:proofErr w:type="spellStart"/>
      <w:r>
        <w:rPr>
          <w:sz w:val="24"/>
          <w:szCs w:val="24"/>
        </w:rPr>
        <w:t>omeprazol</w:t>
      </w:r>
      <w:r w:rsidRPr="00B375A9">
        <w:rPr>
          <w:sz w:val="24"/>
          <w:szCs w:val="24"/>
        </w:rPr>
        <w:t>behandling</w:t>
      </w:r>
      <w:proofErr w:type="spellEnd"/>
      <w:r w:rsidRPr="00B375A9">
        <w:rPr>
          <w:sz w:val="24"/>
          <w:szCs w:val="24"/>
        </w:rPr>
        <w:t xml:space="preserve"> (se pkt. 4.4).</w:t>
      </w:r>
      <w:r w:rsidRPr="000834E7">
        <w:rPr>
          <w:sz w:val="24"/>
          <w:szCs w:val="24"/>
        </w:rPr>
        <w:t xml:space="preserve"> </w:t>
      </w:r>
    </w:p>
    <w:p w:rsidR="00527D5D" w:rsidRDefault="00527D5D" w:rsidP="00527D5D">
      <w:pPr>
        <w:suppressAutoHyphens/>
        <w:ind w:left="851"/>
      </w:pPr>
    </w:p>
    <w:p w:rsidR="000834E7" w:rsidRDefault="000834E7" w:rsidP="000834E7">
      <w:pPr>
        <w:pStyle w:val="Default"/>
        <w:ind w:left="851"/>
        <w:rPr>
          <w:color w:val="auto"/>
          <w:lang w:val="da-DK"/>
        </w:rPr>
      </w:pPr>
      <w:r>
        <w:rPr>
          <w:i/>
          <w:lang w:val="da-DK"/>
        </w:rPr>
        <w:t>Liste over bivirkninger i tabelform</w:t>
      </w:r>
      <w:r w:rsidRPr="00AC2319">
        <w:rPr>
          <w:i/>
          <w:color w:val="auto"/>
          <w:lang w:val="da-DK"/>
        </w:rPr>
        <w:t xml:space="preserve"> </w:t>
      </w:r>
    </w:p>
    <w:p w:rsidR="000834E7" w:rsidRDefault="000834E7" w:rsidP="000834E7">
      <w:pPr>
        <w:pStyle w:val="Default"/>
        <w:ind w:left="851"/>
        <w:rPr>
          <w:color w:val="auto"/>
          <w:lang w:val="da-DK"/>
        </w:rPr>
      </w:pPr>
      <w:r>
        <w:rPr>
          <w:color w:val="auto"/>
          <w:lang w:val="da-DK"/>
        </w:rPr>
        <w:t xml:space="preserve">Følgende bivirkninger er påvist eller anset som mulige i </w:t>
      </w:r>
      <w:proofErr w:type="spellStart"/>
      <w:r>
        <w:rPr>
          <w:color w:val="auto"/>
          <w:lang w:val="da-DK"/>
        </w:rPr>
        <w:t>omeprazols</w:t>
      </w:r>
      <w:proofErr w:type="spellEnd"/>
      <w:r>
        <w:rPr>
          <w:color w:val="auto"/>
          <w:lang w:val="da-DK"/>
        </w:rPr>
        <w:t xml:space="preserve"> kliniske forsøgsprogram og post-marketing. Ingen var dosisafhængige. Bivirkningerne er nedenfor anført efter frekvens og organklasse. Frekvenskategorierne er defineret som følger: Meget almindelig (</w:t>
      </w:r>
      <w:r>
        <w:rPr>
          <w:color w:val="auto"/>
          <w:u w:val="single"/>
          <w:lang w:val="da-DK"/>
        </w:rPr>
        <w:t>&gt;</w:t>
      </w:r>
      <w:r>
        <w:rPr>
          <w:color w:val="auto"/>
          <w:lang w:val="da-DK"/>
        </w:rPr>
        <w:t>1/10), almindelig (</w:t>
      </w:r>
      <w:r>
        <w:rPr>
          <w:color w:val="auto"/>
          <w:u w:val="single"/>
          <w:lang w:val="da-DK"/>
        </w:rPr>
        <w:t>&gt;</w:t>
      </w:r>
      <w:r>
        <w:rPr>
          <w:color w:val="auto"/>
          <w:lang w:val="da-DK"/>
        </w:rPr>
        <w:t>1/100 til &lt;1/10), ikke almindelig (</w:t>
      </w:r>
      <w:r>
        <w:rPr>
          <w:color w:val="auto"/>
          <w:u w:val="single"/>
          <w:lang w:val="da-DK"/>
        </w:rPr>
        <w:t>&gt;</w:t>
      </w:r>
      <w:r>
        <w:rPr>
          <w:color w:val="auto"/>
          <w:lang w:val="da-DK"/>
        </w:rPr>
        <w:t>1/1.000 til &lt;1/100), sjælden (</w:t>
      </w:r>
      <w:r>
        <w:rPr>
          <w:color w:val="auto"/>
          <w:u w:val="single"/>
          <w:lang w:val="da-DK"/>
        </w:rPr>
        <w:t>&gt;</w:t>
      </w:r>
      <w:r>
        <w:rPr>
          <w:color w:val="auto"/>
          <w:lang w:val="da-DK"/>
        </w:rPr>
        <w:t xml:space="preserve">1/10.000 til &lt;1/1.000), meget sjælden (&lt;1/10.000), </w:t>
      </w:r>
      <w:r>
        <w:rPr>
          <w:lang w:val="da-DK"/>
        </w:rPr>
        <w:t xml:space="preserve">ikke kendt </w:t>
      </w:r>
      <w:r>
        <w:rPr>
          <w:color w:val="auto"/>
          <w:lang w:val="da-DK"/>
        </w:rPr>
        <w:t>(kan ikke estimeres ud fra forhåndenværende data).</w:t>
      </w:r>
    </w:p>
    <w:p w:rsidR="000834E7" w:rsidRPr="00EA0D4B" w:rsidRDefault="000834E7" w:rsidP="000834E7">
      <w:pPr>
        <w:pStyle w:val="Default"/>
        <w:ind w:left="851"/>
        <w:rPr>
          <w:b/>
          <w:lang w:val="da-DK"/>
        </w:rPr>
      </w:pPr>
    </w:p>
    <w:tbl>
      <w:tblPr>
        <w:tblW w:w="0" w:type="auto"/>
        <w:tblInd w:w="9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51"/>
        <w:gridCol w:w="5458"/>
      </w:tblGrid>
      <w:tr w:rsidR="000834E7" w:rsidTr="00AC2319">
        <w:trPr>
          <w:trHeight w:val="293"/>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b/>
                <w:szCs w:val="24"/>
                <w:lang w:val="en-GB" w:eastAsia="nl-NL"/>
              </w:rPr>
            </w:pPr>
            <w:r>
              <w:rPr>
                <w:b/>
                <w:szCs w:val="24"/>
              </w:rPr>
              <w:t>Organklasse</w:t>
            </w:r>
            <w:r>
              <w:rPr>
                <w:b/>
                <w:szCs w:val="24"/>
                <w:lang w:val="en-GB"/>
              </w:rPr>
              <w:t>/</w:t>
            </w:r>
            <w:r>
              <w:rPr>
                <w:b/>
                <w:szCs w:val="24"/>
              </w:rPr>
              <w:t>frekvens</w:t>
            </w:r>
            <w:r>
              <w:rPr>
                <w:b/>
                <w:szCs w:val="24"/>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b/>
                <w:szCs w:val="24"/>
                <w:lang w:val="en-GB" w:eastAsia="nl-NL"/>
              </w:rPr>
            </w:pPr>
            <w:r>
              <w:rPr>
                <w:b/>
                <w:szCs w:val="24"/>
              </w:rPr>
              <w:t>Bivirkning</w:t>
            </w:r>
            <w:r>
              <w:rPr>
                <w:b/>
                <w:szCs w:val="24"/>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b/>
                <w:szCs w:val="24"/>
                <w:lang w:eastAsia="nl-NL"/>
              </w:rPr>
            </w:pPr>
            <w:r>
              <w:rPr>
                <w:b/>
                <w:szCs w:val="24"/>
              </w:rPr>
              <w:t xml:space="preserve">Blod og lymfesystem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r>
              <w:rPr>
                <w:szCs w:val="24"/>
              </w:rPr>
              <w:t>Sjælden</w:t>
            </w:r>
            <w:r>
              <w:rPr>
                <w:szCs w:val="24"/>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proofErr w:type="spellStart"/>
            <w:r>
              <w:rPr>
                <w:szCs w:val="24"/>
              </w:rPr>
              <w:t>Leukopeni</w:t>
            </w:r>
            <w:proofErr w:type="spellEnd"/>
            <w:r>
              <w:rPr>
                <w:szCs w:val="24"/>
                <w:lang w:val="en-GB"/>
              </w:rPr>
              <w:t xml:space="preserve">, </w:t>
            </w:r>
            <w:proofErr w:type="spellStart"/>
            <w:r>
              <w:rPr>
                <w:szCs w:val="24"/>
              </w:rPr>
              <w:t>thrombocytopeni</w:t>
            </w:r>
            <w:proofErr w:type="spellEnd"/>
            <w:r>
              <w:rPr>
                <w:szCs w:val="24"/>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r>
              <w:rPr>
                <w:szCs w:val="24"/>
              </w:rPr>
              <w:t>Meget sjælden</w:t>
            </w:r>
            <w:r>
              <w:rPr>
                <w:szCs w:val="24"/>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proofErr w:type="spellStart"/>
            <w:r>
              <w:rPr>
                <w:szCs w:val="24"/>
              </w:rPr>
              <w:t>Agranulocytose</w:t>
            </w:r>
            <w:proofErr w:type="spellEnd"/>
            <w:r>
              <w:rPr>
                <w:szCs w:val="24"/>
                <w:lang w:val="en-GB"/>
              </w:rPr>
              <w:t xml:space="preserve">, </w:t>
            </w:r>
            <w:proofErr w:type="spellStart"/>
            <w:r>
              <w:rPr>
                <w:szCs w:val="24"/>
              </w:rPr>
              <w:t>pancytopeni</w:t>
            </w:r>
            <w:proofErr w:type="spellEnd"/>
            <w:r>
              <w:rPr>
                <w:szCs w:val="24"/>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b/>
                <w:szCs w:val="24"/>
                <w:lang w:val="en-GB" w:eastAsia="nl-NL"/>
              </w:rPr>
            </w:pPr>
            <w:r>
              <w:rPr>
                <w:b/>
                <w:szCs w:val="24"/>
              </w:rPr>
              <w:t>Immunsystemet</w:t>
            </w:r>
            <w:r>
              <w:rPr>
                <w:b/>
                <w:szCs w:val="24"/>
                <w:lang w:val="en-GB"/>
              </w:rPr>
              <w:t xml:space="preserve"> </w:t>
            </w:r>
          </w:p>
        </w:tc>
      </w:tr>
      <w:tr w:rsidR="000834E7" w:rsidTr="00AC2319">
        <w:trPr>
          <w:trHeight w:val="54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r>
              <w:rPr>
                <w:szCs w:val="24"/>
              </w:rPr>
              <w:t>Sjælden</w:t>
            </w:r>
            <w:r>
              <w:rPr>
                <w:szCs w:val="24"/>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eastAsia="nl-NL"/>
              </w:rPr>
            </w:pPr>
            <w:r>
              <w:rPr>
                <w:szCs w:val="24"/>
              </w:rPr>
              <w:t xml:space="preserve">Overfølsomhedsreaktioner, f.eks. feber,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roofErr w:type="spellStart"/>
            <w:r>
              <w:rPr>
                <w:szCs w:val="24"/>
              </w:rPr>
              <w:t>shock</w:t>
            </w:r>
            <w:proofErr w:type="spellEnd"/>
            <w:r>
              <w:rPr>
                <w:szCs w:val="24"/>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r>
              <w:rPr>
                <w:b/>
                <w:szCs w:val="24"/>
              </w:rPr>
              <w:lastRenderedPageBreak/>
              <w:t>Metabolisme</w:t>
            </w:r>
            <w:r>
              <w:rPr>
                <w:b/>
                <w:szCs w:val="24"/>
                <w:lang w:val="en-GB"/>
              </w:rPr>
              <w:t xml:space="preserve"> </w:t>
            </w:r>
            <w:r>
              <w:rPr>
                <w:b/>
                <w:szCs w:val="24"/>
              </w:rPr>
              <w:t xml:space="preserve">og ernæring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proofErr w:type="spellStart"/>
            <w:r>
              <w:rPr>
                <w:lang w:val="da-DK"/>
              </w:rPr>
              <w:t>Hyponatriæmi</w:t>
            </w:r>
            <w:proofErr w:type="spellEnd"/>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Frekvens</w:t>
            </w:r>
            <w:r>
              <w:rPr>
                <w:lang w:val="en-GB"/>
              </w:rPr>
              <w:t xml:space="preserve"> </w:t>
            </w:r>
            <w:r>
              <w:rPr>
                <w:lang w:val="da-DK"/>
              </w:rPr>
              <w:t>ikke kendt</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roofErr w:type="spellStart"/>
            <w:r>
              <w:rPr>
                <w:color w:val="000000"/>
                <w:sz w:val="24"/>
                <w:szCs w:val="24"/>
                <w:lang w:eastAsia="es-ES"/>
              </w:rPr>
              <w:t>Hypomagnesiæmi</w:t>
            </w:r>
            <w:proofErr w:type="spellEnd"/>
            <w:r>
              <w:rPr>
                <w:color w:val="000000"/>
                <w:sz w:val="24"/>
                <w:szCs w:val="24"/>
                <w:lang w:eastAsia="es-ES"/>
              </w:rPr>
              <w:t xml:space="preserve">; </w:t>
            </w:r>
            <w:r>
              <w:rPr>
                <w:sz w:val="24"/>
                <w:szCs w:val="24"/>
              </w:rPr>
              <w:t xml:space="preserve">svær </w:t>
            </w:r>
            <w:proofErr w:type="spellStart"/>
            <w:r>
              <w:rPr>
                <w:sz w:val="24"/>
                <w:szCs w:val="24"/>
              </w:rPr>
              <w:t>hypomagnesiæmi</w:t>
            </w:r>
            <w:proofErr w:type="spellEnd"/>
            <w:r>
              <w:rPr>
                <w:sz w:val="24"/>
                <w:szCs w:val="24"/>
              </w:rPr>
              <w:t xml:space="preserve"> kan forårsage </w:t>
            </w:r>
            <w:proofErr w:type="spellStart"/>
            <w:r>
              <w:rPr>
                <w:sz w:val="24"/>
                <w:szCs w:val="24"/>
              </w:rPr>
              <w:t>hypokalcæmi</w:t>
            </w:r>
            <w:proofErr w:type="spellEnd"/>
            <w:r>
              <w:rPr>
                <w:sz w:val="24"/>
                <w:szCs w:val="24"/>
              </w:rPr>
              <w:t xml:space="preserve">. </w:t>
            </w:r>
            <w:r>
              <w:rPr>
                <w:rStyle w:val="hps"/>
                <w:color w:val="222222"/>
                <w:sz w:val="24"/>
                <w:szCs w:val="24"/>
                <w:lang w:val="is-IS"/>
              </w:rPr>
              <w:t>Hypomagnesiæmi kan</w:t>
            </w:r>
            <w:r>
              <w:rPr>
                <w:color w:val="222222"/>
                <w:sz w:val="24"/>
                <w:szCs w:val="24"/>
                <w:lang w:val="is-IS"/>
              </w:rPr>
              <w:t xml:space="preserve"> </w:t>
            </w:r>
            <w:r>
              <w:rPr>
                <w:rStyle w:val="hps"/>
                <w:color w:val="222222"/>
                <w:sz w:val="24"/>
                <w:szCs w:val="24"/>
                <w:lang w:val="is-IS"/>
              </w:rPr>
              <w:t>også være forbundet med</w:t>
            </w:r>
            <w:r>
              <w:rPr>
                <w:color w:val="222222"/>
                <w:sz w:val="24"/>
                <w:szCs w:val="24"/>
                <w:lang w:val="is-IS"/>
              </w:rPr>
              <w:t xml:space="preserve"> </w:t>
            </w:r>
            <w:r>
              <w:rPr>
                <w:rStyle w:val="hps"/>
                <w:color w:val="222222"/>
                <w:sz w:val="24"/>
                <w:szCs w:val="24"/>
                <w:lang w:val="is-IS"/>
              </w:rPr>
              <w:t>hypokaliæmi.</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Sidehoved"/>
              <w:tabs>
                <w:tab w:val="left" w:pos="1304"/>
              </w:tabs>
              <w:rPr>
                <w:szCs w:val="24"/>
                <w:lang w:val="en-GB" w:eastAsia="nl-NL"/>
              </w:rPr>
            </w:pPr>
            <w:r>
              <w:rPr>
                <w:b/>
                <w:szCs w:val="24"/>
              </w:rPr>
              <w:t xml:space="preserve">Psykiske forstyrrelser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Ikke 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proofErr w:type="spellStart"/>
            <w:r>
              <w:rPr>
                <w:lang w:val="da-DK"/>
              </w:rPr>
              <w:t>Insomni</w:t>
            </w:r>
            <w:proofErr w:type="spellEnd"/>
            <w:r>
              <w:rPr>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en-GB"/>
              </w:rPr>
              <w:t xml:space="preserve">Agitation, </w:t>
            </w:r>
            <w:r>
              <w:rPr>
                <w:lang w:val="da-DK"/>
              </w:rPr>
              <w:t>konfusion</w:t>
            </w:r>
            <w:r>
              <w:rPr>
                <w:lang w:val="en-GB"/>
              </w:rPr>
              <w:t xml:space="preserve">, depression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Meget 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en-GB"/>
              </w:rPr>
              <w:t xml:space="preserve">Aggression, </w:t>
            </w:r>
            <w:r>
              <w:rPr>
                <w:lang w:val="da-DK"/>
              </w:rPr>
              <w:t>hallucinationer</w:t>
            </w:r>
            <w:r>
              <w:rPr>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da-DK"/>
              </w:rPr>
              <w:t>Nervesystemet</w:t>
            </w:r>
            <w:r>
              <w:rPr>
                <w:b/>
                <w:bCs/>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Hovedpine</w:t>
            </w:r>
            <w:r>
              <w:rPr>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Ikke</w:t>
            </w:r>
            <w:r>
              <w:rPr>
                <w:lang w:val="en-GB"/>
              </w:rPr>
              <w:t xml:space="preserve"> </w:t>
            </w:r>
            <w:r>
              <w:rPr>
                <w:lang w:val="da-DK"/>
              </w:rPr>
              <w:t>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Svimmelhed</w:t>
            </w:r>
            <w:r>
              <w:rPr>
                <w:lang w:val="en-GB"/>
              </w:rPr>
              <w:t xml:space="preserve">, </w:t>
            </w:r>
            <w:proofErr w:type="spellStart"/>
            <w:r>
              <w:rPr>
                <w:lang w:val="da-DK"/>
              </w:rPr>
              <w:t>paræstesi</w:t>
            </w:r>
            <w:proofErr w:type="spellEnd"/>
            <w:r>
              <w:rPr>
                <w:lang w:val="en-GB"/>
              </w:rPr>
              <w:t xml:space="preserve">, </w:t>
            </w:r>
            <w:r>
              <w:rPr>
                <w:lang w:val="da-DK"/>
              </w:rPr>
              <w:t>døsighed</w:t>
            </w:r>
            <w:r>
              <w:rPr>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Smagsforstyrrelser</w:t>
            </w:r>
            <w:r>
              <w:rPr>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da-DK"/>
              </w:rPr>
              <w:t>Øjne</w:t>
            </w:r>
            <w:r>
              <w:rPr>
                <w:b/>
                <w:bCs/>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 xml:space="preserve">Uklart syn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da-DK"/>
              </w:rPr>
              <w:t>Øre o</w:t>
            </w:r>
            <w:r>
              <w:rPr>
                <w:b/>
                <w:bCs/>
                <w:lang w:val="en-GB"/>
              </w:rPr>
              <w:t xml:space="preserve">g </w:t>
            </w:r>
            <w:proofErr w:type="spellStart"/>
            <w:r>
              <w:rPr>
                <w:b/>
                <w:bCs/>
                <w:lang w:val="en-GB"/>
              </w:rPr>
              <w:t>labyrint</w:t>
            </w:r>
            <w:proofErr w:type="spellEnd"/>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Ikke 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en-GB"/>
              </w:rPr>
              <w:t xml:space="preserve">Vertigo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0834E7">
            <w:pPr>
              <w:pStyle w:val="Default"/>
              <w:keepNext/>
              <w:rPr>
                <w:lang w:val="en-GB"/>
              </w:rPr>
            </w:pPr>
            <w:r>
              <w:rPr>
                <w:b/>
                <w:bCs/>
                <w:lang w:val="da-DK"/>
              </w:rPr>
              <w:t>Luftveje</w:t>
            </w:r>
            <w:r>
              <w:rPr>
                <w:b/>
                <w:bCs/>
                <w:lang w:val="en-GB"/>
              </w:rPr>
              <w:t xml:space="preserve">, thorax </w:t>
            </w:r>
            <w:r>
              <w:rPr>
                <w:b/>
                <w:bCs/>
                <w:lang w:val="da-DK"/>
              </w:rPr>
              <w:t>og</w:t>
            </w:r>
            <w:r>
              <w:rPr>
                <w:b/>
                <w:bCs/>
                <w:lang w:val="en-GB"/>
              </w:rPr>
              <w:t xml:space="preserve"> mediastinum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proofErr w:type="spellStart"/>
            <w:r>
              <w:rPr>
                <w:lang w:val="da-DK"/>
              </w:rPr>
              <w:t>Bronkospasme</w:t>
            </w:r>
            <w:proofErr w:type="spellEnd"/>
            <w:r>
              <w:rPr>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da-DK"/>
              </w:rPr>
              <w:t>Mave-tarm-kanalen</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proofErr w:type="spellStart"/>
            <w:r>
              <w:rPr>
                <w:lang w:val="da-DK"/>
              </w:rPr>
              <w:t>Abdominalsmerte</w:t>
            </w:r>
            <w:proofErr w:type="spellEnd"/>
            <w:r>
              <w:rPr>
                <w:lang w:val="da-DK"/>
              </w:rPr>
              <w:t xml:space="preserve">, obstipation, diarré, </w:t>
            </w:r>
            <w:proofErr w:type="spellStart"/>
            <w:r>
              <w:rPr>
                <w:lang w:val="da-DK"/>
              </w:rPr>
              <w:t>flatulens</w:t>
            </w:r>
            <w:proofErr w:type="spellEnd"/>
            <w:r>
              <w:rPr>
                <w:lang w:val="da-DK"/>
              </w:rPr>
              <w:t>, kvalme/opkastning, benigne gastriske polypper</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lang w:val="da-DK"/>
              </w:rPr>
              <w:t xml:space="preserve">Mundtørhed, </w:t>
            </w:r>
            <w:proofErr w:type="spellStart"/>
            <w:r>
              <w:rPr>
                <w:lang w:val="da-DK"/>
              </w:rPr>
              <w:t>stomatitis</w:t>
            </w:r>
            <w:proofErr w:type="spellEnd"/>
            <w:r>
              <w:rPr>
                <w:lang w:val="da-DK"/>
              </w:rPr>
              <w:t xml:space="preserve">, </w:t>
            </w:r>
            <w:proofErr w:type="spellStart"/>
            <w:r>
              <w:rPr>
                <w:lang w:val="da-DK"/>
              </w:rPr>
              <w:t>gastrointestinal</w:t>
            </w:r>
            <w:proofErr w:type="spellEnd"/>
            <w:r>
              <w:rPr>
                <w:lang w:val="da-DK"/>
              </w:rPr>
              <w:t xml:space="preserve"> </w:t>
            </w:r>
            <w:proofErr w:type="spellStart"/>
            <w:r>
              <w:rPr>
                <w:lang w:val="da-DK"/>
              </w:rPr>
              <w:t>candidiasis</w:t>
            </w:r>
            <w:proofErr w:type="spellEnd"/>
            <w:r>
              <w:rPr>
                <w:lang w:val="da-DK"/>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Frekvens ikke kendt</w:t>
            </w:r>
            <w:r>
              <w:rPr>
                <w:lang w:val="en-GB"/>
              </w:rPr>
              <w:t>:</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lang w:val="da-DK"/>
              </w:rPr>
              <w:t>Mikroskopisk colitis</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en-GB"/>
              </w:rPr>
              <w:t xml:space="preserve">Lever </w:t>
            </w:r>
            <w:r>
              <w:rPr>
                <w:b/>
                <w:bCs/>
                <w:lang w:val="da-DK"/>
              </w:rPr>
              <w:t xml:space="preserve">og galdeveje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Ikke 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 xml:space="preserve">Forhøjede leverenzymer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lang w:val="da-DK"/>
              </w:rPr>
              <w:t xml:space="preserve">Hepatitis med eller uden gulsot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Meget 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lang w:val="da-DK"/>
              </w:rPr>
              <w:t xml:space="preserve">Leversvigt, encefalopati hos patienter med præeksisterende leversygdom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da-DK"/>
              </w:rPr>
              <w:t xml:space="preserve">Hud og subkutane væv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Ikke 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en-GB"/>
              </w:rPr>
              <w:t xml:space="preserve">Dermatitis, pruritus, </w:t>
            </w:r>
            <w:r>
              <w:rPr>
                <w:lang w:val="da-DK"/>
              </w:rPr>
              <w:t>hududslæt</w:t>
            </w:r>
            <w:r>
              <w:rPr>
                <w:lang w:val="en-GB"/>
              </w:rPr>
              <w:t xml:space="preserve">, </w:t>
            </w:r>
            <w:proofErr w:type="spellStart"/>
            <w:r>
              <w:rPr>
                <w:lang w:val="da-DK"/>
              </w:rPr>
              <w:t>urticaria</w:t>
            </w:r>
            <w:proofErr w:type="spellEnd"/>
            <w:r>
              <w:rPr>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Pr="00527D5D" w:rsidRDefault="00527D5D" w:rsidP="00AC2319">
            <w:pPr>
              <w:pStyle w:val="Default"/>
              <w:rPr>
                <w:lang w:val="da-DK"/>
              </w:rPr>
            </w:pPr>
            <w:proofErr w:type="spellStart"/>
            <w:r>
              <w:rPr>
                <w:lang w:val="da-DK"/>
              </w:rPr>
              <w:t>Alopeci</w:t>
            </w:r>
            <w:proofErr w:type="spellEnd"/>
            <w:r w:rsidRPr="00527D5D">
              <w:rPr>
                <w:lang w:val="da-DK"/>
              </w:rPr>
              <w:t xml:space="preserve">, </w:t>
            </w:r>
            <w:r>
              <w:rPr>
                <w:lang w:val="da-DK"/>
              </w:rPr>
              <w:t xml:space="preserve">fotosensibilitet, </w:t>
            </w:r>
            <w:r w:rsidRPr="00DC4243">
              <w:rPr>
                <w:lang w:val="da-DK"/>
              </w:rPr>
              <w:t xml:space="preserve">akut generaliseret </w:t>
            </w:r>
            <w:proofErr w:type="spellStart"/>
            <w:r w:rsidRPr="00DC4243">
              <w:rPr>
                <w:lang w:val="da-DK"/>
              </w:rPr>
              <w:t>eksantematøs</w:t>
            </w:r>
            <w:proofErr w:type="spellEnd"/>
            <w:r w:rsidRPr="00DC4243">
              <w:rPr>
                <w:lang w:val="da-DK"/>
              </w:rPr>
              <w:t xml:space="preserve"> </w:t>
            </w:r>
            <w:proofErr w:type="spellStart"/>
            <w:r w:rsidRPr="00DC4243">
              <w:rPr>
                <w:lang w:val="da-DK"/>
              </w:rPr>
              <w:t>pustulose</w:t>
            </w:r>
            <w:proofErr w:type="spellEnd"/>
            <w:r w:rsidRPr="00DC4243">
              <w:rPr>
                <w:lang w:val="da-DK"/>
              </w:rPr>
              <w:t xml:space="preserve"> (AGEP), lægemiddelreaktion med </w:t>
            </w:r>
            <w:proofErr w:type="spellStart"/>
            <w:r w:rsidRPr="00DC4243">
              <w:rPr>
                <w:lang w:val="da-DK"/>
              </w:rPr>
              <w:t>eosinofili</w:t>
            </w:r>
            <w:proofErr w:type="spellEnd"/>
            <w:r w:rsidRPr="00DC4243">
              <w:rPr>
                <w:lang w:val="da-DK"/>
              </w:rPr>
              <w:t xml:space="preserve"> og systemiske symptomer (DRESS)</w:t>
            </w:r>
          </w:p>
        </w:tc>
      </w:tr>
      <w:tr w:rsidR="000834E7" w:rsidTr="00AC2319">
        <w:trPr>
          <w:trHeight w:val="54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Meget 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en-GB"/>
              </w:rPr>
              <w:t xml:space="preserve">Erythema multiforme, Stevens-Johnsons </w:t>
            </w:r>
            <w:proofErr w:type="spellStart"/>
            <w:r>
              <w:rPr>
                <w:lang w:val="en-GB"/>
              </w:rPr>
              <w:t>syndrom</w:t>
            </w:r>
            <w:proofErr w:type="spellEnd"/>
            <w:r>
              <w:rPr>
                <w:lang w:val="en-GB"/>
              </w:rPr>
              <w:t xml:space="preserve">, </w:t>
            </w:r>
            <w:proofErr w:type="spellStart"/>
            <w:r>
              <w:rPr>
                <w:lang w:val="en-GB"/>
              </w:rPr>
              <w:t>toksisk</w:t>
            </w:r>
            <w:proofErr w:type="spellEnd"/>
            <w:r>
              <w:rPr>
                <w:lang w:val="en-GB"/>
              </w:rPr>
              <w:t xml:space="preserve"> epidermal </w:t>
            </w:r>
            <w:proofErr w:type="spellStart"/>
            <w:r>
              <w:rPr>
                <w:lang w:val="en-GB"/>
              </w:rPr>
              <w:t>nekrolyse</w:t>
            </w:r>
            <w:proofErr w:type="spellEnd"/>
            <w:r>
              <w:rPr>
                <w:lang w:val="en-GB"/>
              </w:rPr>
              <w:t xml:space="preserve"> (TEN) </w:t>
            </w:r>
          </w:p>
        </w:tc>
      </w:tr>
      <w:tr w:rsidR="000834E7" w:rsidTr="00AC2319">
        <w:trPr>
          <w:trHeight w:val="54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Frekvens ikke kendt</w:t>
            </w:r>
            <w:r>
              <w:rPr>
                <w:lang w:val="en-GB"/>
              </w:rPr>
              <w:t>:</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pPr>
            <w:proofErr w:type="spellStart"/>
            <w:r>
              <w:rPr>
                <w:lang w:val="da-DK"/>
              </w:rPr>
              <w:t>Subakut</w:t>
            </w:r>
            <w:proofErr w:type="spellEnd"/>
            <w:r>
              <w:rPr>
                <w:lang w:val="da-DK"/>
              </w:rPr>
              <w:t xml:space="preserve"> </w:t>
            </w:r>
            <w:proofErr w:type="spellStart"/>
            <w:r>
              <w:rPr>
                <w:lang w:val="da-DK"/>
              </w:rPr>
              <w:t>kutan</w:t>
            </w:r>
            <w:proofErr w:type="spellEnd"/>
            <w:r>
              <w:rPr>
                <w:lang w:val="da-DK"/>
              </w:rPr>
              <w:t xml:space="preserve"> lupus </w:t>
            </w:r>
            <w:proofErr w:type="spellStart"/>
            <w:r>
              <w:rPr>
                <w:lang w:val="da-DK"/>
              </w:rPr>
              <w:t>erythematosus</w:t>
            </w:r>
            <w:proofErr w:type="spellEnd"/>
            <w:r>
              <w:rPr>
                <w:lang w:val="da-DK"/>
              </w:rPr>
              <w:t xml:space="preserve"> (se pkt. 4.4)</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b/>
                <w:bCs/>
                <w:lang w:val="da-DK"/>
              </w:rPr>
              <w:t xml:space="preserve">Knogler, led, muskler og bindevæv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proofErr w:type="spellStart"/>
            <w:r>
              <w:rPr>
                <w:lang w:val="da-DK"/>
              </w:rPr>
              <w:t>Artralgi</w:t>
            </w:r>
            <w:proofErr w:type="spellEnd"/>
            <w:r>
              <w:rPr>
                <w:lang w:val="en-GB"/>
              </w:rPr>
              <w:t xml:space="preserve">, </w:t>
            </w:r>
            <w:r>
              <w:rPr>
                <w:lang w:val="da-DK"/>
              </w:rPr>
              <w:t>myalgi</w:t>
            </w:r>
            <w:r>
              <w:rPr>
                <w:lang w:val="en-GB"/>
              </w:rPr>
              <w:t xml:space="preserv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Meget 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Muskelsvaghed</w:t>
            </w:r>
            <w:r>
              <w:rPr>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b/>
                <w:bCs/>
                <w:lang w:val="da-DK"/>
              </w:rPr>
              <w:t xml:space="preserve">Nyrer og urinveje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tcPr>
          <w:p w:rsidR="000834E7" w:rsidRPr="00527D5D" w:rsidRDefault="00527D5D" w:rsidP="00AC2319">
            <w:pPr>
              <w:pStyle w:val="Default"/>
              <w:rPr>
                <w:lang w:val="da-DK"/>
              </w:rPr>
            </w:pPr>
            <w:proofErr w:type="spellStart"/>
            <w:r>
              <w:rPr>
                <w:lang w:val="da-DK"/>
              </w:rPr>
              <w:t>Tubulointerstitiel</w:t>
            </w:r>
            <w:proofErr w:type="spellEnd"/>
            <w:r>
              <w:rPr>
                <w:lang w:val="da-DK"/>
              </w:rPr>
              <w:t xml:space="preserve"> </w:t>
            </w:r>
            <w:proofErr w:type="spellStart"/>
            <w:r>
              <w:rPr>
                <w:lang w:val="da-DK"/>
              </w:rPr>
              <w:t>nefritis</w:t>
            </w:r>
            <w:proofErr w:type="spellEnd"/>
            <w:r w:rsidRPr="00674F89">
              <w:rPr>
                <w:lang w:val="da-DK"/>
              </w:rPr>
              <w:t xml:space="preserve"> (med mulig forværring til nyresvigt</w:t>
            </w:r>
            <w:r>
              <w:rPr>
                <w:lang w:val="da-DK"/>
              </w:rPr>
              <w:t>)</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b/>
                <w:bCs/>
                <w:lang w:val="da-DK"/>
              </w:rPr>
              <w:t xml:space="preserve">Det reproduktive system og mammae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Meget 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proofErr w:type="spellStart"/>
            <w:r>
              <w:rPr>
                <w:lang w:val="da-DK"/>
              </w:rPr>
              <w:t>Gynækomasti</w:t>
            </w:r>
            <w:proofErr w:type="spellEnd"/>
            <w:r>
              <w:rPr>
                <w:lang w:val="en-GB"/>
              </w:rPr>
              <w:t xml:space="preserve"> </w:t>
            </w:r>
          </w:p>
        </w:tc>
      </w:tr>
      <w:tr w:rsidR="000834E7" w:rsidTr="00AC2319">
        <w:trPr>
          <w:trHeight w:val="293"/>
        </w:trPr>
        <w:tc>
          <w:tcPr>
            <w:tcW w:w="8609" w:type="dxa"/>
            <w:gridSpan w:val="2"/>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da-DK"/>
              </w:rPr>
            </w:pPr>
            <w:r>
              <w:rPr>
                <w:b/>
                <w:bCs/>
                <w:lang w:val="da-DK"/>
              </w:rPr>
              <w:t xml:space="preserve">Almene symptomer og reaktioner på administrationsstedet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lastRenderedPageBreak/>
              <w:t>Ikke almindelig</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Utilpashed</w:t>
            </w:r>
            <w:r>
              <w:rPr>
                <w:lang w:val="en-GB"/>
              </w:rPr>
              <w:t xml:space="preserve">, </w:t>
            </w:r>
            <w:r>
              <w:rPr>
                <w:lang w:val="da-DK"/>
              </w:rPr>
              <w:t xml:space="preserve">perifere ødemer </w:t>
            </w:r>
          </w:p>
        </w:tc>
      </w:tr>
      <w:tr w:rsidR="000834E7" w:rsidTr="00AC2319">
        <w:trPr>
          <w:trHeight w:val="289"/>
        </w:trPr>
        <w:tc>
          <w:tcPr>
            <w:tcW w:w="3151"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Sjælden</w:t>
            </w:r>
            <w:r>
              <w:rPr>
                <w:lang w:val="en-GB"/>
              </w:rPr>
              <w:t xml:space="preserve">: </w:t>
            </w:r>
          </w:p>
        </w:tc>
        <w:tc>
          <w:tcPr>
            <w:tcW w:w="5458" w:type="dxa"/>
            <w:tcBorders>
              <w:top w:val="single" w:sz="8" w:space="0" w:color="000000"/>
              <w:left w:val="single" w:sz="8" w:space="0" w:color="000000"/>
              <w:bottom w:val="single" w:sz="8" w:space="0" w:color="000000"/>
              <w:right w:val="single" w:sz="8" w:space="0" w:color="000000"/>
            </w:tcBorders>
            <w:hideMark/>
          </w:tcPr>
          <w:p w:rsidR="000834E7" w:rsidRDefault="000834E7" w:rsidP="00AC2319">
            <w:pPr>
              <w:pStyle w:val="Default"/>
              <w:rPr>
                <w:lang w:val="en-GB"/>
              </w:rPr>
            </w:pPr>
            <w:r>
              <w:rPr>
                <w:lang w:val="da-DK"/>
              </w:rPr>
              <w:t xml:space="preserve">Øget svedtendens </w:t>
            </w:r>
          </w:p>
        </w:tc>
      </w:tr>
    </w:tbl>
    <w:p w:rsidR="00821DDD" w:rsidRPr="00EA0D4B" w:rsidRDefault="00821DDD" w:rsidP="00821DDD">
      <w:pPr>
        <w:pStyle w:val="Default"/>
        <w:ind w:left="851"/>
        <w:rPr>
          <w:lang w:val="da-DK"/>
        </w:rPr>
      </w:pPr>
    </w:p>
    <w:p w:rsidR="00821DDD" w:rsidRPr="00EA0D4B" w:rsidRDefault="00821DDD" w:rsidP="00821DDD">
      <w:pPr>
        <w:tabs>
          <w:tab w:val="left" w:pos="851"/>
        </w:tabs>
        <w:autoSpaceDE w:val="0"/>
        <w:autoSpaceDN w:val="0"/>
        <w:adjustRightInd w:val="0"/>
        <w:ind w:left="851"/>
        <w:rPr>
          <w:sz w:val="24"/>
          <w:szCs w:val="24"/>
          <w:u w:val="single"/>
        </w:rPr>
      </w:pPr>
      <w:r w:rsidRPr="00EA0D4B">
        <w:rPr>
          <w:noProof/>
          <w:sz w:val="24"/>
          <w:szCs w:val="24"/>
          <w:u w:val="single"/>
        </w:rPr>
        <w:t>Indberetning af formodede bivirkninger</w:t>
      </w:r>
    </w:p>
    <w:p w:rsidR="00821DDD" w:rsidRDefault="00821DDD" w:rsidP="00821DDD">
      <w:pPr>
        <w:tabs>
          <w:tab w:val="left" w:pos="851"/>
        </w:tabs>
        <w:autoSpaceDE w:val="0"/>
        <w:autoSpaceDN w:val="0"/>
        <w:adjustRightInd w:val="0"/>
        <w:ind w:left="851"/>
        <w:rPr>
          <w:noProof/>
          <w:sz w:val="24"/>
          <w:szCs w:val="24"/>
        </w:rPr>
      </w:pPr>
      <w:r w:rsidRPr="00EA0D4B">
        <w:rPr>
          <w:noProof/>
          <w:sz w:val="24"/>
          <w:szCs w:val="24"/>
        </w:rPr>
        <w:t>Når lægemidlet er godkendt, er indberetning af formodede bivirkninger vigtig.</w:t>
      </w:r>
      <w:r w:rsidRPr="00EA0D4B">
        <w:rPr>
          <w:sz w:val="24"/>
          <w:szCs w:val="24"/>
        </w:rPr>
        <w:t xml:space="preserve"> </w:t>
      </w:r>
      <w:r w:rsidRPr="00EA0D4B">
        <w:rPr>
          <w:noProof/>
          <w:sz w:val="24"/>
          <w:szCs w:val="24"/>
        </w:rPr>
        <w:t>Det muliggør løbende overvågning af benefit/risk-forholdet for lægemidlet.</w:t>
      </w:r>
      <w:r w:rsidRPr="00EA0D4B">
        <w:rPr>
          <w:sz w:val="24"/>
          <w:szCs w:val="24"/>
        </w:rPr>
        <w:t xml:space="preserve"> </w:t>
      </w:r>
      <w:r w:rsidR="0055738F">
        <w:rPr>
          <w:sz w:val="24"/>
          <w:szCs w:val="24"/>
        </w:rPr>
        <w:t xml:space="preserve">Sundhedspersoner </w:t>
      </w:r>
      <w:r w:rsidRPr="00EA0D4B">
        <w:rPr>
          <w:noProof/>
          <w:sz w:val="24"/>
          <w:szCs w:val="24"/>
        </w:rPr>
        <w:t>anmodes om at indberette alle formodede bivirkninger via:</w:t>
      </w:r>
    </w:p>
    <w:p w:rsidR="00821DDD" w:rsidRPr="00EA0D4B" w:rsidRDefault="00821DDD" w:rsidP="00821DDD">
      <w:pPr>
        <w:tabs>
          <w:tab w:val="left" w:pos="851"/>
        </w:tabs>
        <w:autoSpaceDE w:val="0"/>
        <w:autoSpaceDN w:val="0"/>
        <w:adjustRightInd w:val="0"/>
        <w:ind w:left="851"/>
        <w:rPr>
          <w:noProof/>
          <w:sz w:val="24"/>
          <w:szCs w:val="24"/>
        </w:rPr>
      </w:pPr>
    </w:p>
    <w:p w:rsidR="00821DDD" w:rsidRPr="00EA0D4B" w:rsidRDefault="00821DDD" w:rsidP="00821DDD">
      <w:pPr>
        <w:tabs>
          <w:tab w:val="left" w:pos="851"/>
        </w:tabs>
        <w:ind w:left="851"/>
        <w:rPr>
          <w:rFonts w:eastAsia="Calibri"/>
          <w:color w:val="000000"/>
          <w:sz w:val="24"/>
          <w:szCs w:val="24"/>
          <w:lang w:eastAsia="zh-CN"/>
        </w:rPr>
      </w:pPr>
      <w:r w:rsidRPr="00EA0D4B">
        <w:rPr>
          <w:rFonts w:eastAsia="Calibri"/>
          <w:color w:val="000000"/>
          <w:sz w:val="24"/>
          <w:szCs w:val="24"/>
          <w:lang w:eastAsia="zh-CN"/>
        </w:rPr>
        <w:t>Lægemiddelstyrelsen</w:t>
      </w:r>
    </w:p>
    <w:p w:rsidR="00821DDD" w:rsidRPr="00EA0D4B" w:rsidRDefault="00821DDD" w:rsidP="00821DDD">
      <w:pPr>
        <w:tabs>
          <w:tab w:val="left" w:pos="851"/>
        </w:tabs>
        <w:ind w:left="851"/>
        <w:rPr>
          <w:rFonts w:eastAsia="Calibri"/>
          <w:noProof/>
          <w:sz w:val="24"/>
          <w:szCs w:val="24"/>
          <w:lang w:eastAsia="zh-CN"/>
        </w:rPr>
      </w:pPr>
      <w:r w:rsidRPr="00EA0D4B">
        <w:rPr>
          <w:rFonts w:eastAsia="Calibri"/>
          <w:sz w:val="24"/>
          <w:szCs w:val="24"/>
          <w:lang w:eastAsia="zh-CN"/>
        </w:rPr>
        <w:t>Axel Heides Gade 1</w:t>
      </w:r>
    </w:p>
    <w:p w:rsidR="00821DDD" w:rsidRPr="00EA0D4B" w:rsidRDefault="00821DDD" w:rsidP="00821DDD">
      <w:pPr>
        <w:tabs>
          <w:tab w:val="left" w:pos="851"/>
        </w:tabs>
        <w:ind w:left="851"/>
        <w:rPr>
          <w:rFonts w:eastAsia="Calibri"/>
          <w:noProof/>
          <w:sz w:val="24"/>
          <w:szCs w:val="24"/>
          <w:lang w:eastAsia="zh-CN"/>
        </w:rPr>
      </w:pPr>
      <w:r w:rsidRPr="00EA0D4B">
        <w:rPr>
          <w:rFonts w:eastAsia="Calibri"/>
          <w:noProof/>
          <w:sz w:val="24"/>
          <w:szCs w:val="24"/>
          <w:lang w:eastAsia="zh-CN"/>
        </w:rPr>
        <w:t xml:space="preserve">DK-2300 </w:t>
      </w:r>
      <w:r w:rsidRPr="00EA0D4B">
        <w:rPr>
          <w:rFonts w:eastAsia="Calibri"/>
          <w:sz w:val="24"/>
          <w:szCs w:val="24"/>
          <w:lang w:eastAsia="zh-CN"/>
        </w:rPr>
        <w:t>København S</w:t>
      </w:r>
    </w:p>
    <w:p w:rsidR="00821DDD" w:rsidRPr="00E137E3" w:rsidRDefault="00821DDD" w:rsidP="00821DDD">
      <w:pPr>
        <w:tabs>
          <w:tab w:val="left" w:pos="-720"/>
          <w:tab w:val="left" w:pos="851"/>
        </w:tabs>
        <w:suppressAutoHyphens/>
        <w:ind w:left="851"/>
        <w:rPr>
          <w:rFonts w:eastAsia="Calibri"/>
          <w:noProof/>
          <w:sz w:val="24"/>
          <w:szCs w:val="24"/>
          <w:lang w:eastAsia="zh-CN"/>
        </w:rPr>
      </w:pPr>
      <w:r w:rsidRPr="00E137E3">
        <w:rPr>
          <w:rFonts w:eastAsia="Calibri"/>
          <w:sz w:val="24"/>
          <w:szCs w:val="24"/>
          <w:lang w:eastAsia="zh-CN"/>
        </w:rPr>
        <w:t>Websted</w:t>
      </w:r>
      <w:r w:rsidRPr="00E137E3">
        <w:rPr>
          <w:rFonts w:eastAsia="Calibri"/>
          <w:noProof/>
          <w:sz w:val="24"/>
          <w:szCs w:val="24"/>
          <w:lang w:eastAsia="zh-CN"/>
        </w:rPr>
        <w:t xml:space="preserve">: </w:t>
      </w:r>
      <w:hyperlink r:id="rId8" w:history="1">
        <w:r w:rsidRPr="00E137E3">
          <w:rPr>
            <w:rFonts w:eastAsia="Calibri"/>
            <w:noProof/>
            <w:color w:val="0000FF"/>
            <w:sz w:val="24"/>
            <w:szCs w:val="24"/>
            <w:u w:val="single"/>
            <w:lang w:eastAsia="zh-CN"/>
          </w:rPr>
          <w:t>www.meldenbivirkning.dk</w:t>
        </w:r>
      </w:hyperlink>
    </w:p>
    <w:p w:rsidR="00821DDD" w:rsidRPr="00E137E3" w:rsidRDefault="00821DDD" w:rsidP="00821DDD">
      <w:pPr>
        <w:pStyle w:val="Sidehoved"/>
        <w:tabs>
          <w:tab w:val="clear" w:pos="4819"/>
          <w:tab w:val="clear" w:pos="9638"/>
        </w:tabs>
        <w:ind w:left="851" w:hanging="851"/>
        <w:rPr>
          <w:szCs w:val="24"/>
        </w:rPr>
      </w:pPr>
    </w:p>
    <w:p w:rsidR="00821DDD" w:rsidRPr="00EA0D4B" w:rsidRDefault="00821DDD" w:rsidP="00821DDD">
      <w:pPr>
        <w:numPr>
          <w:ilvl w:val="1"/>
          <w:numId w:val="1"/>
        </w:numPr>
        <w:tabs>
          <w:tab w:val="clear" w:pos="855"/>
        </w:tabs>
        <w:ind w:left="851" w:hanging="851"/>
        <w:rPr>
          <w:b/>
          <w:sz w:val="24"/>
          <w:szCs w:val="24"/>
        </w:rPr>
      </w:pPr>
      <w:r w:rsidRPr="00EA0D4B">
        <w:rPr>
          <w:b/>
          <w:sz w:val="24"/>
          <w:szCs w:val="24"/>
        </w:rPr>
        <w:t>Overdosering</w:t>
      </w:r>
    </w:p>
    <w:p w:rsidR="00821DDD" w:rsidRPr="00774AEF" w:rsidRDefault="00821DDD" w:rsidP="00821DDD">
      <w:pPr>
        <w:pStyle w:val="Default"/>
        <w:ind w:left="855"/>
        <w:rPr>
          <w:lang w:val="da-DK"/>
        </w:rPr>
      </w:pPr>
      <w:r w:rsidRPr="00774AEF">
        <w:rPr>
          <w:lang w:val="da-DK"/>
        </w:rPr>
        <w:t xml:space="preserve">Der er </w:t>
      </w:r>
      <w:r>
        <w:rPr>
          <w:lang w:val="da-DK"/>
        </w:rPr>
        <w:t>begrænset information til rådighed om virkningerne af overdosering med</w:t>
      </w:r>
      <w:r w:rsidRPr="00774AEF">
        <w:rPr>
          <w:lang w:val="da-DK"/>
        </w:rPr>
        <w:t xml:space="preserve"> </w:t>
      </w:r>
      <w:proofErr w:type="spellStart"/>
      <w:r w:rsidRPr="00774AEF">
        <w:rPr>
          <w:lang w:val="da-DK"/>
        </w:rPr>
        <w:t>omeprazol</w:t>
      </w:r>
      <w:proofErr w:type="spellEnd"/>
      <w:r w:rsidRPr="00774AEF">
        <w:rPr>
          <w:lang w:val="da-DK"/>
        </w:rPr>
        <w:t xml:space="preserve"> hos mennesker. </w:t>
      </w:r>
      <w:r w:rsidRPr="00E137E3">
        <w:rPr>
          <w:lang w:val="da-DK"/>
        </w:rPr>
        <w:t xml:space="preserve">I litteraturen er doser op til 560 mg beskrevet, og lejlighedsvis er der rapporteret om enkelte orale doser på op til 2.400 mg </w:t>
      </w:r>
      <w:proofErr w:type="spellStart"/>
      <w:r w:rsidRPr="00E137E3">
        <w:rPr>
          <w:lang w:val="da-DK"/>
        </w:rPr>
        <w:t>omeprazol</w:t>
      </w:r>
      <w:proofErr w:type="spellEnd"/>
      <w:r w:rsidRPr="00E137E3">
        <w:rPr>
          <w:lang w:val="da-DK"/>
        </w:rPr>
        <w:t xml:space="preserve"> (120 gange større end den sædvanligt anbefalede kliniske dosis). Der er rapporteret om kvalme, opkastning, svimmelhed, </w:t>
      </w:r>
      <w:proofErr w:type="spellStart"/>
      <w:r w:rsidRPr="00E137E3">
        <w:rPr>
          <w:lang w:val="da-DK"/>
        </w:rPr>
        <w:t>abdominale</w:t>
      </w:r>
      <w:proofErr w:type="spellEnd"/>
      <w:r w:rsidRPr="00E137E3">
        <w:rPr>
          <w:lang w:val="da-DK"/>
        </w:rPr>
        <w:t xml:space="preserve"> smerter, diarré og hovedpine. I enkelte tilfælde er apati, depression og konfusion også blevet beskrevet.</w:t>
      </w:r>
      <w:r w:rsidRPr="00774AEF">
        <w:rPr>
          <w:lang w:val="da-DK"/>
        </w:rPr>
        <w:t xml:space="preserve"> </w:t>
      </w:r>
    </w:p>
    <w:p w:rsidR="00821DDD" w:rsidRPr="00774AEF" w:rsidRDefault="00821DDD" w:rsidP="00821DDD">
      <w:pPr>
        <w:pStyle w:val="Default"/>
        <w:ind w:left="855"/>
        <w:rPr>
          <w:lang w:val="da-DK"/>
        </w:rPr>
      </w:pPr>
    </w:p>
    <w:p w:rsidR="00821DDD" w:rsidRPr="00774AEF" w:rsidRDefault="00821DDD" w:rsidP="00821DDD">
      <w:pPr>
        <w:pStyle w:val="Default"/>
        <w:ind w:left="855"/>
        <w:rPr>
          <w:lang w:val="da-DK"/>
        </w:rPr>
      </w:pPr>
      <w:r w:rsidRPr="00774AEF">
        <w:rPr>
          <w:lang w:val="da-DK"/>
        </w:rPr>
        <w:t xml:space="preserve">De beskrevne symptomer </w:t>
      </w:r>
      <w:r>
        <w:rPr>
          <w:lang w:val="da-DK"/>
        </w:rPr>
        <w:t xml:space="preserve">i forbindelse med overdosering af </w:t>
      </w:r>
      <w:proofErr w:type="spellStart"/>
      <w:r>
        <w:rPr>
          <w:lang w:val="da-DK"/>
        </w:rPr>
        <w:t>omeprazol</w:t>
      </w:r>
      <w:proofErr w:type="spellEnd"/>
      <w:r>
        <w:rPr>
          <w:lang w:val="da-DK"/>
        </w:rPr>
        <w:t xml:space="preserve"> </w:t>
      </w:r>
      <w:r w:rsidRPr="00774AEF">
        <w:rPr>
          <w:lang w:val="da-DK"/>
        </w:rPr>
        <w:t xml:space="preserve">har været forbigående, og der </w:t>
      </w:r>
      <w:r>
        <w:rPr>
          <w:lang w:val="da-DK"/>
        </w:rPr>
        <w:t>er</w:t>
      </w:r>
      <w:r w:rsidRPr="00774AEF">
        <w:rPr>
          <w:lang w:val="da-DK"/>
        </w:rPr>
        <w:t xml:space="preserve"> ikke rapporteret </w:t>
      </w:r>
      <w:r>
        <w:rPr>
          <w:lang w:val="da-DK"/>
        </w:rPr>
        <w:t>om alvorlige følgevirkninger</w:t>
      </w:r>
      <w:r w:rsidRPr="00774AEF">
        <w:rPr>
          <w:lang w:val="da-DK"/>
        </w:rPr>
        <w:t>. Eliminationshastigheden var u</w:t>
      </w:r>
      <w:r>
        <w:rPr>
          <w:lang w:val="da-DK"/>
        </w:rPr>
        <w:t xml:space="preserve">ændret ved øgede doser </w:t>
      </w:r>
      <w:r w:rsidRPr="00774AEF">
        <w:rPr>
          <w:lang w:val="da-DK"/>
        </w:rPr>
        <w:t>(</w:t>
      </w:r>
      <w:r>
        <w:rPr>
          <w:lang w:val="da-DK"/>
        </w:rPr>
        <w:t>1.</w:t>
      </w:r>
      <w:r w:rsidRPr="00774AEF">
        <w:rPr>
          <w:lang w:val="da-DK"/>
        </w:rPr>
        <w:t xml:space="preserve"> ordens kinetik). </w:t>
      </w:r>
      <w:r>
        <w:rPr>
          <w:lang w:val="da-DK"/>
        </w:rPr>
        <w:t>B</w:t>
      </w:r>
      <w:r w:rsidRPr="00774AEF">
        <w:rPr>
          <w:lang w:val="da-DK"/>
        </w:rPr>
        <w:t>ehandling</w:t>
      </w:r>
      <w:r>
        <w:rPr>
          <w:lang w:val="da-DK"/>
        </w:rPr>
        <w:t>en</w:t>
      </w:r>
      <w:r w:rsidRPr="00774AEF">
        <w:rPr>
          <w:lang w:val="da-DK"/>
        </w:rPr>
        <w:t xml:space="preserve"> er</w:t>
      </w:r>
      <w:r>
        <w:rPr>
          <w:lang w:val="da-DK"/>
        </w:rPr>
        <w:t xml:space="preserve">, hvis nødvendig, </w:t>
      </w:r>
      <w:r w:rsidRPr="00774AEF">
        <w:rPr>
          <w:lang w:val="da-DK"/>
        </w:rPr>
        <w:t xml:space="preserve">symptomatisk. </w:t>
      </w:r>
    </w:p>
    <w:p w:rsidR="00821DDD" w:rsidRPr="00774AEF" w:rsidRDefault="00821DDD" w:rsidP="00821DDD">
      <w:pPr>
        <w:ind w:left="851" w:hanging="851"/>
        <w:rPr>
          <w:sz w:val="24"/>
          <w:szCs w:val="24"/>
        </w:rPr>
      </w:pPr>
    </w:p>
    <w:p w:rsidR="00821DDD" w:rsidRPr="00774AEF" w:rsidRDefault="00821DDD" w:rsidP="00821DDD">
      <w:pPr>
        <w:numPr>
          <w:ilvl w:val="1"/>
          <w:numId w:val="1"/>
        </w:numPr>
        <w:tabs>
          <w:tab w:val="clear" w:pos="855"/>
        </w:tabs>
        <w:ind w:left="851" w:hanging="851"/>
        <w:rPr>
          <w:b/>
          <w:sz w:val="24"/>
          <w:szCs w:val="24"/>
        </w:rPr>
      </w:pPr>
      <w:r w:rsidRPr="00774AEF">
        <w:rPr>
          <w:b/>
          <w:sz w:val="24"/>
          <w:szCs w:val="24"/>
        </w:rPr>
        <w:t>Udlevering</w:t>
      </w:r>
    </w:p>
    <w:p w:rsidR="00821DDD" w:rsidRPr="00774AEF" w:rsidRDefault="00821DDD" w:rsidP="00821DDD">
      <w:pPr>
        <w:ind w:left="851" w:hanging="851"/>
        <w:rPr>
          <w:sz w:val="24"/>
          <w:szCs w:val="24"/>
        </w:rPr>
      </w:pPr>
      <w:r w:rsidRPr="00774AEF">
        <w:rPr>
          <w:sz w:val="24"/>
          <w:szCs w:val="24"/>
        </w:rPr>
        <w:tab/>
      </w:r>
      <w:r>
        <w:rPr>
          <w:sz w:val="24"/>
          <w:szCs w:val="24"/>
        </w:rPr>
        <w:t>HA</w:t>
      </w:r>
    </w:p>
    <w:p w:rsidR="00821DDD" w:rsidRPr="00774AEF" w:rsidRDefault="00821DDD" w:rsidP="00821DDD">
      <w:pPr>
        <w:ind w:left="851" w:hanging="851"/>
        <w:rPr>
          <w:sz w:val="24"/>
          <w:szCs w:val="24"/>
        </w:rPr>
      </w:pPr>
    </w:p>
    <w:p w:rsidR="00821DDD" w:rsidRPr="00774AEF" w:rsidRDefault="00821DDD" w:rsidP="00821DDD">
      <w:pPr>
        <w:ind w:left="851" w:hanging="851"/>
        <w:rPr>
          <w:sz w:val="24"/>
          <w:szCs w:val="24"/>
        </w:rPr>
      </w:pPr>
    </w:p>
    <w:p w:rsidR="00821DDD" w:rsidRPr="00774AEF" w:rsidRDefault="00821DDD" w:rsidP="00821DDD">
      <w:pPr>
        <w:numPr>
          <w:ilvl w:val="0"/>
          <w:numId w:val="1"/>
        </w:numPr>
        <w:tabs>
          <w:tab w:val="clear" w:pos="855"/>
        </w:tabs>
        <w:ind w:left="851" w:hanging="851"/>
        <w:rPr>
          <w:b/>
          <w:sz w:val="24"/>
          <w:szCs w:val="24"/>
        </w:rPr>
      </w:pPr>
      <w:r w:rsidRPr="00774AEF">
        <w:rPr>
          <w:b/>
          <w:sz w:val="24"/>
          <w:szCs w:val="24"/>
        </w:rPr>
        <w:t>FARMAKOLOGISKE EGENSKABER</w:t>
      </w:r>
    </w:p>
    <w:p w:rsidR="00821DDD" w:rsidRPr="00774AEF" w:rsidRDefault="00821DDD" w:rsidP="00754C35">
      <w:pPr>
        <w:rPr>
          <w:sz w:val="24"/>
          <w:szCs w:val="24"/>
        </w:rPr>
      </w:pPr>
    </w:p>
    <w:p w:rsidR="00821DDD" w:rsidRPr="00774AEF" w:rsidRDefault="00821DDD" w:rsidP="00821DDD">
      <w:pPr>
        <w:numPr>
          <w:ilvl w:val="1"/>
          <w:numId w:val="2"/>
        </w:numPr>
        <w:tabs>
          <w:tab w:val="clear" w:pos="2159"/>
        </w:tabs>
        <w:ind w:left="851" w:hanging="851"/>
        <w:rPr>
          <w:b/>
          <w:sz w:val="24"/>
          <w:szCs w:val="24"/>
        </w:rPr>
      </w:pPr>
      <w:proofErr w:type="spellStart"/>
      <w:r w:rsidRPr="00774AEF">
        <w:rPr>
          <w:b/>
          <w:sz w:val="24"/>
          <w:szCs w:val="24"/>
        </w:rPr>
        <w:t>Farmakodynamiske</w:t>
      </w:r>
      <w:proofErr w:type="spellEnd"/>
      <w:r w:rsidRPr="00774AEF">
        <w:rPr>
          <w:b/>
          <w:sz w:val="24"/>
          <w:szCs w:val="24"/>
        </w:rPr>
        <w:t xml:space="preserve"> egenskaber</w:t>
      </w:r>
    </w:p>
    <w:p w:rsidR="00754C35" w:rsidRPr="00754C35" w:rsidRDefault="00754C35" w:rsidP="00754C35">
      <w:pPr>
        <w:ind w:left="851"/>
      </w:pPr>
      <w:proofErr w:type="spellStart"/>
      <w:r w:rsidRPr="00754C35">
        <w:rPr>
          <w:sz w:val="24"/>
          <w:szCs w:val="24"/>
        </w:rPr>
        <w:t>Farmakoterapeutisk</w:t>
      </w:r>
      <w:proofErr w:type="spellEnd"/>
      <w:r w:rsidRPr="00754C35">
        <w:rPr>
          <w:sz w:val="24"/>
          <w:szCs w:val="24"/>
        </w:rPr>
        <w:t xml:space="preserve"> klassifikation</w:t>
      </w:r>
      <w:r>
        <w:rPr>
          <w:sz w:val="24"/>
          <w:szCs w:val="24"/>
        </w:rPr>
        <w:t xml:space="preserve">: </w:t>
      </w:r>
      <w:r w:rsidRPr="006C6596">
        <w:rPr>
          <w:sz w:val="24"/>
          <w:szCs w:val="24"/>
          <w:lang w:val="nb-NO"/>
        </w:rPr>
        <w:t>Midler mod syrerelaterede forstyrrelser, protonpu</w:t>
      </w:r>
      <w:r>
        <w:rPr>
          <w:sz w:val="24"/>
          <w:szCs w:val="24"/>
          <w:lang w:val="nb-NO"/>
        </w:rPr>
        <w:t xml:space="preserve">mpe-hæmmer. </w:t>
      </w:r>
      <w:r>
        <w:rPr>
          <w:sz w:val="24"/>
          <w:szCs w:val="24"/>
        </w:rPr>
        <w:t>ATC-kode: A02B C 01.</w:t>
      </w:r>
    </w:p>
    <w:p w:rsidR="00754C35" w:rsidRDefault="00754C35" w:rsidP="00821DDD">
      <w:pPr>
        <w:pStyle w:val="Default"/>
        <w:ind w:left="851" w:hanging="851"/>
      </w:pPr>
    </w:p>
    <w:p w:rsidR="00821DDD" w:rsidRPr="001C374A" w:rsidRDefault="00821DDD" w:rsidP="00821DDD">
      <w:pPr>
        <w:pStyle w:val="Default"/>
        <w:ind w:left="851" w:hanging="851"/>
        <w:rPr>
          <w:lang w:val="da-DK"/>
        </w:rPr>
      </w:pPr>
      <w:r w:rsidRPr="00774AEF">
        <w:tab/>
      </w:r>
      <w:r w:rsidRPr="001C374A">
        <w:rPr>
          <w:u w:val="single"/>
          <w:lang w:val="da-DK"/>
        </w:rPr>
        <w:t xml:space="preserve">Virkningsmekanisme </w:t>
      </w:r>
    </w:p>
    <w:p w:rsidR="00821DDD" w:rsidRPr="00774AEF" w:rsidRDefault="00821DDD" w:rsidP="00821DDD">
      <w:pPr>
        <w:pStyle w:val="Default"/>
        <w:ind w:left="851"/>
        <w:rPr>
          <w:lang w:val="da-DK"/>
        </w:rPr>
      </w:pPr>
      <w:proofErr w:type="spellStart"/>
      <w:r w:rsidRPr="00774AEF">
        <w:rPr>
          <w:lang w:val="da-DK"/>
        </w:rPr>
        <w:t>Omeprazol</w:t>
      </w:r>
      <w:proofErr w:type="spellEnd"/>
      <w:r w:rsidRPr="00774AEF">
        <w:rPr>
          <w:lang w:val="da-DK"/>
        </w:rPr>
        <w:t xml:space="preserve">, en </w:t>
      </w:r>
      <w:proofErr w:type="spellStart"/>
      <w:r w:rsidRPr="00774AEF">
        <w:rPr>
          <w:lang w:val="da-DK"/>
        </w:rPr>
        <w:t>racemisk</w:t>
      </w:r>
      <w:proofErr w:type="spellEnd"/>
      <w:r w:rsidRPr="00774AEF">
        <w:rPr>
          <w:lang w:val="da-DK"/>
        </w:rPr>
        <w:t xml:space="preserve"> blanding af to </w:t>
      </w:r>
      <w:proofErr w:type="spellStart"/>
      <w:r w:rsidRPr="00774AEF">
        <w:rPr>
          <w:lang w:val="da-DK"/>
        </w:rPr>
        <w:t>enantiomerer</w:t>
      </w:r>
      <w:proofErr w:type="spellEnd"/>
      <w:r w:rsidRPr="00774AEF">
        <w:rPr>
          <w:lang w:val="da-DK"/>
        </w:rPr>
        <w:t xml:space="preserve">, </w:t>
      </w:r>
      <w:r>
        <w:rPr>
          <w:lang w:val="da-DK"/>
        </w:rPr>
        <w:t xml:space="preserve">nedsætter </w:t>
      </w:r>
      <w:r w:rsidRPr="00774AEF">
        <w:rPr>
          <w:lang w:val="da-DK"/>
        </w:rPr>
        <w:t>sekretion</w:t>
      </w:r>
      <w:r>
        <w:rPr>
          <w:lang w:val="da-DK"/>
        </w:rPr>
        <w:t>en af mavesyre</w:t>
      </w:r>
      <w:r w:rsidRPr="00774AEF">
        <w:rPr>
          <w:lang w:val="da-DK"/>
        </w:rPr>
        <w:t xml:space="preserve"> </w:t>
      </w:r>
      <w:r>
        <w:rPr>
          <w:lang w:val="da-DK"/>
        </w:rPr>
        <w:t>ved en yderst</w:t>
      </w:r>
      <w:r w:rsidRPr="00774AEF">
        <w:rPr>
          <w:lang w:val="da-DK"/>
        </w:rPr>
        <w:t xml:space="preserve"> målrettet virkningsmekanisme. Den er en specifik </w:t>
      </w:r>
      <w:r>
        <w:rPr>
          <w:lang w:val="da-DK"/>
        </w:rPr>
        <w:t>inhibitor</w:t>
      </w:r>
      <w:r w:rsidRPr="00774AEF">
        <w:rPr>
          <w:lang w:val="da-DK"/>
        </w:rPr>
        <w:t xml:space="preserve"> af syrepumpen i </w:t>
      </w:r>
      <w:proofErr w:type="spellStart"/>
      <w:r w:rsidRPr="00774AEF">
        <w:rPr>
          <w:lang w:val="da-DK"/>
        </w:rPr>
        <w:t>parietalcelle</w:t>
      </w:r>
      <w:r>
        <w:rPr>
          <w:lang w:val="da-DK"/>
        </w:rPr>
        <w:t>rne</w:t>
      </w:r>
      <w:proofErr w:type="spellEnd"/>
      <w:r w:rsidRPr="00774AEF">
        <w:rPr>
          <w:lang w:val="da-DK"/>
        </w:rPr>
        <w:t xml:space="preserve">. </w:t>
      </w:r>
      <w:r>
        <w:rPr>
          <w:lang w:val="da-DK"/>
        </w:rPr>
        <w:t xml:space="preserve">Der er en hurtigt indtrædende effekt, og kontrol opnås gennem reversibel </w:t>
      </w:r>
      <w:proofErr w:type="spellStart"/>
      <w:r>
        <w:rPr>
          <w:lang w:val="da-DK"/>
        </w:rPr>
        <w:t>inhibering</w:t>
      </w:r>
      <w:proofErr w:type="spellEnd"/>
      <w:r>
        <w:rPr>
          <w:lang w:val="da-DK"/>
        </w:rPr>
        <w:t xml:space="preserve"> af mavesyresekretionen med en daglig dosering.</w:t>
      </w:r>
      <w:r w:rsidRPr="00774AEF">
        <w:rPr>
          <w:lang w:val="da-DK"/>
        </w:rPr>
        <w:t xml:space="preserve"> </w:t>
      </w:r>
    </w:p>
    <w:p w:rsidR="00821DDD" w:rsidRPr="00774AEF" w:rsidRDefault="00821DDD" w:rsidP="00821DDD">
      <w:pPr>
        <w:pStyle w:val="Default"/>
        <w:ind w:left="851" w:hanging="851"/>
        <w:rPr>
          <w:lang w:val="da-DK"/>
        </w:rPr>
      </w:pPr>
    </w:p>
    <w:p w:rsidR="00821DDD" w:rsidRPr="00774AEF" w:rsidRDefault="00821DDD" w:rsidP="00821DDD">
      <w:pPr>
        <w:pStyle w:val="Default"/>
        <w:ind w:left="851"/>
        <w:rPr>
          <w:lang w:val="da-DK"/>
        </w:rPr>
      </w:pPr>
      <w:proofErr w:type="spellStart"/>
      <w:r w:rsidRPr="00774AEF">
        <w:rPr>
          <w:lang w:val="da-DK"/>
        </w:rPr>
        <w:t>Omeprazol</w:t>
      </w:r>
      <w:proofErr w:type="spellEnd"/>
      <w:r w:rsidRPr="00774AEF">
        <w:rPr>
          <w:lang w:val="da-DK"/>
        </w:rPr>
        <w:t xml:space="preserve"> er en svag base</w:t>
      </w:r>
      <w:r>
        <w:rPr>
          <w:lang w:val="da-DK"/>
        </w:rPr>
        <w:t>,</w:t>
      </w:r>
      <w:r w:rsidRPr="00774AEF">
        <w:rPr>
          <w:lang w:val="da-DK"/>
        </w:rPr>
        <w:t xml:space="preserve"> </w:t>
      </w:r>
      <w:r>
        <w:rPr>
          <w:lang w:val="da-DK"/>
        </w:rPr>
        <w:t>der</w:t>
      </w:r>
      <w:r w:rsidRPr="00774AEF">
        <w:rPr>
          <w:lang w:val="da-DK"/>
        </w:rPr>
        <w:t xml:space="preserve"> koncentreres og </w:t>
      </w:r>
      <w:r>
        <w:rPr>
          <w:lang w:val="da-DK"/>
        </w:rPr>
        <w:t>omdannes</w:t>
      </w:r>
      <w:r w:rsidRPr="00774AEF">
        <w:rPr>
          <w:lang w:val="da-DK"/>
        </w:rPr>
        <w:t xml:space="preserve"> til den aktive form i </w:t>
      </w:r>
      <w:r>
        <w:rPr>
          <w:lang w:val="da-DK"/>
        </w:rPr>
        <w:t xml:space="preserve">det meget sure miljø i </w:t>
      </w:r>
      <w:proofErr w:type="spellStart"/>
      <w:r>
        <w:rPr>
          <w:lang w:val="da-DK"/>
        </w:rPr>
        <w:t>parietalcellernes</w:t>
      </w:r>
      <w:proofErr w:type="spellEnd"/>
      <w:r>
        <w:rPr>
          <w:lang w:val="da-DK"/>
        </w:rPr>
        <w:t xml:space="preserve"> </w:t>
      </w:r>
      <w:r w:rsidRPr="00774AEF">
        <w:rPr>
          <w:lang w:val="da-DK"/>
        </w:rPr>
        <w:t xml:space="preserve">intracellulære </w:t>
      </w:r>
      <w:proofErr w:type="spellStart"/>
      <w:r w:rsidRPr="00774AEF">
        <w:rPr>
          <w:lang w:val="da-DK"/>
        </w:rPr>
        <w:t>canaliculi</w:t>
      </w:r>
      <w:proofErr w:type="spellEnd"/>
      <w:r w:rsidRPr="00774AEF">
        <w:rPr>
          <w:lang w:val="da-DK"/>
        </w:rPr>
        <w:t xml:space="preserve">, hvor </w:t>
      </w:r>
      <w:r>
        <w:rPr>
          <w:lang w:val="da-DK"/>
        </w:rPr>
        <w:t>det</w:t>
      </w:r>
      <w:r w:rsidRPr="00774AEF">
        <w:rPr>
          <w:lang w:val="da-DK"/>
        </w:rPr>
        <w:t xml:space="preserve"> hæmmer enzymet H</w:t>
      </w:r>
      <w:r w:rsidRPr="00827C63">
        <w:rPr>
          <w:vertAlign w:val="superscript"/>
          <w:lang w:val="da-DK"/>
        </w:rPr>
        <w:t>+</w:t>
      </w:r>
      <w:r>
        <w:rPr>
          <w:lang w:val="da-DK"/>
        </w:rPr>
        <w:t>,</w:t>
      </w:r>
      <w:r w:rsidRPr="00774AEF">
        <w:rPr>
          <w:lang w:val="da-DK"/>
        </w:rPr>
        <w:t xml:space="preserve"> K</w:t>
      </w:r>
      <w:r w:rsidRPr="00827C63">
        <w:rPr>
          <w:vertAlign w:val="superscript"/>
          <w:lang w:val="da-DK"/>
        </w:rPr>
        <w:t>+</w:t>
      </w:r>
      <w:r w:rsidRPr="00774AEF">
        <w:rPr>
          <w:lang w:val="da-DK"/>
        </w:rPr>
        <w:t>-</w:t>
      </w:r>
      <w:proofErr w:type="spellStart"/>
      <w:r w:rsidRPr="00774AEF">
        <w:rPr>
          <w:lang w:val="da-DK"/>
        </w:rPr>
        <w:t>ATPase</w:t>
      </w:r>
      <w:proofErr w:type="spellEnd"/>
      <w:r w:rsidRPr="00774AEF">
        <w:rPr>
          <w:lang w:val="da-DK"/>
        </w:rPr>
        <w:t xml:space="preserve"> - syrepumpen. Denne virkning på det sidste trin </w:t>
      </w:r>
      <w:r>
        <w:rPr>
          <w:lang w:val="da-DK"/>
        </w:rPr>
        <w:t xml:space="preserve">i processen for dannelse </w:t>
      </w:r>
      <w:r w:rsidRPr="00774AEF">
        <w:rPr>
          <w:lang w:val="da-DK"/>
        </w:rPr>
        <w:t xml:space="preserve">af mavesyre er dosisafhængig og </w:t>
      </w:r>
      <w:r>
        <w:rPr>
          <w:lang w:val="da-DK"/>
        </w:rPr>
        <w:t>sikrer en meget</w:t>
      </w:r>
      <w:r w:rsidRPr="00774AEF">
        <w:rPr>
          <w:lang w:val="da-DK"/>
        </w:rPr>
        <w:t xml:space="preserve"> effektiv hæmning af </w:t>
      </w:r>
      <w:r>
        <w:rPr>
          <w:lang w:val="da-DK"/>
        </w:rPr>
        <w:t>såvel basal som stimuleret</w:t>
      </w:r>
      <w:r w:rsidRPr="00774AEF">
        <w:rPr>
          <w:lang w:val="da-DK"/>
        </w:rPr>
        <w:t xml:space="preserve"> syresekretion, uanset stimul</w:t>
      </w:r>
      <w:r>
        <w:rPr>
          <w:lang w:val="da-DK"/>
        </w:rPr>
        <w:t>i</w:t>
      </w:r>
      <w:r w:rsidRPr="00774AEF">
        <w:rPr>
          <w:lang w:val="da-DK"/>
        </w:rPr>
        <w:t xml:space="preserve">. </w:t>
      </w:r>
    </w:p>
    <w:p w:rsidR="00821DDD" w:rsidRDefault="00821DDD" w:rsidP="00821DDD">
      <w:pPr>
        <w:autoSpaceDE w:val="0"/>
        <w:autoSpaceDN w:val="0"/>
        <w:adjustRightInd w:val="0"/>
        <w:ind w:left="851" w:right="-40"/>
        <w:rPr>
          <w:color w:val="000000"/>
          <w:sz w:val="24"/>
          <w:szCs w:val="24"/>
          <w:u w:val="single"/>
          <w:lang w:eastAsia="es-ES"/>
        </w:rPr>
      </w:pPr>
    </w:p>
    <w:p w:rsidR="00821DDD" w:rsidRDefault="00821DDD" w:rsidP="00821DDD">
      <w:pPr>
        <w:autoSpaceDE w:val="0"/>
        <w:autoSpaceDN w:val="0"/>
        <w:adjustRightInd w:val="0"/>
        <w:ind w:left="851" w:right="-40"/>
        <w:rPr>
          <w:color w:val="000000"/>
          <w:sz w:val="24"/>
          <w:szCs w:val="24"/>
          <w:u w:val="single"/>
          <w:lang w:eastAsia="es-ES"/>
        </w:rPr>
      </w:pPr>
      <w:proofErr w:type="spellStart"/>
      <w:r>
        <w:rPr>
          <w:color w:val="000000"/>
          <w:sz w:val="24"/>
          <w:szCs w:val="24"/>
          <w:u w:val="single"/>
          <w:lang w:eastAsia="es-ES"/>
        </w:rPr>
        <w:t>Farmakodynamisk</w:t>
      </w:r>
      <w:proofErr w:type="spellEnd"/>
      <w:r>
        <w:rPr>
          <w:color w:val="000000"/>
          <w:sz w:val="24"/>
          <w:szCs w:val="24"/>
          <w:u w:val="single"/>
          <w:lang w:eastAsia="es-ES"/>
        </w:rPr>
        <w:t xml:space="preserve"> virkning </w:t>
      </w:r>
    </w:p>
    <w:p w:rsidR="00821DDD" w:rsidRDefault="00821DDD" w:rsidP="00821DDD">
      <w:pPr>
        <w:pStyle w:val="Default"/>
        <w:ind w:left="851"/>
        <w:rPr>
          <w:lang w:val="da-DK"/>
        </w:rPr>
      </w:pPr>
      <w:r>
        <w:rPr>
          <w:lang w:val="da-DK"/>
        </w:rPr>
        <w:t xml:space="preserve">Alle observerede </w:t>
      </w:r>
      <w:proofErr w:type="spellStart"/>
      <w:r>
        <w:rPr>
          <w:lang w:val="da-DK"/>
        </w:rPr>
        <w:t>farmakodynamiske</w:t>
      </w:r>
      <w:proofErr w:type="spellEnd"/>
      <w:r>
        <w:rPr>
          <w:lang w:val="da-DK"/>
        </w:rPr>
        <w:t xml:space="preserve"> virkninger kan forklares ved </w:t>
      </w:r>
      <w:proofErr w:type="spellStart"/>
      <w:r>
        <w:rPr>
          <w:lang w:val="da-DK"/>
        </w:rPr>
        <w:t>omeprazols</w:t>
      </w:r>
      <w:proofErr w:type="spellEnd"/>
      <w:r>
        <w:rPr>
          <w:lang w:val="da-DK"/>
        </w:rPr>
        <w:t xml:space="preserve"> virkning på syresekretionen. </w:t>
      </w:r>
    </w:p>
    <w:p w:rsidR="00821DDD" w:rsidRDefault="00821DDD" w:rsidP="00821DDD">
      <w:pPr>
        <w:autoSpaceDE w:val="0"/>
        <w:autoSpaceDN w:val="0"/>
        <w:adjustRightInd w:val="0"/>
        <w:ind w:left="851" w:right="-40" w:hanging="851"/>
        <w:rPr>
          <w:sz w:val="24"/>
          <w:szCs w:val="24"/>
          <w:lang w:eastAsia="es-ES"/>
        </w:rPr>
      </w:pPr>
    </w:p>
    <w:p w:rsidR="00821DDD" w:rsidRDefault="00821DDD" w:rsidP="00821DDD">
      <w:pPr>
        <w:keepNext/>
        <w:autoSpaceDE w:val="0"/>
        <w:autoSpaceDN w:val="0"/>
        <w:adjustRightInd w:val="0"/>
        <w:ind w:left="851" w:right="-40"/>
        <w:rPr>
          <w:i/>
          <w:sz w:val="24"/>
          <w:szCs w:val="24"/>
          <w:lang w:eastAsia="es-ES"/>
        </w:rPr>
      </w:pPr>
      <w:r>
        <w:rPr>
          <w:i/>
          <w:sz w:val="24"/>
          <w:szCs w:val="24"/>
          <w:lang w:eastAsia="es-ES"/>
        </w:rPr>
        <w:t xml:space="preserve">Virkning på mavesyresekretionen </w:t>
      </w:r>
    </w:p>
    <w:p w:rsidR="00821DDD" w:rsidRDefault="00821DDD" w:rsidP="00821DDD">
      <w:pPr>
        <w:pStyle w:val="Default"/>
        <w:ind w:left="851"/>
        <w:rPr>
          <w:lang w:val="da-DK"/>
        </w:rPr>
      </w:pPr>
      <w:r>
        <w:rPr>
          <w:lang w:val="da-DK"/>
        </w:rPr>
        <w:t xml:space="preserve">En oral dosis </w:t>
      </w:r>
      <w:proofErr w:type="spellStart"/>
      <w:r>
        <w:rPr>
          <w:lang w:val="da-DK"/>
        </w:rPr>
        <w:t>omeprazol</w:t>
      </w:r>
      <w:proofErr w:type="spellEnd"/>
      <w:r>
        <w:rPr>
          <w:lang w:val="da-DK"/>
        </w:rPr>
        <w:t xml:space="preserve"> en gang dagligt giver en hurtig og effektiv hæmning af mavesyresekretionen i dag- og nattetimerne med maksimal virkning inden for 4 dages behandling. Med </w:t>
      </w:r>
      <w:proofErr w:type="spellStart"/>
      <w:r>
        <w:rPr>
          <w:lang w:val="da-DK"/>
        </w:rPr>
        <w:t>omeprazol</w:t>
      </w:r>
      <w:proofErr w:type="spellEnd"/>
      <w:r>
        <w:rPr>
          <w:lang w:val="da-DK"/>
        </w:rPr>
        <w:t xml:space="preserve"> 20 mg bibeholdes en gennemsnitlig reduktion af ventriklens surhedsgrad på mindst 80 % over 24 timer hos patienter med </w:t>
      </w:r>
      <w:proofErr w:type="spellStart"/>
      <w:r>
        <w:rPr>
          <w:lang w:val="da-DK"/>
        </w:rPr>
        <w:t>duodenalt</w:t>
      </w:r>
      <w:proofErr w:type="spellEnd"/>
      <w:r>
        <w:rPr>
          <w:lang w:val="da-DK"/>
        </w:rPr>
        <w:t xml:space="preserve"> ulcus, mens den gennemsnitlige reduktion af den maksimale syreproduktion efter </w:t>
      </w:r>
      <w:proofErr w:type="spellStart"/>
      <w:r>
        <w:rPr>
          <w:lang w:val="da-DK"/>
        </w:rPr>
        <w:t>pentagastrinstimulering</w:t>
      </w:r>
      <w:proofErr w:type="spellEnd"/>
      <w:r>
        <w:rPr>
          <w:lang w:val="da-DK"/>
        </w:rPr>
        <w:t xml:space="preserve"> er ca. 70 % 24 timer efter dosering. </w:t>
      </w:r>
    </w:p>
    <w:p w:rsidR="00821DDD" w:rsidRDefault="00821DDD" w:rsidP="00821DDD">
      <w:pPr>
        <w:pStyle w:val="Default"/>
        <w:ind w:left="851" w:hanging="851"/>
        <w:rPr>
          <w:lang w:val="da-DK"/>
        </w:rPr>
      </w:pPr>
    </w:p>
    <w:p w:rsidR="00821DDD" w:rsidRDefault="00821DDD" w:rsidP="00821DDD">
      <w:pPr>
        <w:pStyle w:val="Default"/>
        <w:ind w:left="851"/>
        <w:rPr>
          <w:lang w:val="da-DK"/>
        </w:rPr>
      </w:pPr>
      <w:r>
        <w:rPr>
          <w:lang w:val="da-DK"/>
        </w:rPr>
        <w:t xml:space="preserve">En oral dosis </w:t>
      </w:r>
      <w:proofErr w:type="spellStart"/>
      <w:r>
        <w:rPr>
          <w:lang w:val="da-DK"/>
        </w:rPr>
        <w:t>omeprazol</w:t>
      </w:r>
      <w:proofErr w:type="spellEnd"/>
      <w:r>
        <w:rPr>
          <w:lang w:val="da-DK"/>
        </w:rPr>
        <w:t xml:space="preserve"> på 20 mg til patienter med </w:t>
      </w:r>
      <w:proofErr w:type="spellStart"/>
      <w:r>
        <w:rPr>
          <w:lang w:val="da-DK"/>
        </w:rPr>
        <w:t>duodenalt</w:t>
      </w:r>
      <w:proofErr w:type="spellEnd"/>
      <w:r>
        <w:rPr>
          <w:lang w:val="da-DK"/>
        </w:rPr>
        <w:t xml:space="preserve"> ulcus opretholder intragastrisk pH på ≥ 3 i gennemsnitligt 17 timer ud af en periode på 24 timer. </w:t>
      </w:r>
    </w:p>
    <w:p w:rsidR="00821DDD" w:rsidRDefault="00821DDD" w:rsidP="00821DDD">
      <w:pPr>
        <w:pStyle w:val="Default"/>
        <w:ind w:left="851" w:hanging="851"/>
        <w:rPr>
          <w:lang w:val="da-DK"/>
        </w:rPr>
      </w:pPr>
    </w:p>
    <w:p w:rsidR="00821DDD" w:rsidRDefault="00821DDD" w:rsidP="00821DDD">
      <w:pPr>
        <w:pStyle w:val="Default"/>
        <w:ind w:left="851"/>
        <w:rPr>
          <w:lang w:val="da-DK"/>
        </w:rPr>
      </w:pPr>
      <w:r>
        <w:rPr>
          <w:lang w:val="da-DK"/>
        </w:rPr>
        <w:t xml:space="preserve">Som en konsekvens af nedsat syreproduktion og nedsat surhedsgrad i ventriklen reducerer/normaliserer </w:t>
      </w:r>
      <w:proofErr w:type="spellStart"/>
      <w:r>
        <w:rPr>
          <w:lang w:val="da-DK"/>
        </w:rPr>
        <w:t>omeprazol</w:t>
      </w:r>
      <w:proofErr w:type="spellEnd"/>
      <w:r>
        <w:rPr>
          <w:lang w:val="da-DK"/>
        </w:rPr>
        <w:t xml:space="preserve"> dosisafhængigt </w:t>
      </w:r>
      <w:proofErr w:type="spellStart"/>
      <w:r>
        <w:rPr>
          <w:lang w:val="da-DK"/>
        </w:rPr>
        <w:t>øsofagus</w:t>
      </w:r>
      <w:proofErr w:type="spellEnd"/>
      <w:r>
        <w:rPr>
          <w:lang w:val="da-DK"/>
        </w:rPr>
        <w:t xml:space="preserve">’ eksponering for syre hos patienter med </w:t>
      </w:r>
      <w:proofErr w:type="spellStart"/>
      <w:r>
        <w:rPr>
          <w:lang w:val="da-DK"/>
        </w:rPr>
        <w:t>gastroøsofageal</w:t>
      </w:r>
      <w:proofErr w:type="spellEnd"/>
      <w:r>
        <w:rPr>
          <w:lang w:val="da-DK"/>
        </w:rPr>
        <w:t xml:space="preserve"> </w:t>
      </w:r>
      <w:proofErr w:type="spellStart"/>
      <w:r>
        <w:rPr>
          <w:lang w:val="da-DK"/>
        </w:rPr>
        <w:t>reflukssygdom</w:t>
      </w:r>
      <w:proofErr w:type="spellEnd"/>
      <w:r>
        <w:rPr>
          <w:lang w:val="da-DK"/>
        </w:rPr>
        <w:t xml:space="preserve">. </w:t>
      </w:r>
    </w:p>
    <w:p w:rsidR="00821DDD" w:rsidRDefault="00821DDD" w:rsidP="00821DDD">
      <w:pPr>
        <w:pStyle w:val="Default"/>
        <w:ind w:left="851"/>
        <w:rPr>
          <w:lang w:val="da-DK"/>
        </w:rPr>
      </w:pPr>
      <w:r>
        <w:rPr>
          <w:lang w:val="da-DK"/>
        </w:rPr>
        <w:t xml:space="preserve">Hæmningen af syresekretionen er relateret til AUC for </w:t>
      </w:r>
      <w:proofErr w:type="spellStart"/>
      <w:r>
        <w:rPr>
          <w:lang w:val="da-DK"/>
        </w:rPr>
        <w:t>omeprazol</w:t>
      </w:r>
      <w:proofErr w:type="spellEnd"/>
      <w:r>
        <w:rPr>
          <w:lang w:val="da-DK"/>
        </w:rPr>
        <w:t xml:space="preserve"> og ikke til den aktuelle plasmakoncentration på et givet tidspunkt. </w:t>
      </w:r>
    </w:p>
    <w:p w:rsidR="00821DDD" w:rsidRDefault="00821DDD" w:rsidP="00821DDD">
      <w:pPr>
        <w:pStyle w:val="Default"/>
        <w:ind w:left="851" w:hanging="851"/>
        <w:rPr>
          <w:lang w:val="da-DK"/>
        </w:rPr>
      </w:pPr>
    </w:p>
    <w:p w:rsidR="00821DDD" w:rsidRDefault="00821DDD" w:rsidP="00821DDD">
      <w:pPr>
        <w:pStyle w:val="Default"/>
        <w:ind w:left="851"/>
        <w:rPr>
          <w:lang w:val="da-DK"/>
        </w:rPr>
      </w:pPr>
      <w:r>
        <w:rPr>
          <w:lang w:val="da-DK"/>
        </w:rPr>
        <w:t xml:space="preserve">Der er ikke set </w:t>
      </w:r>
      <w:proofErr w:type="spellStart"/>
      <w:r>
        <w:rPr>
          <w:lang w:val="da-DK"/>
        </w:rPr>
        <w:t>takyfylaksi</w:t>
      </w:r>
      <w:proofErr w:type="spellEnd"/>
      <w:r>
        <w:rPr>
          <w:lang w:val="da-DK"/>
        </w:rPr>
        <w:t xml:space="preserve"> under behandling med </w:t>
      </w:r>
      <w:proofErr w:type="spellStart"/>
      <w:r>
        <w:rPr>
          <w:lang w:val="da-DK"/>
        </w:rPr>
        <w:t>omeprazol</w:t>
      </w:r>
      <w:proofErr w:type="spellEnd"/>
      <w:r>
        <w:rPr>
          <w:lang w:val="da-DK"/>
        </w:rPr>
        <w:t xml:space="preserve">. </w:t>
      </w:r>
    </w:p>
    <w:p w:rsidR="00821DDD" w:rsidRDefault="00821DDD" w:rsidP="00821DDD">
      <w:pPr>
        <w:autoSpaceDE w:val="0"/>
        <w:autoSpaceDN w:val="0"/>
        <w:adjustRightInd w:val="0"/>
        <w:ind w:left="851" w:right="-40" w:hanging="851"/>
        <w:rPr>
          <w:sz w:val="24"/>
          <w:szCs w:val="24"/>
          <w:lang w:eastAsia="es-ES"/>
        </w:rPr>
      </w:pPr>
    </w:p>
    <w:p w:rsidR="00821DDD" w:rsidRDefault="00821DDD" w:rsidP="00821DDD">
      <w:pPr>
        <w:autoSpaceDE w:val="0"/>
        <w:autoSpaceDN w:val="0"/>
        <w:adjustRightInd w:val="0"/>
        <w:ind w:left="851" w:right="80"/>
        <w:rPr>
          <w:i/>
          <w:sz w:val="24"/>
          <w:szCs w:val="24"/>
          <w:lang w:eastAsia="es-ES"/>
        </w:rPr>
      </w:pPr>
      <w:r>
        <w:rPr>
          <w:i/>
          <w:sz w:val="24"/>
          <w:szCs w:val="24"/>
          <w:lang w:eastAsia="es-ES"/>
        </w:rPr>
        <w:t xml:space="preserve">Anden effekt relateret til syrehæmning </w:t>
      </w:r>
    </w:p>
    <w:p w:rsidR="00821DDD" w:rsidRDefault="00821DDD" w:rsidP="00821DDD">
      <w:pPr>
        <w:pStyle w:val="Default"/>
        <w:ind w:left="851"/>
        <w:rPr>
          <w:lang w:val="da-DK"/>
        </w:rPr>
      </w:pPr>
      <w:r>
        <w:rPr>
          <w:lang w:val="da-DK"/>
        </w:rPr>
        <w:t xml:space="preserve">Ved langtidsbehandling er der rapporteret en noget øget frekvens af gastriske, </w:t>
      </w:r>
      <w:proofErr w:type="spellStart"/>
      <w:r>
        <w:rPr>
          <w:lang w:val="da-DK"/>
        </w:rPr>
        <w:t>glandulære</w:t>
      </w:r>
      <w:proofErr w:type="spellEnd"/>
      <w:r>
        <w:rPr>
          <w:lang w:val="da-DK"/>
        </w:rPr>
        <w:t xml:space="preserve"> cyster. Disse ændringer, der er en fysiologisk konsekvens af udtalt hæmning af syresekretionen, er godartede og synes at være reversible. </w:t>
      </w:r>
    </w:p>
    <w:p w:rsidR="00821DDD" w:rsidRDefault="00821DDD" w:rsidP="00821DDD">
      <w:pPr>
        <w:pStyle w:val="Default"/>
        <w:ind w:left="851" w:hanging="851"/>
        <w:rPr>
          <w:lang w:val="da-DK"/>
        </w:rPr>
      </w:pPr>
    </w:p>
    <w:p w:rsidR="000834E7" w:rsidRDefault="000834E7" w:rsidP="000834E7">
      <w:pPr>
        <w:pStyle w:val="Default"/>
        <w:ind w:left="851"/>
        <w:rPr>
          <w:lang w:val="da-DK"/>
        </w:rPr>
      </w:pPr>
      <w:r>
        <w:rPr>
          <w:lang w:val="da-DK"/>
        </w:rPr>
        <w:t xml:space="preserve">Nedsat gastrisk surhedsgrad, uanset årsag inklusive </w:t>
      </w:r>
      <w:proofErr w:type="spellStart"/>
      <w:r>
        <w:rPr>
          <w:lang w:val="da-DK"/>
        </w:rPr>
        <w:t>protonpumpehæmmere</w:t>
      </w:r>
      <w:proofErr w:type="spellEnd"/>
      <w:r>
        <w:rPr>
          <w:lang w:val="da-DK"/>
        </w:rPr>
        <w:t xml:space="preserve">, øger antallet af normalt forekommende bakterier i mave-tarm-kanalen. Behandling med syrehæmmende farmaka kan derfor medføre en let forøget risiko for </w:t>
      </w:r>
      <w:proofErr w:type="spellStart"/>
      <w:r>
        <w:rPr>
          <w:lang w:val="da-DK"/>
        </w:rPr>
        <w:t>gastrointestinale</w:t>
      </w:r>
      <w:proofErr w:type="spellEnd"/>
      <w:r>
        <w:rPr>
          <w:lang w:val="da-DK"/>
        </w:rPr>
        <w:t xml:space="preserve"> infektioner såsom </w:t>
      </w:r>
      <w:r>
        <w:rPr>
          <w:i/>
          <w:lang w:val="da-DK"/>
        </w:rPr>
        <w:t>Salmonella</w:t>
      </w:r>
      <w:r>
        <w:rPr>
          <w:lang w:val="da-DK"/>
        </w:rPr>
        <w:t xml:space="preserve"> og </w:t>
      </w:r>
      <w:r>
        <w:rPr>
          <w:i/>
          <w:lang w:val="da-DK"/>
        </w:rPr>
        <w:t>Campylobacter</w:t>
      </w:r>
      <w:r>
        <w:rPr>
          <w:lang w:val="da-DK"/>
        </w:rPr>
        <w:t xml:space="preserve"> og hos hospitalsindlagte patienter muligvis også </w:t>
      </w:r>
      <w:proofErr w:type="spellStart"/>
      <w:r>
        <w:rPr>
          <w:i/>
          <w:lang w:val="da-DK"/>
        </w:rPr>
        <w:t>Clostridium</w:t>
      </w:r>
      <w:proofErr w:type="spellEnd"/>
      <w:r>
        <w:rPr>
          <w:i/>
          <w:lang w:val="da-DK"/>
        </w:rPr>
        <w:t xml:space="preserve"> difficile</w:t>
      </w:r>
      <w:r>
        <w:rPr>
          <w:lang w:val="da-DK"/>
        </w:rPr>
        <w:t xml:space="preserve">. </w:t>
      </w:r>
    </w:p>
    <w:p w:rsidR="00821DDD" w:rsidRDefault="00821DDD" w:rsidP="00821DDD">
      <w:pPr>
        <w:pStyle w:val="Default"/>
        <w:ind w:left="851"/>
        <w:rPr>
          <w:lang w:val="da-DK"/>
        </w:rPr>
      </w:pPr>
    </w:p>
    <w:p w:rsidR="00821DDD" w:rsidRDefault="00821DDD" w:rsidP="00821DDD">
      <w:pPr>
        <w:autoSpaceDE w:val="0"/>
        <w:autoSpaceDN w:val="0"/>
        <w:adjustRightInd w:val="0"/>
        <w:ind w:left="851"/>
        <w:rPr>
          <w:sz w:val="24"/>
          <w:szCs w:val="24"/>
        </w:rPr>
      </w:pPr>
      <w:r>
        <w:rPr>
          <w:sz w:val="24"/>
          <w:szCs w:val="24"/>
        </w:rPr>
        <w:t xml:space="preserve">Under behandling med sekretionshæmmende lægemidler stiger indholdet af gastrin i serum som reaktion på den nedsatte syresekretion. Også indholdet af </w:t>
      </w:r>
      <w:proofErr w:type="spellStart"/>
      <w:r>
        <w:rPr>
          <w:sz w:val="24"/>
          <w:szCs w:val="24"/>
        </w:rPr>
        <w:t>CgA</w:t>
      </w:r>
      <w:proofErr w:type="spellEnd"/>
      <w:r>
        <w:rPr>
          <w:sz w:val="24"/>
          <w:szCs w:val="24"/>
        </w:rPr>
        <w:t xml:space="preserve"> stiger på grund af den nedsatte gastriske </w:t>
      </w:r>
      <w:proofErr w:type="spellStart"/>
      <w:r>
        <w:rPr>
          <w:sz w:val="24"/>
          <w:szCs w:val="24"/>
        </w:rPr>
        <w:t>aciditet</w:t>
      </w:r>
      <w:proofErr w:type="spellEnd"/>
      <w:r>
        <w:rPr>
          <w:sz w:val="24"/>
          <w:szCs w:val="24"/>
        </w:rPr>
        <w:t xml:space="preserve">. Det forhøjede indhold af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w:t>
      </w:r>
    </w:p>
    <w:p w:rsidR="00821DDD" w:rsidRDefault="00821DDD" w:rsidP="00821DDD">
      <w:pPr>
        <w:autoSpaceDE w:val="0"/>
        <w:autoSpaceDN w:val="0"/>
        <w:adjustRightInd w:val="0"/>
        <w:ind w:left="851"/>
        <w:rPr>
          <w:sz w:val="24"/>
          <w:szCs w:val="24"/>
        </w:rPr>
      </w:pPr>
    </w:p>
    <w:p w:rsidR="00821DDD" w:rsidRDefault="00821DDD" w:rsidP="00821DDD">
      <w:pPr>
        <w:pStyle w:val="Default"/>
        <w:ind w:left="851"/>
        <w:rPr>
          <w:lang w:val="da-DK"/>
        </w:rPr>
      </w:pPr>
      <w:r>
        <w:rPr>
          <w:lang w:val="da-DK"/>
        </w:rPr>
        <w:t xml:space="preserve">Den foreliggende publicerede dokumentation antyder, at </w:t>
      </w:r>
      <w:proofErr w:type="spellStart"/>
      <w:r>
        <w:rPr>
          <w:lang w:val="da-DK"/>
        </w:rPr>
        <w:t>protonpumpehæmmere</w:t>
      </w:r>
      <w:proofErr w:type="spellEnd"/>
      <w:r>
        <w:rPr>
          <w:lang w:val="da-DK"/>
        </w:rPr>
        <w:t xml:space="preserve"> bør seponeres mellem 5 dage og 2 uger før måling af </w:t>
      </w:r>
      <w:proofErr w:type="spellStart"/>
      <w:r>
        <w:rPr>
          <w:lang w:val="da-DK"/>
        </w:rPr>
        <w:t>CgA</w:t>
      </w:r>
      <w:proofErr w:type="spellEnd"/>
      <w:r>
        <w:rPr>
          <w:lang w:val="da-DK"/>
        </w:rPr>
        <w:t xml:space="preserve">. Dette er for at eventuelle falskt forhøjede værdier af </w:t>
      </w:r>
      <w:proofErr w:type="spellStart"/>
      <w:r>
        <w:rPr>
          <w:lang w:val="da-DK"/>
        </w:rPr>
        <w:t>CgA</w:t>
      </w:r>
      <w:proofErr w:type="spellEnd"/>
      <w:r>
        <w:rPr>
          <w:lang w:val="da-DK"/>
        </w:rPr>
        <w:t xml:space="preserve"> i forbindelse med behandling med </w:t>
      </w:r>
      <w:proofErr w:type="spellStart"/>
      <w:r>
        <w:rPr>
          <w:lang w:val="da-DK"/>
        </w:rPr>
        <w:t>protonpumpehæmmere</w:t>
      </w:r>
      <w:proofErr w:type="spellEnd"/>
      <w:r>
        <w:rPr>
          <w:lang w:val="da-DK"/>
        </w:rPr>
        <w:t xml:space="preserve"> kan vende tilbage til reference</w:t>
      </w:r>
      <w:r>
        <w:rPr>
          <w:lang w:val="da-DK"/>
        </w:rPr>
        <w:softHyphen/>
        <w:t>området.</w:t>
      </w:r>
    </w:p>
    <w:p w:rsidR="00821DDD" w:rsidRDefault="00821DDD" w:rsidP="00821DDD">
      <w:pPr>
        <w:pStyle w:val="Default"/>
        <w:ind w:left="851"/>
        <w:rPr>
          <w:lang w:val="da-DK"/>
        </w:rPr>
      </w:pPr>
    </w:p>
    <w:p w:rsidR="000834E7" w:rsidRDefault="00821DDD" w:rsidP="000834E7">
      <w:pPr>
        <w:pStyle w:val="Default"/>
        <w:ind w:left="851" w:hanging="851"/>
        <w:rPr>
          <w:lang w:val="da-DK"/>
        </w:rPr>
      </w:pPr>
      <w:r>
        <w:rPr>
          <w:lang w:val="da-DK"/>
        </w:rPr>
        <w:tab/>
      </w:r>
      <w:r w:rsidR="000834E7">
        <w:rPr>
          <w:lang w:val="da-DK"/>
        </w:rPr>
        <w:t xml:space="preserve">Ved langtidsbehandling med </w:t>
      </w:r>
      <w:proofErr w:type="spellStart"/>
      <w:r w:rsidR="000834E7">
        <w:rPr>
          <w:lang w:val="da-DK"/>
        </w:rPr>
        <w:t>omeprazol</w:t>
      </w:r>
      <w:proofErr w:type="spellEnd"/>
      <w:r w:rsidR="000834E7">
        <w:rPr>
          <w:lang w:val="da-DK"/>
        </w:rPr>
        <w:t xml:space="preserve"> er der hos både børn og voksne i nogle tilfælde set en øgning i antallet af ECL-celler, som muligvis er relateret til den øgede plasmakoncentration af gastrin. Resultaterne anses ikke for at have nogen klinisk relevans.</w:t>
      </w:r>
    </w:p>
    <w:p w:rsidR="00821DDD" w:rsidRDefault="00821DDD" w:rsidP="00821DDD">
      <w:pPr>
        <w:pStyle w:val="Default"/>
        <w:ind w:left="851" w:hanging="851"/>
        <w:rPr>
          <w:u w:val="single"/>
          <w:lang w:val="da-DK"/>
        </w:rPr>
      </w:pPr>
    </w:p>
    <w:p w:rsidR="00821DDD" w:rsidRPr="00774AEF" w:rsidRDefault="00821DDD" w:rsidP="00821DDD">
      <w:pPr>
        <w:numPr>
          <w:ilvl w:val="1"/>
          <w:numId w:val="3"/>
        </w:numPr>
        <w:tabs>
          <w:tab w:val="clear" w:pos="855"/>
        </w:tabs>
        <w:ind w:left="851" w:hanging="851"/>
        <w:rPr>
          <w:b/>
          <w:sz w:val="24"/>
          <w:szCs w:val="24"/>
        </w:rPr>
      </w:pPr>
      <w:proofErr w:type="spellStart"/>
      <w:r w:rsidRPr="00774AEF">
        <w:rPr>
          <w:b/>
          <w:sz w:val="24"/>
          <w:szCs w:val="24"/>
        </w:rPr>
        <w:t>Farmakokinetiske</w:t>
      </w:r>
      <w:proofErr w:type="spellEnd"/>
      <w:r w:rsidRPr="00774AEF">
        <w:rPr>
          <w:b/>
          <w:sz w:val="24"/>
          <w:szCs w:val="24"/>
        </w:rPr>
        <w:t xml:space="preserve"> egenskaber</w:t>
      </w:r>
    </w:p>
    <w:p w:rsidR="00821DDD" w:rsidRPr="00774AEF" w:rsidRDefault="00821DDD" w:rsidP="00821DDD">
      <w:pPr>
        <w:keepNext/>
        <w:keepLines/>
        <w:ind w:left="851" w:hanging="851"/>
        <w:rPr>
          <w:sz w:val="24"/>
          <w:szCs w:val="24"/>
          <w:u w:val="single"/>
        </w:rPr>
      </w:pPr>
      <w:r w:rsidRPr="00774AEF">
        <w:rPr>
          <w:sz w:val="24"/>
          <w:szCs w:val="24"/>
        </w:rPr>
        <w:tab/>
      </w:r>
      <w:r w:rsidRPr="00774AEF">
        <w:rPr>
          <w:sz w:val="24"/>
          <w:szCs w:val="24"/>
          <w:u w:val="single"/>
        </w:rPr>
        <w:t>Absorption</w:t>
      </w:r>
    </w:p>
    <w:p w:rsidR="00821DDD" w:rsidRPr="00774AEF" w:rsidRDefault="00821DDD" w:rsidP="00821DDD">
      <w:pPr>
        <w:pStyle w:val="Default"/>
        <w:ind w:left="851"/>
        <w:rPr>
          <w:lang w:val="da-DK"/>
        </w:rPr>
      </w:pPr>
      <w:proofErr w:type="spellStart"/>
      <w:r w:rsidRPr="00774AEF">
        <w:rPr>
          <w:lang w:val="da-DK"/>
        </w:rPr>
        <w:t>Omeprazol</w:t>
      </w:r>
      <w:proofErr w:type="spellEnd"/>
      <w:r w:rsidRPr="00774AEF">
        <w:rPr>
          <w:lang w:val="da-DK"/>
        </w:rPr>
        <w:t xml:space="preserve"> er syrelabil og administreres </w:t>
      </w:r>
      <w:r w:rsidR="000834E7">
        <w:rPr>
          <w:lang w:val="da-DK"/>
        </w:rPr>
        <w:t xml:space="preserve">derfor </w:t>
      </w:r>
      <w:r w:rsidRPr="00774AEF">
        <w:rPr>
          <w:lang w:val="da-DK"/>
        </w:rPr>
        <w:t xml:space="preserve">oralt som </w:t>
      </w:r>
      <w:proofErr w:type="spellStart"/>
      <w:r w:rsidRPr="00774AEF">
        <w:rPr>
          <w:lang w:val="da-DK"/>
        </w:rPr>
        <w:t>entero</w:t>
      </w:r>
      <w:proofErr w:type="spellEnd"/>
      <w:r w:rsidRPr="00774AEF">
        <w:rPr>
          <w:lang w:val="da-DK"/>
        </w:rPr>
        <w:t xml:space="preserve">-coatede små korn i kapsler. Absorptionen af </w:t>
      </w:r>
      <w:proofErr w:type="spellStart"/>
      <w:r w:rsidRPr="00774AEF">
        <w:rPr>
          <w:lang w:val="da-DK"/>
        </w:rPr>
        <w:t>omeprazol</w:t>
      </w:r>
      <w:proofErr w:type="spellEnd"/>
      <w:r w:rsidRPr="00774AEF">
        <w:rPr>
          <w:lang w:val="da-DK"/>
        </w:rPr>
        <w:t xml:space="preserve"> er hurtig</w:t>
      </w:r>
      <w:r>
        <w:rPr>
          <w:lang w:val="da-DK"/>
        </w:rPr>
        <w:t xml:space="preserve"> med</w:t>
      </w:r>
      <w:r w:rsidRPr="00774AEF">
        <w:rPr>
          <w:lang w:val="da-DK"/>
        </w:rPr>
        <w:t xml:space="preserve"> maksimale plasma</w:t>
      </w:r>
      <w:r>
        <w:rPr>
          <w:lang w:val="da-DK"/>
        </w:rPr>
        <w:t>koncentrationer cirka</w:t>
      </w:r>
      <w:r w:rsidRPr="00774AEF">
        <w:rPr>
          <w:lang w:val="da-DK"/>
        </w:rPr>
        <w:t xml:space="preserve"> 1-2 timer efter </w:t>
      </w:r>
      <w:r>
        <w:rPr>
          <w:lang w:val="da-DK"/>
        </w:rPr>
        <w:t>dosering</w:t>
      </w:r>
      <w:r w:rsidRPr="00774AEF">
        <w:rPr>
          <w:lang w:val="da-DK"/>
        </w:rPr>
        <w:t xml:space="preserve">. Absorption af </w:t>
      </w:r>
      <w:proofErr w:type="spellStart"/>
      <w:r w:rsidRPr="00774AEF">
        <w:rPr>
          <w:lang w:val="da-DK"/>
        </w:rPr>
        <w:t>omeprazol</w:t>
      </w:r>
      <w:proofErr w:type="spellEnd"/>
      <w:r w:rsidRPr="00774AEF">
        <w:rPr>
          <w:lang w:val="da-DK"/>
        </w:rPr>
        <w:t xml:space="preserve"> </w:t>
      </w:r>
      <w:r>
        <w:rPr>
          <w:lang w:val="da-DK"/>
        </w:rPr>
        <w:t>finder sted</w:t>
      </w:r>
      <w:r w:rsidRPr="00774AEF">
        <w:rPr>
          <w:lang w:val="da-DK"/>
        </w:rPr>
        <w:t xml:space="preserve"> i tyndtarmen og er sædvanligvis </w:t>
      </w:r>
      <w:r>
        <w:rPr>
          <w:lang w:val="da-DK"/>
        </w:rPr>
        <w:t>fuldstændig i løbet af</w:t>
      </w:r>
      <w:r w:rsidRPr="00774AEF">
        <w:rPr>
          <w:lang w:val="da-DK"/>
        </w:rPr>
        <w:t xml:space="preserve"> 3-6 timer. Samtidig indtagelse af føde </w:t>
      </w:r>
      <w:r>
        <w:rPr>
          <w:lang w:val="da-DK"/>
        </w:rPr>
        <w:t>påvirker ikke</w:t>
      </w:r>
      <w:r w:rsidRPr="00774AEF">
        <w:rPr>
          <w:lang w:val="da-DK"/>
        </w:rPr>
        <w:t xml:space="preserve"> </w:t>
      </w:r>
      <w:r w:rsidRPr="00774AEF">
        <w:rPr>
          <w:lang w:val="da-DK"/>
        </w:rPr>
        <w:lastRenderedPageBreak/>
        <w:t xml:space="preserve">biotilgængeligheden. Den systemiske tilgængelighed (biotilgængelighed) </w:t>
      </w:r>
      <w:r>
        <w:rPr>
          <w:lang w:val="da-DK"/>
        </w:rPr>
        <w:t xml:space="preserve">af </w:t>
      </w:r>
      <w:proofErr w:type="spellStart"/>
      <w:r>
        <w:rPr>
          <w:lang w:val="da-DK"/>
        </w:rPr>
        <w:t>omeprazol</w:t>
      </w:r>
      <w:proofErr w:type="spellEnd"/>
      <w:r>
        <w:rPr>
          <w:lang w:val="da-DK"/>
        </w:rPr>
        <w:t xml:space="preserve"> efter</w:t>
      </w:r>
      <w:r w:rsidRPr="00774AEF">
        <w:rPr>
          <w:lang w:val="da-DK"/>
        </w:rPr>
        <w:t xml:space="preserve"> en enkel oral dosis er ca. 40 %. Efter gentagen </w:t>
      </w:r>
      <w:r>
        <w:rPr>
          <w:lang w:val="da-DK"/>
        </w:rPr>
        <w:t>dosering</w:t>
      </w:r>
      <w:r w:rsidRPr="00774AEF">
        <w:rPr>
          <w:lang w:val="da-DK"/>
        </w:rPr>
        <w:t xml:space="preserve"> en gang dagligt øges biotilgængeligheden til </w:t>
      </w:r>
      <w:r>
        <w:rPr>
          <w:lang w:val="da-DK"/>
        </w:rPr>
        <w:t>ca.</w:t>
      </w:r>
      <w:r w:rsidRPr="00774AEF">
        <w:rPr>
          <w:lang w:val="da-DK"/>
        </w:rPr>
        <w:t xml:space="preserve"> 60 %.</w:t>
      </w:r>
    </w:p>
    <w:p w:rsidR="00821DDD" w:rsidRPr="00774AEF" w:rsidRDefault="00821DDD" w:rsidP="00821DDD">
      <w:pPr>
        <w:keepNext/>
        <w:keepLines/>
        <w:ind w:left="851" w:hanging="851"/>
        <w:rPr>
          <w:sz w:val="24"/>
          <w:szCs w:val="24"/>
          <w:u w:val="single"/>
        </w:rPr>
      </w:pPr>
    </w:p>
    <w:p w:rsidR="00821DDD" w:rsidRDefault="00821DDD" w:rsidP="00821DDD">
      <w:pPr>
        <w:keepNext/>
        <w:keepLines/>
        <w:ind w:left="851"/>
        <w:rPr>
          <w:sz w:val="24"/>
          <w:szCs w:val="24"/>
          <w:u w:val="single"/>
        </w:rPr>
      </w:pPr>
      <w:r>
        <w:rPr>
          <w:sz w:val="24"/>
          <w:szCs w:val="24"/>
          <w:u w:val="single"/>
        </w:rPr>
        <w:t>Fordeling</w:t>
      </w:r>
    </w:p>
    <w:p w:rsidR="00821DDD" w:rsidRPr="00774AEF" w:rsidRDefault="00821DDD" w:rsidP="00821DDD">
      <w:pPr>
        <w:pStyle w:val="Default"/>
        <w:ind w:left="851" w:right="-40"/>
        <w:rPr>
          <w:lang w:val="da-DK"/>
        </w:rPr>
      </w:pPr>
      <w:r>
        <w:rPr>
          <w:lang w:val="da-DK"/>
        </w:rPr>
        <w:t>Hos raske forsøgspersoner er det tilsyneladende fordelingsvolumen (</w:t>
      </w:r>
      <w:proofErr w:type="spellStart"/>
      <w:r>
        <w:rPr>
          <w:lang w:val="da-DK"/>
        </w:rPr>
        <w:t>Vd</w:t>
      </w:r>
      <w:r w:rsidRPr="006936F9">
        <w:rPr>
          <w:vertAlign w:val="subscript"/>
          <w:lang w:val="da-DK"/>
        </w:rPr>
        <w:t>app</w:t>
      </w:r>
      <w:proofErr w:type="spellEnd"/>
      <w:r>
        <w:rPr>
          <w:lang w:val="da-DK"/>
        </w:rPr>
        <w:t xml:space="preserve">) ca. 0,3 l/kg legemsvægt. Plasmaproteinbindingsgraden af </w:t>
      </w:r>
      <w:proofErr w:type="spellStart"/>
      <w:r>
        <w:rPr>
          <w:lang w:val="da-DK"/>
        </w:rPr>
        <w:t>omeprazol</w:t>
      </w:r>
      <w:proofErr w:type="spellEnd"/>
      <w:r>
        <w:rPr>
          <w:lang w:val="da-DK"/>
        </w:rPr>
        <w:t xml:space="preserve"> er ca. 97 %.</w:t>
      </w:r>
    </w:p>
    <w:p w:rsidR="00821DDD" w:rsidRDefault="00821DDD" w:rsidP="00821DDD">
      <w:pPr>
        <w:suppressAutoHyphens/>
        <w:ind w:left="851" w:hanging="851"/>
        <w:jc w:val="both"/>
        <w:rPr>
          <w:strike/>
          <w:sz w:val="24"/>
          <w:szCs w:val="24"/>
        </w:rPr>
      </w:pPr>
    </w:p>
    <w:p w:rsidR="00821DDD" w:rsidRPr="00774AEF" w:rsidRDefault="00821DDD" w:rsidP="00821DDD">
      <w:pPr>
        <w:pStyle w:val="Default"/>
        <w:ind w:left="851" w:right="-40"/>
        <w:rPr>
          <w:u w:val="single"/>
          <w:lang w:val="da-DK"/>
        </w:rPr>
      </w:pPr>
      <w:r>
        <w:rPr>
          <w:u w:val="single"/>
          <w:lang w:val="da-DK"/>
        </w:rPr>
        <w:t>Biotransformation</w:t>
      </w:r>
    </w:p>
    <w:p w:rsidR="00821DDD" w:rsidRDefault="00821DDD" w:rsidP="00821DDD">
      <w:pPr>
        <w:pStyle w:val="Default"/>
        <w:ind w:left="851" w:right="-40"/>
        <w:rPr>
          <w:lang w:val="da-DK"/>
        </w:rPr>
      </w:pPr>
      <w:proofErr w:type="spellStart"/>
      <w:r>
        <w:rPr>
          <w:lang w:val="da-DK"/>
        </w:rPr>
        <w:t>Omeprazol</w:t>
      </w:r>
      <w:proofErr w:type="spellEnd"/>
      <w:r>
        <w:rPr>
          <w:lang w:val="da-DK"/>
        </w:rPr>
        <w:t xml:space="preserve"> </w:t>
      </w:r>
      <w:proofErr w:type="spellStart"/>
      <w:r>
        <w:rPr>
          <w:lang w:val="da-DK"/>
        </w:rPr>
        <w:t>metaboliseres</w:t>
      </w:r>
      <w:proofErr w:type="spellEnd"/>
      <w:r>
        <w:rPr>
          <w:lang w:val="da-DK"/>
        </w:rPr>
        <w:t xml:space="preserve"> fuldstændigt af </w:t>
      </w:r>
      <w:proofErr w:type="spellStart"/>
      <w:r>
        <w:rPr>
          <w:lang w:val="da-DK"/>
        </w:rPr>
        <w:t>cytochrom</w:t>
      </w:r>
      <w:proofErr w:type="spellEnd"/>
      <w:r>
        <w:rPr>
          <w:lang w:val="da-DK"/>
        </w:rPr>
        <w:t xml:space="preserve"> P450-systemet (CYP). Størstedelen af </w:t>
      </w:r>
      <w:proofErr w:type="spellStart"/>
      <w:r>
        <w:rPr>
          <w:lang w:val="da-DK"/>
        </w:rPr>
        <w:t>omeprazols</w:t>
      </w:r>
      <w:proofErr w:type="spellEnd"/>
      <w:r>
        <w:rPr>
          <w:lang w:val="da-DK"/>
        </w:rPr>
        <w:t xml:space="preserve"> </w:t>
      </w:r>
      <w:proofErr w:type="spellStart"/>
      <w:r>
        <w:rPr>
          <w:lang w:val="da-DK"/>
        </w:rPr>
        <w:t>metabolisering</w:t>
      </w:r>
      <w:proofErr w:type="spellEnd"/>
      <w:r>
        <w:rPr>
          <w:lang w:val="da-DK"/>
        </w:rPr>
        <w:t xml:space="preserve"> er afhængig af det polymorft formulerede CYP2C19, som er ansvarlig for dannelsen af </w:t>
      </w:r>
      <w:proofErr w:type="spellStart"/>
      <w:r>
        <w:rPr>
          <w:lang w:val="da-DK"/>
        </w:rPr>
        <w:t>hydroxyomeprazol</w:t>
      </w:r>
      <w:proofErr w:type="spellEnd"/>
      <w:r>
        <w:rPr>
          <w:lang w:val="da-DK"/>
        </w:rPr>
        <w:t xml:space="preserve">, der er den primære metabolit i plasma. Den resterende del er afhængig af en anden specifik </w:t>
      </w:r>
      <w:proofErr w:type="spellStart"/>
      <w:r>
        <w:rPr>
          <w:lang w:val="da-DK"/>
        </w:rPr>
        <w:t>isoform</w:t>
      </w:r>
      <w:proofErr w:type="spellEnd"/>
      <w:r>
        <w:rPr>
          <w:lang w:val="da-DK"/>
        </w:rPr>
        <w:t xml:space="preserve">, CYP3A4, som er ansvarlig for dannelsen af </w:t>
      </w:r>
      <w:proofErr w:type="spellStart"/>
      <w:r>
        <w:rPr>
          <w:lang w:val="da-DK"/>
        </w:rPr>
        <w:t>omeprazolsulfon</w:t>
      </w:r>
      <w:proofErr w:type="spellEnd"/>
      <w:r>
        <w:rPr>
          <w:lang w:val="da-DK"/>
        </w:rPr>
        <w:t xml:space="preserve">. Som en konsekvens af </w:t>
      </w:r>
      <w:proofErr w:type="spellStart"/>
      <w:r>
        <w:rPr>
          <w:lang w:val="da-DK"/>
        </w:rPr>
        <w:t>omeprazols</w:t>
      </w:r>
      <w:proofErr w:type="spellEnd"/>
      <w:r>
        <w:rPr>
          <w:lang w:val="da-DK"/>
        </w:rPr>
        <w:t xml:space="preserve"> høje affinitet for CYP2C19 er der potentiale for </w:t>
      </w:r>
      <w:proofErr w:type="spellStart"/>
      <w:r>
        <w:rPr>
          <w:lang w:val="da-DK"/>
        </w:rPr>
        <w:t>kompetitiv</w:t>
      </w:r>
      <w:proofErr w:type="spellEnd"/>
      <w:r>
        <w:rPr>
          <w:lang w:val="da-DK"/>
        </w:rPr>
        <w:t xml:space="preserve"> </w:t>
      </w:r>
      <w:proofErr w:type="spellStart"/>
      <w:r>
        <w:rPr>
          <w:lang w:val="da-DK"/>
        </w:rPr>
        <w:t>inhibering</w:t>
      </w:r>
      <w:proofErr w:type="spellEnd"/>
      <w:r>
        <w:rPr>
          <w:lang w:val="da-DK"/>
        </w:rPr>
        <w:t xml:space="preserve"> og </w:t>
      </w:r>
      <w:proofErr w:type="gramStart"/>
      <w:r>
        <w:rPr>
          <w:lang w:val="da-DK"/>
        </w:rPr>
        <w:t>metabolisk</w:t>
      </w:r>
      <w:proofErr w:type="gramEnd"/>
      <w:r>
        <w:rPr>
          <w:lang w:val="da-DK"/>
        </w:rPr>
        <w:t xml:space="preserve"> lægemiddel-lægemiddelinteraktioner med andre substrater for CYP2C19. På grund af den lave affinitet til CYP3A4 har </w:t>
      </w:r>
      <w:proofErr w:type="spellStart"/>
      <w:r>
        <w:rPr>
          <w:lang w:val="da-DK"/>
        </w:rPr>
        <w:t>omeprazol</w:t>
      </w:r>
      <w:proofErr w:type="spellEnd"/>
      <w:r>
        <w:rPr>
          <w:lang w:val="da-DK"/>
        </w:rPr>
        <w:t xml:space="preserve"> dog ikke potentialet til at inhibere metabolismen af andre CYP3A4-substrater. Endvidere mangler </w:t>
      </w:r>
      <w:proofErr w:type="spellStart"/>
      <w:r>
        <w:rPr>
          <w:lang w:val="da-DK"/>
        </w:rPr>
        <w:t>omeprazol</w:t>
      </w:r>
      <w:proofErr w:type="spellEnd"/>
      <w:r>
        <w:rPr>
          <w:lang w:val="da-DK"/>
        </w:rPr>
        <w:t xml:space="preserve"> hæmmende virkning på de vigtigste CYP-enzymer. </w:t>
      </w:r>
    </w:p>
    <w:p w:rsidR="00821DDD" w:rsidRDefault="00821DDD" w:rsidP="00821DDD">
      <w:pPr>
        <w:pStyle w:val="Default"/>
        <w:ind w:left="851" w:right="-40" w:hanging="851"/>
        <w:rPr>
          <w:lang w:val="da-DK"/>
        </w:rPr>
      </w:pPr>
    </w:p>
    <w:p w:rsidR="00821DDD" w:rsidRDefault="00821DDD" w:rsidP="00821DDD">
      <w:pPr>
        <w:pStyle w:val="Default"/>
        <w:ind w:left="851" w:right="-40"/>
        <w:rPr>
          <w:lang w:val="da-DK"/>
        </w:rPr>
      </w:pPr>
      <w:r>
        <w:rPr>
          <w:lang w:val="da-DK"/>
        </w:rPr>
        <w:t>Ca. 3 % af den kaukasiske befolkning og 15-20 % af den asiatiske befolkning mangler et funktionelt CYP2C19-enzym og kaldes ”</w:t>
      </w:r>
      <w:proofErr w:type="spellStart"/>
      <w:r>
        <w:rPr>
          <w:lang w:val="da-DK"/>
        </w:rPr>
        <w:t>poor</w:t>
      </w:r>
      <w:proofErr w:type="spellEnd"/>
      <w:r>
        <w:rPr>
          <w:lang w:val="da-DK"/>
        </w:rPr>
        <w:t xml:space="preserve"> </w:t>
      </w:r>
      <w:proofErr w:type="spellStart"/>
      <w:r>
        <w:rPr>
          <w:lang w:val="da-DK"/>
        </w:rPr>
        <w:t>metabolisers</w:t>
      </w:r>
      <w:proofErr w:type="spellEnd"/>
      <w:r>
        <w:rPr>
          <w:lang w:val="da-DK"/>
        </w:rPr>
        <w:t xml:space="preserve">”. Sandsynligvis er </w:t>
      </w:r>
      <w:proofErr w:type="spellStart"/>
      <w:r>
        <w:rPr>
          <w:lang w:val="da-DK"/>
        </w:rPr>
        <w:t>omeprazols</w:t>
      </w:r>
      <w:proofErr w:type="spellEnd"/>
      <w:r>
        <w:rPr>
          <w:lang w:val="da-DK"/>
        </w:rPr>
        <w:t xml:space="preserve"> </w:t>
      </w:r>
      <w:proofErr w:type="spellStart"/>
      <w:r>
        <w:rPr>
          <w:lang w:val="da-DK"/>
        </w:rPr>
        <w:t>metabolisering</w:t>
      </w:r>
      <w:proofErr w:type="spellEnd"/>
      <w:r>
        <w:rPr>
          <w:lang w:val="da-DK"/>
        </w:rPr>
        <w:t xml:space="preserve"> hos disse personer hovedsageligt katalyseret af CYP3A4. Efter gentagen administration af 20 mg </w:t>
      </w:r>
      <w:proofErr w:type="spellStart"/>
      <w:r>
        <w:rPr>
          <w:lang w:val="da-DK"/>
        </w:rPr>
        <w:t>omeprazol</w:t>
      </w:r>
      <w:proofErr w:type="spellEnd"/>
      <w:r>
        <w:rPr>
          <w:lang w:val="da-DK"/>
        </w:rPr>
        <w:t xml:space="preserve"> en gang dagligt var middel-AUC 5-10 gange højere hos ”</w:t>
      </w:r>
      <w:proofErr w:type="spellStart"/>
      <w:r>
        <w:rPr>
          <w:lang w:val="da-DK"/>
        </w:rPr>
        <w:t>poor</w:t>
      </w:r>
      <w:proofErr w:type="spellEnd"/>
      <w:r>
        <w:rPr>
          <w:lang w:val="da-DK"/>
        </w:rPr>
        <w:t xml:space="preserve"> </w:t>
      </w:r>
      <w:proofErr w:type="spellStart"/>
      <w:r>
        <w:rPr>
          <w:lang w:val="da-DK"/>
        </w:rPr>
        <w:t>metabolisers</w:t>
      </w:r>
      <w:proofErr w:type="spellEnd"/>
      <w:r>
        <w:rPr>
          <w:lang w:val="da-DK"/>
        </w:rPr>
        <w:t>” end hos individer, med et funktionelt CYP2C19-enzym (”</w:t>
      </w:r>
      <w:proofErr w:type="spellStart"/>
      <w:r>
        <w:rPr>
          <w:lang w:val="da-DK"/>
        </w:rPr>
        <w:t>extensive</w:t>
      </w:r>
      <w:proofErr w:type="spellEnd"/>
      <w:r>
        <w:rPr>
          <w:lang w:val="da-DK"/>
        </w:rPr>
        <w:t xml:space="preserve"> </w:t>
      </w:r>
      <w:proofErr w:type="spellStart"/>
      <w:r>
        <w:rPr>
          <w:lang w:val="da-DK"/>
        </w:rPr>
        <w:t>metabolisers</w:t>
      </w:r>
      <w:proofErr w:type="spellEnd"/>
      <w:r>
        <w:rPr>
          <w:lang w:val="da-DK"/>
        </w:rPr>
        <w:t xml:space="preserve">”). De gennemsnitlige peak-plasmakoncentrationer var også 3-5 gange højere. Dette har dog ingen konsekvenser for doseringen af </w:t>
      </w:r>
      <w:proofErr w:type="spellStart"/>
      <w:r>
        <w:rPr>
          <w:lang w:val="da-DK"/>
        </w:rPr>
        <w:t>omeprazol</w:t>
      </w:r>
      <w:proofErr w:type="spellEnd"/>
      <w:r>
        <w:rPr>
          <w:lang w:val="da-DK"/>
        </w:rPr>
        <w:t xml:space="preserve">. </w:t>
      </w:r>
    </w:p>
    <w:p w:rsidR="00821DDD" w:rsidRDefault="00821DDD" w:rsidP="00821DDD">
      <w:pPr>
        <w:pStyle w:val="Default"/>
        <w:ind w:left="851" w:right="-40" w:hanging="851"/>
        <w:rPr>
          <w:u w:val="single"/>
          <w:lang w:val="da-DK"/>
        </w:rPr>
      </w:pPr>
    </w:p>
    <w:p w:rsidR="00821DDD" w:rsidRDefault="00821DDD" w:rsidP="00821DDD">
      <w:pPr>
        <w:pStyle w:val="Default"/>
        <w:ind w:left="851" w:right="-40"/>
        <w:rPr>
          <w:lang w:val="da-DK"/>
        </w:rPr>
      </w:pPr>
      <w:r>
        <w:rPr>
          <w:u w:val="single"/>
          <w:lang w:val="da-DK"/>
        </w:rPr>
        <w:t xml:space="preserve">Elimination </w:t>
      </w:r>
    </w:p>
    <w:p w:rsidR="00821DDD" w:rsidRDefault="00821DDD" w:rsidP="00821DDD">
      <w:pPr>
        <w:pStyle w:val="Default"/>
        <w:ind w:left="851" w:right="-40"/>
        <w:rPr>
          <w:lang w:val="da-DK"/>
        </w:rPr>
      </w:pPr>
      <w:r>
        <w:rPr>
          <w:lang w:val="da-DK"/>
        </w:rPr>
        <w:t xml:space="preserve">Halveringstiden for </w:t>
      </w:r>
      <w:proofErr w:type="spellStart"/>
      <w:r>
        <w:rPr>
          <w:lang w:val="da-DK"/>
        </w:rPr>
        <w:t>omeprazols</w:t>
      </w:r>
      <w:proofErr w:type="spellEnd"/>
      <w:r>
        <w:rPr>
          <w:lang w:val="da-DK"/>
        </w:rPr>
        <w:t xml:space="preserve"> elimination fra plasma er som regel under 1 time, både efter enkelt og gentagen oral dosering en gang dagligt. </w:t>
      </w:r>
      <w:proofErr w:type="spellStart"/>
      <w:r>
        <w:rPr>
          <w:lang w:val="da-DK"/>
        </w:rPr>
        <w:t>Omeprazol</w:t>
      </w:r>
      <w:proofErr w:type="spellEnd"/>
      <w:r>
        <w:rPr>
          <w:lang w:val="da-DK"/>
        </w:rPr>
        <w:t xml:space="preserve"> elimineres fuldstændigt fra plasma mellem doserne uden tendens til akkumulering ved administration en gang dagligt. Næsten 80 % af en </w:t>
      </w:r>
      <w:proofErr w:type="spellStart"/>
      <w:r>
        <w:rPr>
          <w:lang w:val="da-DK"/>
        </w:rPr>
        <w:t>omeprazoldosis</w:t>
      </w:r>
      <w:proofErr w:type="spellEnd"/>
      <w:r>
        <w:rPr>
          <w:lang w:val="da-DK"/>
        </w:rPr>
        <w:t xml:space="preserve"> udskilles som metabolitter i urinen, den resterende del, som primært stammer fra galdesekretion, i fæces. </w:t>
      </w:r>
    </w:p>
    <w:p w:rsidR="00821DDD" w:rsidRDefault="00821DDD" w:rsidP="00821DDD">
      <w:pPr>
        <w:pStyle w:val="Default"/>
        <w:ind w:left="851" w:right="-40" w:hanging="851"/>
        <w:rPr>
          <w:lang w:val="da-DK"/>
        </w:rPr>
      </w:pPr>
    </w:p>
    <w:p w:rsidR="00821DDD" w:rsidRDefault="00821DDD" w:rsidP="00821DDD">
      <w:pPr>
        <w:pStyle w:val="Default"/>
        <w:ind w:left="851" w:right="-40"/>
        <w:rPr>
          <w:u w:val="single"/>
          <w:lang w:val="da-DK"/>
        </w:rPr>
      </w:pPr>
      <w:r>
        <w:rPr>
          <w:u w:val="single"/>
          <w:lang w:val="da-DK"/>
        </w:rPr>
        <w:t>Linearitet/non-linearitet</w:t>
      </w:r>
    </w:p>
    <w:p w:rsidR="00821DDD" w:rsidRDefault="00821DDD" w:rsidP="00821DDD">
      <w:pPr>
        <w:pStyle w:val="Default"/>
        <w:ind w:left="851" w:right="-40"/>
        <w:rPr>
          <w:lang w:val="da-DK"/>
        </w:rPr>
      </w:pPr>
      <w:r>
        <w:rPr>
          <w:lang w:val="da-DK"/>
        </w:rPr>
        <w:t xml:space="preserve">AUC øges ved gentagen administration af </w:t>
      </w:r>
      <w:proofErr w:type="spellStart"/>
      <w:r>
        <w:rPr>
          <w:lang w:val="da-DK"/>
        </w:rPr>
        <w:t>omeprazol</w:t>
      </w:r>
      <w:proofErr w:type="spellEnd"/>
      <w:r>
        <w:rPr>
          <w:lang w:val="da-DK"/>
        </w:rPr>
        <w:t xml:space="preserve">. Denne øgning er dosisafhængig og resulterer i et ikke-lineært dosis-AUC-forhold efter gentagen administration. Denne tids- og dosisafhængighed skyldes et fald i </w:t>
      </w:r>
      <w:proofErr w:type="spellStart"/>
      <w:r>
        <w:rPr>
          <w:lang w:val="da-DK"/>
        </w:rPr>
        <w:t>first</w:t>
      </w:r>
      <w:proofErr w:type="spellEnd"/>
      <w:r>
        <w:rPr>
          <w:lang w:val="da-DK"/>
        </w:rPr>
        <w:t xml:space="preserve"> </w:t>
      </w:r>
      <w:proofErr w:type="spellStart"/>
      <w:r>
        <w:rPr>
          <w:lang w:val="da-DK"/>
        </w:rPr>
        <w:t>pass</w:t>
      </w:r>
      <w:proofErr w:type="spellEnd"/>
      <w:r>
        <w:rPr>
          <w:lang w:val="da-DK"/>
        </w:rPr>
        <w:t xml:space="preserve">-metabolismen og systemisk </w:t>
      </w:r>
      <w:proofErr w:type="spellStart"/>
      <w:r>
        <w:rPr>
          <w:lang w:val="da-DK"/>
        </w:rPr>
        <w:t>clearance</w:t>
      </w:r>
      <w:proofErr w:type="spellEnd"/>
      <w:r>
        <w:rPr>
          <w:lang w:val="da-DK"/>
        </w:rPr>
        <w:t xml:space="preserve">, som sandsynligvis skyldes </w:t>
      </w:r>
      <w:proofErr w:type="spellStart"/>
      <w:r>
        <w:rPr>
          <w:lang w:val="da-DK"/>
        </w:rPr>
        <w:t>omeprazols</w:t>
      </w:r>
      <w:proofErr w:type="spellEnd"/>
      <w:r>
        <w:rPr>
          <w:lang w:val="da-DK"/>
        </w:rPr>
        <w:t xml:space="preserve"> og/eller dets metabolitters (f.eks. sulfonets) hæmning af CYP2C19-enzymet. </w:t>
      </w:r>
    </w:p>
    <w:p w:rsidR="00821DDD" w:rsidRDefault="00821DDD" w:rsidP="00821DDD">
      <w:pPr>
        <w:pStyle w:val="Default"/>
        <w:ind w:left="851"/>
        <w:rPr>
          <w:lang w:val="da-DK"/>
        </w:rPr>
      </w:pPr>
      <w:r>
        <w:rPr>
          <w:lang w:val="da-DK"/>
        </w:rPr>
        <w:t>Der er ikke fundet metabolitter med effekt på den gastriske syresekretion.</w:t>
      </w:r>
    </w:p>
    <w:p w:rsidR="00821DDD" w:rsidRDefault="00821DDD" w:rsidP="00821DDD">
      <w:pPr>
        <w:pStyle w:val="Default"/>
        <w:ind w:left="851" w:hanging="851"/>
        <w:rPr>
          <w:color w:val="auto"/>
          <w:lang w:val="da-DK"/>
        </w:rPr>
      </w:pPr>
    </w:p>
    <w:p w:rsidR="00821DDD" w:rsidRDefault="00821DDD" w:rsidP="00821DDD">
      <w:pPr>
        <w:pStyle w:val="Default"/>
        <w:ind w:left="851"/>
        <w:rPr>
          <w:color w:val="auto"/>
          <w:lang w:val="da-DK"/>
        </w:rPr>
      </w:pPr>
      <w:r>
        <w:rPr>
          <w:color w:val="auto"/>
          <w:u w:val="single"/>
          <w:lang w:val="da-DK"/>
        </w:rPr>
        <w:t xml:space="preserve">Særlige patientgrupper </w:t>
      </w:r>
    </w:p>
    <w:p w:rsidR="00821DDD" w:rsidRDefault="00821DDD" w:rsidP="00821DDD">
      <w:pPr>
        <w:pStyle w:val="Default"/>
        <w:ind w:left="851"/>
        <w:rPr>
          <w:i/>
          <w:color w:val="auto"/>
          <w:lang w:val="da-DK"/>
        </w:rPr>
      </w:pPr>
      <w:r>
        <w:rPr>
          <w:i/>
          <w:color w:val="auto"/>
          <w:lang w:val="da-DK"/>
        </w:rPr>
        <w:t xml:space="preserve">Nedsat leverfunktion </w:t>
      </w:r>
    </w:p>
    <w:p w:rsidR="00821DDD" w:rsidRDefault="00821DDD" w:rsidP="00821DDD">
      <w:pPr>
        <w:pStyle w:val="Default"/>
        <w:ind w:left="851" w:right="-40"/>
        <w:rPr>
          <w:color w:val="auto"/>
          <w:lang w:val="da-DK"/>
        </w:rPr>
      </w:pPr>
      <w:proofErr w:type="spellStart"/>
      <w:r>
        <w:rPr>
          <w:color w:val="auto"/>
          <w:lang w:val="da-DK"/>
        </w:rPr>
        <w:t>Omeprazols</w:t>
      </w:r>
      <w:proofErr w:type="spellEnd"/>
      <w:r>
        <w:rPr>
          <w:color w:val="auto"/>
          <w:lang w:val="da-DK"/>
        </w:rPr>
        <w:t xml:space="preserve"> metabolisme er nedsat hos patienter med nedsat leverfunktion, hvilket resulterer i et øget AUC. </w:t>
      </w:r>
      <w:proofErr w:type="spellStart"/>
      <w:r>
        <w:rPr>
          <w:color w:val="auto"/>
          <w:lang w:val="da-DK"/>
        </w:rPr>
        <w:t>Omeprazol</w:t>
      </w:r>
      <w:proofErr w:type="spellEnd"/>
      <w:r>
        <w:rPr>
          <w:color w:val="auto"/>
          <w:lang w:val="da-DK"/>
        </w:rPr>
        <w:t xml:space="preserve"> viser ingen tendens til akkumulering ved dosering en gang dagligt. </w:t>
      </w:r>
    </w:p>
    <w:p w:rsidR="00821DDD" w:rsidRDefault="00821DDD" w:rsidP="00821DDD">
      <w:pPr>
        <w:pStyle w:val="Default"/>
        <w:ind w:left="851" w:hanging="851"/>
        <w:rPr>
          <w:color w:val="auto"/>
          <w:lang w:val="da-DK"/>
        </w:rPr>
      </w:pPr>
    </w:p>
    <w:p w:rsidR="00527D5D" w:rsidRDefault="00527D5D" w:rsidP="00821DDD">
      <w:pPr>
        <w:pStyle w:val="Default"/>
        <w:ind w:left="851" w:hanging="851"/>
        <w:rPr>
          <w:color w:val="auto"/>
          <w:lang w:val="da-DK"/>
        </w:rPr>
      </w:pPr>
    </w:p>
    <w:p w:rsidR="00527D5D" w:rsidRDefault="00527D5D" w:rsidP="00821DDD">
      <w:pPr>
        <w:pStyle w:val="Default"/>
        <w:ind w:left="851" w:hanging="851"/>
        <w:rPr>
          <w:color w:val="auto"/>
          <w:lang w:val="da-DK"/>
        </w:rPr>
      </w:pPr>
    </w:p>
    <w:p w:rsidR="00821DDD" w:rsidRDefault="00821DDD" w:rsidP="00821DDD">
      <w:pPr>
        <w:pStyle w:val="Default"/>
        <w:ind w:left="851"/>
        <w:rPr>
          <w:i/>
          <w:color w:val="auto"/>
          <w:lang w:val="da-DK"/>
        </w:rPr>
      </w:pPr>
      <w:r>
        <w:rPr>
          <w:i/>
          <w:color w:val="auto"/>
          <w:lang w:val="da-DK"/>
        </w:rPr>
        <w:lastRenderedPageBreak/>
        <w:t xml:space="preserve">Nedsat nyrefunktion </w:t>
      </w:r>
    </w:p>
    <w:p w:rsidR="00821DDD" w:rsidRDefault="00821DDD" w:rsidP="00821DDD">
      <w:pPr>
        <w:pStyle w:val="Default"/>
        <w:ind w:left="851"/>
        <w:rPr>
          <w:color w:val="auto"/>
          <w:lang w:val="da-DK"/>
        </w:rPr>
      </w:pPr>
      <w:proofErr w:type="spellStart"/>
      <w:r>
        <w:rPr>
          <w:color w:val="auto"/>
          <w:lang w:val="da-DK"/>
        </w:rPr>
        <w:t>Omeprazols</w:t>
      </w:r>
      <w:proofErr w:type="spellEnd"/>
      <w:r>
        <w:rPr>
          <w:color w:val="auto"/>
          <w:lang w:val="da-DK"/>
        </w:rPr>
        <w:t xml:space="preserve"> farmakokinetik inklusive systemiske biotilgængelighed og eliminationshastighed, er uændret hos patienter med nedsat nyrefunktion. </w:t>
      </w:r>
    </w:p>
    <w:p w:rsidR="00821DDD" w:rsidRDefault="00821DDD" w:rsidP="00821DDD">
      <w:pPr>
        <w:pStyle w:val="Default"/>
        <w:ind w:left="851" w:hanging="851"/>
        <w:rPr>
          <w:color w:val="auto"/>
          <w:lang w:val="da-DK"/>
        </w:rPr>
      </w:pPr>
    </w:p>
    <w:p w:rsidR="00821DDD" w:rsidRDefault="00821DDD" w:rsidP="00821DDD">
      <w:pPr>
        <w:pStyle w:val="Default"/>
        <w:ind w:left="851"/>
        <w:rPr>
          <w:color w:val="auto"/>
          <w:lang w:val="da-DK"/>
        </w:rPr>
      </w:pPr>
      <w:r>
        <w:rPr>
          <w:i/>
          <w:color w:val="auto"/>
          <w:lang w:val="da-DK"/>
        </w:rPr>
        <w:t>Ældre</w:t>
      </w:r>
      <w:r>
        <w:rPr>
          <w:color w:val="auto"/>
          <w:lang w:val="da-DK"/>
        </w:rPr>
        <w:t xml:space="preserve"> </w:t>
      </w:r>
    </w:p>
    <w:p w:rsidR="00821DDD" w:rsidRDefault="00821DDD" w:rsidP="00821DDD">
      <w:pPr>
        <w:pStyle w:val="Default"/>
        <w:ind w:left="851"/>
        <w:rPr>
          <w:color w:val="auto"/>
          <w:lang w:val="da-DK"/>
        </w:rPr>
      </w:pPr>
      <w:proofErr w:type="spellStart"/>
      <w:r>
        <w:rPr>
          <w:color w:val="auto"/>
          <w:lang w:val="da-DK"/>
        </w:rPr>
        <w:t>Omeprazols</w:t>
      </w:r>
      <w:proofErr w:type="spellEnd"/>
      <w:r>
        <w:rPr>
          <w:color w:val="auto"/>
          <w:lang w:val="da-DK"/>
        </w:rPr>
        <w:t xml:space="preserve"> metabolisme er noget nedsat hos ældre personer (75-79 år). </w:t>
      </w:r>
    </w:p>
    <w:p w:rsidR="00821DDD" w:rsidRPr="00774AEF" w:rsidRDefault="00821DDD" w:rsidP="00821DDD">
      <w:pPr>
        <w:pStyle w:val="Default"/>
        <w:ind w:left="851" w:hanging="851"/>
        <w:rPr>
          <w:color w:val="auto"/>
          <w:lang w:val="da-DK"/>
        </w:rPr>
      </w:pPr>
    </w:p>
    <w:p w:rsidR="00821DDD" w:rsidRPr="00774AEF" w:rsidRDefault="00754C35" w:rsidP="00821DDD">
      <w:pPr>
        <w:keepNext/>
        <w:numPr>
          <w:ilvl w:val="1"/>
          <w:numId w:val="4"/>
        </w:numPr>
        <w:tabs>
          <w:tab w:val="clear" w:pos="855"/>
        </w:tabs>
        <w:ind w:left="851" w:hanging="851"/>
        <w:rPr>
          <w:b/>
          <w:sz w:val="24"/>
          <w:szCs w:val="24"/>
        </w:rPr>
      </w:pPr>
      <w:r>
        <w:rPr>
          <w:b/>
          <w:sz w:val="24"/>
          <w:szCs w:val="24"/>
        </w:rPr>
        <w:t>Non-</w:t>
      </w:r>
      <w:r w:rsidR="00821DDD" w:rsidRPr="00774AEF">
        <w:rPr>
          <w:b/>
          <w:sz w:val="24"/>
          <w:szCs w:val="24"/>
        </w:rPr>
        <w:t>kliniske sikkerhedsdata</w:t>
      </w:r>
    </w:p>
    <w:p w:rsidR="00821DDD" w:rsidRDefault="00821DDD" w:rsidP="00821DDD">
      <w:pPr>
        <w:pStyle w:val="Default"/>
        <w:ind w:left="851" w:hanging="851"/>
        <w:rPr>
          <w:lang w:val="da-DK"/>
        </w:rPr>
      </w:pPr>
      <w:r w:rsidRPr="00E137E3">
        <w:rPr>
          <w:lang w:val="da-DK"/>
        </w:rPr>
        <w:tab/>
      </w:r>
      <w:r>
        <w:rPr>
          <w:lang w:val="da-DK"/>
        </w:rPr>
        <w:t>Gastrisk ECL-celle-</w:t>
      </w:r>
      <w:proofErr w:type="spellStart"/>
      <w:r>
        <w:rPr>
          <w:lang w:val="da-DK"/>
        </w:rPr>
        <w:t>hyperplasi</w:t>
      </w:r>
      <w:proofErr w:type="spellEnd"/>
      <w:r>
        <w:rPr>
          <w:lang w:val="da-DK"/>
        </w:rPr>
        <w:t xml:space="preserve"> og </w:t>
      </w:r>
      <w:proofErr w:type="spellStart"/>
      <w:r>
        <w:rPr>
          <w:lang w:val="da-DK"/>
        </w:rPr>
        <w:t>karcinoider</w:t>
      </w:r>
      <w:proofErr w:type="spellEnd"/>
      <w:r>
        <w:rPr>
          <w:lang w:val="da-DK"/>
        </w:rPr>
        <w:t xml:space="preserve"> er observeret i livslange studier hos rotter behandlet med </w:t>
      </w:r>
      <w:proofErr w:type="spellStart"/>
      <w:r>
        <w:rPr>
          <w:lang w:val="da-DK"/>
        </w:rPr>
        <w:t>omeprazol</w:t>
      </w:r>
      <w:proofErr w:type="spellEnd"/>
      <w:r w:rsidRPr="00774AEF">
        <w:rPr>
          <w:lang w:val="da-DK"/>
        </w:rPr>
        <w:t xml:space="preserve">. Disse </w:t>
      </w:r>
      <w:r>
        <w:rPr>
          <w:lang w:val="da-DK"/>
        </w:rPr>
        <w:t>forandringer</w:t>
      </w:r>
      <w:r w:rsidRPr="00774AEF">
        <w:rPr>
          <w:lang w:val="da-DK"/>
        </w:rPr>
        <w:t xml:space="preserve"> er </w:t>
      </w:r>
      <w:r>
        <w:rPr>
          <w:lang w:val="da-DK"/>
        </w:rPr>
        <w:t xml:space="preserve">et </w:t>
      </w:r>
      <w:r w:rsidRPr="00774AEF">
        <w:rPr>
          <w:lang w:val="da-DK"/>
        </w:rPr>
        <w:t xml:space="preserve">resultat af </w:t>
      </w:r>
      <w:r>
        <w:rPr>
          <w:lang w:val="da-DK"/>
        </w:rPr>
        <w:t>langvarig</w:t>
      </w:r>
      <w:r w:rsidRPr="00774AEF">
        <w:rPr>
          <w:lang w:val="da-DK"/>
        </w:rPr>
        <w:t xml:space="preserve"> </w:t>
      </w:r>
      <w:proofErr w:type="spellStart"/>
      <w:r w:rsidRPr="00774AEF">
        <w:rPr>
          <w:lang w:val="da-DK"/>
        </w:rPr>
        <w:t>hypergastrinæmi</w:t>
      </w:r>
      <w:proofErr w:type="spellEnd"/>
      <w:r>
        <w:rPr>
          <w:lang w:val="da-DK"/>
        </w:rPr>
        <w:t>, der er</w:t>
      </w:r>
      <w:r w:rsidRPr="00774AEF">
        <w:rPr>
          <w:lang w:val="da-DK"/>
        </w:rPr>
        <w:t xml:space="preserve"> sekundær til syrehæmning. </w:t>
      </w:r>
      <w:r>
        <w:rPr>
          <w:lang w:val="da-DK"/>
        </w:rPr>
        <w:t>Tilsvarende forandringer er fundet</w:t>
      </w:r>
      <w:r w:rsidRPr="00774AEF">
        <w:rPr>
          <w:lang w:val="da-DK"/>
        </w:rPr>
        <w:t xml:space="preserve"> efter behandling med H</w:t>
      </w:r>
      <w:r w:rsidRPr="00112AA0">
        <w:rPr>
          <w:vertAlign w:val="subscript"/>
          <w:lang w:val="da-DK"/>
        </w:rPr>
        <w:t>2</w:t>
      </w:r>
      <w:r w:rsidRPr="00774AEF">
        <w:rPr>
          <w:lang w:val="da-DK"/>
        </w:rPr>
        <w:t xml:space="preserve">-receptorantagonister, </w:t>
      </w:r>
      <w:proofErr w:type="spellStart"/>
      <w:r w:rsidRPr="00774AEF">
        <w:rPr>
          <w:lang w:val="da-DK"/>
        </w:rPr>
        <w:t>protonpumpehæmmere</w:t>
      </w:r>
      <w:proofErr w:type="spellEnd"/>
      <w:r w:rsidRPr="00774AEF">
        <w:rPr>
          <w:lang w:val="da-DK"/>
        </w:rPr>
        <w:t xml:space="preserve"> og efter </w:t>
      </w:r>
      <w:r>
        <w:rPr>
          <w:lang w:val="da-DK"/>
        </w:rPr>
        <w:t>gastrisk</w:t>
      </w:r>
      <w:r w:rsidRPr="00774AEF">
        <w:rPr>
          <w:lang w:val="da-DK"/>
        </w:rPr>
        <w:t xml:space="preserve"> </w:t>
      </w:r>
      <w:proofErr w:type="spellStart"/>
      <w:r w:rsidRPr="00774AEF">
        <w:rPr>
          <w:lang w:val="da-DK"/>
        </w:rPr>
        <w:t>fundektomi</w:t>
      </w:r>
      <w:proofErr w:type="spellEnd"/>
      <w:r w:rsidRPr="00774AEF">
        <w:rPr>
          <w:lang w:val="da-DK"/>
        </w:rPr>
        <w:t xml:space="preserve">. Disse ændringer </w:t>
      </w:r>
      <w:r>
        <w:rPr>
          <w:lang w:val="da-DK"/>
        </w:rPr>
        <w:t>er derfor</w:t>
      </w:r>
      <w:r w:rsidRPr="00774AEF">
        <w:rPr>
          <w:lang w:val="da-DK"/>
        </w:rPr>
        <w:t xml:space="preserve"> ikke en direkte </w:t>
      </w:r>
      <w:r>
        <w:rPr>
          <w:lang w:val="da-DK"/>
        </w:rPr>
        <w:t>effekt</w:t>
      </w:r>
      <w:r w:rsidRPr="00774AEF">
        <w:rPr>
          <w:lang w:val="da-DK"/>
        </w:rPr>
        <w:t xml:space="preserve"> af </w:t>
      </w:r>
      <w:r>
        <w:rPr>
          <w:lang w:val="da-DK"/>
        </w:rPr>
        <w:t>et enkelt lægemiddel.</w:t>
      </w:r>
    </w:p>
    <w:p w:rsidR="00821DDD" w:rsidRDefault="00821DDD" w:rsidP="00821DDD">
      <w:pPr>
        <w:pStyle w:val="Default"/>
        <w:ind w:left="851" w:hanging="851"/>
        <w:rPr>
          <w:lang w:val="da-DK"/>
        </w:rPr>
      </w:pPr>
    </w:p>
    <w:p w:rsidR="00821DDD" w:rsidRPr="00774AEF" w:rsidRDefault="00821DDD" w:rsidP="00821DDD">
      <w:pPr>
        <w:pStyle w:val="Default"/>
        <w:ind w:left="851" w:hanging="851"/>
        <w:rPr>
          <w:lang w:val="da-DK"/>
        </w:rPr>
      </w:pPr>
    </w:p>
    <w:p w:rsidR="00821DDD" w:rsidRPr="00774AEF" w:rsidRDefault="00821DDD" w:rsidP="00821DDD">
      <w:pPr>
        <w:numPr>
          <w:ilvl w:val="0"/>
          <w:numId w:val="3"/>
        </w:numPr>
        <w:tabs>
          <w:tab w:val="clear" w:pos="855"/>
        </w:tabs>
        <w:ind w:left="851" w:hanging="851"/>
        <w:rPr>
          <w:b/>
          <w:sz w:val="24"/>
          <w:szCs w:val="24"/>
        </w:rPr>
      </w:pPr>
      <w:r w:rsidRPr="00774AEF">
        <w:rPr>
          <w:b/>
          <w:sz w:val="24"/>
          <w:szCs w:val="24"/>
        </w:rPr>
        <w:t>FARMACEUTISKE OPLYSNINGER</w:t>
      </w:r>
    </w:p>
    <w:p w:rsidR="00821DDD" w:rsidRPr="00774AEF" w:rsidRDefault="00821DDD" w:rsidP="00821DDD">
      <w:pPr>
        <w:ind w:left="851" w:hanging="851"/>
        <w:rPr>
          <w:b/>
          <w:sz w:val="24"/>
          <w:szCs w:val="24"/>
        </w:rPr>
      </w:pPr>
    </w:p>
    <w:p w:rsidR="00821DDD" w:rsidRPr="00774AEF" w:rsidRDefault="00821DDD" w:rsidP="00821DDD">
      <w:pPr>
        <w:numPr>
          <w:ilvl w:val="1"/>
          <w:numId w:val="5"/>
        </w:numPr>
        <w:tabs>
          <w:tab w:val="clear" w:pos="855"/>
        </w:tabs>
        <w:ind w:left="851" w:hanging="851"/>
        <w:rPr>
          <w:b/>
          <w:sz w:val="24"/>
          <w:szCs w:val="24"/>
        </w:rPr>
      </w:pPr>
      <w:r w:rsidRPr="00774AEF">
        <w:rPr>
          <w:b/>
          <w:sz w:val="24"/>
          <w:szCs w:val="24"/>
        </w:rPr>
        <w:t>Hjælpestoffer</w:t>
      </w:r>
    </w:p>
    <w:p w:rsidR="00821DDD" w:rsidRPr="00774AEF" w:rsidRDefault="00821DDD" w:rsidP="00821DDD">
      <w:pPr>
        <w:ind w:left="851"/>
        <w:rPr>
          <w:sz w:val="24"/>
          <w:szCs w:val="24"/>
          <w:u w:val="single"/>
        </w:rPr>
      </w:pPr>
      <w:r w:rsidRPr="00774AEF">
        <w:rPr>
          <w:sz w:val="24"/>
          <w:szCs w:val="24"/>
          <w:u w:val="single"/>
        </w:rPr>
        <w:t>Kapslens indhold:</w:t>
      </w:r>
    </w:p>
    <w:p w:rsidR="00821DDD" w:rsidRPr="00774AEF" w:rsidRDefault="00821DDD" w:rsidP="00821DDD">
      <w:pPr>
        <w:ind w:left="851"/>
        <w:rPr>
          <w:sz w:val="24"/>
          <w:szCs w:val="24"/>
        </w:rPr>
      </w:pPr>
      <w:r w:rsidRPr="00774AEF">
        <w:rPr>
          <w:sz w:val="24"/>
          <w:szCs w:val="24"/>
        </w:rPr>
        <w:t xml:space="preserve">Sukkerkugler (bestående af majsstivelse og </w:t>
      </w:r>
      <w:proofErr w:type="spellStart"/>
      <w:r w:rsidRPr="00774AEF">
        <w:rPr>
          <w:sz w:val="24"/>
          <w:szCs w:val="24"/>
        </w:rPr>
        <w:t>saccharose</w:t>
      </w:r>
      <w:proofErr w:type="spellEnd"/>
      <w:r w:rsidRPr="00774AEF">
        <w:rPr>
          <w:sz w:val="24"/>
          <w:szCs w:val="24"/>
        </w:rPr>
        <w:t>)</w:t>
      </w:r>
    </w:p>
    <w:p w:rsidR="00821DDD" w:rsidRPr="001E7A7A" w:rsidRDefault="00821DDD" w:rsidP="00821DDD">
      <w:pPr>
        <w:ind w:left="851"/>
        <w:rPr>
          <w:sz w:val="24"/>
          <w:szCs w:val="24"/>
          <w:lang w:val="en-US"/>
        </w:rPr>
      </w:pPr>
      <w:proofErr w:type="spellStart"/>
      <w:r w:rsidRPr="001E7A7A">
        <w:rPr>
          <w:sz w:val="24"/>
          <w:szCs w:val="24"/>
          <w:lang w:val="en-US"/>
        </w:rPr>
        <w:t>Natriumlaurilsulfat</w:t>
      </w:r>
      <w:proofErr w:type="spellEnd"/>
    </w:p>
    <w:p w:rsidR="00821DDD" w:rsidRPr="001E7A7A" w:rsidRDefault="00821DDD" w:rsidP="00821DDD">
      <w:pPr>
        <w:ind w:left="851"/>
        <w:rPr>
          <w:sz w:val="24"/>
          <w:szCs w:val="24"/>
          <w:lang w:val="en-US"/>
        </w:rPr>
      </w:pPr>
      <w:proofErr w:type="spellStart"/>
      <w:r w:rsidRPr="001E7A7A">
        <w:rPr>
          <w:sz w:val="24"/>
          <w:szCs w:val="24"/>
          <w:lang w:val="en-US"/>
        </w:rPr>
        <w:t>Dinatriumphosphat</w:t>
      </w:r>
      <w:proofErr w:type="spellEnd"/>
      <w:r w:rsidRPr="001E7A7A">
        <w:rPr>
          <w:sz w:val="24"/>
          <w:szCs w:val="24"/>
          <w:lang w:val="en-US"/>
        </w:rPr>
        <w:t xml:space="preserve"> </w:t>
      </w:r>
    </w:p>
    <w:p w:rsidR="00821DDD" w:rsidRPr="001E7A7A" w:rsidRDefault="00821DDD" w:rsidP="00821DDD">
      <w:pPr>
        <w:ind w:left="851"/>
        <w:rPr>
          <w:sz w:val="24"/>
          <w:szCs w:val="24"/>
          <w:lang w:val="en-US"/>
        </w:rPr>
      </w:pPr>
      <w:r w:rsidRPr="001E7A7A">
        <w:rPr>
          <w:sz w:val="24"/>
          <w:szCs w:val="24"/>
          <w:lang w:val="en-US"/>
        </w:rPr>
        <w:t xml:space="preserve">Mannitol </w:t>
      </w:r>
    </w:p>
    <w:p w:rsidR="00821DDD" w:rsidRPr="001E7A7A" w:rsidRDefault="00821DDD" w:rsidP="00821DDD">
      <w:pPr>
        <w:ind w:left="851"/>
        <w:rPr>
          <w:sz w:val="24"/>
          <w:szCs w:val="24"/>
          <w:lang w:val="en-US"/>
        </w:rPr>
      </w:pPr>
      <w:r w:rsidRPr="001E7A7A">
        <w:rPr>
          <w:sz w:val="24"/>
          <w:szCs w:val="24"/>
          <w:lang w:val="en-US"/>
        </w:rPr>
        <w:t xml:space="preserve">Hypromellose 6 </w:t>
      </w:r>
      <w:proofErr w:type="spellStart"/>
      <w:r w:rsidRPr="001E7A7A">
        <w:rPr>
          <w:sz w:val="24"/>
          <w:szCs w:val="24"/>
          <w:lang w:val="en-US"/>
        </w:rPr>
        <w:t>cP</w:t>
      </w:r>
      <w:proofErr w:type="spellEnd"/>
    </w:p>
    <w:p w:rsidR="00821DDD" w:rsidRPr="001E7A7A" w:rsidRDefault="00821DDD" w:rsidP="00821DDD">
      <w:pPr>
        <w:ind w:left="851"/>
        <w:rPr>
          <w:sz w:val="24"/>
          <w:szCs w:val="24"/>
          <w:lang w:val="en-US"/>
        </w:rPr>
      </w:pPr>
      <w:r w:rsidRPr="001E7A7A">
        <w:rPr>
          <w:sz w:val="24"/>
          <w:szCs w:val="24"/>
          <w:lang w:val="en-US"/>
        </w:rPr>
        <w:t>Macrogol 6000</w:t>
      </w:r>
    </w:p>
    <w:p w:rsidR="00821DDD" w:rsidRPr="001E7A7A" w:rsidRDefault="00821DDD" w:rsidP="00821DDD">
      <w:pPr>
        <w:ind w:left="851"/>
        <w:rPr>
          <w:sz w:val="24"/>
          <w:szCs w:val="24"/>
          <w:lang w:val="en-US"/>
        </w:rPr>
      </w:pPr>
      <w:r w:rsidRPr="001E7A7A">
        <w:rPr>
          <w:sz w:val="24"/>
          <w:szCs w:val="24"/>
          <w:lang w:val="en-US"/>
        </w:rPr>
        <w:t xml:space="preserve">Talcum </w:t>
      </w:r>
    </w:p>
    <w:p w:rsidR="00821DDD" w:rsidRPr="001E7A7A" w:rsidRDefault="00821DDD" w:rsidP="00821DDD">
      <w:pPr>
        <w:ind w:left="851"/>
        <w:rPr>
          <w:sz w:val="24"/>
          <w:szCs w:val="24"/>
          <w:lang w:val="en-US"/>
        </w:rPr>
      </w:pPr>
      <w:proofErr w:type="spellStart"/>
      <w:r w:rsidRPr="001E7A7A">
        <w:rPr>
          <w:sz w:val="24"/>
          <w:szCs w:val="24"/>
          <w:lang w:val="en-US"/>
        </w:rPr>
        <w:t>Polysorbat</w:t>
      </w:r>
      <w:proofErr w:type="spellEnd"/>
      <w:r w:rsidRPr="001E7A7A">
        <w:rPr>
          <w:sz w:val="24"/>
          <w:szCs w:val="24"/>
          <w:lang w:val="en-US"/>
        </w:rPr>
        <w:t xml:space="preserve"> 80 </w:t>
      </w:r>
    </w:p>
    <w:p w:rsidR="00821DDD" w:rsidRPr="001E7A7A" w:rsidRDefault="00821DDD" w:rsidP="00821DDD">
      <w:pPr>
        <w:ind w:left="851"/>
        <w:rPr>
          <w:sz w:val="24"/>
          <w:szCs w:val="24"/>
          <w:lang w:val="en-US"/>
        </w:rPr>
      </w:pPr>
      <w:proofErr w:type="spellStart"/>
      <w:r w:rsidRPr="001E7A7A">
        <w:rPr>
          <w:sz w:val="24"/>
          <w:szCs w:val="24"/>
          <w:lang w:val="en-US"/>
        </w:rPr>
        <w:t>Titandioxid</w:t>
      </w:r>
      <w:proofErr w:type="spellEnd"/>
      <w:r w:rsidRPr="001E7A7A">
        <w:rPr>
          <w:sz w:val="24"/>
          <w:szCs w:val="24"/>
          <w:lang w:val="en-US"/>
        </w:rPr>
        <w:t xml:space="preserve"> (E 171)</w:t>
      </w:r>
    </w:p>
    <w:p w:rsidR="00821DDD" w:rsidRPr="001E7A7A" w:rsidRDefault="00821DDD" w:rsidP="00821DDD">
      <w:pPr>
        <w:ind w:left="851"/>
        <w:rPr>
          <w:sz w:val="24"/>
          <w:szCs w:val="24"/>
          <w:lang w:val="en-US"/>
        </w:rPr>
      </w:pPr>
      <w:bookmarkStart w:id="1" w:name="OLE_LINK4"/>
      <w:bookmarkStart w:id="2" w:name="OLE_LINK3"/>
      <w:proofErr w:type="spellStart"/>
      <w:r w:rsidRPr="001E7A7A">
        <w:rPr>
          <w:sz w:val="24"/>
          <w:szCs w:val="24"/>
          <w:lang w:val="en-US"/>
        </w:rPr>
        <w:t>Methacrylsyre-ethylacrylat</w:t>
      </w:r>
      <w:proofErr w:type="spellEnd"/>
      <w:r w:rsidRPr="001E7A7A">
        <w:rPr>
          <w:sz w:val="24"/>
          <w:szCs w:val="24"/>
          <w:lang w:val="en-US"/>
        </w:rPr>
        <w:t xml:space="preserve"> copolymer (1:1)</w:t>
      </w:r>
    </w:p>
    <w:bookmarkEnd w:id="1"/>
    <w:bookmarkEnd w:id="2"/>
    <w:p w:rsidR="00821DDD" w:rsidRPr="001E7A7A" w:rsidRDefault="00821DDD" w:rsidP="00821DDD">
      <w:pPr>
        <w:ind w:left="851"/>
        <w:rPr>
          <w:sz w:val="24"/>
          <w:szCs w:val="24"/>
          <w:lang w:val="en-US"/>
        </w:rPr>
      </w:pPr>
    </w:p>
    <w:p w:rsidR="00821DDD" w:rsidRPr="00774AEF" w:rsidRDefault="00821DDD" w:rsidP="00821DDD">
      <w:pPr>
        <w:ind w:left="851"/>
        <w:rPr>
          <w:sz w:val="24"/>
          <w:szCs w:val="24"/>
          <w:u w:val="single"/>
        </w:rPr>
      </w:pPr>
      <w:r w:rsidRPr="00774AEF">
        <w:rPr>
          <w:sz w:val="24"/>
          <w:szCs w:val="24"/>
          <w:u w:val="single"/>
        </w:rPr>
        <w:t>Kapselskal:</w:t>
      </w:r>
    </w:p>
    <w:p w:rsidR="00821DDD" w:rsidRPr="00774AEF" w:rsidRDefault="00821DDD" w:rsidP="00821DDD">
      <w:pPr>
        <w:ind w:left="851"/>
        <w:rPr>
          <w:sz w:val="24"/>
          <w:szCs w:val="24"/>
        </w:rPr>
      </w:pPr>
      <w:r w:rsidRPr="00774AEF">
        <w:rPr>
          <w:sz w:val="24"/>
          <w:szCs w:val="24"/>
        </w:rPr>
        <w:t>Gelatine</w:t>
      </w:r>
    </w:p>
    <w:p w:rsidR="00821DDD" w:rsidRPr="00774AEF" w:rsidRDefault="00821DDD" w:rsidP="00821DDD">
      <w:pPr>
        <w:ind w:left="851"/>
        <w:rPr>
          <w:sz w:val="24"/>
          <w:szCs w:val="24"/>
        </w:rPr>
      </w:pPr>
      <w:proofErr w:type="spellStart"/>
      <w:r w:rsidRPr="00774AEF">
        <w:rPr>
          <w:sz w:val="24"/>
          <w:szCs w:val="24"/>
        </w:rPr>
        <w:t>Quinolingult</w:t>
      </w:r>
      <w:proofErr w:type="spellEnd"/>
      <w:r w:rsidRPr="00774AEF">
        <w:rPr>
          <w:sz w:val="24"/>
          <w:szCs w:val="24"/>
        </w:rPr>
        <w:t xml:space="preserve"> (E 104)</w:t>
      </w:r>
    </w:p>
    <w:p w:rsidR="00821DDD" w:rsidRPr="00774AEF" w:rsidRDefault="00821DDD" w:rsidP="00821DDD">
      <w:pPr>
        <w:ind w:left="851"/>
        <w:rPr>
          <w:sz w:val="24"/>
          <w:szCs w:val="24"/>
        </w:rPr>
      </w:pPr>
      <w:r>
        <w:rPr>
          <w:sz w:val="24"/>
          <w:szCs w:val="24"/>
        </w:rPr>
        <w:t>Titan</w:t>
      </w:r>
      <w:r w:rsidRPr="00774AEF">
        <w:rPr>
          <w:sz w:val="24"/>
          <w:szCs w:val="24"/>
        </w:rPr>
        <w:t xml:space="preserve">dioxid (E 171) </w:t>
      </w:r>
    </w:p>
    <w:p w:rsidR="00821DDD" w:rsidRPr="00774AEF" w:rsidRDefault="00821DDD" w:rsidP="00821DDD">
      <w:pPr>
        <w:ind w:left="851"/>
        <w:rPr>
          <w:sz w:val="24"/>
          <w:szCs w:val="24"/>
        </w:rPr>
      </w:pPr>
    </w:p>
    <w:p w:rsidR="00821DDD" w:rsidRPr="00774AEF" w:rsidRDefault="00821DDD" w:rsidP="00821DDD">
      <w:pPr>
        <w:numPr>
          <w:ilvl w:val="1"/>
          <w:numId w:val="5"/>
        </w:numPr>
        <w:tabs>
          <w:tab w:val="clear" w:pos="855"/>
        </w:tabs>
        <w:ind w:left="851" w:hanging="851"/>
        <w:rPr>
          <w:b/>
          <w:sz w:val="24"/>
          <w:szCs w:val="24"/>
        </w:rPr>
      </w:pPr>
      <w:r w:rsidRPr="00774AEF">
        <w:rPr>
          <w:b/>
          <w:sz w:val="24"/>
          <w:szCs w:val="24"/>
        </w:rPr>
        <w:t>Uforligeligheder</w:t>
      </w:r>
    </w:p>
    <w:p w:rsidR="00821DDD" w:rsidRPr="00774AEF" w:rsidRDefault="00821DDD" w:rsidP="00821DDD">
      <w:pPr>
        <w:ind w:left="851" w:hanging="851"/>
        <w:jc w:val="both"/>
        <w:rPr>
          <w:sz w:val="24"/>
          <w:szCs w:val="24"/>
          <w:lang w:val="en-GB"/>
        </w:rPr>
      </w:pPr>
      <w:r w:rsidRPr="00774AEF">
        <w:rPr>
          <w:sz w:val="24"/>
          <w:szCs w:val="24"/>
        </w:rPr>
        <w:tab/>
      </w:r>
      <w:proofErr w:type="spellStart"/>
      <w:r w:rsidRPr="00774AEF">
        <w:rPr>
          <w:sz w:val="24"/>
          <w:szCs w:val="24"/>
          <w:lang w:val="en-GB"/>
        </w:rPr>
        <w:t>Ikke</w:t>
      </w:r>
      <w:proofErr w:type="spellEnd"/>
      <w:r w:rsidRPr="00774AEF">
        <w:rPr>
          <w:sz w:val="24"/>
          <w:szCs w:val="24"/>
          <w:lang w:val="en-GB"/>
        </w:rPr>
        <w:t xml:space="preserve"> relevant.</w:t>
      </w:r>
    </w:p>
    <w:p w:rsidR="00821DDD" w:rsidRPr="00774AEF" w:rsidRDefault="00821DDD" w:rsidP="00821DDD">
      <w:pPr>
        <w:ind w:left="851" w:hanging="851"/>
        <w:rPr>
          <w:sz w:val="24"/>
          <w:szCs w:val="24"/>
        </w:rPr>
      </w:pPr>
    </w:p>
    <w:p w:rsidR="00821DDD" w:rsidRPr="00774AEF" w:rsidRDefault="00821DDD" w:rsidP="00821DDD">
      <w:pPr>
        <w:numPr>
          <w:ilvl w:val="1"/>
          <w:numId w:val="5"/>
        </w:numPr>
        <w:tabs>
          <w:tab w:val="clear" w:pos="855"/>
        </w:tabs>
        <w:ind w:left="851" w:hanging="851"/>
        <w:rPr>
          <w:b/>
          <w:sz w:val="24"/>
          <w:szCs w:val="24"/>
        </w:rPr>
      </w:pPr>
      <w:r w:rsidRPr="00774AEF">
        <w:rPr>
          <w:b/>
          <w:sz w:val="24"/>
          <w:szCs w:val="24"/>
        </w:rPr>
        <w:t>Opbevaringstid</w:t>
      </w:r>
    </w:p>
    <w:p w:rsidR="00821DDD" w:rsidRDefault="00821DDD" w:rsidP="00821DDD">
      <w:pPr>
        <w:ind w:left="851"/>
        <w:jc w:val="both"/>
        <w:rPr>
          <w:sz w:val="24"/>
          <w:szCs w:val="24"/>
        </w:rPr>
      </w:pPr>
      <w:r w:rsidRPr="00774AEF">
        <w:rPr>
          <w:sz w:val="24"/>
          <w:szCs w:val="24"/>
        </w:rPr>
        <w:t>3 år.</w:t>
      </w:r>
    </w:p>
    <w:p w:rsidR="00821DDD" w:rsidRDefault="00821DDD" w:rsidP="00821DDD">
      <w:pPr>
        <w:ind w:left="851"/>
        <w:jc w:val="both"/>
        <w:rPr>
          <w:sz w:val="24"/>
          <w:szCs w:val="24"/>
        </w:rPr>
      </w:pPr>
    </w:p>
    <w:p w:rsidR="00821DDD" w:rsidRPr="00774AEF" w:rsidRDefault="00821DDD" w:rsidP="00821DDD">
      <w:pPr>
        <w:ind w:left="851"/>
        <w:jc w:val="both"/>
        <w:rPr>
          <w:sz w:val="24"/>
          <w:szCs w:val="24"/>
        </w:rPr>
      </w:pPr>
      <w:r>
        <w:rPr>
          <w:sz w:val="24"/>
          <w:szCs w:val="24"/>
        </w:rPr>
        <w:t xml:space="preserve">HDPE-beholder: Anvendes inden for 105 dage efter åbning. </w:t>
      </w:r>
    </w:p>
    <w:p w:rsidR="00821DDD" w:rsidRPr="00774AEF" w:rsidRDefault="00821DDD" w:rsidP="00821DDD">
      <w:pPr>
        <w:ind w:left="851" w:hanging="851"/>
        <w:rPr>
          <w:sz w:val="24"/>
          <w:szCs w:val="24"/>
        </w:rPr>
      </w:pPr>
    </w:p>
    <w:p w:rsidR="00821DDD" w:rsidRPr="00774AEF" w:rsidRDefault="00821DDD" w:rsidP="00821DDD">
      <w:pPr>
        <w:numPr>
          <w:ilvl w:val="1"/>
          <w:numId w:val="5"/>
        </w:numPr>
        <w:tabs>
          <w:tab w:val="clear" w:pos="855"/>
        </w:tabs>
        <w:ind w:left="851" w:hanging="851"/>
        <w:rPr>
          <w:b/>
          <w:sz w:val="24"/>
          <w:szCs w:val="24"/>
        </w:rPr>
      </w:pPr>
      <w:r w:rsidRPr="00774AEF">
        <w:rPr>
          <w:b/>
          <w:sz w:val="24"/>
          <w:szCs w:val="24"/>
        </w:rPr>
        <w:t>Særlige opbevaringsforhold</w:t>
      </w:r>
    </w:p>
    <w:p w:rsidR="00821DDD" w:rsidRPr="00774AEF" w:rsidRDefault="00821DDD" w:rsidP="00821DDD">
      <w:pPr>
        <w:ind w:left="851"/>
        <w:rPr>
          <w:sz w:val="24"/>
          <w:szCs w:val="24"/>
        </w:rPr>
      </w:pPr>
      <w:r w:rsidRPr="00774AEF">
        <w:rPr>
          <w:sz w:val="24"/>
          <w:szCs w:val="24"/>
        </w:rPr>
        <w:t xml:space="preserve">Opbevares ved temperaturer under 25 </w:t>
      </w:r>
      <w:r w:rsidRPr="00774AEF">
        <w:rPr>
          <w:sz w:val="24"/>
          <w:szCs w:val="24"/>
          <w:lang w:val="en-GB"/>
        </w:rPr>
        <w:sym w:font="Symbol" w:char="00B0"/>
      </w:r>
      <w:r w:rsidRPr="00774AEF">
        <w:rPr>
          <w:sz w:val="24"/>
          <w:szCs w:val="24"/>
        </w:rPr>
        <w:t>C</w:t>
      </w:r>
    </w:p>
    <w:p w:rsidR="00821DDD" w:rsidRPr="00774AEF" w:rsidRDefault="00821DDD" w:rsidP="00821DDD">
      <w:pPr>
        <w:ind w:left="851"/>
        <w:rPr>
          <w:sz w:val="24"/>
          <w:szCs w:val="24"/>
        </w:rPr>
      </w:pPr>
      <w:r w:rsidRPr="00774AEF">
        <w:rPr>
          <w:sz w:val="24"/>
          <w:szCs w:val="24"/>
        </w:rPr>
        <w:t>OPA-Al-PVC/Al blisterpakke: Opbevares i den originale emballage for at beskytte mod fugt.</w:t>
      </w:r>
    </w:p>
    <w:p w:rsidR="00821DDD" w:rsidRPr="00774AEF" w:rsidRDefault="00821DDD" w:rsidP="00821DDD">
      <w:pPr>
        <w:ind w:left="851"/>
        <w:rPr>
          <w:sz w:val="24"/>
          <w:szCs w:val="24"/>
        </w:rPr>
      </w:pPr>
      <w:r w:rsidRPr="00774AEF">
        <w:rPr>
          <w:snapToGrid w:val="0"/>
          <w:sz w:val="24"/>
          <w:szCs w:val="24"/>
        </w:rPr>
        <w:t>HDPE</w:t>
      </w:r>
      <w:r>
        <w:rPr>
          <w:snapToGrid w:val="0"/>
          <w:sz w:val="24"/>
          <w:szCs w:val="24"/>
        </w:rPr>
        <w:t>-beholder</w:t>
      </w:r>
      <w:r w:rsidRPr="00774AEF">
        <w:rPr>
          <w:snapToGrid w:val="0"/>
          <w:sz w:val="24"/>
          <w:szCs w:val="24"/>
        </w:rPr>
        <w:t xml:space="preserve">: Hold </w:t>
      </w:r>
      <w:r>
        <w:rPr>
          <w:snapToGrid w:val="0"/>
          <w:sz w:val="24"/>
          <w:szCs w:val="24"/>
        </w:rPr>
        <w:t>beholderen</w:t>
      </w:r>
      <w:r w:rsidRPr="00774AEF">
        <w:rPr>
          <w:snapToGrid w:val="0"/>
          <w:sz w:val="24"/>
          <w:szCs w:val="24"/>
        </w:rPr>
        <w:t xml:space="preserve"> tæt tillukket for at beskytte mod fugt. Sæt låget sikkert på plads efter brug.</w:t>
      </w:r>
    </w:p>
    <w:p w:rsidR="00821DDD" w:rsidRDefault="00821DDD" w:rsidP="00821DDD">
      <w:pPr>
        <w:ind w:left="851" w:hanging="851"/>
        <w:rPr>
          <w:sz w:val="24"/>
          <w:szCs w:val="24"/>
        </w:rPr>
      </w:pPr>
    </w:p>
    <w:p w:rsidR="00527D5D" w:rsidRPr="00774AEF" w:rsidRDefault="00527D5D" w:rsidP="00821DDD">
      <w:pPr>
        <w:ind w:left="851" w:hanging="851"/>
        <w:rPr>
          <w:sz w:val="24"/>
          <w:szCs w:val="24"/>
        </w:rPr>
      </w:pPr>
    </w:p>
    <w:p w:rsidR="00821DDD" w:rsidRPr="00774AEF" w:rsidRDefault="00821DDD" w:rsidP="00821DDD">
      <w:pPr>
        <w:numPr>
          <w:ilvl w:val="1"/>
          <w:numId w:val="5"/>
        </w:numPr>
        <w:tabs>
          <w:tab w:val="clear" w:pos="855"/>
        </w:tabs>
        <w:ind w:left="851" w:hanging="851"/>
        <w:rPr>
          <w:b/>
          <w:sz w:val="24"/>
          <w:szCs w:val="24"/>
        </w:rPr>
      </w:pPr>
      <w:r>
        <w:rPr>
          <w:b/>
          <w:sz w:val="24"/>
          <w:szCs w:val="24"/>
        </w:rPr>
        <w:lastRenderedPageBreak/>
        <w:t>Emballagetype</w:t>
      </w:r>
      <w:r w:rsidRPr="00774AEF">
        <w:rPr>
          <w:b/>
          <w:sz w:val="24"/>
          <w:szCs w:val="24"/>
        </w:rPr>
        <w:t xml:space="preserve"> og pakningsstørrelser</w:t>
      </w:r>
    </w:p>
    <w:p w:rsidR="00821DDD" w:rsidRPr="00774AEF" w:rsidRDefault="00821DDD" w:rsidP="00821DDD">
      <w:pPr>
        <w:autoSpaceDE w:val="0"/>
        <w:autoSpaceDN w:val="0"/>
        <w:adjustRightInd w:val="0"/>
        <w:ind w:left="851" w:hanging="851"/>
        <w:rPr>
          <w:rFonts w:eastAsia="SimSun"/>
          <w:sz w:val="24"/>
          <w:szCs w:val="24"/>
          <w:lang w:val="es-ES" w:eastAsia="zh-CN"/>
        </w:rPr>
      </w:pPr>
      <w:r w:rsidRPr="00E137E3">
        <w:rPr>
          <w:sz w:val="24"/>
          <w:szCs w:val="24"/>
          <w:lang w:val="es-ES"/>
        </w:rPr>
        <w:tab/>
      </w:r>
      <w:r w:rsidRPr="00774AEF">
        <w:rPr>
          <w:rFonts w:eastAsia="SimSun"/>
          <w:sz w:val="24"/>
          <w:szCs w:val="24"/>
          <w:lang w:val="es-ES" w:eastAsia="zh-CN"/>
        </w:rPr>
        <w:t>OPA-Al-PVC/Al blister.</w:t>
      </w:r>
    </w:p>
    <w:p w:rsidR="00821DDD" w:rsidRPr="00774AEF" w:rsidRDefault="00821DDD" w:rsidP="00821DDD">
      <w:pPr>
        <w:autoSpaceDE w:val="0"/>
        <w:autoSpaceDN w:val="0"/>
        <w:adjustRightInd w:val="0"/>
        <w:ind w:left="851"/>
        <w:rPr>
          <w:rFonts w:eastAsia="SimSun"/>
          <w:sz w:val="24"/>
          <w:szCs w:val="24"/>
          <w:lang w:eastAsia="zh-CN"/>
        </w:rPr>
      </w:pPr>
      <w:r w:rsidRPr="00774AEF">
        <w:rPr>
          <w:rFonts w:eastAsia="SimSun"/>
          <w:sz w:val="24"/>
          <w:szCs w:val="24"/>
          <w:lang w:eastAsia="zh-CN"/>
        </w:rPr>
        <w:t>7, 14</w:t>
      </w:r>
      <w:r>
        <w:rPr>
          <w:rFonts w:eastAsia="SimSun"/>
          <w:sz w:val="24"/>
          <w:szCs w:val="24"/>
          <w:lang w:eastAsia="zh-CN"/>
        </w:rPr>
        <w:t xml:space="preserve"> </w:t>
      </w:r>
      <w:r w:rsidRPr="00774AEF">
        <w:rPr>
          <w:rFonts w:eastAsia="SimSun"/>
          <w:sz w:val="24"/>
          <w:szCs w:val="24"/>
          <w:lang w:eastAsia="zh-CN"/>
        </w:rPr>
        <w:t xml:space="preserve">kapsler. </w:t>
      </w:r>
    </w:p>
    <w:p w:rsidR="00821DDD" w:rsidRPr="00774AEF" w:rsidRDefault="00821DDD" w:rsidP="00821DDD">
      <w:pPr>
        <w:autoSpaceDE w:val="0"/>
        <w:autoSpaceDN w:val="0"/>
        <w:adjustRightInd w:val="0"/>
        <w:ind w:left="851" w:hanging="851"/>
        <w:rPr>
          <w:rFonts w:eastAsia="SimSun"/>
          <w:sz w:val="24"/>
          <w:szCs w:val="24"/>
          <w:lang w:eastAsia="zh-CN"/>
        </w:rPr>
      </w:pPr>
    </w:p>
    <w:p w:rsidR="00821DDD" w:rsidRPr="00774AEF" w:rsidRDefault="00821DDD" w:rsidP="00821DDD">
      <w:pPr>
        <w:autoSpaceDE w:val="0"/>
        <w:autoSpaceDN w:val="0"/>
        <w:adjustRightInd w:val="0"/>
        <w:ind w:left="851"/>
        <w:rPr>
          <w:rFonts w:eastAsia="SimSun"/>
          <w:sz w:val="24"/>
          <w:szCs w:val="24"/>
          <w:lang w:eastAsia="zh-CN"/>
        </w:rPr>
      </w:pPr>
      <w:r w:rsidRPr="00774AEF">
        <w:rPr>
          <w:rFonts w:eastAsia="SimSun"/>
          <w:sz w:val="24"/>
          <w:szCs w:val="24"/>
          <w:lang w:eastAsia="zh-CN"/>
        </w:rPr>
        <w:t>HDPE-</w:t>
      </w:r>
      <w:r>
        <w:rPr>
          <w:rFonts w:eastAsia="SimSun"/>
          <w:sz w:val="24"/>
          <w:szCs w:val="24"/>
          <w:lang w:eastAsia="zh-CN"/>
        </w:rPr>
        <w:t>beholder</w:t>
      </w:r>
      <w:r w:rsidRPr="00774AEF">
        <w:rPr>
          <w:rFonts w:eastAsia="SimSun"/>
          <w:sz w:val="24"/>
          <w:szCs w:val="24"/>
          <w:lang w:eastAsia="zh-CN"/>
        </w:rPr>
        <w:t xml:space="preserve"> </w:t>
      </w:r>
      <w:r w:rsidRPr="00774AEF">
        <w:rPr>
          <w:sz w:val="24"/>
          <w:szCs w:val="24"/>
        </w:rPr>
        <w:t xml:space="preserve">med </w:t>
      </w:r>
      <w:proofErr w:type="spellStart"/>
      <w:r w:rsidRPr="00774AEF">
        <w:rPr>
          <w:sz w:val="24"/>
          <w:szCs w:val="24"/>
        </w:rPr>
        <w:t>silicagel</w:t>
      </w:r>
      <w:proofErr w:type="spellEnd"/>
      <w:r w:rsidRPr="00774AEF">
        <w:rPr>
          <w:sz w:val="24"/>
          <w:szCs w:val="24"/>
        </w:rPr>
        <w:t xml:space="preserve"> tørremiddel indeholdt i polypropylenlåget</w:t>
      </w:r>
      <w:r w:rsidRPr="00774AEF">
        <w:rPr>
          <w:rFonts w:eastAsia="SimSun"/>
          <w:sz w:val="24"/>
          <w:szCs w:val="24"/>
          <w:lang w:eastAsia="zh-CN"/>
        </w:rPr>
        <w:t>.</w:t>
      </w:r>
    </w:p>
    <w:p w:rsidR="00821DDD" w:rsidRPr="00774AEF" w:rsidRDefault="00821DDD" w:rsidP="00821DDD">
      <w:pPr>
        <w:autoSpaceDE w:val="0"/>
        <w:autoSpaceDN w:val="0"/>
        <w:adjustRightInd w:val="0"/>
        <w:ind w:left="851"/>
        <w:rPr>
          <w:rFonts w:eastAsia="SimSun"/>
          <w:sz w:val="24"/>
          <w:szCs w:val="24"/>
          <w:lang w:eastAsia="zh-CN"/>
        </w:rPr>
      </w:pPr>
      <w:r w:rsidRPr="00774AEF">
        <w:rPr>
          <w:rFonts w:eastAsia="SimSun"/>
          <w:sz w:val="24"/>
          <w:szCs w:val="24"/>
          <w:lang w:eastAsia="zh-CN"/>
        </w:rPr>
        <w:t>5, 7, 14 kapsler</w:t>
      </w:r>
    </w:p>
    <w:p w:rsidR="00821DDD" w:rsidRPr="00774AEF" w:rsidRDefault="00821DDD" w:rsidP="00821DDD">
      <w:pPr>
        <w:ind w:left="851" w:hanging="851"/>
        <w:rPr>
          <w:sz w:val="24"/>
          <w:szCs w:val="24"/>
          <w:lang w:eastAsia="nl-NL"/>
        </w:rPr>
      </w:pPr>
    </w:p>
    <w:p w:rsidR="00821DDD" w:rsidRPr="00774AEF" w:rsidRDefault="00821DDD" w:rsidP="00821DDD">
      <w:pPr>
        <w:ind w:left="851"/>
        <w:rPr>
          <w:sz w:val="24"/>
          <w:szCs w:val="24"/>
        </w:rPr>
      </w:pPr>
      <w:r w:rsidRPr="00774AEF">
        <w:rPr>
          <w:sz w:val="24"/>
          <w:szCs w:val="24"/>
        </w:rPr>
        <w:t>Ikke alle pakningsstørrelser er nødvendigvis markedsført.</w:t>
      </w:r>
    </w:p>
    <w:p w:rsidR="00821DDD" w:rsidRPr="00774AEF" w:rsidRDefault="00821DDD" w:rsidP="00821DDD">
      <w:pPr>
        <w:ind w:left="851" w:hanging="851"/>
        <w:rPr>
          <w:sz w:val="24"/>
          <w:szCs w:val="24"/>
        </w:rPr>
      </w:pPr>
    </w:p>
    <w:p w:rsidR="00821DDD" w:rsidRPr="00774AEF" w:rsidRDefault="00821DDD" w:rsidP="00821DDD">
      <w:pPr>
        <w:numPr>
          <w:ilvl w:val="1"/>
          <w:numId w:val="5"/>
        </w:numPr>
        <w:tabs>
          <w:tab w:val="clear" w:pos="855"/>
        </w:tabs>
        <w:ind w:left="851" w:hanging="851"/>
        <w:rPr>
          <w:b/>
          <w:sz w:val="24"/>
          <w:szCs w:val="24"/>
        </w:rPr>
      </w:pPr>
      <w:r>
        <w:rPr>
          <w:b/>
          <w:sz w:val="24"/>
          <w:szCs w:val="24"/>
        </w:rPr>
        <w:t xml:space="preserve">Regler for </w:t>
      </w:r>
      <w:r w:rsidR="00754C35">
        <w:rPr>
          <w:b/>
          <w:sz w:val="24"/>
          <w:szCs w:val="24"/>
        </w:rPr>
        <w:t>bortskaffelse</w:t>
      </w:r>
      <w:r w:rsidRPr="00774AEF">
        <w:rPr>
          <w:b/>
          <w:sz w:val="24"/>
          <w:szCs w:val="24"/>
        </w:rPr>
        <w:t xml:space="preserve"> og anden håndtering</w:t>
      </w:r>
    </w:p>
    <w:p w:rsidR="00821DDD" w:rsidRPr="00FD6873" w:rsidRDefault="00821DDD" w:rsidP="00821DDD">
      <w:pPr>
        <w:ind w:left="851" w:hanging="851"/>
        <w:rPr>
          <w:sz w:val="24"/>
          <w:szCs w:val="24"/>
        </w:rPr>
      </w:pPr>
      <w:r w:rsidRPr="00774AEF">
        <w:rPr>
          <w:sz w:val="24"/>
          <w:szCs w:val="24"/>
        </w:rPr>
        <w:tab/>
      </w:r>
      <w:r w:rsidRPr="00FD6873">
        <w:rPr>
          <w:sz w:val="24"/>
          <w:szCs w:val="24"/>
        </w:rPr>
        <w:t>Ingen særlige forholdsregler.</w:t>
      </w:r>
    </w:p>
    <w:p w:rsidR="00821DDD" w:rsidRPr="00774AEF" w:rsidRDefault="00821DDD" w:rsidP="00821DDD">
      <w:pPr>
        <w:ind w:left="851" w:hanging="851"/>
        <w:jc w:val="both"/>
        <w:rPr>
          <w:sz w:val="24"/>
          <w:szCs w:val="24"/>
        </w:rPr>
      </w:pPr>
    </w:p>
    <w:p w:rsidR="00821DDD" w:rsidRPr="00774AEF" w:rsidRDefault="00821DDD" w:rsidP="00821DDD">
      <w:pPr>
        <w:ind w:left="851" w:hanging="851"/>
        <w:rPr>
          <w:b/>
          <w:sz w:val="24"/>
          <w:szCs w:val="24"/>
        </w:rPr>
      </w:pPr>
      <w:r w:rsidRPr="00774AEF">
        <w:rPr>
          <w:b/>
          <w:sz w:val="24"/>
          <w:szCs w:val="24"/>
        </w:rPr>
        <w:t>7.</w:t>
      </w:r>
      <w:r w:rsidRPr="00774AEF">
        <w:rPr>
          <w:b/>
          <w:sz w:val="24"/>
          <w:szCs w:val="24"/>
        </w:rPr>
        <w:tab/>
        <w:t>INDEHAVER AF MARKEDSFØRINGSTILLADELSEN</w:t>
      </w:r>
    </w:p>
    <w:p w:rsidR="00821DDD" w:rsidRPr="00FD6873" w:rsidRDefault="00821DDD" w:rsidP="00821DDD">
      <w:pPr>
        <w:suppressAutoHyphens/>
        <w:ind w:left="851" w:hanging="851"/>
        <w:rPr>
          <w:sz w:val="24"/>
          <w:szCs w:val="24"/>
          <w:lang w:val="en-US"/>
        </w:rPr>
      </w:pPr>
      <w:r w:rsidRPr="00774AEF">
        <w:rPr>
          <w:sz w:val="24"/>
          <w:szCs w:val="24"/>
        </w:rPr>
        <w:tab/>
      </w:r>
      <w:r w:rsidRPr="00FD6873">
        <w:rPr>
          <w:sz w:val="24"/>
          <w:szCs w:val="24"/>
          <w:lang w:val="en-US"/>
        </w:rPr>
        <w:t>Sandoz A/S</w:t>
      </w:r>
    </w:p>
    <w:p w:rsidR="00821DDD" w:rsidRPr="00FD6873" w:rsidRDefault="00821DDD" w:rsidP="00821DDD">
      <w:pPr>
        <w:suppressAutoHyphens/>
        <w:ind w:left="851" w:hanging="851"/>
        <w:rPr>
          <w:sz w:val="24"/>
          <w:szCs w:val="24"/>
          <w:lang w:val="en-US"/>
        </w:rPr>
      </w:pPr>
      <w:r w:rsidRPr="00FD6873">
        <w:rPr>
          <w:sz w:val="24"/>
          <w:szCs w:val="24"/>
          <w:lang w:val="en-US"/>
        </w:rPr>
        <w:tab/>
        <w:t xml:space="preserve">Edvard </w:t>
      </w:r>
      <w:proofErr w:type="spellStart"/>
      <w:r w:rsidRPr="00FD6873">
        <w:rPr>
          <w:sz w:val="24"/>
          <w:szCs w:val="24"/>
          <w:lang w:val="en-US"/>
        </w:rPr>
        <w:t>Thomsens</w:t>
      </w:r>
      <w:proofErr w:type="spellEnd"/>
      <w:r w:rsidRPr="00FD6873">
        <w:rPr>
          <w:sz w:val="24"/>
          <w:szCs w:val="24"/>
          <w:lang w:val="en-US"/>
        </w:rPr>
        <w:t xml:space="preserve"> </w:t>
      </w:r>
      <w:proofErr w:type="spellStart"/>
      <w:r w:rsidRPr="00FD6873">
        <w:rPr>
          <w:sz w:val="24"/>
          <w:szCs w:val="24"/>
          <w:lang w:val="en-US"/>
        </w:rPr>
        <w:t>Vej</w:t>
      </w:r>
      <w:proofErr w:type="spellEnd"/>
      <w:r w:rsidRPr="00FD6873">
        <w:rPr>
          <w:sz w:val="24"/>
          <w:szCs w:val="24"/>
          <w:lang w:val="en-US"/>
        </w:rPr>
        <w:t xml:space="preserve"> 14</w:t>
      </w:r>
    </w:p>
    <w:p w:rsidR="00821DDD" w:rsidRPr="00774AEF" w:rsidRDefault="00821DDD" w:rsidP="00821DDD">
      <w:pPr>
        <w:suppressAutoHyphens/>
        <w:ind w:left="851" w:hanging="851"/>
        <w:rPr>
          <w:sz w:val="24"/>
          <w:szCs w:val="24"/>
        </w:rPr>
      </w:pPr>
      <w:r w:rsidRPr="00FD6873">
        <w:rPr>
          <w:sz w:val="24"/>
          <w:szCs w:val="24"/>
          <w:lang w:val="en-US"/>
        </w:rPr>
        <w:tab/>
      </w:r>
      <w:r>
        <w:rPr>
          <w:sz w:val="24"/>
          <w:szCs w:val="24"/>
        </w:rPr>
        <w:t>2300 København S</w:t>
      </w:r>
    </w:p>
    <w:p w:rsidR="00821DDD" w:rsidRPr="00774AEF" w:rsidRDefault="00821DDD" w:rsidP="00821DDD">
      <w:pPr>
        <w:ind w:left="851" w:hanging="851"/>
        <w:rPr>
          <w:sz w:val="24"/>
          <w:szCs w:val="24"/>
        </w:rPr>
      </w:pPr>
    </w:p>
    <w:p w:rsidR="00821DDD" w:rsidRPr="00774AEF" w:rsidRDefault="00821DDD" w:rsidP="00821DDD">
      <w:pPr>
        <w:ind w:left="851" w:hanging="851"/>
        <w:rPr>
          <w:b/>
          <w:sz w:val="24"/>
          <w:szCs w:val="24"/>
        </w:rPr>
      </w:pPr>
      <w:r w:rsidRPr="00774AEF">
        <w:rPr>
          <w:b/>
          <w:sz w:val="24"/>
          <w:szCs w:val="24"/>
        </w:rPr>
        <w:t>8.</w:t>
      </w:r>
      <w:r w:rsidRPr="00774AEF">
        <w:rPr>
          <w:b/>
          <w:sz w:val="24"/>
          <w:szCs w:val="24"/>
        </w:rPr>
        <w:tab/>
        <w:t>MARKEDSFØRINGSTILLADELSESNUMMER (</w:t>
      </w:r>
      <w:r w:rsidR="00754C35">
        <w:rPr>
          <w:b/>
          <w:sz w:val="24"/>
          <w:szCs w:val="24"/>
        </w:rPr>
        <w:t>-</w:t>
      </w:r>
      <w:r w:rsidRPr="00774AEF">
        <w:rPr>
          <w:b/>
          <w:sz w:val="24"/>
          <w:szCs w:val="24"/>
        </w:rPr>
        <w:t>NUMRE)</w:t>
      </w:r>
    </w:p>
    <w:p w:rsidR="00821DDD" w:rsidRDefault="00821DDD" w:rsidP="0055738F">
      <w:pPr>
        <w:ind w:left="851" w:hanging="851"/>
        <w:rPr>
          <w:sz w:val="24"/>
          <w:szCs w:val="24"/>
        </w:rPr>
      </w:pPr>
      <w:r w:rsidRPr="00774AEF">
        <w:rPr>
          <w:sz w:val="24"/>
          <w:szCs w:val="24"/>
        </w:rPr>
        <w:tab/>
      </w:r>
      <w:r>
        <w:rPr>
          <w:sz w:val="24"/>
          <w:szCs w:val="24"/>
        </w:rPr>
        <w:t>45508</w:t>
      </w:r>
    </w:p>
    <w:p w:rsidR="00821DDD" w:rsidRPr="00774AEF" w:rsidRDefault="00821DDD" w:rsidP="00821DDD">
      <w:pPr>
        <w:ind w:left="851" w:hanging="851"/>
        <w:jc w:val="both"/>
        <w:rPr>
          <w:sz w:val="24"/>
          <w:szCs w:val="24"/>
        </w:rPr>
      </w:pPr>
    </w:p>
    <w:p w:rsidR="00821DDD" w:rsidRPr="00774AEF" w:rsidRDefault="00821DDD" w:rsidP="00821DDD">
      <w:pPr>
        <w:ind w:left="851" w:hanging="851"/>
        <w:rPr>
          <w:b/>
          <w:sz w:val="24"/>
          <w:szCs w:val="24"/>
        </w:rPr>
      </w:pPr>
      <w:r w:rsidRPr="00774AEF">
        <w:rPr>
          <w:b/>
          <w:sz w:val="24"/>
          <w:szCs w:val="24"/>
        </w:rPr>
        <w:t>9.</w:t>
      </w:r>
      <w:r w:rsidRPr="00774AEF">
        <w:rPr>
          <w:b/>
          <w:sz w:val="24"/>
          <w:szCs w:val="24"/>
        </w:rPr>
        <w:tab/>
        <w:t>DATO FOR FØRSTE MARKEDSFØRINGSTILLADELSE</w:t>
      </w:r>
    </w:p>
    <w:p w:rsidR="00821DDD" w:rsidRPr="00774AEF" w:rsidRDefault="00821DDD" w:rsidP="00821DDD">
      <w:pPr>
        <w:ind w:left="851" w:hanging="851"/>
        <w:rPr>
          <w:sz w:val="24"/>
          <w:szCs w:val="24"/>
        </w:rPr>
      </w:pPr>
      <w:r w:rsidRPr="00774AEF">
        <w:rPr>
          <w:sz w:val="24"/>
          <w:szCs w:val="24"/>
        </w:rPr>
        <w:tab/>
      </w:r>
      <w:r>
        <w:rPr>
          <w:sz w:val="24"/>
          <w:szCs w:val="24"/>
        </w:rPr>
        <w:t>20. september 2010</w:t>
      </w:r>
    </w:p>
    <w:p w:rsidR="00821DDD" w:rsidRPr="00774AEF" w:rsidRDefault="00821DDD" w:rsidP="00821DDD">
      <w:pPr>
        <w:ind w:left="851" w:hanging="851"/>
        <w:rPr>
          <w:sz w:val="24"/>
          <w:szCs w:val="24"/>
        </w:rPr>
      </w:pPr>
    </w:p>
    <w:p w:rsidR="00821DDD" w:rsidRPr="00774AEF" w:rsidRDefault="00821DDD" w:rsidP="00821DDD">
      <w:pPr>
        <w:ind w:left="851" w:hanging="851"/>
        <w:rPr>
          <w:b/>
          <w:sz w:val="24"/>
          <w:szCs w:val="24"/>
        </w:rPr>
      </w:pPr>
      <w:r w:rsidRPr="00774AEF">
        <w:rPr>
          <w:b/>
          <w:sz w:val="24"/>
          <w:szCs w:val="24"/>
        </w:rPr>
        <w:t>10.</w:t>
      </w:r>
      <w:r w:rsidRPr="00774AEF">
        <w:rPr>
          <w:b/>
          <w:sz w:val="24"/>
          <w:szCs w:val="24"/>
        </w:rPr>
        <w:tab/>
        <w:t>DATO FOR ÆNDRING AF TEKSTEN</w:t>
      </w:r>
    </w:p>
    <w:p w:rsidR="00821DDD" w:rsidRPr="00620709" w:rsidRDefault="00821DDD" w:rsidP="00821DDD">
      <w:pPr>
        <w:ind w:left="851" w:hanging="851"/>
        <w:rPr>
          <w:sz w:val="24"/>
          <w:szCs w:val="24"/>
        </w:rPr>
      </w:pPr>
      <w:r w:rsidRPr="00620709">
        <w:rPr>
          <w:sz w:val="24"/>
          <w:szCs w:val="24"/>
        </w:rPr>
        <w:tab/>
      </w:r>
      <w:r w:rsidR="00D527C6">
        <w:rPr>
          <w:sz w:val="24"/>
          <w:szCs w:val="24"/>
        </w:rPr>
        <w:t>18. april 2024</w:t>
      </w:r>
    </w:p>
    <w:p w:rsidR="00821DDD" w:rsidRPr="0054312E" w:rsidRDefault="00821DDD" w:rsidP="00821DDD"/>
    <w:p w:rsidR="00821DDD" w:rsidRPr="00C53BE6" w:rsidRDefault="00821DDD" w:rsidP="00821DDD"/>
    <w:p w:rsidR="009260DE" w:rsidRPr="00821DDD" w:rsidRDefault="009260DE" w:rsidP="00821DDD"/>
    <w:sectPr w:rsidR="009260DE" w:rsidRPr="00821DD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DDD" w:rsidRDefault="00821DDD">
      <w:r>
        <w:separator/>
      </w:r>
    </w:p>
  </w:endnote>
  <w:endnote w:type="continuationSeparator" w:id="0">
    <w:p w:rsidR="00821DDD" w:rsidRDefault="0082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5738F">
      <w:rPr>
        <w:i/>
        <w:noProof/>
        <w:sz w:val="18"/>
        <w:szCs w:val="18"/>
      </w:rPr>
      <w:t>Omeprazol Sandoz, hårde enterokapsler 20 mg, til og med 14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DDD" w:rsidRDefault="00821DDD">
      <w:r>
        <w:separator/>
      </w:r>
    </w:p>
  </w:footnote>
  <w:footnote w:type="continuationSeparator" w:id="0">
    <w:p w:rsidR="00821DDD" w:rsidRDefault="0082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96144A"/>
    <w:multiLevelType w:val="hybridMultilevel"/>
    <w:tmpl w:val="043EFE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DC3265"/>
    <w:multiLevelType w:val="hybridMultilevel"/>
    <w:tmpl w:val="FC04D398"/>
    <w:lvl w:ilvl="0" w:tplc="08090001">
      <w:start w:val="1"/>
      <w:numFmt w:val="bullet"/>
      <w:lvlText w:val=""/>
      <w:lvlJc w:val="left"/>
      <w:pPr>
        <w:tabs>
          <w:tab w:val="num" w:pos="1211"/>
        </w:tabs>
        <w:ind w:left="1211" w:hanging="360"/>
      </w:pPr>
      <w:rPr>
        <w:rFonts w:ascii="Symbol" w:hAnsi="Symbol" w:hint="default"/>
      </w:rPr>
    </w:lvl>
    <w:lvl w:ilvl="1" w:tplc="08090003">
      <w:start w:val="1"/>
      <w:numFmt w:val="decimal"/>
      <w:lvlText w:val="%2."/>
      <w:lvlJc w:val="left"/>
      <w:pPr>
        <w:tabs>
          <w:tab w:val="num" w:pos="1724"/>
        </w:tabs>
        <w:ind w:left="1724" w:hanging="360"/>
      </w:pPr>
    </w:lvl>
    <w:lvl w:ilvl="2" w:tplc="08090005">
      <w:start w:val="1"/>
      <w:numFmt w:val="decimal"/>
      <w:lvlText w:val="%3."/>
      <w:lvlJc w:val="left"/>
      <w:pPr>
        <w:tabs>
          <w:tab w:val="num" w:pos="2444"/>
        </w:tabs>
        <w:ind w:left="2444" w:hanging="360"/>
      </w:pPr>
    </w:lvl>
    <w:lvl w:ilvl="3" w:tplc="08090001">
      <w:start w:val="1"/>
      <w:numFmt w:val="decimal"/>
      <w:lvlText w:val="%4."/>
      <w:lvlJc w:val="left"/>
      <w:pPr>
        <w:tabs>
          <w:tab w:val="num" w:pos="3164"/>
        </w:tabs>
        <w:ind w:left="3164" w:hanging="360"/>
      </w:pPr>
    </w:lvl>
    <w:lvl w:ilvl="4" w:tplc="08090003">
      <w:start w:val="1"/>
      <w:numFmt w:val="decimal"/>
      <w:lvlText w:val="%5."/>
      <w:lvlJc w:val="left"/>
      <w:pPr>
        <w:tabs>
          <w:tab w:val="num" w:pos="3884"/>
        </w:tabs>
        <w:ind w:left="3884" w:hanging="360"/>
      </w:pPr>
    </w:lvl>
    <w:lvl w:ilvl="5" w:tplc="08090005">
      <w:start w:val="1"/>
      <w:numFmt w:val="decimal"/>
      <w:lvlText w:val="%6."/>
      <w:lvlJc w:val="left"/>
      <w:pPr>
        <w:tabs>
          <w:tab w:val="num" w:pos="4604"/>
        </w:tabs>
        <w:ind w:left="4604" w:hanging="360"/>
      </w:pPr>
    </w:lvl>
    <w:lvl w:ilvl="6" w:tplc="08090001">
      <w:start w:val="1"/>
      <w:numFmt w:val="decimal"/>
      <w:lvlText w:val="%7."/>
      <w:lvlJc w:val="left"/>
      <w:pPr>
        <w:tabs>
          <w:tab w:val="num" w:pos="5324"/>
        </w:tabs>
        <w:ind w:left="5324" w:hanging="360"/>
      </w:pPr>
    </w:lvl>
    <w:lvl w:ilvl="7" w:tplc="08090003">
      <w:start w:val="1"/>
      <w:numFmt w:val="decimal"/>
      <w:lvlText w:val="%8."/>
      <w:lvlJc w:val="left"/>
      <w:pPr>
        <w:tabs>
          <w:tab w:val="num" w:pos="6044"/>
        </w:tabs>
        <w:ind w:left="6044" w:hanging="360"/>
      </w:pPr>
    </w:lvl>
    <w:lvl w:ilvl="8" w:tplc="08090005">
      <w:start w:val="1"/>
      <w:numFmt w:val="decimal"/>
      <w:lvlText w:val="%9."/>
      <w:lvlJc w:val="left"/>
      <w:pPr>
        <w:tabs>
          <w:tab w:val="num" w:pos="6764"/>
        </w:tabs>
        <w:ind w:left="6764"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DD"/>
    <w:rsid w:val="000259B9"/>
    <w:rsid w:val="00041491"/>
    <w:rsid w:val="00050D16"/>
    <w:rsid w:val="000719AB"/>
    <w:rsid w:val="00074F2A"/>
    <w:rsid w:val="000834E7"/>
    <w:rsid w:val="000A1CA8"/>
    <w:rsid w:val="000A466B"/>
    <w:rsid w:val="000B058C"/>
    <w:rsid w:val="000E4EE6"/>
    <w:rsid w:val="000F4ECA"/>
    <w:rsid w:val="001454E2"/>
    <w:rsid w:val="001C374A"/>
    <w:rsid w:val="001E7A7A"/>
    <w:rsid w:val="00206CE8"/>
    <w:rsid w:val="0021526C"/>
    <w:rsid w:val="00256B03"/>
    <w:rsid w:val="00283A2B"/>
    <w:rsid w:val="002B30AD"/>
    <w:rsid w:val="002C2C01"/>
    <w:rsid w:val="002F7E48"/>
    <w:rsid w:val="003A29AE"/>
    <w:rsid w:val="003A32D7"/>
    <w:rsid w:val="003B4074"/>
    <w:rsid w:val="003C769A"/>
    <w:rsid w:val="003F1838"/>
    <w:rsid w:val="00422B13"/>
    <w:rsid w:val="0045746C"/>
    <w:rsid w:val="0049104B"/>
    <w:rsid w:val="004E3B12"/>
    <w:rsid w:val="004E7D47"/>
    <w:rsid w:val="004F5AD8"/>
    <w:rsid w:val="00516CBD"/>
    <w:rsid w:val="00527D5D"/>
    <w:rsid w:val="00532310"/>
    <w:rsid w:val="0055738F"/>
    <w:rsid w:val="00560ECC"/>
    <w:rsid w:val="00565F0F"/>
    <w:rsid w:val="00594A86"/>
    <w:rsid w:val="00596D86"/>
    <w:rsid w:val="00637F5A"/>
    <w:rsid w:val="006560B1"/>
    <w:rsid w:val="006756DD"/>
    <w:rsid w:val="006A0E37"/>
    <w:rsid w:val="00737275"/>
    <w:rsid w:val="00740EEC"/>
    <w:rsid w:val="00754C35"/>
    <w:rsid w:val="0078011A"/>
    <w:rsid w:val="00782AF4"/>
    <w:rsid w:val="00790EE7"/>
    <w:rsid w:val="007B6649"/>
    <w:rsid w:val="007E372B"/>
    <w:rsid w:val="0081546F"/>
    <w:rsid w:val="00821DDD"/>
    <w:rsid w:val="0082576E"/>
    <w:rsid w:val="00907F75"/>
    <w:rsid w:val="009260DE"/>
    <w:rsid w:val="0093258A"/>
    <w:rsid w:val="009C7BA3"/>
    <w:rsid w:val="009D1F5A"/>
    <w:rsid w:val="00A407B4"/>
    <w:rsid w:val="00AC6297"/>
    <w:rsid w:val="00AF66F7"/>
    <w:rsid w:val="00B003BF"/>
    <w:rsid w:val="00B373D7"/>
    <w:rsid w:val="00BD1D47"/>
    <w:rsid w:val="00C36276"/>
    <w:rsid w:val="00C42586"/>
    <w:rsid w:val="00C60CCD"/>
    <w:rsid w:val="00C84483"/>
    <w:rsid w:val="00C95551"/>
    <w:rsid w:val="00CB20D7"/>
    <w:rsid w:val="00CE244A"/>
    <w:rsid w:val="00CF015D"/>
    <w:rsid w:val="00D020B0"/>
    <w:rsid w:val="00D11748"/>
    <w:rsid w:val="00D366CF"/>
    <w:rsid w:val="00D527C6"/>
    <w:rsid w:val="00E108AA"/>
    <w:rsid w:val="00E137E3"/>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22A45"/>
  <w15:chartTrackingRefBased/>
  <w15:docId w15:val="{20659C95-8B2F-4760-963A-AF7EDB88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rsid w:val="00821DDD"/>
    <w:pPr>
      <w:widowControl w:val="0"/>
      <w:tabs>
        <w:tab w:val="left" w:pos="-1440"/>
        <w:tab w:val="left" w:pos="-720"/>
      </w:tabs>
      <w:snapToGrid w:val="0"/>
    </w:pPr>
    <w:rPr>
      <w:rFonts w:ascii="Arial" w:hAnsi="Arial"/>
      <w:sz w:val="20"/>
      <w:lang w:val="nl-NL" w:eastAsia="nl-NL"/>
    </w:rPr>
  </w:style>
  <w:style w:type="character" w:customStyle="1" w:styleId="BrdtekstTegn">
    <w:name w:val="Brødtekst Tegn"/>
    <w:basedOn w:val="Standardskrifttypeiafsnit"/>
    <w:link w:val="Brdtekst"/>
    <w:rsid w:val="00821DDD"/>
    <w:rPr>
      <w:rFonts w:ascii="Arial" w:hAnsi="Arial"/>
      <w:lang w:val="nl-NL" w:eastAsia="nl-NL"/>
    </w:rPr>
  </w:style>
  <w:style w:type="paragraph" w:customStyle="1" w:styleId="Default">
    <w:name w:val="Default"/>
    <w:rsid w:val="00821DDD"/>
    <w:pPr>
      <w:autoSpaceDE w:val="0"/>
      <w:autoSpaceDN w:val="0"/>
      <w:adjustRightInd w:val="0"/>
    </w:pPr>
    <w:rPr>
      <w:color w:val="000000"/>
      <w:sz w:val="24"/>
      <w:szCs w:val="24"/>
      <w:lang w:val="es-ES" w:eastAsia="es-ES"/>
    </w:rPr>
  </w:style>
  <w:style w:type="paragraph" w:styleId="Listeafsnit">
    <w:name w:val="List Paragraph"/>
    <w:basedOn w:val="Normal"/>
    <w:uiPriority w:val="34"/>
    <w:qFormat/>
    <w:rsid w:val="00821DDD"/>
    <w:pPr>
      <w:ind w:left="720"/>
      <w:contextualSpacing/>
    </w:pPr>
  </w:style>
  <w:style w:type="character" w:styleId="Hyperlink">
    <w:name w:val="Hyperlink"/>
    <w:uiPriority w:val="99"/>
    <w:rsid w:val="00821DDD"/>
    <w:rPr>
      <w:color w:val="0000FF"/>
      <w:u w:val="single"/>
    </w:rPr>
  </w:style>
  <w:style w:type="character" w:customStyle="1" w:styleId="hps">
    <w:name w:val="hps"/>
    <w:rsid w:val="00083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356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3359</Words>
  <Characters>22642</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2023033913_x000d_
SPC opdat. pkt. 4.4, 4.8</dc:description>
  <cp:lastModifiedBy>Marianne Ott Jensen</cp:lastModifiedBy>
  <cp:revision>3</cp:revision>
  <cp:lastPrinted>2012-08-22T08:53:00Z</cp:lastPrinted>
  <dcterms:created xsi:type="dcterms:W3CDTF">2024-04-16T08:08:00Z</dcterms:created>
  <dcterms:modified xsi:type="dcterms:W3CDTF">2024-04-16T08:14:00Z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