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FAFBE"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3F55E018" w14:textId="77777777" w:rsidR="009260DE" w:rsidRPr="00C84483" w:rsidRDefault="009260DE" w:rsidP="009260DE">
      <w:pPr>
        <w:pStyle w:val="Titel"/>
        <w:tabs>
          <w:tab w:val="right" w:pos="9356"/>
        </w:tabs>
        <w:jc w:val="left"/>
        <w:rPr>
          <w:b w:val="0"/>
          <w:szCs w:val="24"/>
          <w:lang w:eastAsia="en-US"/>
        </w:rPr>
      </w:pPr>
    </w:p>
    <w:p w14:paraId="5C82CAEA" w14:textId="059F2A34" w:rsidR="009260DE" w:rsidRPr="00287D5C" w:rsidRDefault="009260DE" w:rsidP="009260DE">
      <w:pPr>
        <w:pStyle w:val="Titel"/>
        <w:tabs>
          <w:tab w:val="right" w:pos="9356"/>
        </w:tabs>
        <w:jc w:val="left"/>
        <w:rPr>
          <w:b w:val="0"/>
          <w:szCs w:val="24"/>
          <w:lang w:eastAsia="en-US"/>
        </w:rPr>
      </w:pPr>
      <w:r w:rsidRPr="00C84483">
        <w:rPr>
          <w:b w:val="0"/>
          <w:szCs w:val="24"/>
          <w:lang w:eastAsia="en-US"/>
        </w:rPr>
        <w:tab/>
      </w:r>
      <w:r w:rsidR="00287D5C">
        <w:rPr>
          <w:szCs w:val="24"/>
        </w:rPr>
        <w:t>5. oktober 2026</w:t>
      </w:r>
    </w:p>
    <w:p w14:paraId="20AF56D1" w14:textId="77777777" w:rsidR="009260DE" w:rsidRPr="00287D5C" w:rsidRDefault="009260DE" w:rsidP="009260DE">
      <w:pPr>
        <w:pStyle w:val="Titel"/>
        <w:tabs>
          <w:tab w:val="left" w:pos="8222"/>
        </w:tabs>
        <w:jc w:val="left"/>
        <w:rPr>
          <w:b w:val="0"/>
          <w:szCs w:val="24"/>
        </w:rPr>
      </w:pPr>
    </w:p>
    <w:p w14:paraId="01A2414F" w14:textId="77777777" w:rsidR="009260DE" w:rsidRPr="00287D5C" w:rsidRDefault="009260DE" w:rsidP="009260DE">
      <w:pPr>
        <w:pStyle w:val="Titel"/>
        <w:jc w:val="left"/>
        <w:rPr>
          <w:b w:val="0"/>
          <w:szCs w:val="24"/>
        </w:rPr>
      </w:pPr>
    </w:p>
    <w:p w14:paraId="48B01BB6" w14:textId="77777777" w:rsidR="009260DE" w:rsidRPr="00287D5C" w:rsidRDefault="009260DE" w:rsidP="009260DE">
      <w:pPr>
        <w:pStyle w:val="Titel"/>
        <w:jc w:val="left"/>
        <w:rPr>
          <w:b w:val="0"/>
          <w:szCs w:val="24"/>
        </w:rPr>
      </w:pPr>
    </w:p>
    <w:p w14:paraId="2723EECF" w14:textId="77777777" w:rsidR="009260DE" w:rsidRPr="00287D5C" w:rsidRDefault="009260DE" w:rsidP="009260DE">
      <w:pPr>
        <w:jc w:val="center"/>
        <w:rPr>
          <w:b/>
          <w:sz w:val="24"/>
          <w:szCs w:val="24"/>
        </w:rPr>
      </w:pPr>
      <w:r w:rsidRPr="00287D5C">
        <w:rPr>
          <w:b/>
          <w:sz w:val="24"/>
          <w:szCs w:val="24"/>
        </w:rPr>
        <w:t>PRODUKTRESUMÉ</w:t>
      </w:r>
    </w:p>
    <w:p w14:paraId="288D4A66" w14:textId="77777777" w:rsidR="009260DE" w:rsidRPr="00287D5C" w:rsidRDefault="009260DE" w:rsidP="009260DE">
      <w:pPr>
        <w:jc w:val="center"/>
        <w:rPr>
          <w:b/>
          <w:sz w:val="24"/>
          <w:szCs w:val="24"/>
        </w:rPr>
      </w:pPr>
    </w:p>
    <w:p w14:paraId="4F6C04AB" w14:textId="77777777" w:rsidR="009260DE" w:rsidRPr="00287D5C" w:rsidRDefault="009260DE" w:rsidP="009260DE">
      <w:pPr>
        <w:jc w:val="center"/>
        <w:rPr>
          <w:b/>
          <w:sz w:val="24"/>
          <w:szCs w:val="24"/>
        </w:rPr>
      </w:pPr>
      <w:r w:rsidRPr="00287D5C">
        <w:rPr>
          <w:b/>
          <w:sz w:val="24"/>
          <w:szCs w:val="24"/>
        </w:rPr>
        <w:t>for</w:t>
      </w:r>
    </w:p>
    <w:p w14:paraId="7DFBF73F" w14:textId="77777777" w:rsidR="000B058C" w:rsidRPr="00287D5C" w:rsidRDefault="000B058C" w:rsidP="009260DE">
      <w:pPr>
        <w:jc w:val="center"/>
        <w:rPr>
          <w:b/>
          <w:sz w:val="24"/>
          <w:szCs w:val="24"/>
        </w:rPr>
      </w:pPr>
    </w:p>
    <w:p w14:paraId="46493801" w14:textId="46C16800" w:rsidR="009260DE" w:rsidRPr="00781F24" w:rsidRDefault="00781F24" w:rsidP="009260DE">
      <w:pPr>
        <w:jc w:val="center"/>
        <w:rPr>
          <w:b/>
          <w:sz w:val="24"/>
          <w:szCs w:val="24"/>
        </w:rPr>
      </w:pPr>
      <w:r w:rsidRPr="00781F24">
        <w:rPr>
          <w:b/>
          <w:sz w:val="24"/>
          <w:szCs w:val="24"/>
        </w:rPr>
        <w:t>Ondansetron "Aguettant", injektions-/infusionsvæske, opløs</w:t>
      </w:r>
      <w:r>
        <w:rPr>
          <w:b/>
          <w:sz w:val="24"/>
          <w:szCs w:val="24"/>
        </w:rPr>
        <w:t>ning</w:t>
      </w:r>
    </w:p>
    <w:p w14:paraId="01F64B9E" w14:textId="77777777" w:rsidR="009260DE" w:rsidRPr="00781F24" w:rsidRDefault="009260DE" w:rsidP="009260DE">
      <w:pPr>
        <w:jc w:val="both"/>
        <w:rPr>
          <w:sz w:val="24"/>
          <w:szCs w:val="24"/>
        </w:rPr>
      </w:pPr>
    </w:p>
    <w:p w14:paraId="60BFAA4A" w14:textId="77777777" w:rsidR="009260DE" w:rsidRPr="00781F24" w:rsidRDefault="009260DE" w:rsidP="009260DE">
      <w:pPr>
        <w:jc w:val="both"/>
        <w:rPr>
          <w:sz w:val="24"/>
          <w:szCs w:val="24"/>
        </w:rPr>
      </w:pPr>
    </w:p>
    <w:p w14:paraId="33F4B413" w14:textId="77777777" w:rsidR="009260DE" w:rsidRPr="00287D5C" w:rsidRDefault="009260DE" w:rsidP="009260DE">
      <w:pPr>
        <w:tabs>
          <w:tab w:val="left" w:pos="851"/>
        </w:tabs>
        <w:ind w:left="851" w:hanging="851"/>
        <w:rPr>
          <w:b/>
          <w:sz w:val="24"/>
          <w:szCs w:val="24"/>
        </w:rPr>
      </w:pPr>
      <w:r w:rsidRPr="00287D5C">
        <w:rPr>
          <w:b/>
          <w:sz w:val="24"/>
          <w:szCs w:val="24"/>
        </w:rPr>
        <w:t>0.</w:t>
      </w:r>
      <w:r w:rsidRPr="00287D5C">
        <w:rPr>
          <w:b/>
          <w:sz w:val="24"/>
          <w:szCs w:val="24"/>
        </w:rPr>
        <w:tab/>
        <w:t>D.SP.NR.</w:t>
      </w:r>
    </w:p>
    <w:p w14:paraId="4DAD098E" w14:textId="03E2BF8B" w:rsidR="009260DE" w:rsidRPr="00C84483" w:rsidRDefault="00B4165D" w:rsidP="009260DE">
      <w:pPr>
        <w:tabs>
          <w:tab w:val="left" w:pos="851"/>
        </w:tabs>
        <w:ind w:left="851"/>
        <w:rPr>
          <w:sz w:val="24"/>
          <w:szCs w:val="24"/>
        </w:rPr>
      </w:pPr>
      <w:r>
        <w:rPr>
          <w:sz w:val="24"/>
          <w:szCs w:val="24"/>
        </w:rPr>
        <w:t>34578</w:t>
      </w:r>
    </w:p>
    <w:p w14:paraId="02545F76" w14:textId="77777777" w:rsidR="009260DE" w:rsidRPr="00C84483" w:rsidRDefault="009260DE" w:rsidP="009260DE">
      <w:pPr>
        <w:tabs>
          <w:tab w:val="left" w:pos="851"/>
        </w:tabs>
        <w:ind w:left="851"/>
        <w:rPr>
          <w:sz w:val="24"/>
          <w:szCs w:val="24"/>
        </w:rPr>
      </w:pPr>
    </w:p>
    <w:p w14:paraId="79DEE14B"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26F657F4" w14:textId="0A7A0383" w:rsidR="009260DE" w:rsidRDefault="00493C52" w:rsidP="009260DE">
      <w:pPr>
        <w:tabs>
          <w:tab w:val="left" w:pos="851"/>
        </w:tabs>
        <w:ind w:left="851"/>
        <w:rPr>
          <w:sz w:val="24"/>
          <w:szCs w:val="24"/>
        </w:rPr>
      </w:pPr>
      <w:r>
        <w:rPr>
          <w:sz w:val="24"/>
          <w:szCs w:val="24"/>
        </w:rPr>
        <w:t>Ondansetron</w:t>
      </w:r>
      <w:r w:rsidRPr="00493C52">
        <w:rPr>
          <w:sz w:val="24"/>
          <w:szCs w:val="24"/>
        </w:rPr>
        <w:t xml:space="preserve"> "Aguettant"</w:t>
      </w:r>
    </w:p>
    <w:p w14:paraId="4BB20DE5" w14:textId="77777777" w:rsidR="00493C52" w:rsidRPr="00C84483" w:rsidRDefault="00493C52" w:rsidP="009260DE">
      <w:pPr>
        <w:tabs>
          <w:tab w:val="left" w:pos="851"/>
        </w:tabs>
        <w:ind w:left="851"/>
        <w:rPr>
          <w:sz w:val="24"/>
          <w:szCs w:val="24"/>
        </w:rPr>
      </w:pPr>
    </w:p>
    <w:p w14:paraId="5398E39C"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77D61E30" w14:textId="77777777" w:rsidR="00493C52" w:rsidRPr="00493C52" w:rsidRDefault="00493C52" w:rsidP="00493C52">
      <w:pPr>
        <w:tabs>
          <w:tab w:val="left" w:pos="851"/>
        </w:tabs>
        <w:ind w:left="851"/>
        <w:rPr>
          <w:sz w:val="24"/>
          <w:szCs w:val="24"/>
        </w:rPr>
      </w:pPr>
      <w:r w:rsidRPr="00493C52">
        <w:rPr>
          <w:sz w:val="24"/>
          <w:szCs w:val="24"/>
        </w:rPr>
        <w:t>Hver ml opløsning indeholder ondansetronhydrochloriddihydrat svarende til 2 mg ondansetron.</w:t>
      </w:r>
    </w:p>
    <w:p w14:paraId="6C511E62" w14:textId="77777777" w:rsidR="00493C52" w:rsidRPr="00493C52" w:rsidRDefault="00493C52" w:rsidP="00493C52">
      <w:pPr>
        <w:tabs>
          <w:tab w:val="left" w:pos="851"/>
        </w:tabs>
        <w:ind w:left="851"/>
        <w:rPr>
          <w:sz w:val="24"/>
          <w:szCs w:val="24"/>
        </w:rPr>
      </w:pPr>
      <w:r w:rsidRPr="00493C52">
        <w:rPr>
          <w:sz w:val="24"/>
          <w:szCs w:val="24"/>
        </w:rPr>
        <w:t>Hver ampul med 2 ml opløsning indeholder ondansetronhydrochloriddihydrat svarende til 4 mg ondansetron.</w:t>
      </w:r>
    </w:p>
    <w:p w14:paraId="7F0774AF" w14:textId="77777777" w:rsidR="00493C52" w:rsidRPr="00493C52" w:rsidRDefault="00493C52" w:rsidP="00493C52">
      <w:pPr>
        <w:tabs>
          <w:tab w:val="left" w:pos="851"/>
        </w:tabs>
        <w:ind w:left="851"/>
        <w:rPr>
          <w:sz w:val="24"/>
          <w:szCs w:val="24"/>
        </w:rPr>
      </w:pPr>
      <w:r w:rsidRPr="00493C52">
        <w:rPr>
          <w:sz w:val="24"/>
          <w:szCs w:val="24"/>
        </w:rPr>
        <w:t>Hver ampul med 4 ml opløsning indeholder ondansetronhydrochloriddihydrat svarende til 8 mg ondansetron.</w:t>
      </w:r>
    </w:p>
    <w:p w14:paraId="5C144ABE" w14:textId="77777777" w:rsidR="00493C52" w:rsidRPr="00493C52" w:rsidRDefault="00493C52" w:rsidP="00493C52">
      <w:pPr>
        <w:tabs>
          <w:tab w:val="left" w:pos="851"/>
        </w:tabs>
        <w:ind w:left="851"/>
        <w:rPr>
          <w:sz w:val="24"/>
          <w:szCs w:val="24"/>
        </w:rPr>
      </w:pPr>
    </w:p>
    <w:p w14:paraId="11844DE4" w14:textId="77777777" w:rsidR="00493C52" w:rsidRPr="00493C52" w:rsidRDefault="00493C52" w:rsidP="00493C52">
      <w:pPr>
        <w:tabs>
          <w:tab w:val="left" w:pos="851"/>
        </w:tabs>
        <w:ind w:left="851"/>
        <w:rPr>
          <w:sz w:val="24"/>
          <w:szCs w:val="24"/>
        </w:rPr>
      </w:pPr>
      <w:r w:rsidRPr="00493C52">
        <w:rPr>
          <w:sz w:val="24"/>
          <w:szCs w:val="24"/>
          <w:u w:val="single"/>
        </w:rPr>
        <w:t>Hjælpestoffer, som behandleren skal være opmærksom på</w:t>
      </w:r>
    </w:p>
    <w:p w14:paraId="1BACE8C4" w14:textId="77777777" w:rsidR="00493C52" w:rsidRPr="00493C52" w:rsidRDefault="00493C52" w:rsidP="00493C52">
      <w:pPr>
        <w:tabs>
          <w:tab w:val="left" w:pos="851"/>
        </w:tabs>
        <w:ind w:left="851"/>
        <w:rPr>
          <w:sz w:val="24"/>
          <w:szCs w:val="24"/>
        </w:rPr>
      </w:pPr>
      <w:r w:rsidRPr="00493C52">
        <w:rPr>
          <w:sz w:val="24"/>
          <w:szCs w:val="24"/>
        </w:rPr>
        <w:t>Hver ml injektions-/infusionsvæske, opløsning indeholder 3,4 mg natrium, svarende til 0,15 mmol.</w:t>
      </w:r>
    </w:p>
    <w:p w14:paraId="536A5EE0" w14:textId="77777777" w:rsidR="00493C52" w:rsidRPr="00493C52" w:rsidRDefault="00493C52" w:rsidP="00493C52">
      <w:pPr>
        <w:tabs>
          <w:tab w:val="left" w:pos="851"/>
        </w:tabs>
        <w:ind w:left="851"/>
        <w:rPr>
          <w:sz w:val="24"/>
          <w:szCs w:val="24"/>
        </w:rPr>
      </w:pPr>
      <w:r w:rsidRPr="00493C52">
        <w:rPr>
          <w:sz w:val="24"/>
          <w:szCs w:val="24"/>
        </w:rPr>
        <w:t>Hver ampul med 2 ml indeholder 6,8 mg natrium, svarende til 0,3 mmol.</w:t>
      </w:r>
    </w:p>
    <w:p w14:paraId="32C68FA4" w14:textId="77777777" w:rsidR="00493C52" w:rsidRPr="00493C52" w:rsidRDefault="00493C52" w:rsidP="00493C52">
      <w:pPr>
        <w:tabs>
          <w:tab w:val="left" w:pos="851"/>
        </w:tabs>
        <w:ind w:left="851"/>
        <w:rPr>
          <w:sz w:val="24"/>
          <w:szCs w:val="24"/>
        </w:rPr>
      </w:pPr>
      <w:r w:rsidRPr="00493C52">
        <w:rPr>
          <w:sz w:val="24"/>
          <w:szCs w:val="24"/>
        </w:rPr>
        <w:t>Hver ampul med 4 ml indeholder 13,6 mg natrium, svarende til 0,6 mmol.</w:t>
      </w:r>
    </w:p>
    <w:p w14:paraId="06815F5F" w14:textId="77777777" w:rsidR="00493C52" w:rsidRPr="00493C52" w:rsidRDefault="00493C52" w:rsidP="00493C52">
      <w:pPr>
        <w:tabs>
          <w:tab w:val="left" w:pos="851"/>
        </w:tabs>
        <w:ind w:left="851"/>
        <w:rPr>
          <w:sz w:val="24"/>
          <w:szCs w:val="24"/>
        </w:rPr>
      </w:pPr>
    </w:p>
    <w:p w14:paraId="2C347C5B" w14:textId="77777777" w:rsidR="00493C52" w:rsidRPr="00493C52" w:rsidRDefault="00493C52" w:rsidP="00493C52">
      <w:pPr>
        <w:tabs>
          <w:tab w:val="left" w:pos="851"/>
        </w:tabs>
        <w:ind w:left="851"/>
        <w:rPr>
          <w:sz w:val="24"/>
          <w:szCs w:val="24"/>
        </w:rPr>
      </w:pPr>
      <w:r w:rsidRPr="00493C52">
        <w:rPr>
          <w:sz w:val="24"/>
          <w:szCs w:val="24"/>
        </w:rPr>
        <w:t>Alle hjælpestoffer er anført under pkt. 6.1.</w:t>
      </w:r>
    </w:p>
    <w:p w14:paraId="3B77B2DE" w14:textId="77777777" w:rsidR="009260DE" w:rsidRPr="00C84483" w:rsidRDefault="009260DE" w:rsidP="009260DE">
      <w:pPr>
        <w:tabs>
          <w:tab w:val="left" w:pos="851"/>
        </w:tabs>
        <w:ind w:left="851"/>
        <w:rPr>
          <w:sz w:val="24"/>
          <w:szCs w:val="24"/>
        </w:rPr>
      </w:pPr>
    </w:p>
    <w:p w14:paraId="7A15D359"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3C4DB339" w14:textId="77777777" w:rsidR="00493C52" w:rsidRDefault="00493C52" w:rsidP="00493C52">
      <w:pPr>
        <w:tabs>
          <w:tab w:val="left" w:pos="851"/>
        </w:tabs>
        <w:ind w:left="851"/>
        <w:rPr>
          <w:sz w:val="24"/>
          <w:szCs w:val="24"/>
        </w:rPr>
      </w:pPr>
      <w:r w:rsidRPr="00493C52">
        <w:rPr>
          <w:sz w:val="24"/>
          <w:szCs w:val="24"/>
        </w:rPr>
        <w:t>Injektions-/infusionsvæske, opløsning (injektionsvæske/infusionsvæske)</w:t>
      </w:r>
    </w:p>
    <w:p w14:paraId="52495E52" w14:textId="77777777" w:rsidR="00493C52" w:rsidRPr="00493C52" w:rsidRDefault="00493C52" w:rsidP="00493C52">
      <w:pPr>
        <w:tabs>
          <w:tab w:val="left" w:pos="851"/>
        </w:tabs>
        <w:ind w:left="851"/>
        <w:rPr>
          <w:sz w:val="24"/>
          <w:szCs w:val="24"/>
        </w:rPr>
      </w:pPr>
    </w:p>
    <w:p w14:paraId="0BE15C7D" w14:textId="77777777" w:rsidR="00493C52" w:rsidRPr="00493C52" w:rsidRDefault="00493C52" w:rsidP="00493C52">
      <w:pPr>
        <w:tabs>
          <w:tab w:val="left" w:pos="851"/>
        </w:tabs>
        <w:ind w:left="851"/>
        <w:rPr>
          <w:sz w:val="24"/>
          <w:szCs w:val="24"/>
        </w:rPr>
      </w:pPr>
      <w:r w:rsidRPr="00493C52">
        <w:rPr>
          <w:sz w:val="24"/>
          <w:szCs w:val="24"/>
        </w:rPr>
        <w:t>Klar, farveløs opløsning uden synlige partikler.</w:t>
      </w:r>
    </w:p>
    <w:p w14:paraId="5FA5F0FD" w14:textId="77777777" w:rsidR="00493C52" w:rsidRPr="00493C52" w:rsidRDefault="00493C52" w:rsidP="00493C52">
      <w:pPr>
        <w:tabs>
          <w:tab w:val="left" w:pos="851"/>
        </w:tabs>
        <w:ind w:left="851"/>
        <w:rPr>
          <w:sz w:val="24"/>
          <w:szCs w:val="24"/>
        </w:rPr>
      </w:pPr>
      <w:r w:rsidRPr="00493C52">
        <w:rPr>
          <w:sz w:val="24"/>
          <w:szCs w:val="24"/>
        </w:rPr>
        <w:t>Osmolalitet: 270-330 mOsm/kg.</w:t>
      </w:r>
    </w:p>
    <w:p w14:paraId="7C1B01FB" w14:textId="77777777" w:rsidR="00493C52" w:rsidRPr="00493C52" w:rsidRDefault="00493C52" w:rsidP="00493C52">
      <w:pPr>
        <w:tabs>
          <w:tab w:val="left" w:pos="851"/>
        </w:tabs>
        <w:ind w:left="851"/>
        <w:rPr>
          <w:sz w:val="24"/>
          <w:szCs w:val="24"/>
        </w:rPr>
      </w:pPr>
      <w:r w:rsidRPr="00493C52">
        <w:rPr>
          <w:sz w:val="24"/>
          <w:szCs w:val="24"/>
        </w:rPr>
        <w:t>Opløsningens pH: 3,3-4,0.</w:t>
      </w:r>
    </w:p>
    <w:p w14:paraId="42183A3D" w14:textId="77777777" w:rsidR="009260DE" w:rsidRPr="00C84483" w:rsidRDefault="009260DE" w:rsidP="009260DE">
      <w:pPr>
        <w:tabs>
          <w:tab w:val="left" w:pos="851"/>
        </w:tabs>
        <w:ind w:left="851"/>
        <w:rPr>
          <w:sz w:val="24"/>
          <w:szCs w:val="24"/>
        </w:rPr>
      </w:pPr>
    </w:p>
    <w:p w14:paraId="367F1B50" w14:textId="3AAA41B6" w:rsidR="00493C52" w:rsidRDefault="00493C52">
      <w:pPr>
        <w:rPr>
          <w:sz w:val="24"/>
          <w:szCs w:val="24"/>
        </w:rPr>
      </w:pPr>
      <w:r>
        <w:rPr>
          <w:sz w:val="24"/>
          <w:szCs w:val="24"/>
        </w:rPr>
        <w:br w:type="page"/>
      </w:r>
    </w:p>
    <w:p w14:paraId="30A7AC06" w14:textId="77777777" w:rsidR="009260DE" w:rsidRPr="00C84483" w:rsidRDefault="009260DE" w:rsidP="009260DE">
      <w:pPr>
        <w:tabs>
          <w:tab w:val="left" w:pos="851"/>
        </w:tabs>
        <w:ind w:left="851"/>
        <w:rPr>
          <w:sz w:val="24"/>
          <w:szCs w:val="24"/>
        </w:rPr>
      </w:pPr>
    </w:p>
    <w:p w14:paraId="4547AE25"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69F0925D" w14:textId="77777777" w:rsidR="009260DE" w:rsidRPr="00C84483" w:rsidRDefault="009260DE" w:rsidP="009260DE">
      <w:pPr>
        <w:tabs>
          <w:tab w:val="left" w:pos="851"/>
        </w:tabs>
        <w:ind w:left="851"/>
        <w:rPr>
          <w:b/>
          <w:sz w:val="24"/>
          <w:szCs w:val="24"/>
        </w:rPr>
      </w:pPr>
    </w:p>
    <w:p w14:paraId="4D2BDA38"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49AA4EF2" w14:textId="77777777" w:rsidR="00493C52" w:rsidRDefault="00493C52" w:rsidP="00493C52">
      <w:pPr>
        <w:tabs>
          <w:tab w:val="left" w:pos="851"/>
        </w:tabs>
        <w:ind w:left="851"/>
        <w:rPr>
          <w:sz w:val="24"/>
          <w:szCs w:val="24"/>
          <w:u w:val="single"/>
        </w:rPr>
      </w:pPr>
    </w:p>
    <w:p w14:paraId="00C11679" w14:textId="2B7F31E8" w:rsidR="00493C52" w:rsidRPr="00493C52" w:rsidRDefault="00493C52" w:rsidP="00493C52">
      <w:pPr>
        <w:tabs>
          <w:tab w:val="left" w:pos="851"/>
        </w:tabs>
        <w:ind w:left="851"/>
        <w:rPr>
          <w:sz w:val="24"/>
          <w:szCs w:val="24"/>
          <w:u w:val="single"/>
        </w:rPr>
      </w:pPr>
      <w:r w:rsidRPr="00493C52">
        <w:rPr>
          <w:sz w:val="24"/>
          <w:szCs w:val="24"/>
          <w:u w:val="single"/>
        </w:rPr>
        <w:t>Voksne</w:t>
      </w:r>
    </w:p>
    <w:p w14:paraId="0A87D11D" w14:textId="77777777" w:rsidR="00493C52" w:rsidRPr="00493C52" w:rsidRDefault="00493C52" w:rsidP="00493C52">
      <w:pPr>
        <w:tabs>
          <w:tab w:val="left" w:pos="851"/>
        </w:tabs>
        <w:ind w:left="851"/>
        <w:rPr>
          <w:sz w:val="24"/>
          <w:szCs w:val="24"/>
        </w:rPr>
      </w:pPr>
      <w:r w:rsidRPr="00493C52">
        <w:rPr>
          <w:sz w:val="24"/>
          <w:szCs w:val="24"/>
        </w:rPr>
        <w:t xml:space="preserve">Ondansetron er indiceret </w:t>
      </w:r>
    </w:p>
    <w:p w14:paraId="176DFF02" w14:textId="77777777" w:rsidR="00493C52" w:rsidRPr="00493C52" w:rsidRDefault="00493C52" w:rsidP="00493C52">
      <w:pPr>
        <w:numPr>
          <w:ilvl w:val="0"/>
          <w:numId w:val="6"/>
        </w:numPr>
        <w:tabs>
          <w:tab w:val="left" w:pos="851"/>
        </w:tabs>
        <w:ind w:left="1134" w:hanging="283"/>
        <w:rPr>
          <w:sz w:val="24"/>
          <w:szCs w:val="24"/>
        </w:rPr>
      </w:pPr>
      <w:r w:rsidRPr="00493C52">
        <w:rPr>
          <w:sz w:val="24"/>
          <w:szCs w:val="24"/>
        </w:rPr>
        <w:t xml:space="preserve">til behandling af kvalme og opkastning fremkaldt af cytotoksisk kemoterapi og strålebehandling, samt </w:t>
      </w:r>
    </w:p>
    <w:p w14:paraId="71DCBAEA" w14:textId="77777777" w:rsidR="00493C52" w:rsidRPr="00493C52" w:rsidRDefault="00493C52" w:rsidP="00493C52">
      <w:pPr>
        <w:numPr>
          <w:ilvl w:val="0"/>
          <w:numId w:val="6"/>
        </w:numPr>
        <w:tabs>
          <w:tab w:val="left" w:pos="851"/>
        </w:tabs>
        <w:ind w:left="1134" w:hanging="283"/>
        <w:rPr>
          <w:sz w:val="24"/>
          <w:szCs w:val="24"/>
        </w:rPr>
      </w:pPr>
      <w:r w:rsidRPr="00493C52">
        <w:rPr>
          <w:sz w:val="24"/>
          <w:szCs w:val="24"/>
        </w:rPr>
        <w:t>til profylakse og behandling af postoperativ kvalme og opkastning (PONV).</w:t>
      </w:r>
    </w:p>
    <w:p w14:paraId="3BFB9AA2" w14:textId="77777777" w:rsidR="00493C52" w:rsidRPr="00493C52" w:rsidRDefault="00493C52" w:rsidP="00493C52">
      <w:pPr>
        <w:tabs>
          <w:tab w:val="left" w:pos="851"/>
        </w:tabs>
        <w:ind w:left="851"/>
        <w:rPr>
          <w:sz w:val="24"/>
          <w:szCs w:val="24"/>
        </w:rPr>
      </w:pPr>
    </w:p>
    <w:p w14:paraId="3E67FF36" w14:textId="77777777" w:rsidR="00493C52" w:rsidRPr="00493C52" w:rsidRDefault="00493C52" w:rsidP="00493C52">
      <w:pPr>
        <w:tabs>
          <w:tab w:val="left" w:pos="851"/>
        </w:tabs>
        <w:ind w:left="851"/>
        <w:rPr>
          <w:sz w:val="24"/>
          <w:szCs w:val="24"/>
          <w:u w:val="single"/>
        </w:rPr>
      </w:pPr>
      <w:r w:rsidRPr="00493C52">
        <w:rPr>
          <w:sz w:val="24"/>
          <w:szCs w:val="24"/>
          <w:u w:val="single"/>
        </w:rPr>
        <w:t>Pædiatrisk population</w:t>
      </w:r>
    </w:p>
    <w:p w14:paraId="36B68399" w14:textId="77777777" w:rsidR="00493C52" w:rsidRPr="00493C52" w:rsidRDefault="00493C52" w:rsidP="00493C52">
      <w:pPr>
        <w:tabs>
          <w:tab w:val="left" w:pos="851"/>
        </w:tabs>
        <w:ind w:left="851"/>
        <w:rPr>
          <w:sz w:val="24"/>
          <w:szCs w:val="24"/>
        </w:rPr>
      </w:pPr>
      <w:r w:rsidRPr="00493C52">
        <w:rPr>
          <w:sz w:val="24"/>
          <w:szCs w:val="24"/>
        </w:rPr>
        <w:t xml:space="preserve">Hos </w:t>
      </w:r>
      <w:r w:rsidRPr="00493C52">
        <w:rPr>
          <w:i/>
          <w:iCs/>
          <w:sz w:val="24"/>
          <w:szCs w:val="24"/>
        </w:rPr>
        <w:t>børn i alderen ≥ 6 måneder samt unge</w:t>
      </w:r>
      <w:r w:rsidRPr="00493C52">
        <w:rPr>
          <w:sz w:val="24"/>
          <w:szCs w:val="24"/>
        </w:rPr>
        <w:t xml:space="preserve"> er ondansetron indiceret til behandling af kemoterapi-induceret kvalme og opkastning (CINV).</w:t>
      </w:r>
    </w:p>
    <w:p w14:paraId="12E35B47" w14:textId="77777777" w:rsidR="00493C52" w:rsidRPr="00493C52" w:rsidRDefault="00493C52" w:rsidP="00493C52">
      <w:pPr>
        <w:tabs>
          <w:tab w:val="left" w:pos="851"/>
        </w:tabs>
        <w:ind w:left="851"/>
        <w:rPr>
          <w:sz w:val="24"/>
          <w:szCs w:val="24"/>
        </w:rPr>
      </w:pPr>
      <w:r w:rsidRPr="00493C52">
        <w:rPr>
          <w:sz w:val="24"/>
          <w:szCs w:val="24"/>
        </w:rPr>
        <w:t xml:space="preserve">Hos </w:t>
      </w:r>
      <w:r w:rsidRPr="00493C52">
        <w:rPr>
          <w:i/>
          <w:iCs/>
          <w:sz w:val="24"/>
          <w:szCs w:val="24"/>
        </w:rPr>
        <w:t>børn i alderen ≥ 1 måned samt unge</w:t>
      </w:r>
      <w:r w:rsidRPr="00493C52">
        <w:rPr>
          <w:sz w:val="24"/>
          <w:szCs w:val="24"/>
        </w:rPr>
        <w:t xml:space="preserve"> er ondansetron indiceret til profylakse og behandling af postoperativ kvalme og opkastning (PONV).</w:t>
      </w:r>
    </w:p>
    <w:p w14:paraId="350F3BE1" w14:textId="77777777" w:rsidR="009260DE" w:rsidRPr="00C84483" w:rsidRDefault="009260DE" w:rsidP="009260DE">
      <w:pPr>
        <w:tabs>
          <w:tab w:val="left" w:pos="851"/>
        </w:tabs>
        <w:ind w:left="851"/>
        <w:rPr>
          <w:sz w:val="24"/>
          <w:szCs w:val="24"/>
        </w:rPr>
      </w:pPr>
    </w:p>
    <w:p w14:paraId="2478EF92"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60F466B9" w14:textId="77777777" w:rsidR="00493C52" w:rsidRPr="00493C52" w:rsidRDefault="00493C52" w:rsidP="00493C52">
      <w:pPr>
        <w:tabs>
          <w:tab w:val="left" w:pos="851"/>
        </w:tabs>
        <w:ind w:left="851"/>
        <w:rPr>
          <w:sz w:val="24"/>
          <w:szCs w:val="24"/>
        </w:rPr>
      </w:pPr>
    </w:p>
    <w:p w14:paraId="1B15C457" w14:textId="77777777" w:rsidR="00493C52" w:rsidRPr="00493C52" w:rsidRDefault="00493C52" w:rsidP="00493C52">
      <w:pPr>
        <w:tabs>
          <w:tab w:val="left" w:pos="851"/>
        </w:tabs>
        <w:ind w:left="851"/>
        <w:rPr>
          <w:sz w:val="24"/>
          <w:szCs w:val="24"/>
          <w:u w:val="single"/>
        </w:rPr>
      </w:pPr>
      <w:r w:rsidRPr="00493C52">
        <w:rPr>
          <w:sz w:val="24"/>
          <w:szCs w:val="24"/>
          <w:u w:val="single"/>
        </w:rPr>
        <w:t>Dosering</w:t>
      </w:r>
    </w:p>
    <w:p w14:paraId="2D19FE1F" w14:textId="77777777" w:rsidR="00493C52" w:rsidRPr="00493C52" w:rsidRDefault="00493C52" w:rsidP="00493C52">
      <w:pPr>
        <w:tabs>
          <w:tab w:val="left" w:pos="851"/>
        </w:tabs>
        <w:ind w:left="851"/>
        <w:rPr>
          <w:sz w:val="24"/>
          <w:szCs w:val="24"/>
        </w:rPr>
      </w:pPr>
      <w:r w:rsidRPr="00493C52">
        <w:rPr>
          <w:sz w:val="24"/>
          <w:szCs w:val="24"/>
        </w:rPr>
        <w:t>Cancerbehandlingens emetogene potentiale afhænger af dosisniveauet og kombinationen af anvendte kemoterapi- og strålebehandlingsregimer. Valget af dosisregimen bør være bestemt af sværhedsgraden af den emetogene udfordring.</w:t>
      </w:r>
    </w:p>
    <w:p w14:paraId="5936ADCC" w14:textId="77777777" w:rsidR="00493C52" w:rsidRPr="00493C52" w:rsidRDefault="00493C52" w:rsidP="00493C52">
      <w:pPr>
        <w:tabs>
          <w:tab w:val="left" w:pos="851"/>
        </w:tabs>
        <w:ind w:left="851"/>
        <w:rPr>
          <w:sz w:val="24"/>
          <w:szCs w:val="24"/>
        </w:rPr>
      </w:pPr>
    </w:p>
    <w:p w14:paraId="21B65057" w14:textId="77777777" w:rsidR="00493C52" w:rsidRPr="00493C52" w:rsidRDefault="00493C52" w:rsidP="00493C52">
      <w:pPr>
        <w:tabs>
          <w:tab w:val="left" w:pos="851"/>
        </w:tabs>
        <w:ind w:left="851"/>
        <w:rPr>
          <w:sz w:val="24"/>
          <w:szCs w:val="24"/>
        </w:rPr>
      </w:pPr>
      <w:r w:rsidRPr="00493C52">
        <w:rPr>
          <w:sz w:val="24"/>
          <w:szCs w:val="24"/>
          <w:u w:val="single"/>
        </w:rPr>
        <w:t>Administrationsvejen og ondansetrondosen skal være fleksibel i et interval på 8-32 mg om dagen og vælges som vist nedenfor</w:t>
      </w:r>
      <w:r w:rsidRPr="00493C52">
        <w:rPr>
          <w:sz w:val="24"/>
          <w:szCs w:val="24"/>
        </w:rPr>
        <w:t>.</w:t>
      </w:r>
    </w:p>
    <w:p w14:paraId="6A34DC4A" w14:textId="77777777" w:rsidR="00493C52" w:rsidRPr="00493C52" w:rsidRDefault="00493C52" w:rsidP="00493C52">
      <w:pPr>
        <w:tabs>
          <w:tab w:val="left" w:pos="851"/>
        </w:tabs>
        <w:ind w:left="851"/>
        <w:rPr>
          <w:sz w:val="24"/>
          <w:szCs w:val="24"/>
          <w:u w:val="single"/>
        </w:rPr>
      </w:pPr>
    </w:p>
    <w:p w14:paraId="08F3F60D" w14:textId="77777777" w:rsidR="00493C52" w:rsidRPr="00493C52" w:rsidRDefault="00493C52" w:rsidP="00493C52">
      <w:pPr>
        <w:tabs>
          <w:tab w:val="left" w:pos="851"/>
        </w:tabs>
        <w:ind w:left="851"/>
        <w:rPr>
          <w:i/>
          <w:iCs/>
          <w:sz w:val="24"/>
          <w:szCs w:val="24"/>
        </w:rPr>
      </w:pPr>
      <w:r w:rsidRPr="00493C52">
        <w:rPr>
          <w:i/>
          <w:iCs/>
          <w:sz w:val="24"/>
          <w:szCs w:val="24"/>
        </w:rPr>
        <w:t>Voksne</w:t>
      </w:r>
    </w:p>
    <w:p w14:paraId="33915321" w14:textId="77777777" w:rsidR="00493C52" w:rsidRDefault="00493C52" w:rsidP="00493C52">
      <w:pPr>
        <w:tabs>
          <w:tab w:val="left" w:pos="851"/>
        </w:tabs>
        <w:ind w:left="851"/>
        <w:rPr>
          <w:sz w:val="24"/>
          <w:szCs w:val="24"/>
          <w:u w:val="single"/>
        </w:rPr>
      </w:pPr>
    </w:p>
    <w:p w14:paraId="12330B2B" w14:textId="595BD899" w:rsidR="00493C52" w:rsidRPr="00493C52" w:rsidRDefault="00493C52" w:rsidP="00493C52">
      <w:pPr>
        <w:tabs>
          <w:tab w:val="left" w:pos="851"/>
        </w:tabs>
        <w:ind w:left="851"/>
        <w:rPr>
          <w:sz w:val="24"/>
          <w:szCs w:val="24"/>
          <w:u w:val="single"/>
        </w:rPr>
      </w:pPr>
      <w:r w:rsidRPr="00493C52">
        <w:rPr>
          <w:sz w:val="24"/>
          <w:szCs w:val="24"/>
          <w:u w:val="single"/>
        </w:rPr>
        <w:t>Kvalme og opkastning fremkaldt af kemoterapi og strålebehandling</w:t>
      </w:r>
    </w:p>
    <w:p w14:paraId="4B403E2C" w14:textId="77777777" w:rsidR="00493C52" w:rsidRPr="00493C52" w:rsidRDefault="00493C52" w:rsidP="00493C52">
      <w:pPr>
        <w:tabs>
          <w:tab w:val="left" w:pos="851"/>
        </w:tabs>
        <w:ind w:left="851"/>
        <w:rPr>
          <w:sz w:val="24"/>
          <w:szCs w:val="24"/>
        </w:rPr>
      </w:pPr>
      <w:r w:rsidRPr="00493C52">
        <w:rPr>
          <w:sz w:val="24"/>
          <w:szCs w:val="24"/>
        </w:rPr>
        <w:t>Den anbefalede dosis er 8 mg ondansetron, som administreres som en langsom intravenøs injektion (ikke under 30 sekunder) eller intramuskulær injektion eller som en infusion over 15 minutter umiddelbart inden kemoterapi eller strålebehandling.</w:t>
      </w:r>
    </w:p>
    <w:p w14:paraId="7A9DF7BF" w14:textId="77777777" w:rsidR="00493C52" w:rsidRPr="00493C52" w:rsidRDefault="00493C52" w:rsidP="00493C52">
      <w:pPr>
        <w:tabs>
          <w:tab w:val="left" w:pos="851"/>
        </w:tabs>
        <w:ind w:left="851"/>
        <w:rPr>
          <w:sz w:val="24"/>
          <w:szCs w:val="24"/>
          <w:u w:val="single"/>
        </w:rPr>
      </w:pPr>
    </w:p>
    <w:p w14:paraId="19364B75" w14:textId="77777777" w:rsidR="00493C52" w:rsidRPr="00493C52" w:rsidRDefault="00493C52" w:rsidP="00493C52">
      <w:pPr>
        <w:tabs>
          <w:tab w:val="left" w:pos="851"/>
        </w:tabs>
        <w:ind w:left="851"/>
        <w:rPr>
          <w:sz w:val="24"/>
          <w:szCs w:val="24"/>
          <w:u w:val="single"/>
        </w:rPr>
      </w:pPr>
      <w:r w:rsidRPr="00493C52">
        <w:rPr>
          <w:sz w:val="24"/>
          <w:szCs w:val="24"/>
          <w:u w:val="single"/>
        </w:rPr>
        <w:t>Højemetogen kemoterapi</w:t>
      </w:r>
    </w:p>
    <w:p w14:paraId="52F97EBA" w14:textId="77777777" w:rsidR="00493C52" w:rsidRPr="00493C52" w:rsidRDefault="00493C52" w:rsidP="00493C52">
      <w:pPr>
        <w:tabs>
          <w:tab w:val="left" w:pos="851"/>
        </w:tabs>
        <w:ind w:left="851"/>
        <w:rPr>
          <w:sz w:val="24"/>
          <w:szCs w:val="24"/>
        </w:rPr>
      </w:pPr>
      <w:r w:rsidRPr="00493C52">
        <w:rPr>
          <w:sz w:val="24"/>
          <w:szCs w:val="24"/>
        </w:rPr>
        <w:t>Hos patienter, der får højemetogen kemoterapi, f.eks. højdosis cisplatin, har ondansetron vist sig at være lige effektivt ved følgende doseringsplaner over de første 24 timer af kemoterapi:</w:t>
      </w:r>
    </w:p>
    <w:p w14:paraId="487F7A64" w14:textId="77777777" w:rsidR="00493C52" w:rsidRPr="00493C52" w:rsidRDefault="00493C52" w:rsidP="00493C52">
      <w:pPr>
        <w:numPr>
          <w:ilvl w:val="0"/>
          <w:numId w:val="7"/>
        </w:numPr>
        <w:tabs>
          <w:tab w:val="left" w:pos="851"/>
        </w:tabs>
        <w:ind w:left="1134" w:hanging="283"/>
        <w:rPr>
          <w:sz w:val="24"/>
          <w:szCs w:val="24"/>
        </w:rPr>
      </w:pPr>
      <w:r w:rsidRPr="00493C52">
        <w:rPr>
          <w:sz w:val="24"/>
          <w:szCs w:val="24"/>
        </w:rPr>
        <w:t>En enkelt dosis på 8 mg via langsom intravenøs injektion (ikke under 30 sekunder) eller intramuskulær injektion umiddelbart inden kemoterapi.</w:t>
      </w:r>
    </w:p>
    <w:p w14:paraId="5D87197B" w14:textId="77777777" w:rsidR="00493C52" w:rsidRPr="00493C52" w:rsidRDefault="00493C52" w:rsidP="00493C52">
      <w:pPr>
        <w:numPr>
          <w:ilvl w:val="0"/>
          <w:numId w:val="7"/>
        </w:numPr>
        <w:tabs>
          <w:tab w:val="left" w:pos="851"/>
        </w:tabs>
        <w:ind w:left="1134" w:hanging="283"/>
        <w:rPr>
          <w:sz w:val="24"/>
          <w:szCs w:val="24"/>
        </w:rPr>
      </w:pPr>
      <w:r w:rsidRPr="00493C52">
        <w:rPr>
          <w:sz w:val="24"/>
          <w:szCs w:val="24"/>
        </w:rPr>
        <w:t>En dosis på 8 mg via langsom intravenøs injektion (ikke under 30 sekunder) eller intramuskulær injektion umiddelbart inden kemoterapi, efterfulgt af to yderligere intravenøse injektioner (ikke under 30 sekunder) eller intramuskulære doser på 8 mg med fire timers mellemrum, eller via kontinuerlig infusion af 1 mg/time i op til 24 timer.</w:t>
      </w:r>
    </w:p>
    <w:p w14:paraId="22E964A5" w14:textId="77777777" w:rsidR="00493C52" w:rsidRPr="00493C52" w:rsidRDefault="00493C52" w:rsidP="00493C52">
      <w:pPr>
        <w:numPr>
          <w:ilvl w:val="0"/>
          <w:numId w:val="7"/>
        </w:numPr>
        <w:tabs>
          <w:tab w:val="left" w:pos="851"/>
        </w:tabs>
        <w:ind w:left="1134" w:hanging="283"/>
        <w:rPr>
          <w:sz w:val="24"/>
          <w:szCs w:val="24"/>
        </w:rPr>
      </w:pPr>
      <w:r w:rsidRPr="00493C52">
        <w:rPr>
          <w:sz w:val="24"/>
          <w:szCs w:val="24"/>
        </w:rPr>
        <w:t>En maksimal initial intravenøs dosis på 16 mg fortyndet i 50-100 ml saltvand eller anden kompatibel infusionsvæske (se pkt. 6.6), der infunderes over mindst 15 minutter umiddelbart inden kemoterapi. Den indledende ondansetrondosis kan efterfølges af to yderligere intravenøse doser (ikke under 30 sekunder) eller intramuskulære doser på 8 mg med fire timers mellemrum.</w:t>
      </w:r>
    </w:p>
    <w:p w14:paraId="6EC6C310" w14:textId="77777777" w:rsidR="00493C52" w:rsidRPr="00493C52" w:rsidRDefault="00493C52" w:rsidP="00493C52">
      <w:pPr>
        <w:tabs>
          <w:tab w:val="left" w:pos="851"/>
        </w:tabs>
        <w:ind w:left="851"/>
        <w:rPr>
          <w:sz w:val="24"/>
          <w:szCs w:val="24"/>
        </w:rPr>
      </w:pPr>
    </w:p>
    <w:p w14:paraId="5A3634B2" w14:textId="77777777" w:rsidR="00493C52" w:rsidRPr="00493C52" w:rsidRDefault="00493C52" w:rsidP="00493C52">
      <w:pPr>
        <w:tabs>
          <w:tab w:val="left" w:pos="851"/>
        </w:tabs>
        <w:ind w:left="851"/>
        <w:rPr>
          <w:sz w:val="24"/>
          <w:szCs w:val="24"/>
        </w:rPr>
      </w:pPr>
      <w:r w:rsidRPr="00493C52">
        <w:rPr>
          <w:sz w:val="24"/>
          <w:szCs w:val="24"/>
        </w:rPr>
        <w:lastRenderedPageBreak/>
        <w:t>For at beskytte mod forsinket eller længerevarende opkastning efter de første 24 timer anbefales oral eller rektal behandling med ondansetron.</w:t>
      </w:r>
    </w:p>
    <w:p w14:paraId="6C90827A" w14:textId="77777777" w:rsidR="00493C52" w:rsidRPr="00493C52" w:rsidRDefault="00493C52" w:rsidP="00493C52">
      <w:pPr>
        <w:tabs>
          <w:tab w:val="left" w:pos="851"/>
        </w:tabs>
        <w:ind w:left="851"/>
        <w:rPr>
          <w:sz w:val="24"/>
          <w:szCs w:val="24"/>
        </w:rPr>
      </w:pPr>
    </w:p>
    <w:p w14:paraId="7EEA7F26" w14:textId="77777777" w:rsidR="00493C52" w:rsidRPr="00493C52" w:rsidRDefault="00493C52" w:rsidP="00493C52">
      <w:pPr>
        <w:tabs>
          <w:tab w:val="left" w:pos="851"/>
        </w:tabs>
        <w:ind w:left="851"/>
        <w:rPr>
          <w:sz w:val="24"/>
          <w:szCs w:val="24"/>
        </w:rPr>
      </w:pPr>
      <w:r w:rsidRPr="00493C52">
        <w:rPr>
          <w:sz w:val="24"/>
          <w:szCs w:val="24"/>
        </w:rPr>
        <w:t>Ved højemetogen kemoterapi kan ondansetrons virkning forstærkes ved tilføjelse af en enkelt intravenøs dosis dexamethasonnatriumphosphat på 20 mg, administreret inden kemoterapi.</w:t>
      </w:r>
    </w:p>
    <w:p w14:paraId="051CC653" w14:textId="77777777" w:rsidR="00493C52" w:rsidRPr="00493C52" w:rsidRDefault="00493C52" w:rsidP="00493C52">
      <w:pPr>
        <w:tabs>
          <w:tab w:val="left" w:pos="851"/>
        </w:tabs>
        <w:ind w:left="851"/>
        <w:rPr>
          <w:sz w:val="24"/>
          <w:szCs w:val="24"/>
        </w:rPr>
      </w:pPr>
    </w:p>
    <w:p w14:paraId="3BF118D2" w14:textId="77777777" w:rsidR="00493C52" w:rsidRPr="00493C52" w:rsidRDefault="00493C52" w:rsidP="00493C52">
      <w:pPr>
        <w:tabs>
          <w:tab w:val="left" w:pos="851"/>
        </w:tabs>
        <w:ind w:left="851"/>
        <w:rPr>
          <w:sz w:val="24"/>
          <w:szCs w:val="24"/>
        </w:rPr>
      </w:pPr>
      <w:r w:rsidRPr="00493C52">
        <w:rPr>
          <w:sz w:val="24"/>
          <w:szCs w:val="24"/>
        </w:rPr>
        <w:t>Der må ikke gives enkeltdoser på mere end 16 mg på grund af den dosisafhængige risiko for forlængelse af QT-intervallet (se pkt. 4.4, 4.8 og 5.1).</w:t>
      </w:r>
    </w:p>
    <w:p w14:paraId="2B5212BF" w14:textId="77777777" w:rsidR="00493C52" w:rsidRPr="00493C52" w:rsidRDefault="00493C52" w:rsidP="00493C52">
      <w:pPr>
        <w:tabs>
          <w:tab w:val="left" w:pos="851"/>
        </w:tabs>
        <w:ind w:left="851"/>
        <w:rPr>
          <w:sz w:val="24"/>
          <w:szCs w:val="24"/>
        </w:rPr>
      </w:pPr>
    </w:p>
    <w:p w14:paraId="06A5F6CB" w14:textId="77777777" w:rsidR="00493C52" w:rsidRPr="00493C52" w:rsidRDefault="00493C52" w:rsidP="00493C52">
      <w:pPr>
        <w:tabs>
          <w:tab w:val="left" w:pos="851"/>
        </w:tabs>
        <w:ind w:left="851"/>
        <w:rPr>
          <w:sz w:val="24"/>
          <w:szCs w:val="24"/>
        </w:rPr>
      </w:pPr>
      <w:r w:rsidRPr="00493C52">
        <w:rPr>
          <w:sz w:val="24"/>
          <w:szCs w:val="24"/>
        </w:rPr>
        <w:t>Intravenøse doser større end 8 mg og op til en maksimal dosis på 16 mg  fortyndes i 50-100 ml 0,9 % natriumchloridopløsning eller 5 % glucoseopløsning eller anden kompatibel infusionsvæske (se pkt. 6.6) og infunderes over mindst 15 minutter.</w:t>
      </w:r>
    </w:p>
    <w:p w14:paraId="27F96F36" w14:textId="77777777" w:rsidR="00493C52" w:rsidRPr="00493C52" w:rsidRDefault="00493C52" w:rsidP="00493C52">
      <w:pPr>
        <w:tabs>
          <w:tab w:val="left" w:pos="851"/>
        </w:tabs>
        <w:ind w:left="851"/>
        <w:rPr>
          <w:sz w:val="24"/>
          <w:szCs w:val="24"/>
        </w:rPr>
      </w:pPr>
    </w:p>
    <w:p w14:paraId="272C3D91" w14:textId="77777777" w:rsidR="00493C52" w:rsidRPr="00493C52" w:rsidRDefault="00493C52" w:rsidP="00493C52">
      <w:pPr>
        <w:tabs>
          <w:tab w:val="left" w:pos="851"/>
        </w:tabs>
        <w:ind w:left="851"/>
        <w:rPr>
          <w:sz w:val="24"/>
          <w:szCs w:val="24"/>
        </w:rPr>
      </w:pPr>
      <w:r w:rsidRPr="00493C52">
        <w:rPr>
          <w:sz w:val="24"/>
          <w:szCs w:val="24"/>
        </w:rPr>
        <w:t xml:space="preserve">Ondansetrondoser på 8 mg eller derunder behøver ikke at blive fortyndet og kan administreres som en langsom </w:t>
      </w:r>
      <w:bookmarkStart w:id="0" w:name="_Hlk194325269"/>
      <w:r w:rsidRPr="00493C52">
        <w:rPr>
          <w:sz w:val="24"/>
          <w:szCs w:val="24"/>
        </w:rPr>
        <w:t>intramuskulær</w:t>
      </w:r>
      <w:bookmarkEnd w:id="0"/>
      <w:r w:rsidRPr="00493C52">
        <w:rPr>
          <w:sz w:val="24"/>
          <w:szCs w:val="24"/>
        </w:rPr>
        <w:t xml:space="preserve"> injektion eller intravenøs infusion over en periode på mindst 30 sekunder.</w:t>
      </w:r>
    </w:p>
    <w:p w14:paraId="67429A12" w14:textId="77777777" w:rsidR="00493C52" w:rsidRPr="00493C52" w:rsidRDefault="00493C52" w:rsidP="00493C52">
      <w:pPr>
        <w:tabs>
          <w:tab w:val="left" w:pos="851"/>
        </w:tabs>
        <w:ind w:left="851"/>
        <w:rPr>
          <w:sz w:val="24"/>
          <w:szCs w:val="24"/>
        </w:rPr>
      </w:pPr>
    </w:p>
    <w:p w14:paraId="011D9FCD" w14:textId="77777777" w:rsidR="00493C52" w:rsidRPr="00493C52" w:rsidRDefault="00493C52" w:rsidP="00493C52">
      <w:pPr>
        <w:tabs>
          <w:tab w:val="left" w:pos="851"/>
        </w:tabs>
        <w:ind w:left="851"/>
        <w:rPr>
          <w:sz w:val="24"/>
          <w:szCs w:val="24"/>
        </w:rPr>
      </w:pPr>
      <w:r w:rsidRPr="00493C52">
        <w:rPr>
          <w:sz w:val="24"/>
          <w:szCs w:val="24"/>
        </w:rPr>
        <w:t xml:space="preserve">Den samlede maksimale daglige dosis for voksne er 32 mg. </w:t>
      </w:r>
    </w:p>
    <w:p w14:paraId="6888273B" w14:textId="77777777" w:rsidR="00493C52" w:rsidRPr="00493C52" w:rsidRDefault="00493C52" w:rsidP="00493C52">
      <w:pPr>
        <w:tabs>
          <w:tab w:val="left" w:pos="851"/>
        </w:tabs>
        <w:ind w:left="851"/>
        <w:rPr>
          <w:sz w:val="24"/>
          <w:szCs w:val="24"/>
          <w:u w:val="single"/>
        </w:rPr>
      </w:pPr>
    </w:p>
    <w:p w14:paraId="4A55DF45" w14:textId="77777777" w:rsidR="00493C52" w:rsidRPr="00493C52" w:rsidRDefault="00493C52" w:rsidP="00493C52">
      <w:pPr>
        <w:tabs>
          <w:tab w:val="left" w:pos="851"/>
        </w:tabs>
        <w:ind w:left="851"/>
        <w:rPr>
          <w:sz w:val="24"/>
          <w:szCs w:val="24"/>
          <w:u w:val="single"/>
        </w:rPr>
      </w:pPr>
      <w:r w:rsidRPr="00493C52">
        <w:rPr>
          <w:sz w:val="24"/>
          <w:szCs w:val="24"/>
          <w:u w:val="single"/>
        </w:rPr>
        <w:t>Postoperativ kvalme og opkastning (PONV)</w:t>
      </w:r>
    </w:p>
    <w:p w14:paraId="5B634164" w14:textId="77777777" w:rsidR="00493C52" w:rsidRPr="00493C52" w:rsidRDefault="00493C52" w:rsidP="00493C52">
      <w:pPr>
        <w:tabs>
          <w:tab w:val="left" w:pos="851"/>
        </w:tabs>
        <w:ind w:left="851"/>
        <w:rPr>
          <w:sz w:val="24"/>
          <w:szCs w:val="24"/>
        </w:rPr>
      </w:pPr>
      <w:r w:rsidRPr="00493C52">
        <w:rPr>
          <w:sz w:val="24"/>
          <w:szCs w:val="24"/>
        </w:rPr>
        <w:t>Til profylakse af postoperativ kvalme og opkastning er den anbefalede dosis 4 mg ondansetron som en enkelt dosis givet ved intramuskulær eller langsom intravenøs injektion ved induktion af anæstesi.</w:t>
      </w:r>
    </w:p>
    <w:p w14:paraId="09D085AE" w14:textId="77777777" w:rsidR="00493C52" w:rsidRPr="00493C52" w:rsidRDefault="00493C52" w:rsidP="00493C52">
      <w:pPr>
        <w:tabs>
          <w:tab w:val="left" w:pos="851"/>
        </w:tabs>
        <w:ind w:left="851"/>
        <w:rPr>
          <w:sz w:val="24"/>
          <w:szCs w:val="24"/>
        </w:rPr>
      </w:pPr>
      <w:r w:rsidRPr="00493C52">
        <w:rPr>
          <w:sz w:val="24"/>
          <w:szCs w:val="24"/>
        </w:rPr>
        <w:t>Det anbefales at give en enkelt dosis på 4 mg som intramuskulær eller langsom intravenøs injektion til behandling af eksisterende postoperativ kvalme og opkastning.</w:t>
      </w:r>
    </w:p>
    <w:p w14:paraId="1FA50A5A" w14:textId="77777777" w:rsidR="00493C52" w:rsidRPr="00493C52" w:rsidRDefault="00493C52" w:rsidP="00493C52">
      <w:pPr>
        <w:tabs>
          <w:tab w:val="left" w:pos="851"/>
        </w:tabs>
        <w:ind w:left="851"/>
        <w:rPr>
          <w:sz w:val="24"/>
          <w:szCs w:val="24"/>
        </w:rPr>
      </w:pPr>
    </w:p>
    <w:p w14:paraId="198AE3A2" w14:textId="77777777" w:rsidR="00493C52" w:rsidRPr="00493C52" w:rsidRDefault="00493C52" w:rsidP="00493C52">
      <w:pPr>
        <w:tabs>
          <w:tab w:val="left" w:pos="851"/>
        </w:tabs>
        <w:ind w:left="851"/>
        <w:rPr>
          <w:bCs/>
          <w:i/>
          <w:iCs/>
          <w:sz w:val="24"/>
          <w:szCs w:val="24"/>
        </w:rPr>
      </w:pPr>
      <w:r w:rsidRPr="00493C52">
        <w:rPr>
          <w:bCs/>
          <w:i/>
          <w:iCs/>
          <w:sz w:val="24"/>
          <w:szCs w:val="24"/>
        </w:rPr>
        <w:t>Pædiatrisk population</w:t>
      </w:r>
    </w:p>
    <w:p w14:paraId="3AFB64EE" w14:textId="77777777" w:rsidR="00493C52" w:rsidRDefault="00493C52" w:rsidP="00493C52">
      <w:pPr>
        <w:tabs>
          <w:tab w:val="left" w:pos="851"/>
        </w:tabs>
        <w:ind w:left="851"/>
        <w:rPr>
          <w:sz w:val="24"/>
          <w:szCs w:val="24"/>
          <w:u w:val="single"/>
        </w:rPr>
      </w:pPr>
    </w:p>
    <w:p w14:paraId="004B7587" w14:textId="37185180" w:rsidR="00493C52" w:rsidRPr="00493C52" w:rsidRDefault="00493C52" w:rsidP="00493C52">
      <w:pPr>
        <w:tabs>
          <w:tab w:val="left" w:pos="851"/>
        </w:tabs>
        <w:ind w:left="851"/>
        <w:rPr>
          <w:sz w:val="24"/>
          <w:szCs w:val="24"/>
          <w:u w:val="single"/>
        </w:rPr>
      </w:pPr>
      <w:r w:rsidRPr="00493C52">
        <w:rPr>
          <w:sz w:val="24"/>
          <w:szCs w:val="24"/>
          <w:u w:val="single"/>
        </w:rPr>
        <w:t>Kemoterapi-induceret kvalme og opkastning (CINV) hos børn og unge i alderen ≥ 6 måneder til 17 år.</w:t>
      </w:r>
    </w:p>
    <w:p w14:paraId="69E86DF1" w14:textId="77777777" w:rsidR="00493C52" w:rsidRPr="00493C52" w:rsidRDefault="00493C52" w:rsidP="00493C52">
      <w:pPr>
        <w:tabs>
          <w:tab w:val="left" w:pos="851"/>
        </w:tabs>
        <w:ind w:left="851"/>
        <w:rPr>
          <w:sz w:val="24"/>
          <w:szCs w:val="24"/>
        </w:rPr>
      </w:pPr>
      <w:r w:rsidRPr="00493C52">
        <w:rPr>
          <w:sz w:val="24"/>
          <w:szCs w:val="24"/>
        </w:rPr>
        <w:t>Dosis kan beregnes ud fra legemsoverfladearealet (BSA) eller legemsvægten. I pædiatriske kliniske</w:t>
      </w:r>
      <w:r w:rsidRPr="00493C52">
        <w:rPr>
          <w:sz w:val="24"/>
          <w:szCs w:val="24"/>
          <w:u w:val="single"/>
        </w:rPr>
        <w:t xml:space="preserve"> </w:t>
      </w:r>
      <w:r w:rsidRPr="00493C52">
        <w:rPr>
          <w:sz w:val="24"/>
          <w:szCs w:val="24"/>
        </w:rPr>
        <w:t>studier blev ondansetron administreret som en intravenøs infusion fortyndet i 25-50 ml natriumchloridopløsning eller en anden forligelig infusionsvæske (se pkt. 6.6) og infunderet over mindst 15 minutter. Vægtbaseret dosering resulterer i højere totale daglige doser end BSA-baseret dosering (se pkt. 4.4 og 5.1).</w:t>
      </w:r>
    </w:p>
    <w:p w14:paraId="14CEB5B5" w14:textId="77777777" w:rsidR="00493C52" w:rsidRPr="00493C52" w:rsidRDefault="00493C52" w:rsidP="00493C52">
      <w:pPr>
        <w:tabs>
          <w:tab w:val="left" w:pos="851"/>
        </w:tabs>
        <w:ind w:left="851"/>
        <w:rPr>
          <w:sz w:val="24"/>
          <w:szCs w:val="24"/>
        </w:rPr>
      </w:pPr>
      <w:r w:rsidRPr="00493C52">
        <w:rPr>
          <w:sz w:val="24"/>
          <w:szCs w:val="24"/>
        </w:rPr>
        <w:t>Der foreligger ingen data fra kontrollerede kliniske studier om brug af ondansetron til forebyggelse af forsinket eller længerevarende CINV hos børn. Der foreligger ingen data fra kontrollerede kliniske studier om brug af ondansetron mod kvalme og opkastning fremkaldt af strålebehandling hos børn.</w:t>
      </w:r>
    </w:p>
    <w:p w14:paraId="591DABFB" w14:textId="77777777" w:rsidR="00493C52" w:rsidRPr="00493C52" w:rsidRDefault="00493C52" w:rsidP="00493C52">
      <w:pPr>
        <w:tabs>
          <w:tab w:val="left" w:pos="851"/>
        </w:tabs>
        <w:ind w:left="851"/>
        <w:rPr>
          <w:sz w:val="24"/>
          <w:szCs w:val="24"/>
        </w:rPr>
      </w:pPr>
    </w:p>
    <w:p w14:paraId="625BA41B" w14:textId="77777777" w:rsidR="00493C52" w:rsidRPr="00493C52" w:rsidRDefault="00493C52" w:rsidP="00493C52">
      <w:pPr>
        <w:tabs>
          <w:tab w:val="left" w:pos="851"/>
        </w:tabs>
        <w:ind w:left="851"/>
        <w:rPr>
          <w:sz w:val="24"/>
          <w:szCs w:val="24"/>
          <w:u w:val="single"/>
        </w:rPr>
      </w:pPr>
      <w:r w:rsidRPr="00493C52">
        <w:rPr>
          <w:sz w:val="24"/>
          <w:szCs w:val="24"/>
          <w:u w:val="single"/>
        </w:rPr>
        <w:t>Dosering baseret på legemsoverfladeareal (BSA)</w:t>
      </w:r>
    </w:p>
    <w:p w14:paraId="70B39D89" w14:textId="77777777" w:rsidR="00493C52" w:rsidRPr="00493C52" w:rsidRDefault="00493C52" w:rsidP="00493C52">
      <w:pPr>
        <w:tabs>
          <w:tab w:val="left" w:pos="851"/>
        </w:tabs>
        <w:ind w:left="851"/>
        <w:rPr>
          <w:sz w:val="24"/>
          <w:szCs w:val="24"/>
        </w:rPr>
      </w:pPr>
      <w:r w:rsidRPr="00493C52">
        <w:rPr>
          <w:sz w:val="24"/>
          <w:szCs w:val="24"/>
        </w:rPr>
        <w:t>Ondansetron skal administreres umiddelbart før kemoterapi som en enkelt intravenøs dosis på 5 mg/m</w:t>
      </w:r>
      <w:r w:rsidRPr="00493C52">
        <w:rPr>
          <w:sz w:val="24"/>
          <w:szCs w:val="24"/>
          <w:vertAlign w:val="superscript"/>
        </w:rPr>
        <w:t>2</w:t>
      </w:r>
      <w:r w:rsidRPr="00493C52">
        <w:rPr>
          <w:sz w:val="24"/>
          <w:szCs w:val="24"/>
        </w:rPr>
        <w:t>. Den intravenøse dosis må ikke overstige 8 mg. Oral dosering kan igangsættes 12 timer senere og kan fortsættes i op til 5 dage (se tabel 1). Den totale daglige dosis må ikke overstige voksendosen på 32 mg.</w:t>
      </w:r>
    </w:p>
    <w:p w14:paraId="35AF8908" w14:textId="77777777" w:rsidR="00493C52" w:rsidRPr="00493C52" w:rsidRDefault="00493C52" w:rsidP="00493C52">
      <w:pPr>
        <w:tabs>
          <w:tab w:val="left" w:pos="851"/>
        </w:tabs>
        <w:ind w:left="851"/>
        <w:rPr>
          <w:sz w:val="24"/>
          <w:szCs w:val="24"/>
          <w:u w:val="single"/>
        </w:rPr>
      </w:pPr>
    </w:p>
    <w:p w14:paraId="46AA02A6" w14:textId="77777777" w:rsidR="00493C52" w:rsidRPr="00493C52" w:rsidRDefault="00493C52" w:rsidP="00493C52">
      <w:pPr>
        <w:keepNext/>
        <w:rPr>
          <w:b/>
          <w:noProof/>
          <w:sz w:val="22"/>
          <w:szCs w:val="22"/>
        </w:rPr>
      </w:pPr>
      <w:r w:rsidRPr="009142B9">
        <w:rPr>
          <w:b/>
          <w:noProof/>
          <w:sz w:val="22"/>
          <w:szCs w:val="22"/>
        </w:rPr>
        <w:lastRenderedPageBreak/>
        <w:t>Tabel </w:t>
      </w:r>
      <w:r w:rsidRPr="009142B9">
        <w:rPr>
          <w:b/>
          <w:noProof/>
          <w:sz w:val="22"/>
          <w:szCs w:val="22"/>
        </w:rPr>
        <w:fldChar w:fldCharType="begin"/>
      </w:r>
      <w:r w:rsidRPr="009142B9">
        <w:rPr>
          <w:b/>
          <w:noProof/>
          <w:sz w:val="22"/>
          <w:szCs w:val="22"/>
        </w:rPr>
        <w:instrText xml:space="preserve"> SEQ Table \* ARABIC </w:instrText>
      </w:r>
      <w:r w:rsidRPr="009142B9">
        <w:rPr>
          <w:b/>
          <w:noProof/>
          <w:sz w:val="22"/>
          <w:szCs w:val="22"/>
        </w:rPr>
        <w:fldChar w:fldCharType="separate"/>
      </w:r>
      <w:r w:rsidRPr="009142B9">
        <w:rPr>
          <w:b/>
          <w:noProof/>
          <w:sz w:val="22"/>
          <w:szCs w:val="22"/>
        </w:rPr>
        <w:t>1</w:t>
      </w:r>
      <w:r w:rsidRPr="009142B9">
        <w:rPr>
          <w:noProof/>
          <w:sz w:val="22"/>
          <w:szCs w:val="22"/>
        </w:rPr>
        <w:fldChar w:fldCharType="end"/>
      </w:r>
      <w:r w:rsidRPr="009142B9">
        <w:rPr>
          <w:b/>
          <w:noProof/>
          <w:sz w:val="22"/>
          <w:szCs w:val="22"/>
        </w:rPr>
        <w:t xml:space="preserve"> Dosering baseret på legemsoverfladeareal hos børn og unge fra 6 måneder til 17 år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94"/>
        <w:gridCol w:w="4616"/>
        <w:gridCol w:w="2718"/>
      </w:tblGrid>
      <w:tr w:rsidR="00493C52" w:rsidRPr="00493C52" w14:paraId="51021793" w14:textId="77777777">
        <w:trPr>
          <w:trHeight w:val="446"/>
        </w:trPr>
        <w:tc>
          <w:tcPr>
            <w:tcW w:w="1002" w:type="pct"/>
            <w:tcBorders>
              <w:top w:val="single" w:sz="4" w:space="0" w:color="000000"/>
              <w:left w:val="single" w:sz="4" w:space="0" w:color="000000"/>
              <w:bottom w:val="single" w:sz="4" w:space="0" w:color="000000"/>
              <w:right w:val="single" w:sz="4" w:space="0" w:color="000000"/>
            </w:tcBorders>
            <w:vAlign w:val="center"/>
            <w:hideMark/>
          </w:tcPr>
          <w:p w14:paraId="03346576" w14:textId="77777777" w:rsidR="00493C52" w:rsidRPr="00493C52" w:rsidRDefault="00493C52" w:rsidP="00493C52">
            <w:pPr>
              <w:keepNext/>
              <w:rPr>
                <w:b/>
                <w:noProof/>
                <w:sz w:val="22"/>
                <w:szCs w:val="22"/>
                <w:lang w:val="en-GB"/>
              </w:rPr>
            </w:pPr>
            <w:r w:rsidRPr="00493C52">
              <w:rPr>
                <w:b/>
                <w:noProof/>
                <w:sz w:val="22"/>
                <w:szCs w:val="22"/>
                <w:lang w:val="en-GB"/>
              </w:rPr>
              <w:t>Legemsoverfladeareal</w:t>
            </w:r>
          </w:p>
        </w:tc>
        <w:tc>
          <w:tcPr>
            <w:tcW w:w="2492" w:type="pct"/>
            <w:tcBorders>
              <w:top w:val="single" w:sz="4" w:space="0" w:color="000000"/>
              <w:left w:val="single" w:sz="4" w:space="0" w:color="000000"/>
              <w:bottom w:val="single" w:sz="4" w:space="0" w:color="000000"/>
              <w:right w:val="single" w:sz="4" w:space="0" w:color="000000"/>
            </w:tcBorders>
            <w:vAlign w:val="center"/>
            <w:hideMark/>
          </w:tcPr>
          <w:p w14:paraId="0C251A77" w14:textId="77777777" w:rsidR="00493C52" w:rsidRPr="00493C52" w:rsidRDefault="00493C52" w:rsidP="00493C52">
            <w:pPr>
              <w:keepNext/>
              <w:rPr>
                <w:b/>
                <w:noProof/>
                <w:sz w:val="22"/>
                <w:szCs w:val="22"/>
                <w:lang w:val="en-GB"/>
              </w:rPr>
            </w:pPr>
            <w:r w:rsidRPr="00493C52">
              <w:rPr>
                <w:b/>
                <w:noProof/>
                <w:sz w:val="22"/>
                <w:szCs w:val="22"/>
                <w:lang w:val="en-GB"/>
              </w:rPr>
              <w:t>Dag 1</w:t>
            </w:r>
          </w:p>
        </w:tc>
        <w:tc>
          <w:tcPr>
            <w:tcW w:w="1506" w:type="pct"/>
            <w:tcBorders>
              <w:top w:val="single" w:sz="4" w:space="0" w:color="000000"/>
              <w:left w:val="single" w:sz="4" w:space="0" w:color="000000"/>
              <w:bottom w:val="single" w:sz="4" w:space="0" w:color="000000"/>
              <w:right w:val="single" w:sz="4" w:space="0" w:color="000000"/>
            </w:tcBorders>
            <w:vAlign w:val="center"/>
            <w:hideMark/>
          </w:tcPr>
          <w:p w14:paraId="0674FC5C" w14:textId="77777777" w:rsidR="00493C52" w:rsidRPr="00493C52" w:rsidRDefault="00493C52" w:rsidP="00493C52">
            <w:pPr>
              <w:keepNext/>
              <w:rPr>
                <w:b/>
                <w:noProof/>
                <w:sz w:val="22"/>
                <w:szCs w:val="22"/>
                <w:lang w:val="en-GB"/>
              </w:rPr>
            </w:pPr>
            <w:r w:rsidRPr="00493C52">
              <w:rPr>
                <w:b/>
                <w:noProof/>
                <w:sz w:val="22"/>
                <w:szCs w:val="22"/>
                <w:lang w:val="en-GB"/>
              </w:rPr>
              <w:t>Dag 2-6</w:t>
            </w:r>
          </w:p>
        </w:tc>
      </w:tr>
      <w:tr w:rsidR="00493C52" w:rsidRPr="00493C52" w14:paraId="62C5F521" w14:textId="77777777">
        <w:trPr>
          <w:trHeight w:val="816"/>
        </w:trPr>
        <w:tc>
          <w:tcPr>
            <w:tcW w:w="1002" w:type="pct"/>
            <w:tcBorders>
              <w:top w:val="single" w:sz="4" w:space="0" w:color="000000"/>
              <w:left w:val="single" w:sz="4" w:space="0" w:color="000000"/>
              <w:bottom w:val="single" w:sz="4" w:space="0" w:color="000000"/>
              <w:right w:val="single" w:sz="4" w:space="0" w:color="000000"/>
            </w:tcBorders>
            <w:vAlign w:val="center"/>
            <w:hideMark/>
          </w:tcPr>
          <w:p w14:paraId="584F3BE5" w14:textId="77777777" w:rsidR="00493C52" w:rsidRPr="00493C52" w:rsidRDefault="00493C52" w:rsidP="00493C52">
            <w:pPr>
              <w:keepNext/>
              <w:rPr>
                <w:noProof/>
                <w:sz w:val="22"/>
                <w:szCs w:val="22"/>
                <w:lang w:val="en-GB"/>
              </w:rPr>
            </w:pPr>
            <w:r w:rsidRPr="00493C52">
              <w:rPr>
                <w:noProof/>
                <w:sz w:val="22"/>
                <w:szCs w:val="22"/>
                <w:lang w:val="en-GB"/>
              </w:rPr>
              <w:t>&lt; 0,6 m</w:t>
            </w:r>
            <w:r w:rsidRPr="00493C52">
              <w:rPr>
                <w:noProof/>
                <w:sz w:val="22"/>
                <w:szCs w:val="22"/>
                <w:vertAlign w:val="superscript"/>
                <w:lang w:val="en-GB"/>
              </w:rPr>
              <w:t>2</w:t>
            </w:r>
          </w:p>
        </w:tc>
        <w:tc>
          <w:tcPr>
            <w:tcW w:w="2492" w:type="pct"/>
            <w:tcBorders>
              <w:top w:val="single" w:sz="4" w:space="0" w:color="000000"/>
              <w:left w:val="single" w:sz="4" w:space="0" w:color="000000"/>
              <w:bottom w:val="single" w:sz="4" w:space="0" w:color="000000"/>
              <w:right w:val="single" w:sz="4" w:space="0" w:color="000000"/>
            </w:tcBorders>
            <w:vAlign w:val="center"/>
            <w:hideMark/>
          </w:tcPr>
          <w:p w14:paraId="72B99CCD" w14:textId="77777777" w:rsidR="00493C52" w:rsidRPr="00493C52" w:rsidRDefault="00493C52" w:rsidP="00493C52">
            <w:pPr>
              <w:keepNext/>
              <w:rPr>
                <w:noProof/>
                <w:sz w:val="22"/>
                <w:szCs w:val="22"/>
              </w:rPr>
            </w:pPr>
            <w:r w:rsidRPr="00493C52">
              <w:rPr>
                <w:noProof/>
                <w:sz w:val="22"/>
                <w:szCs w:val="22"/>
              </w:rPr>
              <w:t>5 mg/m</w:t>
            </w:r>
            <w:r w:rsidRPr="00493C52">
              <w:rPr>
                <w:noProof/>
                <w:sz w:val="22"/>
                <w:szCs w:val="22"/>
                <w:vertAlign w:val="superscript"/>
              </w:rPr>
              <w:t>2</w:t>
            </w:r>
            <w:r w:rsidRPr="00493C52">
              <w:rPr>
                <w:noProof/>
                <w:sz w:val="22"/>
                <w:szCs w:val="22"/>
              </w:rPr>
              <w:t xml:space="preserve"> i.v. og</w:t>
            </w:r>
          </w:p>
          <w:p w14:paraId="55C151CB" w14:textId="77777777" w:rsidR="00493C52" w:rsidRPr="00493C52" w:rsidRDefault="00493C52" w:rsidP="00493C52">
            <w:pPr>
              <w:keepNext/>
              <w:rPr>
                <w:noProof/>
                <w:sz w:val="22"/>
                <w:szCs w:val="22"/>
              </w:rPr>
            </w:pPr>
            <w:r w:rsidRPr="00493C52">
              <w:rPr>
                <w:noProof/>
                <w:sz w:val="22"/>
                <w:szCs w:val="22"/>
              </w:rPr>
              <w:t>2 mg oralt* efter 12 timer</w:t>
            </w:r>
          </w:p>
        </w:tc>
        <w:tc>
          <w:tcPr>
            <w:tcW w:w="1506" w:type="pct"/>
            <w:tcBorders>
              <w:top w:val="single" w:sz="4" w:space="0" w:color="000000"/>
              <w:left w:val="single" w:sz="4" w:space="0" w:color="000000"/>
              <w:bottom w:val="single" w:sz="4" w:space="0" w:color="000000"/>
              <w:right w:val="single" w:sz="4" w:space="0" w:color="000000"/>
            </w:tcBorders>
            <w:vAlign w:val="center"/>
            <w:hideMark/>
          </w:tcPr>
          <w:p w14:paraId="746BB32F" w14:textId="77777777" w:rsidR="00493C52" w:rsidRPr="00493C52" w:rsidRDefault="00493C52" w:rsidP="00493C52">
            <w:pPr>
              <w:keepNext/>
              <w:rPr>
                <w:noProof/>
                <w:sz w:val="22"/>
                <w:szCs w:val="22"/>
                <w:lang w:val="en-GB"/>
              </w:rPr>
            </w:pPr>
            <w:r w:rsidRPr="00493C52">
              <w:rPr>
                <w:noProof/>
                <w:sz w:val="22"/>
                <w:szCs w:val="22"/>
                <w:lang w:val="en-GB"/>
              </w:rPr>
              <w:t>2 mg oralt* hver 12. time</w:t>
            </w:r>
          </w:p>
        </w:tc>
      </w:tr>
      <w:tr w:rsidR="00493C52" w:rsidRPr="00493C52" w14:paraId="414708DE" w14:textId="77777777">
        <w:trPr>
          <w:trHeight w:val="816"/>
        </w:trPr>
        <w:tc>
          <w:tcPr>
            <w:tcW w:w="1002" w:type="pct"/>
            <w:tcBorders>
              <w:top w:val="single" w:sz="4" w:space="0" w:color="000000"/>
              <w:left w:val="single" w:sz="4" w:space="0" w:color="000000"/>
              <w:bottom w:val="single" w:sz="4" w:space="0" w:color="000000"/>
              <w:right w:val="single" w:sz="4" w:space="0" w:color="000000"/>
            </w:tcBorders>
            <w:vAlign w:val="center"/>
            <w:hideMark/>
          </w:tcPr>
          <w:p w14:paraId="5F59D1EC" w14:textId="77777777" w:rsidR="00493C52" w:rsidRPr="00493C52" w:rsidRDefault="00493C52" w:rsidP="00493C52">
            <w:pPr>
              <w:keepNext/>
              <w:rPr>
                <w:noProof/>
                <w:sz w:val="22"/>
                <w:szCs w:val="22"/>
                <w:lang w:val="en-GB"/>
              </w:rPr>
            </w:pPr>
            <w:r w:rsidRPr="00493C52">
              <w:rPr>
                <w:noProof/>
                <w:sz w:val="22"/>
                <w:szCs w:val="22"/>
                <w:lang w:val="en-GB"/>
              </w:rPr>
              <w:t>≥ 0,6 m</w:t>
            </w:r>
            <w:r w:rsidRPr="00493C52">
              <w:rPr>
                <w:noProof/>
                <w:sz w:val="22"/>
                <w:szCs w:val="22"/>
                <w:vertAlign w:val="superscript"/>
                <w:lang w:val="en-GB"/>
              </w:rPr>
              <w:t>2</w:t>
            </w:r>
            <w:r w:rsidRPr="00493C52">
              <w:rPr>
                <w:noProof/>
                <w:sz w:val="22"/>
                <w:szCs w:val="22"/>
                <w:lang w:val="en-GB"/>
              </w:rPr>
              <w:t xml:space="preserve"> til ≤ 1,2 m</w:t>
            </w:r>
            <w:r w:rsidRPr="00493C52">
              <w:rPr>
                <w:noProof/>
                <w:sz w:val="22"/>
                <w:szCs w:val="22"/>
                <w:vertAlign w:val="superscript"/>
                <w:lang w:val="en-GB"/>
              </w:rPr>
              <w:t>2</w:t>
            </w:r>
          </w:p>
        </w:tc>
        <w:tc>
          <w:tcPr>
            <w:tcW w:w="2492" w:type="pct"/>
            <w:tcBorders>
              <w:top w:val="single" w:sz="4" w:space="0" w:color="000000"/>
              <w:left w:val="single" w:sz="4" w:space="0" w:color="000000"/>
              <w:bottom w:val="single" w:sz="4" w:space="0" w:color="000000"/>
              <w:right w:val="single" w:sz="4" w:space="0" w:color="000000"/>
            </w:tcBorders>
            <w:vAlign w:val="center"/>
            <w:hideMark/>
          </w:tcPr>
          <w:p w14:paraId="13D729E5" w14:textId="77777777" w:rsidR="00493C52" w:rsidRPr="00493C52" w:rsidRDefault="00493C52" w:rsidP="00493C52">
            <w:pPr>
              <w:keepNext/>
              <w:rPr>
                <w:noProof/>
                <w:sz w:val="22"/>
                <w:szCs w:val="22"/>
              </w:rPr>
            </w:pPr>
            <w:r w:rsidRPr="00493C52">
              <w:rPr>
                <w:noProof/>
                <w:sz w:val="22"/>
                <w:szCs w:val="22"/>
              </w:rPr>
              <w:t>5 mg/m</w:t>
            </w:r>
            <w:r w:rsidRPr="00493C52">
              <w:rPr>
                <w:noProof/>
                <w:sz w:val="22"/>
                <w:szCs w:val="22"/>
                <w:vertAlign w:val="superscript"/>
              </w:rPr>
              <w:t>2</w:t>
            </w:r>
            <w:r w:rsidRPr="00493C52">
              <w:rPr>
                <w:noProof/>
                <w:sz w:val="22"/>
                <w:szCs w:val="22"/>
              </w:rPr>
              <w:t xml:space="preserve"> i.v. og</w:t>
            </w:r>
          </w:p>
          <w:p w14:paraId="406F03E4" w14:textId="77777777" w:rsidR="00493C52" w:rsidRPr="00493C52" w:rsidRDefault="00493C52" w:rsidP="00493C52">
            <w:pPr>
              <w:keepNext/>
              <w:rPr>
                <w:noProof/>
                <w:sz w:val="22"/>
                <w:szCs w:val="22"/>
              </w:rPr>
            </w:pPr>
            <w:r w:rsidRPr="00493C52">
              <w:rPr>
                <w:noProof/>
                <w:sz w:val="22"/>
                <w:szCs w:val="22"/>
              </w:rPr>
              <w:t>4 mg oralt* efter 12 timer</w:t>
            </w:r>
          </w:p>
        </w:tc>
        <w:tc>
          <w:tcPr>
            <w:tcW w:w="1506" w:type="pct"/>
            <w:tcBorders>
              <w:top w:val="single" w:sz="4" w:space="0" w:color="000000"/>
              <w:left w:val="single" w:sz="4" w:space="0" w:color="000000"/>
              <w:bottom w:val="single" w:sz="4" w:space="0" w:color="000000"/>
              <w:right w:val="single" w:sz="4" w:space="0" w:color="000000"/>
            </w:tcBorders>
            <w:vAlign w:val="center"/>
            <w:hideMark/>
          </w:tcPr>
          <w:p w14:paraId="7DF52987" w14:textId="77777777" w:rsidR="00493C52" w:rsidRPr="00493C52" w:rsidRDefault="00493C52" w:rsidP="00493C52">
            <w:pPr>
              <w:keepNext/>
              <w:rPr>
                <w:noProof/>
                <w:sz w:val="22"/>
                <w:szCs w:val="22"/>
                <w:lang w:val="en-GB"/>
              </w:rPr>
            </w:pPr>
            <w:r w:rsidRPr="00493C52">
              <w:rPr>
                <w:noProof/>
                <w:sz w:val="22"/>
                <w:szCs w:val="22"/>
                <w:lang w:val="en-GB"/>
              </w:rPr>
              <w:t>4 mg oralt* hver 12. time</w:t>
            </w:r>
          </w:p>
        </w:tc>
      </w:tr>
      <w:tr w:rsidR="00493C52" w:rsidRPr="00493C52" w14:paraId="0804D049" w14:textId="77777777">
        <w:trPr>
          <w:trHeight w:val="816"/>
        </w:trPr>
        <w:tc>
          <w:tcPr>
            <w:tcW w:w="1002" w:type="pct"/>
            <w:tcBorders>
              <w:top w:val="single" w:sz="4" w:space="0" w:color="000000"/>
              <w:left w:val="single" w:sz="4" w:space="0" w:color="000000"/>
              <w:bottom w:val="single" w:sz="4" w:space="0" w:color="000000"/>
              <w:right w:val="single" w:sz="4" w:space="0" w:color="000000"/>
            </w:tcBorders>
            <w:vAlign w:val="center"/>
            <w:hideMark/>
          </w:tcPr>
          <w:p w14:paraId="5D2C0AFB" w14:textId="77777777" w:rsidR="00493C52" w:rsidRPr="00493C52" w:rsidRDefault="00493C52" w:rsidP="00493C52">
            <w:pPr>
              <w:keepNext/>
              <w:rPr>
                <w:noProof/>
                <w:sz w:val="22"/>
                <w:szCs w:val="22"/>
                <w:lang w:val="en-GB"/>
              </w:rPr>
            </w:pPr>
            <w:r w:rsidRPr="00493C52">
              <w:rPr>
                <w:noProof/>
                <w:sz w:val="22"/>
                <w:szCs w:val="22"/>
                <w:lang w:val="en-GB"/>
              </w:rPr>
              <w:t>&gt; 1,2 m</w:t>
            </w:r>
            <w:r w:rsidRPr="00493C52">
              <w:rPr>
                <w:noProof/>
                <w:sz w:val="22"/>
                <w:szCs w:val="22"/>
                <w:vertAlign w:val="superscript"/>
                <w:lang w:val="en-GB"/>
              </w:rPr>
              <w:t>2</w:t>
            </w:r>
          </w:p>
        </w:tc>
        <w:tc>
          <w:tcPr>
            <w:tcW w:w="2492" w:type="pct"/>
            <w:tcBorders>
              <w:top w:val="single" w:sz="4" w:space="0" w:color="000000"/>
              <w:left w:val="single" w:sz="4" w:space="0" w:color="000000"/>
              <w:bottom w:val="single" w:sz="4" w:space="0" w:color="000000"/>
              <w:right w:val="single" w:sz="4" w:space="0" w:color="000000"/>
            </w:tcBorders>
            <w:vAlign w:val="center"/>
            <w:hideMark/>
          </w:tcPr>
          <w:p w14:paraId="7DAE3352" w14:textId="77777777" w:rsidR="00493C52" w:rsidRPr="00493C52" w:rsidRDefault="00493C52" w:rsidP="00493C52">
            <w:pPr>
              <w:keepNext/>
              <w:rPr>
                <w:noProof/>
                <w:sz w:val="22"/>
                <w:szCs w:val="22"/>
              </w:rPr>
            </w:pPr>
            <w:r w:rsidRPr="00493C52">
              <w:rPr>
                <w:noProof/>
                <w:sz w:val="22"/>
                <w:szCs w:val="22"/>
              </w:rPr>
              <w:t>5 mg/m</w:t>
            </w:r>
            <w:r w:rsidRPr="00493C52">
              <w:rPr>
                <w:noProof/>
                <w:sz w:val="22"/>
                <w:szCs w:val="22"/>
                <w:vertAlign w:val="superscript"/>
              </w:rPr>
              <w:t>2</w:t>
            </w:r>
            <w:r w:rsidRPr="00493C52">
              <w:rPr>
                <w:noProof/>
                <w:sz w:val="22"/>
                <w:szCs w:val="22"/>
              </w:rPr>
              <w:t xml:space="preserve"> i.v. eller 8 mg i.v. og 8 mg oralt* efter 12 timer</w:t>
            </w:r>
          </w:p>
        </w:tc>
        <w:tc>
          <w:tcPr>
            <w:tcW w:w="1506" w:type="pct"/>
            <w:tcBorders>
              <w:top w:val="single" w:sz="4" w:space="0" w:color="000000"/>
              <w:left w:val="single" w:sz="4" w:space="0" w:color="000000"/>
              <w:bottom w:val="single" w:sz="4" w:space="0" w:color="000000"/>
              <w:right w:val="single" w:sz="4" w:space="0" w:color="000000"/>
            </w:tcBorders>
            <w:vAlign w:val="center"/>
            <w:hideMark/>
          </w:tcPr>
          <w:p w14:paraId="1EF3BF76" w14:textId="77777777" w:rsidR="00493C52" w:rsidRPr="00493C52" w:rsidRDefault="00493C52" w:rsidP="00493C52">
            <w:pPr>
              <w:keepNext/>
              <w:rPr>
                <w:noProof/>
                <w:sz w:val="22"/>
                <w:szCs w:val="22"/>
                <w:lang w:val="en-GB"/>
              </w:rPr>
            </w:pPr>
            <w:r w:rsidRPr="00493C52">
              <w:rPr>
                <w:noProof/>
                <w:sz w:val="22"/>
                <w:szCs w:val="22"/>
                <w:lang w:val="en-GB"/>
              </w:rPr>
              <w:t>8 mg oralt* hver 12. time</w:t>
            </w:r>
          </w:p>
        </w:tc>
      </w:tr>
    </w:tbl>
    <w:p w14:paraId="3BB73FC2" w14:textId="77777777" w:rsidR="00493C52" w:rsidRPr="00493C52" w:rsidRDefault="00493C52" w:rsidP="00493C52">
      <w:pPr>
        <w:keepNext/>
        <w:rPr>
          <w:noProof/>
          <w:sz w:val="22"/>
          <w:szCs w:val="22"/>
        </w:rPr>
      </w:pPr>
      <w:r w:rsidRPr="00493C52">
        <w:rPr>
          <w:noProof/>
          <w:sz w:val="22"/>
          <w:szCs w:val="22"/>
        </w:rPr>
        <w:t>* Der skal anvendes passende oral doseringsform.</w:t>
      </w:r>
    </w:p>
    <w:p w14:paraId="0015DB02" w14:textId="77777777" w:rsidR="00493C52" w:rsidRPr="00493C52" w:rsidRDefault="00493C52" w:rsidP="00493C52">
      <w:pPr>
        <w:rPr>
          <w:noProof/>
          <w:sz w:val="22"/>
          <w:szCs w:val="22"/>
          <w:u w:val="single"/>
        </w:rPr>
      </w:pPr>
    </w:p>
    <w:p w14:paraId="3E361E49" w14:textId="77777777" w:rsidR="00493C52" w:rsidRPr="00493C52" w:rsidRDefault="00493C52" w:rsidP="00493C52">
      <w:pPr>
        <w:tabs>
          <w:tab w:val="left" w:pos="851"/>
        </w:tabs>
        <w:ind w:left="851"/>
        <w:rPr>
          <w:sz w:val="24"/>
          <w:szCs w:val="24"/>
          <w:u w:val="single"/>
        </w:rPr>
      </w:pPr>
    </w:p>
    <w:p w14:paraId="3D34AB6A" w14:textId="77777777" w:rsidR="00493C52" w:rsidRPr="00493C52" w:rsidRDefault="00493C52" w:rsidP="00493C52">
      <w:pPr>
        <w:tabs>
          <w:tab w:val="left" w:pos="851"/>
        </w:tabs>
        <w:ind w:left="851"/>
        <w:rPr>
          <w:sz w:val="24"/>
          <w:szCs w:val="24"/>
          <w:u w:val="single"/>
        </w:rPr>
      </w:pPr>
      <w:r w:rsidRPr="00493C52">
        <w:rPr>
          <w:sz w:val="24"/>
          <w:szCs w:val="24"/>
          <w:u w:val="single"/>
        </w:rPr>
        <w:t>Dosering baseret på legemsvægt</w:t>
      </w:r>
    </w:p>
    <w:p w14:paraId="28A0D3A2" w14:textId="77777777" w:rsidR="00493C52" w:rsidRPr="00493C52" w:rsidRDefault="00493C52" w:rsidP="00493C52">
      <w:pPr>
        <w:tabs>
          <w:tab w:val="left" w:pos="851"/>
        </w:tabs>
        <w:ind w:left="851"/>
        <w:rPr>
          <w:sz w:val="24"/>
          <w:szCs w:val="24"/>
        </w:rPr>
      </w:pPr>
      <w:r w:rsidRPr="00493C52">
        <w:rPr>
          <w:sz w:val="24"/>
          <w:szCs w:val="24"/>
        </w:rPr>
        <w:t xml:space="preserve">Vægtbaseret dosering resulterer i højere totale daglige doser end BSA-baseret dosering (se pkt. 4.4 og 5.1). </w:t>
      </w:r>
    </w:p>
    <w:p w14:paraId="3CE3A453" w14:textId="77777777" w:rsidR="00493C52" w:rsidRPr="00493C52" w:rsidRDefault="00493C52" w:rsidP="00493C52">
      <w:pPr>
        <w:tabs>
          <w:tab w:val="left" w:pos="851"/>
        </w:tabs>
        <w:ind w:left="851"/>
        <w:rPr>
          <w:sz w:val="24"/>
          <w:szCs w:val="24"/>
        </w:rPr>
      </w:pPr>
      <w:r w:rsidRPr="00493C52">
        <w:rPr>
          <w:sz w:val="24"/>
          <w:szCs w:val="24"/>
        </w:rPr>
        <w:t>Ondansetron skal administreres umiddelbart før kemoterapi som en enkelt intravenøs dosis på 0,15 mg/kg. Den intravenøse dosis må ikke overstige 8 mg. På dag 1 kan der gives yderligere to intravenøse doser med 4 timers mellemrum. Oral dosering kan igangsættes 12 timer senere og kan fortsættes i op til 5 dage (se tabel 2). Den totale daglige dosis må ikke overstige voksendosen på 32 mg.</w:t>
      </w:r>
    </w:p>
    <w:p w14:paraId="0423E005" w14:textId="77777777" w:rsidR="00493C52" w:rsidRPr="00493C52" w:rsidRDefault="00493C52" w:rsidP="00493C52">
      <w:pPr>
        <w:tabs>
          <w:tab w:val="left" w:pos="851"/>
        </w:tabs>
        <w:ind w:left="851"/>
        <w:rPr>
          <w:sz w:val="24"/>
          <w:szCs w:val="24"/>
        </w:rPr>
      </w:pPr>
    </w:p>
    <w:p w14:paraId="45D49D25" w14:textId="77777777" w:rsidR="00493C52" w:rsidRPr="00493C52" w:rsidRDefault="00493C52" w:rsidP="00493C52">
      <w:pPr>
        <w:keepNext/>
        <w:rPr>
          <w:b/>
          <w:noProof/>
          <w:sz w:val="22"/>
          <w:szCs w:val="22"/>
        </w:rPr>
      </w:pPr>
      <w:r w:rsidRPr="00493C52">
        <w:rPr>
          <w:b/>
          <w:noProof/>
          <w:sz w:val="22"/>
          <w:szCs w:val="22"/>
        </w:rPr>
        <w:t>Tabel </w:t>
      </w:r>
      <w:r w:rsidRPr="00493C52">
        <w:rPr>
          <w:b/>
          <w:noProof/>
          <w:sz w:val="22"/>
          <w:szCs w:val="22"/>
        </w:rPr>
        <w:fldChar w:fldCharType="begin"/>
      </w:r>
      <w:r w:rsidRPr="00493C52">
        <w:rPr>
          <w:b/>
          <w:noProof/>
          <w:sz w:val="22"/>
          <w:szCs w:val="22"/>
        </w:rPr>
        <w:instrText xml:space="preserve"> SEQ Table \* ARABIC </w:instrText>
      </w:r>
      <w:r w:rsidRPr="00493C52">
        <w:rPr>
          <w:b/>
          <w:noProof/>
          <w:sz w:val="22"/>
          <w:szCs w:val="22"/>
        </w:rPr>
        <w:fldChar w:fldCharType="separate"/>
      </w:r>
      <w:r w:rsidRPr="00493C52">
        <w:rPr>
          <w:b/>
          <w:noProof/>
          <w:sz w:val="22"/>
          <w:szCs w:val="22"/>
        </w:rPr>
        <w:t>2</w:t>
      </w:r>
      <w:r w:rsidRPr="00493C52">
        <w:rPr>
          <w:noProof/>
          <w:sz w:val="22"/>
          <w:szCs w:val="22"/>
        </w:rPr>
        <w:fldChar w:fldCharType="end"/>
      </w:r>
      <w:r w:rsidRPr="00493C52">
        <w:rPr>
          <w:b/>
          <w:noProof/>
          <w:sz w:val="22"/>
          <w:szCs w:val="22"/>
        </w:rPr>
        <w:t xml:space="preserve"> Dosering baseret på legemsvægt hos børn og unge fra 6 måneder til 17 år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55"/>
        <w:gridCol w:w="4217"/>
        <w:gridCol w:w="3156"/>
      </w:tblGrid>
      <w:tr w:rsidR="00493C52" w:rsidRPr="00493C52" w14:paraId="2A5E2163" w14:textId="77777777">
        <w:trPr>
          <w:trHeight w:val="481"/>
        </w:trPr>
        <w:tc>
          <w:tcPr>
            <w:tcW w:w="1171" w:type="pct"/>
            <w:tcBorders>
              <w:top w:val="single" w:sz="4" w:space="0" w:color="000000"/>
              <w:left w:val="single" w:sz="4" w:space="0" w:color="000000"/>
              <w:bottom w:val="single" w:sz="4" w:space="0" w:color="000000"/>
              <w:right w:val="single" w:sz="4" w:space="0" w:color="000000"/>
            </w:tcBorders>
            <w:vAlign w:val="center"/>
            <w:hideMark/>
          </w:tcPr>
          <w:p w14:paraId="089D6DAF" w14:textId="77777777" w:rsidR="00493C52" w:rsidRPr="00493C52" w:rsidRDefault="00493C52" w:rsidP="00493C52">
            <w:pPr>
              <w:keepNext/>
              <w:rPr>
                <w:b/>
                <w:noProof/>
                <w:sz w:val="22"/>
                <w:szCs w:val="22"/>
                <w:lang w:val="en-GB"/>
              </w:rPr>
            </w:pPr>
            <w:r w:rsidRPr="00493C52">
              <w:rPr>
                <w:b/>
                <w:noProof/>
                <w:sz w:val="22"/>
                <w:szCs w:val="22"/>
                <w:lang w:val="en-GB"/>
              </w:rPr>
              <w:t>Legemsvægt</w:t>
            </w:r>
          </w:p>
        </w:tc>
        <w:tc>
          <w:tcPr>
            <w:tcW w:w="2190" w:type="pct"/>
            <w:tcBorders>
              <w:top w:val="single" w:sz="4" w:space="0" w:color="000000"/>
              <w:left w:val="single" w:sz="4" w:space="0" w:color="000000"/>
              <w:bottom w:val="single" w:sz="4" w:space="0" w:color="000000"/>
              <w:right w:val="single" w:sz="4" w:space="0" w:color="000000"/>
            </w:tcBorders>
            <w:vAlign w:val="center"/>
            <w:hideMark/>
          </w:tcPr>
          <w:p w14:paraId="1A8592DE" w14:textId="77777777" w:rsidR="00493C52" w:rsidRPr="00493C52" w:rsidRDefault="00493C52" w:rsidP="00493C52">
            <w:pPr>
              <w:keepNext/>
              <w:rPr>
                <w:b/>
                <w:noProof/>
                <w:sz w:val="22"/>
                <w:szCs w:val="22"/>
                <w:lang w:val="en-GB"/>
              </w:rPr>
            </w:pPr>
            <w:r w:rsidRPr="00493C52">
              <w:rPr>
                <w:b/>
                <w:noProof/>
                <w:sz w:val="22"/>
                <w:szCs w:val="22"/>
                <w:lang w:val="en-GB"/>
              </w:rPr>
              <w:t>Dag 1</w:t>
            </w:r>
          </w:p>
        </w:tc>
        <w:tc>
          <w:tcPr>
            <w:tcW w:w="1639" w:type="pct"/>
            <w:tcBorders>
              <w:top w:val="single" w:sz="4" w:space="0" w:color="000000"/>
              <w:left w:val="single" w:sz="4" w:space="0" w:color="000000"/>
              <w:bottom w:val="single" w:sz="4" w:space="0" w:color="000000"/>
              <w:right w:val="single" w:sz="4" w:space="0" w:color="000000"/>
            </w:tcBorders>
            <w:vAlign w:val="center"/>
            <w:hideMark/>
          </w:tcPr>
          <w:p w14:paraId="115FFC48" w14:textId="77777777" w:rsidR="00493C52" w:rsidRPr="00493C52" w:rsidRDefault="00493C52" w:rsidP="00493C52">
            <w:pPr>
              <w:keepNext/>
              <w:rPr>
                <w:b/>
                <w:noProof/>
                <w:sz w:val="22"/>
                <w:szCs w:val="22"/>
                <w:lang w:val="en-GB"/>
              </w:rPr>
            </w:pPr>
            <w:r w:rsidRPr="00493C52">
              <w:rPr>
                <w:b/>
                <w:noProof/>
                <w:sz w:val="22"/>
                <w:szCs w:val="22"/>
                <w:lang w:val="en-GB"/>
              </w:rPr>
              <w:t>Dag 2-6</w:t>
            </w:r>
          </w:p>
        </w:tc>
      </w:tr>
      <w:tr w:rsidR="00493C52" w:rsidRPr="00493C52" w14:paraId="776AC9BE" w14:textId="77777777">
        <w:trPr>
          <w:trHeight w:val="738"/>
        </w:trPr>
        <w:tc>
          <w:tcPr>
            <w:tcW w:w="1171" w:type="pct"/>
            <w:tcBorders>
              <w:top w:val="single" w:sz="4" w:space="0" w:color="000000"/>
              <w:left w:val="single" w:sz="4" w:space="0" w:color="000000"/>
              <w:bottom w:val="single" w:sz="4" w:space="0" w:color="000000"/>
              <w:right w:val="single" w:sz="4" w:space="0" w:color="000000"/>
            </w:tcBorders>
            <w:vAlign w:val="center"/>
            <w:hideMark/>
          </w:tcPr>
          <w:p w14:paraId="78339486" w14:textId="77777777" w:rsidR="00493C52" w:rsidRPr="00493C52" w:rsidRDefault="00493C52" w:rsidP="00493C52">
            <w:pPr>
              <w:keepNext/>
              <w:rPr>
                <w:noProof/>
                <w:sz w:val="22"/>
                <w:szCs w:val="22"/>
                <w:lang w:val="en-GB"/>
              </w:rPr>
            </w:pPr>
            <w:r w:rsidRPr="00493C52">
              <w:rPr>
                <w:noProof/>
                <w:sz w:val="22"/>
                <w:szCs w:val="22"/>
                <w:lang w:val="en-GB"/>
              </w:rPr>
              <w:t>≤ 10 kg</w:t>
            </w:r>
          </w:p>
        </w:tc>
        <w:tc>
          <w:tcPr>
            <w:tcW w:w="2190" w:type="pct"/>
            <w:tcBorders>
              <w:top w:val="single" w:sz="4" w:space="0" w:color="000000"/>
              <w:left w:val="single" w:sz="4" w:space="0" w:color="000000"/>
              <w:bottom w:val="single" w:sz="4" w:space="0" w:color="000000"/>
              <w:right w:val="single" w:sz="4" w:space="0" w:color="000000"/>
            </w:tcBorders>
            <w:vAlign w:val="center"/>
            <w:hideMark/>
          </w:tcPr>
          <w:p w14:paraId="6DD5D668" w14:textId="77777777" w:rsidR="00493C52" w:rsidRPr="00493C52" w:rsidRDefault="00493C52" w:rsidP="00493C52">
            <w:pPr>
              <w:keepNext/>
              <w:rPr>
                <w:noProof/>
                <w:sz w:val="22"/>
                <w:szCs w:val="22"/>
              </w:rPr>
            </w:pPr>
            <w:r w:rsidRPr="00493C52">
              <w:rPr>
                <w:noProof/>
                <w:sz w:val="22"/>
                <w:szCs w:val="22"/>
              </w:rPr>
              <w:t>Op til 3 doser på 0,15 mg/kg i.v. hver 4. time</w:t>
            </w:r>
          </w:p>
        </w:tc>
        <w:tc>
          <w:tcPr>
            <w:tcW w:w="1639" w:type="pct"/>
            <w:tcBorders>
              <w:top w:val="single" w:sz="4" w:space="0" w:color="000000"/>
              <w:left w:val="single" w:sz="4" w:space="0" w:color="000000"/>
              <w:bottom w:val="single" w:sz="4" w:space="0" w:color="000000"/>
              <w:right w:val="single" w:sz="4" w:space="0" w:color="000000"/>
            </w:tcBorders>
            <w:vAlign w:val="center"/>
            <w:hideMark/>
          </w:tcPr>
          <w:p w14:paraId="3F8F4C31" w14:textId="77777777" w:rsidR="00493C52" w:rsidRPr="00493C52" w:rsidRDefault="00493C52" w:rsidP="00493C52">
            <w:pPr>
              <w:keepNext/>
              <w:rPr>
                <w:noProof/>
                <w:sz w:val="22"/>
                <w:szCs w:val="22"/>
                <w:lang w:val="en-GB"/>
              </w:rPr>
            </w:pPr>
            <w:r w:rsidRPr="00493C52">
              <w:rPr>
                <w:noProof/>
                <w:sz w:val="22"/>
                <w:szCs w:val="22"/>
                <w:lang w:val="en-GB"/>
              </w:rPr>
              <w:t>2 mg oralt* hver 12. time</w:t>
            </w:r>
          </w:p>
        </w:tc>
      </w:tr>
      <w:tr w:rsidR="00493C52" w:rsidRPr="00493C52" w14:paraId="01A44230" w14:textId="77777777">
        <w:trPr>
          <w:trHeight w:val="816"/>
        </w:trPr>
        <w:tc>
          <w:tcPr>
            <w:tcW w:w="1171" w:type="pct"/>
            <w:tcBorders>
              <w:top w:val="single" w:sz="4" w:space="0" w:color="000000"/>
              <w:left w:val="single" w:sz="4" w:space="0" w:color="000000"/>
              <w:bottom w:val="single" w:sz="4" w:space="0" w:color="000000"/>
              <w:right w:val="single" w:sz="4" w:space="0" w:color="000000"/>
            </w:tcBorders>
            <w:vAlign w:val="center"/>
            <w:hideMark/>
          </w:tcPr>
          <w:p w14:paraId="56CA64F9" w14:textId="77777777" w:rsidR="00493C52" w:rsidRPr="00493C52" w:rsidRDefault="00493C52" w:rsidP="00493C52">
            <w:pPr>
              <w:keepNext/>
              <w:rPr>
                <w:noProof/>
                <w:sz w:val="22"/>
                <w:szCs w:val="22"/>
                <w:lang w:val="en-GB"/>
              </w:rPr>
            </w:pPr>
            <w:r w:rsidRPr="00493C52">
              <w:rPr>
                <w:noProof/>
                <w:sz w:val="22"/>
                <w:szCs w:val="22"/>
                <w:lang w:val="en-GB"/>
              </w:rPr>
              <w:t>&gt; 10 kg</w:t>
            </w:r>
          </w:p>
        </w:tc>
        <w:tc>
          <w:tcPr>
            <w:tcW w:w="2190" w:type="pct"/>
            <w:tcBorders>
              <w:top w:val="single" w:sz="4" w:space="0" w:color="000000"/>
              <w:left w:val="single" w:sz="4" w:space="0" w:color="000000"/>
              <w:bottom w:val="single" w:sz="4" w:space="0" w:color="000000"/>
              <w:right w:val="single" w:sz="4" w:space="0" w:color="000000"/>
            </w:tcBorders>
            <w:vAlign w:val="center"/>
            <w:hideMark/>
          </w:tcPr>
          <w:p w14:paraId="2D90947A" w14:textId="77777777" w:rsidR="00493C52" w:rsidRPr="00493C52" w:rsidRDefault="00493C52" w:rsidP="00493C52">
            <w:pPr>
              <w:keepNext/>
              <w:rPr>
                <w:noProof/>
                <w:sz w:val="22"/>
                <w:szCs w:val="22"/>
              </w:rPr>
            </w:pPr>
            <w:r w:rsidRPr="00493C52">
              <w:rPr>
                <w:noProof/>
                <w:sz w:val="22"/>
                <w:szCs w:val="22"/>
              </w:rPr>
              <w:t>Op til 3 doser på 0,15 mg/kg i.v. hver 4. time</w:t>
            </w:r>
          </w:p>
        </w:tc>
        <w:tc>
          <w:tcPr>
            <w:tcW w:w="1639" w:type="pct"/>
            <w:tcBorders>
              <w:top w:val="single" w:sz="4" w:space="0" w:color="000000"/>
              <w:left w:val="single" w:sz="4" w:space="0" w:color="000000"/>
              <w:bottom w:val="single" w:sz="4" w:space="0" w:color="000000"/>
              <w:right w:val="single" w:sz="4" w:space="0" w:color="000000"/>
            </w:tcBorders>
            <w:vAlign w:val="center"/>
            <w:hideMark/>
          </w:tcPr>
          <w:p w14:paraId="1E9CD501" w14:textId="77777777" w:rsidR="00493C52" w:rsidRPr="00493C52" w:rsidRDefault="00493C52" w:rsidP="00493C52">
            <w:pPr>
              <w:keepNext/>
              <w:rPr>
                <w:noProof/>
                <w:sz w:val="22"/>
                <w:szCs w:val="22"/>
                <w:lang w:val="en-GB"/>
              </w:rPr>
            </w:pPr>
            <w:r w:rsidRPr="00493C52">
              <w:rPr>
                <w:noProof/>
                <w:sz w:val="22"/>
                <w:szCs w:val="22"/>
                <w:lang w:val="en-GB"/>
              </w:rPr>
              <w:t>4 mg oralt* hver 12. time</w:t>
            </w:r>
          </w:p>
        </w:tc>
      </w:tr>
    </w:tbl>
    <w:p w14:paraId="158BCF1B" w14:textId="77777777" w:rsidR="00493C52" w:rsidRPr="00493C52" w:rsidRDefault="00493C52" w:rsidP="00493C52">
      <w:pPr>
        <w:keepNext/>
        <w:rPr>
          <w:noProof/>
          <w:sz w:val="22"/>
          <w:szCs w:val="22"/>
        </w:rPr>
      </w:pPr>
      <w:r w:rsidRPr="00493C52">
        <w:rPr>
          <w:noProof/>
          <w:sz w:val="22"/>
          <w:szCs w:val="22"/>
        </w:rPr>
        <w:t>* Der skal anvendes passende oral doseringsform.</w:t>
      </w:r>
    </w:p>
    <w:p w14:paraId="44709676" w14:textId="77777777" w:rsidR="00493C52" w:rsidRPr="00493C52" w:rsidRDefault="00493C52" w:rsidP="00493C52">
      <w:pPr>
        <w:tabs>
          <w:tab w:val="left" w:pos="851"/>
        </w:tabs>
        <w:ind w:left="851"/>
        <w:rPr>
          <w:sz w:val="24"/>
          <w:szCs w:val="24"/>
        </w:rPr>
      </w:pPr>
    </w:p>
    <w:p w14:paraId="2E48FB65" w14:textId="77777777" w:rsidR="00493C52" w:rsidRPr="00493C52" w:rsidRDefault="00493C52" w:rsidP="00493C52">
      <w:pPr>
        <w:tabs>
          <w:tab w:val="left" w:pos="851"/>
        </w:tabs>
        <w:ind w:left="851"/>
        <w:rPr>
          <w:sz w:val="24"/>
          <w:szCs w:val="24"/>
          <w:u w:val="single"/>
        </w:rPr>
      </w:pPr>
      <w:r w:rsidRPr="00493C52">
        <w:rPr>
          <w:sz w:val="24"/>
          <w:szCs w:val="24"/>
          <w:u w:val="single"/>
        </w:rPr>
        <w:t>Postoperativ kvalme og opkastning hos børn og unge fra 1 måned til 17 år</w:t>
      </w:r>
    </w:p>
    <w:p w14:paraId="40E112F4" w14:textId="77777777" w:rsidR="00493C52" w:rsidRPr="00493C52" w:rsidRDefault="00493C52" w:rsidP="00493C52">
      <w:pPr>
        <w:tabs>
          <w:tab w:val="left" w:pos="851"/>
        </w:tabs>
        <w:ind w:left="851"/>
        <w:rPr>
          <w:sz w:val="24"/>
          <w:szCs w:val="24"/>
        </w:rPr>
      </w:pPr>
      <w:r w:rsidRPr="00493C52">
        <w:rPr>
          <w:sz w:val="24"/>
          <w:szCs w:val="24"/>
        </w:rPr>
        <w:t>Til profylakse af postoperativ kvalme og opkastning hos børn, som har fået foretaget kirurgiske indgreb under generel anæstesi, kan der gives en enkelt dosis på 0,1 mg/kg (op til en maksimumdosis på 4 mg) via langsom intravenøs injektion over mindst 30 sekunder, enten før, under eller efter induktion af anæstesi.</w:t>
      </w:r>
    </w:p>
    <w:p w14:paraId="15A0FC80" w14:textId="77777777" w:rsidR="00493C52" w:rsidRPr="00493C52" w:rsidRDefault="00493C52" w:rsidP="00493C52">
      <w:pPr>
        <w:tabs>
          <w:tab w:val="left" w:pos="851"/>
        </w:tabs>
        <w:ind w:left="851"/>
        <w:rPr>
          <w:sz w:val="24"/>
          <w:szCs w:val="24"/>
        </w:rPr>
      </w:pPr>
      <w:r w:rsidRPr="00493C52">
        <w:rPr>
          <w:sz w:val="24"/>
          <w:szCs w:val="24"/>
        </w:rPr>
        <w:t>Til behandling af eksisterende postoperativ kvalme og opkastning hos pædiatriske patienter anbefales der også en enkelt dosis på 0,1 mg/kg (op til en maksimal dosis på 4 mg ondansetron). Dosen administreres som en langsom intravenøs injektion (ikke under 30 sekunder).</w:t>
      </w:r>
    </w:p>
    <w:p w14:paraId="5C037684" w14:textId="57AF1C8F" w:rsidR="009142B9" w:rsidRDefault="009142B9">
      <w:pPr>
        <w:rPr>
          <w:sz w:val="24"/>
          <w:szCs w:val="24"/>
        </w:rPr>
      </w:pPr>
      <w:r>
        <w:rPr>
          <w:sz w:val="24"/>
          <w:szCs w:val="24"/>
        </w:rPr>
        <w:br w:type="page"/>
      </w:r>
    </w:p>
    <w:p w14:paraId="3D2ACBEB" w14:textId="77777777" w:rsidR="00493C52" w:rsidRPr="00493C52" w:rsidRDefault="00493C52" w:rsidP="00493C52">
      <w:pPr>
        <w:tabs>
          <w:tab w:val="left" w:pos="851"/>
        </w:tabs>
        <w:ind w:left="851"/>
        <w:rPr>
          <w:sz w:val="24"/>
          <w:szCs w:val="24"/>
        </w:rPr>
      </w:pPr>
    </w:p>
    <w:p w14:paraId="0BE692C1" w14:textId="77777777" w:rsidR="00493C52" w:rsidRPr="00493C52" w:rsidRDefault="00493C52" w:rsidP="00493C52">
      <w:pPr>
        <w:tabs>
          <w:tab w:val="left" w:pos="851"/>
        </w:tabs>
        <w:ind w:left="851"/>
        <w:rPr>
          <w:b/>
          <w:bCs/>
          <w:i/>
          <w:iCs/>
          <w:sz w:val="24"/>
          <w:szCs w:val="24"/>
        </w:rPr>
      </w:pPr>
      <w:r w:rsidRPr="00493C52">
        <w:rPr>
          <w:b/>
          <w:bCs/>
          <w:i/>
          <w:iCs/>
          <w:sz w:val="24"/>
          <w:szCs w:val="24"/>
        </w:rPr>
        <w:t>Særlige populationer</w:t>
      </w:r>
    </w:p>
    <w:p w14:paraId="27989FB3" w14:textId="77777777" w:rsidR="00493C52" w:rsidRPr="00493C52" w:rsidRDefault="00493C52" w:rsidP="00493C52">
      <w:pPr>
        <w:tabs>
          <w:tab w:val="left" w:pos="851"/>
        </w:tabs>
        <w:ind w:left="851"/>
        <w:rPr>
          <w:i/>
          <w:iCs/>
          <w:sz w:val="24"/>
          <w:szCs w:val="24"/>
        </w:rPr>
      </w:pPr>
    </w:p>
    <w:p w14:paraId="2533689A" w14:textId="77777777" w:rsidR="00493C52" w:rsidRPr="00493C52" w:rsidRDefault="00493C52" w:rsidP="00493C52">
      <w:pPr>
        <w:tabs>
          <w:tab w:val="left" w:pos="851"/>
        </w:tabs>
        <w:ind w:left="851"/>
        <w:rPr>
          <w:i/>
          <w:iCs/>
          <w:sz w:val="24"/>
          <w:szCs w:val="24"/>
        </w:rPr>
      </w:pPr>
      <w:r w:rsidRPr="00493C52">
        <w:rPr>
          <w:i/>
          <w:iCs/>
          <w:sz w:val="24"/>
          <w:szCs w:val="24"/>
        </w:rPr>
        <w:t>Ældre (</w:t>
      </w:r>
      <w:r w:rsidRPr="00493C52">
        <w:rPr>
          <w:sz w:val="24"/>
          <w:szCs w:val="24"/>
        </w:rPr>
        <w:t>≥ 65 år)</w:t>
      </w:r>
    </w:p>
    <w:p w14:paraId="469CDDEA" w14:textId="77777777" w:rsidR="00493C52" w:rsidRDefault="00493C52" w:rsidP="00493C52">
      <w:pPr>
        <w:tabs>
          <w:tab w:val="left" w:pos="851"/>
        </w:tabs>
        <w:ind w:left="851"/>
        <w:rPr>
          <w:sz w:val="24"/>
          <w:szCs w:val="24"/>
          <w:u w:val="single"/>
        </w:rPr>
      </w:pPr>
    </w:p>
    <w:p w14:paraId="404095DD" w14:textId="692EE1E4" w:rsidR="00493C52" w:rsidRPr="00493C52" w:rsidRDefault="00493C52" w:rsidP="00493C52">
      <w:pPr>
        <w:tabs>
          <w:tab w:val="left" w:pos="851"/>
        </w:tabs>
        <w:ind w:left="851"/>
        <w:rPr>
          <w:sz w:val="24"/>
          <w:szCs w:val="24"/>
          <w:u w:val="single"/>
        </w:rPr>
      </w:pPr>
      <w:r w:rsidRPr="00493C52">
        <w:rPr>
          <w:sz w:val="24"/>
          <w:szCs w:val="24"/>
          <w:u w:val="single"/>
        </w:rPr>
        <w:t>Kvalme og opkastning fremkaldt af kemoterapi og strålebehandling</w:t>
      </w:r>
    </w:p>
    <w:p w14:paraId="08C228CA" w14:textId="77777777" w:rsidR="00493C52" w:rsidRPr="00493C52" w:rsidRDefault="00493C52" w:rsidP="00493C52">
      <w:pPr>
        <w:tabs>
          <w:tab w:val="left" w:pos="851"/>
        </w:tabs>
        <w:ind w:left="851"/>
        <w:rPr>
          <w:sz w:val="24"/>
          <w:szCs w:val="24"/>
        </w:rPr>
      </w:pPr>
      <w:r w:rsidRPr="00493C52">
        <w:rPr>
          <w:sz w:val="24"/>
          <w:szCs w:val="24"/>
        </w:rPr>
        <w:t xml:space="preserve">Hos patienter på 65 år eller ældre skal alle intravenøse doser fortyndes og infunderes over </w:t>
      </w:r>
      <w:bookmarkStart w:id="1" w:name="_Hlk206592584"/>
      <w:r w:rsidRPr="00493C52">
        <w:rPr>
          <w:sz w:val="24"/>
          <w:szCs w:val="24"/>
        </w:rPr>
        <w:t xml:space="preserve">minimum </w:t>
      </w:r>
      <w:bookmarkEnd w:id="1"/>
      <w:r w:rsidRPr="00493C52">
        <w:rPr>
          <w:sz w:val="24"/>
          <w:szCs w:val="24"/>
        </w:rPr>
        <w:t xml:space="preserve"> 15 minutter. Hvis gentagne doser er nødvendige, skal disse gives med mindst 4 timers mellemrum.</w:t>
      </w:r>
    </w:p>
    <w:p w14:paraId="1BA37745" w14:textId="77777777" w:rsidR="00493C52" w:rsidRPr="00493C52" w:rsidRDefault="00493C52" w:rsidP="00493C52">
      <w:pPr>
        <w:tabs>
          <w:tab w:val="left" w:pos="851"/>
        </w:tabs>
        <w:ind w:left="851"/>
        <w:rPr>
          <w:sz w:val="24"/>
          <w:szCs w:val="24"/>
        </w:rPr>
      </w:pPr>
    </w:p>
    <w:p w14:paraId="69235A25" w14:textId="77777777" w:rsidR="00493C52" w:rsidRPr="00493C52" w:rsidRDefault="00493C52" w:rsidP="00493C52">
      <w:pPr>
        <w:tabs>
          <w:tab w:val="left" w:pos="851"/>
        </w:tabs>
        <w:ind w:left="851"/>
        <w:rPr>
          <w:sz w:val="24"/>
          <w:szCs w:val="24"/>
        </w:rPr>
      </w:pPr>
      <w:r w:rsidRPr="00493C52">
        <w:rPr>
          <w:sz w:val="24"/>
          <w:szCs w:val="24"/>
        </w:rPr>
        <w:t>Hos patienter i alderen 65 til 74 år kan doseringsplanen for voksne anvendes.</w:t>
      </w:r>
    </w:p>
    <w:p w14:paraId="0C46339B" w14:textId="77777777" w:rsidR="00493C52" w:rsidRPr="00493C52" w:rsidRDefault="00493C52" w:rsidP="00493C52">
      <w:pPr>
        <w:tabs>
          <w:tab w:val="left" w:pos="851"/>
        </w:tabs>
        <w:ind w:left="851"/>
        <w:rPr>
          <w:sz w:val="24"/>
          <w:szCs w:val="24"/>
        </w:rPr>
      </w:pPr>
      <w:r w:rsidRPr="00493C52">
        <w:rPr>
          <w:sz w:val="24"/>
          <w:szCs w:val="24"/>
        </w:rPr>
        <w:t>Hos patienter på 75 år eller ældre må den initiale dosis ondansetron, der indgives som en infusion over minimum 15 minutter, ikke overstige 8 mg. Dette kan efterfølges af to yderligere doser på 8 mg, der kan administreres som en infusion over mindst 15 minutter og med mellemrum på mindst 4 timer (se pkt. 5.2).</w:t>
      </w:r>
    </w:p>
    <w:p w14:paraId="7C3685F1" w14:textId="77777777" w:rsidR="00493C52" w:rsidRPr="00493C52" w:rsidRDefault="00493C52" w:rsidP="00493C52">
      <w:pPr>
        <w:tabs>
          <w:tab w:val="left" w:pos="851"/>
        </w:tabs>
        <w:ind w:left="851"/>
        <w:rPr>
          <w:sz w:val="24"/>
          <w:szCs w:val="24"/>
        </w:rPr>
      </w:pPr>
    </w:p>
    <w:p w14:paraId="52BD5713" w14:textId="77777777" w:rsidR="00493C52" w:rsidRPr="00493C52" w:rsidRDefault="00493C52" w:rsidP="00493C52">
      <w:pPr>
        <w:tabs>
          <w:tab w:val="left" w:pos="851"/>
        </w:tabs>
        <w:ind w:left="851"/>
        <w:rPr>
          <w:sz w:val="24"/>
          <w:szCs w:val="24"/>
          <w:u w:val="single"/>
        </w:rPr>
      </w:pPr>
      <w:r w:rsidRPr="00493C52">
        <w:rPr>
          <w:sz w:val="24"/>
          <w:szCs w:val="24"/>
          <w:u w:val="single"/>
        </w:rPr>
        <w:t>Postoperativ kvalme og opkastning</w:t>
      </w:r>
    </w:p>
    <w:p w14:paraId="44C25CBA" w14:textId="77777777" w:rsidR="00493C52" w:rsidRPr="00493C52" w:rsidRDefault="00493C52" w:rsidP="00493C52">
      <w:pPr>
        <w:tabs>
          <w:tab w:val="left" w:pos="851"/>
        </w:tabs>
        <w:ind w:left="851"/>
        <w:rPr>
          <w:sz w:val="24"/>
          <w:szCs w:val="24"/>
        </w:rPr>
      </w:pPr>
      <w:r w:rsidRPr="00493C52">
        <w:rPr>
          <w:sz w:val="24"/>
          <w:szCs w:val="24"/>
        </w:rPr>
        <w:t>Der er begrænset erfaring med anvendelse af ondansetron til profylakse og behandling af postoperativ kvalme og opkastning hos ældre patienter. Ondansetron tolereres dog godt af patienter over 65 år, der får kemoterapi.</w:t>
      </w:r>
    </w:p>
    <w:p w14:paraId="6F6C29D4" w14:textId="77777777" w:rsidR="00493C52" w:rsidRPr="00493C52" w:rsidRDefault="00493C52" w:rsidP="00493C52">
      <w:pPr>
        <w:tabs>
          <w:tab w:val="left" w:pos="851"/>
        </w:tabs>
        <w:ind w:left="851"/>
        <w:rPr>
          <w:sz w:val="24"/>
          <w:szCs w:val="24"/>
        </w:rPr>
      </w:pPr>
    </w:p>
    <w:p w14:paraId="238D9730" w14:textId="77777777" w:rsidR="00493C52" w:rsidRPr="00493C52" w:rsidRDefault="00493C52" w:rsidP="00493C52">
      <w:pPr>
        <w:tabs>
          <w:tab w:val="left" w:pos="851"/>
        </w:tabs>
        <w:ind w:left="851"/>
        <w:rPr>
          <w:i/>
          <w:iCs/>
          <w:sz w:val="24"/>
          <w:szCs w:val="24"/>
        </w:rPr>
      </w:pPr>
      <w:r w:rsidRPr="00493C52">
        <w:rPr>
          <w:i/>
          <w:iCs/>
          <w:sz w:val="24"/>
          <w:szCs w:val="24"/>
        </w:rPr>
        <w:t>Patienter med nedsat leverfunktion</w:t>
      </w:r>
    </w:p>
    <w:p w14:paraId="09EDD8F1" w14:textId="77777777" w:rsidR="00493C52" w:rsidRPr="00493C52" w:rsidRDefault="00493C52" w:rsidP="00493C52">
      <w:pPr>
        <w:tabs>
          <w:tab w:val="left" w:pos="851"/>
        </w:tabs>
        <w:ind w:left="851"/>
        <w:rPr>
          <w:sz w:val="24"/>
          <w:szCs w:val="24"/>
        </w:rPr>
      </w:pPr>
      <w:r w:rsidRPr="00493C52">
        <w:rPr>
          <w:sz w:val="24"/>
          <w:szCs w:val="24"/>
        </w:rPr>
        <w:t>Ondansetrons clearance er signifikant reduceret og serumhalveringstiden signifikant længere hos patienter med moderat eller svært nedsat leverfunktion. Hos sådanne patienter må den daglige dosis ikke overskride 8 mg.</w:t>
      </w:r>
    </w:p>
    <w:p w14:paraId="04A85A7D" w14:textId="77777777" w:rsidR="00493C52" w:rsidRPr="00493C52" w:rsidRDefault="00493C52" w:rsidP="00493C52">
      <w:pPr>
        <w:tabs>
          <w:tab w:val="left" w:pos="851"/>
        </w:tabs>
        <w:ind w:left="851"/>
        <w:rPr>
          <w:sz w:val="24"/>
          <w:szCs w:val="24"/>
        </w:rPr>
      </w:pPr>
    </w:p>
    <w:p w14:paraId="49A42515" w14:textId="77777777" w:rsidR="00493C52" w:rsidRPr="00493C52" w:rsidRDefault="00493C52" w:rsidP="00493C52">
      <w:pPr>
        <w:tabs>
          <w:tab w:val="left" w:pos="851"/>
        </w:tabs>
        <w:ind w:left="851"/>
        <w:rPr>
          <w:i/>
          <w:iCs/>
          <w:sz w:val="24"/>
          <w:szCs w:val="24"/>
        </w:rPr>
      </w:pPr>
      <w:r w:rsidRPr="00493C52">
        <w:rPr>
          <w:i/>
          <w:iCs/>
          <w:sz w:val="24"/>
          <w:szCs w:val="24"/>
        </w:rPr>
        <w:t>Patienter med nedsat nyrefunktion</w:t>
      </w:r>
    </w:p>
    <w:p w14:paraId="392F6EE5" w14:textId="77777777" w:rsidR="00493C52" w:rsidRPr="00493C52" w:rsidRDefault="00493C52" w:rsidP="00493C52">
      <w:pPr>
        <w:tabs>
          <w:tab w:val="left" w:pos="851"/>
        </w:tabs>
        <w:ind w:left="851"/>
        <w:rPr>
          <w:sz w:val="24"/>
          <w:szCs w:val="24"/>
        </w:rPr>
      </w:pPr>
      <w:r w:rsidRPr="00493C52">
        <w:rPr>
          <w:sz w:val="24"/>
          <w:szCs w:val="24"/>
        </w:rPr>
        <w:t>Det er ikke nødvendigt at ændre dosis, doseringshyppighed eller indgivelsesmåde.</w:t>
      </w:r>
    </w:p>
    <w:p w14:paraId="6BBE1FFB" w14:textId="77777777" w:rsidR="00493C52" w:rsidRPr="00493C52" w:rsidRDefault="00493C52" w:rsidP="00493C52">
      <w:pPr>
        <w:tabs>
          <w:tab w:val="left" w:pos="851"/>
        </w:tabs>
        <w:ind w:left="851"/>
        <w:rPr>
          <w:sz w:val="24"/>
          <w:szCs w:val="24"/>
        </w:rPr>
      </w:pPr>
    </w:p>
    <w:p w14:paraId="77DDC363" w14:textId="77777777" w:rsidR="00493C52" w:rsidRPr="00493C52" w:rsidRDefault="00493C52" w:rsidP="00493C52">
      <w:pPr>
        <w:tabs>
          <w:tab w:val="left" w:pos="851"/>
        </w:tabs>
        <w:ind w:left="851"/>
        <w:rPr>
          <w:i/>
          <w:iCs/>
          <w:sz w:val="24"/>
          <w:szCs w:val="24"/>
        </w:rPr>
      </w:pPr>
      <w:r w:rsidRPr="00493C52">
        <w:rPr>
          <w:i/>
          <w:iCs/>
          <w:sz w:val="24"/>
          <w:szCs w:val="24"/>
        </w:rPr>
        <w:t>Patienter med nedsat spartein-/debrisoquinmetabolisme</w:t>
      </w:r>
    </w:p>
    <w:p w14:paraId="119D99B0" w14:textId="77777777" w:rsidR="00493C52" w:rsidRPr="00493C52" w:rsidRDefault="00493C52" w:rsidP="00493C52">
      <w:pPr>
        <w:tabs>
          <w:tab w:val="left" w:pos="851"/>
        </w:tabs>
        <w:ind w:left="851"/>
        <w:rPr>
          <w:sz w:val="24"/>
          <w:szCs w:val="24"/>
        </w:rPr>
      </w:pPr>
      <w:r w:rsidRPr="00493C52">
        <w:rPr>
          <w:sz w:val="24"/>
          <w:szCs w:val="24"/>
        </w:rPr>
        <w:t>Ondansetrons eliminationshalveringstid er uforandret hos patienter med ringe metabolisering af spartein eller debrisoquin. Derfor vil gentagne doser ikke give andre eksponeringsniveauer for lægemidlet hos disse patienter end hos den generelle population. Det er ikke nødvendigt at ændre den daglige dosis eller doseringshyppigheden.</w:t>
      </w:r>
    </w:p>
    <w:p w14:paraId="661DBDFE" w14:textId="77777777" w:rsidR="00493C52" w:rsidRPr="00493C52" w:rsidRDefault="00493C52" w:rsidP="00493C52">
      <w:pPr>
        <w:tabs>
          <w:tab w:val="left" w:pos="851"/>
        </w:tabs>
        <w:ind w:left="851"/>
        <w:rPr>
          <w:sz w:val="24"/>
          <w:szCs w:val="24"/>
        </w:rPr>
      </w:pPr>
    </w:p>
    <w:p w14:paraId="1E0E96F0" w14:textId="77777777" w:rsidR="00493C52" w:rsidRPr="00493C52" w:rsidRDefault="00493C52" w:rsidP="00493C52">
      <w:pPr>
        <w:tabs>
          <w:tab w:val="left" w:pos="851"/>
        </w:tabs>
        <w:ind w:left="851"/>
        <w:rPr>
          <w:i/>
          <w:iCs/>
          <w:sz w:val="24"/>
          <w:szCs w:val="24"/>
        </w:rPr>
      </w:pPr>
      <w:r w:rsidRPr="00493C52">
        <w:rPr>
          <w:i/>
          <w:iCs/>
          <w:sz w:val="24"/>
          <w:szCs w:val="24"/>
        </w:rPr>
        <w:t>Forligelighed med andre lægemidler</w:t>
      </w:r>
    </w:p>
    <w:p w14:paraId="30C12A9D" w14:textId="77777777" w:rsidR="00493C52" w:rsidRPr="00493C52" w:rsidRDefault="00493C52" w:rsidP="00493C52">
      <w:pPr>
        <w:tabs>
          <w:tab w:val="left" w:pos="851"/>
        </w:tabs>
        <w:ind w:left="851"/>
        <w:rPr>
          <w:sz w:val="24"/>
          <w:szCs w:val="24"/>
        </w:rPr>
      </w:pPr>
      <w:r w:rsidRPr="00493C52">
        <w:rPr>
          <w:sz w:val="24"/>
          <w:szCs w:val="24"/>
        </w:rPr>
        <w:t>Se pkt. 6.6. vedrørende forligelighed med andre lægemidler.</w:t>
      </w:r>
    </w:p>
    <w:p w14:paraId="7D8C9010" w14:textId="77777777" w:rsidR="00493C52" w:rsidRPr="00493C52" w:rsidRDefault="00493C52" w:rsidP="00493C52">
      <w:pPr>
        <w:tabs>
          <w:tab w:val="left" w:pos="851"/>
        </w:tabs>
        <w:ind w:left="851"/>
        <w:rPr>
          <w:sz w:val="24"/>
          <w:szCs w:val="24"/>
        </w:rPr>
      </w:pPr>
    </w:p>
    <w:p w14:paraId="147FBD83" w14:textId="77777777" w:rsidR="00493C52" w:rsidRPr="00493C52" w:rsidRDefault="00493C52" w:rsidP="00493C52">
      <w:pPr>
        <w:tabs>
          <w:tab w:val="left" w:pos="851"/>
        </w:tabs>
        <w:ind w:left="851"/>
        <w:rPr>
          <w:sz w:val="24"/>
          <w:szCs w:val="24"/>
          <w:u w:val="single"/>
        </w:rPr>
      </w:pPr>
      <w:r w:rsidRPr="00493C52">
        <w:rPr>
          <w:sz w:val="24"/>
          <w:szCs w:val="24"/>
          <w:u w:val="single"/>
        </w:rPr>
        <w:t xml:space="preserve">Administration </w:t>
      </w:r>
    </w:p>
    <w:p w14:paraId="0395FC45" w14:textId="77777777" w:rsidR="00493C52" w:rsidRPr="00493C52" w:rsidRDefault="00493C52" w:rsidP="00493C52">
      <w:pPr>
        <w:tabs>
          <w:tab w:val="left" w:pos="851"/>
        </w:tabs>
        <w:ind w:left="851"/>
        <w:rPr>
          <w:iCs/>
          <w:sz w:val="24"/>
          <w:szCs w:val="24"/>
        </w:rPr>
      </w:pPr>
      <w:r w:rsidRPr="00493C52">
        <w:rPr>
          <w:sz w:val="24"/>
          <w:szCs w:val="24"/>
        </w:rPr>
        <w:t>Til intravenøs og intramuskulær anvendelse. Ondansetron kan administreres som en langsom intravenøs injektion eller som en langsom intravenøs infusion eller som en intramuskulær injektion.</w:t>
      </w:r>
    </w:p>
    <w:p w14:paraId="2BFBA6F4" w14:textId="77777777" w:rsidR="00493C52" w:rsidRPr="00493C52" w:rsidRDefault="00493C52" w:rsidP="00493C52">
      <w:pPr>
        <w:tabs>
          <w:tab w:val="left" w:pos="851"/>
        </w:tabs>
        <w:ind w:left="851"/>
        <w:rPr>
          <w:iCs/>
          <w:sz w:val="24"/>
          <w:szCs w:val="24"/>
        </w:rPr>
      </w:pPr>
      <w:r w:rsidRPr="00493C52">
        <w:rPr>
          <w:sz w:val="24"/>
          <w:szCs w:val="24"/>
        </w:rPr>
        <w:t>For instruktioner om klargøring af infusionsopløsning og forligelige opløsninger, se pkt. 6.6.</w:t>
      </w:r>
    </w:p>
    <w:p w14:paraId="583F5FE5" w14:textId="77777777" w:rsidR="009260DE" w:rsidRPr="00C84483" w:rsidRDefault="009260DE" w:rsidP="009260DE">
      <w:pPr>
        <w:tabs>
          <w:tab w:val="left" w:pos="851"/>
        </w:tabs>
        <w:ind w:left="851"/>
        <w:rPr>
          <w:sz w:val="24"/>
          <w:szCs w:val="24"/>
        </w:rPr>
      </w:pPr>
    </w:p>
    <w:p w14:paraId="124EC077"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78591757" w14:textId="77777777" w:rsidR="00530BD5" w:rsidRPr="00530BD5" w:rsidRDefault="00530BD5" w:rsidP="00530BD5">
      <w:pPr>
        <w:tabs>
          <w:tab w:val="left" w:pos="851"/>
        </w:tabs>
        <w:ind w:left="851"/>
        <w:rPr>
          <w:sz w:val="24"/>
          <w:szCs w:val="24"/>
        </w:rPr>
      </w:pPr>
      <w:r w:rsidRPr="00530BD5">
        <w:rPr>
          <w:sz w:val="24"/>
          <w:szCs w:val="24"/>
        </w:rPr>
        <w:t>Overfølsomhed over for ondansetron, over for andre selektive 5HT3-receptorantagonister (f.eks. granisetron, dolasetron) eller over for et eller flere af hjælpestofferne anført i pkt. 6.1.</w:t>
      </w:r>
    </w:p>
    <w:p w14:paraId="0CE15454" w14:textId="77777777" w:rsidR="00530BD5" w:rsidRPr="00530BD5" w:rsidRDefault="00530BD5" w:rsidP="00530BD5">
      <w:pPr>
        <w:tabs>
          <w:tab w:val="left" w:pos="851"/>
        </w:tabs>
        <w:ind w:left="851"/>
        <w:rPr>
          <w:sz w:val="24"/>
          <w:szCs w:val="24"/>
        </w:rPr>
      </w:pPr>
    </w:p>
    <w:p w14:paraId="3B6CC766" w14:textId="77777777" w:rsidR="00530BD5" w:rsidRPr="00530BD5" w:rsidRDefault="00530BD5" w:rsidP="00530BD5">
      <w:pPr>
        <w:tabs>
          <w:tab w:val="left" w:pos="851"/>
        </w:tabs>
        <w:ind w:left="851"/>
        <w:rPr>
          <w:sz w:val="24"/>
          <w:szCs w:val="24"/>
        </w:rPr>
      </w:pPr>
      <w:r w:rsidRPr="00530BD5">
        <w:rPr>
          <w:sz w:val="24"/>
          <w:szCs w:val="24"/>
        </w:rPr>
        <w:t>Samtidig brug af apomorfin (se pkt. 4.5).</w:t>
      </w:r>
    </w:p>
    <w:p w14:paraId="43B8DA42" w14:textId="77777777" w:rsidR="009260DE" w:rsidRPr="00C84483" w:rsidRDefault="009260DE" w:rsidP="009260DE">
      <w:pPr>
        <w:tabs>
          <w:tab w:val="left" w:pos="851"/>
        </w:tabs>
        <w:ind w:left="851"/>
        <w:rPr>
          <w:sz w:val="24"/>
          <w:szCs w:val="24"/>
        </w:rPr>
      </w:pPr>
    </w:p>
    <w:p w14:paraId="2599F3B7"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0996F408" w14:textId="77777777" w:rsidR="00530BD5" w:rsidRPr="00530BD5" w:rsidRDefault="00530BD5" w:rsidP="00530BD5">
      <w:pPr>
        <w:tabs>
          <w:tab w:val="left" w:pos="851"/>
        </w:tabs>
        <w:ind w:left="851"/>
        <w:rPr>
          <w:sz w:val="24"/>
          <w:szCs w:val="24"/>
        </w:rPr>
      </w:pPr>
      <w:r w:rsidRPr="00530BD5">
        <w:rPr>
          <w:sz w:val="24"/>
          <w:szCs w:val="24"/>
        </w:rPr>
        <w:t>Der er rapporteret krydsallergi med ondansetron hos patienter, der allerede har udvist overfølsomhed over for andre selektive 5HT</w:t>
      </w:r>
      <w:r w:rsidRPr="00530BD5">
        <w:rPr>
          <w:sz w:val="24"/>
          <w:szCs w:val="24"/>
          <w:vertAlign w:val="subscript"/>
        </w:rPr>
        <w:t>3</w:t>
      </w:r>
      <w:r w:rsidRPr="00530BD5">
        <w:rPr>
          <w:sz w:val="24"/>
          <w:szCs w:val="24"/>
        </w:rPr>
        <w:t>-receptorantagonister.</w:t>
      </w:r>
    </w:p>
    <w:p w14:paraId="7F1C88BB" w14:textId="77777777" w:rsidR="00530BD5" w:rsidRPr="00530BD5" w:rsidRDefault="00530BD5" w:rsidP="00530BD5">
      <w:pPr>
        <w:tabs>
          <w:tab w:val="left" w:pos="851"/>
        </w:tabs>
        <w:ind w:left="851"/>
        <w:rPr>
          <w:sz w:val="24"/>
          <w:szCs w:val="24"/>
        </w:rPr>
      </w:pPr>
    </w:p>
    <w:p w14:paraId="04B6661F" w14:textId="77777777" w:rsidR="00530BD5" w:rsidRPr="00530BD5" w:rsidRDefault="00530BD5" w:rsidP="00530BD5">
      <w:pPr>
        <w:tabs>
          <w:tab w:val="left" w:pos="851"/>
        </w:tabs>
        <w:ind w:left="851"/>
        <w:rPr>
          <w:sz w:val="24"/>
          <w:szCs w:val="24"/>
        </w:rPr>
      </w:pPr>
      <w:r w:rsidRPr="00530BD5">
        <w:rPr>
          <w:sz w:val="24"/>
          <w:szCs w:val="24"/>
        </w:rPr>
        <w:t>Hvis der opstår vejrtrækningsproblemer, skal de behandles symptomatisk og monitoreres nøje af sundhedspersonalet, da respiratoriske hændelser kan være tegn på overfølsomhedsreaktioner</w:t>
      </w:r>
    </w:p>
    <w:p w14:paraId="64787439" w14:textId="77777777" w:rsidR="00530BD5" w:rsidRPr="00530BD5" w:rsidRDefault="00530BD5" w:rsidP="00530BD5">
      <w:pPr>
        <w:tabs>
          <w:tab w:val="left" w:pos="851"/>
        </w:tabs>
        <w:ind w:left="851"/>
        <w:rPr>
          <w:sz w:val="24"/>
          <w:szCs w:val="24"/>
        </w:rPr>
      </w:pPr>
    </w:p>
    <w:p w14:paraId="7C0F9B0D" w14:textId="77777777" w:rsidR="00530BD5" w:rsidRPr="00530BD5" w:rsidRDefault="00530BD5" w:rsidP="00530BD5">
      <w:pPr>
        <w:tabs>
          <w:tab w:val="left" w:pos="851"/>
        </w:tabs>
        <w:ind w:left="851"/>
        <w:rPr>
          <w:sz w:val="24"/>
          <w:szCs w:val="24"/>
        </w:rPr>
      </w:pPr>
      <w:r w:rsidRPr="00530BD5">
        <w:rPr>
          <w:sz w:val="24"/>
          <w:szCs w:val="24"/>
        </w:rPr>
        <w:t xml:space="preserve">Ondansetron forlænger QT-intervallet på en dosisafhængig måde (se pkt. 5.1). Efter markedsføringen er der desuden indberettet tilfælde af </w:t>
      </w:r>
      <w:r w:rsidRPr="00530BD5">
        <w:rPr>
          <w:i/>
          <w:sz w:val="24"/>
          <w:szCs w:val="24"/>
        </w:rPr>
        <w:t>torsade de pointes</w:t>
      </w:r>
      <w:r w:rsidRPr="00530BD5">
        <w:rPr>
          <w:sz w:val="24"/>
          <w:szCs w:val="24"/>
        </w:rPr>
        <w:t xml:space="preserve"> hos patienter i ondansetronbehandling. Ondansetron skal undgås hos patienter med kongenit langt QT-syndrom. Ondansetron skal administreres med forsigtighed hos patienter, som har eller måske kan udvikle QT-forlængelse, herunder patienter med abnorme elektrolytniveauer, kongestiv hjerteinsufficiens eller bradyarytmi, og hos patienter, der tager andre lægemidler, som kan føre til QT-forlængelse eller elektrolytforstyrrelser.</w:t>
      </w:r>
    </w:p>
    <w:p w14:paraId="7DBC3496" w14:textId="77777777" w:rsidR="00530BD5" w:rsidRPr="00530BD5" w:rsidRDefault="00530BD5" w:rsidP="00530BD5">
      <w:pPr>
        <w:tabs>
          <w:tab w:val="left" w:pos="851"/>
        </w:tabs>
        <w:ind w:left="851"/>
        <w:rPr>
          <w:sz w:val="24"/>
          <w:szCs w:val="24"/>
        </w:rPr>
      </w:pPr>
    </w:p>
    <w:p w14:paraId="383A49DE" w14:textId="77777777" w:rsidR="00530BD5" w:rsidRPr="00530BD5" w:rsidRDefault="00530BD5" w:rsidP="00530BD5">
      <w:pPr>
        <w:tabs>
          <w:tab w:val="left" w:pos="851"/>
        </w:tabs>
        <w:ind w:left="851"/>
        <w:rPr>
          <w:sz w:val="24"/>
          <w:szCs w:val="24"/>
        </w:rPr>
      </w:pPr>
      <w:r w:rsidRPr="00530BD5">
        <w:rPr>
          <w:sz w:val="24"/>
          <w:szCs w:val="24"/>
        </w:rPr>
        <w:t>Der er rapporteret om tilfælde af myokardieiskæmi hos patienter behandlet med ondansetron. Hos nogle patienter, især ved intravenøs administration, opstod der symptomer umiddelbart efter administration af ondansetron, men de forsvandt med øjeblikkelig behandling. Patienter skal gøres opmærksomme på tegnene og symptomerne på myokardieiskæmi, og der skal udvises forsigtighed under og efter administration af ondansetron.</w:t>
      </w:r>
    </w:p>
    <w:p w14:paraId="2F30885D" w14:textId="77777777" w:rsidR="00530BD5" w:rsidRPr="00530BD5" w:rsidRDefault="00530BD5" w:rsidP="00530BD5">
      <w:pPr>
        <w:tabs>
          <w:tab w:val="left" w:pos="851"/>
        </w:tabs>
        <w:ind w:left="851"/>
        <w:rPr>
          <w:sz w:val="24"/>
          <w:szCs w:val="24"/>
        </w:rPr>
      </w:pPr>
    </w:p>
    <w:p w14:paraId="73EC32E5" w14:textId="77777777" w:rsidR="00530BD5" w:rsidRPr="00530BD5" w:rsidRDefault="00530BD5" w:rsidP="00530BD5">
      <w:pPr>
        <w:tabs>
          <w:tab w:val="left" w:pos="851"/>
        </w:tabs>
        <w:ind w:left="851"/>
        <w:rPr>
          <w:sz w:val="24"/>
          <w:szCs w:val="24"/>
        </w:rPr>
      </w:pPr>
      <w:r w:rsidRPr="00530BD5">
        <w:rPr>
          <w:sz w:val="24"/>
          <w:szCs w:val="24"/>
        </w:rPr>
        <w:t>Hypokaliæmi og hypomagnesiæmi skal korrigeres inden administration af ondansetron.</w:t>
      </w:r>
    </w:p>
    <w:p w14:paraId="47697699" w14:textId="77777777" w:rsidR="00530BD5" w:rsidRPr="00530BD5" w:rsidRDefault="00530BD5" w:rsidP="00530BD5">
      <w:pPr>
        <w:tabs>
          <w:tab w:val="left" w:pos="851"/>
        </w:tabs>
        <w:ind w:left="851"/>
        <w:rPr>
          <w:sz w:val="24"/>
          <w:szCs w:val="24"/>
        </w:rPr>
      </w:pPr>
    </w:p>
    <w:p w14:paraId="33F7ABB7" w14:textId="77777777" w:rsidR="00530BD5" w:rsidRPr="00530BD5" w:rsidRDefault="00530BD5" w:rsidP="00530BD5">
      <w:pPr>
        <w:tabs>
          <w:tab w:val="left" w:pos="851"/>
        </w:tabs>
        <w:ind w:left="851"/>
        <w:rPr>
          <w:sz w:val="24"/>
          <w:szCs w:val="24"/>
        </w:rPr>
      </w:pPr>
      <w:r w:rsidRPr="00530BD5">
        <w:rPr>
          <w:sz w:val="24"/>
          <w:szCs w:val="24"/>
        </w:rPr>
        <w:t>Efter markedsføringen er der rapporteret om patienter med serotoninsyndrom (herunder ændret mentalstatus, autonom ustabilitet og neuromuskulære forstyrrelser) efter samtidig brug af ondansetron og andre serotonerge lægemidler (herunder selektive serotoningenoptagshæmmere (SSRI’er) og serotonin- og noradrenalingenoptagshæmmere (SNRI’er)) (se pkt. 4.5). Hvis der er klinisk belæg for samtidig behandling med ondansetron og andre serotonerge lægemidler, tilrådes passende observation af patienten.</w:t>
      </w:r>
    </w:p>
    <w:p w14:paraId="3F83670B" w14:textId="77777777" w:rsidR="00530BD5" w:rsidRPr="00530BD5" w:rsidRDefault="00530BD5" w:rsidP="00530BD5">
      <w:pPr>
        <w:tabs>
          <w:tab w:val="left" w:pos="851"/>
        </w:tabs>
        <w:ind w:left="851"/>
        <w:rPr>
          <w:sz w:val="24"/>
          <w:szCs w:val="24"/>
        </w:rPr>
      </w:pPr>
    </w:p>
    <w:p w14:paraId="2F14E97D" w14:textId="77777777" w:rsidR="00530BD5" w:rsidRPr="00530BD5" w:rsidRDefault="00530BD5" w:rsidP="00530BD5">
      <w:pPr>
        <w:tabs>
          <w:tab w:val="left" w:pos="851"/>
        </w:tabs>
        <w:ind w:left="851"/>
        <w:rPr>
          <w:sz w:val="24"/>
          <w:szCs w:val="24"/>
        </w:rPr>
      </w:pPr>
      <w:r w:rsidRPr="00530BD5">
        <w:rPr>
          <w:sz w:val="24"/>
          <w:szCs w:val="24"/>
        </w:rPr>
        <w:t>Da ondansetron kan øge tyktarmens transittid, tilrådes forsigtighed hos patienter med nedsat tarmmotilitet (eller tarmobstruktion). Disse patienter skal især monitoreres nøje mhp. deres tarmfunktion.</w:t>
      </w:r>
    </w:p>
    <w:p w14:paraId="504E27BE" w14:textId="77777777" w:rsidR="00530BD5" w:rsidRPr="00530BD5" w:rsidRDefault="00530BD5" w:rsidP="00530BD5">
      <w:pPr>
        <w:tabs>
          <w:tab w:val="left" w:pos="851"/>
        </w:tabs>
        <w:ind w:left="851"/>
        <w:rPr>
          <w:sz w:val="24"/>
          <w:szCs w:val="24"/>
        </w:rPr>
      </w:pPr>
    </w:p>
    <w:p w14:paraId="61577ADD" w14:textId="77777777" w:rsidR="00530BD5" w:rsidRPr="00530BD5" w:rsidRDefault="00530BD5" w:rsidP="00530BD5">
      <w:pPr>
        <w:tabs>
          <w:tab w:val="left" w:pos="851"/>
        </w:tabs>
        <w:ind w:left="851"/>
        <w:rPr>
          <w:sz w:val="24"/>
          <w:szCs w:val="24"/>
        </w:rPr>
      </w:pPr>
      <w:r w:rsidRPr="00530BD5">
        <w:rPr>
          <w:sz w:val="24"/>
          <w:szCs w:val="24"/>
        </w:rPr>
        <w:t>Hos patienter, som får foretaget et adenotonsillært indgreb, kan forebyggelse af kvalme og opkastning med ondansetron skjule okkult blødning. Derfor skal sådanne patienter monitoreres nøje efter administration af ondansetron.</w:t>
      </w:r>
    </w:p>
    <w:p w14:paraId="74115E21" w14:textId="77777777" w:rsidR="00530BD5" w:rsidRPr="00530BD5" w:rsidRDefault="00530BD5" w:rsidP="00530BD5">
      <w:pPr>
        <w:tabs>
          <w:tab w:val="left" w:pos="851"/>
        </w:tabs>
        <w:ind w:left="851"/>
        <w:rPr>
          <w:sz w:val="24"/>
          <w:szCs w:val="24"/>
        </w:rPr>
      </w:pPr>
    </w:p>
    <w:p w14:paraId="5954FCC4" w14:textId="77777777" w:rsidR="00530BD5" w:rsidRPr="00530BD5" w:rsidRDefault="00530BD5" w:rsidP="00530BD5">
      <w:pPr>
        <w:tabs>
          <w:tab w:val="left" w:pos="851"/>
        </w:tabs>
        <w:ind w:left="851"/>
        <w:rPr>
          <w:iCs/>
          <w:sz w:val="24"/>
          <w:szCs w:val="24"/>
        </w:rPr>
      </w:pPr>
      <w:r w:rsidRPr="00530BD5">
        <w:rPr>
          <w:iCs/>
          <w:sz w:val="24"/>
          <w:szCs w:val="24"/>
        </w:rPr>
        <w:t>I tilfælde af moderat eller svært nedsat leverfunktion er ondansetrons farmakokinetiske parametre betydeligt anderledes: lavere total plasmaclearance, længere plasmahalveringstid (se pkt. 4.2).</w:t>
      </w:r>
    </w:p>
    <w:p w14:paraId="2C71D0E2" w14:textId="77777777" w:rsidR="00530BD5" w:rsidRPr="00530BD5" w:rsidRDefault="00530BD5" w:rsidP="00530BD5">
      <w:pPr>
        <w:tabs>
          <w:tab w:val="left" w:pos="851"/>
        </w:tabs>
        <w:ind w:left="851"/>
        <w:rPr>
          <w:iCs/>
          <w:sz w:val="24"/>
          <w:szCs w:val="24"/>
        </w:rPr>
      </w:pPr>
    </w:p>
    <w:p w14:paraId="2567343D" w14:textId="77777777" w:rsidR="00530BD5" w:rsidRPr="00530BD5" w:rsidRDefault="00530BD5" w:rsidP="00530BD5">
      <w:pPr>
        <w:tabs>
          <w:tab w:val="left" w:pos="851"/>
        </w:tabs>
        <w:ind w:left="851"/>
        <w:rPr>
          <w:iCs/>
          <w:sz w:val="24"/>
          <w:szCs w:val="24"/>
        </w:rPr>
      </w:pPr>
      <w:r w:rsidRPr="00530BD5">
        <w:rPr>
          <w:iCs/>
          <w:sz w:val="24"/>
          <w:szCs w:val="24"/>
        </w:rPr>
        <w:t>Hudmanifestationer, der tyder på toksisk epidermal nekrolyse, kræver øjeblikkelig og definitiv seponering af behandlingen.</w:t>
      </w:r>
    </w:p>
    <w:p w14:paraId="034BBC3D" w14:textId="77777777" w:rsidR="00530BD5" w:rsidRPr="00530BD5" w:rsidRDefault="00530BD5" w:rsidP="00530BD5">
      <w:pPr>
        <w:tabs>
          <w:tab w:val="left" w:pos="851"/>
        </w:tabs>
        <w:ind w:left="851"/>
        <w:rPr>
          <w:i/>
          <w:sz w:val="24"/>
          <w:szCs w:val="24"/>
        </w:rPr>
      </w:pPr>
    </w:p>
    <w:p w14:paraId="0B812CDB" w14:textId="77777777" w:rsidR="00530BD5" w:rsidRPr="00530BD5" w:rsidRDefault="00530BD5" w:rsidP="00530BD5">
      <w:pPr>
        <w:tabs>
          <w:tab w:val="left" w:pos="851"/>
        </w:tabs>
        <w:ind w:left="851"/>
        <w:rPr>
          <w:sz w:val="24"/>
          <w:szCs w:val="24"/>
          <w:u w:val="single"/>
        </w:rPr>
      </w:pPr>
      <w:r w:rsidRPr="00530BD5">
        <w:rPr>
          <w:sz w:val="24"/>
          <w:szCs w:val="24"/>
          <w:u w:val="single"/>
        </w:rPr>
        <w:t>Pædiatrisk population</w:t>
      </w:r>
    </w:p>
    <w:p w14:paraId="75A285FB" w14:textId="77777777" w:rsidR="00530BD5" w:rsidRPr="00530BD5" w:rsidRDefault="00530BD5" w:rsidP="00530BD5">
      <w:pPr>
        <w:tabs>
          <w:tab w:val="left" w:pos="851"/>
        </w:tabs>
        <w:ind w:left="851"/>
        <w:rPr>
          <w:iCs/>
          <w:sz w:val="24"/>
          <w:szCs w:val="24"/>
        </w:rPr>
      </w:pPr>
      <w:r w:rsidRPr="00530BD5">
        <w:rPr>
          <w:sz w:val="24"/>
          <w:szCs w:val="24"/>
        </w:rPr>
        <w:t>Pædiatriske patienter, der får ondansetron sammen med hepatotoksiske kemoterapeutika, skal overvåges nøje for nedsat leverfunktion.</w:t>
      </w:r>
    </w:p>
    <w:p w14:paraId="76FAD665" w14:textId="77777777" w:rsidR="00530BD5" w:rsidRPr="00530BD5" w:rsidRDefault="00530BD5" w:rsidP="00530BD5">
      <w:pPr>
        <w:tabs>
          <w:tab w:val="left" w:pos="851"/>
        </w:tabs>
        <w:ind w:left="851"/>
        <w:rPr>
          <w:iCs/>
          <w:sz w:val="24"/>
          <w:szCs w:val="24"/>
        </w:rPr>
      </w:pPr>
    </w:p>
    <w:p w14:paraId="0FFFEB16" w14:textId="77777777" w:rsidR="00530BD5" w:rsidRPr="00530BD5" w:rsidRDefault="00530BD5" w:rsidP="00530BD5">
      <w:pPr>
        <w:tabs>
          <w:tab w:val="left" w:pos="851"/>
        </w:tabs>
        <w:ind w:left="851"/>
        <w:rPr>
          <w:iCs/>
          <w:sz w:val="24"/>
          <w:szCs w:val="24"/>
        </w:rPr>
      </w:pPr>
      <w:r w:rsidRPr="00530BD5">
        <w:rPr>
          <w:iCs/>
          <w:sz w:val="24"/>
          <w:szCs w:val="24"/>
          <w:u w:val="single"/>
        </w:rPr>
        <w:t>Kemoterapi-induceret kvalme og opkastning (CINV)</w:t>
      </w:r>
    </w:p>
    <w:p w14:paraId="67EA7159" w14:textId="77777777" w:rsidR="00530BD5" w:rsidRPr="00530BD5" w:rsidRDefault="00530BD5" w:rsidP="00530BD5">
      <w:pPr>
        <w:tabs>
          <w:tab w:val="left" w:pos="851"/>
        </w:tabs>
        <w:ind w:left="851"/>
        <w:rPr>
          <w:iCs/>
          <w:sz w:val="24"/>
          <w:szCs w:val="24"/>
        </w:rPr>
      </w:pPr>
      <w:r w:rsidRPr="00530BD5">
        <w:rPr>
          <w:sz w:val="24"/>
          <w:szCs w:val="24"/>
        </w:rPr>
        <w:t>Når dosen beregnes på mg/kg-basis, og der administreres tre doser med 4 timers mellemrum, vil den totale daglige dosis være højere end ved indgivelse af en enkelt dosis på 5 mg/m</w:t>
      </w:r>
      <w:r w:rsidRPr="00530BD5">
        <w:rPr>
          <w:iCs/>
          <w:sz w:val="24"/>
          <w:szCs w:val="24"/>
          <w:vertAlign w:val="superscript"/>
        </w:rPr>
        <w:t>2</w:t>
      </w:r>
      <w:r w:rsidRPr="00530BD5">
        <w:rPr>
          <w:sz w:val="24"/>
          <w:szCs w:val="24"/>
        </w:rPr>
        <w:t xml:space="preserve"> efterfulgt af en oral dosis. Den komparative virkning af disse to forskellige doseringsregimer er ikke blevet undersøgt i kliniske studier. Sammenligning på tværs af studier tyder på ensartet virkning med begge regimer (pkt. 5.1).</w:t>
      </w:r>
    </w:p>
    <w:p w14:paraId="280B52AD" w14:textId="77777777" w:rsidR="00530BD5" w:rsidRPr="00530BD5" w:rsidRDefault="00530BD5" w:rsidP="00530BD5">
      <w:pPr>
        <w:tabs>
          <w:tab w:val="left" w:pos="851"/>
        </w:tabs>
        <w:ind w:left="851"/>
        <w:rPr>
          <w:iCs/>
          <w:sz w:val="24"/>
          <w:szCs w:val="24"/>
        </w:rPr>
      </w:pPr>
    </w:p>
    <w:p w14:paraId="556F8D8A" w14:textId="77777777" w:rsidR="00530BD5" w:rsidRPr="00530BD5" w:rsidRDefault="00530BD5" w:rsidP="00530BD5">
      <w:pPr>
        <w:tabs>
          <w:tab w:val="left" w:pos="851"/>
        </w:tabs>
        <w:ind w:left="851"/>
        <w:rPr>
          <w:iCs/>
          <w:sz w:val="24"/>
          <w:szCs w:val="24"/>
          <w:u w:val="single"/>
        </w:rPr>
      </w:pPr>
      <w:r w:rsidRPr="00530BD5">
        <w:rPr>
          <w:iCs/>
          <w:sz w:val="24"/>
          <w:szCs w:val="24"/>
          <w:u w:val="single"/>
        </w:rPr>
        <w:t>Dette lægemiddel indeholder natrium.</w:t>
      </w:r>
    </w:p>
    <w:p w14:paraId="3395C70B" w14:textId="77777777" w:rsidR="00530BD5" w:rsidRPr="00530BD5" w:rsidRDefault="00530BD5" w:rsidP="00530BD5">
      <w:pPr>
        <w:tabs>
          <w:tab w:val="left" w:pos="851"/>
        </w:tabs>
        <w:ind w:left="851"/>
        <w:rPr>
          <w:sz w:val="24"/>
          <w:szCs w:val="24"/>
        </w:rPr>
      </w:pPr>
      <w:r w:rsidRPr="00530BD5">
        <w:rPr>
          <w:sz w:val="24"/>
          <w:szCs w:val="24"/>
        </w:rPr>
        <w:t>Hver ml injektions-/infusionsvæske, opløsning indeholder 3,4 mg natrium, svarende til 0,15 mmol.</w:t>
      </w:r>
    </w:p>
    <w:p w14:paraId="1401B7A8" w14:textId="77777777" w:rsidR="00530BD5" w:rsidRPr="00530BD5" w:rsidRDefault="00530BD5" w:rsidP="00530BD5">
      <w:pPr>
        <w:tabs>
          <w:tab w:val="left" w:pos="851"/>
        </w:tabs>
        <w:ind w:left="851"/>
        <w:rPr>
          <w:sz w:val="24"/>
          <w:szCs w:val="24"/>
        </w:rPr>
      </w:pPr>
    </w:p>
    <w:p w14:paraId="20EF6686" w14:textId="77777777" w:rsidR="00530BD5" w:rsidRPr="00530BD5" w:rsidRDefault="00530BD5" w:rsidP="00530BD5">
      <w:pPr>
        <w:tabs>
          <w:tab w:val="left" w:pos="851"/>
        </w:tabs>
        <w:ind w:left="851"/>
        <w:rPr>
          <w:sz w:val="24"/>
          <w:szCs w:val="24"/>
        </w:rPr>
      </w:pPr>
      <w:r w:rsidRPr="00530BD5">
        <w:rPr>
          <w:sz w:val="24"/>
          <w:szCs w:val="24"/>
        </w:rPr>
        <w:t>Dette lægemiddel indeholder 6,8 mg natrium pr. 2 ml ampul, svarende til 0,34 % af den WHO anbefalede maximale daglige indtagelse af 2 g natrium for en voksen.</w:t>
      </w:r>
    </w:p>
    <w:p w14:paraId="1B3CE8E4" w14:textId="77777777" w:rsidR="00530BD5" w:rsidRPr="00530BD5" w:rsidRDefault="00530BD5" w:rsidP="00530BD5">
      <w:pPr>
        <w:tabs>
          <w:tab w:val="left" w:pos="851"/>
        </w:tabs>
        <w:ind w:left="851"/>
        <w:rPr>
          <w:sz w:val="24"/>
          <w:szCs w:val="24"/>
        </w:rPr>
      </w:pPr>
      <w:r w:rsidRPr="00530BD5">
        <w:rPr>
          <w:sz w:val="24"/>
          <w:szCs w:val="24"/>
        </w:rPr>
        <w:t>Dette lægemiddel indeholder 13.6 mg natrium pr. 4 ml ampul, svarende til 0,68 % af den WHO anbefalede maximale daglige indtagelse af 2 g natrium for en voksen.</w:t>
      </w:r>
    </w:p>
    <w:p w14:paraId="0ABF2DE0" w14:textId="77777777" w:rsidR="00530BD5" w:rsidRPr="00530BD5" w:rsidRDefault="00530BD5" w:rsidP="00530BD5">
      <w:pPr>
        <w:tabs>
          <w:tab w:val="left" w:pos="851"/>
        </w:tabs>
        <w:ind w:left="851"/>
        <w:rPr>
          <w:sz w:val="24"/>
          <w:szCs w:val="24"/>
        </w:rPr>
      </w:pPr>
    </w:p>
    <w:p w14:paraId="764D7D39"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03A628EA" w14:textId="77777777" w:rsidR="00530BD5" w:rsidRPr="00530BD5" w:rsidRDefault="00530BD5" w:rsidP="00530BD5">
      <w:pPr>
        <w:tabs>
          <w:tab w:val="left" w:pos="851"/>
        </w:tabs>
        <w:ind w:left="851"/>
        <w:rPr>
          <w:sz w:val="24"/>
          <w:szCs w:val="24"/>
        </w:rPr>
      </w:pPr>
      <w:r w:rsidRPr="00530BD5">
        <w:rPr>
          <w:sz w:val="24"/>
          <w:szCs w:val="24"/>
        </w:rPr>
        <w:t>Intet tyder på, at ondansetron inducerer eller hæmmer metabolismen af andre almindeligt anvendte samtidige lægemidler. Det er påvist i specifikke studier, at ondansetron ikke interagerer med alkohol, temazepam, furosemid, alfentanil, tramadol, morfin, lidocain, thiopental eller propofol.</w:t>
      </w:r>
    </w:p>
    <w:p w14:paraId="187C388E" w14:textId="77777777" w:rsidR="00530BD5" w:rsidRPr="00530BD5" w:rsidRDefault="00530BD5" w:rsidP="00530BD5">
      <w:pPr>
        <w:tabs>
          <w:tab w:val="left" w:pos="851"/>
        </w:tabs>
        <w:ind w:left="851"/>
        <w:rPr>
          <w:sz w:val="24"/>
          <w:szCs w:val="24"/>
        </w:rPr>
      </w:pPr>
    </w:p>
    <w:p w14:paraId="7092651E" w14:textId="77777777" w:rsidR="00530BD5" w:rsidRPr="00530BD5" w:rsidRDefault="00530BD5" w:rsidP="00530BD5">
      <w:pPr>
        <w:tabs>
          <w:tab w:val="left" w:pos="851"/>
        </w:tabs>
        <w:ind w:left="851"/>
        <w:rPr>
          <w:sz w:val="24"/>
          <w:szCs w:val="24"/>
        </w:rPr>
      </w:pPr>
      <w:r w:rsidRPr="00530BD5">
        <w:rPr>
          <w:sz w:val="24"/>
          <w:szCs w:val="24"/>
        </w:rPr>
        <w:t>Ondansetron metaboliseres af cytochrom P450-enzymer (CYP3A4, CYP2D6 og CYP1A2) i leveren. På grund af mangfoldigheden af enzymer, der kan metabolisere ondansetron, bliver enzymhæmning eller nedsat aktivitet af ét enzym (f.eks. genetisk mangel på CYP2D6) normalt kompenseret for af andre enzymer og bør kun resultere i en lille eller ubetydelig ændring i den totale ondansetron-clearance eller dosisbehovet.</w:t>
      </w:r>
    </w:p>
    <w:p w14:paraId="3B3E1F51" w14:textId="77777777" w:rsidR="00530BD5" w:rsidRPr="00530BD5" w:rsidRDefault="00530BD5" w:rsidP="00530BD5">
      <w:pPr>
        <w:tabs>
          <w:tab w:val="left" w:pos="851"/>
        </w:tabs>
        <w:ind w:left="851"/>
        <w:rPr>
          <w:sz w:val="24"/>
          <w:szCs w:val="24"/>
        </w:rPr>
      </w:pPr>
    </w:p>
    <w:p w14:paraId="59444429" w14:textId="77777777" w:rsidR="00530BD5" w:rsidRPr="00530BD5" w:rsidRDefault="00530BD5" w:rsidP="00530BD5">
      <w:pPr>
        <w:tabs>
          <w:tab w:val="left" w:pos="851"/>
        </w:tabs>
        <w:ind w:left="851"/>
        <w:rPr>
          <w:sz w:val="24"/>
          <w:szCs w:val="24"/>
        </w:rPr>
      </w:pPr>
      <w:r w:rsidRPr="00530BD5">
        <w:rPr>
          <w:sz w:val="24"/>
          <w:szCs w:val="24"/>
        </w:rPr>
        <w:t>Der skal udvises forsigtighed ved samtidig administration af lægemidler, der forlænger QT-intervallet og/eller forårsager elektrolytforstyrrelser. (se pkt. 4.4).</w:t>
      </w:r>
    </w:p>
    <w:p w14:paraId="2AF7BBA7" w14:textId="77777777" w:rsidR="00530BD5" w:rsidRPr="00530BD5" w:rsidRDefault="00530BD5" w:rsidP="00530BD5">
      <w:pPr>
        <w:tabs>
          <w:tab w:val="left" w:pos="851"/>
        </w:tabs>
        <w:ind w:left="851"/>
        <w:rPr>
          <w:sz w:val="24"/>
          <w:szCs w:val="24"/>
        </w:rPr>
      </w:pPr>
    </w:p>
    <w:p w14:paraId="7CE6B893" w14:textId="77777777" w:rsidR="00530BD5" w:rsidRPr="00530BD5" w:rsidRDefault="00530BD5" w:rsidP="00530BD5">
      <w:pPr>
        <w:tabs>
          <w:tab w:val="left" w:pos="851"/>
        </w:tabs>
        <w:ind w:left="851"/>
        <w:rPr>
          <w:sz w:val="24"/>
          <w:szCs w:val="24"/>
        </w:rPr>
      </w:pPr>
      <w:r w:rsidRPr="00530BD5">
        <w:rPr>
          <w:sz w:val="24"/>
          <w:szCs w:val="24"/>
        </w:rPr>
        <w:t>Samtidig brug af ondansetron og QT-forlængende lægemidler kan forlænge QT-intervallet yderligere. Samtidig brug af ondansetron og kardiotoksiske lægemidler (f.eks. antracycliner (såsom doxorubicin, daunorubicin eller trastuzumab), antibiotika (såsom erythromycin), antimykotika (såsom ketoconazol), antiarytmika (såsom amiodaron) og betablokkere (såsom atenolol eller timolol) kan øge risikoen for arytmier (se også pkt. 4.4).</w:t>
      </w:r>
    </w:p>
    <w:p w14:paraId="3A43E779" w14:textId="77777777" w:rsidR="00530BD5" w:rsidRPr="00530BD5" w:rsidRDefault="00530BD5" w:rsidP="00530BD5">
      <w:pPr>
        <w:tabs>
          <w:tab w:val="left" w:pos="851"/>
        </w:tabs>
        <w:ind w:left="851"/>
        <w:rPr>
          <w:sz w:val="24"/>
          <w:szCs w:val="24"/>
        </w:rPr>
      </w:pPr>
    </w:p>
    <w:p w14:paraId="5A13E166" w14:textId="77777777" w:rsidR="00530BD5" w:rsidRPr="00530BD5" w:rsidRDefault="00530BD5" w:rsidP="00530BD5">
      <w:pPr>
        <w:numPr>
          <w:ilvl w:val="0"/>
          <w:numId w:val="8"/>
        </w:numPr>
        <w:tabs>
          <w:tab w:val="left" w:pos="851"/>
        </w:tabs>
        <w:ind w:left="1134" w:hanging="283"/>
        <w:rPr>
          <w:sz w:val="24"/>
          <w:szCs w:val="24"/>
        </w:rPr>
      </w:pPr>
      <w:r w:rsidRPr="00530BD5">
        <w:rPr>
          <w:sz w:val="24"/>
          <w:szCs w:val="24"/>
        </w:rPr>
        <w:t>Apomorfin</w:t>
      </w:r>
    </w:p>
    <w:p w14:paraId="47BAFB18" w14:textId="77777777" w:rsidR="00530BD5" w:rsidRPr="00530BD5" w:rsidRDefault="00530BD5" w:rsidP="00530BD5">
      <w:pPr>
        <w:tabs>
          <w:tab w:val="left" w:pos="851"/>
        </w:tabs>
        <w:ind w:left="851"/>
        <w:rPr>
          <w:sz w:val="24"/>
          <w:szCs w:val="24"/>
        </w:rPr>
      </w:pPr>
      <w:r w:rsidRPr="00530BD5">
        <w:rPr>
          <w:sz w:val="24"/>
          <w:szCs w:val="24"/>
        </w:rPr>
        <w:t>Der er rapporteret om svær hypotension og tab af bevidsthed ved samtidig administration af ondansetron og apomorphinhydrochlorid. Samtidig brug af apomorfin er kontraindiceret (se pkt. 4.3).</w:t>
      </w:r>
    </w:p>
    <w:p w14:paraId="6B3F96EA" w14:textId="77777777" w:rsidR="00530BD5" w:rsidRPr="00530BD5" w:rsidRDefault="00530BD5" w:rsidP="00530BD5">
      <w:pPr>
        <w:tabs>
          <w:tab w:val="left" w:pos="851"/>
        </w:tabs>
        <w:ind w:left="1134" w:hanging="283"/>
        <w:rPr>
          <w:sz w:val="24"/>
          <w:szCs w:val="24"/>
        </w:rPr>
      </w:pPr>
    </w:p>
    <w:p w14:paraId="018D8EFD" w14:textId="77777777" w:rsidR="00530BD5" w:rsidRPr="00530BD5" w:rsidRDefault="00530BD5" w:rsidP="00530BD5">
      <w:pPr>
        <w:numPr>
          <w:ilvl w:val="0"/>
          <w:numId w:val="8"/>
        </w:numPr>
        <w:tabs>
          <w:tab w:val="left" w:pos="851"/>
        </w:tabs>
        <w:ind w:left="1134" w:hanging="283"/>
        <w:rPr>
          <w:sz w:val="24"/>
          <w:szCs w:val="24"/>
        </w:rPr>
      </w:pPr>
      <w:r w:rsidRPr="00530BD5">
        <w:rPr>
          <w:sz w:val="24"/>
          <w:szCs w:val="24"/>
        </w:rPr>
        <w:t>Phenytoin, carbamazepin og rifampicin</w:t>
      </w:r>
    </w:p>
    <w:p w14:paraId="2EB33CAE" w14:textId="77777777" w:rsidR="00530BD5" w:rsidRPr="00530BD5" w:rsidRDefault="00530BD5" w:rsidP="00530BD5">
      <w:pPr>
        <w:tabs>
          <w:tab w:val="left" w:pos="851"/>
        </w:tabs>
        <w:ind w:left="851"/>
        <w:rPr>
          <w:sz w:val="24"/>
          <w:szCs w:val="24"/>
        </w:rPr>
      </w:pPr>
      <w:r w:rsidRPr="00530BD5">
        <w:rPr>
          <w:sz w:val="24"/>
          <w:szCs w:val="24"/>
        </w:rPr>
        <w:t>Hos patienter i behandling med potente CYP3A4-inducere (f.eks. phenytoin, carbamazepin og rifampicin) er der set øget oral clearance af ondansetron og lavere blodkoncentrationer af ondansetron.</w:t>
      </w:r>
    </w:p>
    <w:p w14:paraId="2D2B9E9A" w14:textId="77777777" w:rsidR="00530BD5" w:rsidRPr="00530BD5" w:rsidRDefault="00530BD5" w:rsidP="00530BD5">
      <w:pPr>
        <w:tabs>
          <w:tab w:val="left" w:pos="851"/>
        </w:tabs>
        <w:ind w:left="1134" w:hanging="283"/>
        <w:rPr>
          <w:sz w:val="24"/>
          <w:szCs w:val="24"/>
        </w:rPr>
      </w:pPr>
    </w:p>
    <w:p w14:paraId="7D70528B" w14:textId="77777777" w:rsidR="00530BD5" w:rsidRPr="00530BD5" w:rsidRDefault="00530BD5" w:rsidP="00530BD5">
      <w:pPr>
        <w:numPr>
          <w:ilvl w:val="0"/>
          <w:numId w:val="8"/>
        </w:numPr>
        <w:tabs>
          <w:tab w:val="left" w:pos="851"/>
        </w:tabs>
        <w:ind w:left="1134" w:hanging="283"/>
        <w:rPr>
          <w:sz w:val="24"/>
          <w:szCs w:val="24"/>
        </w:rPr>
      </w:pPr>
      <w:r w:rsidRPr="00530BD5">
        <w:rPr>
          <w:sz w:val="24"/>
          <w:szCs w:val="24"/>
        </w:rPr>
        <w:t>Serotonerge lægemidler (f.eks. SSRI’er og SNRI’er)</w:t>
      </w:r>
    </w:p>
    <w:p w14:paraId="591BA9D3" w14:textId="77777777" w:rsidR="00530BD5" w:rsidRPr="00530BD5" w:rsidRDefault="00530BD5" w:rsidP="00530BD5">
      <w:pPr>
        <w:tabs>
          <w:tab w:val="left" w:pos="851"/>
        </w:tabs>
        <w:ind w:left="851"/>
        <w:rPr>
          <w:sz w:val="24"/>
          <w:szCs w:val="24"/>
        </w:rPr>
      </w:pPr>
      <w:r w:rsidRPr="00530BD5">
        <w:rPr>
          <w:sz w:val="24"/>
          <w:szCs w:val="24"/>
        </w:rPr>
        <w:t xml:space="preserve">Der er rapporteret om serotoninsyndrom (herunder forandret mental tilstand, autonom instabilitet og neuromuskulære forstyrrelser) efter samtidig brug af ondansetron og andre </w:t>
      </w:r>
      <w:r w:rsidRPr="00530BD5">
        <w:rPr>
          <w:sz w:val="24"/>
          <w:szCs w:val="24"/>
        </w:rPr>
        <w:lastRenderedPageBreak/>
        <w:t>serotonerge lægemidler, herunder selektive serotoningenoptagshæmmere (SSRI’er) og serotonin-noradrenalingenoptagshæmmere (SNRI’er) (se pkt. 4.4).</w:t>
      </w:r>
    </w:p>
    <w:p w14:paraId="154EE789" w14:textId="77777777" w:rsidR="00530BD5" w:rsidRPr="00530BD5" w:rsidRDefault="00530BD5" w:rsidP="00530BD5">
      <w:pPr>
        <w:tabs>
          <w:tab w:val="left" w:pos="851"/>
        </w:tabs>
        <w:ind w:left="851"/>
        <w:rPr>
          <w:sz w:val="24"/>
          <w:szCs w:val="24"/>
        </w:rPr>
      </w:pPr>
    </w:p>
    <w:p w14:paraId="0F152B1E" w14:textId="77777777" w:rsidR="00530BD5" w:rsidRPr="00530BD5" w:rsidRDefault="00530BD5" w:rsidP="00530BD5">
      <w:pPr>
        <w:numPr>
          <w:ilvl w:val="0"/>
          <w:numId w:val="8"/>
        </w:numPr>
        <w:tabs>
          <w:tab w:val="left" w:pos="851"/>
        </w:tabs>
        <w:ind w:left="1134" w:hanging="283"/>
        <w:rPr>
          <w:sz w:val="24"/>
          <w:szCs w:val="24"/>
        </w:rPr>
      </w:pPr>
      <w:r w:rsidRPr="00530BD5">
        <w:rPr>
          <w:sz w:val="24"/>
          <w:szCs w:val="24"/>
        </w:rPr>
        <w:t>Tramadol</w:t>
      </w:r>
    </w:p>
    <w:p w14:paraId="3A23E827" w14:textId="77777777" w:rsidR="00530BD5" w:rsidRPr="00530BD5" w:rsidRDefault="00530BD5" w:rsidP="00530BD5">
      <w:pPr>
        <w:tabs>
          <w:tab w:val="left" w:pos="851"/>
        </w:tabs>
        <w:ind w:left="851"/>
        <w:rPr>
          <w:sz w:val="24"/>
          <w:szCs w:val="24"/>
        </w:rPr>
      </w:pPr>
      <w:r w:rsidRPr="00530BD5">
        <w:rPr>
          <w:sz w:val="24"/>
          <w:szCs w:val="24"/>
        </w:rPr>
        <w:t>I to mindre studier blev det påvist, at ondansetron kan reducere tramadols smertestillende virkning.</w:t>
      </w:r>
    </w:p>
    <w:p w14:paraId="7ED00CB3" w14:textId="77777777" w:rsidR="009260DE" w:rsidRPr="00C84483" w:rsidRDefault="009260DE" w:rsidP="009260DE">
      <w:pPr>
        <w:tabs>
          <w:tab w:val="left" w:pos="851"/>
        </w:tabs>
        <w:ind w:left="851"/>
        <w:rPr>
          <w:sz w:val="24"/>
          <w:szCs w:val="24"/>
        </w:rPr>
      </w:pPr>
    </w:p>
    <w:p w14:paraId="0E842B90"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1DD6FBC8" w14:textId="77777777" w:rsidR="00530BD5" w:rsidRPr="00530BD5" w:rsidRDefault="00530BD5" w:rsidP="00530BD5">
      <w:pPr>
        <w:tabs>
          <w:tab w:val="left" w:pos="851"/>
        </w:tabs>
        <w:ind w:left="851"/>
        <w:rPr>
          <w:sz w:val="24"/>
          <w:szCs w:val="24"/>
        </w:rPr>
      </w:pPr>
    </w:p>
    <w:p w14:paraId="5B85FC2D" w14:textId="77777777" w:rsidR="00530BD5" w:rsidRPr="00530BD5" w:rsidRDefault="00530BD5" w:rsidP="00530BD5">
      <w:pPr>
        <w:tabs>
          <w:tab w:val="left" w:pos="851"/>
        </w:tabs>
        <w:ind w:left="851"/>
        <w:rPr>
          <w:sz w:val="24"/>
          <w:szCs w:val="24"/>
          <w:u w:val="single"/>
        </w:rPr>
      </w:pPr>
      <w:r w:rsidRPr="00530BD5">
        <w:rPr>
          <w:sz w:val="24"/>
          <w:szCs w:val="24"/>
          <w:u w:val="single"/>
        </w:rPr>
        <w:t>Kvinder i den fertile alder</w:t>
      </w:r>
    </w:p>
    <w:p w14:paraId="3E281FFE" w14:textId="77777777" w:rsidR="00530BD5" w:rsidRPr="00530BD5" w:rsidRDefault="00530BD5" w:rsidP="00530BD5">
      <w:pPr>
        <w:tabs>
          <w:tab w:val="left" w:pos="851"/>
        </w:tabs>
        <w:ind w:left="851"/>
        <w:rPr>
          <w:sz w:val="24"/>
          <w:szCs w:val="24"/>
        </w:rPr>
      </w:pPr>
      <w:r w:rsidRPr="00530BD5">
        <w:rPr>
          <w:sz w:val="24"/>
          <w:szCs w:val="24"/>
        </w:rPr>
        <w:t>Kvinder i den fertile alder skal overveje brug af kontraception. Kvinder i den fertile alder skal have afklaret deres graviditetsstatus med en graviditetstest inden påbegyndelse af ondansetronbehandling, og de skal informeres om, at ondansetron kan være fosterskadeligt.</w:t>
      </w:r>
    </w:p>
    <w:p w14:paraId="24601E5B" w14:textId="77777777" w:rsidR="00530BD5" w:rsidRPr="00530BD5" w:rsidRDefault="00530BD5" w:rsidP="00530BD5">
      <w:pPr>
        <w:tabs>
          <w:tab w:val="left" w:pos="851"/>
        </w:tabs>
        <w:ind w:left="851"/>
        <w:rPr>
          <w:sz w:val="24"/>
          <w:szCs w:val="24"/>
          <w:u w:val="single"/>
        </w:rPr>
      </w:pPr>
    </w:p>
    <w:p w14:paraId="16793CB0" w14:textId="77777777" w:rsidR="00530BD5" w:rsidRPr="00530BD5" w:rsidRDefault="00530BD5" w:rsidP="00530BD5">
      <w:pPr>
        <w:tabs>
          <w:tab w:val="left" w:pos="851"/>
        </w:tabs>
        <w:ind w:left="851"/>
        <w:rPr>
          <w:sz w:val="24"/>
          <w:szCs w:val="24"/>
          <w:u w:val="single"/>
        </w:rPr>
      </w:pPr>
      <w:r w:rsidRPr="00530BD5">
        <w:rPr>
          <w:sz w:val="24"/>
          <w:szCs w:val="24"/>
          <w:u w:val="single"/>
        </w:rPr>
        <w:t>Graviditet</w:t>
      </w:r>
    </w:p>
    <w:p w14:paraId="4419E52F" w14:textId="77777777" w:rsidR="00530BD5" w:rsidRPr="00530BD5" w:rsidRDefault="00530BD5" w:rsidP="00530BD5">
      <w:pPr>
        <w:tabs>
          <w:tab w:val="left" w:pos="851"/>
        </w:tabs>
        <w:ind w:left="851"/>
        <w:rPr>
          <w:sz w:val="24"/>
          <w:szCs w:val="24"/>
        </w:rPr>
      </w:pPr>
      <w:r w:rsidRPr="00530BD5">
        <w:rPr>
          <w:sz w:val="24"/>
          <w:szCs w:val="24"/>
        </w:rPr>
        <w:t>Baseret på humane data fra epidemiologiske forsøg formodes ondansetron at forårsage orofaciale misdannelser, hvis det administreres i første graviditetstrimester.</w:t>
      </w:r>
    </w:p>
    <w:p w14:paraId="307A0D39" w14:textId="77777777" w:rsidR="00530BD5" w:rsidRPr="00530BD5" w:rsidRDefault="00530BD5" w:rsidP="00530BD5">
      <w:pPr>
        <w:tabs>
          <w:tab w:val="left" w:pos="851"/>
        </w:tabs>
        <w:ind w:left="851"/>
        <w:rPr>
          <w:sz w:val="24"/>
          <w:szCs w:val="24"/>
        </w:rPr>
      </w:pPr>
      <w:r w:rsidRPr="00530BD5">
        <w:rPr>
          <w:sz w:val="24"/>
          <w:szCs w:val="24"/>
        </w:rPr>
        <w:t xml:space="preserve">I et kohortestudie, der omfattede 1,8 millioner graviditeter, var anvendelse af ondansetron i første trimester forbundet med en øget risiko for læbe-gumme-ganespalte (3 yderligere tilfælde pr. 10.000 behandlede kvinder; justeret relativ risiko 1,24 (95 % CI 1,03-1,48)). De tilgængelige epidemiologiske studier af hjertemisdannelser viser modstridende resultater. Dyreforsøg indikerer hverken direkte eller indirekte skadelige virkninger, hvad angår reproduktionstoksicitet. </w:t>
      </w:r>
    </w:p>
    <w:p w14:paraId="555A12AE" w14:textId="77777777" w:rsidR="00530BD5" w:rsidRPr="00530BD5" w:rsidRDefault="00530BD5" w:rsidP="00530BD5">
      <w:pPr>
        <w:tabs>
          <w:tab w:val="left" w:pos="851"/>
        </w:tabs>
        <w:ind w:left="851"/>
        <w:rPr>
          <w:sz w:val="24"/>
          <w:szCs w:val="24"/>
        </w:rPr>
      </w:pPr>
      <w:r w:rsidRPr="00530BD5">
        <w:rPr>
          <w:sz w:val="24"/>
          <w:szCs w:val="24"/>
        </w:rPr>
        <w:t>Ondansetron bør ikke anvendes i graviditetens første trimester.</w:t>
      </w:r>
    </w:p>
    <w:p w14:paraId="7B8B8848" w14:textId="77777777" w:rsidR="00530BD5" w:rsidRPr="00530BD5" w:rsidRDefault="00530BD5" w:rsidP="00530BD5">
      <w:pPr>
        <w:tabs>
          <w:tab w:val="left" w:pos="851"/>
        </w:tabs>
        <w:ind w:left="851"/>
        <w:rPr>
          <w:sz w:val="24"/>
          <w:szCs w:val="24"/>
          <w:u w:val="single"/>
        </w:rPr>
      </w:pPr>
    </w:p>
    <w:p w14:paraId="32F821A7" w14:textId="77777777" w:rsidR="00530BD5" w:rsidRPr="00530BD5" w:rsidRDefault="00530BD5" w:rsidP="00530BD5">
      <w:pPr>
        <w:tabs>
          <w:tab w:val="left" w:pos="851"/>
        </w:tabs>
        <w:ind w:left="851"/>
        <w:rPr>
          <w:sz w:val="24"/>
          <w:szCs w:val="24"/>
          <w:u w:val="single"/>
        </w:rPr>
      </w:pPr>
      <w:r w:rsidRPr="00530BD5">
        <w:rPr>
          <w:sz w:val="24"/>
          <w:szCs w:val="24"/>
          <w:u w:val="single"/>
        </w:rPr>
        <w:t>Amning</w:t>
      </w:r>
    </w:p>
    <w:p w14:paraId="742FC1EE" w14:textId="77777777" w:rsidR="00530BD5" w:rsidRPr="00530BD5" w:rsidRDefault="00530BD5" w:rsidP="00530BD5">
      <w:pPr>
        <w:tabs>
          <w:tab w:val="left" w:pos="851"/>
        </w:tabs>
        <w:ind w:left="851"/>
        <w:rPr>
          <w:sz w:val="24"/>
          <w:szCs w:val="24"/>
        </w:rPr>
      </w:pPr>
      <w:r w:rsidRPr="00530BD5">
        <w:rPr>
          <w:sz w:val="24"/>
          <w:szCs w:val="24"/>
        </w:rPr>
        <w:t>Det er ukendt, om ondansetron udskilles i human mælk. Der foreligger ingen data for virkningen af ondansetron på det ammede barn eller på mælkeproduktionen. Det er imidlertid påvist, at ondansetron udskilles i mælken hos diegivende dyr (rotter). Det anbefales derfor, at amning ophører inden behandling med ondansetron.</w:t>
      </w:r>
    </w:p>
    <w:p w14:paraId="672FC57D" w14:textId="77777777" w:rsidR="00530BD5" w:rsidRPr="00530BD5" w:rsidRDefault="00530BD5" w:rsidP="00530BD5">
      <w:pPr>
        <w:tabs>
          <w:tab w:val="left" w:pos="851"/>
        </w:tabs>
        <w:ind w:left="851"/>
        <w:rPr>
          <w:sz w:val="24"/>
          <w:szCs w:val="24"/>
          <w:u w:val="single"/>
        </w:rPr>
      </w:pPr>
    </w:p>
    <w:p w14:paraId="2EB83A55" w14:textId="77777777" w:rsidR="00530BD5" w:rsidRPr="00530BD5" w:rsidRDefault="00530BD5" w:rsidP="00530BD5">
      <w:pPr>
        <w:tabs>
          <w:tab w:val="left" w:pos="851"/>
        </w:tabs>
        <w:ind w:left="851"/>
        <w:rPr>
          <w:sz w:val="24"/>
          <w:szCs w:val="24"/>
          <w:u w:val="single"/>
        </w:rPr>
      </w:pPr>
      <w:r w:rsidRPr="00530BD5">
        <w:rPr>
          <w:sz w:val="24"/>
          <w:szCs w:val="24"/>
          <w:u w:val="single"/>
        </w:rPr>
        <w:t>Fertilitet</w:t>
      </w:r>
    </w:p>
    <w:p w14:paraId="6CA29443" w14:textId="77777777" w:rsidR="00530BD5" w:rsidRPr="00530BD5" w:rsidRDefault="00530BD5" w:rsidP="00530BD5">
      <w:pPr>
        <w:tabs>
          <w:tab w:val="left" w:pos="851"/>
        </w:tabs>
        <w:ind w:left="851"/>
        <w:rPr>
          <w:sz w:val="24"/>
          <w:szCs w:val="24"/>
        </w:rPr>
      </w:pPr>
      <w:r w:rsidRPr="00530BD5">
        <w:rPr>
          <w:sz w:val="24"/>
          <w:szCs w:val="24"/>
        </w:rPr>
        <w:t>Ondansetron har ingen indvirkning på fertiliteten.</w:t>
      </w:r>
    </w:p>
    <w:p w14:paraId="341EAFD3" w14:textId="77777777" w:rsidR="00530BD5" w:rsidRPr="00530BD5" w:rsidRDefault="00530BD5" w:rsidP="00530BD5">
      <w:pPr>
        <w:tabs>
          <w:tab w:val="left" w:pos="851"/>
        </w:tabs>
        <w:ind w:left="851"/>
        <w:rPr>
          <w:sz w:val="24"/>
          <w:szCs w:val="24"/>
        </w:rPr>
      </w:pPr>
    </w:p>
    <w:p w14:paraId="503AB9BF"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0DD333C9" w14:textId="77777777" w:rsidR="00530BD5" w:rsidRDefault="00530BD5" w:rsidP="00530BD5">
      <w:pPr>
        <w:tabs>
          <w:tab w:val="left" w:pos="851"/>
        </w:tabs>
        <w:ind w:left="851"/>
        <w:rPr>
          <w:sz w:val="24"/>
          <w:szCs w:val="24"/>
        </w:rPr>
      </w:pPr>
      <w:r>
        <w:rPr>
          <w:sz w:val="24"/>
          <w:szCs w:val="24"/>
        </w:rPr>
        <w:t>Ikke mærkning.</w:t>
      </w:r>
    </w:p>
    <w:p w14:paraId="57CFD2FE" w14:textId="6958C6E5" w:rsidR="00530BD5" w:rsidRPr="00530BD5" w:rsidRDefault="00530BD5" w:rsidP="00530BD5">
      <w:pPr>
        <w:tabs>
          <w:tab w:val="left" w:pos="851"/>
        </w:tabs>
        <w:ind w:left="851"/>
        <w:rPr>
          <w:sz w:val="24"/>
          <w:szCs w:val="24"/>
        </w:rPr>
      </w:pPr>
      <w:r w:rsidRPr="00530BD5">
        <w:rPr>
          <w:sz w:val="24"/>
          <w:szCs w:val="24"/>
        </w:rPr>
        <w:t>Ondansetron påvirker ikke eller kun i ubetydelig grad evnen til at føre motorkøretøj og betjene maskiner.</w:t>
      </w:r>
    </w:p>
    <w:p w14:paraId="5ADE33D0" w14:textId="77777777" w:rsidR="00530BD5" w:rsidRPr="00530BD5" w:rsidRDefault="00530BD5" w:rsidP="00530BD5">
      <w:pPr>
        <w:tabs>
          <w:tab w:val="left" w:pos="851"/>
        </w:tabs>
        <w:ind w:left="851"/>
        <w:rPr>
          <w:sz w:val="24"/>
          <w:szCs w:val="24"/>
        </w:rPr>
      </w:pPr>
      <w:r w:rsidRPr="00530BD5">
        <w:rPr>
          <w:sz w:val="24"/>
          <w:szCs w:val="24"/>
        </w:rPr>
        <w:t>I studier af psykomotorisk funktionsevne forårsagede ondansetron ikke nedsat funktionsevne eller sedation. Vurderet ud fra ondansetrons farmakologi forventes der ingen skadelige virkninger på sådanne aktiviteter.</w:t>
      </w:r>
    </w:p>
    <w:p w14:paraId="19768EBA" w14:textId="77777777" w:rsidR="00530BD5" w:rsidRPr="00530BD5" w:rsidRDefault="00530BD5" w:rsidP="00530BD5">
      <w:pPr>
        <w:tabs>
          <w:tab w:val="left" w:pos="851"/>
        </w:tabs>
        <w:ind w:left="851"/>
        <w:rPr>
          <w:sz w:val="24"/>
          <w:szCs w:val="24"/>
        </w:rPr>
      </w:pPr>
    </w:p>
    <w:p w14:paraId="132EF3BC"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2FFA83B8" w14:textId="77777777" w:rsidR="00251CBD" w:rsidRPr="00251CBD" w:rsidRDefault="00251CBD" w:rsidP="00251CBD">
      <w:pPr>
        <w:tabs>
          <w:tab w:val="left" w:pos="851"/>
        </w:tabs>
        <w:ind w:left="851"/>
        <w:rPr>
          <w:iCs/>
          <w:sz w:val="24"/>
          <w:szCs w:val="24"/>
        </w:rPr>
      </w:pPr>
      <w:r w:rsidRPr="00251CBD">
        <w:rPr>
          <w:sz w:val="24"/>
          <w:szCs w:val="24"/>
        </w:rPr>
        <w:t>Bivirkninger er anført nedenfor efter systemorganklasse (i henhold til MedDRA-databasen) og absolut hyppighed:</w:t>
      </w:r>
    </w:p>
    <w:p w14:paraId="389BF572" w14:textId="77777777" w:rsidR="00251CBD" w:rsidRPr="00251CBD" w:rsidRDefault="00251CBD" w:rsidP="00251CBD">
      <w:pPr>
        <w:tabs>
          <w:tab w:val="left" w:pos="851"/>
        </w:tabs>
        <w:ind w:left="851"/>
        <w:rPr>
          <w:iCs/>
          <w:sz w:val="24"/>
          <w:szCs w:val="24"/>
        </w:rPr>
      </w:pPr>
      <w:r w:rsidRPr="00251CBD">
        <w:rPr>
          <w:sz w:val="24"/>
          <w:szCs w:val="24"/>
        </w:rPr>
        <w:t>Meget almindelig (≥ 1/10), almindelig (≥ 1/100 til &lt; 1/10), ikke almindelig (≥ 1/1.000 til &lt; 1/100), sjælden (≥ 1/10.000 til &lt; 1/1.000), meget sjælden (&lt; 1/10.000) og ikke kendt (hyppighed kan ikke estimeres ud fra forhåndenværende data).</w:t>
      </w:r>
    </w:p>
    <w:p w14:paraId="5223FAD1" w14:textId="0535B716" w:rsidR="00251CBD" w:rsidRDefault="00251CBD" w:rsidP="00251CBD">
      <w:pPr>
        <w:tabs>
          <w:tab w:val="left" w:pos="851"/>
        </w:tabs>
        <w:ind w:left="851"/>
        <w:rPr>
          <w:sz w:val="24"/>
          <w:szCs w:val="24"/>
        </w:rPr>
      </w:pPr>
      <w:r w:rsidRPr="00251CBD">
        <w:rPr>
          <w:sz w:val="24"/>
          <w:szCs w:val="24"/>
        </w:rPr>
        <w:t xml:space="preserve">Meget almindelige, almindelige og ikke almindelige bivirkninger er generelt fastlagt via data fra kliniske studier. Forekomsten af bivirkninger med placebo er taget i betragtning. </w:t>
      </w:r>
      <w:r w:rsidRPr="00251CBD">
        <w:rPr>
          <w:sz w:val="24"/>
          <w:szCs w:val="24"/>
        </w:rPr>
        <w:lastRenderedPageBreak/>
        <w:t>Sjældne og meget sjældne bivirkninger og bivirkninger, hvor hyppigheden ikke er kendt, er generelt fastlagt på baggrund af data fra spontane indberetninger og litteraturen.</w:t>
      </w:r>
    </w:p>
    <w:p w14:paraId="0A85E108" w14:textId="77777777" w:rsidR="006D2C05" w:rsidRDefault="006D2C05" w:rsidP="00251CBD">
      <w:pPr>
        <w:tabs>
          <w:tab w:val="left" w:pos="851"/>
        </w:tabs>
        <w:ind w:left="851"/>
        <w:rPr>
          <w:sz w:val="24"/>
          <w:szCs w:val="24"/>
        </w:rPr>
      </w:pPr>
    </w:p>
    <w:p w14:paraId="385A8C5B" w14:textId="77777777" w:rsidR="006D2C05" w:rsidRPr="006D2C05" w:rsidRDefault="006D2C05" w:rsidP="006D2C05">
      <w:pPr>
        <w:rPr>
          <w:iCs/>
          <w:noProof/>
          <w:sz w:val="22"/>
          <w:szCs w:val="22"/>
        </w:rPr>
      </w:pPr>
      <w:r w:rsidRPr="006D2C05">
        <w:rPr>
          <w:noProof/>
          <w:sz w:val="22"/>
          <w:szCs w:val="22"/>
        </w:rPr>
        <w:t>Følgende hyppigheder er estimeret ved de anbefalede standarddoser af ondansetron.</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6594"/>
      </w:tblGrid>
      <w:tr w:rsidR="006D2C05" w:rsidRPr="006D2C05" w14:paraId="302E8936" w14:textId="77777777">
        <w:tc>
          <w:tcPr>
            <w:tcW w:w="2478" w:type="dxa"/>
            <w:tcBorders>
              <w:top w:val="single" w:sz="4" w:space="0" w:color="auto"/>
              <w:left w:val="single" w:sz="4" w:space="0" w:color="auto"/>
              <w:bottom w:val="single" w:sz="4" w:space="0" w:color="auto"/>
              <w:right w:val="single" w:sz="4" w:space="0" w:color="auto"/>
            </w:tcBorders>
            <w:hideMark/>
          </w:tcPr>
          <w:p w14:paraId="04C757B4" w14:textId="77777777" w:rsidR="006D2C05" w:rsidRPr="006D2C05" w:rsidRDefault="006D2C05" w:rsidP="006D2C05">
            <w:pPr>
              <w:rPr>
                <w:b/>
                <w:iCs/>
                <w:noProof/>
                <w:sz w:val="22"/>
                <w:szCs w:val="22"/>
                <w:lang w:val="en-GB"/>
              </w:rPr>
            </w:pPr>
            <w:r w:rsidRPr="006D2C05">
              <w:rPr>
                <w:b/>
                <w:iCs/>
                <w:noProof/>
                <w:sz w:val="22"/>
                <w:szCs w:val="22"/>
                <w:lang w:val="en-GB"/>
              </w:rPr>
              <w:t>Immunsystemet</w:t>
            </w:r>
          </w:p>
        </w:tc>
        <w:tc>
          <w:tcPr>
            <w:tcW w:w="6594" w:type="dxa"/>
            <w:tcBorders>
              <w:top w:val="single" w:sz="4" w:space="0" w:color="auto"/>
              <w:left w:val="single" w:sz="4" w:space="0" w:color="auto"/>
              <w:bottom w:val="single" w:sz="4" w:space="0" w:color="auto"/>
              <w:right w:val="single" w:sz="4" w:space="0" w:color="auto"/>
            </w:tcBorders>
            <w:hideMark/>
          </w:tcPr>
          <w:p w14:paraId="6E7C434B" w14:textId="77777777" w:rsidR="006D2C05" w:rsidRPr="006D2C05" w:rsidRDefault="006D2C05" w:rsidP="006D2C05">
            <w:pPr>
              <w:rPr>
                <w:iCs/>
                <w:noProof/>
                <w:sz w:val="22"/>
                <w:szCs w:val="22"/>
              </w:rPr>
            </w:pPr>
            <w:r w:rsidRPr="006D2C05">
              <w:rPr>
                <w:b/>
                <w:iCs/>
                <w:noProof/>
                <w:sz w:val="22"/>
                <w:szCs w:val="22"/>
              </w:rPr>
              <w:t>Sjælden</w:t>
            </w:r>
            <w:r w:rsidRPr="006D2C05">
              <w:rPr>
                <w:noProof/>
                <w:sz w:val="22"/>
                <w:szCs w:val="22"/>
              </w:rPr>
              <w:t>: Akut overfølsomhedsreaktion, som undertiden kan være alvorlig, herunder anafylaksi.</w:t>
            </w:r>
          </w:p>
        </w:tc>
      </w:tr>
      <w:tr w:rsidR="006D2C05" w:rsidRPr="006D2C05" w14:paraId="61625ABE" w14:textId="77777777">
        <w:tc>
          <w:tcPr>
            <w:tcW w:w="2478" w:type="dxa"/>
            <w:tcBorders>
              <w:top w:val="single" w:sz="4" w:space="0" w:color="auto"/>
              <w:left w:val="single" w:sz="4" w:space="0" w:color="auto"/>
              <w:bottom w:val="single" w:sz="4" w:space="0" w:color="auto"/>
              <w:right w:val="single" w:sz="4" w:space="0" w:color="auto"/>
            </w:tcBorders>
            <w:hideMark/>
          </w:tcPr>
          <w:p w14:paraId="0452A4ED" w14:textId="77777777" w:rsidR="006D2C05" w:rsidRPr="006D2C05" w:rsidRDefault="006D2C05" w:rsidP="006D2C05">
            <w:pPr>
              <w:rPr>
                <w:b/>
                <w:iCs/>
                <w:noProof/>
                <w:sz w:val="22"/>
                <w:szCs w:val="22"/>
                <w:lang w:val="en-GB"/>
              </w:rPr>
            </w:pPr>
            <w:r w:rsidRPr="006D2C05">
              <w:rPr>
                <w:b/>
                <w:iCs/>
                <w:noProof/>
                <w:sz w:val="22"/>
                <w:szCs w:val="22"/>
                <w:lang w:val="en-GB"/>
              </w:rPr>
              <w:t>Nervesystemet</w:t>
            </w:r>
          </w:p>
        </w:tc>
        <w:tc>
          <w:tcPr>
            <w:tcW w:w="6594" w:type="dxa"/>
            <w:tcBorders>
              <w:top w:val="single" w:sz="4" w:space="0" w:color="auto"/>
              <w:left w:val="single" w:sz="4" w:space="0" w:color="auto"/>
              <w:bottom w:val="single" w:sz="4" w:space="0" w:color="auto"/>
              <w:right w:val="single" w:sz="4" w:space="0" w:color="auto"/>
            </w:tcBorders>
            <w:hideMark/>
          </w:tcPr>
          <w:p w14:paraId="718DD66F" w14:textId="77777777" w:rsidR="006D2C05" w:rsidRPr="006D2C05" w:rsidRDefault="006D2C05" w:rsidP="006D2C05">
            <w:pPr>
              <w:rPr>
                <w:iCs/>
                <w:noProof/>
                <w:sz w:val="22"/>
                <w:szCs w:val="22"/>
              </w:rPr>
            </w:pPr>
            <w:r w:rsidRPr="006D2C05">
              <w:rPr>
                <w:b/>
                <w:iCs/>
                <w:noProof/>
                <w:sz w:val="22"/>
                <w:szCs w:val="22"/>
              </w:rPr>
              <w:t>Meget almindelig</w:t>
            </w:r>
            <w:r w:rsidRPr="006D2C05">
              <w:rPr>
                <w:noProof/>
                <w:sz w:val="22"/>
                <w:szCs w:val="22"/>
              </w:rPr>
              <w:t>: Hovedpine.</w:t>
            </w:r>
          </w:p>
          <w:p w14:paraId="69686552" w14:textId="77777777" w:rsidR="006D2C05" w:rsidRPr="006D2C05" w:rsidRDefault="006D2C05" w:rsidP="006D2C05">
            <w:pPr>
              <w:rPr>
                <w:iCs/>
                <w:noProof/>
                <w:sz w:val="22"/>
                <w:szCs w:val="22"/>
              </w:rPr>
            </w:pPr>
            <w:r w:rsidRPr="006D2C05">
              <w:rPr>
                <w:b/>
                <w:iCs/>
                <w:noProof/>
                <w:sz w:val="22"/>
                <w:szCs w:val="22"/>
              </w:rPr>
              <w:t>Ikke almindelig</w:t>
            </w:r>
            <w:r w:rsidRPr="006D2C05">
              <w:rPr>
                <w:noProof/>
                <w:sz w:val="22"/>
                <w:szCs w:val="22"/>
              </w:rPr>
              <w:t>: Krampeanfald, bevægelsesforstyrrelser (herunder ekstrapyramidale symptomer såsom dystonisk reaktion, okulogyr krise og dyskinesi) er observeret uden definitiv evidens for permanente kliniske følgevirkninger.</w:t>
            </w:r>
          </w:p>
          <w:p w14:paraId="6503E483" w14:textId="77777777" w:rsidR="006D2C05" w:rsidRPr="006D2C05" w:rsidRDefault="006D2C05" w:rsidP="006D2C05">
            <w:pPr>
              <w:rPr>
                <w:iCs/>
                <w:noProof/>
                <w:sz w:val="22"/>
                <w:szCs w:val="22"/>
              </w:rPr>
            </w:pPr>
            <w:r w:rsidRPr="006D2C05">
              <w:rPr>
                <w:b/>
                <w:iCs/>
                <w:noProof/>
                <w:sz w:val="22"/>
                <w:szCs w:val="22"/>
              </w:rPr>
              <w:t>Sjælden</w:t>
            </w:r>
            <w:r w:rsidRPr="006D2C05">
              <w:rPr>
                <w:noProof/>
                <w:sz w:val="22"/>
                <w:szCs w:val="22"/>
              </w:rPr>
              <w:t>: Svimmelhed, primært ved for hurtig intravenøs administration.</w:t>
            </w:r>
          </w:p>
        </w:tc>
      </w:tr>
      <w:tr w:rsidR="006D2C05" w:rsidRPr="006D2C05" w14:paraId="56C9BCB6" w14:textId="77777777">
        <w:tc>
          <w:tcPr>
            <w:tcW w:w="2478" w:type="dxa"/>
            <w:tcBorders>
              <w:top w:val="single" w:sz="4" w:space="0" w:color="auto"/>
              <w:left w:val="single" w:sz="4" w:space="0" w:color="auto"/>
              <w:bottom w:val="single" w:sz="4" w:space="0" w:color="auto"/>
              <w:right w:val="single" w:sz="4" w:space="0" w:color="auto"/>
            </w:tcBorders>
            <w:hideMark/>
          </w:tcPr>
          <w:p w14:paraId="15400D1C" w14:textId="77777777" w:rsidR="006D2C05" w:rsidRPr="006D2C05" w:rsidRDefault="006D2C05" w:rsidP="006D2C05">
            <w:pPr>
              <w:rPr>
                <w:b/>
                <w:iCs/>
                <w:noProof/>
                <w:sz w:val="22"/>
                <w:szCs w:val="22"/>
                <w:lang w:val="en-GB"/>
              </w:rPr>
            </w:pPr>
            <w:r w:rsidRPr="006D2C05">
              <w:rPr>
                <w:b/>
                <w:iCs/>
                <w:noProof/>
                <w:sz w:val="22"/>
                <w:szCs w:val="22"/>
                <w:lang w:val="en-GB"/>
              </w:rPr>
              <w:t>Øjne</w:t>
            </w:r>
          </w:p>
        </w:tc>
        <w:tc>
          <w:tcPr>
            <w:tcW w:w="6594" w:type="dxa"/>
            <w:tcBorders>
              <w:top w:val="single" w:sz="4" w:space="0" w:color="auto"/>
              <w:left w:val="single" w:sz="4" w:space="0" w:color="auto"/>
              <w:bottom w:val="single" w:sz="4" w:space="0" w:color="auto"/>
              <w:right w:val="single" w:sz="4" w:space="0" w:color="auto"/>
            </w:tcBorders>
            <w:hideMark/>
          </w:tcPr>
          <w:p w14:paraId="554395BB" w14:textId="77777777" w:rsidR="006D2C05" w:rsidRPr="006D2C05" w:rsidRDefault="006D2C05" w:rsidP="006D2C05">
            <w:pPr>
              <w:rPr>
                <w:b/>
                <w:iCs/>
                <w:noProof/>
                <w:sz w:val="22"/>
                <w:szCs w:val="22"/>
              </w:rPr>
            </w:pPr>
            <w:r w:rsidRPr="006D2C05">
              <w:rPr>
                <w:b/>
                <w:iCs/>
                <w:noProof/>
                <w:sz w:val="22"/>
                <w:szCs w:val="22"/>
              </w:rPr>
              <w:t xml:space="preserve">Sjælden: </w:t>
            </w:r>
            <w:r w:rsidRPr="006D2C05">
              <w:rPr>
                <w:noProof/>
                <w:sz w:val="22"/>
                <w:szCs w:val="22"/>
              </w:rPr>
              <w:t>Forbigående synsforstyrrelser (f.eks. sløret syn), primært ved for hurtig intravenøs administration.</w:t>
            </w:r>
          </w:p>
          <w:p w14:paraId="1CD4075E" w14:textId="77777777" w:rsidR="006D2C05" w:rsidRPr="006D2C05" w:rsidRDefault="006D2C05" w:rsidP="006D2C05">
            <w:pPr>
              <w:rPr>
                <w:bCs/>
                <w:iCs/>
                <w:noProof/>
                <w:sz w:val="22"/>
                <w:szCs w:val="22"/>
              </w:rPr>
            </w:pPr>
            <w:r w:rsidRPr="006D2C05">
              <w:rPr>
                <w:b/>
                <w:iCs/>
                <w:noProof/>
                <w:sz w:val="22"/>
                <w:szCs w:val="22"/>
              </w:rPr>
              <w:t xml:space="preserve">Meget sjælden: </w:t>
            </w:r>
            <w:r w:rsidRPr="006D2C05">
              <w:rPr>
                <w:noProof/>
                <w:sz w:val="22"/>
                <w:szCs w:val="22"/>
              </w:rPr>
              <w:t>Forbigående blindhed, primært ved intravenøs administration.</w:t>
            </w:r>
          </w:p>
          <w:p w14:paraId="0D2B7239" w14:textId="77777777" w:rsidR="006D2C05" w:rsidRPr="006D2C05" w:rsidRDefault="006D2C05" w:rsidP="006D2C05">
            <w:pPr>
              <w:rPr>
                <w:bCs/>
                <w:iCs/>
                <w:noProof/>
                <w:sz w:val="22"/>
                <w:szCs w:val="22"/>
              </w:rPr>
            </w:pPr>
            <w:r w:rsidRPr="006D2C05">
              <w:rPr>
                <w:noProof/>
                <w:sz w:val="22"/>
                <w:szCs w:val="22"/>
              </w:rPr>
              <w:t>I størstedelen af tilfældene med blindhed forsvandt bivirkningen fuldstændigt efter 20 minutter. De fleste patienter havde fået kemoterapi, der omfattede cisplatin. Nogle tilfælde af forbigående blindhed blev indberettet som værende opstået kortikalt.</w:t>
            </w:r>
          </w:p>
        </w:tc>
      </w:tr>
      <w:tr w:rsidR="006D2C05" w:rsidRPr="006D2C05" w14:paraId="09F4C8F6" w14:textId="77777777">
        <w:tc>
          <w:tcPr>
            <w:tcW w:w="2478" w:type="dxa"/>
            <w:tcBorders>
              <w:top w:val="single" w:sz="4" w:space="0" w:color="auto"/>
              <w:left w:val="single" w:sz="4" w:space="0" w:color="auto"/>
              <w:bottom w:val="single" w:sz="4" w:space="0" w:color="auto"/>
              <w:right w:val="single" w:sz="4" w:space="0" w:color="auto"/>
            </w:tcBorders>
            <w:hideMark/>
          </w:tcPr>
          <w:p w14:paraId="14598150" w14:textId="77777777" w:rsidR="006D2C05" w:rsidRPr="006D2C05" w:rsidRDefault="006D2C05" w:rsidP="006D2C05">
            <w:pPr>
              <w:rPr>
                <w:b/>
                <w:iCs/>
                <w:noProof/>
                <w:sz w:val="22"/>
                <w:szCs w:val="22"/>
                <w:lang w:val="en-GB"/>
              </w:rPr>
            </w:pPr>
            <w:r w:rsidRPr="006D2C05">
              <w:rPr>
                <w:b/>
                <w:iCs/>
                <w:noProof/>
                <w:sz w:val="22"/>
                <w:szCs w:val="22"/>
                <w:lang w:val="en-GB"/>
              </w:rPr>
              <w:t>Hjerte</w:t>
            </w:r>
          </w:p>
        </w:tc>
        <w:tc>
          <w:tcPr>
            <w:tcW w:w="6594" w:type="dxa"/>
            <w:tcBorders>
              <w:top w:val="single" w:sz="4" w:space="0" w:color="auto"/>
              <w:left w:val="single" w:sz="4" w:space="0" w:color="auto"/>
              <w:bottom w:val="single" w:sz="4" w:space="0" w:color="auto"/>
              <w:right w:val="single" w:sz="4" w:space="0" w:color="auto"/>
            </w:tcBorders>
            <w:hideMark/>
          </w:tcPr>
          <w:p w14:paraId="48C2A2D1" w14:textId="77777777" w:rsidR="006D2C05" w:rsidRPr="006D2C05" w:rsidRDefault="006D2C05" w:rsidP="006D2C05">
            <w:pPr>
              <w:rPr>
                <w:b/>
                <w:iCs/>
                <w:noProof/>
                <w:sz w:val="22"/>
                <w:szCs w:val="22"/>
              </w:rPr>
            </w:pPr>
            <w:r w:rsidRPr="006D2C05">
              <w:rPr>
                <w:b/>
                <w:iCs/>
                <w:noProof/>
                <w:sz w:val="22"/>
                <w:szCs w:val="22"/>
              </w:rPr>
              <w:t xml:space="preserve">Ikke almindelig: </w:t>
            </w:r>
            <w:r w:rsidRPr="006D2C05">
              <w:rPr>
                <w:noProof/>
                <w:sz w:val="22"/>
                <w:szCs w:val="22"/>
              </w:rPr>
              <w:t>Brystsmerter med eller uden ST-segmentdepression på EKG, bradykardi og arytmi.</w:t>
            </w:r>
          </w:p>
          <w:p w14:paraId="6DED1413" w14:textId="77777777" w:rsidR="006D2C05" w:rsidRPr="006D2C05" w:rsidRDefault="006D2C05" w:rsidP="006D2C05">
            <w:pPr>
              <w:rPr>
                <w:bCs/>
                <w:iCs/>
                <w:noProof/>
                <w:sz w:val="22"/>
                <w:szCs w:val="22"/>
              </w:rPr>
            </w:pPr>
            <w:r w:rsidRPr="006D2C05">
              <w:rPr>
                <w:b/>
                <w:iCs/>
                <w:noProof/>
                <w:sz w:val="22"/>
                <w:szCs w:val="22"/>
              </w:rPr>
              <w:t xml:space="preserve">Sjælden: </w:t>
            </w:r>
            <w:r w:rsidRPr="006D2C05">
              <w:rPr>
                <w:noProof/>
                <w:sz w:val="22"/>
                <w:szCs w:val="22"/>
              </w:rPr>
              <w:t>Langt QT-syndrom (herunder</w:t>
            </w:r>
            <w:r w:rsidRPr="006D2C05">
              <w:rPr>
                <w:i/>
                <w:noProof/>
                <w:sz w:val="22"/>
                <w:szCs w:val="22"/>
              </w:rPr>
              <w:t xml:space="preserve"> torsade de pointes</w:t>
            </w:r>
            <w:r w:rsidRPr="006D2C05">
              <w:rPr>
                <w:noProof/>
                <w:sz w:val="22"/>
                <w:szCs w:val="22"/>
              </w:rPr>
              <w:t>).</w:t>
            </w:r>
          </w:p>
          <w:p w14:paraId="3B28092D" w14:textId="77777777" w:rsidR="006D2C05" w:rsidRPr="006D2C05" w:rsidRDefault="006D2C05" w:rsidP="006D2C05">
            <w:pPr>
              <w:rPr>
                <w:b/>
                <w:iCs/>
                <w:noProof/>
                <w:sz w:val="22"/>
                <w:szCs w:val="22"/>
              </w:rPr>
            </w:pPr>
            <w:r w:rsidRPr="006D2C05">
              <w:rPr>
                <w:b/>
                <w:iCs/>
                <w:noProof/>
                <w:sz w:val="22"/>
                <w:szCs w:val="22"/>
              </w:rPr>
              <w:t>Ikke kendt:</w:t>
            </w:r>
            <w:r w:rsidRPr="006D2C05">
              <w:rPr>
                <w:noProof/>
                <w:sz w:val="22"/>
                <w:szCs w:val="22"/>
              </w:rPr>
              <w:t xml:space="preserve"> Myokardieiskæmi (se pkt. 4.4).</w:t>
            </w:r>
          </w:p>
        </w:tc>
      </w:tr>
      <w:tr w:rsidR="006D2C05" w:rsidRPr="006D2C05" w14:paraId="06980D43" w14:textId="77777777">
        <w:tc>
          <w:tcPr>
            <w:tcW w:w="2478" w:type="dxa"/>
            <w:tcBorders>
              <w:top w:val="single" w:sz="4" w:space="0" w:color="auto"/>
              <w:left w:val="single" w:sz="4" w:space="0" w:color="auto"/>
              <w:bottom w:val="single" w:sz="4" w:space="0" w:color="auto"/>
              <w:right w:val="single" w:sz="4" w:space="0" w:color="auto"/>
            </w:tcBorders>
            <w:hideMark/>
          </w:tcPr>
          <w:p w14:paraId="0ECE2F08" w14:textId="77777777" w:rsidR="006D2C05" w:rsidRPr="006D2C05" w:rsidRDefault="006D2C05" w:rsidP="006D2C05">
            <w:pPr>
              <w:rPr>
                <w:b/>
                <w:iCs/>
                <w:noProof/>
                <w:sz w:val="22"/>
                <w:szCs w:val="22"/>
                <w:lang w:val="en-GB"/>
              </w:rPr>
            </w:pPr>
            <w:r w:rsidRPr="006D2C05">
              <w:rPr>
                <w:b/>
                <w:iCs/>
                <w:noProof/>
                <w:sz w:val="22"/>
                <w:szCs w:val="22"/>
                <w:lang w:val="en-GB"/>
              </w:rPr>
              <w:t>Vaskulære sygdomme</w:t>
            </w:r>
          </w:p>
        </w:tc>
        <w:tc>
          <w:tcPr>
            <w:tcW w:w="6594" w:type="dxa"/>
            <w:tcBorders>
              <w:top w:val="single" w:sz="4" w:space="0" w:color="auto"/>
              <w:left w:val="single" w:sz="4" w:space="0" w:color="auto"/>
              <w:bottom w:val="single" w:sz="4" w:space="0" w:color="auto"/>
              <w:right w:val="single" w:sz="4" w:space="0" w:color="auto"/>
            </w:tcBorders>
            <w:hideMark/>
          </w:tcPr>
          <w:p w14:paraId="16EEF916" w14:textId="77777777" w:rsidR="006D2C05" w:rsidRPr="006D2C05" w:rsidRDefault="006D2C05" w:rsidP="006D2C05">
            <w:pPr>
              <w:rPr>
                <w:iCs/>
                <w:noProof/>
                <w:sz w:val="22"/>
                <w:szCs w:val="22"/>
              </w:rPr>
            </w:pPr>
            <w:r w:rsidRPr="006D2C05">
              <w:rPr>
                <w:b/>
                <w:iCs/>
                <w:noProof/>
                <w:sz w:val="22"/>
                <w:szCs w:val="22"/>
              </w:rPr>
              <w:t xml:space="preserve">Almindelig: </w:t>
            </w:r>
            <w:r w:rsidRPr="006D2C05">
              <w:rPr>
                <w:noProof/>
                <w:sz w:val="22"/>
                <w:szCs w:val="22"/>
              </w:rPr>
              <w:t>Varmefølelse eller rødmen.</w:t>
            </w:r>
          </w:p>
          <w:p w14:paraId="68D676CA" w14:textId="77777777" w:rsidR="006D2C05" w:rsidRPr="006D2C05" w:rsidRDefault="006D2C05" w:rsidP="006D2C05">
            <w:pPr>
              <w:rPr>
                <w:b/>
                <w:iCs/>
                <w:noProof/>
                <w:sz w:val="22"/>
                <w:szCs w:val="22"/>
              </w:rPr>
            </w:pPr>
            <w:r w:rsidRPr="006D2C05">
              <w:rPr>
                <w:b/>
                <w:bCs/>
                <w:iCs/>
                <w:noProof/>
                <w:sz w:val="22"/>
                <w:szCs w:val="22"/>
              </w:rPr>
              <w:t>Ikke almindelig:</w:t>
            </w:r>
            <w:r w:rsidRPr="006D2C05">
              <w:rPr>
                <w:noProof/>
                <w:sz w:val="22"/>
                <w:szCs w:val="22"/>
              </w:rPr>
              <w:t xml:space="preserve"> Hypotension.</w:t>
            </w:r>
          </w:p>
        </w:tc>
      </w:tr>
      <w:tr w:rsidR="006D2C05" w:rsidRPr="006D2C05" w14:paraId="58BFC11B" w14:textId="77777777">
        <w:tc>
          <w:tcPr>
            <w:tcW w:w="2478" w:type="dxa"/>
            <w:tcBorders>
              <w:top w:val="single" w:sz="4" w:space="0" w:color="auto"/>
              <w:left w:val="single" w:sz="4" w:space="0" w:color="auto"/>
              <w:bottom w:val="single" w:sz="4" w:space="0" w:color="auto"/>
              <w:right w:val="single" w:sz="4" w:space="0" w:color="auto"/>
            </w:tcBorders>
            <w:hideMark/>
          </w:tcPr>
          <w:p w14:paraId="124169B5" w14:textId="77777777" w:rsidR="006D2C05" w:rsidRPr="006D2C05" w:rsidRDefault="006D2C05" w:rsidP="006D2C05">
            <w:pPr>
              <w:rPr>
                <w:b/>
                <w:iCs/>
                <w:noProof/>
                <w:sz w:val="22"/>
                <w:szCs w:val="22"/>
                <w:lang w:val="en-GB"/>
              </w:rPr>
            </w:pPr>
            <w:r w:rsidRPr="006D2C05">
              <w:rPr>
                <w:b/>
                <w:iCs/>
                <w:noProof/>
                <w:sz w:val="22"/>
                <w:szCs w:val="22"/>
                <w:lang w:val="en-GB"/>
              </w:rPr>
              <w:t>Luftveje, thorax og mediastinum</w:t>
            </w:r>
          </w:p>
        </w:tc>
        <w:tc>
          <w:tcPr>
            <w:tcW w:w="6594" w:type="dxa"/>
            <w:tcBorders>
              <w:top w:val="single" w:sz="4" w:space="0" w:color="auto"/>
              <w:left w:val="single" w:sz="4" w:space="0" w:color="auto"/>
              <w:bottom w:val="single" w:sz="4" w:space="0" w:color="auto"/>
              <w:right w:val="single" w:sz="4" w:space="0" w:color="auto"/>
            </w:tcBorders>
            <w:hideMark/>
          </w:tcPr>
          <w:p w14:paraId="7280F83A" w14:textId="77777777" w:rsidR="006D2C05" w:rsidRPr="006D2C05" w:rsidRDefault="006D2C05" w:rsidP="006D2C05">
            <w:pPr>
              <w:rPr>
                <w:b/>
                <w:iCs/>
                <w:noProof/>
                <w:sz w:val="22"/>
                <w:szCs w:val="22"/>
                <w:lang w:val="en-GB"/>
              </w:rPr>
            </w:pPr>
            <w:r w:rsidRPr="006D2C05">
              <w:rPr>
                <w:b/>
                <w:iCs/>
                <w:noProof/>
                <w:sz w:val="22"/>
                <w:szCs w:val="22"/>
                <w:lang w:val="en-GB"/>
              </w:rPr>
              <w:t xml:space="preserve">Ikke almindelig: </w:t>
            </w:r>
            <w:r w:rsidRPr="006D2C05">
              <w:rPr>
                <w:noProof/>
                <w:sz w:val="22"/>
                <w:szCs w:val="22"/>
                <w:lang w:val="en-GB"/>
              </w:rPr>
              <w:t>Hikke.</w:t>
            </w:r>
          </w:p>
        </w:tc>
      </w:tr>
      <w:tr w:rsidR="006D2C05" w:rsidRPr="006D2C05" w14:paraId="4EBFB808" w14:textId="77777777">
        <w:tc>
          <w:tcPr>
            <w:tcW w:w="2478" w:type="dxa"/>
            <w:tcBorders>
              <w:top w:val="single" w:sz="4" w:space="0" w:color="auto"/>
              <w:left w:val="single" w:sz="4" w:space="0" w:color="auto"/>
              <w:bottom w:val="single" w:sz="4" w:space="0" w:color="auto"/>
              <w:right w:val="single" w:sz="4" w:space="0" w:color="auto"/>
            </w:tcBorders>
            <w:hideMark/>
          </w:tcPr>
          <w:p w14:paraId="4F600259" w14:textId="77777777" w:rsidR="006D2C05" w:rsidRPr="006D2C05" w:rsidRDefault="006D2C05" w:rsidP="006D2C05">
            <w:pPr>
              <w:rPr>
                <w:b/>
                <w:iCs/>
                <w:noProof/>
                <w:sz w:val="22"/>
                <w:szCs w:val="22"/>
                <w:lang w:val="en-GB"/>
              </w:rPr>
            </w:pPr>
            <w:r w:rsidRPr="006D2C05">
              <w:rPr>
                <w:b/>
                <w:iCs/>
                <w:noProof/>
                <w:sz w:val="22"/>
                <w:szCs w:val="22"/>
                <w:lang w:val="en-GB"/>
              </w:rPr>
              <w:t>Mave-tarm-kanalen</w:t>
            </w:r>
          </w:p>
        </w:tc>
        <w:tc>
          <w:tcPr>
            <w:tcW w:w="6594" w:type="dxa"/>
            <w:tcBorders>
              <w:top w:val="single" w:sz="4" w:space="0" w:color="auto"/>
              <w:left w:val="single" w:sz="4" w:space="0" w:color="auto"/>
              <w:bottom w:val="single" w:sz="4" w:space="0" w:color="auto"/>
              <w:right w:val="single" w:sz="4" w:space="0" w:color="auto"/>
            </w:tcBorders>
            <w:hideMark/>
          </w:tcPr>
          <w:p w14:paraId="3146EC7F" w14:textId="77777777" w:rsidR="006D2C05" w:rsidRPr="006D2C05" w:rsidRDefault="006D2C05" w:rsidP="006D2C05">
            <w:pPr>
              <w:rPr>
                <w:b/>
                <w:iCs/>
                <w:noProof/>
                <w:sz w:val="22"/>
                <w:szCs w:val="22"/>
              </w:rPr>
            </w:pPr>
            <w:r w:rsidRPr="006D2C05">
              <w:rPr>
                <w:b/>
                <w:iCs/>
                <w:noProof/>
                <w:sz w:val="22"/>
                <w:szCs w:val="22"/>
              </w:rPr>
              <w:t xml:space="preserve">Almindelig: </w:t>
            </w:r>
            <w:r w:rsidRPr="006D2C05">
              <w:rPr>
                <w:noProof/>
                <w:sz w:val="22"/>
                <w:szCs w:val="22"/>
              </w:rPr>
              <w:t>Obstipation på grund af forlænget tarmpassagetid.</w:t>
            </w:r>
          </w:p>
          <w:p w14:paraId="08EB87A7" w14:textId="77777777" w:rsidR="006D2C05" w:rsidRPr="006D2C05" w:rsidRDefault="006D2C05" w:rsidP="006D2C05">
            <w:pPr>
              <w:rPr>
                <w:b/>
                <w:iCs/>
                <w:noProof/>
                <w:sz w:val="22"/>
                <w:szCs w:val="22"/>
                <w:lang w:val="en-GB"/>
              </w:rPr>
            </w:pPr>
            <w:r w:rsidRPr="006D2C05">
              <w:rPr>
                <w:b/>
                <w:iCs/>
                <w:noProof/>
                <w:sz w:val="22"/>
                <w:szCs w:val="22"/>
                <w:lang w:val="en-GB"/>
              </w:rPr>
              <w:t xml:space="preserve">Ikke kendt: </w:t>
            </w:r>
            <w:r w:rsidRPr="006D2C05">
              <w:rPr>
                <w:noProof/>
                <w:sz w:val="22"/>
                <w:szCs w:val="22"/>
                <w:lang w:val="en-GB"/>
              </w:rPr>
              <w:t>Mundtørhed.</w:t>
            </w:r>
          </w:p>
        </w:tc>
      </w:tr>
      <w:tr w:rsidR="006D2C05" w:rsidRPr="006D2C05" w14:paraId="3A62EB55" w14:textId="77777777">
        <w:tc>
          <w:tcPr>
            <w:tcW w:w="2478" w:type="dxa"/>
            <w:tcBorders>
              <w:top w:val="single" w:sz="4" w:space="0" w:color="auto"/>
              <w:left w:val="single" w:sz="4" w:space="0" w:color="auto"/>
              <w:bottom w:val="single" w:sz="4" w:space="0" w:color="auto"/>
              <w:right w:val="single" w:sz="4" w:space="0" w:color="auto"/>
            </w:tcBorders>
            <w:hideMark/>
          </w:tcPr>
          <w:p w14:paraId="2C03E4BF" w14:textId="77777777" w:rsidR="006D2C05" w:rsidRPr="006D2C05" w:rsidRDefault="006D2C05" w:rsidP="006D2C05">
            <w:pPr>
              <w:rPr>
                <w:b/>
                <w:iCs/>
                <w:noProof/>
                <w:sz w:val="22"/>
                <w:szCs w:val="22"/>
                <w:lang w:val="en-GB"/>
              </w:rPr>
            </w:pPr>
            <w:r w:rsidRPr="006D2C05">
              <w:rPr>
                <w:b/>
                <w:iCs/>
                <w:noProof/>
                <w:sz w:val="22"/>
                <w:szCs w:val="22"/>
                <w:lang w:val="en-GB"/>
              </w:rPr>
              <w:t>Lever og galdeveje</w:t>
            </w:r>
          </w:p>
        </w:tc>
        <w:tc>
          <w:tcPr>
            <w:tcW w:w="6594" w:type="dxa"/>
            <w:tcBorders>
              <w:top w:val="single" w:sz="4" w:space="0" w:color="auto"/>
              <w:left w:val="single" w:sz="4" w:space="0" w:color="auto"/>
              <w:bottom w:val="single" w:sz="4" w:space="0" w:color="auto"/>
              <w:right w:val="single" w:sz="4" w:space="0" w:color="auto"/>
            </w:tcBorders>
            <w:hideMark/>
          </w:tcPr>
          <w:p w14:paraId="2C6B450F" w14:textId="77777777" w:rsidR="006D2C05" w:rsidRPr="006D2C05" w:rsidRDefault="006D2C05" w:rsidP="006D2C05">
            <w:pPr>
              <w:rPr>
                <w:bCs/>
                <w:iCs/>
                <w:noProof/>
                <w:sz w:val="22"/>
                <w:szCs w:val="22"/>
              </w:rPr>
            </w:pPr>
            <w:r w:rsidRPr="006D2C05">
              <w:rPr>
                <w:b/>
                <w:iCs/>
                <w:noProof/>
                <w:sz w:val="22"/>
                <w:szCs w:val="22"/>
              </w:rPr>
              <w:t xml:space="preserve">Ikke almindelig: </w:t>
            </w:r>
            <w:r w:rsidRPr="006D2C05">
              <w:rPr>
                <w:bCs/>
                <w:iCs/>
                <w:noProof/>
                <w:sz w:val="22"/>
                <w:szCs w:val="22"/>
              </w:rPr>
              <w:t>A</w:t>
            </w:r>
            <w:r w:rsidRPr="006D2C05">
              <w:rPr>
                <w:noProof/>
                <w:sz w:val="22"/>
                <w:szCs w:val="22"/>
              </w:rPr>
              <w:t>symptomatiske stigninger i leverfunktionsprøver.</w:t>
            </w:r>
          </w:p>
          <w:p w14:paraId="2A4529D7" w14:textId="77777777" w:rsidR="006D2C05" w:rsidRPr="006D2C05" w:rsidRDefault="006D2C05" w:rsidP="006D2C05">
            <w:pPr>
              <w:rPr>
                <w:b/>
                <w:iCs/>
                <w:noProof/>
                <w:sz w:val="22"/>
                <w:szCs w:val="22"/>
              </w:rPr>
            </w:pPr>
            <w:r w:rsidRPr="006D2C05">
              <w:rPr>
                <w:noProof/>
                <w:sz w:val="22"/>
                <w:szCs w:val="22"/>
              </w:rPr>
              <w:t>Disse hændelser blev ofte observeret hos patienter, der fik kemoterapi med cisplatin.</w:t>
            </w:r>
          </w:p>
        </w:tc>
      </w:tr>
      <w:tr w:rsidR="006D2C05" w:rsidRPr="006D2C05" w14:paraId="2D4A8F0D" w14:textId="77777777">
        <w:tc>
          <w:tcPr>
            <w:tcW w:w="2478" w:type="dxa"/>
            <w:tcBorders>
              <w:top w:val="single" w:sz="4" w:space="0" w:color="auto"/>
              <w:left w:val="single" w:sz="4" w:space="0" w:color="auto"/>
              <w:bottom w:val="single" w:sz="4" w:space="0" w:color="auto"/>
              <w:right w:val="single" w:sz="4" w:space="0" w:color="auto"/>
            </w:tcBorders>
            <w:hideMark/>
          </w:tcPr>
          <w:p w14:paraId="7FEAE7A1" w14:textId="77777777" w:rsidR="006D2C05" w:rsidRPr="006D2C05" w:rsidRDefault="006D2C05" w:rsidP="006D2C05">
            <w:pPr>
              <w:rPr>
                <w:b/>
                <w:iCs/>
                <w:noProof/>
                <w:sz w:val="22"/>
                <w:szCs w:val="22"/>
                <w:lang w:val="en-GB"/>
              </w:rPr>
            </w:pPr>
            <w:r w:rsidRPr="006D2C05">
              <w:rPr>
                <w:b/>
                <w:iCs/>
                <w:noProof/>
                <w:sz w:val="22"/>
                <w:szCs w:val="22"/>
                <w:lang w:val="en-GB"/>
              </w:rPr>
              <w:t>Hud og subkutane væv</w:t>
            </w:r>
          </w:p>
        </w:tc>
        <w:tc>
          <w:tcPr>
            <w:tcW w:w="6594" w:type="dxa"/>
            <w:tcBorders>
              <w:top w:val="single" w:sz="4" w:space="0" w:color="auto"/>
              <w:left w:val="single" w:sz="4" w:space="0" w:color="auto"/>
              <w:bottom w:val="single" w:sz="4" w:space="0" w:color="auto"/>
              <w:right w:val="single" w:sz="4" w:space="0" w:color="auto"/>
            </w:tcBorders>
            <w:hideMark/>
          </w:tcPr>
          <w:p w14:paraId="71C4FDD3" w14:textId="77777777" w:rsidR="006D2C05" w:rsidRPr="006D2C05" w:rsidRDefault="006D2C05" w:rsidP="006D2C05">
            <w:pPr>
              <w:rPr>
                <w:b/>
                <w:iCs/>
                <w:noProof/>
                <w:sz w:val="22"/>
                <w:szCs w:val="22"/>
              </w:rPr>
            </w:pPr>
            <w:r w:rsidRPr="006D2C05">
              <w:rPr>
                <w:b/>
                <w:iCs/>
                <w:noProof/>
                <w:sz w:val="22"/>
                <w:szCs w:val="22"/>
              </w:rPr>
              <w:t>Meget sjælden:</w:t>
            </w:r>
            <w:r w:rsidRPr="006D2C05">
              <w:rPr>
                <w:noProof/>
                <w:sz w:val="22"/>
                <w:szCs w:val="22"/>
              </w:rPr>
              <w:t xml:space="preserve"> Toksisk hududslæt, herunder toksisk epidermal nekrolyse.</w:t>
            </w:r>
          </w:p>
        </w:tc>
      </w:tr>
      <w:tr w:rsidR="006D2C05" w:rsidRPr="006D2C05" w14:paraId="5B2A783B" w14:textId="77777777">
        <w:tc>
          <w:tcPr>
            <w:tcW w:w="2478" w:type="dxa"/>
            <w:tcBorders>
              <w:top w:val="single" w:sz="4" w:space="0" w:color="auto"/>
              <w:left w:val="single" w:sz="4" w:space="0" w:color="auto"/>
              <w:bottom w:val="single" w:sz="4" w:space="0" w:color="auto"/>
              <w:right w:val="single" w:sz="4" w:space="0" w:color="auto"/>
            </w:tcBorders>
            <w:hideMark/>
          </w:tcPr>
          <w:p w14:paraId="205EA1E4" w14:textId="77777777" w:rsidR="006D2C05" w:rsidRPr="006D2C05" w:rsidRDefault="006D2C05" w:rsidP="006D2C05">
            <w:pPr>
              <w:rPr>
                <w:b/>
                <w:iCs/>
                <w:noProof/>
                <w:sz w:val="22"/>
                <w:szCs w:val="22"/>
              </w:rPr>
            </w:pPr>
            <w:r w:rsidRPr="006D2C05">
              <w:rPr>
                <w:b/>
                <w:iCs/>
                <w:noProof/>
                <w:sz w:val="22"/>
                <w:szCs w:val="22"/>
              </w:rPr>
              <w:t>Almene symptomer og reaktioner på administrationsstedet</w:t>
            </w:r>
          </w:p>
        </w:tc>
        <w:tc>
          <w:tcPr>
            <w:tcW w:w="6594" w:type="dxa"/>
            <w:tcBorders>
              <w:top w:val="single" w:sz="4" w:space="0" w:color="auto"/>
              <w:left w:val="single" w:sz="4" w:space="0" w:color="auto"/>
              <w:bottom w:val="single" w:sz="4" w:space="0" w:color="auto"/>
              <w:right w:val="single" w:sz="4" w:space="0" w:color="auto"/>
            </w:tcBorders>
            <w:hideMark/>
          </w:tcPr>
          <w:p w14:paraId="69757C32" w14:textId="77777777" w:rsidR="006D2C05" w:rsidRPr="006D2C05" w:rsidRDefault="006D2C05" w:rsidP="006D2C05">
            <w:pPr>
              <w:rPr>
                <w:b/>
                <w:iCs/>
                <w:noProof/>
                <w:sz w:val="22"/>
                <w:szCs w:val="22"/>
              </w:rPr>
            </w:pPr>
            <w:r w:rsidRPr="006D2C05">
              <w:rPr>
                <w:b/>
                <w:iCs/>
                <w:noProof/>
                <w:sz w:val="22"/>
                <w:szCs w:val="22"/>
              </w:rPr>
              <w:t xml:space="preserve">Almindelig: </w:t>
            </w:r>
            <w:r w:rsidRPr="006D2C05">
              <w:rPr>
                <w:noProof/>
                <w:sz w:val="22"/>
                <w:szCs w:val="22"/>
              </w:rPr>
              <w:t>Irritation på det intravenøse injektionssted, varmefølelse eller hedeture.</w:t>
            </w:r>
          </w:p>
        </w:tc>
      </w:tr>
    </w:tbl>
    <w:p w14:paraId="0753691F" w14:textId="77777777" w:rsidR="006D2C05" w:rsidRPr="006D2C05" w:rsidRDefault="006D2C05" w:rsidP="006D2C05">
      <w:pPr>
        <w:ind w:left="851"/>
        <w:rPr>
          <w:iCs/>
          <w:noProof/>
          <w:sz w:val="24"/>
          <w:szCs w:val="24"/>
        </w:rPr>
      </w:pPr>
    </w:p>
    <w:p w14:paraId="2F718E5E" w14:textId="77777777" w:rsidR="006D2C05" w:rsidRPr="006D2C05" w:rsidRDefault="006D2C05" w:rsidP="006D2C05">
      <w:pPr>
        <w:keepNext/>
        <w:ind w:left="851"/>
        <w:rPr>
          <w:iCs/>
          <w:noProof/>
          <w:sz w:val="24"/>
          <w:szCs w:val="24"/>
          <w:u w:val="single"/>
        </w:rPr>
      </w:pPr>
      <w:r w:rsidRPr="006D2C05">
        <w:rPr>
          <w:noProof/>
          <w:sz w:val="24"/>
          <w:szCs w:val="24"/>
          <w:u w:val="single"/>
        </w:rPr>
        <w:t>Pædiatrisk population</w:t>
      </w:r>
    </w:p>
    <w:p w14:paraId="326F8025" w14:textId="77777777" w:rsidR="006D2C05" w:rsidRPr="006D2C05" w:rsidRDefault="006D2C05" w:rsidP="006D2C05">
      <w:pPr>
        <w:keepNext/>
        <w:ind w:left="851"/>
        <w:rPr>
          <w:noProof/>
          <w:sz w:val="24"/>
          <w:szCs w:val="24"/>
        </w:rPr>
      </w:pPr>
      <w:r w:rsidRPr="006D2C05">
        <w:rPr>
          <w:noProof/>
          <w:sz w:val="24"/>
          <w:szCs w:val="24"/>
        </w:rPr>
        <w:t>Bivirkningsprofilen hos børn og unge var sammenlignelig med bivirkningsprofilen hos voksne.</w:t>
      </w:r>
    </w:p>
    <w:p w14:paraId="7A93D6AB" w14:textId="77777777" w:rsidR="006D2C05" w:rsidRPr="006D2C05" w:rsidRDefault="006D2C05" w:rsidP="006D2C05">
      <w:pPr>
        <w:ind w:left="851"/>
        <w:rPr>
          <w:i/>
          <w:noProof/>
          <w:sz w:val="24"/>
          <w:szCs w:val="24"/>
        </w:rPr>
      </w:pPr>
    </w:p>
    <w:p w14:paraId="149F460D" w14:textId="77777777" w:rsidR="006D2C05" w:rsidRPr="006D2C05" w:rsidRDefault="006D2C05" w:rsidP="006D2C05">
      <w:pPr>
        <w:keepNext/>
        <w:autoSpaceDE w:val="0"/>
        <w:autoSpaceDN w:val="0"/>
        <w:adjustRightInd w:val="0"/>
        <w:ind w:left="851"/>
        <w:rPr>
          <w:sz w:val="24"/>
          <w:szCs w:val="24"/>
          <w:u w:val="single"/>
        </w:rPr>
      </w:pPr>
      <w:r w:rsidRPr="006D2C05">
        <w:rPr>
          <w:noProof/>
          <w:sz w:val="24"/>
          <w:szCs w:val="24"/>
          <w:u w:val="single"/>
        </w:rPr>
        <w:t>Indberetning af formodede bivirkninger</w:t>
      </w:r>
    </w:p>
    <w:p w14:paraId="3D4F11CD" w14:textId="77777777" w:rsidR="006D2C05" w:rsidRPr="006D2C05" w:rsidRDefault="006D2C05" w:rsidP="006D2C05">
      <w:pPr>
        <w:keepNext/>
        <w:autoSpaceDE w:val="0"/>
        <w:autoSpaceDN w:val="0"/>
        <w:adjustRightInd w:val="0"/>
        <w:ind w:left="851"/>
        <w:rPr>
          <w:noProof/>
          <w:sz w:val="24"/>
          <w:szCs w:val="24"/>
        </w:rPr>
      </w:pPr>
      <w:r w:rsidRPr="006D2C05">
        <w:rPr>
          <w:noProof/>
          <w:sz w:val="24"/>
          <w:szCs w:val="24"/>
        </w:rPr>
        <w:t>Når lægemidlet er godkendt, er indberetning af formodede bivirkninger vigtig.</w:t>
      </w:r>
      <w:r w:rsidRPr="006D2C05">
        <w:rPr>
          <w:sz w:val="24"/>
          <w:szCs w:val="24"/>
        </w:rPr>
        <w:t xml:space="preserve"> </w:t>
      </w:r>
      <w:r w:rsidRPr="006D2C05">
        <w:rPr>
          <w:noProof/>
          <w:sz w:val="24"/>
          <w:szCs w:val="24"/>
        </w:rPr>
        <w:t>Det muliggør løbende overvågning af benefit/risk-forholdet for lægemidlet.</w:t>
      </w:r>
      <w:r w:rsidRPr="006D2C05">
        <w:rPr>
          <w:sz w:val="24"/>
          <w:szCs w:val="24"/>
        </w:rPr>
        <w:t xml:space="preserve"> </w:t>
      </w:r>
      <w:r w:rsidRPr="006D2C05">
        <w:rPr>
          <w:noProof/>
          <w:sz w:val="24"/>
          <w:szCs w:val="24"/>
        </w:rPr>
        <w:t>Sundhedspersoner anmodes om at indberette alle formodede bivirkninger via:</w:t>
      </w:r>
    </w:p>
    <w:p w14:paraId="1D6ABE57" w14:textId="77777777" w:rsidR="006D2C05" w:rsidRPr="006D2C05" w:rsidRDefault="006D2C05" w:rsidP="006D2C05">
      <w:pPr>
        <w:autoSpaceDE w:val="0"/>
        <w:autoSpaceDN w:val="0"/>
        <w:adjustRightInd w:val="0"/>
        <w:ind w:left="851"/>
        <w:rPr>
          <w:noProof/>
          <w:sz w:val="24"/>
          <w:szCs w:val="24"/>
        </w:rPr>
      </w:pPr>
    </w:p>
    <w:p w14:paraId="2314D36B" w14:textId="77777777" w:rsidR="006D2C05" w:rsidRPr="006D2C05" w:rsidRDefault="006D2C05" w:rsidP="006D2C05">
      <w:pPr>
        <w:autoSpaceDE w:val="0"/>
        <w:autoSpaceDN w:val="0"/>
        <w:adjustRightInd w:val="0"/>
        <w:ind w:left="851"/>
        <w:rPr>
          <w:noProof/>
          <w:sz w:val="24"/>
          <w:szCs w:val="24"/>
        </w:rPr>
      </w:pPr>
      <w:r w:rsidRPr="006D2C05">
        <w:rPr>
          <w:noProof/>
          <w:sz w:val="24"/>
          <w:szCs w:val="24"/>
        </w:rPr>
        <w:t>Lægemiddelstyrelsen</w:t>
      </w:r>
    </w:p>
    <w:p w14:paraId="70FF721B" w14:textId="77777777" w:rsidR="006D2C05" w:rsidRPr="006D2C05" w:rsidRDefault="006D2C05" w:rsidP="006D2C05">
      <w:pPr>
        <w:autoSpaceDE w:val="0"/>
        <w:autoSpaceDN w:val="0"/>
        <w:adjustRightInd w:val="0"/>
        <w:ind w:left="851"/>
        <w:rPr>
          <w:noProof/>
          <w:sz w:val="24"/>
          <w:szCs w:val="24"/>
        </w:rPr>
      </w:pPr>
      <w:r w:rsidRPr="006D2C05">
        <w:rPr>
          <w:noProof/>
          <w:sz w:val="24"/>
          <w:szCs w:val="24"/>
        </w:rPr>
        <w:t>Axel Heides Gade 1</w:t>
      </w:r>
    </w:p>
    <w:p w14:paraId="12C96588" w14:textId="77777777" w:rsidR="006D2C05" w:rsidRPr="006D2C05" w:rsidRDefault="006D2C05" w:rsidP="006D2C05">
      <w:pPr>
        <w:autoSpaceDE w:val="0"/>
        <w:autoSpaceDN w:val="0"/>
        <w:adjustRightInd w:val="0"/>
        <w:ind w:left="851"/>
        <w:rPr>
          <w:noProof/>
          <w:sz w:val="24"/>
          <w:szCs w:val="24"/>
        </w:rPr>
      </w:pPr>
      <w:r w:rsidRPr="006D2C05">
        <w:rPr>
          <w:noProof/>
          <w:sz w:val="24"/>
          <w:szCs w:val="24"/>
        </w:rPr>
        <w:t>DK-2300 København S</w:t>
      </w:r>
    </w:p>
    <w:p w14:paraId="5348BF4A" w14:textId="782F8178" w:rsidR="006D2C05" w:rsidRPr="006D2C05" w:rsidRDefault="006D2C05" w:rsidP="006D2C05">
      <w:pPr>
        <w:autoSpaceDE w:val="0"/>
        <w:autoSpaceDN w:val="0"/>
        <w:adjustRightInd w:val="0"/>
        <w:ind w:left="851"/>
        <w:rPr>
          <w:noProof/>
          <w:sz w:val="24"/>
          <w:szCs w:val="24"/>
        </w:rPr>
      </w:pPr>
      <w:r w:rsidRPr="006D2C05">
        <w:rPr>
          <w:noProof/>
          <w:sz w:val="24"/>
          <w:szCs w:val="24"/>
        </w:rPr>
        <w:t>Websted: www.meldenbivirkning.dk</w:t>
      </w:r>
    </w:p>
    <w:p w14:paraId="76B7ED18" w14:textId="77777777" w:rsidR="006D2C05" w:rsidRPr="00251CBD" w:rsidRDefault="006D2C05" w:rsidP="00251CBD">
      <w:pPr>
        <w:tabs>
          <w:tab w:val="left" w:pos="851"/>
        </w:tabs>
        <w:ind w:left="851"/>
        <w:rPr>
          <w:iCs/>
          <w:sz w:val="24"/>
          <w:szCs w:val="24"/>
        </w:rPr>
      </w:pPr>
    </w:p>
    <w:p w14:paraId="249AE54C" w14:textId="77777777" w:rsidR="009260DE" w:rsidRPr="00C84483" w:rsidRDefault="009260DE" w:rsidP="009260DE">
      <w:pPr>
        <w:tabs>
          <w:tab w:val="left" w:pos="851"/>
        </w:tabs>
        <w:ind w:left="851" w:hanging="851"/>
        <w:rPr>
          <w:b/>
          <w:sz w:val="24"/>
          <w:szCs w:val="24"/>
        </w:rPr>
      </w:pPr>
      <w:r w:rsidRPr="00C84483">
        <w:rPr>
          <w:b/>
          <w:sz w:val="24"/>
          <w:szCs w:val="24"/>
        </w:rPr>
        <w:lastRenderedPageBreak/>
        <w:t>4.9</w:t>
      </w:r>
      <w:r w:rsidRPr="00C84483">
        <w:rPr>
          <w:b/>
          <w:sz w:val="24"/>
          <w:szCs w:val="24"/>
        </w:rPr>
        <w:tab/>
        <w:t>Overdosering</w:t>
      </w:r>
    </w:p>
    <w:p w14:paraId="75A6A6BD" w14:textId="77777777" w:rsidR="0028447D" w:rsidRPr="0028447D" w:rsidRDefault="0028447D" w:rsidP="0028447D">
      <w:pPr>
        <w:tabs>
          <w:tab w:val="left" w:pos="851"/>
        </w:tabs>
        <w:ind w:left="851"/>
        <w:rPr>
          <w:sz w:val="24"/>
          <w:szCs w:val="24"/>
        </w:rPr>
      </w:pPr>
    </w:p>
    <w:p w14:paraId="15579F38" w14:textId="77777777" w:rsidR="0028447D" w:rsidRPr="0028447D" w:rsidRDefault="0028447D" w:rsidP="0028447D">
      <w:pPr>
        <w:tabs>
          <w:tab w:val="left" w:pos="851"/>
        </w:tabs>
        <w:ind w:left="851"/>
        <w:rPr>
          <w:iCs/>
          <w:sz w:val="24"/>
          <w:szCs w:val="24"/>
          <w:u w:val="single"/>
        </w:rPr>
      </w:pPr>
      <w:r w:rsidRPr="0028447D">
        <w:rPr>
          <w:iCs/>
          <w:sz w:val="24"/>
          <w:szCs w:val="24"/>
          <w:u w:val="single"/>
        </w:rPr>
        <w:t>Symptomer</w:t>
      </w:r>
    </w:p>
    <w:p w14:paraId="5D83D2E0" w14:textId="77777777" w:rsidR="0028447D" w:rsidRPr="0028447D" w:rsidRDefault="0028447D" w:rsidP="0028447D">
      <w:pPr>
        <w:tabs>
          <w:tab w:val="left" w:pos="851"/>
        </w:tabs>
        <w:ind w:left="851"/>
        <w:rPr>
          <w:iCs/>
          <w:sz w:val="24"/>
          <w:szCs w:val="24"/>
        </w:rPr>
      </w:pPr>
      <w:r w:rsidRPr="0028447D">
        <w:rPr>
          <w:sz w:val="24"/>
          <w:szCs w:val="24"/>
        </w:rPr>
        <w:t>Der er få erfaringer med overdosering af ondansetron. I tilfælde af utilsigtet overdosering kan følgende symptomer på forgiftning dog forventes: synsforstyrrelser, svær obstipation, hypotension og vasovagal episode med forbigående andengrads AV-blok. I alle tilfælde forsvandt symptomerne helt.</w:t>
      </w:r>
    </w:p>
    <w:p w14:paraId="253DC9AC" w14:textId="77777777" w:rsidR="0028447D" w:rsidRPr="0028447D" w:rsidRDefault="0028447D" w:rsidP="0028447D">
      <w:pPr>
        <w:tabs>
          <w:tab w:val="left" w:pos="851"/>
        </w:tabs>
        <w:ind w:left="851"/>
        <w:rPr>
          <w:iCs/>
          <w:sz w:val="24"/>
          <w:szCs w:val="24"/>
        </w:rPr>
      </w:pPr>
      <w:r w:rsidRPr="0028447D">
        <w:rPr>
          <w:sz w:val="24"/>
          <w:szCs w:val="24"/>
        </w:rPr>
        <w:t>Ondansetron forlænger QT-intervallet på en dosisafhængig måde. EKG-monitorering er anbefalet i tilfælde af overdosering.</w:t>
      </w:r>
    </w:p>
    <w:p w14:paraId="4E6E8D59" w14:textId="77777777" w:rsidR="0028447D" w:rsidRPr="0028447D" w:rsidRDefault="0028447D" w:rsidP="0028447D">
      <w:pPr>
        <w:tabs>
          <w:tab w:val="left" w:pos="851"/>
        </w:tabs>
        <w:ind w:left="851"/>
        <w:rPr>
          <w:iCs/>
          <w:sz w:val="24"/>
          <w:szCs w:val="24"/>
          <w:u w:val="single"/>
        </w:rPr>
      </w:pPr>
    </w:p>
    <w:p w14:paraId="02315C36" w14:textId="77777777" w:rsidR="0028447D" w:rsidRPr="0028447D" w:rsidRDefault="0028447D" w:rsidP="0028447D">
      <w:pPr>
        <w:tabs>
          <w:tab w:val="left" w:pos="851"/>
        </w:tabs>
        <w:ind w:left="851"/>
        <w:rPr>
          <w:i/>
          <w:sz w:val="24"/>
          <w:szCs w:val="24"/>
          <w:u w:val="single"/>
        </w:rPr>
      </w:pPr>
      <w:r w:rsidRPr="0028447D">
        <w:rPr>
          <w:sz w:val="24"/>
          <w:szCs w:val="24"/>
          <w:u w:val="single"/>
        </w:rPr>
        <w:t>Pædiatrisk population</w:t>
      </w:r>
    </w:p>
    <w:p w14:paraId="3AAB4508" w14:textId="77777777" w:rsidR="0028447D" w:rsidRPr="0028447D" w:rsidRDefault="0028447D" w:rsidP="0028447D">
      <w:pPr>
        <w:tabs>
          <w:tab w:val="left" w:pos="851"/>
        </w:tabs>
        <w:ind w:left="851"/>
        <w:rPr>
          <w:iCs/>
          <w:sz w:val="24"/>
          <w:szCs w:val="24"/>
        </w:rPr>
      </w:pPr>
      <w:r w:rsidRPr="0028447D">
        <w:rPr>
          <w:sz w:val="24"/>
          <w:szCs w:val="24"/>
        </w:rPr>
        <w:t>Der er rapporteret om pædiatriske tilfælde overensstemmende med serotoninsyndrom efter utilsigtet oral overdosering af ondansetron (estimeret indtagelse overstigende 4 mg/kg) hos spædbørn og børn i alderen 12 måneder til 2 år.</w:t>
      </w:r>
    </w:p>
    <w:p w14:paraId="57840D56" w14:textId="77777777" w:rsidR="0028447D" w:rsidRPr="0028447D" w:rsidRDefault="0028447D" w:rsidP="0028447D">
      <w:pPr>
        <w:tabs>
          <w:tab w:val="left" w:pos="851"/>
        </w:tabs>
        <w:ind w:left="851"/>
        <w:rPr>
          <w:iCs/>
          <w:sz w:val="24"/>
          <w:szCs w:val="24"/>
          <w:u w:val="single"/>
        </w:rPr>
      </w:pPr>
    </w:p>
    <w:p w14:paraId="00008D63" w14:textId="77777777" w:rsidR="0028447D" w:rsidRPr="0028447D" w:rsidRDefault="0028447D" w:rsidP="0028447D">
      <w:pPr>
        <w:tabs>
          <w:tab w:val="left" w:pos="851"/>
        </w:tabs>
        <w:ind w:left="851"/>
        <w:rPr>
          <w:iCs/>
          <w:sz w:val="24"/>
          <w:szCs w:val="24"/>
          <w:u w:val="single"/>
        </w:rPr>
      </w:pPr>
      <w:r w:rsidRPr="0028447D">
        <w:rPr>
          <w:iCs/>
          <w:sz w:val="24"/>
          <w:szCs w:val="24"/>
          <w:u w:val="single"/>
        </w:rPr>
        <w:t>Behandling</w:t>
      </w:r>
    </w:p>
    <w:p w14:paraId="303CCD15" w14:textId="77777777" w:rsidR="0028447D" w:rsidRPr="0028447D" w:rsidRDefault="0028447D" w:rsidP="0028447D">
      <w:pPr>
        <w:tabs>
          <w:tab w:val="left" w:pos="851"/>
        </w:tabs>
        <w:ind w:left="851"/>
        <w:rPr>
          <w:iCs/>
          <w:sz w:val="24"/>
          <w:szCs w:val="24"/>
        </w:rPr>
      </w:pPr>
      <w:r w:rsidRPr="0028447D">
        <w:rPr>
          <w:sz w:val="24"/>
          <w:szCs w:val="24"/>
        </w:rPr>
        <w:t>Der findes ingen specifik antidot mod ondansetron. Ved mistanke om overdosering skal der iværksættes passende symptomatisk og understøttende behandling.</w:t>
      </w:r>
    </w:p>
    <w:p w14:paraId="2794685D" w14:textId="77777777" w:rsidR="0028447D" w:rsidRPr="0028447D" w:rsidRDefault="0028447D" w:rsidP="0028447D">
      <w:pPr>
        <w:tabs>
          <w:tab w:val="left" w:pos="851"/>
        </w:tabs>
        <w:ind w:left="851"/>
        <w:rPr>
          <w:iCs/>
          <w:sz w:val="24"/>
          <w:szCs w:val="24"/>
        </w:rPr>
      </w:pPr>
      <w:r w:rsidRPr="0028447D">
        <w:rPr>
          <w:sz w:val="24"/>
          <w:szCs w:val="24"/>
        </w:rPr>
        <w:t>Yderligere behandling bør gives efter klinisk behov eller som anbefalet af det nationale giftcenter, hvor det er muligt.</w:t>
      </w:r>
    </w:p>
    <w:p w14:paraId="03746EDD" w14:textId="77777777" w:rsidR="0028447D" w:rsidRPr="0028447D" w:rsidRDefault="0028447D" w:rsidP="0028447D">
      <w:pPr>
        <w:tabs>
          <w:tab w:val="left" w:pos="851"/>
        </w:tabs>
        <w:ind w:left="851"/>
        <w:rPr>
          <w:iCs/>
          <w:sz w:val="24"/>
          <w:szCs w:val="24"/>
        </w:rPr>
      </w:pPr>
    </w:p>
    <w:p w14:paraId="24CDB4CE" w14:textId="77777777" w:rsidR="0028447D" w:rsidRPr="0028447D" w:rsidRDefault="0028447D" w:rsidP="0028447D">
      <w:pPr>
        <w:tabs>
          <w:tab w:val="left" w:pos="851"/>
        </w:tabs>
        <w:ind w:left="851"/>
        <w:rPr>
          <w:iCs/>
          <w:sz w:val="24"/>
          <w:szCs w:val="24"/>
        </w:rPr>
      </w:pPr>
      <w:r w:rsidRPr="0028447D">
        <w:rPr>
          <w:sz w:val="24"/>
          <w:szCs w:val="24"/>
        </w:rPr>
        <w:t>Iipecacuanha er ikke anbefalet til behandling af overdosering, da patienterne højst sandsynligt ikke vil respondere på en sådan behandling som følge af ondansetrons antiemetiske virkning.</w:t>
      </w:r>
    </w:p>
    <w:p w14:paraId="029E163C" w14:textId="77777777" w:rsidR="0028447D" w:rsidRPr="0028447D" w:rsidRDefault="0028447D" w:rsidP="0028447D">
      <w:pPr>
        <w:tabs>
          <w:tab w:val="left" w:pos="851"/>
        </w:tabs>
        <w:ind w:left="851"/>
        <w:rPr>
          <w:sz w:val="24"/>
          <w:szCs w:val="24"/>
        </w:rPr>
      </w:pPr>
    </w:p>
    <w:p w14:paraId="6C9C1BE2"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3BE69507" w14:textId="4F80D57B" w:rsidR="009260DE" w:rsidRPr="00C84483" w:rsidRDefault="0028447D" w:rsidP="009260DE">
      <w:pPr>
        <w:tabs>
          <w:tab w:val="left" w:pos="851"/>
        </w:tabs>
        <w:ind w:left="851"/>
        <w:rPr>
          <w:sz w:val="24"/>
          <w:szCs w:val="24"/>
        </w:rPr>
      </w:pPr>
      <w:r>
        <w:rPr>
          <w:sz w:val="24"/>
          <w:szCs w:val="24"/>
        </w:rPr>
        <w:t>A</w:t>
      </w:r>
    </w:p>
    <w:p w14:paraId="17F004FD" w14:textId="77777777" w:rsidR="009260DE" w:rsidRPr="00C84483" w:rsidRDefault="009260DE" w:rsidP="009260DE">
      <w:pPr>
        <w:tabs>
          <w:tab w:val="left" w:pos="851"/>
        </w:tabs>
        <w:ind w:left="851"/>
        <w:rPr>
          <w:sz w:val="24"/>
          <w:szCs w:val="24"/>
        </w:rPr>
      </w:pPr>
    </w:p>
    <w:p w14:paraId="6DFC1069" w14:textId="77777777" w:rsidR="009260DE" w:rsidRPr="00C84483" w:rsidRDefault="009260DE" w:rsidP="009260DE">
      <w:pPr>
        <w:tabs>
          <w:tab w:val="left" w:pos="851"/>
        </w:tabs>
        <w:ind w:left="851"/>
        <w:rPr>
          <w:sz w:val="24"/>
          <w:szCs w:val="24"/>
        </w:rPr>
      </w:pPr>
    </w:p>
    <w:p w14:paraId="7A0E7651"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17DDEA1A" w14:textId="77777777" w:rsidR="009260DE" w:rsidRPr="00C84483" w:rsidRDefault="009260DE" w:rsidP="009260DE">
      <w:pPr>
        <w:tabs>
          <w:tab w:val="left" w:pos="851"/>
        </w:tabs>
        <w:ind w:left="851"/>
        <w:rPr>
          <w:sz w:val="24"/>
          <w:szCs w:val="24"/>
        </w:rPr>
      </w:pPr>
    </w:p>
    <w:p w14:paraId="376AB7D8"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16AA3DB5" w14:textId="77777777" w:rsidR="0028447D" w:rsidRPr="0028447D" w:rsidRDefault="0028447D" w:rsidP="0028447D">
      <w:pPr>
        <w:tabs>
          <w:tab w:val="left" w:pos="851"/>
        </w:tabs>
        <w:ind w:left="851"/>
        <w:rPr>
          <w:sz w:val="24"/>
          <w:szCs w:val="24"/>
        </w:rPr>
      </w:pPr>
      <w:r w:rsidRPr="0028447D">
        <w:rPr>
          <w:sz w:val="24"/>
          <w:szCs w:val="24"/>
        </w:rPr>
        <w:t>Farmakoterapeutisk klassifikation: Antiemetika og antinausantika, serotonin (5HT3)-antagonister, ATC-kode: A04AA01</w:t>
      </w:r>
    </w:p>
    <w:p w14:paraId="1C0E0DB1" w14:textId="77777777" w:rsidR="0028447D" w:rsidRPr="0028447D" w:rsidRDefault="0028447D" w:rsidP="0028447D">
      <w:pPr>
        <w:tabs>
          <w:tab w:val="left" w:pos="851"/>
        </w:tabs>
        <w:ind w:left="851"/>
        <w:rPr>
          <w:b/>
          <w:sz w:val="24"/>
          <w:szCs w:val="24"/>
        </w:rPr>
      </w:pPr>
    </w:p>
    <w:p w14:paraId="622FF6F9" w14:textId="77777777" w:rsidR="0028447D" w:rsidRPr="0028447D" w:rsidRDefault="0028447D" w:rsidP="0028447D">
      <w:pPr>
        <w:tabs>
          <w:tab w:val="left" w:pos="851"/>
        </w:tabs>
        <w:ind w:left="851"/>
        <w:rPr>
          <w:sz w:val="24"/>
          <w:szCs w:val="24"/>
        </w:rPr>
      </w:pPr>
      <w:r w:rsidRPr="0028447D">
        <w:rPr>
          <w:sz w:val="24"/>
          <w:szCs w:val="24"/>
          <w:u w:val="single"/>
        </w:rPr>
        <w:t>Virkningsmekanisme</w:t>
      </w:r>
    </w:p>
    <w:p w14:paraId="652286B8" w14:textId="77777777" w:rsidR="0028447D" w:rsidRPr="0028447D" w:rsidRDefault="0028447D" w:rsidP="0028447D">
      <w:pPr>
        <w:tabs>
          <w:tab w:val="left" w:pos="851"/>
        </w:tabs>
        <w:ind w:left="851"/>
        <w:rPr>
          <w:bCs/>
          <w:sz w:val="24"/>
          <w:szCs w:val="24"/>
        </w:rPr>
      </w:pPr>
      <w:r w:rsidRPr="0028447D">
        <w:rPr>
          <w:sz w:val="24"/>
          <w:szCs w:val="24"/>
        </w:rPr>
        <w:t>Ondansetron er en potent, særdeles selektiv 5HT3-receptorantagonist. Den nøjagtige virkningsmekanisme bag den antiemetiske kontrol kendes ikke.</w:t>
      </w:r>
    </w:p>
    <w:p w14:paraId="78973FFE" w14:textId="77777777" w:rsidR="0028447D" w:rsidRPr="0028447D" w:rsidRDefault="0028447D" w:rsidP="0028447D">
      <w:pPr>
        <w:tabs>
          <w:tab w:val="left" w:pos="851"/>
        </w:tabs>
        <w:ind w:left="851"/>
        <w:rPr>
          <w:bCs/>
          <w:sz w:val="24"/>
          <w:szCs w:val="24"/>
        </w:rPr>
      </w:pPr>
      <w:r w:rsidRPr="0028447D">
        <w:rPr>
          <w:sz w:val="24"/>
          <w:szCs w:val="24"/>
        </w:rPr>
        <w:t>Kemoterapeutika med cytotoksisk virkning og strålebehandling kan medføre frigørelse af 5HT (serotonin) i tyndtarmen, hvilket kan udløse en opkastningsrefleks ved at aktivere afferente vagusnervefibre via 5HT3-receptorer. Ondansetron blokerer udløsningen af denne refleks.</w:t>
      </w:r>
    </w:p>
    <w:p w14:paraId="5D7EFCD7" w14:textId="77777777" w:rsidR="0028447D" w:rsidRPr="0028447D" w:rsidRDefault="0028447D" w:rsidP="0028447D">
      <w:pPr>
        <w:tabs>
          <w:tab w:val="left" w:pos="851"/>
        </w:tabs>
        <w:ind w:left="851"/>
        <w:rPr>
          <w:bCs/>
          <w:sz w:val="24"/>
          <w:szCs w:val="24"/>
        </w:rPr>
      </w:pPr>
      <w:r w:rsidRPr="0028447D">
        <w:rPr>
          <w:sz w:val="24"/>
          <w:szCs w:val="24"/>
        </w:rPr>
        <w:t xml:space="preserve">Aktivering af afferente vagusnervefibre kan også forårsage frigørelse af 5HT (serotonin) i </w:t>
      </w:r>
      <w:r w:rsidRPr="0028447D">
        <w:rPr>
          <w:i/>
          <w:sz w:val="24"/>
          <w:szCs w:val="24"/>
        </w:rPr>
        <w:t>area postrema</w:t>
      </w:r>
      <w:r w:rsidRPr="0028447D">
        <w:rPr>
          <w:sz w:val="24"/>
          <w:szCs w:val="24"/>
        </w:rPr>
        <w:t>, hvilket kan fremme opkastning yderligere via en central mekanisme. Således skyldes ondansetrons virkning sandsynligvis kompetitiv 5HT3-receptorantagonisme i det perifere og centrale nervesystem.</w:t>
      </w:r>
    </w:p>
    <w:p w14:paraId="6BB6B0D3" w14:textId="77777777" w:rsidR="0028447D" w:rsidRPr="0028447D" w:rsidRDefault="0028447D" w:rsidP="0028447D">
      <w:pPr>
        <w:tabs>
          <w:tab w:val="left" w:pos="851"/>
        </w:tabs>
        <w:ind w:left="851"/>
        <w:rPr>
          <w:sz w:val="24"/>
          <w:szCs w:val="24"/>
        </w:rPr>
      </w:pPr>
      <w:r w:rsidRPr="0028447D">
        <w:rPr>
          <w:sz w:val="24"/>
          <w:szCs w:val="24"/>
        </w:rPr>
        <w:t>Virkningsmekanismen ved postoperativ kvalme og opkastning er ukendt men formodes at have omtrent samme forløb som ved kemoterapi-induceret kvalme og opkastning.</w:t>
      </w:r>
    </w:p>
    <w:p w14:paraId="5AAA7DFF" w14:textId="77777777" w:rsidR="0028447D" w:rsidRPr="0028447D" w:rsidRDefault="0028447D" w:rsidP="0028447D">
      <w:pPr>
        <w:tabs>
          <w:tab w:val="left" w:pos="851"/>
        </w:tabs>
        <w:ind w:left="851"/>
        <w:rPr>
          <w:sz w:val="24"/>
          <w:szCs w:val="24"/>
        </w:rPr>
      </w:pPr>
    </w:p>
    <w:p w14:paraId="59B0767A" w14:textId="77777777" w:rsidR="0028447D" w:rsidRPr="0028447D" w:rsidRDefault="0028447D" w:rsidP="0028447D">
      <w:pPr>
        <w:tabs>
          <w:tab w:val="left" w:pos="851"/>
        </w:tabs>
        <w:ind w:left="851"/>
        <w:rPr>
          <w:sz w:val="24"/>
          <w:szCs w:val="24"/>
          <w:u w:val="single"/>
        </w:rPr>
      </w:pPr>
      <w:r w:rsidRPr="0028447D">
        <w:rPr>
          <w:sz w:val="24"/>
          <w:szCs w:val="24"/>
          <w:u w:val="single"/>
        </w:rPr>
        <w:t>Farmakodynamisk virkning</w:t>
      </w:r>
    </w:p>
    <w:p w14:paraId="61BE142A" w14:textId="77777777" w:rsidR="0028447D" w:rsidRPr="0028447D" w:rsidRDefault="0028447D" w:rsidP="0028447D">
      <w:pPr>
        <w:tabs>
          <w:tab w:val="left" w:pos="851"/>
        </w:tabs>
        <w:ind w:left="851"/>
        <w:rPr>
          <w:bCs/>
          <w:sz w:val="24"/>
          <w:szCs w:val="24"/>
        </w:rPr>
      </w:pPr>
      <w:r w:rsidRPr="0028447D">
        <w:rPr>
          <w:sz w:val="24"/>
          <w:szCs w:val="24"/>
        </w:rPr>
        <w:t>Ondansetron ændrer ikke plasmakoncentrationen af prolaktin.</w:t>
      </w:r>
    </w:p>
    <w:p w14:paraId="54187409" w14:textId="77777777" w:rsidR="0028447D" w:rsidRPr="0028447D" w:rsidRDefault="0028447D" w:rsidP="0028447D">
      <w:pPr>
        <w:tabs>
          <w:tab w:val="left" w:pos="851"/>
        </w:tabs>
        <w:ind w:left="851"/>
        <w:rPr>
          <w:sz w:val="24"/>
          <w:szCs w:val="24"/>
        </w:rPr>
      </w:pPr>
    </w:p>
    <w:p w14:paraId="492862DF" w14:textId="77777777" w:rsidR="0028447D" w:rsidRPr="0028447D" w:rsidRDefault="0028447D" w:rsidP="0028447D">
      <w:pPr>
        <w:tabs>
          <w:tab w:val="left" w:pos="851"/>
        </w:tabs>
        <w:ind w:left="851"/>
        <w:rPr>
          <w:sz w:val="24"/>
          <w:szCs w:val="24"/>
          <w:u w:val="single"/>
        </w:rPr>
      </w:pPr>
      <w:r w:rsidRPr="0028447D">
        <w:rPr>
          <w:sz w:val="24"/>
          <w:szCs w:val="24"/>
          <w:u w:val="single"/>
        </w:rPr>
        <w:t>QT-forlængelse</w:t>
      </w:r>
    </w:p>
    <w:p w14:paraId="2D65EA8A" w14:textId="77777777" w:rsidR="0028447D" w:rsidRPr="0028447D" w:rsidRDefault="0028447D" w:rsidP="0028447D">
      <w:pPr>
        <w:tabs>
          <w:tab w:val="left" w:pos="851"/>
        </w:tabs>
        <w:ind w:left="851"/>
        <w:rPr>
          <w:bCs/>
          <w:sz w:val="24"/>
          <w:szCs w:val="24"/>
        </w:rPr>
      </w:pPr>
      <w:r w:rsidRPr="0028447D">
        <w:rPr>
          <w:sz w:val="24"/>
          <w:szCs w:val="24"/>
        </w:rPr>
        <w:t>Ondansetrons virkning på QTc-intervallet er blevet evalueret i et dobbeltblindet, randomiseret, placebokontrolleret crossover-studie med aktiv kontrol (moxifloxacin) hos 58 raske voksne mænd og kvinder. Ondansetron blev administreret intravenøst i doser på 8 mg og 32 mg over 15 minutter. Ved den højeste undersøgte dosis på 32 mg var den maksimale gennemsnitlige forskel (øvre grænse for 90 % CI) i QTcF i forhold til placebo efter baseline-korrektion 19,6 (21,5) millisekunder. Ved den laveste undersøgte dosis på 8 mg var den maksimale gennemsnitlige forskel (øvre grænse for 90 % CI) i QTcF i forhold til placebo efter baseline-korrektion 5,8 (7,8) millisekunder. I dette studie blev der ikke set QTcF-målinger over 480 millisekunder, og ingen QTcF-forlængelse var over 60 millisekunder. Der sås ingen signifikante ændringer i de EKG-målte PR- eller QRS-intervaller.</w:t>
      </w:r>
    </w:p>
    <w:p w14:paraId="39E38EB1" w14:textId="77777777" w:rsidR="0028447D" w:rsidRPr="0028447D" w:rsidRDefault="0028447D" w:rsidP="0028447D">
      <w:pPr>
        <w:tabs>
          <w:tab w:val="left" w:pos="851"/>
        </w:tabs>
        <w:ind w:left="851"/>
        <w:rPr>
          <w:sz w:val="24"/>
          <w:szCs w:val="24"/>
        </w:rPr>
      </w:pPr>
    </w:p>
    <w:p w14:paraId="69E5FEFB" w14:textId="77777777" w:rsidR="0028447D" w:rsidRPr="0028447D" w:rsidRDefault="0028447D" w:rsidP="0028447D">
      <w:pPr>
        <w:tabs>
          <w:tab w:val="left" w:pos="851"/>
        </w:tabs>
        <w:ind w:left="851"/>
        <w:rPr>
          <w:sz w:val="24"/>
          <w:szCs w:val="24"/>
        </w:rPr>
      </w:pPr>
      <w:r w:rsidRPr="0028447D">
        <w:rPr>
          <w:sz w:val="24"/>
          <w:szCs w:val="24"/>
          <w:u w:val="single"/>
        </w:rPr>
        <w:t>Klinisk virkning og sikkerhed</w:t>
      </w:r>
    </w:p>
    <w:p w14:paraId="3773C57E" w14:textId="77777777" w:rsidR="0028447D" w:rsidRPr="0028447D" w:rsidRDefault="0028447D" w:rsidP="0028447D">
      <w:pPr>
        <w:tabs>
          <w:tab w:val="left" w:pos="851"/>
        </w:tabs>
        <w:ind w:left="851"/>
        <w:rPr>
          <w:sz w:val="24"/>
          <w:szCs w:val="24"/>
        </w:rPr>
      </w:pPr>
    </w:p>
    <w:p w14:paraId="6F6C323C" w14:textId="77777777" w:rsidR="0028447D" w:rsidRPr="0028447D" w:rsidRDefault="0028447D" w:rsidP="0028447D">
      <w:pPr>
        <w:tabs>
          <w:tab w:val="left" w:pos="851"/>
        </w:tabs>
        <w:ind w:left="851"/>
        <w:rPr>
          <w:i/>
          <w:iCs/>
          <w:sz w:val="24"/>
          <w:szCs w:val="24"/>
        </w:rPr>
      </w:pPr>
      <w:r w:rsidRPr="0028447D">
        <w:rPr>
          <w:i/>
          <w:iCs/>
          <w:sz w:val="24"/>
          <w:szCs w:val="24"/>
        </w:rPr>
        <w:t>Pædiatrisk population</w:t>
      </w:r>
    </w:p>
    <w:p w14:paraId="0FE69C39" w14:textId="77777777" w:rsidR="0028447D" w:rsidRDefault="0028447D" w:rsidP="0028447D">
      <w:pPr>
        <w:tabs>
          <w:tab w:val="left" w:pos="851"/>
        </w:tabs>
        <w:ind w:left="851"/>
        <w:rPr>
          <w:sz w:val="24"/>
          <w:szCs w:val="24"/>
          <w:u w:val="single"/>
        </w:rPr>
      </w:pPr>
    </w:p>
    <w:p w14:paraId="24D0223B" w14:textId="1C8AB24B" w:rsidR="0028447D" w:rsidRPr="0028447D" w:rsidRDefault="0028447D" w:rsidP="0028447D">
      <w:pPr>
        <w:tabs>
          <w:tab w:val="left" w:pos="851"/>
        </w:tabs>
        <w:ind w:left="851"/>
        <w:rPr>
          <w:sz w:val="24"/>
          <w:szCs w:val="24"/>
          <w:u w:val="single"/>
        </w:rPr>
      </w:pPr>
      <w:r w:rsidRPr="0028447D">
        <w:rPr>
          <w:sz w:val="24"/>
          <w:szCs w:val="24"/>
          <w:u w:val="single"/>
        </w:rPr>
        <w:t>Kemoterapi-induceret kvalme og opkastning</w:t>
      </w:r>
    </w:p>
    <w:p w14:paraId="5FBE03C7" w14:textId="77777777" w:rsidR="0028447D" w:rsidRPr="0028447D" w:rsidRDefault="0028447D" w:rsidP="0028447D">
      <w:pPr>
        <w:tabs>
          <w:tab w:val="left" w:pos="851"/>
        </w:tabs>
        <w:ind w:left="851"/>
        <w:rPr>
          <w:bCs/>
          <w:sz w:val="24"/>
          <w:szCs w:val="24"/>
        </w:rPr>
      </w:pPr>
      <w:r w:rsidRPr="0028447D">
        <w:rPr>
          <w:sz w:val="24"/>
          <w:szCs w:val="24"/>
        </w:rPr>
        <w:t>Ondansetrons virkning til kontrol med opkastning og kvalme induceret af kemoterapi er blevet vurderet i et dobbeltblindet randomiseret forsøg med 415 patienter i alderen 1 til 18 år (S3AB3006). På de dage, hvor der blev givet kemoterapi, fik patienterne enten ondansetron 5 g/m2 intravenøst og ondansetron 4 mg oralt efter 8-12 timer eller ondansetron 0,45 mg/kg legemsvægt intravenøst og en oral dosis placebo efter 8-12 timer. Efter kemoterapien fik begge grupper 4 mg ondansetron-opløsning to gange dagligt i 3 dage. Komplet kontrol med opkastning på de værste behandlingsdage var 49 % (5 mg/m2 intravenøst plus 4 mg oralt ondansetron) og 41 % (0,45 mg/kg intravenøst + oral placebo).</w:t>
      </w:r>
    </w:p>
    <w:p w14:paraId="17A3DB09" w14:textId="77777777" w:rsidR="0028447D" w:rsidRPr="0028447D" w:rsidRDefault="0028447D" w:rsidP="0028447D">
      <w:pPr>
        <w:tabs>
          <w:tab w:val="left" w:pos="851"/>
        </w:tabs>
        <w:ind w:left="851"/>
        <w:rPr>
          <w:bCs/>
          <w:sz w:val="24"/>
          <w:szCs w:val="24"/>
        </w:rPr>
      </w:pPr>
    </w:p>
    <w:p w14:paraId="0416B7C6" w14:textId="77777777" w:rsidR="0028447D" w:rsidRPr="0028447D" w:rsidRDefault="0028447D" w:rsidP="0028447D">
      <w:pPr>
        <w:tabs>
          <w:tab w:val="left" w:pos="851"/>
        </w:tabs>
        <w:ind w:left="851"/>
        <w:rPr>
          <w:bCs/>
          <w:sz w:val="24"/>
          <w:szCs w:val="24"/>
        </w:rPr>
      </w:pPr>
      <w:r w:rsidRPr="0028447D">
        <w:rPr>
          <w:sz w:val="24"/>
          <w:szCs w:val="24"/>
        </w:rPr>
        <w:t>Et dobbeltblindet randomiseret placebokontrolleret klinisk studie (S3AB4003) med 438 patienter i alderen 1 til 17 år viste komplet kontrol af opkastning på de værste behandlingsdage hos 73 % af patienterne, når ondansetron blev administreret intravenøst i en dosis på 5 mg/m2 intravenøst sammen med 2-4 mg dexamethason oralt. Når ondansetron blev administreret som opløsning i en dosis på 8 mg sammen med 2 til 4 mg dexamethason oralt på de dage, hvor der blev givet kemoterapi, opnåede 71 % af patienterne komplet kontrol af opkastning. Efter kemoterapien fik begge grupper 4 mg ondansetron-opløsning to gange dagligt i 2 dage. Der var ingen forskel i den samlede forekomst af bivirkninger eller i bivirkningernes art mellem de to behandlingsgrupper.</w:t>
      </w:r>
    </w:p>
    <w:p w14:paraId="7694CFB0" w14:textId="77777777" w:rsidR="0028447D" w:rsidRPr="0028447D" w:rsidRDefault="0028447D" w:rsidP="0028447D">
      <w:pPr>
        <w:tabs>
          <w:tab w:val="left" w:pos="851"/>
        </w:tabs>
        <w:ind w:left="851"/>
        <w:rPr>
          <w:bCs/>
          <w:sz w:val="24"/>
          <w:szCs w:val="24"/>
        </w:rPr>
      </w:pPr>
    </w:p>
    <w:p w14:paraId="45F08BF2" w14:textId="77777777" w:rsidR="0028447D" w:rsidRPr="0028447D" w:rsidRDefault="0028447D" w:rsidP="0028447D">
      <w:pPr>
        <w:tabs>
          <w:tab w:val="left" w:pos="851"/>
        </w:tabs>
        <w:ind w:left="851"/>
        <w:rPr>
          <w:bCs/>
          <w:sz w:val="24"/>
          <w:szCs w:val="24"/>
        </w:rPr>
      </w:pPr>
      <w:r w:rsidRPr="0028447D">
        <w:rPr>
          <w:sz w:val="24"/>
          <w:szCs w:val="24"/>
        </w:rPr>
        <w:t>Ondansetrons virkning er blevet undersøgt hos 75 børn i alderen 6 til 48 måneder i et ublindet, ikke-komparativt, enkeltarmet studie (S3A40320). Alle børn fik tre intravenøse doser ondansetron (0,15 mg/kg legemsvægt pr. dosis), som blev administreret 30 minutter før kemoterapiens start og derefter 4 og 8 timer efter den første dosis. Der blev opnået fuldstændig kontrol af opkastning hos 56 % af patienterne.</w:t>
      </w:r>
    </w:p>
    <w:p w14:paraId="3835AA3E" w14:textId="77777777" w:rsidR="0028447D" w:rsidRPr="0028447D" w:rsidRDefault="0028447D" w:rsidP="0028447D">
      <w:pPr>
        <w:tabs>
          <w:tab w:val="left" w:pos="851"/>
        </w:tabs>
        <w:ind w:left="851"/>
        <w:rPr>
          <w:bCs/>
          <w:sz w:val="24"/>
          <w:szCs w:val="24"/>
        </w:rPr>
      </w:pPr>
    </w:p>
    <w:p w14:paraId="7DD0D281" w14:textId="77777777" w:rsidR="0028447D" w:rsidRPr="0028447D" w:rsidRDefault="0028447D" w:rsidP="0028447D">
      <w:pPr>
        <w:tabs>
          <w:tab w:val="left" w:pos="851"/>
        </w:tabs>
        <w:ind w:left="851"/>
        <w:rPr>
          <w:bCs/>
          <w:sz w:val="24"/>
          <w:szCs w:val="24"/>
        </w:rPr>
      </w:pPr>
      <w:r w:rsidRPr="0028447D">
        <w:rPr>
          <w:sz w:val="24"/>
          <w:szCs w:val="24"/>
        </w:rPr>
        <w:t>I et andet ublindet, ikke-komparativt, enkeltarmet studie (S3A239) med 28 børn undersøgtes virkningen af en intravenøs dosis ondansetron på 0,15 mg/kg legemsvægt efterfulgt af to orale doser ondansetron på 4 mg til børn under 12 år og 8 mg til børn i alderen 12 år eller ældre. Der blev opnået fuldstændig kontrol af opkastning hos 42 % af patienterne.</w:t>
      </w:r>
    </w:p>
    <w:p w14:paraId="4F2891BA" w14:textId="77777777" w:rsidR="0028447D" w:rsidRPr="0028447D" w:rsidRDefault="0028447D" w:rsidP="0028447D">
      <w:pPr>
        <w:tabs>
          <w:tab w:val="left" w:pos="851"/>
        </w:tabs>
        <w:ind w:left="851"/>
        <w:rPr>
          <w:sz w:val="24"/>
          <w:szCs w:val="24"/>
          <w:u w:val="single"/>
        </w:rPr>
      </w:pPr>
    </w:p>
    <w:p w14:paraId="626B77F1" w14:textId="77777777" w:rsidR="0028447D" w:rsidRPr="0028447D" w:rsidRDefault="0028447D" w:rsidP="0028447D">
      <w:pPr>
        <w:tabs>
          <w:tab w:val="left" w:pos="851"/>
        </w:tabs>
        <w:ind w:left="851"/>
        <w:rPr>
          <w:sz w:val="24"/>
          <w:szCs w:val="24"/>
          <w:u w:val="single"/>
        </w:rPr>
      </w:pPr>
      <w:r w:rsidRPr="0028447D">
        <w:rPr>
          <w:sz w:val="24"/>
          <w:szCs w:val="24"/>
          <w:u w:val="single"/>
        </w:rPr>
        <w:lastRenderedPageBreak/>
        <w:t>Postoperativ kvalme og opkastning</w:t>
      </w:r>
    </w:p>
    <w:p w14:paraId="4FE53D8E" w14:textId="77777777" w:rsidR="0028447D" w:rsidRPr="0028447D" w:rsidRDefault="0028447D" w:rsidP="0028447D">
      <w:pPr>
        <w:tabs>
          <w:tab w:val="left" w:pos="851"/>
        </w:tabs>
        <w:ind w:left="851"/>
        <w:rPr>
          <w:bCs/>
          <w:sz w:val="24"/>
          <w:szCs w:val="24"/>
        </w:rPr>
      </w:pPr>
      <w:r w:rsidRPr="0028447D">
        <w:rPr>
          <w:sz w:val="24"/>
          <w:szCs w:val="24"/>
        </w:rPr>
        <w:t>Virkningen af en enkelt dosis ondansetron til forebyggelse af postoperativ kvalme og opkastning er blevet undersøgt i et dobbeltblindet, randomiseret, placebokontrolleret studie med 670 børn i alderen 1 til 24 måneder (postkonceptionel alder ≥ 44 uger, vægt ≥ 3 kg) (S3A40323). De inkluderede forsøgsdeltagere skulle gennemgå kirurgiske indgreb under generel anæstesi og havde en ASA-status ≤ III. En enkelt dosis ondansetron på 0,1 mg/kg legemsvægt blev administreret inden for fem minutter efter induktion af anæstesi. Andelen af patienter, der oplevede mindst én emetisk episode i løbet af kontrolperioden på 24 timer, var højere i placebogruppen end i ondansetrongruppen (28 % vs. 11 %, p &lt; 0,0001).</w:t>
      </w:r>
    </w:p>
    <w:p w14:paraId="287744BB" w14:textId="77777777" w:rsidR="0028447D" w:rsidRPr="0028447D" w:rsidRDefault="0028447D" w:rsidP="0028447D">
      <w:pPr>
        <w:tabs>
          <w:tab w:val="left" w:pos="851"/>
        </w:tabs>
        <w:ind w:left="851"/>
        <w:rPr>
          <w:bCs/>
          <w:sz w:val="24"/>
          <w:szCs w:val="24"/>
        </w:rPr>
      </w:pPr>
    </w:p>
    <w:p w14:paraId="0294931A" w14:textId="77777777" w:rsidR="0028447D" w:rsidRPr="0028447D" w:rsidRDefault="0028447D" w:rsidP="0028447D">
      <w:pPr>
        <w:tabs>
          <w:tab w:val="left" w:pos="851"/>
        </w:tabs>
        <w:ind w:left="851"/>
        <w:rPr>
          <w:sz w:val="24"/>
          <w:szCs w:val="24"/>
        </w:rPr>
      </w:pPr>
      <w:r w:rsidRPr="0028447D">
        <w:rPr>
          <w:sz w:val="24"/>
          <w:szCs w:val="24"/>
        </w:rPr>
        <w:t>Der er blevet udført fire dobbeltblindede, placebokontrollerede studier med 1.469 drenge og piger (i alderen 2 til 12 år), som skulle i generel anæstesi. Patienterne blev randomiseret til enten en enkelt intravenøs dosis ondansetron (0,1 mg/kg hos patienter under 40 kg og 4 mg hos pædiatriske patienter over 40 kg (n = 735 patienter)) eller placebo (n = 734). Lægemidlet blev administreret over mindst 30 sekunder umiddelbart før eller efter anæstesiinduktion. Ondansetron var signifikant mere effektivt end placebo til forebyggelse af kvalme og opkastning. Resultaterne af disse studier er sammenfattet i tabellen nedenfor:</w:t>
      </w:r>
    </w:p>
    <w:p w14:paraId="2DC7BC56" w14:textId="77777777" w:rsidR="0028447D" w:rsidRPr="0028447D" w:rsidRDefault="0028447D" w:rsidP="0028447D">
      <w:pPr>
        <w:rPr>
          <w:sz w:val="22"/>
        </w:rPr>
      </w:pPr>
    </w:p>
    <w:tbl>
      <w:tblPr>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2"/>
        <w:gridCol w:w="1842"/>
        <w:gridCol w:w="1842"/>
        <w:gridCol w:w="1842"/>
        <w:gridCol w:w="1420"/>
      </w:tblGrid>
      <w:tr w:rsidR="0028447D" w:rsidRPr="0028447D" w14:paraId="3A395308" w14:textId="77777777" w:rsidTr="009142B9">
        <w:trPr>
          <w:trHeight w:val="252"/>
        </w:trPr>
        <w:tc>
          <w:tcPr>
            <w:tcW w:w="1842" w:type="dxa"/>
            <w:tcBorders>
              <w:top w:val="single" w:sz="4" w:space="0" w:color="000000"/>
              <w:left w:val="single" w:sz="4" w:space="0" w:color="000000"/>
              <w:bottom w:val="single" w:sz="4" w:space="0" w:color="000000"/>
              <w:right w:val="single" w:sz="4" w:space="0" w:color="000000"/>
            </w:tcBorders>
            <w:hideMark/>
          </w:tcPr>
          <w:p w14:paraId="62910E06" w14:textId="77777777" w:rsidR="0028447D" w:rsidRPr="0028447D" w:rsidRDefault="0028447D" w:rsidP="0028447D">
            <w:pPr>
              <w:rPr>
                <w:sz w:val="22"/>
                <w:lang w:val="en-GB"/>
              </w:rPr>
            </w:pPr>
            <w:r w:rsidRPr="0028447D">
              <w:rPr>
                <w:sz w:val="22"/>
                <w:lang w:val="en-GB"/>
              </w:rPr>
              <w:t>Studie</w:t>
            </w:r>
          </w:p>
        </w:tc>
        <w:tc>
          <w:tcPr>
            <w:tcW w:w="1842" w:type="dxa"/>
            <w:tcBorders>
              <w:top w:val="single" w:sz="4" w:space="0" w:color="000000"/>
              <w:left w:val="single" w:sz="4" w:space="0" w:color="000000"/>
              <w:bottom w:val="single" w:sz="4" w:space="0" w:color="000000"/>
              <w:right w:val="single" w:sz="4" w:space="0" w:color="000000"/>
            </w:tcBorders>
            <w:hideMark/>
          </w:tcPr>
          <w:p w14:paraId="71D3F3C3" w14:textId="77777777" w:rsidR="0028447D" w:rsidRPr="0028447D" w:rsidRDefault="0028447D" w:rsidP="0028447D">
            <w:pPr>
              <w:rPr>
                <w:sz w:val="22"/>
                <w:lang w:val="en-GB"/>
              </w:rPr>
            </w:pPr>
            <w:r w:rsidRPr="0028447D">
              <w:rPr>
                <w:sz w:val="22"/>
                <w:lang w:val="en-GB"/>
              </w:rPr>
              <w:t>Endepunkt</w:t>
            </w:r>
          </w:p>
        </w:tc>
        <w:tc>
          <w:tcPr>
            <w:tcW w:w="1842" w:type="dxa"/>
            <w:tcBorders>
              <w:top w:val="single" w:sz="4" w:space="0" w:color="000000"/>
              <w:left w:val="single" w:sz="4" w:space="0" w:color="000000"/>
              <w:bottom w:val="single" w:sz="4" w:space="0" w:color="000000"/>
              <w:right w:val="single" w:sz="4" w:space="0" w:color="000000"/>
            </w:tcBorders>
            <w:hideMark/>
          </w:tcPr>
          <w:p w14:paraId="6B3B7C25" w14:textId="77777777" w:rsidR="0028447D" w:rsidRPr="0028447D" w:rsidRDefault="0028447D" w:rsidP="0028447D">
            <w:pPr>
              <w:rPr>
                <w:sz w:val="22"/>
                <w:lang w:val="en-GB"/>
              </w:rPr>
            </w:pPr>
            <w:r w:rsidRPr="0028447D">
              <w:rPr>
                <w:sz w:val="22"/>
                <w:lang w:val="en-GB"/>
              </w:rPr>
              <w:t>Ondansetron %</w:t>
            </w:r>
          </w:p>
        </w:tc>
        <w:tc>
          <w:tcPr>
            <w:tcW w:w="1842" w:type="dxa"/>
            <w:tcBorders>
              <w:top w:val="single" w:sz="4" w:space="0" w:color="000000"/>
              <w:left w:val="single" w:sz="4" w:space="0" w:color="000000"/>
              <w:bottom w:val="single" w:sz="4" w:space="0" w:color="000000"/>
              <w:right w:val="single" w:sz="4" w:space="0" w:color="000000"/>
            </w:tcBorders>
            <w:hideMark/>
          </w:tcPr>
          <w:p w14:paraId="64167E77" w14:textId="77777777" w:rsidR="0028447D" w:rsidRPr="0028447D" w:rsidRDefault="0028447D" w:rsidP="0028447D">
            <w:pPr>
              <w:rPr>
                <w:sz w:val="22"/>
                <w:lang w:val="en-GB"/>
              </w:rPr>
            </w:pPr>
            <w:r w:rsidRPr="0028447D">
              <w:rPr>
                <w:sz w:val="22"/>
                <w:lang w:val="en-GB"/>
              </w:rPr>
              <w:t>Placebo %</w:t>
            </w:r>
          </w:p>
        </w:tc>
        <w:tc>
          <w:tcPr>
            <w:tcW w:w="1420" w:type="dxa"/>
            <w:tcBorders>
              <w:top w:val="single" w:sz="4" w:space="0" w:color="000000"/>
              <w:left w:val="single" w:sz="4" w:space="0" w:color="000000"/>
              <w:bottom w:val="single" w:sz="4" w:space="0" w:color="000000"/>
              <w:right w:val="single" w:sz="4" w:space="0" w:color="000000"/>
            </w:tcBorders>
            <w:hideMark/>
          </w:tcPr>
          <w:p w14:paraId="4DFE9224" w14:textId="77777777" w:rsidR="0028447D" w:rsidRPr="0028447D" w:rsidRDefault="0028447D" w:rsidP="0028447D">
            <w:pPr>
              <w:rPr>
                <w:sz w:val="22"/>
                <w:lang w:val="en-GB"/>
              </w:rPr>
            </w:pPr>
            <w:r w:rsidRPr="0028447D">
              <w:rPr>
                <w:sz w:val="22"/>
                <w:lang w:val="en-GB"/>
              </w:rPr>
              <w:t>p-værdi</w:t>
            </w:r>
          </w:p>
        </w:tc>
      </w:tr>
      <w:tr w:rsidR="0028447D" w:rsidRPr="0028447D" w14:paraId="62F8D5EF" w14:textId="77777777" w:rsidTr="009142B9">
        <w:trPr>
          <w:trHeight w:val="269"/>
        </w:trPr>
        <w:tc>
          <w:tcPr>
            <w:tcW w:w="1842" w:type="dxa"/>
            <w:tcBorders>
              <w:top w:val="single" w:sz="4" w:space="0" w:color="000000"/>
              <w:left w:val="single" w:sz="4" w:space="0" w:color="000000"/>
              <w:bottom w:val="single" w:sz="4" w:space="0" w:color="000000"/>
              <w:right w:val="single" w:sz="4" w:space="0" w:color="000000"/>
            </w:tcBorders>
            <w:hideMark/>
          </w:tcPr>
          <w:p w14:paraId="44333F96" w14:textId="77777777" w:rsidR="0028447D" w:rsidRPr="0028447D" w:rsidRDefault="0028447D" w:rsidP="0028447D">
            <w:pPr>
              <w:rPr>
                <w:sz w:val="22"/>
                <w:lang w:val="en-GB"/>
              </w:rPr>
            </w:pPr>
            <w:r w:rsidRPr="0028447D">
              <w:rPr>
                <w:sz w:val="22"/>
                <w:lang w:val="en-GB"/>
              </w:rPr>
              <w:t>S3A380</w:t>
            </w:r>
          </w:p>
        </w:tc>
        <w:tc>
          <w:tcPr>
            <w:tcW w:w="1842" w:type="dxa"/>
            <w:tcBorders>
              <w:top w:val="single" w:sz="4" w:space="0" w:color="000000"/>
              <w:left w:val="single" w:sz="4" w:space="0" w:color="000000"/>
              <w:bottom w:val="single" w:sz="4" w:space="0" w:color="000000"/>
              <w:right w:val="single" w:sz="4" w:space="0" w:color="000000"/>
            </w:tcBorders>
            <w:hideMark/>
          </w:tcPr>
          <w:p w14:paraId="7D1B239F" w14:textId="77777777" w:rsidR="0028447D" w:rsidRPr="0028447D" w:rsidRDefault="0028447D" w:rsidP="0028447D">
            <w:pPr>
              <w:rPr>
                <w:sz w:val="22"/>
                <w:lang w:val="en-GB"/>
              </w:rPr>
            </w:pPr>
            <w:r w:rsidRPr="0028447D">
              <w:rPr>
                <w:sz w:val="22"/>
                <w:lang w:val="en-GB"/>
              </w:rPr>
              <w:t>CR</w:t>
            </w:r>
          </w:p>
        </w:tc>
        <w:tc>
          <w:tcPr>
            <w:tcW w:w="1842" w:type="dxa"/>
            <w:tcBorders>
              <w:top w:val="single" w:sz="4" w:space="0" w:color="000000"/>
              <w:left w:val="single" w:sz="4" w:space="0" w:color="000000"/>
              <w:bottom w:val="single" w:sz="4" w:space="0" w:color="000000"/>
              <w:right w:val="single" w:sz="4" w:space="0" w:color="000000"/>
            </w:tcBorders>
            <w:hideMark/>
          </w:tcPr>
          <w:p w14:paraId="15328B91" w14:textId="77777777" w:rsidR="0028447D" w:rsidRPr="0028447D" w:rsidRDefault="0028447D" w:rsidP="0028447D">
            <w:pPr>
              <w:rPr>
                <w:sz w:val="22"/>
                <w:lang w:val="en-GB"/>
              </w:rPr>
            </w:pPr>
            <w:r w:rsidRPr="0028447D">
              <w:rPr>
                <w:sz w:val="22"/>
                <w:lang w:val="en-GB"/>
              </w:rPr>
              <w:t>68</w:t>
            </w:r>
          </w:p>
        </w:tc>
        <w:tc>
          <w:tcPr>
            <w:tcW w:w="1842" w:type="dxa"/>
            <w:tcBorders>
              <w:top w:val="single" w:sz="4" w:space="0" w:color="000000"/>
              <w:left w:val="single" w:sz="4" w:space="0" w:color="000000"/>
              <w:bottom w:val="single" w:sz="4" w:space="0" w:color="000000"/>
              <w:right w:val="single" w:sz="4" w:space="0" w:color="000000"/>
            </w:tcBorders>
            <w:hideMark/>
          </w:tcPr>
          <w:p w14:paraId="4F20F671" w14:textId="77777777" w:rsidR="0028447D" w:rsidRPr="0028447D" w:rsidRDefault="0028447D" w:rsidP="0028447D">
            <w:pPr>
              <w:rPr>
                <w:sz w:val="22"/>
                <w:lang w:val="en-GB"/>
              </w:rPr>
            </w:pPr>
            <w:r w:rsidRPr="0028447D">
              <w:rPr>
                <w:sz w:val="22"/>
                <w:lang w:val="en-GB"/>
              </w:rPr>
              <w:t>39</w:t>
            </w:r>
          </w:p>
        </w:tc>
        <w:tc>
          <w:tcPr>
            <w:tcW w:w="1420" w:type="dxa"/>
            <w:tcBorders>
              <w:top w:val="single" w:sz="4" w:space="0" w:color="000000"/>
              <w:left w:val="single" w:sz="4" w:space="0" w:color="000000"/>
              <w:bottom w:val="single" w:sz="4" w:space="0" w:color="000000"/>
              <w:right w:val="single" w:sz="4" w:space="0" w:color="000000"/>
            </w:tcBorders>
            <w:hideMark/>
          </w:tcPr>
          <w:p w14:paraId="3E9B32CE" w14:textId="77777777" w:rsidR="0028447D" w:rsidRPr="0028447D" w:rsidRDefault="0028447D" w:rsidP="0028447D">
            <w:pPr>
              <w:rPr>
                <w:sz w:val="22"/>
                <w:lang w:val="en-GB"/>
              </w:rPr>
            </w:pPr>
            <w:r w:rsidRPr="0028447D">
              <w:rPr>
                <w:sz w:val="22"/>
                <w:lang w:val="en-GB"/>
              </w:rPr>
              <w:t>≤ 0,001</w:t>
            </w:r>
          </w:p>
        </w:tc>
      </w:tr>
      <w:tr w:rsidR="0028447D" w:rsidRPr="0028447D" w14:paraId="75B930D3" w14:textId="77777777" w:rsidTr="009142B9">
        <w:trPr>
          <w:trHeight w:val="269"/>
        </w:trPr>
        <w:tc>
          <w:tcPr>
            <w:tcW w:w="1842" w:type="dxa"/>
            <w:tcBorders>
              <w:top w:val="single" w:sz="4" w:space="0" w:color="000000"/>
              <w:left w:val="single" w:sz="4" w:space="0" w:color="000000"/>
              <w:bottom w:val="single" w:sz="4" w:space="0" w:color="000000"/>
              <w:right w:val="single" w:sz="4" w:space="0" w:color="000000"/>
            </w:tcBorders>
            <w:hideMark/>
          </w:tcPr>
          <w:p w14:paraId="7F342E80" w14:textId="77777777" w:rsidR="0028447D" w:rsidRPr="0028447D" w:rsidRDefault="0028447D" w:rsidP="0028447D">
            <w:pPr>
              <w:rPr>
                <w:sz w:val="22"/>
                <w:lang w:val="en-GB"/>
              </w:rPr>
            </w:pPr>
            <w:r w:rsidRPr="0028447D">
              <w:rPr>
                <w:sz w:val="22"/>
                <w:lang w:val="en-GB"/>
              </w:rPr>
              <w:t>S3GT09</w:t>
            </w:r>
          </w:p>
        </w:tc>
        <w:tc>
          <w:tcPr>
            <w:tcW w:w="1842" w:type="dxa"/>
            <w:tcBorders>
              <w:top w:val="single" w:sz="4" w:space="0" w:color="000000"/>
              <w:left w:val="single" w:sz="4" w:space="0" w:color="000000"/>
              <w:bottom w:val="single" w:sz="4" w:space="0" w:color="000000"/>
              <w:right w:val="single" w:sz="4" w:space="0" w:color="000000"/>
            </w:tcBorders>
            <w:hideMark/>
          </w:tcPr>
          <w:p w14:paraId="0FE8EE4C" w14:textId="77777777" w:rsidR="0028447D" w:rsidRPr="0028447D" w:rsidRDefault="0028447D" w:rsidP="0028447D">
            <w:pPr>
              <w:rPr>
                <w:sz w:val="22"/>
                <w:lang w:val="en-GB"/>
              </w:rPr>
            </w:pPr>
            <w:r w:rsidRPr="0028447D">
              <w:rPr>
                <w:sz w:val="22"/>
                <w:lang w:val="en-GB"/>
              </w:rPr>
              <w:t>CR</w:t>
            </w:r>
          </w:p>
        </w:tc>
        <w:tc>
          <w:tcPr>
            <w:tcW w:w="1842" w:type="dxa"/>
            <w:tcBorders>
              <w:top w:val="single" w:sz="4" w:space="0" w:color="000000"/>
              <w:left w:val="single" w:sz="4" w:space="0" w:color="000000"/>
              <w:bottom w:val="single" w:sz="4" w:space="0" w:color="000000"/>
              <w:right w:val="single" w:sz="4" w:space="0" w:color="000000"/>
            </w:tcBorders>
            <w:hideMark/>
          </w:tcPr>
          <w:p w14:paraId="760A8E95" w14:textId="77777777" w:rsidR="0028447D" w:rsidRPr="0028447D" w:rsidRDefault="0028447D" w:rsidP="0028447D">
            <w:pPr>
              <w:rPr>
                <w:sz w:val="22"/>
                <w:lang w:val="en-GB"/>
              </w:rPr>
            </w:pPr>
            <w:r w:rsidRPr="0028447D">
              <w:rPr>
                <w:sz w:val="22"/>
                <w:lang w:val="en-GB"/>
              </w:rPr>
              <w:t>61</w:t>
            </w:r>
          </w:p>
        </w:tc>
        <w:tc>
          <w:tcPr>
            <w:tcW w:w="1842" w:type="dxa"/>
            <w:tcBorders>
              <w:top w:val="single" w:sz="4" w:space="0" w:color="000000"/>
              <w:left w:val="single" w:sz="4" w:space="0" w:color="000000"/>
              <w:bottom w:val="single" w:sz="4" w:space="0" w:color="000000"/>
              <w:right w:val="single" w:sz="4" w:space="0" w:color="000000"/>
            </w:tcBorders>
            <w:hideMark/>
          </w:tcPr>
          <w:p w14:paraId="0E0CD415" w14:textId="77777777" w:rsidR="0028447D" w:rsidRPr="0028447D" w:rsidRDefault="0028447D" w:rsidP="0028447D">
            <w:pPr>
              <w:rPr>
                <w:sz w:val="22"/>
                <w:lang w:val="en-GB"/>
              </w:rPr>
            </w:pPr>
            <w:r w:rsidRPr="0028447D">
              <w:rPr>
                <w:sz w:val="22"/>
                <w:lang w:val="en-GB"/>
              </w:rPr>
              <w:t>35</w:t>
            </w:r>
          </w:p>
        </w:tc>
        <w:tc>
          <w:tcPr>
            <w:tcW w:w="1420" w:type="dxa"/>
            <w:tcBorders>
              <w:top w:val="single" w:sz="4" w:space="0" w:color="000000"/>
              <w:left w:val="single" w:sz="4" w:space="0" w:color="000000"/>
              <w:bottom w:val="single" w:sz="4" w:space="0" w:color="000000"/>
              <w:right w:val="single" w:sz="4" w:space="0" w:color="000000"/>
            </w:tcBorders>
            <w:hideMark/>
          </w:tcPr>
          <w:p w14:paraId="1D30D71D" w14:textId="77777777" w:rsidR="0028447D" w:rsidRPr="0028447D" w:rsidRDefault="0028447D" w:rsidP="0028447D">
            <w:pPr>
              <w:rPr>
                <w:sz w:val="22"/>
                <w:lang w:val="en-GB"/>
              </w:rPr>
            </w:pPr>
            <w:r w:rsidRPr="0028447D">
              <w:rPr>
                <w:sz w:val="22"/>
                <w:lang w:val="en-GB"/>
              </w:rPr>
              <w:t>≤ 0,001</w:t>
            </w:r>
          </w:p>
        </w:tc>
      </w:tr>
      <w:tr w:rsidR="0028447D" w:rsidRPr="0028447D" w14:paraId="45687324" w14:textId="77777777" w:rsidTr="009142B9">
        <w:trPr>
          <w:trHeight w:val="269"/>
        </w:trPr>
        <w:tc>
          <w:tcPr>
            <w:tcW w:w="1842" w:type="dxa"/>
            <w:tcBorders>
              <w:top w:val="single" w:sz="4" w:space="0" w:color="000000"/>
              <w:left w:val="single" w:sz="4" w:space="0" w:color="000000"/>
              <w:bottom w:val="single" w:sz="4" w:space="0" w:color="000000"/>
              <w:right w:val="single" w:sz="4" w:space="0" w:color="000000"/>
            </w:tcBorders>
            <w:hideMark/>
          </w:tcPr>
          <w:p w14:paraId="5C92FED2" w14:textId="77777777" w:rsidR="0028447D" w:rsidRPr="0028447D" w:rsidRDefault="0028447D" w:rsidP="0028447D">
            <w:pPr>
              <w:rPr>
                <w:sz w:val="22"/>
                <w:lang w:val="en-GB"/>
              </w:rPr>
            </w:pPr>
            <w:r w:rsidRPr="0028447D">
              <w:rPr>
                <w:sz w:val="22"/>
                <w:lang w:val="en-GB"/>
              </w:rPr>
              <w:t>S3A381</w:t>
            </w:r>
          </w:p>
        </w:tc>
        <w:tc>
          <w:tcPr>
            <w:tcW w:w="1842" w:type="dxa"/>
            <w:tcBorders>
              <w:top w:val="single" w:sz="4" w:space="0" w:color="000000"/>
              <w:left w:val="single" w:sz="4" w:space="0" w:color="000000"/>
              <w:bottom w:val="single" w:sz="4" w:space="0" w:color="000000"/>
              <w:right w:val="single" w:sz="4" w:space="0" w:color="000000"/>
            </w:tcBorders>
            <w:hideMark/>
          </w:tcPr>
          <w:p w14:paraId="0E4694FC" w14:textId="77777777" w:rsidR="0028447D" w:rsidRPr="0028447D" w:rsidRDefault="0028447D" w:rsidP="0028447D">
            <w:pPr>
              <w:rPr>
                <w:sz w:val="22"/>
                <w:lang w:val="en-GB"/>
              </w:rPr>
            </w:pPr>
            <w:r w:rsidRPr="0028447D">
              <w:rPr>
                <w:sz w:val="22"/>
                <w:lang w:val="en-GB"/>
              </w:rPr>
              <w:t>CR</w:t>
            </w:r>
          </w:p>
        </w:tc>
        <w:tc>
          <w:tcPr>
            <w:tcW w:w="1842" w:type="dxa"/>
            <w:tcBorders>
              <w:top w:val="single" w:sz="4" w:space="0" w:color="000000"/>
              <w:left w:val="single" w:sz="4" w:space="0" w:color="000000"/>
              <w:bottom w:val="single" w:sz="4" w:space="0" w:color="000000"/>
              <w:right w:val="single" w:sz="4" w:space="0" w:color="000000"/>
            </w:tcBorders>
            <w:hideMark/>
          </w:tcPr>
          <w:p w14:paraId="44CE4118" w14:textId="77777777" w:rsidR="0028447D" w:rsidRPr="0028447D" w:rsidRDefault="0028447D" w:rsidP="0028447D">
            <w:pPr>
              <w:rPr>
                <w:sz w:val="22"/>
                <w:lang w:val="en-GB"/>
              </w:rPr>
            </w:pPr>
            <w:r w:rsidRPr="0028447D">
              <w:rPr>
                <w:sz w:val="22"/>
                <w:lang w:val="en-GB"/>
              </w:rPr>
              <w:t>53</w:t>
            </w:r>
          </w:p>
        </w:tc>
        <w:tc>
          <w:tcPr>
            <w:tcW w:w="1842" w:type="dxa"/>
            <w:tcBorders>
              <w:top w:val="single" w:sz="4" w:space="0" w:color="000000"/>
              <w:left w:val="single" w:sz="4" w:space="0" w:color="000000"/>
              <w:bottom w:val="single" w:sz="4" w:space="0" w:color="000000"/>
              <w:right w:val="single" w:sz="4" w:space="0" w:color="000000"/>
            </w:tcBorders>
            <w:hideMark/>
          </w:tcPr>
          <w:p w14:paraId="37A3FC61" w14:textId="77777777" w:rsidR="0028447D" w:rsidRPr="0028447D" w:rsidRDefault="0028447D" w:rsidP="0028447D">
            <w:pPr>
              <w:rPr>
                <w:sz w:val="22"/>
                <w:lang w:val="en-GB"/>
              </w:rPr>
            </w:pPr>
            <w:r w:rsidRPr="0028447D">
              <w:rPr>
                <w:sz w:val="22"/>
                <w:lang w:val="en-GB"/>
              </w:rPr>
              <w:t>17</w:t>
            </w:r>
          </w:p>
        </w:tc>
        <w:tc>
          <w:tcPr>
            <w:tcW w:w="1420" w:type="dxa"/>
            <w:tcBorders>
              <w:top w:val="single" w:sz="4" w:space="0" w:color="000000"/>
              <w:left w:val="single" w:sz="4" w:space="0" w:color="000000"/>
              <w:bottom w:val="single" w:sz="4" w:space="0" w:color="000000"/>
              <w:right w:val="single" w:sz="4" w:space="0" w:color="000000"/>
            </w:tcBorders>
            <w:hideMark/>
          </w:tcPr>
          <w:p w14:paraId="2915D3BB" w14:textId="77777777" w:rsidR="0028447D" w:rsidRPr="0028447D" w:rsidRDefault="0028447D" w:rsidP="0028447D">
            <w:pPr>
              <w:rPr>
                <w:sz w:val="22"/>
                <w:lang w:val="en-GB"/>
              </w:rPr>
            </w:pPr>
            <w:r w:rsidRPr="0028447D">
              <w:rPr>
                <w:sz w:val="22"/>
                <w:lang w:val="en-GB"/>
              </w:rPr>
              <w:t>≤ 0,001</w:t>
            </w:r>
          </w:p>
        </w:tc>
      </w:tr>
      <w:tr w:rsidR="0028447D" w:rsidRPr="0028447D" w14:paraId="362A691D" w14:textId="77777777" w:rsidTr="009142B9">
        <w:trPr>
          <w:trHeight w:val="252"/>
        </w:trPr>
        <w:tc>
          <w:tcPr>
            <w:tcW w:w="1842" w:type="dxa"/>
            <w:tcBorders>
              <w:top w:val="single" w:sz="4" w:space="0" w:color="000000"/>
              <w:left w:val="single" w:sz="4" w:space="0" w:color="000000"/>
              <w:bottom w:val="single" w:sz="4" w:space="0" w:color="000000"/>
              <w:right w:val="single" w:sz="4" w:space="0" w:color="000000"/>
            </w:tcBorders>
            <w:hideMark/>
          </w:tcPr>
          <w:p w14:paraId="53160D7C" w14:textId="77777777" w:rsidR="0028447D" w:rsidRPr="0028447D" w:rsidRDefault="0028447D" w:rsidP="0028447D">
            <w:pPr>
              <w:rPr>
                <w:sz w:val="22"/>
                <w:lang w:val="en-GB"/>
              </w:rPr>
            </w:pPr>
            <w:r w:rsidRPr="0028447D">
              <w:rPr>
                <w:sz w:val="22"/>
                <w:lang w:val="en-GB"/>
              </w:rPr>
              <w:t>S3GT11</w:t>
            </w:r>
          </w:p>
        </w:tc>
        <w:tc>
          <w:tcPr>
            <w:tcW w:w="1842" w:type="dxa"/>
            <w:tcBorders>
              <w:top w:val="single" w:sz="4" w:space="0" w:color="000000"/>
              <w:left w:val="single" w:sz="4" w:space="0" w:color="000000"/>
              <w:bottom w:val="single" w:sz="4" w:space="0" w:color="000000"/>
              <w:right w:val="single" w:sz="4" w:space="0" w:color="000000"/>
            </w:tcBorders>
            <w:hideMark/>
          </w:tcPr>
          <w:p w14:paraId="10102CFC" w14:textId="77777777" w:rsidR="0028447D" w:rsidRPr="0028447D" w:rsidRDefault="0028447D" w:rsidP="0028447D">
            <w:pPr>
              <w:rPr>
                <w:sz w:val="22"/>
                <w:lang w:val="en-GB"/>
              </w:rPr>
            </w:pPr>
            <w:r w:rsidRPr="0028447D">
              <w:rPr>
                <w:sz w:val="22"/>
                <w:lang w:val="en-GB"/>
              </w:rPr>
              <w:t>Ingen kvalme</w:t>
            </w:r>
          </w:p>
        </w:tc>
        <w:tc>
          <w:tcPr>
            <w:tcW w:w="1842" w:type="dxa"/>
            <w:tcBorders>
              <w:top w:val="single" w:sz="4" w:space="0" w:color="000000"/>
              <w:left w:val="single" w:sz="4" w:space="0" w:color="000000"/>
              <w:bottom w:val="single" w:sz="4" w:space="0" w:color="000000"/>
              <w:right w:val="single" w:sz="4" w:space="0" w:color="000000"/>
            </w:tcBorders>
            <w:hideMark/>
          </w:tcPr>
          <w:p w14:paraId="579A7857" w14:textId="77777777" w:rsidR="0028447D" w:rsidRPr="0028447D" w:rsidRDefault="0028447D" w:rsidP="0028447D">
            <w:pPr>
              <w:rPr>
                <w:sz w:val="22"/>
                <w:lang w:val="en-GB"/>
              </w:rPr>
            </w:pPr>
            <w:r w:rsidRPr="0028447D">
              <w:rPr>
                <w:sz w:val="22"/>
                <w:lang w:val="en-GB"/>
              </w:rPr>
              <w:t>64</w:t>
            </w:r>
          </w:p>
        </w:tc>
        <w:tc>
          <w:tcPr>
            <w:tcW w:w="1842" w:type="dxa"/>
            <w:tcBorders>
              <w:top w:val="single" w:sz="4" w:space="0" w:color="000000"/>
              <w:left w:val="single" w:sz="4" w:space="0" w:color="000000"/>
              <w:bottom w:val="single" w:sz="4" w:space="0" w:color="000000"/>
              <w:right w:val="single" w:sz="4" w:space="0" w:color="000000"/>
            </w:tcBorders>
            <w:hideMark/>
          </w:tcPr>
          <w:p w14:paraId="5C0795AB" w14:textId="77777777" w:rsidR="0028447D" w:rsidRPr="0028447D" w:rsidRDefault="0028447D" w:rsidP="0028447D">
            <w:pPr>
              <w:rPr>
                <w:sz w:val="22"/>
                <w:lang w:val="en-GB"/>
              </w:rPr>
            </w:pPr>
            <w:r w:rsidRPr="0028447D">
              <w:rPr>
                <w:sz w:val="22"/>
                <w:lang w:val="en-GB"/>
              </w:rPr>
              <w:t>51</w:t>
            </w:r>
          </w:p>
        </w:tc>
        <w:tc>
          <w:tcPr>
            <w:tcW w:w="1420" w:type="dxa"/>
            <w:tcBorders>
              <w:top w:val="single" w:sz="4" w:space="0" w:color="000000"/>
              <w:left w:val="single" w:sz="4" w:space="0" w:color="000000"/>
              <w:bottom w:val="single" w:sz="4" w:space="0" w:color="000000"/>
              <w:right w:val="single" w:sz="4" w:space="0" w:color="000000"/>
            </w:tcBorders>
            <w:hideMark/>
          </w:tcPr>
          <w:p w14:paraId="2A05A8D3" w14:textId="77777777" w:rsidR="0028447D" w:rsidRPr="0028447D" w:rsidRDefault="0028447D" w:rsidP="0028447D">
            <w:pPr>
              <w:rPr>
                <w:sz w:val="22"/>
                <w:lang w:val="en-GB"/>
              </w:rPr>
            </w:pPr>
            <w:r w:rsidRPr="0028447D">
              <w:rPr>
                <w:sz w:val="22"/>
                <w:lang w:val="en-GB"/>
              </w:rPr>
              <w:t>0,004</w:t>
            </w:r>
          </w:p>
        </w:tc>
      </w:tr>
      <w:tr w:rsidR="0028447D" w:rsidRPr="0028447D" w14:paraId="268BC483" w14:textId="77777777" w:rsidTr="009142B9">
        <w:trPr>
          <w:trHeight w:val="252"/>
        </w:trPr>
        <w:tc>
          <w:tcPr>
            <w:tcW w:w="1842" w:type="dxa"/>
            <w:tcBorders>
              <w:top w:val="single" w:sz="4" w:space="0" w:color="000000"/>
              <w:left w:val="single" w:sz="4" w:space="0" w:color="000000"/>
              <w:bottom w:val="single" w:sz="4" w:space="0" w:color="000000"/>
              <w:right w:val="single" w:sz="4" w:space="0" w:color="000000"/>
            </w:tcBorders>
            <w:hideMark/>
          </w:tcPr>
          <w:p w14:paraId="140F5BCC" w14:textId="77777777" w:rsidR="0028447D" w:rsidRPr="0028447D" w:rsidRDefault="0028447D" w:rsidP="0028447D">
            <w:pPr>
              <w:rPr>
                <w:sz w:val="22"/>
                <w:lang w:val="en-GB"/>
              </w:rPr>
            </w:pPr>
            <w:r w:rsidRPr="0028447D">
              <w:rPr>
                <w:sz w:val="22"/>
                <w:lang w:val="en-GB"/>
              </w:rPr>
              <w:t>S3GT11</w:t>
            </w:r>
          </w:p>
        </w:tc>
        <w:tc>
          <w:tcPr>
            <w:tcW w:w="1842" w:type="dxa"/>
            <w:tcBorders>
              <w:top w:val="single" w:sz="4" w:space="0" w:color="000000"/>
              <w:left w:val="single" w:sz="4" w:space="0" w:color="000000"/>
              <w:bottom w:val="single" w:sz="4" w:space="0" w:color="000000"/>
              <w:right w:val="single" w:sz="4" w:space="0" w:color="000000"/>
            </w:tcBorders>
            <w:hideMark/>
          </w:tcPr>
          <w:p w14:paraId="2C4167EB" w14:textId="77777777" w:rsidR="0028447D" w:rsidRPr="0028447D" w:rsidRDefault="0028447D" w:rsidP="0028447D">
            <w:pPr>
              <w:rPr>
                <w:sz w:val="22"/>
                <w:lang w:val="en-GB"/>
              </w:rPr>
            </w:pPr>
            <w:r w:rsidRPr="0028447D">
              <w:rPr>
                <w:sz w:val="22"/>
                <w:lang w:val="en-GB"/>
              </w:rPr>
              <w:t>Ingen opkastning</w:t>
            </w:r>
          </w:p>
        </w:tc>
        <w:tc>
          <w:tcPr>
            <w:tcW w:w="1842" w:type="dxa"/>
            <w:tcBorders>
              <w:top w:val="single" w:sz="4" w:space="0" w:color="000000"/>
              <w:left w:val="single" w:sz="4" w:space="0" w:color="000000"/>
              <w:bottom w:val="single" w:sz="4" w:space="0" w:color="000000"/>
              <w:right w:val="single" w:sz="4" w:space="0" w:color="000000"/>
            </w:tcBorders>
            <w:hideMark/>
          </w:tcPr>
          <w:p w14:paraId="643C6ECC" w14:textId="77777777" w:rsidR="0028447D" w:rsidRPr="0028447D" w:rsidRDefault="0028447D" w:rsidP="0028447D">
            <w:pPr>
              <w:rPr>
                <w:sz w:val="22"/>
                <w:lang w:val="en-GB"/>
              </w:rPr>
            </w:pPr>
            <w:r w:rsidRPr="0028447D">
              <w:rPr>
                <w:sz w:val="22"/>
                <w:lang w:val="en-GB"/>
              </w:rPr>
              <w:t>60</w:t>
            </w:r>
          </w:p>
        </w:tc>
        <w:tc>
          <w:tcPr>
            <w:tcW w:w="1842" w:type="dxa"/>
            <w:tcBorders>
              <w:top w:val="single" w:sz="4" w:space="0" w:color="000000"/>
              <w:left w:val="single" w:sz="4" w:space="0" w:color="000000"/>
              <w:bottom w:val="single" w:sz="4" w:space="0" w:color="000000"/>
              <w:right w:val="single" w:sz="4" w:space="0" w:color="000000"/>
            </w:tcBorders>
            <w:hideMark/>
          </w:tcPr>
          <w:p w14:paraId="7D736C6F" w14:textId="77777777" w:rsidR="0028447D" w:rsidRPr="0028447D" w:rsidRDefault="0028447D" w:rsidP="0028447D">
            <w:pPr>
              <w:rPr>
                <w:sz w:val="22"/>
                <w:lang w:val="en-GB"/>
              </w:rPr>
            </w:pPr>
            <w:r w:rsidRPr="0028447D">
              <w:rPr>
                <w:sz w:val="22"/>
                <w:lang w:val="en-GB"/>
              </w:rPr>
              <w:t>47</w:t>
            </w:r>
          </w:p>
        </w:tc>
        <w:tc>
          <w:tcPr>
            <w:tcW w:w="1420" w:type="dxa"/>
            <w:tcBorders>
              <w:top w:val="single" w:sz="4" w:space="0" w:color="000000"/>
              <w:left w:val="single" w:sz="4" w:space="0" w:color="000000"/>
              <w:bottom w:val="single" w:sz="4" w:space="0" w:color="000000"/>
              <w:right w:val="single" w:sz="4" w:space="0" w:color="000000"/>
            </w:tcBorders>
            <w:hideMark/>
          </w:tcPr>
          <w:p w14:paraId="5013E6D8" w14:textId="77777777" w:rsidR="0028447D" w:rsidRPr="0028447D" w:rsidRDefault="0028447D" w:rsidP="0028447D">
            <w:pPr>
              <w:rPr>
                <w:sz w:val="22"/>
                <w:lang w:val="en-GB"/>
              </w:rPr>
            </w:pPr>
            <w:r w:rsidRPr="0028447D">
              <w:rPr>
                <w:sz w:val="22"/>
                <w:lang w:val="en-GB"/>
              </w:rPr>
              <w:t>0,004</w:t>
            </w:r>
          </w:p>
        </w:tc>
      </w:tr>
    </w:tbl>
    <w:p w14:paraId="5AFE9979" w14:textId="77777777" w:rsidR="0028447D" w:rsidRPr="0028447D" w:rsidRDefault="0028447D" w:rsidP="009142B9">
      <w:pPr>
        <w:ind w:left="851"/>
        <w:rPr>
          <w:sz w:val="20"/>
        </w:rPr>
      </w:pPr>
      <w:r w:rsidRPr="0028447D">
        <w:rPr>
          <w:sz w:val="20"/>
        </w:rPr>
        <w:t>CR = ingen emetiske episoder, nødmedicinering eller seponering.</w:t>
      </w:r>
    </w:p>
    <w:p w14:paraId="57C0AEE5" w14:textId="77777777" w:rsidR="0028447D" w:rsidRDefault="0028447D" w:rsidP="009260DE">
      <w:pPr>
        <w:tabs>
          <w:tab w:val="left" w:pos="851"/>
        </w:tabs>
        <w:ind w:left="851"/>
        <w:rPr>
          <w:sz w:val="24"/>
          <w:szCs w:val="24"/>
        </w:rPr>
      </w:pPr>
    </w:p>
    <w:p w14:paraId="6DDF907A"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7A14F257" w14:textId="77777777" w:rsidR="0028447D" w:rsidRPr="0028447D" w:rsidRDefault="0028447D" w:rsidP="0028447D">
      <w:pPr>
        <w:tabs>
          <w:tab w:val="left" w:pos="851"/>
        </w:tabs>
        <w:ind w:left="851"/>
        <w:rPr>
          <w:sz w:val="24"/>
          <w:szCs w:val="24"/>
        </w:rPr>
      </w:pPr>
      <w:r w:rsidRPr="0028447D">
        <w:rPr>
          <w:sz w:val="24"/>
          <w:szCs w:val="24"/>
        </w:rPr>
        <w:t>Ondansetrons farmakokinetiske egenskaber forbliver uændrede ved gentagen dosering.</w:t>
      </w:r>
    </w:p>
    <w:p w14:paraId="10A1F78F" w14:textId="77777777" w:rsidR="0028447D" w:rsidRPr="0028447D" w:rsidRDefault="0028447D" w:rsidP="0028447D">
      <w:pPr>
        <w:tabs>
          <w:tab w:val="left" w:pos="851"/>
        </w:tabs>
        <w:ind w:left="851"/>
        <w:rPr>
          <w:sz w:val="24"/>
          <w:szCs w:val="24"/>
          <w:u w:val="single"/>
        </w:rPr>
      </w:pPr>
    </w:p>
    <w:p w14:paraId="30A2D77B" w14:textId="77777777" w:rsidR="0028447D" w:rsidRPr="0028447D" w:rsidRDefault="0028447D" w:rsidP="0028447D">
      <w:pPr>
        <w:tabs>
          <w:tab w:val="left" w:pos="851"/>
        </w:tabs>
        <w:ind w:left="851"/>
        <w:rPr>
          <w:sz w:val="24"/>
          <w:szCs w:val="24"/>
          <w:u w:val="single"/>
        </w:rPr>
      </w:pPr>
      <w:r w:rsidRPr="0028447D">
        <w:rPr>
          <w:sz w:val="24"/>
          <w:szCs w:val="24"/>
          <w:u w:val="single"/>
        </w:rPr>
        <w:t>Absorption</w:t>
      </w:r>
    </w:p>
    <w:p w14:paraId="72315BCD" w14:textId="77777777" w:rsidR="0028447D" w:rsidRPr="0028447D" w:rsidRDefault="0028447D" w:rsidP="0028447D">
      <w:pPr>
        <w:tabs>
          <w:tab w:val="left" w:pos="851"/>
        </w:tabs>
        <w:ind w:left="851"/>
        <w:rPr>
          <w:sz w:val="24"/>
          <w:szCs w:val="24"/>
        </w:rPr>
      </w:pPr>
      <w:r w:rsidRPr="0028447D">
        <w:rPr>
          <w:sz w:val="24"/>
          <w:szCs w:val="24"/>
        </w:rPr>
        <w:t>Den maksimale plasmakoncentration på 30 ng/ml opnås ca. 1,5 time efter oral administration af en dosis på 8 mg. Efter en enkelt intramuskulær administration af 4 mg ondansetron opnås der tilsvarende blodniveauer inden for 10 minutter. Indgivelse af 4 mg ondansetron via intravenøs infusion over 5 minutter resulterer i en maksimal plasmakoncentration på cirka 65 ng/ml.</w:t>
      </w:r>
    </w:p>
    <w:p w14:paraId="6A9BCAAB" w14:textId="77777777" w:rsidR="0028447D" w:rsidRPr="0028447D" w:rsidRDefault="0028447D" w:rsidP="0028447D">
      <w:pPr>
        <w:tabs>
          <w:tab w:val="left" w:pos="851"/>
        </w:tabs>
        <w:ind w:left="851"/>
        <w:rPr>
          <w:sz w:val="24"/>
          <w:szCs w:val="24"/>
        </w:rPr>
      </w:pPr>
    </w:p>
    <w:p w14:paraId="75BB046B" w14:textId="77777777" w:rsidR="0028447D" w:rsidRPr="0028447D" w:rsidRDefault="0028447D" w:rsidP="0028447D">
      <w:pPr>
        <w:tabs>
          <w:tab w:val="left" w:pos="851"/>
        </w:tabs>
        <w:ind w:left="851"/>
        <w:rPr>
          <w:sz w:val="24"/>
          <w:szCs w:val="24"/>
          <w:u w:val="single"/>
        </w:rPr>
      </w:pPr>
      <w:r w:rsidRPr="0028447D">
        <w:rPr>
          <w:sz w:val="24"/>
          <w:szCs w:val="24"/>
          <w:u w:val="single"/>
        </w:rPr>
        <w:t>Fordeling</w:t>
      </w:r>
    </w:p>
    <w:p w14:paraId="22A57835" w14:textId="77777777" w:rsidR="0028447D" w:rsidRPr="0028447D" w:rsidRDefault="0028447D" w:rsidP="0028447D">
      <w:pPr>
        <w:tabs>
          <w:tab w:val="left" w:pos="851"/>
        </w:tabs>
        <w:ind w:left="851"/>
        <w:rPr>
          <w:sz w:val="24"/>
          <w:szCs w:val="24"/>
        </w:rPr>
      </w:pPr>
      <w:r w:rsidRPr="0028447D">
        <w:rPr>
          <w:sz w:val="24"/>
          <w:szCs w:val="24"/>
        </w:rPr>
        <w:t>Fordelingen af ondansetron er ensartet efter oral, intramuskulær (i.m.) og intravenøs (i.v.) indgivelse hos voksne med en terminal halveringstid på cirka 3 timer og et fordelingsvolumen ved steady state på cirka 140 l. Der opnås samme systemiske eksponering efter intramuskulær og intravenøs administration af ondansetron. Ondansetron har en plasmaproteinbindingsgrad på 70-76 %.</w:t>
      </w:r>
    </w:p>
    <w:p w14:paraId="41013C21" w14:textId="77777777" w:rsidR="0028447D" w:rsidRPr="0028447D" w:rsidRDefault="0028447D" w:rsidP="0028447D">
      <w:pPr>
        <w:tabs>
          <w:tab w:val="left" w:pos="851"/>
        </w:tabs>
        <w:ind w:left="851"/>
        <w:rPr>
          <w:sz w:val="24"/>
          <w:szCs w:val="24"/>
          <w:u w:val="single"/>
        </w:rPr>
      </w:pPr>
    </w:p>
    <w:p w14:paraId="676CA4A3" w14:textId="77777777" w:rsidR="0028447D" w:rsidRPr="0028447D" w:rsidRDefault="0028447D" w:rsidP="0028447D">
      <w:pPr>
        <w:tabs>
          <w:tab w:val="left" w:pos="851"/>
        </w:tabs>
        <w:ind w:left="851"/>
        <w:rPr>
          <w:sz w:val="24"/>
          <w:szCs w:val="24"/>
          <w:u w:val="single"/>
        </w:rPr>
      </w:pPr>
      <w:r w:rsidRPr="0028447D">
        <w:rPr>
          <w:sz w:val="24"/>
          <w:szCs w:val="24"/>
          <w:u w:val="single"/>
        </w:rPr>
        <w:t>Biotransformation og elimination</w:t>
      </w:r>
    </w:p>
    <w:p w14:paraId="4DF4FB92" w14:textId="77777777" w:rsidR="0028447D" w:rsidRPr="0028447D" w:rsidRDefault="0028447D" w:rsidP="0028447D">
      <w:pPr>
        <w:tabs>
          <w:tab w:val="left" w:pos="851"/>
        </w:tabs>
        <w:ind w:left="851"/>
        <w:rPr>
          <w:sz w:val="24"/>
          <w:szCs w:val="24"/>
        </w:rPr>
      </w:pPr>
      <w:r w:rsidRPr="0028447D">
        <w:rPr>
          <w:sz w:val="24"/>
          <w:szCs w:val="24"/>
        </w:rPr>
        <w:t xml:space="preserve">Ondansetron elimineres fra det systemiske kredsløb via hepatisk metabolisme ad flere metaboliseringsveje. Størstedelen af de udskilte metabolitter (&gt; 40 % af den administrerede dosis) udgøres af glucuronid og sulfatkonjugater af 8-hydroxyondansetron, som er farmakologisk aktiv, men som ikke kan påvises i det systemiske kredsløb efter oral eller intravenøs administration af ondansetron (&lt; 2 ng/ml). Ondansetronmetabolitterne udskilles primært i urinen. Manglende tilstedeværelse af enzymet CYP2D6 i forbindelse med en gendefekt (debrisoquinpolymorfisme) påvirker ikke ondansetrons farmakokinetik. Mindre </w:t>
      </w:r>
      <w:r w:rsidRPr="0028447D">
        <w:rPr>
          <w:sz w:val="24"/>
          <w:szCs w:val="24"/>
        </w:rPr>
        <w:lastRenderedPageBreak/>
        <w:t>end 5 % af den absorberede dosis udskilles uændret i urinen. Eliminationshalveringstiden er cirka 3 til 5 timer.</w:t>
      </w:r>
    </w:p>
    <w:p w14:paraId="4A6401A1" w14:textId="77777777" w:rsidR="0028447D" w:rsidRPr="0028447D" w:rsidRDefault="0028447D" w:rsidP="0028447D">
      <w:pPr>
        <w:tabs>
          <w:tab w:val="left" w:pos="851"/>
        </w:tabs>
        <w:ind w:left="851"/>
        <w:rPr>
          <w:sz w:val="24"/>
          <w:szCs w:val="24"/>
          <w:u w:val="single"/>
        </w:rPr>
      </w:pPr>
    </w:p>
    <w:p w14:paraId="799F6569" w14:textId="77777777" w:rsidR="0028447D" w:rsidRPr="0028447D" w:rsidRDefault="0028447D" w:rsidP="0028447D">
      <w:pPr>
        <w:tabs>
          <w:tab w:val="left" w:pos="851"/>
        </w:tabs>
        <w:ind w:left="851"/>
        <w:rPr>
          <w:iCs/>
          <w:sz w:val="24"/>
          <w:szCs w:val="24"/>
          <w:u w:val="single"/>
        </w:rPr>
      </w:pPr>
      <w:r w:rsidRPr="0028447D">
        <w:rPr>
          <w:iCs/>
          <w:sz w:val="24"/>
          <w:szCs w:val="24"/>
          <w:u w:val="single"/>
        </w:rPr>
        <w:t>Særlige patientpopulationer</w:t>
      </w:r>
    </w:p>
    <w:p w14:paraId="73026ADF" w14:textId="77777777" w:rsidR="0028447D" w:rsidRPr="0028447D" w:rsidRDefault="0028447D" w:rsidP="0028447D">
      <w:pPr>
        <w:tabs>
          <w:tab w:val="left" w:pos="851"/>
        </w:tabs>
        <w:ind w:left="851"/>
        <w:rPr>
          <w:iCs/>
          <w:sz w:val="24"/>
          <w:szCs w:val="24"/>
        </w:rPr>
      </w:pPr>
      <w:r w:rsidRPr="0028447D">
        <w:rPr>
          <w:sz w:val="24"/>
          <w:szCs w:val="24"/>
        </w:rPr>
        <w:t>Der er påvist kønsbetingede forskelle i ondansetrons farmakokinetik i form af øget absorptionshastighed og -grad efter oral administration af ondansetron samt lavere systemisk clearance og fordelingsvolumen (justeret for vægt) hos kvinder.</w:t>
      </w:r>
    </w:p>
    <w:p w14:paraId="3ECAE56C" w14:textId="77777777" w:rsidR="0028447D" w:rsidRPr="0028447D" w:rsidRDefault="0028447D" w:rsidP="0028447D">
      <w:pPr>
        <w:tabs>
          <w:tab w:val="left" w:pos="851"/>
        </w:tabs>
        <w:ind w:left="851"/>
        <w:rPr>
          <w:iCs/>
          <w:sz w:val="24"/>
          <w:szCs w:val="24"/>
          <w:u w:val="single"/>
        </w:rPr>
      </w:pPr>
    </w:p>
    <w:p w14:paraId="08D0362E" w14:textId="77777777" w:rsidR="0028447D" w:rsidRPr="0028447D" w:rsidRDefault="0028447D" w:rsidP="0028447D">
      <w:pPr>
        <w:tabs>
          <w:tab w:val="left" w:pos="851"/>
        </w:tabs>
        <w:ind w:left="851"/>
        <w:rPr>
          <w:i/>
          <w:iCs/>
          <w:sz w:val="24"/>
          <w:szCs w:val="24"/>
        </w:rPr>
      </w:pPr>
      <w:r w:rsidRPr="0028447D">
        <w:rPr>
          <w:i/>
          <w:iCs/>
          <w:sz w:val="24"/>
          <w:szCs w:val="24"/>
        </w:rPr>
        <w:t>Børn og unge (i alderen 1 måned til 17 år)</w:t>
      </w:r>
    </w:p>
    <w:p w14:paraId="36BB434D" w14:textId="77777777" w:rsidR="0028447D" w:rsidRPr="0028447D" w:rsidRDefault="0028447D" w:rsidP="0028447D">
      <w:pPr>
        <w:tabs>
          <w:tab w:val="left" w:pos="851"/>
        </w:tabs>
        <w:ind w:left="851"/>
        <w:rPr>
          <w:iCs/>
          <w:sz w:val="24"/>
          <w:szCs w:val="24"/>
        </w:rPr>
      </w:pPr>
      <w:r w:rsidRPr="0028447D">
        <w:rPr>
          <w:sz w:val="24"/>
          <w:szCs w:val="24"/>
        </w:rPr>
        <w:t>Hos pædiatriske patienter i alderen 1 til 4 måneder (n = 19), der havde gennemgået kirurgisk indgreb, var den vægtnormaliserede clearance ca. 30 % langsommere end hos patienter i alderen 5 til 24 måneder (n = 22), men sammenlignelig med patienter i alderen 3-12 år. Halveringstiden for patienter i alderen 1 til 4 måneder var i gennemsnit 6,7 timer, sammenlignet med 2,9 timer hos patienter i alderen 5 til 24 måneder og 3 til 12 år. Forskellen i farmakokinetiske parametre i aldersgruppen 1 til 4 måneder kan til dels forklares ved den højere procentdel af totalt kropsvand hos nyfødte og spædbørn og et højere fordelingsvolumen for vandopløselige lægemidler som ondansetron.</w:t>
      </w:r>
    </w:p>
    <w:p w14:paraId="4911AA7A" w14:textId="77777777" w:rsidR="0028447D" w:rsidRPr="0028447D" w:rsidRDefault="0028447D" w:rsidP="0028447D">
      <w:pPr>
        <w:tabs>
          <w:tab w:val="left" w:pos="851"/>
        </w:tabs>
        <w:ind w:left="851"/>
        <w:rPr>
          <w:iCs/>
          <w:sz w:val="24"/>
          <w:szCs w:val="24"/>
        </w:rPr>
      </w:pPr>
    </w:p>
    <w:p w14:paraId="45C5EB6D" w14:textId="77777777" w:rsidR="0028447D" w:rsidRPr="0028447D" w:rsidRDefault="0028447D" w:rsidP="0028447D">
      <w:pPr>
        <w:tabs>
          <w:tab w:val="left" w:pos="851"/>
        </w:tabs>
        <w:ind w:left="851"/>
        <w:rPr>
          <w:iCs/>
          <w:sz w:val="24"/>
          <w:szCs w:val="24"/>
        </w:rPr>
      </w:pPr>
      <w:r w:rsidRPr="0028447D">
        <w:rPr>
          <w:sz w:val="24"/>
          <w:szCs w:val="24"/>
        </w:rPr>
        <w:t>Hos pædiatriske patienter i alderen 3-12 år, der gennemgik elektiv kirurgi med generel anæstesi, var de absolutte værdier for ondansetrons clearance og fordelingsvolumen lavere end værdierne hos voksne patienter. Begge parametre steg lineært med legemsvægten, og ved 12-årsalderen havde værdierne nærmet sig værdierne hos unge voksne. Når værdierne for clearance og fordelingsvolumen blev normaliseret ud fra legemsvægt, var disse parametre ens mellem de forskellige aldersgrupper. Brug af legemsvægtbaseret dosering kompenserer for aldersrelaterede forskelle og medfører en normalisering af den systemiske eksponering hos børn.</w:t>
      </w:r>
    </w:p>
    <w:p w14:paraId="54E59E05" w14:textId="77777777" w:rsidR="0028447D" w:rsidRPr="0028447D" w:rsidRDefault="0028447D" w:rsidP="0028447D">
      <w:pPr>
        <w:tabs>
          <w:tab w:val="left" w:pos="851"/>
        </w:tabs>
        <w:ind w:left="851"/>
        <w:rPr>
          <w:iCs/>
          <w:sz w:val="24"/>
          <w:szCs w:val="24"/>
        </w:rPr>
      </w:pPr>
    </w:p>
    <w:p w14:paraId="07EC1577" w14:textId="77777777" w:rsidR="0028447D" w:rsidRPr="0028447D" w:rsidRDefault="0028447D" w:rsidP="0028447D">
      <w:pPr>
        <w:tabs>
          <w:tab w:val="left" w:pos="851"/>
        </w:tabs>
        <w:ind w:left="851"/>
        <w:rPr>
          <w:iCs/>
          <w:sz w:val="24"/>
          <w:szCs w:val="24"/>
        </w:rPr>
      </w:pPr>
      <w:r w:rsidRPr="0028447D">
        <w:rPr>
          <w:sz w:val="24"/>
          <w:szCs w:val="24"/>
        </w:rPr>
        <w:t>Der er blevet foretaget en farmakokinetisk populationsanalyse af 428 patienter (cancerpatienter, kirurgiske patienter og raske frivillige) i alderen 1 måned til 44 år efter intravenøs administration af ondansetron. Denne analyse viste, at den systemiske eksponering (AUC) for ondansetron efter oral eller intravenøs administration hos børn og unge var sammenlignelig med den systemiske eksponering hos voksne, bortset fra hos spædbørn i alderen 1 til 4 måneder. Fordelingsvoluminet var aldersafhængigt og var lavere hos voksne end hos spædbørn og børn. Clearance var relateret til vægt, men ikke til alder, bortset fra hos spædbørn i alderen 1 til 4 måneder. Det er vanskeligt at konkludere, om der var en yderligere reduktion i clearance relateret til alder hos spædbørn i alderen 1 til 4 måneder, eller om der er tale om en variabilitet som følge af det lille antal forsøgspersoner i denne aldersgruppe. Eftersom patienter yngre end 6 måneder kun får en enkelt dosis til profylakse af postoperativ kvalme og opkastning, er det usandsynligt, at en reduktion i clearance vil være klinisk relevant.</w:t>
      </w:r>
    </w:p>
    <w:p w14:paraId="07001C13" w14:textId="77777777" w:rsidR="0028447D" w:rsidRPr="0028447D" w:rsidRDefault="0028447D" w:rsidP="0028447D">
      <w:pPr>
        <w:tabs>
          <w:tab w:val="left" w:pos="851"/>
        </w:tabs>
        <w:ind w:left="851"/>
        <w:rPr>
          <w:iCs/>
          <w:sz w:val="24"/>
          <w:szCs w:val="24"/>
        </w:rPr>
      </w:pPr>
    </w:p>
    <w:p w14:paraId="2A41ADF7" w14:textId="77777777" w:rsidR="0028447D" w:rsidRPr="0028447D" w:rsidRDefault="0028447D" w:rsidP="0028447D">
      <w:pPr>
        <w:tabs>
          <w:tab w:val="left" w:pos="851"/>
        </w:tabs>
        <w:ind w:left="851"/>
        <w:rPr>
          <w:i/>
          <w:iCs/>
          <w:sz w:val="24"/>
          <w:szCs w:val="24"/>
        </w:rPr>
      </w:pPr>
      <w:r w:rsidRPr="0028447D">
        <w:rPr>
          <w:i/>
          <w:iCs/>
          <w:sz w:val="24"/>
          <w:szCs w:val="24"/>
        </w:rPr>
        <w:t>Ældre</w:t>
      </w:r>
    </w:p>
    <w:p w14:paraId="34BBA4E3" w14:textId="77777777" w:rsidR="0028447D" w:rsidRPr="0028447D" w:rsidRDefault="0028447D" w:rsidP="0028447D">
      <w:pPr>
        <w:tabs>
          <w:tab w:val="left" w:pos="851"/>
        </w:tabs>
        <w:ind w:left="851"/>
        <w:rPr>
          <w:iCs/>
          <w:sz w:val="24"/>
          <w:szCs w:val="24"/>
        </w:rPr>
      </w:pPr>
      <w:r w:rsidRPr="0028447D">
        <w:rPr>
          <w:sz w:val="24"/>
          <w:szCs w:val="24"/>
        </w:rPr>
        <w:t>Tidlige fase 1-studier hos raske ældre frivillige viste et let aldersrelateret fald i clearance og en stigning i ondansetrons halveringstid. Den brede interindividuelle variation resulterede dog i et betragteligt overlap i farmakokinetiske parametre mellem unge (&lt; 65 år) og ældre patienter (≥ 65 år). Der blev ikke fundet nogen forskelle i sikkerheden og virkningen mellem unge og ældre cancerpatienter i de kliniske studier af kemoterapi-induceret opkastning og kvalme, som kunne understøtte andre dosisanbefalinger hos ældre.</w:t>
      </w:r>
    </w:p>
    <w:p w14:paraId="1DB16F3C" w14:textId="77777777" w:rsidR="0028447D" w:rsidRPr="0028447D" w:rsidRDefault="0028447D" w:rsidP="0028447D">
      <w:pPr>
        <w:tabs>
          <w:tab w:val="left" w:pos="851"/>
        </w:tabs>
        <w:ind w:left="851"/>
        <w:rPr>
          <w:iCs/>
          <w:sz w:val="24"/>
          <w:szCs w:val="24"/>
        </w:rPr>
      </w:pPr>
      <w:r w:rsidRPr="0028447D">
        <w:rPr>
          <w:sz w:val="24"/>
          <w:szCs w:val="24"/>
        </w:rPr>
        <w:t xml:space="preserve">På baggrund af mere nylige modeller af ondansetrons plasmakoncentration og dosis-respons forventes der en større indvirkning på QTcF hos patienter ≥ 75 år end hos unge voksne. Specifikke doseringsoplysninger er anført for patienter over 65 år og over 75 år til </w:t>
      </w:r>
      <w:r w:rsidRPr="0028447D">
        <w:rPr>
          <w:sz w:val="24"/>
          <w:szCs w:val="24"/>
        </w:rPr>
        <w:lastRenderedPageBreak/>
        <w:t>i.v. dosering (se pkt. 4.2 – Kvalme og opkastning fremkaldt af kemoterapi og strålebehandling – Ældre (≥ 65 år)).</w:t>
      </w:r>
    </w:p>
    <w:p w14:paraId="3B051150" w14:textId="77777777" w:rsidR="0028447D" w:rsidRPr="0028447D" w:rsidRDefault="0028447D" w:rsidP="0028447D">
      <w:pPr>
        <w:tabs>
          <w:tab w:val="left" w:pos="851"/>
        </w:tabs>
        <w:ind w:left="851"/>
        <w:rPr>
          <w:iCs/>
          <w:sz w:val="24"/>
          <w:szCs w:val="24"/>
        </w:rPr>
      </w:pPr>
    </w:p>
    <w:p w14:paraId="4C75EC99" w14:textId="77777777" w:rsidR="0028447D" w:rsidRPr="0028447D" w:rsidRDefault="0028447D" w:rsidP="0028447D">
      <w:pPr>
        <w:tabs>
          <w:tab w:val="left" w:pos="851"/>
        </w:tabs>
        <w:ind w:left="851"/>
        <w:rPr>
          <w:i/>
          <w:iCs/>
          <w:sz w:val="24"/>
          <w:szCs w:val="24"/>
        </w:rPr>
      </w:pPr>
      <w:r w:rsidRPr="0028447D">
        <w:rPr>
          <w:i/>
          <w:iCs/>
          <w:sz w:val="24"/>
          <w:szCs w:val="24"/>
        </w:rPr>
        <w:t>Patienter med nedsat nyrefunktion</w:t>
      </w:r>
    </w:p>
    <w:p w14:paraId="63028ECF" w14:textId="77777777" w:rsidR="0028447D" w:rsidRPr="0028447D" w:rsidRDefault="0028447D" w:rsidP="0028447D">
      <w:pPr>
        <w:tabs>
          <w:tab w:val="left" w:pos="851"/>
        </w:tabs>
        <w:ind w:left="851"/>
        <w:rPr>
          <w:iCs/>
          <w:sz w:val="24"/>
          <w:szCs w:val="24"/>
        </w:rPr>
      </w:pPr>
      <w:r w:rsidRPr="0028447D">
        <w:rPr>
          <w:sz w:val="24"/>
          <w:szCs w:val="24"/>
        </w:rPr>
        <w:t>Hos patienter med moderat nedsat nyrefunktion (kreatininclearance 15-60 ml/min) er både den systemiske clearance og distributionsvoluminet nedsat efter intravenøs administration af ondansetron, hvilket resulterer i en let, men klinisk ubetydelig, stigning i eliminationshalveringstiden (5,4 timer). Et studie med patienter med svært nedsat nyrefunktion, der havde behov for regelmæssig hæmodialyse (studie udført mellem dialyser) viste, at ondansetrons farmakokinetik stort set var uændret efter intravenøs administration.</w:t>
      </w:r>
    </w:p>
    <w:p w14:paraId="742D843F" w14:textId="77777777" w:rsidR="0028447D" w:rsidRPr="0028447D" w:rsidRDefault="0028447D" w:rsidP="0028447D">
      <w:pPr>
        <w:tabs>
          <w:tab w:val="left" w:pos="851"/>
        </w:tabs>
        <w:ind w:left="851"/>
        <w:rPr>
          <w:b/>
          <w:bCs/>
          <w:iCs/>
          <w:sz w:val="24"/>
          <w:szCs w:val="24"/>
        </w:rPr>
      </w:pPr>
    </w:p>
    <w:p w14:paraId="1137580E" w14:textId="77777777" w:rsidR="0028447D" w:rsidRPr="0028447D" w:rsidRDefault="0028447D" w:rsidP="0028447D">
      <w:pPr>
        <w:tabs>
          <w:tab w:val="left" w:pos="851"/>
        </w:tabs>
        <w:ind w:left="851"/>
        <w:rPr>
          <w:b/>
          <w:bCs/>
          <w:iCs/>
          <w:sz w:val="24"/>
          <w:szCs w:val="24"/>
        </w:rPr>
      </w:pPr>
      <w:r w:rsidRPr="0028447D">
        <w:rPr>
          <w:i/>
          <w:iCs/>
          <w:sz w:val="24"/>
          <w:szCs w:val="24"/>
        </w:rPr>
        <w:t>Patienter med nedsat leverfunktion</w:t>
      </w:r>
    </w:p>
    <w:p w14:paraId="1339CB9C" w14:textId="77777777" w:rsidR="0028447D" w:rsidRPr="0028447D" w:rsidRDefault="0028447D" w:rsidP="0028447D">
      <w:pPr>
        <w:tabs>
          <w:tab w:val="left" w:pos="851"/>
        </w:tabs>
        <w:ind w:left="851"/>
        <w:rPr>
          <w:iCs/>
          <w:sz w:val="24"/>
          <w:szCs w:val="24"/>
        </w:rPr>
      </w:pPr>
      <w:r w:rsidRPr="0028447D">
        <w:rPr>
          <w:sz w:val="24"/>
          <w:szCs w:val="24"/>
        </w:rPr>
        <w:t>Hos patienter med svært nedsat leverfunktion er ondansetrons systemiske clearance markant reduceret med forlænget eliminationshalveringstid (15-32 timer) og en oral biotilgængelighed, der nærmer sig 100 % på grund af reduceret præsystemisk metabolisme.</w:t>
      </w:r>
    </w:p>
    <w:p w14:paraId="576B9373" w14:textId="77777777" w:rsidR="009260DE" w:rsidRPr="00C84483" w:rsidRDefault="009260DE" w:rsidP="009260DE">
      <w:pPr>
        <w:tabs>
          <w:tab w:val="left" w:pos="851"/>
        </w:tabs>
        <w:ind w:left="851"/>
        <w:rPr>
          <w:sz w:val="24"/>
          <w:szCs w:val="24"/>
        </w:rPr>
      </w:pPr>
    </w:p>
    <w:p w14:paraId="550484C8"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3AAACA3E" w14:textId="77777777" w:rsidR="009142B9" w:rsidRPr="009142B9" w:rsidRDefault="009142B9" w:rsidP="009142B9">
      <w:pPr>
        <w:tabs>
          <w:tab w:val="left" w:pos="851"/>
        </w:tabs>
        <w:ind w:left="851"/>
        <w:rPr>
          <w:sz w:val="24"/>
          <w:szCs w:val="24"/>
        </w:rPr>
      </w:pPr>
      <w:r w:rsidRPr="009142B9">
        <w:rPr>
          <w:sz w:val="24"/>
          <w:szCs w:val="24"/>
        </w:rPr>
        <w:t>Non-kliniske data viser ingen speciel risiko for mennesker vurderet ud fra konventionelle studier af sikkerhedsfarmakologi, toksicitet efter gentagne doser samt karcinogent potentiale.</w:t>
      </w:r>
    </w:p>
    <w:p w14:paraId="451D87C9" w14:textId="77777777" w:rsidR="009142B9" w:rsidRPr="009142B9" w:rsidRDefault="009142B9" w:rsidP="009142B9">
      <w:pPr>
        <w:tabs>
          <w:tab w:val="left" w:pos="851"/>
        </w:tabs>
        <w:ind w:left="851"/>
        <w:rPr>
          <w:sz w:val="24"/>
          <w:szCs w:val="24"/>
        </w:rPr>
      </w:pPr>
    </w:p>
    <w:p w14:paraId="18EF0D01" w14:textId="77777777" w:rsidR="009142B9" w:rsidRPr="009142B9" w:rsidRDefault="009142B9" w:rsidP="009142B9">
      <w:pPr>
        <w:tabs>
          <w:tab w:val="left" w:pos="851"/>
        </w:tabs>
        <w:ind w:left="851"/>
        <w:rPr>
          <w:i/>
          <w:iCs/>
          <w:sz w:val="24"/>
          <w:szCs w:val="24"/>
        </w:rPr>
      </w:pPr>
      <w:r w:rsidRPr="009142B9">
        <w:rPr>
          <w:i/>
          <w:iCs/>
          <w:sz w:val="24"/>
          <w:szCs w:val="24"/>
        </w:rPr>
        <w:t>Reproduktionstoksicitetsstudier</w:t>
      </w:r>
    </w:p>
    <w:p w14:paraId="25D290D1" w14:textId="77777777" w:rsidR="009142B9" w:rsidRPr="009142B9" w:rsidRDefault="009142B9" w:rsidP="009142B9">
      <w:pPr>
        <w:tabs>
          <w:tab w:val="left" w:pos="851"/>
        </w:tabs>
        <w:ind w:left="851"/>
        <w:rPr>
          <w:sz w:val="24"/>
          <w:szCs w:val="24"/>
        </w:rPr>
      </w:pPr>
      <w:r w:rsidRPr="009142B9">
        <w:rPr>
          <w:sz w:val="24"/>
          <w:szCs w:val="24"/>
        </w:rPr>
        <w:t>Reproduktionstoksicitetsstudier med rotter og kaniner viste ikke tegn på nogen skadelig virkning for fosteret, når ondansetron blev administreret i organogeneseperioden i doser, der var ca. 6 gange eller 24 gange højere end den maksimale anbefalede humane orale dosis på 24 mg/dag, baseret på legemsoverfladeareal.</w:t>
      </w:r>
    </w:p>
    <w:p w14:paraId="1A0A7746" w14:textId="77777777" w:rsidR="009142B9" w:rsidRPr="009142B9" w:rsidRDefault="009142B9" w:rsidP="009142B9">
      <w:pPr>
        <w:tabs>
          <w:tab w:val="left" w:pos="851"/>
        </w:tabs>
        <w:ind w:left="851"/>
        <w:rPr>
          <w:sz w:val="24"/>
          <w:szCs w:val="24"/>
        </w:rPr>
      </w:pPr>
    </w:p>
    <w:p w14:paraId="1E8E67A3" w14:textId="77777777" w:rsidR="009142B9" w:rsidRPr="009142B9" w:rsidRDefault="009142B9" w:rsidP="009142B9">
      <w:pPr>
        <w:tabs>
          <w:tab w:val="left" w:pos="851"/>
        </w:tabs>
        <w:ind w:left="851"/>
        <w:rPr>
          <w:sz w:val="24"/>
          <w:szCs w:val="24"/>
        </w:rPr>
      </w:pPr>
      <w:r w:rsidRPr="009142B9">
        <w:rPr>
          <w:sz w:val="24"/>
          <w:szCs w:val="24"/>
        </w:rPr>
        <w:t>I embryoføtale udviklingsstudier med rotter og kaniner fik drægtige dyr orale doser af ondansetron på op til hhv. 15 mg/kg/dag og 30 mg/kg/dag i løbet af organogeneseperioden. Med undtagelse af et mindre fald i moderdyrenes vægtøgning hos kaninerne havde ondansetron ingen signifikante virkninger på moderdyrene eller afkommets udvikling. Doserne på 15 mg/kg/dag og 30 mg/kg/dag hos kaniner var 6 og 24 gange højere end den maksimale anbefalede humane orale dosis på 24 mg/dag, baseret på kropsoverfladeareal.</w:t>
      </w:r>
    </w:p>
    <w:p w14:paraId="582A9C53" w14:textId="77777777" w:rsidR="009142B9" w:rsidRPr="009142B9" w:rsidRDefault="009142B9" w:rsidP="009142B9">
      <w:pPr>
        <w:tabs>
          <w:tab w:val="left" w:pos="851"/>
        </w:tabs>
        <w:ind w:left="851"/>
        <w:rPr>
          <w:sz w:val="24"/>
          <w:szCs w:val="24"/>
        </w:rPr>
      </w:pPr>
    </w:p>
    <w:p w14:paraId="75BBFA42" w14:textId="77777777" w:rsidR="009142B9" w:rsidRPr="009142B9" w:rsidRDefault="009142B9" w:rsidP="009142B9">
      <w:pPr>
        <w:tabs>
          <w:tab w:val="left" w:pos="851"/>
        </w:tabs>
        <w:ind w:left="851"/>
        <w:rPr>
          <w:sz w:val="24"/>
          <w:szCs w:val="24"/>
        </w:rPr>
      </w:pPr>
      <w:r w:rsidRPr="009142B9">
        <w:rPr>
          <w:sz w:val="24"/>
          <w:szCs w:val="24"/>
        </w:rPr>
        <w:t>I præ-og postnatale udviklingstoksicitetsstudier fik drægtige rotter orale doser af ondansetron på 15 mg/kg/dag fra drægtighedsdag 17 til fødsel på dag 21. Med undtagelse af en lille reduktion i moderdyrenes vægtøgning havde ondansetron ingen toksiske virkninger hos drægtige rotter eller på afkommets præ- og postnatale udvikling, herunder reproduktiv adfærd i den tilknyttede F1-generation. Ved en dosis på 15 mg/kg/dag hos rotter var dosis 24 gange højere end den maksimale anbefalede humane orale dosis på 24 mg/dag, baseret på kropsoverfladeareal.</w:t>
      </w:r>
    </w:p>
    <w:p w14:paraId="477CBB93" w14:textId="77777777" w:rsidR="009142B9" w:rsidRPr="009142B9" w:rsidRDefault="009142B9" w:rsidP="009142B9">
      <w:pPr>
        <w:tabs>
          <w:tab w:val="left" w:pos="851"/>
        </w:tabs>
        <w:ind w:left="851"/>
        <w:rPr>
          <w:sz w:val="24"/>
          <w:szCs w:val="24"/>
        </w:rPr>
      </w:pPr>
    </w:p>
    <w:p w14:paraId="1734CB26" w14:textId="77777777" w:rsidR="009142B9" w:rsidRPr="009142B9" w:rsidRDefault="009142B9" w:rsidP="009142B9">
      <w:pPr>
        <w:tabs>
          <w:tab w:val="left" w:pos="851"/>
        </w:tabs>
        <w:ind w:left="851"/>
        <w:rPr>
          <w:sz w:val="24"/>
          <w:szCs w:val="24"/>
        </w:rPr>
      </w:pPr>
      <w:r w:rsidRPr="009142B9">
        <w:rPr>
          <w:sz w:val="24"/>
          <w:szCs w:val="24"/>
        </w:rPr>
        <w:t>Ondansetron og dets metabolitter akkumuleres i rotters mælk med en mælk/plasmaratio på 5,2:1.</w:t>
      </w:r>
    </w:p>
    <w:p w14:paraId="5F6234FD" w14:textId="77777777" w:rsidR="009142B9" w:rsidRPr="009142B9" w:rsidRDefault="009142B9" w:rsidP="009142B9">
      <w:pPr>
        <w:tabs>
          <w:tab w:val="left" w:pos="851"/>
        </w:tabs>
        <w:ind w:left="851"/>
        <w:rPr>
          <w:sz w:val="24"/>
          <w:szCs w:val="24"/>
        </w:rPr>
      </w:pPr>
      <w:r w:rsidRPr="009142B9">
        <w:rPr>
          <w:sz w:val="24"/>
          <w:szCs w:val="24"/>
        </w:rPr>
        <w:t>Et studie med klonede humane kardiale ionkanaler har vist, at ondansetron potentielt kan påvirke hjertets repolarisering via blokade af hERG-kaliumkanaler ved klinisk relevante koncentrationer. Forbigående EKG-ændringer er rapporteret klinisk (se pkt. 4.4).</w:t>
      </w:r>
    </w:p>
    <w:p w14:paraId="5597B2FD" w14:textId="77777777" w:rsidR="009142B9" w:rsidRPr="009142B9" w:rsidRDefault="009142B9" w:rsidP="009142B9">
      <w:pPr>
        <w:tabs>
          <w:tab w:val="left" w:pos="851"/>
        </w:tabs>
        <w:ind w:left="851"/>
        <w:rPr>
          <w:sz w:val="24"/>
          <w:szCs w:val="24"/>
        </w:rPr>
      </w:pPr>
    </w:p>
    <w:p w14:paraId="37BA6F06" w14:textId="77777777" w:rsidR="009142B9" w:rsidRPr="009142B9" w:rsidRDefault="009142B9" w:rsidP="009142B9">
      <w:pPr>
        <w:tabs>
          <w:tab w:val="left" w:pos="851"/>
        </w:tabs>
        <w:ind w:left="851"/>
        <w:rPr>
          <w:sz w:val="24"/>
          <w:szCs w:val="24"/>
        </w:rPr>
      </w:pPr>
      <w:r w:rsidRPr="009142B9">
        <w:rPr>
          <w:sz w:val="24"/>
          <w:szCs w:val="24"/>
        </w:rPr>
        <w:lastRenderedPageBreak/>
        <w:t>Der blev set dosisafhængig QT-forlængelse i et omfattende QT-studie med frivillige forsøgsdeltagere (se pkt. 5.1).</w:t>
      </w:r>
    </w:p>
    <w:p w14:paraId="06420E3A" w14:textId="77777777" w:rsidR="009142B9" w:rsidRPr="009142B9" w:rsidRDefault="009142B9" w:rsidP="009142B9">
      <w:pPr>
        <w:tabs>
          <w:tab w:val="left" w:pos="851"/>
        </w:tabs>
        <w:ind w:left="851"/>
        <w:rPr>
          <w:sz w:val="24"/>
          <w:szCs w:val="24"/>
        </w:rPr>
      </w:pPr>
    </w:p>
    <w:p w14:paraId="2F2880C4" w14:textId="77777777" w:rsidR="009142B9" w:rsidRPr="009142B9" w:rsidRDefault="009142B9" w:rsidP="009142B9">
      <w:pPr>
        <w:tabs>
          <w:tab w:val="left" w:pos="851"/>
        </w:tabs>
        <w:ind w:left="851"/>
        <w:rPr>
          <w:sz w:val="24"/>
          <w:szCs w:val="24"/>
        </w:rPr>
      </w:pPr>
      <w:r w:rsidRPr="009142B9">
        <w:rPr>
          <w:sz w:val="24"/>
          <w:szCs w:val="24"/>
          <w:u w:val="single"/>
        </w:rPr>
        <w:t>Karcinogenicitet og mutagenicitet</w:t>
      </w:r>
    </w:p>
    <w:p w14:paraId="3FE0B3CC" w14:textId="77777777" w:rsidR="009142B9" w:rsidRPr="009142B9" w:rsidRDefault="009142B9" w:rsidP="009142B9">
      <w:pPr>
        <w:tabs>
          <w:tab w:val="left" w:pos="851"/>
        </w:tabs>
        <w:ind w:left="851"/>
        <w:rPr>
          <w:sz w:val="24"/>
          <w:szCs w:val="24"/>
        </w:rPr>
      </w:pPr>
      <w:r w:rsidRPr="009142B9">
        <w:rPr>
          <w:sz w:val="24"/>
          <w:szCs w:val="24"/>
        </w:rPr>
        <w:t>I 2-årige studier med rotter og mus, der fik orale ondansetrondoser på op til henholdsvis 10 mg/kg om dagen og 30 mg/kg om dagen (cirka 4 og 6 gange højere end den maksimale anbefalede orale dosis til mennesker på 24 mg om dagen, baseret på legemsoverfladeareal), blev der ikke set nogen karcinogene virkninger. Ondansetron var ikke mutagent i standardtest for mutagenicitet.</w:t>
      </w:r>
    </w:p>
    <w:p w14:paraId="6A382102" w14:textId="77777777" w:rsidR="009260DE" w:rsidRPr="00C84483" w:rsidRDefault="009260DE" w:rsidP="009260DE">
      <w:pPr>
        <w:tabs>
          <w:tab w:val="left" w:pos="851"/>
        </w:tabs>
        <w:ind w:left="851"/>
        <w:rPr>
          <w:sz w:val="24"/>
          <w:szCs w:val="24"/>
        </w:rPr>
      </w:pPr>
    </w:p>
    <w:p w14:paraId="065740CB" w14:textId="77777777" w:rsidR="009260DE" w:rsidRPr="00C84483" w:rsidRDefault="009260DE" w:rsidP="009260DE">
      <w:pPr>
        <w:tabs>
          <w:tab w:val="left" w:pos="851"/>
        </w:tabs>
        <w:ind w:left="851"/>
        <w:rPr>
          <w:sz w:val="24"/>
          <w:szCs w:val="24"/>
        </w:rPr>
      </w:pPr>
    </w:p>
    <w:p w14:paraId="5C5D50E9"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02F5D816" w14:textId="77777777" w:rsidR="009260DE" w:rsidRPr="00BA09F1" w:rsidRDefault="009260DE" w:rsidP="009260DE">
      <w:pPr>
        <w:tabs>
          <w:tab w:val="left" w:pos="851"/>
        </w:tabs>
        <w:ind w:left="851"/>
        <w:rPr>
          <w:sz w:val="24"/>
          <w:szCs w:val="24"/>
        </w:rPr>
      </w:pPr>
    </w:p>
    <w:p w14:paraId="2C6F6483"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00B05E88" w14:textId="77777777" w:rsidR="009142B9" w:rsidRPr="009142B9" w:rsidRDefault="009142B9" w:rsidP="009142B9">
      <w:pPr>
        <w:tabs>
          <w:tab w:val="left" w:pos="851"/>
        </w:tabs>
        <w:ind w:left="851"/>
        <w:rPr>
          <w:sz w:val="24"/>
          <w:szCs w:val="24"/>
        </w:rPr>
      </w:pPr>
      <w:r w:rsidRPr="009142B9">
        <w:rPr>
          <w:sz w:val="24"/>
          <w:szCs w:val="24"/>
        </w:rPr>
        <w:t>Natriumchlorid</w:t>
      </w:r>
    </w:p>
    <w:p w14:paraId="09273232" w14:textId="77777777" w:rsidR="009142B9" w:rsidRPr="009142B9" w:rsidRDefault="009142B9" w:rsidP="009142B9">
      <w:pPr>
        <w:tabs>
          <w:tab w:val="left" w:pos="851"/>
        </w:tabs>
        <w:ind w:left="851"/>
        <w:rPr>
          <w:sz w:val="24"/>
          <w:szCs w:val="24"/>
        </w:rPr>
      </w:pPr>
      <w:r w:rsidRPr="009142B9">
        <w:rPr>
          <w:sz w:val="24"/>
          <w:szCs w:val="24"/>
        </w:rPr>
        <w:t>Citronsyremonohydrat</w:t>
      </w:r>
    </w:p>
    <w:p w14:paraId="3FBD50C7" w14:textId="77777777" w:rsidR="009142B9" w:rsidRPr="009142B9" w:rsidRDefault="009142B9" w:rsidP="009142B9">
      <w:pPr>
        <w:tabs>
          <w:tab w:val="left" w:pos="851"/>
        </w:tabs>
        <w:ind w:left="851"/>
        <w:rPr>
          <w:sz w:val="24"/>
          <w:szCs w:val="24"/>
        </w:rPr>
      </w:pPr>
      <w:r w:rsidRPr="009142B9">
        <w:rPr>
          <w:sz w:val="24"/>
          <w:szCs w:val="24"/>
        </w:rPr>
        <w:t>Natriumcitratdihydrat</w:t>
      </w:r>
    </w:p>
    <w:p w14:paraId="5CD0B281" w14:textId="77777777" w:rsidR="009142B9" w:rsidRPr="009142B9" w:rsidRDefault="009142B9" w:rsidP="009142B9">
      <w:pPr>
        <w:tabs>
          <w:tab w:val="left" w:pos="851"/>
        </w:tabs>
        <w:ind w:left="851"/>
        <w:rPr>
          <w:sz w:val="24"/>
          <w:szCs w:val="24"/>
        </w:rPr>
      </w:pPr>
      <w:r w:rsidRPr="009142B9">
        <w:rPr>
          <w:sz w:val="24"/>
          <w:szCs w:val="24"/>
        </w:rPr>
        <w:t>Saltsyre (til pH-justering)</w:t>
      </w:r>
    </w:p>
    <w:p w14:paraId="4D5CD6AE" w14:textId="77777777" w:rsidR="009142B9" w:rsidRPr="009142B9" w:rsidRDefault="009142B9" w:rsidP="009142B9">
      <w:pPr>
        <w:tabs>
          <w:tab w:val="left" w:pos="851"/>
        </w:tabs>
        <w:ind w:left="851"/>
        <w:rPr>
          <w:sz w:val="24"/>
          <w:szCs w:val="24"/>
        </w:rPr>
      </w:pPr>
      <w:r w:rsidRPr="009142B9">
        <w:rPr>
          <w:sz w:val="24"/>
          <w:szCs w:val="24"/>
        </w:rPr>
        <w:t>Natriumhydroxid (til pH-justering)</w:t>
      </w:r>
    </w:p>
    <w:p w14:paraId="7DA4A68D" w14:textId="77777777" w:rsidR="009142B9" w:rsidRPr="009142B9" w:rsidRDefault="009142B9" w:rsidP="009142B9">
      <w:pPr>
        <w:tabs>
          <w:tab w:val="left" w:pos="851"/>
        </w:tabs>
        <w:ind w:left="851"/>
        <w:rPr>
          <w:sz w:val="24"/>
          <w:szCs w:val="24"/>
        </w:rPr>
      </w:pPr>
      <w:r w:rsidRPr="009142B9">
        <w:rPr>
          <w:sz w:val="24"/>
          <w:szCs w:val="24"/>
        </w:rPr>
        <w:t>Vand til injektionsvæsker</w:t>
      </w:r>
    </w:p>
    <w:p w14:paraId="037E62C3" w14:textId="77777777" w:rsidR="009260DE" w:rsidRPr="00C84483" w:rsidRDefault="009260DE" w:rsidP="009260DE">
      <w:pPr>
        <w:tabs>
          <w:tab w:val="left" w:pos="851"/>
        </w:tabs>
        <w:ind w:left="851"/>
        <w:rPr>
          <w:sz w:val="24"/>
          <w:szCs w:val="24"/>
        </w:rPr>
      </w:pPr>
    </w:p>
    <w:p w14:paraId="229F85F1"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6CDC98DC" w14:textId="77777777" w:rsidR="009142B9" w:rsidRPr="009142B9" w:rsidRDefault="009142B9" w:rsidP="009142B9">
      <w:pPr>
        <w:tabs>
          <w:tab w:val="left" w:pos="851"/>
        </w:tabs>
        <w:ind w:left="851"/>
        <w:rPr>
          <w:sz w:val="24"/>
          <w:szCs w:val="24"/>
        </w:rPr>
      </w:pPr>
      <w:r w:rsidRPr="009142B9">
        <w:rPr>
          <w:sz w:val="24"/>
          <w:szCs w:val="24"/>
        </w:rPr>
        <w:t>Ondansetron må ikke administreres i samme sprøjte eller infusionssæt som andre lægemidler.</w:t>
      </w:r>
    </w:p>
    <w:p w14:paraId="65E1318C" w14:textId="77777777" w:rsidR="009142B9" w:rsidRPr="009142B9" w:rsidRDefault="009142B9" w:rsidP="009142B9">
      <w:pPr>
        <w:tabs>
          <w:tab w:val="left" w:pos="851"/>
        </w:tabs>
        <w:ind w:left="851"/>
        <w:rPr>
          <w:sz w:val="24"/>
          <w:szCs w:val="24"/>
        </w:rPr>
      </w:pPr>
      <w:r w:rsidRPr="009142B9">
        <w:rPr>
          <w:sz w:val="24"/>
          <w:szCs w:val="24"/>
        </w:rPr>
        <w:t>Dette lægemiddel må ikke blandes med andre lægemidler end dem, der er anført under pkt. 6.6.</w:t>
      </w:r>
    </w:p>
    <w:p w14:paraId="6F4DBE04" w14:textId="77777777" w:rsidR="009260DE" w:rsidRPr="00C84483" w:rsidRDefault="009260DE" w:rsidP="009260DE">
      <w:pPr>
        <w:tabs>
          <w:tab w:val="left" w:pos="851"/>
        </w:tabs>
        <w:ind w:left="851"/>
        <w:rPr>
          <w:sz w:val="24"/>
          <w:szCs w:val="24"/>
        </w:rPr>
      </w:pPr>
    </w:p>
    <w:p w14:paraId="147F922C"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40B46C1D" w14:textId="77777777" w:rsidR="009142B9" w:rsidRPr="009142B9" w:rsidRDefault="009142B9" w:rsidP="009142B9">
      <w:pPr>
        <w:tabs>
          <w:tab w:val="left" w:pos="851"/>
        </w:tabs>
        <w:ind w:left="851"/>
        <w:rPr>
          <w:sz w:val="24"/>
          <w:szCs w:val="24"/>
        </w:rPr>
      </w:pPr>
      <w:r w:rsidRPr="009142B9">
        <w:rPr>
          <w:sz w:val="24"/>
          <w:szCs w:val="24"/>
        </w:rPr>
        <w:t xml:space="preserve">30 måneder. </w:t>
      </w:r>
    </w:p>
    <w:p w14:paraId="64A47D95" w14:textId="77777777" w:rsidR="009142B9" w:rsidRPr="009142B9" w:rsidRDefault="009142B9" w:rsidP="009142B9">
      <w:pPr>
        <w:tabs>
          <w:tab w:val="left" w:pos="851"/>
        </w:tabs>
        <w:ind w:left="851"/>
        <w:rPr>
          <w:sz w:val="24"/>
          <w:szCs w:val="24"/>
          <w:u w:val="single"/>
        </w:rPr>
      </w:pPr>
    </w:p>
    <w:p w14:paraId="1572B04C" w14:textId="77777777" w:rsidR="009142B9" w:rsidRPr="009142B9" w:rsidRDefault="009142B9" w:rsidP="009142B9">
      <w:pPr>
        <w:tabs>
          <w:tab w:val="left" w:pos="851"/>
        </w:tabs>
        <w:ind w:left="851"/>
        <w:rPr>
          <w:sz w:val="24"/>
          <w:szCs w:val="24"/>
          <w:u w:val="single"/>
        </w:rPr>
      </w:pPr>
      <w:r w:rsidRPr="009142B9">
        <w:rPr>
          <w:sz w:val="24"/>
          <w:szCs w:val="24"/>
          <w:u w:val="single"/>
        </w:rPr>
        <w:t>Efter åbning af ampullen</w:t>
      </w:r>
    </w:p>
    <w:p w14:paraId="6BE20E0D" w14:textId="77777777" w:rsidR="009142B9" w:rsidRPr="009142B9" w:rsidRDefault="009142B9" w:rsidP="009142B9">
      <w:pPr>
        <w:tabs>
          <w:tab w:val="left" w:pos="851"/>
        </w:tabs>
        <w:ind w:left="851"/>
        <w:rPr>
          <w:sz w:val="24"/>
          <w:szCs w:val="24"/>
        </w:rPr>
      </w:pPr>
      <w:r w:rsidRPr="009142B9">
        <w:rPr>
          <w:sz w:val="24"/>
          <w:szCs w:val="24"/>
        </w:rPr>
        <w:t>Lægemidlet skal anvendes umiddelbart efter åbning.</w:t>
      </w:r>
    </w:p>
    <w:p w14:paraId="5A41FCA3" w14:textId="77777777" w:rsidR="009142B9" w:rsidRPr="009142B9" w:rsidRDefault="009142B9" w:rsidP="009142B9">
      <w:pPr>
        <w:tabs>
          <w:tab w:val="left" w:pos="851"/>
        </w:tabs>
        <w:ind w:left="851"/>
        <w:rPr>
          <w:sz w:val="24"/>
          <w:szCs w:val="24"/>
        </w:rPr>
      </w:pPr>
    </w:p>
    <w:p w14:paraId="3085D30E" w14:textId="77777777" w:rsidR="009142B9" w:rsidRPr="009142B9" w:rsidRDefault="009142B9" w:rsidP="009142B9">
      <w:pPr>
        <w:tabs>
          <w:tab w:val="left" w:pos="851"/>
        </w:tabs>
        <w:ind w:left="851"/>
        <w:rPr>
          <w:sz w:val="24"/>
          <w:szCs w:val="24"/>
          <w:u w:val="single"/>
        </w:rPr>
      </w:pPr>
      <w:r w:rsidRPr="009142B9">
        <w:rPr>
          <w:sz w:val="24"/>
          <w:szCs w:val="24"/>
          <w:u w:val="single"/>
        </w:rPr>
        <w:t xml:space="preserve">Holdbarhed efter fortynding </w:t>
      </w:r>
    </w:p>
    <w:p w14:paraId="18FE91C3" w14:textId="77777777" w:rsidR="009142B9" w:rsidRPr="009142B9" w:rsidRDefault="009142B9" w:rsidP="009142B9">
      <w:pPr>
        <w:tabs>
          <w:tab w:val="left" w:pos="851"/>
        </w:tabs>
        <w:ind w:left="851"/>
        <w:rPr>
          <w:sz w:val="24"/>
          <w:szCs w:val="24"/>
        </w:rPr>
      </w:pPr>
      <w:r w:rsidRPr="009142B9">
        <w:rPr>
          <w:sz w:val="24"/>
          <w:szCs w:val="24"/>
        </w:rPr>
        <w:t>Der er påvist kemisk og fysisk stabilitet i 7 dage efter åbning ved 30 °C.</w:t>
      </w:r>
    </w:p>
    <w:p w14:paraId="792A98DD" w14:textId="77777777" w:rsidR="009142B9" w:rsidRPr="009142B9" w:rsidRDefault="009142B9" w:rsidP="009142B9">
      <w:pPr>
        <w:tabs>
          <w:tab w:val="left" w:pos="851"/>
        </w:tabs>
        <w:ind w:left="851"/>
        <w:rPr>
          <w:sz w:val="24"/>
          <w:szCs w:val="24"/>
        </w:rPr>
      </w:pPr>
      <w:r w:rsidRPr="009142B9">
        <w:rPr>
          <w:sz w:val="24"/>
          <w:szCs w:val="24"/>
        </w:rPr>
        <w:t>Ud fra et mikrobiologisk synspunkt skal det fortyndede lægemiddel anvendes med det samme. Hvis det ikke bliver anvendt med det samme, er opbevaringstiden og -forholdene efter åbning brugerens ansvar og bør normalt ikke overstige 24 timer ved 2 til 8 °C, medmindre fortyndingen er foregået under kontrollerede og validerede aseptiske forhold.</w:t>
      </w:r>
    </w:p>
    <w:p w14:paraId="03C05B56" w14:textId="77777777" w:rsidR="009260DE" w:rsidRPr="00C84483" w:rsidRDefault="009260DE" w:rsidP="009260DE">
      <w:pPr>
        <w:tabs>
          <w:tab w:val="left" w:pos="851"/>
        </w:tabs>
        <w:ind w:left="851"/>
        <w:rPr>
          <w:sz w:val="24"/>
          <w:szCs w:val="24"/>
        </w:rPr>
      </w:pPr>
    </w:p>
    <w:p w14:paraId="057C9F6E"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67800CB7" w14:textId="77777777" w:rsidR="009142B9" w:rsidRPr="009142B9" w:rsidRDefault="009142B9" w:rsidP="009142B9">
      <w:pPr>
        <w:tabs>
          <w:tab w:val="left" w:pos="851"/>
        </w:tabs>
        <w:ind w:left="851"/>
        <w:rPr>
          <w:sz w:val="24"/>
          <w:szCs w:val="24"/>
        </w:rPr>
      </w:pPr>
      <w:r w:rsidRPr="009142B9">
        <w:rPr>
          <w:sz w:val="24"/>
          <w:szCs w:val="24"/>
        </w:rPr>
        <w:t>Der er ingen særlige krav vedrørende opbevaringstemperaturer for dette lægemiddel.</w:t>
      </w:r>
    </w:p>
    <w:p w14:paraId="3674C935" w14:textId="77777777" w:rsidR="009142B9" w:rsidRPr="009142B9" w:rsidRDefault="009142B9" w:rsidP="009142B9">
      <w:pPr>
        <w:tabs>
          <w:tab w:val="left" w:pos="851"/>
        </w:tabs>
        <w:ind w:left="851"/>
        <w:rPr>
          <w:sz w:val="24"/>
          <w:szCs w:val="24"/>
        </w:rPr>
      </w:pPr>
      <w:r w:rsidRPr="009142B9">
        <w:rPr>
          <w:sz w:val="24"/>
          <w:szCs w:val="24"/>
        </w:rPr>
        <w:t>Opbevar ampullen i den ydre karton for at beskytte mod lys.</w:t>
      </w:r>
    </w:p>
    <w:p w14:paraId="3957D257" w14:textId="080C7C8A" w:rsidR="009142B9" w:rsidRDefault="009142B9" w:rsidP="009142B9">
      <w:pPr>
        <w:tabs>
          <w:tab w:val="left" w:pos="851"/>
        </w:tabs>
        <w:ind w:left="851"/>
        <w:rPr>
          <w:sz w:val="24"/>
          <w:szCs w:val="24"/>
        </w:rPr>
      </w:pPr>
      <w:r w:rsidRPr="009142B9">
        <w:rPr>
          <w:sz w:val="24"/>
          <w:szCs w:val="24"/>
        </w:rPr>
        <w:t>Må ikke nedfryses</w:t>
      </w:r>
      <w:r>
        <w:rPr>
          <w:sz w:val="24"/>
          <w:szCs w:val="24"/>
        </w:rPr>
        <w:t>.</w:t>
      </w:r>
    </w:p>
    <w:p w14:paraId="760FA1D8" w14:textId="77777777" w:rsidR="009142B9" w:rsidRPr="009142B9" w:rsidRDefault="009142B9" w:rsidP="009142B9">
      <w:pPr>
        <w:tabs>
          <w:tab w:val="left" w:pos="851"/>
        </w:tabs>
        <w:ind w:left="851"/>
        <w:rPr>
          <w:sz w:val="24"/>
          <w:szCs w:val="24"/>
        </w:rPr>
      </w:pPr>
    </w:p>
    <w:p w14:paraId="792D3682" w14:textId="77777777" w:rsidR="009142B9" w:rsidRPr="009142B9" w:rsidRDefault="009142B9" w:rsidP="009142B9">
      <w:pPr>
        <w:tabs>
          <w:tab w:val="left" w:pos="851"/>
        </w:tabs>
        <w:ind w:left="851"/>
        <w:rPr>
          <w:sz w:val="24"/>
          <w:szCs w:val="24"/>
        </w:rPr>
      </w:pPr>
      <w:r w:rsidRPr="009142B9">
        <w:rPr>
          <w:sz w:val="24"/>
          <w:szCs w:val="24"/>
        </w:rPr>
        <w:t>Opbevaringsforhold efter fortynding af lægemidlet, se pkt. 6.3.</w:t>
      </w:r>
    </w:p>
    <w:p w14:paraId="3838C387" w14:textId="263E6FD3" w:rsidR="009142B9" w:rsidRDefault="009142B9">
      <w:pPr>
        <w:rPr>
          <w:sz w:val="24"/>
          <w:szCs w:val="24"/>
        </w:rPr>
      </w:pPr>
      <w:r>
        <w:rPr>
          <w:sz w:val="24"/>
          <w:szCs w:val="24"/>
        </w:rPr>
        <w:br w:type="page"/>
      </w:r>
    </w:p>
    <w:p w14:paraId="4454C2A6" w14:textId="77777777" w:rsidR="009260DE" w:rsidRPr="00C84483" w:rsidRDefault="009260DE" w:rsidP="009260DE">
      <w:pPr>
        <w:tabs>
          <w:tab w:val="left" w:pos="851"/>
        </w:tabs>
        <w:ind w:left="851"/>
        <w:rPr>
          <w:sz w:val="24"/>
          <w:szCs w:val="24"/>
        </w:rPr>
      </w:pPr>
    </w:p>
    <w:p w14:paraId="74B1E729"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2B566017" w14:textId="77777777" w:rsidR="009142B9" w:rsidRPr="009142B9" w:rsidRDefault="009142B9" w:rsidP="009142B9">
      <w:pPr>
        <w:tabs>
          <w:tab w:val="left" w:pos="851"/>
        </w:tabs>
        <w:ind w:left="851"/>
        <w:rPr>
          <w:sz w:val="24"/>
          <w:szCs w:val="24"/>
        </w:rPr>
      </w:pPr>
      <w:r w:rsidRPr="009142B9">
        <w:rPr>
          <w:sz w:val="24"/>
          <w:szCs w:val="24"/>
        </w:rPr>
        <w:t>Farveløs ampul af type I-glas med en prik, der viser, hvor ampullen skal knækkes over.</w:t>
      </w:r>
    </w:p>
    <w:p w14:paraId="6096C1FB" w14:textId="77777777" w:rsidR="009142B9" w:rsidRDefault="009142B9" w:rsidP="009142B9">
      <w:pPr>
        <w:tabs>
          <w:tab w:val="left" w:pos="851"/>
        </w:tabs>
        <w:ind w:left="851"/>
        <w:rPr>
          <w:sz w:val="24"/>
          <w:szCs w:val="24"/>
        </w:rPr>
      </w:pPr>
    </w:p>
    <w:p w14:paraId="3ECF716C" w14:textId="77777777" w:rsidR="009142B9" w:rsidRPr="009142B9" w:rsidRDefault="009142B9" w:rsidP="009142B9">
      <w:pPr>
        <w:tabs>
          <w:tab w:val="left" w:pos="851"/>
        </w:tabs>
        <w:ind w:left="851"/>
        <w:rPr>
          <w:sz w:val="24"/>
          <w:szCs w:val="24"/>
          <w:u w:val="single"/>
        </w:rPr>
      </w:pPr>
      <w:r w:rsidRPr="009142B9">
        <w:rPr>
          <w:sz w:val="24"/>
          <w:szCs w:val="24"/>
          <w:u w:val="single"/>
        </w:rPr>
        <w:t>Pakningsstørrelser</w:t>
      </w:r>
    </w:p>
    <w:p w14:paraId="6CBCBA8B" w14:textId="77777777" w:rsidR="009142B9" w:rsidRPr="009142B9" w:rsidRDefault="009142B9" w:rsidP="009142B9">
      <w:pPr>
        <w:tabs>
          <w:tab w:val="left" w:pos="851"/>
        </w:tabs>
        <w:ind w:left="851"/>
        <w:rPr>
          <w:sz w:val="24"/>
          <w:szCs w:val="24"/>
        </w:rPr>
      </w:pPr>
      <w:r w:rsidRPr="009142B9">
        <w:rPr>
          <w:sz w:val="24"/>
          <w:szCs w:val="24"/>
        </w:rPr>
        <w:t>10 ampuller med 2 ml</w:t>
      </w:r>
      <w:r>
        <w:rPr>
          <w:sz w:val="24"/>
          <w:szCs w:val="24"/>
        </w:rPr>
        <w:t xml:space="preserve"> </w:t>
      </w:r>
      <w:r w:rsidRPr="009142B9">
        <w:rPr>
          <w:sz w:val="24"/>
          <w:szCs w:val="24"/>
        </w:rPr>
        <w:t>injektions-/infusionsvæske, opløsning.</w:t>
      </w:r>
    </w:p>
    <w:p w14:paraId="2BB12D52" w14:textId="0882201C" w:rsidR="009142B9" w:rsidRPr="009142B9" w:rsidRDefault="009142B9" w:rsidP="009142B9">
      <w:pPr>
        <w:tabs>
          <w:tab w:val="left" w:pos="851"/>
        </w:tabs>
        <w:ind w:left="851"/>
        <w:rPr>
          <w:sz w:val="24"/>
          <w:szCs w:val="24"/>
        </w:rPr>
      </w:pPr>
      <w:r>
        <w:rPr>
          <w:sz w:val="24"/>
          <w:szCs w:val="24"/>
        </w:rPr>
        <w:t xml:space="preserve">10 ampuller med </w:t>
      </w:r>
      <w:r w:rsidRPr="009142B9">
        <w:rPr>
          <w:sz w:val="24"/>
          <w:szCs w:val="24"/>
        </w:rPr>
        <w:t>4 ml injektions-/infusionsvæske, opløsning.</w:t>
      </w:r>
    </w:p>
    <w:p w14:paraId="4EF19DC5" w14:textId="77777777" w:rsidR="009142B9" w:rsidRDefault="009142B9" w:rsidP="009142B9">
      <w:pPr>
        <w:tabs>
          <w:tab w:val="left" w:pos="851"/>
        </w:tabs>
        <w:ind w:left="851"/>
        <w:rPr>
          <w:sz w:val="24"/>
          <w:szCs w:val="24"/>
        </w:rPr>
      </w:pPr>
    </w:p>
    <w:p w14:paraId="472469E5" w14:textId="1755BAF2" w:rsidR="009142B9" w:rsidRPr="009142B9" w:rsidRDefault="009142B9" w:rsidP="009142B9">
      <w:pPr>
        <w:tabs>
          <w:tab w:val="left" w:pos="851"/>
        </w:tabs>
        <w:ind w:left="851"/>
        <w:rPr>
          <w:sz w:val="24"/>
          <w:szCs w:val="24"/>
        </w:rPr>
      </w:pPr>
      <w:r w:rsidRPr="009142B9">
        <w:rPr>
          <w:sz w:val="24"/>
          <w:szCs w:val="24"/>
        </w:rPr>
        <w:t>Ikke alle pakningsstørrelser er nødvendigvis markedsført.</w:t>
      </w:r>
    </w:p>
    <w:p w14:paraId="14F68C49" w14:textId="77777777" w:rsidR="009260DE" w:rsidRPr="00C84483" w:rsidRDefault="009260DE" w:rsidP="009260DE">
      <w:pPr>
        <w:tabs>
          <w:tab w:val="left" w:pos="851"/>
        </w:tabs>
        <w:ind w:left="851"/>
        <w:rPr>
          <w:sz w:val="24"/>
          <w:szCs w:val="24"/>
        </w:rPr>
      </w:pPr>
    </w:p>
    <w:p w14:paraId="51708A1C"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6E83ED41" w14:textId="77777777" w:rsidR="009142B9" w:rsidRPr="009142B9" w:rsidRDefault="009142B9" w:rsidP="009142B9">
      <w:pPr>
        <w:ind w:left="1134" w:hanging="283"/>
        <w:rPr>
          <w:iCs/>
          <w:sz w:val="24"/>
          <w:szCs w:val="24"/>
        </w:rPr>
      </w:pPr>
      <w:r w:rsidRPr="009142B9">
        <w:rPr>
          <w:sz w:val="24"/>
          <w:szCs w:val="24"/>
        </w:rPr>
        <w:t xml:space="preserve">Kun til engangsbrug. </w:t>
      </w:r>
    </w:p>
    <w:p w14:paraId="5631D730" w14:textId="77777777" w:rsidR="009142B9" w:rsidRPr="009142B9" w:rsidRDefault="009142B9" w:rsidP="009142B9">
      <w:pPr>
        <w:ind w:left="851"/>
        <w:rPr>
          <w:iCs/>
          <w:sz w:val="24"/>
          <w:szCs w:val="24"/>
        </w:rPr>
      </w:pPr>
      <w:r w:rsidRPr="009142B9">
        <w:rPr>
          <w:sz w:val="24"/>
          <w:szCs w:val="24"/>
        </w:rPr>
        <w:t>Opløsningen skal inspiceres visuelt inden brug (også efter fortynding). Anvend kun opløsningen, hvis den er klar og farveløs og uden synlige partikler.</w:t>
      </w:r>
    </w:p>
    <w:p w14:paraId="511940F3" w14:textId="77777777" w:rsidR="009142B9" w:rsidRPr="009142B9" w:rsidRDefault="009142B9" w:rsidP="009142B9">
      <w:pPr>
        <w:ind w:left="1134" w:hanging="283"/>
        <w:rPr>
          <w:iCs/>
          <w:sz w:val="24"/>
          <w:szCs w:val="24"/>
        </w:rPr>
      </w:pPr>
    </w:p>
    <w:p w14:paraId="50DD956D" w14:textId="5E3F454A" w:rsidR="009142B9" w:rsidRPr="009142B9" w:rsidRDefault="009142B9" w:rsidP="009142B9">
      <w:pPr>
        <w:ind w:left="1134" w:hanging="283"/>
        <w:rPr>
          <w:iCs/>
          <w:sz w:val="24"/>
          <w:szCs w:val="24"/>
          <w:u w:val="single"/>
        </w:rPr>
      </w:pPr>
      <w:r w:rsidRPr="009142B9">
        <w:rPr>
          <w:iCs/>
          <w:sz w:val="24"/>
          <w:szCs w:val="24"/>
          <w:u w:val="single"/>
        </w:rPr>
        <w:t>Kan fortyndes med følgende intravenøse infusionsvæsker</w:t>
      </w:r>
    </w:p>
    <w:p w14:paraId="5FBA46B2" w14:textId="77777777" w:rsidR="009142B9" w:rsidRPr="009142B9" w:rsidRDefault="009142B9" w:rsidP="009142B9">
      <w:pPr>
        <w:numPr>
          <w:ilvl w:val="0"/>
          <w:numId w:val="9"/>
        </w:numPr>
        <w:ind w:left="1134" w:hanging="283"/>
        <w:rPr>
          <w:iCs/>
          <w:sz w:val="24"/>
          <w:szCs w:val="24"/>
        </w:rPr>
      </w:pPr>
      <w:r w:rsidRPr="009142B9">
        <w:rPr>
          <w:sz w:val="24"/>
          <w:szCs w:val="24"/>
        </w:rPr>
        <w:t>Natriumchlorid 9 mg/ml (0,9 %) opløsning</w:t>
      </w:r>
    </w:p>
    <w:p w14:paraId="0836FB2D" w14:textId="77777777" w:rsidR="009142B9" w:rsidRPr="009142B9" w:rsidRDefault="009142B9" w:rsidP="009142B9">
      <w:pPr>
        <w:numPr>
          <w:ilvl w:val="0"/>
          <w:numId w:val="9"/>
        </w:numPr>
        <w:ind w:left="1134" w:hanging="283"/>
        <w:rPr>
          <w:iCs/>
          <w:sz w:val="24"/>
          <w:szCs w:val="24"/>
        </w:rPr>
      </w:pPr>
      <w:r w:rsidRPr="009142B9">
        <w:rPr>
          <w:sz w:val="24"/>
          <w:szCs w:val="24"/>
        </w:rPr>
        <w:t>Glucose 5 % opløsning</w:t>
      </w:r>
    </w:p>
    <w:p w14:paraId="404E9F07" w14:textId="77777777" w:rsidR="009142B9" w:rsidRPr="009142B9" w:rsidRDefault="009142B9" w:rsidP="009142B9">
      <w:pPr>
        <w:numPr>
          <w:ilvl w:val="0"/>
          <w:numId w:val="9"/>
        </w:numPr>
        <w:ind w:left="1134" w:hanging="283"/>
        <w:rPr>
          <w:iCs/>
          <w:sz w:val="24"/>
          <w:szCs w:val="24"/>
        </w:rPr>
      </w:pPr>
      <w:r w:rsidRPr="009142B9">
        <w:rPr>
          <w:sz w:val="24"/>
          <w:szCs w:val="24"/>
        </w:rPr>
        <w:t>Mannitol 10 % opløsning</w:t>
      </w:r>
    </w:p>
    <w:p w14:paraId="2337936E" w14:textId="77777777" w:rsidR="009142B9" w:rsidRPr="009142B9" w:rsidRDefault="009142B9" w:rsidP="009142B9">
      <w:pPr>
        <w:numPr>
          <w:ilvl w:val="0"/>
          <w:numId w:val="9"/>
        </w:numPr>
        <w:ind w:left="1134" w:hanging="283"/>
        <w:rPr>
          <w:iCs/>
          <w:sz w:val="24"/>
          <w:szCs w:val="24"/>
        </w:rPr>
      </w:pPr>
      <w:r w:rsidRPr="009142B9">
        <w:rPr>
          <w:sz w:val="24"/>
          <w:szCs w:val="24"/>
        </w:rPr>
        <w:t>Ringers opløsning</w:t>
      </w:r>
    </w:p>
    <w:p w14:paraId="261FAC2B" w14:textId="77777777" w:rsidR="009142B9" w:rsidRPr="009142B9" w:rsidRDefault="009142B9" w:rsidP="009142B9">
      <w:pPr>
        <w:numPr>
          <w:ilvl w:val="0"/>
          <w:numId w:val="9"/>
        </w:numPr>
        <w:ind w:left="1134" w:hanging="283"/>
        <w:rPr>
          <w:iCs/>
          <w:sz w:val="24"/>
          <w:szCs w:val="24"/>
        </w:rPr>
      </w:pPr>
      <w:r w:rsidRPr="009142B9">
        <w:rPr>
          <w:sz w:val="24"/>
          <w:szCs w:val="24"/>
        </w:rPr>
        <w:t>0,3 % kaliumchlorid i 0,9 % saltvandsopløsning</w:t>
      </w:r>
    </w:p>
    <w:p w14:paraId="281CB2DB" w14:textId="77777777" w:rsidR="009142B9" w:rsidRPr="009142B9" w:rsidRDefault="009142B9" w:rsidP="009142B9">
      <w:pPr>
        <w:numPr>
          <w:ilvl w:val="0"/>
          <w:numId w:val="9"/>
        </w:numPr>
        <w:ind w:left="1134" w:hanging="283"/>
        <w:rPr>
          <w:iCs/>
          <w:sz w:val="24"/>
          <w:szCs w:val="24"/>
        </w:rPr>
      </w:pPr>
      <w:r w:rsidRPr="009142B9">
        <w:rPr>
          <w:sz w:val="24"/>
          <w:szCs w:val="24"/>
        </w:rPr>
        <w:t>0,3 % kaliumchlorid i 5 % glucoseopløsning</w:t>
      </w:r>
    </w:p>
    <w:p w14:paraId="70064F1A" w14:textId="77777777" w:rsidR="009142B9" w:rsidRPr="009142B9" w:rsidRDefault="009142B9" w:rsidP="009142B9">
      <w:pPr>
        <w:numPr>
          <w:ilvl w:val="0"/>
          <w:numId w:val="9"/>
        </w:numPr>
        <w:ind w:left="1134" w:hanging="283"/>
        <w:rPr>
          <w:iCs/>
          <w:sz w:val="24"/>
          <w:szCs w:val="24"/>
        </w:rPr>
      </w:pPr>
      <w:r w:rsidRPr="009142B9">
        <w:rPr>
          <w:sz w:val="24"/>
          <w:szCs w:val="24"/>
        </w:rPr>
        <w:t>Ringers laktat opløsning</w:t>
      </w:r>
    </w:p>
    <w:p w14:paraId="3D158697" w14:textId="77777777" w:rsidR="009142B9" w:rsidRPr="009142B9" w:rsidRDefault="009142B9" w:rsidP="009142B9">
      <w:pPr>
        <w:ind w:left="1134" w:hanging="283"/>
        <w:rPr>
          <w:iCs/>
          <w:sz w:val="24"/>
          <w:szCs w:val="24"/>
        </w:rPr>
      </w:pPr>
    </w:p>
    <w:p w14:paraId="7DD9294A" w14:textId="77777777" w:rsidR="009142B9" w:rsidRPr="009142B9" w:rsidRDefault="009142B9" w:rsidP="009142B9">
      <w:pPr>
        <w:ind w:left="851"/>
        <w:rPr>
          <w:iCs/>
          <w:sz w:val="24"/>
          <w:szCs w:val="24"/>
        </w:rPr>
      </w:pPr>
      <w:r w:rsidRPr="009142B9">
        <w:rPr>
          <w:sz w:val="24"/>
          <w:szCs w:val="24"/>
        </w:rPr>
        <w:t>Ondansetron bør kun administreres sammen med disse anbefalede infusionsvæsker. Der kan anvendes en fortynding i området 0,016 til 0,16 mg/ml.</w:t>
      </w:r>
    </w:p>
    <w:p w14:paraId="0F12054E" w14:textId="77777777" w:rsidR="009142B9" w:rsidRPr="009142B9" w:rsidRDefault="009142B9" w:rsidP="009142B9">
      <w:pPr>
        <w:ind w:left="851"/>
        <w:rPr>
          <w:iCs/>
          <w:sz w:val="24"/>
          <w:szCs w:val="24"/>
        </w:rPr>
      </w:pPr>
    </w:p>
    <w:p w14:paraId="416239E8" w14:textId="77777777" w:rsidR="009142B9" w:rsidRPr="009142B9" w:rsidRDefault="009142B9" w:rsidP="009142B9">
      <w:pPr>
        <w:ind w:left="851"/>
        <w:rPr>
          <w:iCs/>
          <w:sz w:val="24"/>
          <w:szCs w:val="24"/>
        </w:rPr>
      </w:pPr>
      <w:r w:rsidRPr="009142B9">
        <w:rPr>
          <w:sz w:val="24"/>
          <w:szCs w:val="24"/>
        </w:rPr>
        <w:t>Ondansetron er påvist at være forligeligt med sprøjter af polypropylen (PP), flasker af type I-glas og infusionsposer af polyvinylchlorid (PVC) og polyolefin (PO). Ufortyndede injektionsvæsker med ondansetron er påvist at være forligelige med PP-sprøjter.</w:t>
      </w:r>
    </w:p>
    <w:p w14:paraId="70545870" w14:textId="77777777" w:rsidR="009142B9" w:rsidRPr="009142B9" w:rsidRDefault="009142B9" w:rsidP="009142B9">
      <w:pPr>
        <w:ind w:left="851"/>
        <w:rPr>
          <w:iCs/>
          <w:sz w:val="24"/>
          <w:szCs w:val="24"/>
        </w:rPr>
      </w:pPr>
    </w:p>
    <w:p w14:paraId="6ED1B4C0" w14:textId="77777777" w:rsidR="009142B9" w:rsidRPr="009142B9" w:rsidRDefault="009142B9" w:rsidP="009142B9">
      <w:pPr>
        <w:ind w:left="851"/>
        <w:rPr>
          <w:iCs/>
          <w:sz w:val="24"/>
          <w:szCs w:val="24"/>
        </w:rPr>
      </w:pPr>
      <w:r w:rsidRPr="009142B9">
        <w:rPr>
          <w:sz w:val="24"/>
          <w:szCs w:val="24"/>
        </w:rPr>
        <w:t>Dette lægemiddel indeholder ingen konserveringsmidler og skal derfor anvendes umiddelbart efter åbning af ampullen. Opløsningen  klargøres under aseptiske forhold umiddelbart før brug. Dette lægemiddel må ikke autoklaveres.</w:t>
      </w:r>
    </w:p>
    <w:p w14:paraId="7E101186" w14:textId="77777777" w:rsidR="009142B9" w:rsidRPr="009142B9" w:rsidRDefault="009142B9" w:rsidP="009142B9">
      <w:pPr>
        <w:ind w:left="851"/>
        <w:rPr>
          <w:iCs/>
          <w:sz w:val="24"/>
          <w:szCs w:val="24"/>
        </w:rPr>
      </w:pPr>
    </w:p>
    <w:p w14:paraId="497D318C" w14:textId="77777777" w:rsidR="009142B9" w:rsidRPr="009142B9" w:rsidRDefault="009142B9" w:rsidP="009142B9">
      <w:pPr>
        <w:ind w:left="851"/>
        <w:rPr>
          <w:iCs/>
          <w:sz w:val="24"/>
          <w:szCs w:val="24"/>
        </w:rPr>
      </w:pPr>
      <w:r w:rsidRPr="009142B9">
        <w:rPr>
          <w:sz w:val="24"/>
          <w:szCs w:val="24"/>
        </w:rPr>
        <w:t>Resterende indhold skal bortskaffes efter brug. Ikke anvendt lægemiddel samt affald heraf skal bortskaffes i henhold til lokale retningslinjer.</w:t>
      </w:r>
    </w:p>
    <w:p w14:paraId="62E2A90A" w14:textId="77777777" w:rsidR="009142B9" w:rsidRPr="009142B9" w:rsidRDefault="009142B9" w:rsidP="009142B9">
      <w:pPr>
        <w:ind w:left="851"/>
        <w:rPr>
          <w:iCs/>
          <w:sz w:val="24"/>
          <w:szCs w:val="24"/>
        </w:rPr>
      </w:pPr>
    </w:p>
    <w:p w14:paraId="2C7BD507" w14:textId="77777777" w:rsidR="009142B9" w:rsidRPr="009142B9" w:rsidRDefault="009142B9" w:rsidP="009142B9">
      <w:pPr>
        <w:keepNext/>
        <w:ind w:left="1134" w:hanging="283"/>
        <w:rPr>
          <w:iCs/>
          <w:sz w:val="24"/>
          <w:szCs w:val="24"/>
          <w:u w:val="single"/>
        </w:rPr>
      </w:pPr>
      <w:r w:rsidRPr="009142B9">
        <w:rPr>
          <w:iCs/>
          <w:sz w:val="24"/>
          <w:szCs w:val="24"/>
          <w:u w:val="single"/>
        </w:rPr>
        <w:t>Forligelighed med andre lægemidler</w:t>
      </w:r>
    </w:p>
    <w:p w14:paraId="25A832B4" w14:textId="77777777" w:rsidR="009142B9" w:rsidRPr="009142B9" w:rsidRDefault="009142B9" w:rsidP="009142B9">
      <w:pPr>
        <w:keepNext/>
        <w:ind w:left="851"/>
        <w:rPr>
          <w:iCs/>
          <w:sz w:val="24"/>
          <w:szCs w:val="24"/>
        </w:rPr>
      </w:pPr>
      <w:r w:rsidRPr="009142B9">
        <w:rPr>
          <w:sz w:val="24"/>
          <w:szCs w:val="24"/>
        </w:rPr>
        <w:t>Ondansetron kan administreres via intravenøs infusion (1 mg/t). Selvom ondansetron ikke må blandes på forhånd med andre lægemidler med henblik på samtidig infusion, kan følgende lægemidler tilføjes til infusionen via ondansetron-administrationssættets Y-stykke ved ondansetronkoncentrationer på 16 til 160 µg/ml (f.eks. 8 mg/500 ml eller 8 mg/50 ml).</w:t>
      </w:r>
    </w:p>
    <w:p w14:paraId="40ADEFF8" w14:textId="77777777" w:rsidR="009142B9" w:rsidRPr="009142B9" w:rsidRDefault="009142B9" w:rsidP="009142B9">
      <w:pPr>
        <w:ind w:left="1134" w:hanging="283"/>
        <w:rPr>
          <w:sz w:val="24"/>
          <w:szCs w:val="24"/>
        </w:rPr>
      </w:pPr>
    </w:p>
    <w:p w14:paraId="6BDBC8FE" w14:textId="77777777" w:rsidR="009142B9" w:rsidRPr="009142B9" w:rsidRDefault="009142B9" w:rsidP="009142B9">
      <w:pPr>
        <w:numPr>
          <w:ilvl w:val="0"/>
          <w:numId w:val="10"/>
        </w:numPr>
        <w:ind w:left="1134" w:hanging="283"/>
        <w:rPr>
          <w:sz w:val="24"/>
          <w:szCs w:val="24"/>
        </w:rPr>
      </w:pPr>
      <w:r w:rsidRPr="009142B9">
        <w:rPr>
          <w:b/>
          <w:bCs/>
          <w:sz w:val="24"/>
          <w:szCs w:val="24"/>
        </w:rPr>
        <w:t xml:space="preserve">Cisplatin: </w:t>
      </w:r>
      <w:r w:rsidRPr="009142B9">
        <w:rPr>
          <w:sz w:val="24"/>
          <w:szCs w:val="24"/>
        </w:rPr>
        <w:t>Koncentrationer på højst 0,48 mg/ml (f.eks. 240 mg i 500 ml) kan administreres over 1 til 8 timer.</w:t>
      </w:r>
    </w:p>
    <w:p w14:paraId="69BAB88C" w14:textId="77777777" w:rsidR="009142B9" w:rsidRPr="009142B9" w:rsidRDefault="009142B9" w:rsidP="009142B9">
      <w:pPr>
        <w:numPr>
          <w:ilvl w:val="0"/>
          <w:numId w:val="8"/>
        </w:numPr>
        <w:ind w:left="1134" w:hanging="283"/>
        <w:rPr>
          <w:sz w:val="24"/>
          <w:szCs w:val="24"/>
        </w:rPr>
      </w:pPr>
      <w:r w:rsidRPr="009142B9">
        <w:rPr>
          <w:b/>
          <w:bCs/>
          <w:sz w:val="24"/>
          <w:szCs w:val="24"/>
        </w:rPr>
        <w:t xml:space="preserve">5-Fluorouracil: </w:t>
      </w:r>
      <w:r w:rsidRPr="009142B9">
        <w:rPr>
          <w:sz w:val="24"/>
          <w:szCs w:val="24"/>
        </w:rPr>
        <w:t>Koncentrationer på højst 0,8 mg/ml (f.eks. 2,4 g i 3 l eller 400 mg i 500 ml) administreres ved en hastighed på mindst 20 ml/t (500 ml/24 t). Højere koncentrationer af 5-fluorouracil kan forårsage udfældning af ondansetron. Infusioner med 5-fluorouracil kan indeholde op til 0,045 % magnesiumchlorid ud over de andre hjælpestoffer, der er påvist at være forligelige.</w:t>
      </w:r>
    </w:p>
    <w:p w14:paraId="3B46D1DD" w14:textId="77777777" w:rsidR="009142B9" w:rsidRPr="009142B9" w:rsidRDefault="009142B9" w:rsidP="009142B9">
      <w:pPr>
        <w:numPr>
          <w:ilvl w:val="0"/>
          <w:numId w:val="8"/>
        </w:numPr>
        <w:ind w:left="1134" w:hanging="283"/>
        <w:rPr>
          <w:sz w:val="24"/>
          <w:szCs w:val="24"/>
        </w:rPr>
      </w:pPr>
      <w:r w:rsidRPr="009142B9">
        <w:rPr>
          <w:b/>
          <w:bCs/>
          <w:sz w:val="24"/>
          <w:szCs w:val="24"/>
        </w:rPr>
        <w:lastRenderedPageBreak/>
        <w:t>Carboplatin:</w:t>
      </w:r>
      <w:r w:rsidRPr="009142B9">
        <w:rPr>
          <w:sz w:val="24"/>
          <w:szCs w:val="24"/>
        </w:rPr>
        <w:t xml:space="preserve"> Koncentrationer mellem 0,18 mg/ml og 9,9 mg/ml (f.eks. 90 mg i 500 ml til 990 mg i 100 ml), administreret over 10 minutter til en time.</w:t>
      </w:r>
    </w:p>
    <w:p w14:paraId="26EDE08E" w14:textId="77777777" w:rsidR="009142B9" w:rsidRPr="009142B9" w:rsidRDefault="009142B9" w:rsidP="009142B9">
      <w:pPr>
        <w:numPr>
          <w:ilvl w:val="0"/>
          <w:numId w:val="8"/>
        </w:numPr>
        <w:ind w:left="1134" w:hanging="283"/>
        <w:rPr>
          <w:sz w:val="24"/>
          <w:szCs w:val="24"/>
        </w:rPr>
      </w:pPr>
      <w:r w:rsidRPr="009142B9">
        <w:rPr>
          <w:b/>
          <w:bCs/>
          <w:sz w:val="24"/>
          <w:szCs w:val="24"/>
        </w:rPr>
        <w:t>Etoposid:</w:t>
      </w:r>
      <w:r w:rsidRPr="009142B9">
        <w:rPr>
          <w:sz w:val="24"/>
          <w:szCs w:val="24"/>
        </w:rPr>
        <w:t xml:space="preserve"> Koncentrationer mellem 0,144 mg/ml og 0,25 mg/ml (f.eks. 72 mg i 500 ml til 250 mg i 1.000 ml), administreret over 30 minutter til 1 time.</w:t>
      </w:r>
    </w:p>
    <w:p w14:paraId="0ECC7630" w14:textId="77777777" w:rsidR="009142B9" w:rsidRPr="009142B9" w:rsidRDefault="009142B9" w:rsidP="009142B9">
      <w:pPr>
        <w:numPr>
          <w:ilvl w:val="0"/>
          <w:numId w:val="8"/>
        </w:numPr>
        <w:ind w:left="1134" w:hanging="283"/>
        <w:rPr>
          <w:sz w:val="24"/>
          <w:szCs w:val="24"/>
        </w:rPr>
      </w:pPr>
      <w:r w:rsidRPr="009142B9">
        <w:rPr>
          <w:b/>
          <w:bCs/>
          <w:sz w:val="24"/>
          <w:szCs w:val="24"/>
        </w:rPr>
        <w:t xml:space="preserve">Ceftazidim: </w:t>
      </w:r>
      <w:r w:rsidRPr="009142B9">
        <w:rPr>
          <w:sz w:val="24"/>
          <w:szCs w:val="24"/>
        </w:rPr>
        <w:t>Doser på 250 mg til 2.000 mg rekonstitueret med vand til injektionsvæsker som anbefalet af fremstilleren (f.eks. 2,5 ml for 250 mg and 10 ml for 2 g ceftazidim) og indgivet via intravenøs bolusinjektion over cirka 5 minutter.</w:t>
      </w:r>
    </w:p>
    <w:p w14:paraId="54DED7AB" w14:textId="77777777" w:rsidR="009142B9" w:rsidRPr="009142B9" w:rsidRDefault="009142B9" w:rsidP="009142B9">
      <w:pPr>
        <w:numPr>
          <w:ilvl w:val="0"/>
          <w:numId w:val="8"/>
        </w:numPr>
        <w:ind w:left="1134" w:hanging="283"/>
        <w:rPr>
          <w:sz w:val="24"/>
          <w:szCs w:val="24"/>
        </w:rPr>
      </w:pPr>
      <w:r w:rsidRPr="009142B9">
        <w:rPr>
          <w:b/>
          <w:bCs/>
          <w:sz w:val="24"/>
          <w:szCs w:val="24"/>
        </w:rPr>
        <w:t>Cyclophosphamid:</w:t>
      </w:r>
      <w:r w:rsidRPr="009142B9">
        <w:rPr>
          <w:sz w:val="24"/>
          <w:szCs w:val="24"/>
        </w:rPr>
        <w:t xml:space="preserve"> Doser mellem 100 mg og 1 g rekonstitueret med vand til injektionsvæsker (5 ml per 100 mg cyclophosphamid) som anbefalet af fremstilleren og indgivet via intravenøs bolusinjektion over cirka 5 minutter.</w:t>
      </w:r>
    </w:p>
    <w:p w14:paraId="040498DC" w14:textId="77777777" w:rsidR="009142B9" w:rsidRPr="009142B9" w:rsidRDefault="009142B9" w:rsidP="009142B9">
      <w:pPr>
        <w:numPr>
          <w:ilvl w:val="0"/>
          <w:numId w:val="8"/>
        </w:numPr>
        <w:ind w:left="1134" w:hanging="283"/>
        <w:rPr>
          <w:sz w:val="24"/>
          <w:szCs w:val="24"/>
        </w:rPr>
      </w:pPr>
      <w:r w:rsidRPr="009142B9">
        <w:rPr>
          <w:b/>
          <w:bCs/>
          <w:sz w:val="24"/>
          <w:szCs w:val="24"/>
        </w:rPr>
        <w:t xml:space="preserve">Doxorubicin: </w:t>
      </w:r>
      <w:r w:rsidRPr="009142B9">
        <w:rPr>
          <w:sz w:val="24"/>
          <w:szCs w:val="24"/>
        </w:rPr>
        <w:t>Doser i intervallet 10-100 mg rekonstitueret med vand til injektionsvæsker (5 ml pr. 10 mg doxorubicin) som anbefalet af fremstilleren og indgivet via intravenøs bolusinjektion over cirka 5 minutter.</w:t>
      </w:r>
    </w:p>
    <w:p w14:paraId="3F68EC50" w14:textId="77777777" w:rsidR="009142B9" w:rsidRPr="009142B9" w:rsidRDefault="009142B9" w:rsidP="009142B9">
      <w:pPr>
        <w:numPr>
          <w:ilvl w:val="0"/>
          <w:numId w:val="9"/>
        </w:numPr>
        <w:ind w:left="1134" w:hanging="283"/>
        <w:rPr>
          <w:iCs/>
          <w:sz w:val="24"/>
          <w:szCs w:val="24"/>
        </w:rPr>
      </w:pPr>
      <w:r w:rsidRPr="009142B9">
        <w:rPr>
          <w:b/>
          <w:bCs/>
          <w:sz w:val="24"/>
          <w:szCs w:val="24"/>
        </w:rPr>
        <w:t xml:space="preserve">Dexamethasonnatriumphosphat: </w:t>
      </w:r>
      <w:r w:rsidRPr="009142B9">
        <w:rPr>
          <w:sz w:val="24"/>
          <w:szCs w:val="24"/>
        </w:rPr>
        <w:t>20 mg dexamethasonatriumphosphat kan injiceres over 2-5 minutter via Y-stykket på infusionssæt, der indgiver 8 eller 16 mg ondansetron fortyndet i 50-100 ml forligelig infusionsvæske over cirka 15 minutter. Der er påvist forligelighed mellem dexamethasonnatriumphosphat og ondansetron ved administration af disse lægemidler via samme infusionssæt ved koncentrationer på 32 µg/ml til 2,5 mg/ml dexamethasonnatriumphosphat og 8 µg/ml til 1 mg/ml ondansetron.</w:t>
      </w:r>
    </w:p>
    <w:p w14:paraId="373EA256" w14:textId="77777777" w:rsidR="009142B9" w:rsidRPr="009142B9" w:rsidRDefault="009142B9" w:rsidP="009142B9">
      <w:pPr>
        <w:ind w:left="1134" w:hanging="283"/>
        <w:rPr>
          <w:sz w:val="24"/>
          <w:szCs w:val="24"/>
        </w:rPr>
      </w:pPr>
    </w:p>
    <w:p w14:paraId="78E69EF2" w14:textId="77777777" w:rsidR="009142B9" w:rsidRPr="009142B9" w:rsidRDefault="009142B9" w:rsidP="009142B9">
      <w:pPr>
        <w:widowControl w:val="0"/>
        <w:numPr>
          <w:ilvl w:val="12"/>
          <w:numId w:val="0"/>
        </w:numPr>
        <w:ind w:left="1134" w:hanging="283"/>
        <w:rPr>
          <w:sz w:val="24"/>
          <w:szCs w:val="24"/>
          <w:u w:val="single"/>
        </w:rPr>
      </w:pPr>
      <w:r w:rsidRPr="009142B9">
        <w:rPr>
          <w:sz w:val="24"/>
          <w:szCs w:val="24"/>
          <w:u w:val="single"/>
        </w:rPr>
        <w:t>Sådan åbner du ampullerne med prik (One-Point-Cut)</w:t>
      </w:r>
    </w:p>
    <w:p w14:paraId="426CA4B9" w14:textId="77777777" w:rsidR="009142B9" w:rsidRPr="009142B9" w:rsidRDefault="009142B9" w:rsidP="009142B9">
      <w:pPr>
        <w:widowControl w:val="0"/>
        <w:numPr>
          <w:ilvl w:val="12"/>
          <w:numId w:val="0"/>
        </w:numPr>
        <w:ind w:left="851"/>
        <w:rPr>
          <w:sz w:val="24"/>
          <w:szCs w:val="24"/>
        </w:rPr>
      </w:pPr>
      <w:r w:rsidRPr="009142B9">
        <w:rPr>
          <w:sz w:val="24"/>
          <w:szCs w:val="24"/>
        </w:rPr>
        <w:t>Ampullen er allerede forsynet med et brudpunkt. Den farvede prik viser hvor. Tag fat om ampullen, så den farvede prik vender mod dig selv.</w:t>
      </w:r>
    </w:p>
    <w:p w14:paraId="5CF81BF5" w14:textId="77777777" w:rsidR="009142B9" w:rsidRPr="009142B9" w:rsidRDefault="009142B9" w:rsidP="009142B9">
      <w:pPr>
        <w:widowControl w:val="0"/>
        <w:numPr>
          <w:ilvl w:val="12"/>
          <w:numId w:val="0"/>
        </w:numPr>
        <w:ind w:left="851"/>
        <w:rPr>
          <w:sz w:val="24"/>
          <w:szCs w:val="24"/>
        </w:rPr>
      </w:pPr>
      <w:r w:rsidRPr="009142B9">
        <w:rPr>
          <w:sz w:val="24"/>
          <w:szCs w:val="24"/>
        </w:rPr>
        <w:t>Du åbner nemt ampullen ved at anbringe tommelfingeren på den farvede prik og bøje den fra toppen mod bunden, som vist på tegningen.</w:t>
      </w:r>
    </w:p>
    <w:p w14:paraId="35555C2C" w14:textId="77777777" w:rsidR="009142B9" w:rsidRPr="009142B9" w:rsidRDefault="009142B9" w:rsidP="009142B9">
      <w:pPr>
        <w:numPr>
          <w:ilvl w:val="12"/>
          <w:numId w:val="0"/>
        </w:numPr>
        <w:rPr>
          <w:noProof/>
          <w:sz w:val="22"/>
        </w:rPr>
      </w:pPr>
    </w:p>
    <w:tbl>
      <w:tblPr>
        <w:tblStyle w:val="Tabel-Gitter"/>
        <w:tblW w:w="6922" w:type="dxa"/>
        <w:tblInd w:w="1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2"/>
      </w:tblGrid>
      <w:tr w:rsidR="009142B9" w:rsidRPr="009142B9" w14:paraId="5C4D00D3" w14:textId="77777777" w:rsidTr="009142B9">
        <w:tc>
          <w:tcPr>
            <w:tcW w:w="6922" w:type="dxa"/>
            <w:vAlign w:val="center"/>
            <w:hideMark/>
          </w:tcPr>
          <w:p w14:paraId="26BDD97B" w14:textId="77777777" w:rsidR="009142B9" w:rsidRPr="009142B9" w:rsidRDefault="009142B9" w:rsidP="009142B9">
            <w:pPr>
              <w:numPr>
                <w:ilvl w:val="12"/>
                <w:numId w:val="0"/>
              </w:numPr>
              <w:jc w:val="center"/>
              <w:rPr>
                <w:noProof/>
                <w:sz w:val="22"/>
                <w:lang w:val="da-DK"/>
              </w:rPr>
            </w:pPr>
            <w:r w:rsidRPr="009142B9">
              <w:rPr>
                <w:noProof/>
                <w:sz w:val="22"/>
              </w:rPr>
              <w:drawing>
                <wp:anchor distT="0" distB="0" distL="114300" distR="114300" simplePos="0" relativeHeight="251660288" behindDoc="0" locked="0" layoutInCell="1" allowOverlap="1" wp14:anchorId="66CE3CF5" wp14:editId="11058190">
                  <wp:simplePos x="0" y="0"/>
                  <wp:positionH relativeFrom="column">
                    <wp:posOffset>0</wp:posOffset>
                  </wp:positionH>
                  <wp:positionV relativeFrom="paragraph">
                    <wp:posOffset>163830</wp:posOffset>
                  </wp:positionV>
                  <wp:extent cx="3952875" cy="1047750"/>
                  <wp:effectExtent l="0" t="0" r="9525" b="0"/>
                  <wp:wrapSquare wrapText="bothSides"/>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2875" cy="1047750"/>
                          </a:xfrm>
                          <a:prstGeom prst="rect">
                            <a:avLst/>
                          </a:prstGeom>
                          <a:noFill/>
                        </pic:spPr>
                      </pic:pic>
                    </a:graphicData>
                  </a:graphic>
                  <wp14:sizeRelH relativeFrom="page">
                    <wp14:pctWidth>0</wp14:pctWidth>
                  </wp14:sizeRelH>
                  <wp14:sizeRelV relativeFrom="page">
                    <wp14:pctHeight>0</wp14:pctHeight>
                  </wp14:sizeRelV>
                </wp:anchor>
              </w:drawing>
            </w:r>
          </w:p>
        </w:tc>
      </w:tr>
    </w:tbl>
    <w:p w14:paraId="112580E3" w14:textId="77777777" w:rsidR="009142B9" w:rsidRPr="009142B9" w:rsidRDefault="009142B9" w:rsidP="009142B9">
      <w:pPr>
        <w:rPr>
          <w:sz w:val="22"/>
        </w:rPr>
      </w:pPr>
    </w:p>
    <w:p w14:paraId="01CA3EF5"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6B27841E" w14:textId="77777777" w:rsidR="009142B9" w:rsidRPr="009142B9" w:rsidRDefault="009142B9" w:rsidP="009142B9">
      <w:pPr>
        <w:tabs>
          <w:tab w:val="left" w:pos="851"/>
        </w:tabs>
        <w:ind w:left="851"/>
        <w:rPr>
          <w:sz w:val="24"/>
          <w:szCs w:val="24"/>
        </w:rPr>
      </w:pPr>
      <w:r w:rsidRPr="009142B9">
        <w:rPr>
          <w:sz w:val="24"/>
          <w:szCs w:val="24"/>
        </w:rPr>
        <w:t>Laboratoire Aguettant</w:t>
      </w:r>
    </w:p>
    <w:p w14:paraId="66046E3A" w14:textId="77777777" w:rsidR="009142B9" w:rsidRPr="009142B9" w:rsidRDefault="009142B9" w:rsidP="009142B9">
      <w:pPr>
        <w:tabs>
          <w:tab w:val="left" w:pos="851"/>
        </w:tabs>
        <w:ind w:left="851"/>
        <w:rPr>
          <w:sz w:val="24"/>
          <w:szCs w:val="24"/>
        </w:rPr>
      </w:pPr>
      <w:r w:rsidRPr="009142B9">
        <w:rPr>
          <w:sz w:val="24"/>
          <w:szCs w:val="24"/>
        </w:rPr>
        <w:t>1 rue Alexander Fleming</w:t>
      </w:r>
    </w:p>
    <w:p w14:paraId="5305A6AC" w14:textId="77777777" w:rsidR="009142B9" w:rsidRPr="009142B9" w:rsidRDefault="009142B9" w:rsidP="009142B9">
      <w:pPr>
        <w:tabs>
          <w:tab w:val="left" w:pos="851"/>
        </w:tabs>
        <w:ind w:left="851"/>
        <w:rPr>
          <w:sz w:val="24"/>
          <w:szCs w:val="24"/>
        </w:rPr>
      </w:pPr>
      <w:r w:rsidRPr="009142B9">
        <w:rPr>
          <w:sz w:val="24"/>
          <w:szCs w:val="24"/>
        </w:rPr>
        <w:t>69007 Lyon</w:t>
      </w:r>
    </w:p>
    <w:p w14:paraId="1AD7FB24" w14:textId="77777777" w:rsidR="009142B9" w:rsidRPr="009142B9" w:rsidRDefault="009142B9" w:rsidP="009142B9">
      <w:pPr>
        <w:tabs>
          <w:tab w:val="left" w:pos="851"/>
        </w:tabs>
        <w:ind w:left="851"/>
        <w:rPr>
          <w:sz w:val="24"/>
          <w:szCs w:val="24"/>
        </w:rPr>
      </w:pPr>
      <w:r w:rsidRPr="009142B9">
        <w:rPr>
          <w:sz w:val="24"/>
          <w:szCs w:val="24"/>
        </w:rPr>
        <w:t>Frankrig</w:t>
      </w:r>
    </w:p>
    <w:p w14:paraId="10806E4F" w14:textId="77777777" w:rsidR="00641C65" w:rsidRPr="00641C65" w:rsidRDefault="00641C65" w:rsidP="009260DE">
      <w:pPr>
        <w:tabs>
          <w:tab w:val="left" w:pos="851"/>
        </w:tabs>
        <w:ind w:left="851"/>
        <w:rPr>
          <w:sz w:val="24"/>
          <w:szCs w:val="24"/>
        </w:rPr>
      </w:pPr>
    </w:p>
    <w:p w14:paraId="2A148186"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6FB9CDB0" w14:textId="3903FE82" w:rsidR="009260DE" w:rsidRPr="00C84483" w:rsidRDefault="009142B9" w:rsidP="009260DE">
      <w:pPr>
        <w:tabs>
          <w:tab w:val="left" w:pos="851"/>
        </w:tabs>
        <w:ind w:left="851"/>
        <w:rPr>
          <w:sz w:val="24"/>
          <w:szCs w:val="24"/>
        </w:rPr>
      </w:pPr>
      <w:r>
        <w:rPr>
          <w:sz w:val="24"/>
          <w:szCs w:val="24"/>
        </w:rPr>
        <w:t>73826</w:t>
      </w:r>
    </w:p>
    <w:p w14:paraId="4614DB3D" w14:textId="77777777" w:rsidR="009260DE" w:rsidRPr="00C84483" w:rsidRDefault="009260DE" w:rsidP="009260DE">
      <w:pPr>
        <w:tabs>
          <w:tab w:val="left" w:pos="851"/>
        </w:tabs>
        <w:ind w:left="851"/>
        <w:jc w:val="both"/>
        <w:rPr>
          <w:sz w:val="24"/>
          <w:szCs w:val="24"/>
        </w:rPr>
      </w:pPr>
    </w:p>
    <w:p w14:paraId="292B8835"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061512F4" w14:textId="51B1F8EC" w:rsidR="009260DE" w:rsidRPr="00C84483" w:rsidRDefault="00287D5C" w:rsidP="009260DE">
      <w:pPr>
        <w:tabs>
          <w:tab w:val="left" w:pos="851"/>
        </w:tabs>
        <w:ind w:left="851"/>
        <w:rPr>
          <w:sz w:val="24"/>
          <w:szCs w:val="24"/>
        </w:rPr>
      </w:pPr>
      <w:r>
        <w:rPr>
          <w:sz w:val="24"/>
          <w:szCs w:val="24"/>
        </w:rPr>
        <w:t>5. oktober 2026</w:t>
      </w:r>
    </w:p>
    <w:p w14:paraId="7184C8DE" w14:textId="77777777" w:rsidR="009260DE" w:rsidRPr="00C84483" w:rsidRDefault="009260DE" w:rsidP="009260DE">
      <w:pPr>
        <w:tabs>
          <w:tab w:val="left" w:pos="851"/>
        </w:tabs>
        <w:ind w:left="851"/>
        <w:rPr>
          <w:sz w:val="24"/>
          <w:szCs w:val="24"/>
        </w:rPr>
      </w:pPr>
    </w:p>
    <w:p w14:paraId="0E1AEFA0"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3A679415" w14:textId="526C8146" w:rsidR="009260DE" w:rsidRPr="00C84483" w:rsidRDefault="009142B9" w:rsidP="009260DE">
      <w:pPr>
        <w:tabs>
          <w:tab w:val="left" w:pos="851"/>
        </w:tabs>
        <w:ind w:left="851"/>
        <w:rPr>
          <w:sz w:val="24"/>
          <w:szCs w:val="24"/>
        </w:rPr>
      </w:pPr>
      <w:r>
        <w:rPr>
          <w:sz w:val="24"/>
          <w:szCs w:val="24"/>
        </w:rPr>
        <w:t>-</w:t>
      </w:r>
    </w:p>
    <w:sectPr w:rsidR="009260DE" w:rsidRPr="00C84483"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65720" w14:textId="77777777" w:rsidR="00C462BF" w:rsidRDefault="00C462BF">
      <w:r>
        <w:separator/>
      </w:r>
    </w:p>
  </w:endnote>
  <w:endnote w:type="continuationSeparator" w:id="0">
    <w:p w14:paraId="1B424124" w14:textId="77777777" w:rsidR="00C462BF" w:rsidRDefault="00C46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B2A0" w14:textId="77777777" w:rsidR="000259B9" w:rsidRDefault="000259B9">
    <w:pPr>
      <w:pStyle w:val="Sidefod"/>
      <w:pBdr>
        <w:bottom w:val="single" w:sz="6" w:space="1" w:color="auto"/>
      </w:pBdr>
    </w:pPr>
  </w:p>
  <w:p w14:paraId="780576EB" w14:textId="77777777" w:rsidR="000259B9" w:rsidRDefault="000259B9" w:rsidP="00C42586">
    <w:pPr>
      <w:pStyle w:val="Sidefod"/>
      <w:tabs>
        <w:tab w:val="clear" w:pos="4819"/>
        <w:tab w:val="left" w:pos="8505"/>
      </w:tabs>
      <w:rPr>
        <w:i/>
        <w:sz w:val="18"/>
        <w:szCs w:val="18"/>
      </w:rPr>
    </w:pPr>
  </w:p>
  <w:p w14:paraId="04B00A90" w14:textId="150C679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493C52">
      <w:rPr>
        <w:i/>
        <w:noProof/>
        <w:sz w:val="18"/>
        <w:szCs w:val="18"/>
      </w:rPr>
      <w:t>Ondansetron Aguettant, injektions--infusionsvæske, opløsning 2 mg-ml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40C37" w14:textId="77777777" w:rsidR="00C462BF" w:rsidRDefault="00C462BF">
      <w:r>
        <w:separator/>
      </w:r>
    </w:p>
  </w:footnote>
  <w:footnote w:type="continuationSeparator" w:id="0">
    <w:p w14:paraId="490F99B3" w14:textId="77777777" w:rsidR="00C462BF" w:rsidRDefault="00C462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A2F0D"/>
    <w:multiLevelType w:val="hybridMultilevel"/>
    <w:tmpl w:val="815048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1D340BA1"/>
    <w:multiLevelType w:val="hybridMultilevel"/>
    <w:tmpl w:val="4E64A944"/>
    <w:lvl w:ilvl="0" w:tplc="643E3E24">
      <w:start w:val="3"/>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EE07499"/>
    <w:multiLevelType w:val="hybridMultilevel"/>
    <w:tmpl w:val="6DA613BC"/>
    <w:lvl w:ilvl="0" w:tplc="05561906">
      <w:start w:val="2"/>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6" w15:restartNumberingAfterBreak="0">
    <w:nsid w:val="373079CC"/>
    <w:multiLevelType w:val="hybridMultilevel"/>
    <w:tmpl w:val="07BE581A"/>
    <w:lvl w:ilvl="0" w:tplc="6E76019C">
      <w:start w:val="1"/>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8"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779E4622"/>
    <w:multiLevelType w:val="hybridMultilevel"/>
    <w:tmpl w:val="80B66610"/>
    <w:lvl w:ilvl="0" w:tplc="F266CE9E">
      <w:numFmt w:val="bullet"/>
      <w:lvlText w:val="-"/>
      <w:lvlJc w:val="left"/>
      <w:pPr>
        <w:ind w:left="838" w:hanging="721"/>
      </w:pPr>
      <w:rPr>
        <w:rFonts w:ascii="Times New Roman" w:eastAsia="Times New Roman" w:hAnsi="Times New Roman" w:cs="Times New Roman" w:hint="default"/>
        <w:b w:val="0"/>
        <w:bCs w:val="0"/>
        <w:i w:val="0"/>
        <w:iCs w:val="0"/>
        <w:spacing w:val="0"/>
        <w:w w:val="100"/>
        <w:sz w:val="23"/>
        <w:szCs w:val="23"/>
        <w:lang w:val="de-DE" w:eastAsia="en-US" w:bidi="ar-SA"/>
      </w:rPr>
    </w:lvl>
    <w:lvl w:ilvl="1" w:tplc="434401E4">
      <w:numFmt w:val="bullet"/>
      <w:lvlText w:val="•"/>
      <w:lvlJc w:val="left"/>
      <w:pPr>
        <w:ind w:left="1714" w:hanging="721"/>
      </w:pPr>
      <w:rPr>
        <w:lang w:val="de-DE" w:eastAsia="en-US" w:bidi="ar-SA"/>
      </w:rPr>
    </w:lvl>
    <w:lvl w:ilvl="2" w:tplc="016CF5C2">
      <w:numFmt w:val="bullet"/>
      <w:lvlText w:val="•"/>
      <w:lvlJc w:val="left"/>
      <w:pPr>
        <w:ind w:left="2589" w:hanging="721"/>
      </w:pPr>
      <w:rPr>
        <w:lang w:val="de-DE" w:eastAsia="en-US" w:bidi="ar-SA"/>
      </w:rPr>
    </w:lvl>
    <w:lvl w:ilvl="3" w:tplc="AFCCB9BA">
      <w:numFmt w:val="bullet"/>
      <w:lvlText w:val="•"/>
      <w:lvlJc w:val="left"/>
      <w:pPr>
        <w:ind w:left="3464" w:hanging="721"/>
      </w:pPr>
      <w:rPr>
        <w:lang w:val="de-DE" w:eastAsia="en-US" w:bidi="ar-SA"/>
      </w:rPr>
    </w:lvl>
    <w:lvl w:ilvl="4" w:tplc="AD60D5C8">
      <w:numFmt w:val="bullet"/>
      <w:lvlText w:val="•"/>
      <w:lvlJc w:val="left"/>
      <w:pPr>
        <w:ind w:left="4338" w:hanging="721"/>
      </w:pPr>
      <w:rPr>
        <w:lang w:val="de-DE" w:eastAsia="en-US" w:bidi="ar-SA"/>
      </w:rPr>
    </w:lvl>
    <w:lvl w:ilvl="5" w:tplc="17602B5C">
      <w:numFmt w:val="bullet"/>
      <w:lvlText w:val="•"/>
      <w:lvlJc w:val="left"/>
      <w:pPr>
        <w:ind w:left="5213" w:hanging="721"/>
      </w:pPr>
      <w:rPr>
        <w:lang w:val="de-DE" w:eastAsia="en-US" w:bidi="ar-SA"/>
      </w:rPr>
    </w:lvl>
    <w:lvl w:ilvl="6" w:tplc="AD0AEB34">
      <w:numFmt w:val="bullet"/>
      <w:lvlText w:val="•"/>
      <w:lvlJc w:val="left"/>
      <w:pPr>
        <w:ind w:left="6088" w:hanging="721"/>
      </w:pPr>
      <w:rPr>
        <w:lang w:val="de-DE" w:eastAsia="en-US" w:bidi="ar-SA"/>
      </w:rPr>
    </w:lvl>
    <w:lvl w:ilvl="7" w:tplc="E6E2EAE8">
      <w:numFmt w:val="bullet"/>
      <w:lvlText w:val="•"/>
      <w:lvlJc w:val="left"/>
      <w:pPr>
        <w:ind w:left="6962" w:hanging="721"/>
      </w:pPr>
      <w:rPr>
        <w:lang w:val="de-DE" w:eastAsia="en-US" w:bidi="ar-SA"/>
      </w:rPr>
    </w:lvl>
    <w:lvl w:ilvl="8" w:tplc="87C8A276">
      <w:numFmt w:val="bullet"/>
      <w:lvlText w:val="•"/>
      <w:lvlJc w:val="left"/>
      <w:pPr>
        <w:ind w:left="7837" w:hanging="721"/>
      </w:pPr>
      <w:rPr>
        <w:lang w:val="de-DE" w:eastAsia="en-US" w:bidi="ar-SA"/>
      </w:rPr>
    </w:lvl>
  </w:abstractNum>
  <w:num w:numId="1" w16cid:durableId="156548920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6123983">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3279157">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0304983">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126849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89020779">
    <w:abstractNumId w:val="2"/>
  </w:num>
  <w:num w:numId="7" w16cid:durableId="731584516">
    <w:abstractNumId w:val="0"/>
  </w:num>
  <w:num w:numId="8" w16cid:durableId="1523739092">
    <w:abstractNumId w:val="6"/>
  </w:num>
  <w:num w:numId="9" w16cid:durableId="1135299388">
    <w:abstractNumId w:val="9"/>
  </w:num>
  <w:num w:numId="10" w16cid:durableId="6250900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F24"/>
    <w:rsid w:val="000259B9"/>
    <w:rsid w:val="00041491"/>
    <w:rsid w:val="00050D16"/>
    <w:rsid w:val="000730CA"/>
    <w:rsid w:val="00074F2A"/>
    <w:rsid w:val="000A1CA8"/>
    <w:rsid w:val="000A466B"/>
    <w:rsid w:val="000B058C"/>
    <w:rsid w:val="000D68B0"/>
    <w:rsid w:val="000E4EE6"/>
    <w:rsid w:val="001454E2"/>
    <w:rsid w:val="00206CE8"/>
    <w:rsid w:val="0021526C"/>
    <w:rsid w:val="00251CBD"/>
    <w:rsid w:val="00283A2B"/>
    <w:rsid w:val="0028447D"/>
    <w:rsid w:val="00287D5C"/>
    <w:rsid w:val="002B30AD"/>
    <w:rsid w:val="002C1EC0"/>
    <w:rsid w:val="002C2C01"/>
    <w:rsid w:val="003A29AE"/>
    <w:rsid w:val="003A32D7"/>
    <w:rsid w:val="003B4074"/>
    <w:rsid w:val="003C769A"/>
    <w:rsid w:val="003D3A90"/>
    <w:rsid w:val="003F1838"/>
    <w:rsid w:val="004251C1"/>
    <w:rsid w:val="0045746C"/>
    <w:rsid w:val="0049104B"/>
    <w:rsid w:val="00493C52"/>
    <w:rsid w:val="004E3B12"/>
    <w:rsid w:val="00530BD5"/>
    <w:rsid w:val="00532310"/>
    <w:rsid w:val="00565F0F"/>
    <w:rsid w:val="00594A86"/>
    <w:rsid w:val="005956C7"/>
    <w:rsid w:val="00596D86"/>
    <w:rsid w:val="00637F5A"/>
    <w:rsid w:val="00641C65"/>
    <w:rsid w:val="006560B1"/>
    <w:rsid w:val="006756DD"/>
    <w:rsid w:val="006D2C05"/>
    <w:rsid w:val="0071241E"/>
    <w:rsid w:val="00737275"/>
    <w:rsid w:val="00740EEC"/>
    <w:rsid w:val="0078011A"/>
    <w:rsid w:val="00781F24"/>
    <w:rsid w:val="00782AF4"/>
    <w:rsid w:val="00790EE7"/>
    <w:rsid w:val="007B6649"/>
    <w:rsid w:val="0081631C"/>
    <w:rsid w:val="0082576E"/>
    <w:rsid w:val="0089346F"/>
    <w:rsid w:val="00907F75"/>
    <w:rsid w:val="009142B9"/>
    <w:rsid w:val="009260DE"/>
    <w:rsid w:val="0093258A"/>
    <w:rsid w:val="009A2C14"/>
    <w:rsid w:val="009C7BA3"/>
    <w:rsid w:val="009D1F5A"/>
    <w:rsid w:val="00A10294"/>
    <w:rsid w:val="00B003BF"/>
    <w:rsid w:val="00B373D7"/>
    <w:rsid w:val="00B4165D"/>
    <w:rsid w:val="00B55271"/>
    <w:rsid w:val="00BD7931"/>
    <w:rsid w:val="00BF6243"/>
    <w:rsid w:val="00C36276"/>
    <w:rsid w:val="00C42586"/>
    <w:rsid w:val="00C45F6B"/>
    <w:rsid w:val="00C462BF"/>
    <w:rsid w:val="00C60CCD"/>
    <w:rsid w:val="00C84483"/>
    <w:rsid w:val="00C95551"/>
    <w:rsid w:val="00CB20D7"/>
    <w:rsid w:val="00D020B0"/>
    <w:rsid w:val="00D11748"/>
    <w:rsid w:val="00D237F6"/>
    <w:rsid w:val="00D34D98"/>
    <w:rsid w:val="00D366CF"/>
    <w:rsid w:val="00D93992"/>
    <w:rsid w:val="00E108AA"/>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9DD4D"/>
  <w15:chartTrackingRefBased/>
  <w15:docId w15:val="{A23D96B7-8DE1-4CD7-AB54-24057904C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6D2C05"/>
    <w:rPr>
      <w:color w:val="0563C1" w:themeColor="hyperlink"/>
      <w:u w:val="single"/>
    </w:rPr>
  </w:style>
  <w:style w:type="character" w:styleId="Ulstomtale">
    <w:name w:val="Unresolved Mention"/>
    <w:basedOn w:val="Standardskrifttypeiafsnit"/>
    <w:uiPriority w:val="99"/>
    <w:semiHidden/>
    <w:unhideWhenUsed/>
    <w:rsid w:val="006D2C05"/>
    <w:rPr>
      <w:color w:val="605E5C"/>
      <w:shd w:val="clear" w:color="auto" w:fill="E1DFDD"/>
    </w:rPr>
  </w:style>
  <w:style w:type="table" w:styleId="Tabel-Gitter">
    <w:name w:val="Table Grid"/>
    <w:basedOn w:val="Tabel-Normal"/>
    <w:rsid w:val="009142B9"/>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50</TotalTime>
  <Pages>17</Pages>
  <Words>6030</Words>
  <Characters>36784</Characters>
  <Application>Microsoft Office Word</Application>
  <DocSecurity>0</DocSecurity>
  <Lines>306</Lines>
  <Paragraphs>85</Paragraphs>
  <ScaleCrop>false</ScaleCrop>
  <HeadingPairs>
    <vt:vector size="2" baseType="variant">
      <vt:variant>
        <vt:lpstr>Titel</vt:lpstr>
      </vt:variant>
      <vt:variant>
        <vt:i4>1</vt:i4>
      </vt:variant>
    </vt:vector>
  </HeadingPairs>
  <TitlesOfParts>
    <vt:vector size="1" baseType="lpstr">
      <vt:lpstr>SPC Hum skabelon</vt:lpstr>
    </vt:vector>
  </TitlesOfParts>
  <Company/>
  <LinksUpToDate>false</LinksUpToDate>
  <CharactersWithSpaces>42729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2025044474 mt</dc:description>
  <cp:lastModifiedBy>Hanne Thy Iversen</cp:lastModifiedBy>
  <cp:revision>7</cp:revision>
  <cp:lastPrinted>2012-08-22T08:53:00Z</cp:lastPrinted>
  <dcterms:created xsi:type="dcterms:W3CDTF">2026-10-05T08:14:00Z</dcterms:created>
  <dcterms:modified xsi:type="dcterms:W3CDTF">2026-10-05T10:52:00Z</dcterms:modified>
</cp:coreProperties>
</file>