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12A71"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5B8B228D" wp14:editId="03B9540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0C524DB1" w14:textId="486D26DB"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746184" w:rsidRPr="00746184">
        <w:rPr>
          <w:szCs w:val="24"/>
          <w:lang w:eastAsia="en-US"/>
        </w:rPr>
        <w:t>1</w:t>
      </w:r>
      <w:r w:rsidR="007A24EA">
        <w:rPr>
          <w:szCs w:val="24"/>
        </w:rPr>
        <w:t xml:space="preserve">. </w:t>
      </w:r>
      <w:r w:rsidR="00746184">
        <w:rPr>
          <w:szCs w:val="24"/>
        </w:rPr>
        <w:t>juli</w:t>
      </w:r>
      <w:r w:rsidR="007A24EA">
        <w:rPr>
          <w:szCs w:val="24"/>
        </w:rPr>
        <w:t xml:space="preserve"> 2023</w:t>
      </w:r>
    </w:p>
    <w:p w14:paraId="4C7B33AD" w14:textId="1E786CBD" w:rsidR="009260DE" w:rsidRPr="00C84483" w:rsidRDefault="009260DE" w:rsidP="009260DE">
      <w:pPr>
        <w:pStyle w:val="Titel"/>
        <w:tabs>
          <w:tab w:val="left" w:pos="8222"/>
        </w:tabs>
        <w:jc w:val="left"/>
        <w:rPr>
          <w:b w:val="0"/>
          <w:szCs w:val="24"/>
        </w:rPr>
      </w:pPr>
    </w:p>
    <w:p w14:paraId="13D9BAFC" w14:textId="70F68CC9" w:rsidR="004D32AC" w:rsidRPr="00C84483" w:rsidRDefault="004D32AC" w:rsidP="009260DE">
      <w:pPr>
        <w:pStyle w:val="Titel"/>
        <w:jc w:val="left"/>
        <w:rPr>
          <w:b w:val="0"/>
          <w:szCs w:val="24"/>
        </w:rPr>
      </w:pPr>
    </w:p>
    <w:p w14:paraId="47D24CCF" w14:textId="77777777" w:rsidR="009260DE" w:rsidRPr="00F47ED1" w:rsidRDefault="009260DE" w:rsidP="009260DE">
      <w:pPr>
        <w:pStyle w:val="Titel"/>
        <w:jc w:val="left"/>
        <w:rPr>
          <w:b w:val="0"/>
          <w:szCs w:val="24"/>
        </w:rPr>
      </w:pPr>
    </w:p>
    <w:p w14:paraId="69D973EB" w14:textId="77777777" w:rsidR="009260DE" w:rsidRPr="001E19A9" w:rsidRDefault="009260DE" w:rsidP="009260DE">
      <w:pPr>
        <w:jc w:val="center"/>
        <w:rPr>
          <w:b/>
          <w:sz w:val="24"/>
          <w:szCs w:val="24"/>
        </w:rPr>
      </w:pPr>
      <w:r w:rsidRPr="001E19A9">
        <w:rPr>
          <w:b/>
          <w:sz w:val="24"/>
          <w:szCs w:val="24"/>
        </w:rPr>
        <w:t>PRODUKTRESUMÉ</w:t>
      </w:r>
    </w:p>
    <w:p w14:paraId="5640EC97" w14:textId="77777777" w:rsidR="009260DE" w:rsidRPr="001E19A9" w:rsidRDefault="009260DE" w:rsidP="009260DE">
      <w:pPr>
        <w:jc w:val="center"/>
        <w:rPr>
          <w:b/>
          <w:sz w:val="24"/>
          <w:szCs w:val="24"/>
        </w:rPr>
      </w:pPr>
    </w:p>
    <w:p w14:paraId="13C13E1E" w14:textId="77777777" w:rsidR="009260DE" w:rsidRPr="001E19A9" w:rsidRDefault="009260DE" w:rsidP="009260DE">
      <w:pPr>
        <w:jc w:val="center"/>
        <w:rPr>
          <w:b/>
          <w:sz w:val="24"/>
          <w:szCs w:val="24"/>
        </w:rPr>
      </w:pPr>
      <w:r w:rsidRPr="001E19A9">
        <w:rPr>
          <w:b/>
          <w:sz w:val="24"/>
          <w:szCs w:val="24"/>
        </w:rPr>
        <w:t>for</w:t>
      </w:r>
    </w:p>
    <w:p w14:paraId="7778AF88" w14:textId="77777777" w:rsidR="000B058C" w:rsidRPr="001E19A9" w:rsidRDefault="000B058C" w:rsidP="009260DE">
      <w:pPr>
        <w:jc w:val="center"/>
        <w:rPr>
          <w:b/>
          <w:sz w:val="24"/>
          <w:szCs w:val="24"/>
        </w:rPr>
      </w:pPr>
    </w:p>
    <w:p w14:paraId="6BF2DBCE" w14:textId="1E8D7B7B" w:rsidR="009260DE" w:rsidRPr="001E19A9" w:rsidRDefault="00C40C02" w:rsidP="009260DE">
      <w:pPr>
        <w:jc w:val="center"/>
        <w:rPr>
          <w:b/>
          <w:sz w:val="24"/>
          <w:szCs w:val="24"/>
        </w:rPr>
      </w:pPr>
      <w:proofErr w:type="spellStart"/>
      <w:r w:rsidRPr="001E19A9">
        <w:rPr>
          <w:b/>
          <w:sz w:val="24"/>
          <w:szCs w:val="24"/>
        </w:rPr>
        <w:t>Ondansetron</w:t>
      </w:r>
      <w:proofErr w:type="spellEnd"/>
      <w:r w:rsidRPr="001E19A9">
        <w:rPr>
          <w:b/>
          <w:sz w:val="24"/>
          <w:szCs w:val="24"/>
        </w:rPr>
        <w:t xml:space="preserve"> </w:t>
      </w:r>
      <w:r w:rsidR="000F6FC9" w:rsidRPr="001E19A9">
        <w:rPr>
          <w:b/>
          <w:sz w:val="24"/>
          <w:szCs w:val="24"/>
        </w:rPr>
        <w:t>"</w:t>
      </w:r>
      <w:r w:rsidRPr="001E19A9">
        <w:rPr>
          <w:b/>
          <w:sz w:val="24"/>
          <w:szCs w:val="24"/>
        </w:rPr>
        <w:t>EQL</w:t>
      </w:r>
      <w:r w:rsidR="000F6FC9" w:rsidRPr="001E19A9">
        <w:rPr>
          <w:b/>
          <w:sz w:val="24"/>
          <w:szCs w:val="24"/>
        </w:rPr>
        <w:t>"</w:t>
      </w:r>
      <w:r w:rsidR="002D38D8" w:rsidRPr="001E19A9">
        <w:rPr>
          <w:b/>
          <w:sz w:val="24"/>
          <w:szCs w:val="24"/>
        </w:rPr>
        <w:t xml:space="preserve"> Pharma</w:t>
      </w:r>
      <w:r w:rsidR="000F6FC9" w:rsidRPr="001E19A9">
        <w:rPr>
          <w:b/>
          <w:sz w:val="24"/>
          <w:szCs w:val="24"/>
        </w:rPr>
        <w:t>"</w:t>
      </w:r>
      <w:r w:rsidR="002D38D8" w:rsidRPr="001E19A9">
        <w:rPr>
          <w:b/>
          <w:sz w:val="24"/>
          <w:szCs w:val="24"/>
        </w:rPr>
        <w:t>, filmovertrukne tabletter</w:t>
      </w:r>
    </w:p>
    <w:p w14:paraId="5EE76126" w14:textId="77777777" w:rsidR="009260DE" w:rsidRPr="001E19A9" w:rsidRDefault="009260DE" w:rsidP="009260DE">
      <w:pPr>
        <w:jc w:val="both"/>
        <w:rPr>
          <w:sz w:val="24"/>
          <w:szCs w:val="24"/>
        </w:rPr>
      </w:pPr>
    </w:p>
    <w:p w14:paraId="6D86DD9F" w14:textId="77777777" w:rsidR="009260DE" w:rsidRPr="001E19A9" w:rsidRDefault="009260DE" w:rsidP="009260DE">
      <w:pPr>
        <w:jc w:val="both"/>
        <w:rPr>
          <w:sz w:val="24"/>
          <w:szCs w:val="24"/>
        </w:rPr>
      </w:pPr>
    </w:p>
    <w:p w14:paraId="3EF32F55" w14:textId="77777777" w:rsidR="007A24EA" w:rsidRPr="00C84483" w:rsidRDefault="007A24EA" w:rsidP="007A24EA">
      <w:pPr>
        <w:tabs>
          <w:tab w:val="left" w:pos="851"/>
        </w:tabs>
        <w:ind w:left="851" w:hanging="851"/>
        <w:rPr>
          <w:b/>
          <w:sz w:val="24"/>
          <w:szCs w:val="24"/>
        </w:rPr>
      </w:pPr>
      <w:r w:rsidRPr="00C84483">
        <w:rPr>
          <w:b/>
          <w:sz w:val="24"/>
          <w:szCs w:val="24"/>
        </w:rPr>
        <w:t>0.</w:t>
      </w:r>
      <w:r w:rsidRPr="00C84483">
        <w:rPr>
          <w:b/>
          <w:sz w:val="24"/>
          <w:szCs w:val="24"/>
        </w:rPr>
        <w:tab/>
        <w:t>D.SP.NR.</w:t>
      </w:r>
    </w:p>
    <w:p w14:paraId="5FE8B8F5" w14:textId="5978CBF4" w:rsidR="009260DE" w:rsidRPr="00F47ED1" w:rsidRDefault="00C40C02" w:rsidP="009260DE">
      <w:pPr>
        <w:tabs>
          <w:tab w:val="left" w:pos="851"/>
        </w:tabs>
        <w:ind w:left="851"/>
        <w:rPr>
          <w:sz w:val="24"/>
          <w:szCs w:val="24"/>
        </w:rPr>
      </w:pPr>
      <w:r w:rsidRPr="00F47ED1">
        <w:rPr>
          <w:sz w:val="24"/>
          <w:szCs w:val="24"/>
        </w:rPr>
        <w:t>32122</w:t>
      </w:r>
    </w:p>
    <w:p w14:paraId="7E0C8756" w14:textId="77777777" w:rsidR="009260DE" w:rsidRPr="00F47ED1" w:rsidRDefault="009260DE" w:rsidP="009260DE">
      <w:pPr>
        <w:tabs>
          <w:tab w:val="left" w:pos="851"/>
        </w:tabs>
        <w:ind w:left="851"/>
        <w:rPr>
          <w:sz w:val="24"/>
          <w:szCs w:val="24"/>
        </w:rPr>
      </w:pPr>
    </w:p>
    <w:p w14:paraId="41B0E381" w14:textId="77777777" w:rsidR="009260DE" w:rsidRPr="00F47ED1" w:rsidRDefault="009260DE" w:rsidP="009260DE">
      <w:pPr>
        <w:tabs>
          <w:tab w:val="left" w:pos="851"/>
        </w:tabs>
        <w:ind w:left="851" w:hanging="851"/>
        <w:rPr>
          <w:b/>
          <w:sz w:val="24"/>
          <w:szCs w:val="24"/>
        </w:rPr>
      </w:pPr>
      <w:r w:rsidRPr="00F47ED1">
        <w:rPr>
          <w:b/>
          <w:sz w:val="24"/>
          <w:szCs w:val="24"/>
        </w:rPr>
        <w:t>1.</w:t>
      </w:r>
      <w:r w:rsidRPr="00F47ED1">
        <w:rPr>
          <w:b/>
          <w:sz w:val="24"/>
          <w:szCs w:val="24"/>
        </w:rPr>
        <w:tab/>
        <w:t>LÆGEMIDLETS NAVN</w:t>
      </w:r>
    </w:p>
    <w:p w14:paraId="46B26A37" w14:textId="67DFD7C7" w:rsidR="009260DE" w:rsidRPr="00F47ED1" w:rsidRDefault="001403B9" w:rsidP="009260DE">
      <w:pPr>
        <w:tabs>
          <w:tab w:val="left" w:pos="851"/>
        </w:tabs>
        <w:ind w:left="851"/>
        <w:rPr>
          <w:sz w:val="24"/>
          <w:szCs w:val="24"/>
        </w:rPr>
      </w:pPr>
      <w:proofErr w:type="spellStart"/>
      <w:r w:rsidRPr="00F47ED1">
        <w:rPr>
          <w:sz w:val="24"/>
          <w:szCs w:val="24"/>
        </w:rPr>
        <w:t>Ondansetron</w:t>
      </w:r>
      <w:proofErr w:type="spellEnd"/>
      <w:r w:rsidRPr="00F47ED1">
        <w:rPr>
          <w:sz w:val="24"/>
          <w:szCs w:val="24"/>
        </w:rPr>
        <w:t xml:space="preserve"> </w:t>
      </w:r>
      <w:r w:rsidR="000F6FC9">
        <w:rPr>
          <w:sz w:val="24"/>
          <w:szCs w:val="24"/>
        </w:rPr>
        <w:t>"</w:t>
      </w:r>
      <w:r w:rsidRPr="00F47ED1">
        <w:rPr>
          <w:sz w:val="24"/>
          <w:szCs w:val="24"/>
        </w:rPr>
        <w:t>EQL Pharma</w:t>
      </w:r>
      <w:r w:rsidR="000F6FC9">
        <w:rPr>
          <w:sz w:val="24"/>
          <w:szCs w:val="24"/>
        </w:rPr>
        <w:t>"</w:t>
      </w:r>
    </w:p>
    <w:p w14:paraId="501620FA" w14:textId="77777777" w:rsidR="001403B9" w:rsidRPr="00F47ED1" w:rsidRDefault="001403B9" w:rsidP="009260DE">
      <w:pPr>
        <w:tabs>
          <w:tab w:val="left" w:pos="851"/>
        </w:tabs>
        <w:ind w:left="851"/>
        <w:rPr>
          <w:sz w:val="24"/>
          <w:szCs w:val="24"/>
        </w:rPr>
      </w:pPr>
    </w:p>
    <w:p w14:paraId="45A1A01D" w14:textId="77777777" w:rsidR="009260DE" w:rsidRPr="00F47ED1" w:rsidRDefault="009260DE" w:rsidP="009260DE">
      <w:pPr>
        <w:tabs>
          <w:tab w:val="left" w:pos="851"/>
        </w:tabs>
        <w:ind w:left="851" w:hanging="851"/>
        <w:rPr>
          <w:b/>
          <w:sz w:val="24"/>
          <w:szCs w:val="24"/>
        </w:rPr>
      </w:pPr>
      <w:r w:rsidRPr="00F47ED1">
        <w:rPr>
          <w:b/>
          <w:sz w:val="24"/>
          <w:szCs w:val="24"/>
        </w:rPr>
        <w:t>2.</w:t>
      </w:r>
      <w:r w:rsidRPr="00F47ED1">
        <w:rPr>
          <w:b/>
          <w:sz w:val="24"/>
          <w:szCs w:val="24"/>
        </w:rPr>
        <w:tab/>
        <w:t>KVALITATIV OG KVANTITATIV SAMMENSÆTNING</w:t>
      </w:r>
    </w:p>
    <w:p w14:paraId="1BC4BDDD" w14:textId="77777777" w:rsidR="002D38D8" w:rsidRPr="00F47ED1" w:rsidRDefault="002D38D8" w:rsidP="0071192A">
      <w:pPr>
        <w:ind w:left="851"/>
        <w:rPr>
          <w:sz w:val="24"/>
          <w:szCs w:val="24"/>
        </w:rPr>
      </w:pPr>
      <w:bookmarkStart w:id="1" w:name="_Hlk77672324"/>
      <w:r w:rsidRPr="00F47ED1">
        <w:rPr>
          <w:sz w:val="24"/>
          <w:szCs w:val="24"/>
        </w:rPr>
        <w:t xml:space="preserve">Hver filmovertrukket tablet indeholder </w:t>
      </w:r>
      <w:proofErr w:type="spellStart"/>
      <w:r w:rsidRPr="00F47ED1">
        <w:rPr>
          <w:sz w:val="24"/>
          <w:szCs w:val="24"/>
        </w:rPr>
        <w:t>ondansetronhydrochloriddihydrat</w:t>
      </w:r>
      <w:proofErr w:type="spellEnd"/>
      <w:r w:rsidRPr="00F47ED1">
        <w:rPr>
          <w:sz w:val="24"/>
          <w:szCs w:val="24"/>
        </w:rPr>
        <w:t xml:space="preserve"> svarende til 4 mg eller 8 mg </w:t>
      </w:r>
      <w:proofErr w:type="spellStart"/>
      <w:r w:rsidRPr="00F47ED1">
        <w:rPr>
          <w:sz w:val="24"/>
          <w:szCs w:val="24"/>
        </w:rPr>
        <w:t>ondansetron</w:t>
      </w:r>
      <w:proofErr w:type="spellEnd"/>
      <w:r w:rsidRPr="00F47ED1">
        <w:rPr>
          <w:sz w:val="24"/>
          <w:szCs w:val="24"/>
        </w:rPr>
        <w:t>.</w:t>
      </w:r>
    </w:p>
    <w:bookmarkEnd w:id="1"/>
    <w:p w14:paraId="5A18B58D" w14:textId="77777777" w:rsidR="00073655" w:rsidRDefault="00073655" w:rsidP="0071192A">
      <w:pPr>
        <w:ind w:left="851"/>
        <w:rPr>
          <w:sz w:val="24"/>
          <w:szCs w:val="24"/>
        </w:rPr>
      </w:pPr>
    </w:p>
    <w:p w14:paraId="65B4754A" w14:textId="1381153E" w:rsidR="002D38D8" w:rsidRPr="000F6FC9" w:rsidRDefault="002D38D8" w:rsidP="0071192A">
      <w:pPr>
        <w:ind w:left="851"/>
        <w:rPr>
          <w:sz w:val="24"/>
          <w:szCs w:val="24"/>
          <w:u w:val="single"/>
        </w:rPr>
      </w:pPr>
      <w:r w:rsidRPr="000F6FC9">
        <w:rPr>
          <w:sz w:val="24"/>
          <w:szCs w:val="24"/>
          <w:u w:val="single"/>
        </w:rPr>
        <w:t>Hjælpestof, som behandleren skal være opmærksom på</w:t>
      </w:r>
    </w:p>
    <w:p w14:paraId="570485F4" w14:textId="77777777" w:rsidR="002D38D8" w:rsidRPr="00F47ED1" w:rsidRDefault="002D38D8" w:rsidP="0071192A">
      <w:pPr>
        <w:ind w:left="851"/>
        <w:rPr>
          <w:sz w:val="24"/>
          <w:szCs w:val="24"/>
        </w:rPr>
      </w:pPr>
      <w:r w:rsidRPr="00F47ED1">
        <w:rPr>
          <w:sz w:val="24"/>
          <w:szCs w:val="24"/>
        </w:rPr>
        <w:t xml:space="preserve">En filmovertrukket tablet indeholder henholdsvis 46 mg og 92 mg </w:t>
      </w:r>
      <w:proofErr w:type="spellStart"/>
      <w:r w:rsidRPr="00F47ED1">
        <w:rPr>
          <w:sz w:val="24"/>
          <w:szCs w:val="24"/>
        </w:rPr>
        <w:t>lactose</w:t>
      </w:r>
      <w:proofErr w:type="spellEnd"/>
      <w:r w:rsidRPr="00F47ED1">
        <w:rPr>
          <w:sz w:val="24"/>
          <w:szCs w:val="24"/>
        </w:rPr>
        <w:t>.</w:t>
      </w:r>
    </w:p>
    <w:p w14:paraId="6393B4F6" w14:textId="77777777" w:rsidR="002D38D8" w:rsidRPr="00F47ED1" w:rsidRDefault="002D38D8" w:rsidP="0071192A">
      <w:pPr>
        <w:ind w:left="851"/>
        <w:rPr>
          <w:sz w:val="24"/>
          <w:szCs w:val="24"/>
        </w:rPr>
      </w:pPr>
    </w:p>
    <w:p w14:paraId="34921A9C" w14:textId="77777777" w:rsidR="002D38D8" w:rsidRPr="00F47ED1" w:rsidRDefault="002D38D8" w:rsidP="0071192A">
      <w:pPr>
        <w:ind w:left="851"/>
        <w:rPr>
          <w:sz w:val="24"/>
          <w:szCs w:val="24"/>
        </w:rPr>
      </w:pPr>
      <w:r w:rsidRPr="00F47ED1">
        <w:rPr>
          <w:sz w:val="24"/>
          <w:szCs w:val="24"/>
        </w:rPr>
        <w:t>Alle hjælpestoffer er anført under pkt. 6.1.</w:t>
      </w:r>
    </w:p>
    <w:p w14:paraId="5D0F1B92" w14:textId="77777777" w:rsidR="009260DE" w:rsidRPr="00F47ED1" w:rsidRDefault="009260DE" w:rsidP="009260DE">
      <w:pPr>
        <w:tabs>
          <w:tab w:val="left" w:pos="851"/>
        </w:tabs>
        <w:ind w:left="851"/>
        <w:rPr>
          <w:sz w:val="24"/>
          <w:szCs w:val="24"/>
        </w:rPr>
      </w:pPr>
    </w:p>
    <w:p w14:paraId="27A19DBC" w14:textId="77777777" w:rsidR="009260DE" w:rsidRPr="00F47ED1" w:rsidRDefault="009260DE" w:rsidP="009260DE">
      <w:pPr>
        <w:tabs>
          <w:tab w:val="left" w:pos="851"/>
        </w:tabs>
        <w:ind w:left="851" w:hanging="851"/>
        <w:rPr>
          <w:b/>
          <w:sz w:val="24"/>
          <w:szCs w:val="24"/>
        </w:rPr>
      </w:pPr>
      <w:r w:rsidRPr="00F47ED1">
        <w:rPr>
          <w:b/>
          <w:sz w:val="24"/>
          <w:szCs w:val="24"/>
        </w:rPr>
        <w:t>3.</w:t>
      </w:r>
      <w:r w:rsidRPr="00F47ED1">
        <w:rPr>
          <w:b/>
          <w:sz w:val="24"/>
          <w:szCs w:val="24"/>
        </w:rPr>
        <w:tab/>
        <w:t>LÆGEMIDDELFORM</w:t>
      </w:r>
    </w:p>
    <w:p w14:paraId="477A3481" w14:textId="77777777" w:rsidR="009B3DF2" w:rsidRPr="00F47ED1" w:rsidRDefault="009B3DF2" w:rsidP="0071192A">
      <w:pPr>
        <w:suppressAutoHyphens/>
        <w:ind w:left="851"/>
        <w:rPr>
          <w:sz w:val="24"/>
          <w:szCs w:val="24"/>
        </w:rPr>
      </w:pPr>
      <w:bookmarkStart w:id="2" w:name="_Hlk77588001"/>
      <w:bookmarkStart w:id="3" w:name="_Hlk77684555"/>
      <w:r w:rsidRPr="00F47ED1">
        <w:rPr>
          <w:spacing w:val="-3"/>
          <w:sz w:val="24"/>
          <w:szCs w:val="24"/>
        </w:rPr>
        <w:t xml:space="preserve">4 mg-tabletterne er hvide, runde, </w:t>
      </w:r>
      <w:proofErr w:type="spellStart"/>
      <w:r w:rsidRPr="00F47ED1">
        <w:rPr>
          <w:spacing w:val="-3"/>
          <w:sz w:val="24"/>
          <w:szCs w:val="24"/>
        </w:rPr>
        <w:t>bikonvekse</w:t>
      </w:r>
      <w:proofErr w:type="spellEnd"/>
      <w:r w:rsidRPr="00F47ED1">
        <w:rPr>
          <w:spacing w:val="-3"/>
          <w:sz w:val="24"/>
          <w:szCs w:val="24"/>
        </w:rPr>
        <w:t>, filmovertrukne tabletter, der er blanke på begge sider og har en diameter på 6,00 mm ± 0,2 mm.</w:t>
      </w:r>
    </w:p>
    <w:bookmarkEnd w:id="2"/>
    <w:p w14:paraId="363D23F0" w14:textId="77777777" w:rsidR="009B3DF2" w:rsidRPr="00F47ED1" w:rsidRDefault="009B3DF2" w:rsidP="0071192A">
      <w:pPr>
        <w:suppressAutoHyphens/>
        <w:ind w:left="851"/>
        <w:rPr>
          <w:sz w:val="24"/>
          <w:szCs w:val="24"/>
        </w:rPr>
      </w:pPr>
    </w:p>
    <w:p w14:paraId="62987751" w14:textId="77777777" w:rsidR="009B3DF2" w:rsidRPr="00F47ED1" w:rsidRDefault="009B3DF2" w:rsidP="0071192A">
      <w:pPr>
        <w:suppressAutoHyphens/>
        <w:ind w:left="851"/>
        <w:rPr>
          <w:sz w:val="24"/>
          <w:szCs w:val="24"/>
        </w:rPr>
      </w:pPr>
      <w:r w:rsidRPr="00F47ED1">
        <w:rPr>
          <w:spacing w:val="-3"/>
          <w:sz w:val="24"/>
          <w:szCs w:val="24"/>
        </w:rPr>
        <w:t xml:space="preserve">8 mg-tabletterne er hvide, runde, </w:t>
      </w:r>
      <w:proofErr w:type="spellStart"/>
      <w:r w:rsidRPr="00F47ED1">
        <w:rPr>
          <w:spacing w:val="-3"/>
          <w:sz w:val="24"/>
          <w:szCs w:val="24"/>
        </w:rPr>
        <w:t>bikonvekse</w:t>
      </w:r>
      <w:proofErr w:type="spellEnd"/>
      <w:r w:rsidRPr="00F47ED1">
        <w:rPr>
          <w:spacing w:val="-3"/>
          <w:sz w:val="24"/>
          <w:szCs w:val="24"/>
        </w:rPr>
        <w:t xml:space="preserve">, filmovertrukne tabletter, der har en delekærv på den ene side og er blanke på den anden side og har en diameter på 8,00 mm ± 0,2 mm. </w:t>
      </w:r>
      <w:r w:rsidRPr="00F47ED1">
        <w:rPr>
          <w:sz w:val="24"/>
          <w:szCs w:val="24"/>
        </w:rPr>
        <w:t>Tabletten kan deles i to lige store halvdele.</w:t>
      </w:r>
      <w:bookmarkEnd w:id="3"/>
    </w:p>
    <w:p w14:paraId="21378890" w14:textId="77777777" w:rsidR="009260DE" w:rsidRPr="00F47ED1" w:rsidRDefault="009260DE" w:rsidP="009260DE">
      <w:pPr>
        <w:tabs>
          <w:tab w:val="left" w:pos="851"/>
        </w:tabs>
        <w:ind w:left="851"/>
        <w:rPr>
          <w:sz w:val="24"/>
          <w:szCs w:val="24"/>
        </w:rPr>
      </w:pPr>
    </w:p>
    <w:p w14:paraId="6A7EBAE0" w14:textId="77777777" w:rsidR="009260DE" w:rsidRPr="00F47ED1" w:rsidRDefault="009260DE" w:rsidP="009260DE">
      <w:pPr>
        <w:tabs>
          <w:tab w:val="left" w:pos="851"/>
        </w:tabs>
        <w:ind w:left="851"/>
        <w:rPr>
          <w:sz w:val="24"/>
          <w:szCs w:val="24"/>
        </w:rPr>
      </w:pPr>
    </w:p>
    <w:p w14:paraId="1AD416EB" w14:textId="77777777" w:rsidR="009260DE" w:rsidRPr="00F47ED1" w:rsidRDefault="009260DE" w:rsidP="009260DE">
      <w:pPr>
        <w:tabs>
          <w:tab w:val="left" w:pos="851"/>
        </w:tabs>
        <w:ind w:left="851" w:hanging="851"/>
        <w:rPr>
          <w:b/>
          <w:sz w:val="24"/>
          <w:szCs w:val="24"/>
        </w:rPr>
      </w:pPr>
      <w:r w:rsidRPr="00F47ED1">
        <w:rPr>
          <w:b/>
          <w:sz w:val="24"/>
          <w:szCs w:val="24"/>
        </w:rPr>
        <w:t>4.</w:t>
      </w:r>
      <w:r w:rsidRPr="00F47ED1">
        <w:rPr>
          <w:b/>
          <w:sz w:val="24"/>
          <w:szCs w:val="24"/>
        </w:rPr>
        <w:tab/>
        <w:t>KLINISKE OPLYSNINGER</w:t>
      </w:r>
    </w:p>
    <w:p w14:paraId="557FEC4B" w14:textId="77777777" w:rsidR="009260DE" w:rsidRPr="00F47ED1" w:rsidRDefault="009260DE" w:rsidP="009260DE">
      <w:pPr>
        <w:tabs>
          <w:tab w:val="left" w:pos="851"/>
        </w:tabs>
        <w:ind w:left="851"/>
        <w:rPr>
          <w:b/>
          <w:sz w:val="24"/>
          <w:szCs w:val="24"/>
        </w:rPr>
      </w:pPr>
    </w:p>
    <w:p w14:paraId="2798D88F" w14:textId="77777777" w:rsidR="009260DE" w:rsidRPr="00F47ED1" w:rsidRDefault="009260DE" w:rsidP="009260DE">
      <w:pPr>
        <w:tabs>
          <w:tab w:val="left" w:pos="851"/>
        </w:tabs>
        <w:ind w:left="851" w:hanging="851"/>
        <w:rPr>
          <w:b/>
          <w:sz w:val="24"/>
          <w:szCs w:val="24"/>
          <w:u w:val="single"/>
        </w:rPr>
      </w:pPr>
      <w:r w:rsidRPr="00F47ED1">
        <w:rPr>
          <w:b/>
          <w:sz w:val="24"/>
          <w:szCs w:val="24"/>
        </w:rPr>
        <w:t>4.1</w:t>
      </w:r>
      <w:r w:rsidRPr="00F47ED1">
        <w:rPr>
          <w:b/>
          <w:sz w:val="24"/>
          <w:szCs w:val="24"/>
        </w:rPr>
        <w:tab/>
        <w:t>Terapeutiske indikationer</w:t>
      </w:r>
    </w:p>
    <w:p w14:paraId="1CEE8DF1" w14:textId="77777777" w:rsidR="00B763D9" w:rsidRPr="00F47ED1" w:rsidRDefault="00B763D9" w:rsidP="0071192A">
      <w:pPr>
        <w:ind w:left="851"/>
        <w:rPr>
          <w:noProof/>
          <w:sz w:val="24"/>
          <w:szCs w:val="24"/>
        </w:rPr>
      </w:pPr>
      <w:proofErr w:type="spellStart"/>
      <w:r w:rsidRPr="00F47ED1">
        <w:rPr>
          <w:sz w:val="24"/>
          <w:szCs w:val="24"/>
        </w:rPr>
        <w:t>Ondansetron</w:t>
      </w:r>
      <w:proofErr w:type="spellEnd"/>
      <w:r w:rsidRPr="00F47ED1">
        <w:rPr>
          <w:sz w:val="24"/>
          <w:szCs w:val="24"/>
        </w:rPr>
        <w:t xml:space="preserve"> er </w:t>
      </w:r>
      <w:r w:rsidRPr="00F47ED1">
        <w:rPr>
          <w:noProof/>
          <w:sz w:val="24"/>
          <w:szCs w:val="24"/>
        </w:rPr>
        <w:t>indiceret til behandling af kvalme og opkastning forårsaget af cytotoksisk kemoterapi og strålebehandling og til profylakse og behandling af postoperativ kvalme og opkastning.</w:t>
      </w:r>
    </w:p>
    <w:p w14:paraId="06C8278D" w14:textId="77777777" w:rsidR="00B763D9" w:rsidRPr="00F47ED1" w:rsidRDefault="00B763D9" w:rsidP="0071192A">
      <w:pPr>
        <w:ind w:left="851"/>
        <w:rPr>
          <w:noProof/>
          <w:sz w:val="24"/>
          <w:szCs w:val="24"/>
        </w:rPr>
      </w:pPr>
    </w:p>
    <w:p w14:paraId="47A20D43" w14:textId="77777777" w:rsidR="00B763D9" w:rsidRPr="00F47ED1" w:rsidRDefault="00B763D9" w:rsidP="0071192A">
      <w:pPr>
        <w:ind w:left="851"/>
        <w:rPr>
          <w:noProof/>
          <w:sz w:val="24"/>
          <w:szCs w:val="24"/>
        </w:rPr>
      </w:pPr>
      <w:r w:rsidRPr="00F47ED1">
        <w:rPr>
          <w:i/>
          <w:noProof/>
          <w:sz w:val="24"/>
          <w:szCs w:val="24"/>
        </w:rPr>
        <w:t>Pædiatrisk population</w:t>
      </w:r>
    </w:p>
    <w:p w14:paraId="2EE3904B" w14:textId="77777777" w:rsidR="00B763D9" w:rsidRPr="00F47ED1" w:rsidRDefault="00B763D9" w:rsidP="0071192A">
      <w:pPr>
        <w:ind w:left="851"/>
        <w:rPr>
          <w:noProof/>
          <w:sz w:val="24"/>
          <w:szCs w:val="24"/>
        </w:rPr>
      </w:pPr>
      <w:r w:rsidRPr="00F47ED1">
        <w:rPr>
          <w:noProof/>
          <w:sz w:val="24"/>
          <w:szCs w:val="24"/>
        </w:rPr>
        <w:t>Behandling af kvalme og opkastning forårsaget af kemoterapi hos børn i alderen ≥ 6 måneder. Profylakse og behandling af postoperativ kvalme og opkastning hos børn i alderen ≥ 1 måned.</w:t>
      </w:r>
    </w:p>
    <w:p w14:paraId="1E27B92B" w14:textId="77777777" w:rsidR="009260DE" w:rsidRPr="00F47ED1" w:rsidRDefault="009260DE" w:rsidP="009260DE">
      <w:pPr>
        <w:tabs>
          <w:tab w:val="left" w:pos="851"/>
        </w:tabs>
        <w:ind w:left="851"/>
        <w:rPr>
          <w:sz w:val="24"/>
          <w:szCs w:val="24"/>
        </w:rPr>
      </w:pPr>
    </w:p>
    <w:p w14:paraId="45DF5A96" w14:textId="77777777" w:rsidR="007A24EA" w:rsidRPr="00C84483" w:rsidRDefault="007A24EA" w:rsidP="007A24EA">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7397A749" w14:textId="77777777" w:rsidR="00F47ED1" w:rsidRDefault="00F47ED1" w:rsidP="0071192A">
      <w:pPr>
        <w:ind w:left="851"/>
        <w:rPr>
          <w:noProof/>
          <w:sz w:val="24"/>
          <w:szCs w:val="24"/>
          <w:u w:val="single"/>
        </w:rPr>
      </w:pPr>
    </w:p>
    <w:p w14:paraId="6396BEC1" w14:textId="6CB840B7" w:rsidR="00F625E6" w:rsidRPr="00F47ED1" w:rsidRDefault="00F625E6" w:rsidP="0071192A">
      <w:pPr>
        <w:ind w:left="851"/>
        <w:rPr>
          <w:noProof/>
          <w:sz w:val="24"/>
          <w:szCs w:val="24"/>
          <w:u w:val="single"/>
        </w:rPr>
      </w:pPr>
      <w:r w:rsidRPr="00F47ED1">
        <w:rPr>
          <w:noProof/>
          <w:sz w:val="24"/>
          <w:szCs w:val="24"/>
          <w:u w:val="single"/>
        </w:rPr>
        <w:t>Dosering</w:t>
      </w:r>
    </w:p>
    <w:p w14:paraId="2920E8BA" w14:textId="77777777" w:rsidR="00F625E6" w:rsidRPr="00F47ED1" w:rsidRDefault="00F625E6" w:rsidP="0071192A">
      <w:pPr>
        <w:ind w:left="851"/>
        <w:rPr>
          <w:noProof/>
          <w:sz w:val="24"/>
          <w:szCs w:val="24"/>
        </w:rPr>
      </w:pPr>
    </w:p>
    <w:p w14:paraId="6E8CEFA6" w14:textId="77777777" w:rsidR="00F625E6" w:rsidRPr="00F47ED1" w:rsidRDefault="00F625E6" w:rsidP="0071192A">
      <w:pPr>
        <w:ind w:left="851"/>
        <w:rPr>
          <w:iCs/>
          <w:noProof/>
          <w:sz w:val="24"/>
          <w:szCs w:val="24"/>
        </w:rPr>
      </w:pPr>
      <w:r w:rsidRPr="00F47ED1">
        <w:rPr>
          <w:iCs/>
          <w:noProof/>
          <w:sz w:val="24"/>
          <w:szCs w:val="24"/>
        </w:rPr>
        <w:t>Oral anvendelse</w:t>
      </w:r>
    </w:p>
    <w:p w14:paraId="2FD2A978" w14:textId="77777777" w:rsidR="00F625E6" w:rsidRPr="00F47ED1" w:rsidRDefault="00F625E6" w:rsidP="0071192A">
      <w:pPr>
        <w:ind w:left="851"/>
        <w:rPr>
          <w:iCs/>
          <w:noProof/>
          <w:sz w:val="24"/>
          <w:szCs w:val="24"/>
        </w:rPr>
      </w:pPr>
      <w:r w:rsidRPr="00F47ED1">
        <w:rPr>
          <w:iCs/>
          <w:noProof/>
          <w:sz w:val="24"/>
          <w:szCs w:val="24"/>
        </w:rPr>
        <w:t>Der findes passende styrker og formuleringer til de forskellige doseringsregimer.</w:t>
      </w:r>
    </w:p>
    <w:p w14:paraId="3FBC254E" w14:textId="77777777" w:rsidR="00F625E6" w:rsidRPr="00F47ED1" w:rsidRDefault="00F625E6" w:rsidP="0071192A">
      <w:pPr>
        <w:ind w:left="851"/>
        <w:rPr>
          <w:iCs/>
          <w:noProof/>
          <w:sz w:val="24"/>
          <w:szCs w:val="24"/>
        </w:rPr>
      </w:pPr>
    </w:p>
    <w:p w14:paraId="2FEFEA78" w14:textId="77777777" w:rsidR="00F625E6" w:rsidRPr="00F47ED1" w:rsidRDefault="00F625E6" w:rsidP="0071192A">
      <w:pPr>
        <w:ind w:left="851"/>
        <w:rPr>
          <w:iCs/>
          <w:noProof/>
          <w:sz w:val="24"/>
          <w:szCs w:val="24"/>
          <w:u w:val="single"/>
        </w:rPr>
      </w:pPr>
      <w:r w:rsidRPr="00F47ED1">
        <w:rPr>
          <w:noProof/>
          <w:sz w:val="24"/>
          <w:szCs w:val="24"/>
          <w:u w:val="single"/>
        </w:rPr>
        <w:t>Kvalme og opkastning forårsaget af kemoterapi og strålebehandling</w:t>
      </w:r>
    </w:p>
    <w:p w14:paraId="2202BBDC" w14:textId="77777777" w:rsidR="00F625E6" w:rsidRPr="00F47ED1" w:rsidRDefault="00F625E6" w:rsidP="0071192A">
      <w:pPr>
        <w:ind w:left="851"/>
        <w:rPr>
          <w:i/>
          <w:noProof/>
          <w:sz w:val="24"/>
          <w:szCs w:val="24"/>
        </w:rPr>
      </w:pPr>
      <w:r w:rsidRPr="00F47ED1">
        <w:rPr>
          <w:i/>
          <w:noProof/>
          <w:sz w:val="24"/>
          <w:szCs w:val="24"/>
        </w:rPr>
        <w:t>Voksne</w:t>
      </w:r>
    </w:p>
    <w:p w14:paraId="5DEDBE96" w14:textId="77777777" w:rsidR="00F625E6" w:rsidRPr="00F47ED1" w:rsidRDefault="00F625E6" w:rsidP="0071192A">
      <w:pPr>
        <w:ind w:left="851"/>
        <w:rPr>
          <w:spacing w:val="-3"/>
          <w:sz w:val="24"/>
          <w:szCs w:val="24"/>
        </w:rPr>
      </w:pPr>
      <w:r w:rsidRPr="00F47ED1">
        <w:rPr>
          <w:spacing w:val="-3"/>
          <w:sz w:val="24"/>
          <w:szCs w:val="24"/>
        </w:rPr>
        <w:t xml:space="preserve">Kræftbehandlingens </w:t>
      </w:r>
      <w:proofErr w:type="spellStart"/>
      <w:r w:rsidRPr="00F47ED1">
        <w:rPr>
          <w:spacing w:val="-3"/>
          <w:sz w:val="24"/>
          <w:szCs w:val="24"/>
        </w:rPr>
        <w:t>emetogene</w:t>
      </w:r>
      <w:proofErr w:type="spellEnd"/>
      <w:r w:rsidRPr="00F47ED1">
        <w:rPr>
          <w:spacing w:val="-3"/>
          <w:sz w:val="24"/>
          <w:szCs w:val="24"/>
        </w:rPr>
        <w:t xml:space="preserve"> potentiale varierer, afhængigt af de anvendte doser og kombinationer af kemoterapi og strålebehandling. Administrationsvejen og doseringen af </w:t>
      </w:r>
      <w:proofErr w:type="spellStart"/>
      <w:r w:rsidRPr="00F47ED1">
        <w:rPr>
          <w:spacing w:val="-3"/>
          <w:sz w:val="24"/>
          <w:szCs w:val="24"/>
        </w:rPr>
        <w:t>ondansetron</w:t>
      </w:r>
      <w:proofErr w:type="spellEnd"/>
      <w:r w:rsidRPr="00F47ED1">
        <w:rPr>
          <w:spacing w:val="-3"/>
          <w:sz w:val="24"/>
          <w:szCs w:val="24"/>
        </w:rPr>
        <w:t xml:space="preserve"> bør være fleksibel og vælges, som vist nedenfor.</w:t>
      </w:r>
    </w:p>
    <w:p w14:paraId="04B56E44" w14:textId="77777777" w:rsidR="00F625E6" w:rsidRPr="00F47ED1" w:rsidRDefault="00F625E6" w:rsidP="0071192A">
      <w:pPr>
        <w:ind w:left="851"/>
        <w:rPr>
          <w:spacing w:val="-3"/>
          <w:sz w:val="24"/>
          <w:szCs w:val="24"/>
        </w:rPr>
      </w:pPr>
    </w:p>
    <w:p w14:paraId="3F53DE27" w14:textId="77777777" w:rsidR="00F625E6" w:rsidRPr="00F47ED1" w:rsidRDefault="00F625E6" w:rsidP="0071192A">
      <w:pPr>
        <w:ind w:left="851"/>
        <w:rPr>
          <w:spacing w:val="-3"/>
          <w:sz w:val="24"/>
          <w:szCs w:val="24"/>
          <w:u w:val="single"/>
        </w:rPr>
      </w:pPr>
      <w:proofErr w:type="spellStart"/>
      <w:r w:rsidRPr="00F47ED1">
        <w:rPr>
          <w:spacing w:val="-3"/>
          <w:sz w:val="24"/>
          <w:szCs w:val="24"/>
          <w:u w:val="single"/>
        </w:rPr>
        <w:t>Emetogen</w:t>
      </w:r>
      <w:proofErr w:type="spellEnd"/>
      <w:r w:rsidRPr="00F47ED1">
        <w:rPr>
          <w:spacing w:val="-3"/>
          <w:sz w:val="24"/>
          <w:szCs w:val="24"/>
          <w:u w:val="single"/>
        </w:rPr>
        <w:t xml:space="preserve"> kemoterapi og strålebehandling</w:t>
      </w:r>
    </w:p>
    <w:p w14:paraId="0F7E4188" w14:textId="77777777" w:rsidR="00F625E6" w:rsidRPr="00532EB5" w:rsidRDefault="00F625E6" w:rsidP="0071192A">
      <w:pPr>
        <w:ind w:left="851"/>
        <w:rPr>
          <w:spacing w:val="-3"/>
          <w:sz w:val="24"/>
          <w:szCs w:val="24"/>
        </w:rPr>
      </w:pPr>
      <w:r w:rsidRPr="00532EB5">
        <w:rPr>
          <w:spacing w:val="-3"/>
          <w:sz w:val="24"/>
          <w:szCs w:val="24"/>
        </w:rPr>
        <w:t xml:space="preserve">Hos patienter, der får </w:t>
      </w:r>
      <w:proofErr w:type="spellStart"/>
      <w:r w:rsidRPr="00532EB5">
        <w:rPr>
          <w:spacing w:val="-3"/>
          <w:sz w:val="24"/>
          <w:szCs w:val="24"/>
        </w:rPr>
        <w:t>emetogen</w:t>
      </w:r>
      <w:proofErr w:type="spellEnd"/>
      <w:r w:rsidRPr="00532EB5">
        <w:rPr>
          <w:spacing w:val="-3"/>
          <w:sz w:val="24"/>
          <w:szCs w:val="24"/>
        </w:rPr>
        <w:t xml:space="preserve"> kemoterapi eller strålebehandling, kan </w:t>
      </w:r>
      <w:proofErr w:type="spellStart"/>
      <w:r w:rsidRPr="00532EB5">
        <w:rPr>
          <w:spacing w:val="-3"/>
          <w:sz w:val="24"/>
          <w:szCs w:val="24"/>
        </w:rPr>
        <w:t>ondansetron</w:t>
      </w:r>
      <w:proofErr w:type="spellEnd"/>
      <w:r w:rsidRPr="00532EB5">
        <w:rPr>
          <w:spacing w:val="-3"/>
          <w:sz w:val="24"/>
          <w:szCs w:val="24"/>
        </w:rPr>
        <w:t xml:space="preserve"> enten gives via oral eller intravenøs administration.</w:t>
      </w:r>
    </w:p>
    <w:p w14:paraId="79A4BD31" w14:textId="77777777" w:rsidR="00F625E6" w:rsidRPr="00532EB5" w:rsidRDefault="00F625E6" w:rsidP="0071192A">
      <w:pPr>
        <w:ind w:left="851"/>
        <w:rPr>
          <w:spacing w:val="-3"/>
          <w:sz w:val="24"/>
          <w:szCs w:val="24"/>
        </w:rPr>
      </w:pPr>
    </w:p>
    <w:p w14:paraId="3FFB093F" w14:textId="77777777" w:rsidR="00F625E6" w:rsidRPr="00532EB5" w:rsidRDefault="00F625E6" w:rsidP="0071192A">
      <w:pPr>
        <w:ind w:left="851"/>
        <w:rPr>
          <w:spacing w:val="-3"/>
          <w:sz w:val="24"/>
          <w:szCs w:val="24"/>
        </w:rPr>
      </w:pPr>
      <w:r w:rsidRPr="00532EB5">
        <w:rPr>
          <w:spacing w:val="-3"/>
          <w:sz w:val="24"/>
          <w:szCs w:val="24"/>
        </w:rPr>
        <w:t xml:space="preserve">Hos de fleste patienter, der får </w:t>
      </w:r>
      <w:proofErr w:type="spellStart"/>
      <w:r w:rsidRPr="00532EB5">
        <w:rPr>
          <w:spacing w:val="-3"/>
          <w:sz w:val="24"/>
          <w:szCs w:val="24"/>
        </w:rPr>
        <w:t>emetogen</w:t>
      </w:r>
      <w:proofErr w:type="spellEnd"/>
      <w:r w:rsidRPr="00532EB5">
        <w:rPr>
          <w:spacing w:val="-3"/>
          <w:sz w:val="24"/>
          <w:szCs w:val="24"/>
        </w:rPr>
        <w:t xml:space="preserve"> kemoterapi eller strålebehandling, bør </w:t>
      </w:r>
      <w:proofErr w:type="spellStart"/>
      <w:r w:rsidRPr="00532EB5">
        <w:rPr>
          <w:spacing w:val="-3"/>
          <w:sz w:val="24"/>
          <w:szCs w:val="24"/>
        </w:rPr>
        <w:t>ondansetron</w:t>
      </w:r>
      <w:proofErr w:type="spellEnd"/>
      <w:r w:rsidRPr="00532EB5">
        <w:rPr>
          <w:spacing w:val="-3"/>
          <w:sz w:val="24"/>
          <w:szCs w:val="24"/>
        </w:rPr>
        <w:t xml:space="preserve"> indledningsvist gives via intravenøs administration umiddelbart før behandlingen, efterfulgt af 8 mg via oral administration hver tolvte time.</w:t>
      </w:r>
    </w:p>
    <w:p w14:paraId="1C9E86E3" w14:textId="77777777" w:rsidR="00F625E6" w:rsidRPr="00532EB5" w:rsidRDefault="00F625E6" w:rsidP="0071192A">
      <w:pPr>
        <w:ind w:left="851"/>
        <w:rPr>
          <w:spacing w:val="-3"/>
          <w:sz w:val="24"/>
          <w:szCs w:val="24"/>
        </w:rPr>
      </w:pPr>
    </w:p>
    <w:p w14:paraId="08A97382" w14:textId="77777777" w:rsidR="00F625E6" w:rsidRPr="00F47ED1" w:rsidRDefault="00F625E6" w:rsidP="0071192A">
      <w:pPr>
        <w:ind w:left="851"/>
        <w:rPr>
          <w:spacing w:val="-3"/>
          <w:sz w:val="24"/>
          <w:szCs w:val="24"/>
          <w:u w:val="single"/>
        </w:rPr>
      </w:pPr>
      <w:r w:rsidRPr="00F47ED1">
        <w:rPr>
          <w:spacing w:val="-3"/>
          <w:sz w:val="24"/>
          <w:szCs w:val="24"/>
          <w:u w:val="single"/>
        </w:rPr>
        <w:t>For oral administration: 8 mg 1-2 timer før behandlingen, efterfulgt af 8 mg 12 timer senere.</w:t>
      </w:r>
    </w:p>
    <w:p w14:paraId="67C0E8D0" w14:textId="77777777" w:rsidR="00F625E6" w:rsidRPr="00532EB5" w:rsidRDefault="00F625E6" w:rsidP="0071192A">
      <w:pPr>
        <w:ind w:left="851"/>
        <w:rPr>
          <w:spacing w:val="-3"/>
          <w:sz w:val="24"/>
          <w:szCs w:val="24"/>
        </w:rPr>
      </w:pPr>
    </w:p>
    <w:p w14:paraId="6EB0624E" w14:textId="77777777" w:rsidR="00F625E6" w:rsidRPr="00532EB5" w:rsidRDefault="00F625E6" w:rsidP="0071192A">
      <w:pPr>
        <w:ind w:left="851"/>
        <w:rPr>
          <w:spacing w:val="-3"/>
          <w:sz w:val="24"/>
          <w:szCs w:val="24"/>
        </w:rPr>
      </w:pPr>
      <w:r w:rsidRPr="00532EB5">
        <w:rPr>
          <w:spacing w:val="-3"/>
          <w:sz w:val="24"/>
          <w:szCs w:val="24"/>
        </w:rPr>
        <w:t xml:space="preserve">For at beskytte mod forsinket eller langvarig </w:t>
      </w:r>
      <w:proofErr w:type="spellStart"/>
      <w:r w:rsidRPr="00532EB5">
        <w:rPr>
          <w:spacing w:val="-3"/>
          <w:sz w:val="24"/>
          <w:szCs w:val="24"/>
        </w:rPr>
        <w:t>emesis</w:t>
      </w:r>
      <w:proofErr w:type="spellEnd"/>
      <w:r w:rsidRPr="00532EB5">
        <w:rPr>
          <w:spacing w:val="-3"/>
          <w:sz w:val="24"/>
          <w:szCs w:val="24"/>
        </w:rPr>
        <w:t xml:space="preserve"> efter de første 24 timer bør oral eller </w:t>
      </w:r>
      <w:proofErr w:type="spellStart"/>
      <w:r w:rsidRPr="00532EB5">
        <w:rPr>
          <w:spacing w:val="-3"/>
          <w:sz w:val="24"/>
          <w:szCs w:val="24"/>
        </w:rPr>
        <w:t>rektal</w:t>
      </w:r>
      <w:proofErr w:type="spellEnd"/>
      <w:r w:rsidRPr="00532EB5">
        <w:rPr>
          <w:spacing w:val="-3"/>
          <w:sz w:val="24"/>
          <w:szCs w:val="24"/>
        </w:rPr>
        <w:t xml:space="preserve"> behandling med </w:t>
      </w:r>
      <w:proofErr w:type="spellStart"/>
      <w:r w:rsidRPr="00532EB5">
        <w:rPr>
          <w:spacing w:val="-3"/>
          <w:sz w:val="24"/>
          <w:szCs w:val="24"/>
        </w:rPr>
        <w:t>ondansetron</w:t>
      </w:r>
      <w:proofErr w:type="spellEnd"/>
      <w:r w:rsidRPr="00532EB5">
        <w:rPr>
          <w:spacing w:val="-3"/>
          <w:sz w:val="24"/>
          <w:szCs w:val="24"/>
        </w:rPr>
        <w:t xml:space="preserve"> i forbindelse med </w:t>
      </w:r>
      <w:proofErr w:type="spellStart"/>
      <w:r w:rsidRPr="00532EB5">
        <w:rPr>
          <w:spacing w:val="-3"/>
          <w:sz w:val="24"/>
          <w:szCs w:val="24"/>
        </w:rPr>
        <w:t>dexamethason</w:t>
      </w:r>
      <w:proofErr w:type="spellEnd"/>
      <w:r w:rsidRPr="00532EB5">
        <w:rPr>
          <w:spacing w:val="-3"/>
          <w:sz w:val="24"/>
          <w:szCs w:val="24"/>
        </w:rPr>
        <w:t xml:space="preserve"> fortsættes i op til 5 dage efter et behandlingsforløb. Den anbefalede dosis til oral administration er 8 mg to gange dagligt.</w:t>
      </w:r>
    </w:p>
    <w:p w14:paraId="7FB83601" w14:textId="77777777" w:rsidR="00F625E6" w:rsidRPr="00532EB5" w:rsidRDefault="00F625E6" w:rsidP="0071192A">
      <w:pPr>
        <w:ind w:left="851"/>
        <w:rPr>
          <w:spacing w:val="-3"/>
          <w:sz w:val="24"/>
          <w:szCs w:val="24"/>
        </w:rPr>
      </w:pPr>
    </w:p>
    <w:p w14:paraId="58FCC550" w14:textId="77777777" w:rsidR="00F625E6" w:rsidRPr="00F47ED1" w:rsidRDefault="00F625E6" w:rsidP="0071192A">
      <w:pPr>
        <w:ind w:left="851"/>
        <w:rPr>
          <w:iCs/>
          <w:noProof/>
          <w:sz w:val="24"/>
          <w:szCs w:val="24"/>
          <w:u w:val="single"/>
        </w:rPr>
      </w:pPr>
      <w:r w:rsidRPr="00F47ED1">
        <w:rPr>
          <w:iCs/>
          <w:noProof/>
          <w:sz w:val="24"/>
          <w:szCs w:val="24"/>
          <w:u w:val="single"/>
        </w:rPr>
        <w:t>Højemetogen kemoterapi</w:t>
      </w:r>
    </w:p>
    <w:p w14:paraId="742A7F20" w14:textId="77777777" w:rsidR="00F625E6" w:rsidRPr="00F47ED1" w:rsidRDefault="00F625E6" w:rsidP="0071192A">
      <w:pPr>
        <w:ind w:left="851"/>
        <w:rPr>
          <w:iCs/>
          <w:noProof/>
          <w:sz w:val="24"/>
          <w:szCs w:val="24"/>
        </w:rPr>
      </w:pPr>
      <w:r w:rsidRPr="00F47ED1">
        <w:rPr>
          <w:iCs/>
          <w:noProof/>
          <w:sz w:val="24"/>
          <w:szCs w:val="24"/>
        </w:rPr>
        <w:t xml:space="preserve">Hos patienter, der får højemetogen kemoterapi, f.eks. højdosis-cisplatin, kan ondansetron gives via intravenøs administration. </w:t>
      </w:r>
    </w:p>
    <w:p w14:paraId="1D5BF280" w14:textId="77777777" w:rsidR="00F625E6" w:rsidRPr="00F47ED1" w:rsidRDefault="00F625E6" w:rsidP="0071192A">
      <w:pPr>
        <w:ind w:left="851"/>
        <w:rPr>
          <w:iCs/>
          <w:noProof/>
          <w:sz w:val="24"/>
          <w:szCs w:val="24"/>
        </w:rPr>
      </w:pPr>
    </w:p>
    <w:p w14:paraId="6B72E659" w14:textId="77777777" w:rsidR="00F625E6" w:rsidRPr="00F47ED1" w:rsidRDefault="00F625E6" w:rsidP="0071192A">
      <w:pPr>
        <w:ind w:left="851"/>
        <w:rPr>
          <w:iCs/>
          <w:noProof/>
          <w:sz w:val="24"/>
          <w:szCs w:val="24"/>
        </w:rPr>
      </w:pPr>
      <w:r w:rsidRPr="00F47ED1">
        <w:rPr>
          <w:spacing w:val="-3"/>
          <w:sz w:val="24"/>
          <w:szCs w:val="24"/>
        </w:rPr>
        <w:t xml:space="preserve">For at beskytte mod forsinket eller langvarig </w:t>
      </w:r>
      <w:proofErr w:type="spellStart"/>
      <w:r w:rsidRPr="00F47ED1">
        <w:rPr>
          <w:spacing w:val="-3"/>
          <w:sz w:val="24"/>
          <w:szCs w:val="24"/>
        </w:rPr>
        <w:t>emesis</w:t>
      </w:r>
      <w:proofErr w:type="spellEnd"/>
      <w:r w:rsidRPr="00F47ED1">
        <w:rPr>
          <w:spacing w:val="-3"/>
          <w:sz w:val="24"/>
          <w:szCs w:val="24"/>
        </w:rPr>
        <w:t xml:space="preserve"> efter de første 24 timer bør oral behandling med </w:t>
      </w:r>
      <w:proofErr w:type="spellStart"/>
      <w:r w:rsidRPr="00F47ED1">
        <w:rPr>
          <w:spacing w:val="-3"/>
          <w:sz w:val="24"/>
          <w:szCs w:val="24"/>
        </w:rPr>
        <w:t>ondansetron</w:t>
      </w:r>
      <w:proofErr w:type="spellEnd"/>
      <w:r w:rsidRPr="00F47ED1">
        <w:rPr>
          <w:spacing w:val="-3"/>
          <w:sz w:val="24"/>
          <w:szCs w:val="24"/>
        </w:rPr>
        <w:t xml:space="preserve"> fortsættes i op til 5 dage efter et behandlingsforløb. Den anbefalede dosis til oral administration er 8 mg to gange dagligt.</w:t>
      </w:r>
    </w:p>
    <w:p w14:paraId="31FBD9F8" w14:textId="77777777" w:rsidR="00F625E6" w:rsidRPr="00F47ED1" w:rsidRDefault="00F625E6" w:rsidP="0071192A">
      <w:pPr>
        <w:ind w:left="851"/>
        <w:rPr>
          <w:iCs/>
          <w:noProof/>
          <w:sz w:val="24"/>
          <w:szCs w:val="24"/>
        </w:rPr>
      </w:pPr>
    </w:p>
    <w:p w14:paraId="25E5DFD4" w14:textId="77777777" w:rsidR="00F625E6" w:rsidRPr="00F47ED1" w:rsidRDefault="00F625E6" w:rsidP="0071192A">
      <w:pPr>
        <w:ind w:left="851"/>
        <w:rPr>
          <w:noProof/>
          <w:sz w:val="24"/>
          <w:szCs w:val="24"/>
        </w:rPr>
      </w:pPr>
      <w:r w:rsidRPr="00F47ED1">
        <w:rPr>
          <w:i/>
          <w:noProof/>
          <w:sz w:val="24"/>
          <w:szCs w:val="24"/>
        </w:rPr>
        <w:t>Pædiatrisk population</w:t>
      </w:r>
    </w:p>
    <w:p w14:paraId="7EC88E98" w14:textId="77777777" w:rsidR="00F625E6" w:rsidRPr="00F47ED1" w:rsidRDefault="00F625E6" w:rsidP="0071192A">
      <w:pPr>
        <w:ind w:left="851"/>
        <w:rPr>
          <w:iCs/>
          <w:noProof/>
          <w:sz w:val="24"/>
          <w:szCs w:val="24"/>
          <w:u w:val="single"/>
        </w:rPr>
      </w:pPr>
      <w:r w:rsidRPr="00F47ED1">
        <w:rPr>
          <w:noProof/>
          <w:sz w:val="24"/>
          <w:szCs w:val="24"/>
          <w:u w:val="single"/>
        </w:rPr>
        <w:t>Kvalme og opkastning forårsaget af kemoterapi hos børn i alderen ≥ 6 måneder og unge</w:t>
      </w:r>
    </w:p>
    <w:p w14:paraId="6F136177" w14:textId="77777777" w:rsidR="00F625E6" w:rsidRPr="00F47ED1" w:rsidRDefault="00F625E6" w:rsidP="0071192A">
      <w:pPr>
        <w:ind w:left="851"/>
        <w:rPr>
          <w:color w:val="000000"/>
          <w:sz w:val="24"/>
          <w:szCs w:val="24"/>
        </w:rPr>
      </w:pPr>
      <w:r w:rsidRPr="00F47ED1">
        <w:rPr>
          <w:color w:val="000000"/>
          <w:sz w:val="24"/>
          <w:szCs w:val="24"/>
        </w:rPr>
        <w:t xml:space="preserve">Ved </w:t>
      </w:r>
      <w:r w:rsidRPr="00F47ED1">
        <w:rPr>
          <w:noProof/>
          <w:sz w:val="24"/>
          <w:szCs w:val="24"/>
        </w:rPr>
        <w:t>kvalme og opkastning forårsaget af kemoterapi</w:t>
      </w:r>
      <w:r w:rsidRPr="00F47ED1">
        <w:rPr>
          <w:color w:val="000000"/>
          <w:sz w:val="24"/>
          <w:szCs w:val="24"/>
        </w:rPr>
        <w:t xml:space="preserve"> kan dosis beregnes ud fra legemsoverfladearealet (Body Surface </w:t>
      </w:r>
      <w:proofErr w:type="spellStart"/>
      <w:r w:rsidRPr="00F47ED1">
        <w:rPr>
          <w:color w:val="000000"/>
          <w:sz w:val="24"/>
          <w:szCs w:val="24"/>
        </w:rPr>
        <w:t>Area</w:t>
      </w:r>
      <w:proofErr w:type="spellEnd"/>
      <w:r w:rsidRPr="00F47ED1">
        <w:rPr>
          <w:color w:val="000000"/>
          <w:sz w:val="24"/>
          <w:szCs w:val="24"/>
        </w:rPr>
        <w:t xml:space="preserve"> (BSA)) eller vægten – se nedenfor. Vægtbaseret dosering resulterer i en højere total daglig dosis end BSA-baseret dosering – se pkt. 4.4 og 5.1.</w:t>
      </w:r>
    </w:p>
    <w:p w14:paraId="558F02FF" w14:textId="77777777" w:rsidR="00F625E6" w:rsidRPr="00F47ED1" w:rsidRDefault="00F625E6" w:rsidP="0071192A">
      <w:pPr>
        <w:ind w:left="851"/>
        <w:rPr>
          <w:color w:val="000000"/>
          <w:sz w:val="24"/>
          <w:szCs w:val="24"/>
        </w:rPr>
      </w:pPr>
    </w:p>
    <w:p w14:paraId="6A72D8B6" w14:textId="77777777" w:rsidR="00F625E6" w:rsidRPr="00F47ED1" w:rsidRDefault="00F625E6" w:rsidP="0071192A">
      <w:pPr>
        <w:ind w:left="851"/>
        <w:rPr>
          <w:color w:val="000000"/>
          <w:sz w:val="24"/>
          <w:szCs w:val="24"/>
        </w:rPr>
      </w:pPr>
      <w:r w:rsidRPr="00F47ED1">
        <w:rPr>
          <w:color w:val="000000"/>
          <w:sz w:val="24"/>
          <w:szCs w:val="24"/>
        </w:rPr>
        <w:t>Der findes en oral opløsning, der kan anvendes til pædiatriske patienter, der har en legemsvægt under 10 kg eller et legemsoverfladeareal under 0,6 m</w:t>
      </w:r>
      <w:r w:rsidRPr="00F47ED1">
        <w:rPr>
          <w:color w:val="000000"/>
          <w:sz w:val="24"/>
          <w:szCs w:val="24"/>
          <w:vertAlign w:val="superscript"/>
        </w:rPr>
        <w:t>2</w:t>
      </w:r>
      <w:r w:rsidRPr="00F47ED1">
        <w:rPr>
          <w:color w:val="000000"/>
          <w:sz w:val="24"/>
          <w:szCs w:val="24"/>
        </w:rPr>
        <w:t>, eller som ikke er i stand til at synke tabletter.</w:t>
      </w:r>
    </w:p>
    <w:p w14:paraId="52F0A36B" w14:textId="498680C8" w:rsidR="000F6FC9" w:rsidRDefault="000F6FC9">
      <w:pPr>
        <w:rPr>
          <w:color w:val="000000"/>
          <w:sz w:val="24"/>
          <w:szCs w:val="24"/>
        </w:rPr>
      </w:pPr>
      <w:r>
        <w:rPr>
          <w:color w:val="000000"/>
          <w:sz w:val="24"/>
          <w:szCs w:val="24"/>
        </w:rPr>
        <w:br w:type="page"/>
      </w:r>
    </w:p>
    <w:p w14:paraId="48075DE2" w14:textId="77777777" w:rsidR="00F625E6" w:rsidRPr="00F47ED1" w:rsidRDefault="00F625E6" w:rsidP="0071192A">
      <w:pPr>
        <w:ind w:left="851"/>
        <w:rPr>
          <w:color w:val="000000"/>
          <w:sz w:val="24"/>
          <w:szCs w:val="24"/>
        </w:rPr>
      </w:pPr>
    </w:p>
    <w:p w14:paraId="74BA2FE3" w14:textId="77777777" w:rsidR="00F625E6" w:rsidRPr="00F47ED1" w:rsidRDefault="00F625E6" w:rsidP="0071192A">
      <w:pPr>
        <w:ind w:left="851"/>
        <w:rPr>
          <w:sz w:val="24"/>
          <w:szCs w:val="24"/>
        </w:rPr>
      </w:pPr>
      <w:r w:rsidRPr="00F47ED1">
        <w:rPr>
          <w:sz w:val="24"/>
          <w:szCs w:val="24"/>
        </w:rPr>
        <w:t>Dosering baseret på BSA:</w:t>
      </w:r>
    </w:p>
    <w:p w14:paraId="25CC0683" w14:textId="475FA178" w:rsidR="00F625E6" w:rsidRPr="00F47ED1" w:rsidRDefault="00F625E6" w:rsidP="0071192A">
      <w:pPr>
        <w:ind w:left="851"/>
        <w:rPr>
          <w:sz w:val="24"/>
          <w:szCs w:val="24"/>
        </w:rPr>
      </w:pPr>
      <w:proofErr w:type="spellStart"/>
      <w:r w:rsidRPr="00F47ED1">
        <w:rPr>
          <w:rStyle w:val="message-content"/>
          <w:sz w:val="24"/>
          <w:szCs w:val="24"/>
        </w:rPr>
        <w:t>Ondansetron</w:t>
      </w:r>
      <w:proofErr w:type="spellEnd"/>
      <w:r w:rsidRPr="00F47ED1">
        <w:rPr>
          <w:rStyle w:val="message-content"/>
          <w:sz w:val="24"/>
          <w:szCs w:val="24"/>
        </w:rPr>
        <w:t xml:space="preserve"> </w:t>
      </w:r>
      <w:r w:rsidR="000F6FC9">
        <w:rPr>
          <w:rStyle w:val="message-content"/>
          <w:sz w:val="24"/>
          <w:szCs w:val="24"/>
        </w:rPr>
        <w:t>"</w:t>
      </w:r>
      <w:r w:rsidR="00992534">
        <w:rPr>
          <w:rStyle w:val="message-content"/>
          <w:sz w:val="24"/>
          <w:szCs w:val="24"/>
        </w:rPr>
        <w:t>EQL Pharma</w:t>
      </w:r>
      <w:r w:rsidR="000F6FC9">
        <w:rPr>
          <w:rStyle w:val="message-content"/>
          <w:sz w:val="24"/>
          <w:szCs w:val="24"/>
        </w:rPr>
        <w:t>"</w:t>
      </w:r>
      <w:r w:rsidRPr="00F47ED1">
        <w:rPr>
          <w:sz w:val="24"/>
          <w:szCs w:val="24"/>
        </w:rPr>
        <w:t xml:space="preserve"> skal administreres umiddelbart før kemoterapi som en enkelt intravenøs dosis på 5 mg/m</w:t>
      </w:r>
      <w:r w:rsidRPr="00F47ED1">
        <w:rPr>
          <w:sz w:val="24"/>
          <w:szCs w:val="24"/>
          <w:vertAlign w:val="superscript"/>
        </w:rPr>
        <w:t>2</w:t>
      </w:r>
      <w:r w:rsidRPr="00F47ED1">
        <w:rPr>
          <w:sz w:val="24"/>
          <w:szCs w:val="24"/>
        </w:rPr>
        <w:t>. Den intravenøse dosis må ikke overstige 8 mg. Oral dosering kan påbegyndes 12 timer senere og kan forsættes i op til 5 dage. Se tabel 1 nedenfor.</w:t>
      </w:r>
    </w:p>
    <w:p w14:paraId="1F228A90" w14:textId="77777777" w:rsidR="00F625E6" w:rsidRPr="00F47ED1" w:rsidRDefault="00F625E6" w:rsidP="0071192A">
      <w:pPr>
        <w:ind w:left="851"/>
        <w:rPr>
          <w:sz w:val="24"/>
          <w:szCs w:val="24"/>
        </w:rPr>
      </w:pPr>
      <w:r w:rsidRPr="00F47ED1">
        <w:rPr>
          <w:sz w:val="24"/>
          <w:szCs w:val="24"/>
        </w:rPr>
        <w:t>Den totale daglige dosis må ikke overstige voksendosen på 32 mg.</w:t>
      </w:r>
    </w:p>
    <w:p w14:paraId="0B2A67EB" w14:textId="77777777" w:rsidR="00F625E6" w:rsidRPr="00F47ED1" w:rsidRDefault="00F625E6" w:rsidP="0071192A">
      <w:pPr>
        <w:ind w:left="851"/>
        <w:rPr>
          <w:sz w:val="24"/>
          <w:szCs w:val="24"/>
        </w:rPr>
      </w:pPr>
    </w:p>
    <w:p w14:paraId="74E15F49" w14:textId="5CA1C3C1" w:rsidR="00F625E6" w:rsidRPr="00F47ED1" w:rsidRDefault="00F625E6" w:rsidP="0071192A">
      <w:pPr>
        <w:ind w:left="851"/>
        <w:rPr>
          <w:sz w:val="24"/>
          <w:szCs w:val="24"/>
        </w:rPr>
      </w:pPr>
      <w:r w:rsidRPr="00F47ED1">
        <w:rPr>
          <w:sz w:val="24"/>
          <w:szCs w:val="24"/>
        </w:rPr>
        <w:t xml:space="preserve">Tabel </w:t>
      </w:r>
      <w:r w:rsidRPr="00F47ED1">
        <w:rPr>
          <w:sz w:val="24"/>
          <w:szCs w:val="24"/>
        </w:rPr>
        <w:fldChar w:fldCharType="begin"/>
      </w:r>
      <w:r w:rsidRPr="00F47ED1">
        <w:rPr>
          <w:sz w:val="24"/>
          <w:szCs w:val="24"/>
        </w:rPr>
        <w:instrText xml:space="preserve"> SEQ Table \* ARABIC </w:instrText>
      </w:r>
      <w:r w:rsidRPr="00F47ED1">
        <w:rPr>
          <w:sz w:val="24"/>
          <w:szCs w:val="24"/>
        </w:rPr>
        <w:fldChar w:fldCharType="separate"/>
      </w:r>
      <w:r w:rsidR="00D378BF">
        <w:rPr>
          <w:noProof/>
          <w:sz w:val="24"/>
          <w:szCs w:val="24"/>
        </w:rPr>
        <w:t>1</w:t>
      </w:r>
      <w:r w:rsidRPr="00F47ED1">
        <w:rPr>
          <w:sz w:val="24"/>
          <w:szCs w:val="24"/>
        </w:rPr>
        <w:fldChar w:fldCharType="end"/>
      </w:r>
      <w:r w:rsidRPr="00F47ED1">
        <w:rPr>
          <w:sz w:val="24"/>
          <w:szCs w:val="24"/>
        </w:rPr>
        <w:t>. BSA-baseret dosering ved kemoterapi – Børn i alderen ≥ 6 måneder og unge.</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11"/>
        <w:gridCol w:w="2812"/>
      </w:tblGrid>
      <w:tr w:rsidR="00F625E6" w:rsidRPr="00F47ED1" w14:paraId="789FB459" w14:textId="77777777" w:rsidTr="0071192A">
        <w:tc>
          <w:tcPr>
            <w:tcW w:w="2457" w:type="dxa"/>
            <w:tcBorders>
              <w:top w:val="single" w:sz="4" w:space="0" w:color="auto"/>
              <w:left w:val="single" w:sz="4" w:space="0" w:color="auto"/>
              <w:bottom w:val="single" w:sz="4" w:space="0" w:color="auto"/>
              <w:right w:val="single" w:sz="4" w:space="0" w:color="auto"/>
            </w:tcBorders>
            <w:hideMark/>
          </w:tcPr>
          <w:p w14:paraId="05116736" w14:textId="77777777" w:rsidR="00F625E6" w:rsidRPr="00F47ED1" w:rsidRDefault="00F625E6">
            <w:pPr>
              <w:autoSpaceDE w:val="0"/>
              <w:autoSpaceDN w:val="0"/>
              <w:adjustRightInd w:val="0"/>
              <w:ind w:right="366"/>
              <w:rPr>
                <w:rFonts w:eastAsia="ArialMT"/>
                <w:iCs/>
                <w:sz w:val="24"/>
                <w:szCs w:val="24"/>
                <w:lang w:val="en-GB" w:eastAsia="sv-SE"/>
              </w:rPr>
            </w:pPr>
            <w:r w:rsidRPr="00F47ED1">
              <w:rPr>
                <w:rFonts w:eastAsia="ArialMT"/>
                <w:b/>
                <w:bCs/>
                <w:iCs/>
                <w:sz w:val="24"/>
                <w:szCs w:val="24"/>
                <w:lang w:val="en-GB" w:eastAsia="sv-SE"/>
              </w:rPr>
              <w:t>BSA</w:t>
            </w:r>
          </w:p>
        </w:tc>
        <w:tc>
          <w:tcPr>
            <w:tcW w:w="2811" w:type="dxa"/>
            <w:tcBorders>
              <w:top w:val="single" w:sz="4" w:space="0" w:color="auto"/>
              <w:left w:val="single" w:sz="4" w:space="0" w:color="auto"/>
              <w:bottom w:val="single" w:sz="4" w:space="0" w:color="auto"/>
              <w:right w:val="single" w:sz="4" w:space="0" w:color="auto"/>
            </w:tcBorders>
            <w:hideMark/>
          </w:tcPr>
          <w:p w14:paraId="07B1477B" w14:textId="77777777" w:rsidR="00F625E6" w:rsidRPr="00F47ED1" w:rsidRDefault="00F625E6">
            <w:pPr>
              <w:autoSpaceDE w:val="0"/>
              <w:autoSpaceDN w:val="0"/>
              <w:adjustRightInd w:val="0"/>
              <w:ind w:right="1201"/>
              <w:rPr>
                <w:rFonts w:eastAsia="ArialMT"/>
                <w:b/>
                <w:bCs/>
                <w:iCs/>
                <w:sz w:val="24"/>
                <w:szCs w:val="24"/>
                <w:vertAlign w:val="superscript"/>
                <w:lang w:val="en-GB" w:eastAsia="sv-SE"/>
              </w:rPr>
            </w:pPr>
            <w:r w:rsidRPr="00F47ED1">
              <w:rPr>
                <w:rFonts w:eastAsia="ArialMT"/>
                <w:b/>
                <w:bCs/>
                <w:iCs/>
                <w:sz w:val="24"/>
                <w:szCs w:val="24"/>
                <w:lang w:val="en-GB" w:eastAsia="sv-SE"/>
              </w:rPr>
              <w:t>Dag 1</w:t>
            </w:r>
            <w:r w:rsidRPr="00F47ED1">
              <w:rPr>
                <w:rFonts w:eastAsia="ArialMT"/>
                <w:b/>
                <w:bCs/>
                <w:iCs/>
                <w:sz w:val="24"/>
                <w:szCs w:val="24"/>
                <w:vertAlign w:val="superscript"/>
                <w:lang w:val="en-GB" w:eastAsia="sv-SE"/>
              </w:rPr>
              <w:t>(</w:t>
            </w:r>
            <w:proofErr w:type="spellStart"/>
            <w:proofErr w:type="gramStart"/>
            <w:r w:rsidRPr="00F47ED1">
              <w:rPr>
                <w:rFonts w:eastAsia="ArialMT"/>
                <w:b/>
                <w:bCs/>
                <w:iCs/>
                <w:sz w:val="24"/>
                <w:szCs w:val="24"/>
                <w:vertAlign w:val="superscript"/>
                <w:lang w:val="en-GB" w:eastAsia="sv-SE"/>
              </w:rPr>
              <w:t>a,b</w:t>
            </w:r>
            <w:proofErr w:type="spellEnd"/>
            <w:proofErr w:type="gramEnd"/>
            <w:r w:rsidRPr="00F47ED1">
              <w:rPr>
                <w:rFonts w:eastAsia="ArialMT"/>
                <w:b/>
                <w:bCs/>
                <w:iCs/>
                <w:sz w:val="24"/>
                <w:szCs w:val="24"/>
                <w:vertAlign w:val="superscript"/>
                <w:lang w:val="en-GB" w:eastAsia="sv-SE"/>
              </w:rPr>
              <w:t>)</w:t>
            </w:r>
          </w:p>
        </w:tc>
        <w:tc>
          <w:tcPr>
            <w:tcW w:w="2812" w:type="dxa"/>
            <w:tcBorders>
              <w:top w:val="single" w:sz="4" w:space="0" w:color="auto"/>
              <w:left w:val="single" w:sz="4" w:space="0" w:color="auto"/>
              <w:bottom w:val="single" w:sz="4" w:space="0" w:color="auto"/>
              <w:right w:val="single" w:sz="4" w:space="0" w:color="auto"/>
            </w:tcBorders>
            <w:hideMark/>
          </w:tcPr>
          <w:p w14:paraId="370FEA63" w14:textId="77777777" w:rsidR="00F625E6" w:rsidRPr="00F47ED1" w:rsidRDefault="00F625E6">
            <w:pPr>
              <w:autoSpaceDE w:val="0"/>
              <w:autoSpaceDN w:val="0"/>
              <w:adjustRightInd w:val="0"/>
              <w:ind w:right="1201"/>
              <w:rPr>
                <w:rFonts w:eastAsia="ArialMT"/>
                <w:b/>
                <w:bCs/>
                <w:iCs/>
                <w:sz w:val="24"/>
                <w:szCs w:val="24"/>
                <w:vertAlign w:val="superscript"/>
                <w:lang w:val="en-GB" w:eastAsia="sv-SE"/>
              </w:rPr>
            </w:pPr>
            <w:r w:rsidRPr="00F47ED1">
              <w:rPr>
                <w:rFonts w:eastAsia="ArialMT"/>
                <w:b/>
                <w:bCs/>
                <w:iCs/>
                <w:sz w:val="24"/>
                <w:szCs w:val="24"/>
                <w:lang w:val="en-GB" w:eastAsia="sv-SE"/>
              </w:rPr>
              <w:t>Dag 2-6</w:t>
            </w:r>
            <w:r w:rsidRPr="00F47ED1">
              <w:rPr>
                <w:rFonts w:eastAsia="ArialMT"/>
                <w:b/>
                <w:bCs/>
                <w:iCs/>
                <w:sz w:val="24"/>
                <w:szCs w:val="24"/>
                <w:vertAlign w:val="superscript"/>
                <w:lang w:val="en-GB" w:eastAsia="sv-SE"/>
              </w:rPr>
              <w:t>(b)</w:t>
            </w:r>
          </w:p>
        </w:tc>
      </w:tr>
      <w:tr w:rsidR="00F625E6" w:rsidRPr="00F47ED1" w14:paraId="155FBB8A" w14:textId="77777777" w:rsidTr="0071192A">
        <w:tc>
          <w:tcPr>
            <w:tcW w:w="2457" w:type="dxa"/>
            <w:tcBorders>
              <w:top w:val="single" w:sz="4" w:space="0" w:color="auto"/>
              <w:left w:val="single" w:sz="4" w:space="0" w:color="auto"/>
              <w:bottom w:val="single" w:sz="4" w:space="0" w:color="auto"/>
              <w:right w:val="single" w:sz="4" w:space="0" w:color="auto"/>
            </w:tcBorders>
            <w:hideMark/>
          </w:tcPr>
          <w:p w14:paraId="21D6B91D" w14:textId="77777777" w:rsidR="00F625E6" w:rsidRPr="00F47ED1" w:rsidRDefault="00F625E6">
            <w:pPr>
              <w:autoSpaceDE w:val="0"/>
              <w:autoSpaceDN w:val="0"/>
              <w:adjustRightInd w:val="0"/>
              <w:ind w:right="178"/>
              <w:rPr>
                <w:rFonts w:eastAsia="ArialMT"/>
                <w:iCs/>
                <w:sz w:val="24"/>
                <w:szCs w:val="24"/>
                <w:lang w:val="en-GB" w:eastAsia="sv-SE"/>
              </w:rPr>
            </w:pPr>
            <w:r w:rsidRPr="00F47ED1">
              <w:rPr>
                <w:rFonts w:eastAsia="ArialMT"/>
                <w:iCs/>
                <w:sz w:val="24"/>
                <w:szCs w:val="24"/>
                <w:lang w:val="en-GB" w:eastAsia="sv-SE"/>
              </w:rPr>
              <w:t>&lt; 0,6 m</w:t>
            </w:r>
            <w:r w:rsidRPr="00F47ED1">
              <w:rPr>
                <w:rFonts w:eastAsia="ArialMT"/>
                <w:iCs/>
                <w:sz w:val="24"/>
                <w:szCs w:val="24"/>
                <w:vertAlign w:val="superscript"/>
                <w:lang w:val="en-GB" w:eastAsia="sv-SE"/>
              </w:rPr>
              <w:t>2</w:t>
            </w:r>
          </w:p>
        </w:tc>
        <w:tc>
          <w:tcPr>
            <w:tcW w:w="2811" w:type="dxa"/>
            <w:tcBorders>
              <w:top w:val="single" w:sz="4" w:space="0" w:color="auto"/>
              <w:left w:val="single" w:sz="4" w:space="0" w:color="auto"/>
              <w:bottom w:val="single" w:sz="4" w:space="0" w:color="auto"/>
              <w:right w:val="single" w:sz="4" w:space="0" w:color="auto"/>
            </w:tcBorders>
            <w:hideMark/>
          </w:tcPr>
          <w:p w14:paraId="45884DE6" w14:textId="77777777" w:rsidR="00F625E6" w:rsidRPr="00F47ED1" w:rsidRDefault="00F625E6">
            <w:pPr>
              <w:autoSpaceDE w:val="0"/>
              <w:autoSpaceDN w:val="0"/>
              <w:adjustRightInd w:val="0"/>
              <w:ind w:right="27"/>
              <w:rPr>
                <w:rFonts w:eastAsia="ArialMT"/>
                <w:iCs/>
                <w:sz w:val="24"/>
                <w:szCs w:val="24"/>
                <w:lang w:eastAsia="sv-SE"/>
              </w:rPr>
            </w:pPr>
            <w:r w:rsidRPr="00F47ED1">
              <w:rPr>
                <w:rFonts w:eastAsia="ArialMT"/>
                <w:iCs/>
                <w:sz w:val="24"/>
                <w:szCs w:val="24"/>
                <w:lang w:eastAsia="sv-SE"/>
              </w:rPr>
              <w:t>5 mg/m</w:t>
            </w:r>
            <w:r w:rsidRPr="00F47ED1">
              <w:rPr>
                <w:rFonts w:eastAsia="ArialMT"/>
                <w:iCs/>
                <w:sz w:val="24"/>
                <w:szCs w:val="24"/>
                <w:vertAlign w:val="superscript"/>
                <w:lang w:eastAsia="sv-SE"/>
              </w:rPr>
              <w:t>2</w:t>
            </w:r>
            <w:r w:rsidRPr="00F47ED1">
              <w:rPr>
                <w:rFonts w:eastAsia="ArialMT"/>
                <w:iCs/>
                <w:sz w:val="24"/>
                <w:szCs w:val="24"/>
                <w:lang w:eastAsia="sv-SE"/>
              </w:rPr>
              <w:t xml:space="preserve"> </w:t>
            </w:r>
            <w:proofErr w:type="spellStart"/>
            <w:r w:rsidRPr="00F47ED1">
              <w:rPr>
                <w:rFonts w:eastAsia="ArialMT"/>
                <w:iCs/>
                <w:sz w:val="24"/>
                <w:szCs w:val="24"/>
                <w:lang w:eastAsia="sv-SE"/>
              </w:rPr>
              <w:t>i.v</w:t>
            </w:r>
            <w:proofErr w:type="spellEnd"/>
            <w:r w:rsidRPr="00F47ED1">
              <w:rPr>
                <w:rFonts w:eastAsia="ArialMT"/>
                <w:iCs/>
                <w:sz w:val="24"/>
                <w:szCs w:val="24"/>
                <w:lang w:eastAsia="sv-SE"/>
              </w:rPr>
              <w:t>.</w:t>
            </w:r>
          </w:p>
          <w:p w14:paraId="19214B85" w14:textId="77777777" w:rsidR="00F625E6" w:rsidRPr="00F47ED1" w:rsidRDefault="00F625E6">
            <w:pPr>
              <w:autoSpaceDE w:val="0"/>
              <w:autoSpaceDN w:val="0"/>
              <w:adjustRightInd w:val="0"/>
              <w:ind w:right="168"/>
              <w:rPr>
                <w:rFonts w:eastAsia="ArialMT"/>
                <w:iCs/>
                <w:sz w:val="24"/>
                <w:szCs w:val="24"/>
                <w:lang w:eastAsia="sv-SE"/>
              </w:rPr>
            </w:pPr>
            <w:r w:rsidRPr="00F47ED1">
              <w:rPr>
                <w:rFonts w:eastAsia="ArialMT"/>
                <w:iCs/>
                <w:sz w:val="24"/>
                <w:szCs w:val="24"/>
                <w:lang w:eastAsia="sv-SE"/>
              </w:rPr>
              <w:t xml:space="preserve">2 mg </w:t>
            </w:r>
            <w:proofErr w:type="spellStart"/>
            <w:r w:rsidRPr="00F47ED1">
              <w:rPr>
                <w:rFonts w:eastAsia="ArialMT"/>
                <w:iCs/>
                <w:sz w:val="24"/>
                <w:szCs w:val="24"/>
                <w:lang w:eastAsia="sv-SE"/>
              </w:rPr>
              <w:t>syrup</w:t>
            </w:r>
            <w:proofErr w:type="spellEnd"/>
            <w:r w:rsidRPr="00F47ED1">
              <w:rPr>
                <w:rFonts w:eastAsia="ArialMT"/>
                <w:iCs/>
                <w:sz w:val="24"/>
                <w:szCs w:val="24"/>
                <w:lang w:eastAsia="sv-SE"/>
              </w:rPr>
              <w:t xml:space="preserve"> eller tablet efter 12 timer</w:t>
            </w:r>
          </w:p>
        </w:tc>
        <w:tc>
          <w:tcPr>
            <w:tcW w:w="2812" w:type="dxa"/>
            <w:tcBorders>
              <w:top w:val="single" w:sz="4" w:space="0" w:color="auto"/>
              <w:left w:val="single" w:sz="4" w:space="0" w:color="auto"/>
              <w:bottom w:val="single" w:sz="4" w:space="0" w:color="auto"/>
              <w:right w:val="single" w:sz="4" w:space="0" w:color="auto"/>
            </w:tcBorders>
            <w:hideMark/>
          </w:tcPr>
          <w:p w14:paraId="2D5AF46D" w14:textId="77777777" w:rsidR="00F625E6" w:rsidRPr="00F47ED1" w:rsidRDefault="00F625E6">
            <w:pPr>
              <w:autoSpaceDE w:val="0"/>
              <w:autoSpaceDN w:val="0"/>
              <w:adjustRightInd w:val="0"/>
              <w:ind w:right="311"/>
              <w:rPr>
                <w:rFonts w:eastAsia="ArialMT"/>
                <w:iCs/>
                <w:sz w:val="24"/>
                <w:szCs w:val="24"/>
                <w:lang w:eastAsia="sv-SE"/>
              </w:rPr>
            </w:pPr>
            <w:r w:rsidRPr="00F47ED1">
              <w:rPr>
                <w:rFonts w:eastAsia="ArialMT"/>
                <w:iCs/>
                <w:sz w:val="24"/>
                <w:szCs w:val="24"/>
                <w:lang w:eastAsia="sv-SE"/>
              </w:rPr>
              <w:t xml:space="preserve">2 mg </w:t>
            </w:r>
            <w:proofErr w:type="spellStart"/>
            <w:r w:rsidRPr="00F47ED1">
              <w:rPr>
                <w:rFonts w:eastAsia="ArialMT"/>
                <w:iCs/>
                <w:sz w:val="24"/>
                <w:szCs w:val="24"/>
                <w:lang w:eastAsia="sv-SE"/>
              </w:rPr>
              <w:t>syrup</w:t>
            </w:r>
            <w:proofErr w:type="spellEnd"/>
            <w:r w:rsidRPr="00F47ED1">
              <w:rPr>
                <w:rFonts w:eastAsia="ArialMT"/>
                <w:iCs/>
                <w:sz w:val="24"/>
                <w:szCs w:val="24"/>
                <w:lang w:eastAsia="sv-SE"/>
              </w:rPr>
              <w:t xml:space="preserve"> eller tablet hver 12. time</w:t>
            </w:r>
          </w:p>
        </w:tc>
      </w:tr>
      <w:tr w:rsidR="00F625E6" w:rsidRPr="00F47ED1" w14:paraId="584E3CE9" w14:textId="77777777" w:rsidTr="0071192A">
        <w:trPr>
          <w:trHeight w:val="439"/>
        </w:trPr>
        <w:tc>
          <w:tcPr>
            <w:tcW w:w="2457" w:type="dxa"/>
            <w:tcBorders>
              <w:top w:val="single" w:sz="4" w:space="0" w:color="auto"/>
              <w:left w:val="single" w:sz="4" w:space="0" w:color="auto"/>
              <w:bottom w:val="single" w:sz="4" w:space="0" w:color="auto"/>
              <w:right w:val="single" w:sz="4" w:space="0" w:color="auto"/>
            </w:tcBorders>
            <w:hideMark/>
          </w:tcPr>
          <w:p w14:paraId="14AA4A9E" w14:textId="77777777" w:rsidR="00F625E6" w:rsidRPr="00F47ED1" w:rsidRDefault="00F625E6">
            <w:pPr>
              <w:autoSpaceDE w:val="0"/>
              <w:autoSpaceDN w:val="0"/>
              <w:adjustRightInd w:val="0"/>
              <w:ind w:right="177"/>
              <w:rPr>
                <w:rFonts w:eastAsia="ArialMT"/>
                <w:iCs/>
                <w:sz w:val="24"/>
                <w:szCs w:val="24"/>
                <w:lang w:val="en-GB" w:eastAsia="sv-SE"/>
              </w:rPr>
            </w:pPr>
            <w:r w:rsidRPr="00F47ED1">
              <w:rPr>
                <w:rFonts w:eastAsia="ArialMT"/>
                <w:iCs/>
                <w:sz w:val="24"/>
                <w:szCs w:val="24"/>
                <w:lang w:val="en-GB" w:eastAsia="sv-SE"/>
              </w:rPr>
              <w:t>≥ 0,6 m</w:t>
            </w:r>
            <w:r w:rsidRPr="00F47ED1">
              <w:rPr>
                <w:rFonts w:eastAsia="ArialMT"/>
                <w:iCs/>
                <w:sz w:val="24"/>
                <w:szCs w:val="24"/>
                <w:vertAlign w:val="superscript"/>
                <w:lang w:val="en-GB" w:eastAsia="sv-SE"/>
              </w:rPr>
              <w:t>2</w:t>
            </w:r>
          </w:p>
        </w:tc>
        <w:tc>
          <w:tcPr>
            <w:tcW w:w="2811" w:type="dxa"/>
            <w:tcBorders>
              <w:top w:val="single" w:sz="4" w:space="0" w:color="auto"/>
              <w:left w:val="single" w:sz="4" w:space="0" w:color="auto"/>
              <w:bottom w:val="single" w:sz="4" w:space="0" w:color="auto"/>
              <w:right w:val="single" w:sz="4" w:space="0" w:color="auto"/>
            </w:tcBorders>
            <w:hideMark/>
          </w:tcPr>
          <w:p w14:paraId="63FD4CB0" w14:textId="77777777" w:rsidR="00F625E6" w:rsidRPr="00F47ED1" w:rsidRDefault="00F625E6">
            <w:pPr>
              <w:tabs>
                <w:tab w:val="left" w:pos="890"/>
              </w:tabs>
              <w:autoSpaceDE w:val="0"/>
              <w:autoSpaceDN w:val="0"/>
              <w:adjustRightInd w:val="0"/>
              <w:rPr>
                <w:rFonts w:eastAsia="ArialMT"/>
                <w:iCs/>
                <w:sz w:val="24"/>
                <w:szCs w:val="24"/>
                <w:lang w:eastAsia="sv-SE"/>
              </w:rPr>
            </w:pPr>
            <w:r w:rsidRPr="00F47ED1">
              <w:rPr>
                <w:rFonts w:eastAsia="ArialMT"/>
                <w:iCs/>
                <w:sz w:val="24"/>
                <w:szCs w:val="24"/>
                <w:lang w:eastAsia="sv-SE"/>
              </w:rPr>
              <w:t>5 mg/m</w:t>
            </w:r>
            <w:r w:rsidRPr="00F47ED1">
              <w:rPr>
                <w:rFonts w:eastAsia="ArialMT"/>
                <w:iCs/>
                <w:sz w:val="24"/>
                <w:szCs w:val="24"/>
                <w:vertAlign w:val="superscript"/>
                <w:lang w:eastAsia="sv-SE"/>
              </w:rPr>
              <w:t>2</w:t>
            </w:r>
            <w:r w:rsidRPr="00F47ED1">
              <w:rPr>
                <w:rFonts w:eastAsia="ArialMT"/>
                <w:iCs/>
                <w:sz w:val="24"/>
                <w:szCs w:val="24"/>
                <w:lang w:eastAsia="sv-SE"/>
              </w:rPr>
              <w:t xml:space="preserve"> </w:t>
            </w:r>
            <w:proofErr w:type="spellStart"/>
            <w:r w:rsidRPr="00F47ED1">
              <w:rPr>
                <w:rFonts w:eastAsia="ArialMT"/>
                <w:iCs/>
                <w:sz w:val="24"/>
                <w:szCs w:val="24"/>
                <w:lang w:eastAsia="sv-SE"/>
              </w:rPr>
              <w:t>i.v</w:t>
            </w:r>
            <w:proofErr w:type="spellEnd"/>
            <w:r w:rsidRPr="00F47ED1">
              <w:rPr>
                <w:rFonts w:eastAsia="ArialMT"/>
                <w:iCs/>
                <w:sz w:val="24"/>
                <w:szCs w:val="24"/>
                <w:lang w:eastAsia="sv-SE"/>
              </w:rPr>
              <w:t>.</w:t>
            </w:r>
          </w:p>
          <w:p w14:paraId="0773EC1C" w14:textId="77777777" w:rsidR="00F625E6" w:rsidRPr="00F47ED1" w:rsidRDefault="00F625E6">
            <w:pPr>
              <w:tabs>
                <w:tab w:val="left" w:pos="890"/>
              </w:tabs>
              <w:autoSpaceDE w:val="0"/>
              <w:autoSpaceDN w:val="0"/>
              <w:adjustRightInd w:val="0"/>
              <w:ind w:right="310"/>
              <w:rPr>
                <w:rFonts w:eastAsia="ArialMT"/>
                <w:iCs/>
                <w:sz w:val="24"/>
                <w:szCs w:val="24"/>
                <w:lang w:eastAsia="sv-SE"/>
              </w:rPr>
            </w:pPr>
            <w:r w:rsidRPr="00F47ED1">
              <w:rPr>
                <w:rFonts w:eastAsia="ArialMT"/>
                <w:iCs/>
                <w:sz w:val="24"/>
                <w:szCs w:val="24"/>
                <w:lang w:eastAsia="sv-SE"/>
              </w:rPr>
              <w:t xml:space="preserve">4 mg </w:t>
            </w:r>
            <w:proofErr w:type="spellStart"/>
            <w:r w:rsidRPr="00F47ED1">
              <w:rPr>
                <w:rFonts w:eastAsia="ArialMT"/>
                <w:iCs/>
                <w:sz w:val="24"/>
                <w:szCs w:val="24"/>
                <w:lang w:eastAsia="sv-SE"/>
              </w:rPr>
              <w:t>syrup</w:t>
            </w:r>
            <w:proofErr w:type="spellEnd"/>
            <w:r w:rsidRPr="00F47ED1">
              <w:rPr>
                <w:rFonts w:eastAsia="ArialMT"/>
                <w:iCs/>
                <w:sz w:val="24"/>
                <w:szCs w:val="24"/>
                <w:lang w:eastAsia="sv-SE"/>
              </w:rPr>
              <w:t xml:space="preserve"> eller tablet efter 12 timer</w:t>
            </w:r>
          </w:p>
        </w:tc>
        <w:tc>
          <w:tcPr>
            <w:tcW w:w="2812" w:type="dxa"/>
            <w:tcBorders>
              <w:top w:val="single" w:sz="4" w:space="0" w:color="auto"/>
              <w:left w:val="single" w:sz="4" w:space="0" w:color="auto"/>
              <w:bottom w:val="single" w:sz="4" w:space="0" w:color="auto"/>
              <w:right w:val="single" w:sz="4" w:space="0" w:color="auto"/>
            </w:tcBorders>
          </w:tcPr>
          <w:p w14:paraId="05359E6E" w14:textId="77777777" w:rsidR="00F625E6" w:rsidRPr="00F47ED1" w:rsidRDefault="00F625E6">
            <w:pPr>
              <w:autoSpaceDE w:val="0"/>
              <w:autoSpaceDN w:val="0"/>
              <w:adjustRightInd w:val="0"/>
              <w:ind w:right="311"/>
              <w:rPr>
                <w:rFonts w:eastAsia="ArialMT"/>
                <w:iCs/>
                <w:sz w:val="24"/>
                <w:szCs w:val="24"/>
                <w:lang w:eastAsia="sv-SE"/>
              </w:rPr>
            </w:pPr>
            <w:r w:rsidRPr="00F47ED1">
              <w:rPr>
                <w:rFonts w:eastAsia="ArialMT"/>
                <w:iCs/>
                <w:sz w:val="24"/>
                <w:szCs w:val="24"/>
                <w:lang w:eastAsia="sv-SE"/>
              </w:rPr>
              <w:t xml:space="preserve">4 mg </w:t>
            </w:r>
            <w:proofErr w:type="spellStart"/>
            <w:r w:rsidRPr="00F47ED1">
              <w:rPr>
                <w:rFonts w:eastAsia="ArialMT"/>
                <w:iCs/>
                <w:sz w:val="24"/>
                <w:szCs w:val="24"/>
                <w:lang w:eastAsia="sv-SE"/>
              </w:rPr>
              <w:t>syrup</w:t>
            </w:r>
            <w:proofErr w:type="spellEnd"/>
            <w:r w:rsidRPr="00F47ED1">
              <w:rPr>
                <w:rFonts w:eastAsia="ArialMT"/>
                <w:iCs/>
                <w:sz w:val="24"/>
                <w:szCs w:val="24"/>
                <w:lang w:eastAsia="sv-SE"/>
              </w:rPr>
              <w:t xml:space="preserve"> eller tablet hver 12. time</w:t>
            </w:r>
          </w:p>
          <w:p w14:paraId="750B9489" w14:textId="77777777" w:rsidR="00F625E6" w:rsidRPr="00F47ED1" w:rsidRDefault="00F625E6">
            <w:pPr>
              <w:autoSpaceDE w:val="0"/>
              <w:autoSpaceDN w:val="0"/>
              <w:adjustRightInd w:val="0"/>
              <w:ind w:right="1201"/>
              <w:rPr>
                <w:rFonts w:eastAsia="ArialMT"/>
                <w:iCs/>
                <w:sz w:val="24"/>
                <w:szCs w:val="24"/>
                <w:lang w:eastAsia="sv-SE"/>
              </w:rPr>
            </w:pPr>
          </w:p>
        </w:tc>
      </w:tr>
    </w:tbl>
    <w:p w14:paraId="4C839B46" w14:textId="77777777" w:rsidR="00F625E6" w:rsidRPr="00F47ED1" w:rsidRDefault="00F625E6" w:rsidP="0071192A">
      <w:pPr>
        <w:tabs>
          <w:tab w:val="left" w:pos="851"/>
        </w:tabs>
        <w:ind w:left="851"/>
        <w:rPr>
          <w:color w:val="000000"/>
          <w:sz w:val="24"/>
          <w:szCs w:val="24"/>
        </w:rPr>
      </w:pPr>
      <w:r w:rsidRPr="00F47ED1">
        <w:rPr>
          <w:color w:val="000000"/>
          <w:sz w:val="24"/>
          <w:szCs w:val="24"/>
          <w:vertAlign w:val="superscript"/>
        </w:rPr>
        <w:t xml:space="preserve">a. </w:t>
      </w:r>
      <w:r w:rsidRPr="00F47ED1">
        <w:rPr>
          <w:color w:val="000000"/>
          <w:sz w:val="24"/>
          <w:szCs w:val="24"/>
        </w:rPr>
        <w:t>Den intravenøse dosis må ikke overstige 8 mg.</w:t>
      </w:r>
    </w:p>
    <w:p w14:paraId="6FE8A418" w14:textId="77777777" w:rsidR="00F625E6" w:rsidRPr="00F47ED1" w:rsidRDefault="00F625E6" w:rsidP="0071192A">
      <w:pPr>
        <w:ind w:left="851"/>
        <w:rPr>
          <w:sz w:val="24"/>
          <w:szCs w:val="24"/>
        </w:rPr>
      </w:pPr>
      <w:r w:rsidRPr="00F47ED1">
        <w:rPr>
          <w:color w:val="000000"/>
          <w:sz w:val="24"/>
          <w:szCs w:val="24"/>
          <w:vertAlign w:val="superscript"/>
        </w:rPr>
        <w:t xml:space="preserve">b. </w:t>
      </w:r>
      <w:r w:rsidRPr="00F47ED1">
        <w:rPr>
          <w:color w:val="000000"/>
          <w:sz w:val="24"/>
          <w:szCs w:val="24"/>
        </w:rPr>
        <w:t>Den totale daglige dosis må ikke overstige voksendosen på 32 mg.</w:t>
      </w:r>
    </w:p>
    <w:p w14:paraId="4AEC1A7D" w14:textId="77777777" w:rsidR="00F625E6" w:rsidRPr="00F47ED1" w:rsidRDefault="00F625E6" w:rsidP="0071192A">
      <w:pPr>
        <w:ind w:left="851"/>
        <w:rPr>
          <w:sz w:val="24"/>
          <w:szCs w:val="24"/>
        </w:rPr>
      </w:pPr>
    </w:p>
    <w:p w14:paraId="5EC10B4B" w14:textId="77777777" w:rsidR="00F625E6" w:rsidRPr="00F47ED1" w:rsidRDefault="00F625E6" w:rsidP="0071192A">
      <w:pPr>
        <w:ind w:left="851"/>
        <w:rPr>
          <w:sz w:val="24"/>
          <w:szCs w:val="24"/>
        </w:rPr>
      </w:pPr>
      <w:r w:rsidRPr="00F47ED1">
        <w:rPr>
          <w:sz w:val="24"/>
          <w:szCs w:val="24"/>
        </w:rPr>
        <w:t>Dosering baseret på legemsvægt:</w:t>
      </w:r>
    </w:p>
    <w:p w14:paraId="2EDB2CF1" w14:textId="77777777" w:rsidR="00F625E6" w:rsidRPr="00F47ED1" w:rsidRDefault="00F625E6" w:rsidP="0071192A">
      <w:pPr>
        <w:ind w:left="851"/>
        <w:rPr>
          <w:color w:val="000000"/>
          <w:sz w:val="24"/>
          <w:szCs w:val="24"/>
        </w:rPr>
      </w:pPr>
      <w:r w:rsidRPr="00F47ED1">
        <w:rPr>
          <w:color w:val="000000"/>
          <w:sz w:val="24"/>
          <w:szCs w:val="24"/>
        </w:rPr>
        <w:t>Vægtbaseret dosering resulterer i en højere total daglig dosis end BSA-baseret dosering – se pkt. 4.4 og 5.1.</w:t>
      </w:r>
    </w:p>
    <w:p w14:paraId="2957D439" w14:textId="77777777" w:rsidR="00F625E6" w:rsidRPr="00F47ED1" w:rsidRDefault="00F625E6" w:rsidP="0071192A">
      <w:pPr>
        <w:ind w:left="851"/>
        <w:rPr>
          <w:color w:val="000000"/>
          <w:sz w:val="24"/>
          <w:szCs w:val="24"/>
        </w:rPr>
      </w:pPr>
      <w:proofErr w:type="spellStart"/>
      <w:r w:rsidRPr="00F47ED1">
        <w:rPr>
          <w:color w:val="000000"/>
          <w:sz w:val="24"/>
          <w:szCs w:val="24"/>
        </w:rPr>
        <w:t>Ondansetron</w:t>
      </w:r>
      <w:proofErr w:type="spellEnd"/>
      <w:r w:rsidRPr="00F47ED1">
        <w:rPr>
          <w:color w:val="000000"/>
          <w:sz w:val="24"/>
          <w:szCs w:val="24"/>
        </w:rPr>
        <w:t xml:space="preserve"> skal administreres </w:t>
      </w:r>
      <w:r w:rsidRPr="00F47ED1">
        <w:rPr>
          <w:spacing w:val="-3"/>
          <w:sz w:val="24"/>
          <w:szCs w:val="24"/>
        </w:rPr>
        <w:t>umiddelbart før kemoterapi som en enkelt intravenøs dosis på</w:t>
      </w:r>
      <w:r w:rsidRPr="00F47ED1">
        <w:rPr>
          <w:color w:val="000000"/>
          <w:sz w:val="24"/>
          <w:szCs w:val="24"/>
        </w:rPr>
        <w:t xml:space="preserve"> 0,15 mg/kg. Den intravenøse dosis må ikke overstige 8 mg. Der kan gives yderligere to intravenøse doser med 4 timers interval. Den totale daglige dosis må ikke overstige voksendosen på 32 mg. Oral dosering kan påbegyndes 12 timer senere og kan forsættes i op til 5 dage. Se tabel 2 nedenfor.</w:t>
      </w:r>
    </w:p>
    <w:p w14:paraId="29754ACD" w14:textId="77777777" w:rsidR="00F625E6" w:rsidRPr="00F47ED1" w:rsidRDefault="00F625E6" w:rsidP="00F625E6">
      <w:pPr>
        <w:rPr>
          <w:color w:val="000000"/>
          <w:sz w:val="24"/>
          <w:szCs w:val="24"/>
        </w:rPr>
      </w:pPr>
    </w:p>
    <w:p w14:paraId="13C367E0" w14:textId="77777777" w:rsidR="00F625E6" w:rsidRPr="00F47ED1" w:rsidRDefault="00F625E6" w:rsidP="0071192A">
      <w:pPr>
        <w:ind w:left="851"/>
        <w:rPr>
          <w:color w:val="000000"/>
          <w:sz w:val="24"/>
          <w:szCs w:val="24"/>
        </w:rPr>
      </w:pPr>
      <w:r w:rsidRPr="00F47ED1">
        <w:rPr>
          <w:bCs/>
          <w:color w:val="000000"/>
          <w:sz w:val="24"/>
          <w:szCs w:val="24"/>
        </w:rPr>
        <w:t xml:space="preserve">Tabel 2. Vægtbaseret dosering ved kemoterapi – </w:t>
      </w:r>
      <w:r w:rsidRPr="00F47ED1">
        <w:rPr>
          <w:sz w:val="24"/>
          <w:szCs w:val="24"/>
        </w:rPr>
        <w:t>Børn i alderen ≥ 6 måneder og unge.</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11"/>
        <w:gridCol w:w="2812"/>
      </w:tblGrid>
      <w:tr w:rsidR="00F625E6" w:rsidRPr="00F47ED1" w14:paraId="4C66CCE8" w14:textId="77777777" w:rsidTr="0071192A">
        <w:tc>
          <w:tcPr>
            <w:tcW w:w="2457" w:type="dxa"/>
            <w:tcBorders>
              <w:top w:val="single" w:sz="4" w:space="0" w:color="auto"/>
              <w:left w:val="single" w:sz="4" w:space="0" w:color="auto"/>
              <w:bottom w:val="single" w:sz="4" w:space="0" w:color="auto"/>
              <w:right w:val="single" w:sz="4" w:space="0" w:color="auto"/>
            </w:tcBorders>
            <w:hideMark/>
          </w:tcPr>
          <w:p w14:paraId="4A74C834" w14:textId="77777777" w:rsidR="00F625E6" w:rsidRPr="00F47ED1" w:rsidRDefault="00F625E6">
            <w:pPr>
              <w:autoSpaceDE w:val="0"/>
              <w:autoSpaceDN w:val="0"/>
              <w:adjustRightInd w:val="0"/>
              <w:ind w:right="1201"/>
              <w:rPr>
                <w:rFonts w:eastAsia="ArialMT"/>
                <w:b/>
                <w:bCs/>
                <w:iCs/>
                <w:sz w:val="24"/>
                <w:szCs w:val="24"/>
                <w:lang w:val="en-GB" w:eastAsia="sv-SE"/>
              </w:rPr>
            </w:pPr>
            <w:proofErr w:type="spellStart"/>
            <w:r w:rsidRPr="00F47ED1">
              <w:rPr>
                <w:rFonts w:eastAsia="ArialMT"/>
                <w:b/>
                <w:bCs/>
                <w:iCs/>
                <w:sz w:val="24"/>
                <w:szCs w:val="24"/>
                <w:lang w:val="en-GB" w:eastAsia="sv-SE"/>
              </w:rPr>
              <w:t>Vægt</w:t>
            </w:r>
            <w:proofErr w:type="spellEnd"/>
          </w:p>
        </w:tc>
        <w:tc>
          <w:tcPr>
            <w:tcW w:w="2811" w:type="dxa"/>
            <w:tcBorders>
              <w:top w:val="single" w:sz="4" w:space="0" w:color="auto"/>
              <w:left w:val="single" w:sz="4" w:space="0" w:color="auto"/>
              <w:bottom w:val="single" w:sz="4" w:space="0" w:color="auto"/>
              <w:right w:val="single" w:sz="4" w:space="0" w:color="auto"/>
            </w:tcBorders>
            <w:hideMark/>
          </w:tcPr>
          <w:p w14:paraId="7D3145D5" w14:textId="77777777" w:rsidR="00F625E6" w:rsidRPr="00F47ED1" w:rsidRDefault="00F625E6">
            <w:pPr>
              <w:autoSpaceDE w:val="0"/>
              <w:autoSpaceDN w:val="0"/>
              <w:adjustRightInd w:val="0"/>
              <w:ind w:right="1201"/>
              <w:rPr>
                <w:rFonts w:eastAsia="ArialMT"/>
                <w:b/>
                <w:bCs/>
                <w:iCs/>
                <w:sz w:val="24"/>
                <w:szCs w:val="24"/>
                <w:vertAlign w:val="superscript"/>
                <w:lang w:val="en-GB" w:eastAsia="sv-SE"/>
              </w:rPr>
            </w:pPr>
            <w:r w:rsidRPr="00F47ED1">
              <w:rPr>
                <w:rFonts w:eastAsia="ArialMT"/>
                <w:b/>
                <w:bCs/>
                <w:iCs/>
                <w:sz w:val="24"/>
                <w:szCs w:val="24"/>
                <w:lang w:val="en-GB" w:eastAsia="sv-SE"/>
              </w:rPr>
              <w:t>Dag 1</w:t>
            </w:r>
            <w:r w:rsidRPr="00F47ED1">
              <w:rPr>
                <w:rFonts w:eastAsia="ArialMT"/>
                <w:b/>
                <w:bCs/>
                <w:iCs/>
                <w:sz w:val="24"/>
                <w:szCs w:val="24"/>
                <w:vertAlign w:val="superscript"/>
                <w:lang w:val="en-GB" w:eastAsia="sv-SE"/>
              </w:rPr>
              <w:t>(</w:t>
            </w:r>
            <w:proofErr w:type="spellStart"/>
            <w:proofErr w:type="gramStart"/>
            <w:r w:rsidRPr="00F47ED1">
              <w:rPr>
                <w:rFonts w:eastAsia="ArialMT"/>
                <w:b/>
                <w:bCs/>
                <w:iCs/>
                <w:sz w:val="24"/>
                <w:szCs w:val="24"/>
                <w:vertAlign w:val="superscript"/>
                <w:lang w:val="en-GB" w:eastAsia="sv-SE"/>
              </w:rPr>
              <w:t>a,b</w:t>
            </w:r>
            <w:proofErr w:type="spellEnd"/>
            <w:proofErr w:type="gramEnd"/>
            <w:r w:rsidRPr="00F47ED1">
              <w:rPr>
                <w:rFonts w:eastAsia="ArialMT"/>
                <w:b/>
                <w:bCs/>
                <w:iCs/>
                <w:sz w:val="24"/>
                <w:szCs w:val="24"/>
                <w:vertAlign w:val="superscript"/>
                <w:lang w:val="en-GB" w:eastAsia="sv-SE"/>
              </w:rPr>
              <w:t>)</w:t>
            </w:r>
          </w:p>
        </w:tc>
        <w:tc>
          <w:tcPr>
            <w:tcW w:w="2812" w:type="dxa"/>
            <w:tcBorders>
              <w:top w:val="single" w:sz="4" w:space="0" w:color="auto"/>
              <w:left w:val="single" w:sz="4" w:space="0" w:color="auto"/>
              <w:bottom w:val="single" w:sz="4" w:space="0" w:color="auto"/>
              <w:right w:val="single" w:sz="4" w:space="0" w:color="auto"/>
            </w:tcBorders>
            <w:hideMark/>
          </w:tcPr>
          <w:p w14:paraId="6650FF80" w14:textId="77777777" w:rsidR="00F625E6" w:rsidRPr="00F47ED1" w:rsidRDefault="00F625E6">
            <w:pPr>
              <w:autoSpaceDE w:val="0"/>
              <w:autoSpaceDN w:val="0"/>
              <w:adjustRightInd w:val="0"/>
              <w:ind w:right="1201"/>
              <w:rPr>
                <w:rFonts w:eastAsia="ArialMT"/>
                <w:b/>
                <w:bCs/>
                <w:iCs/>
                <w:sz w:val="24"/>
                <w:szCs w:val="24"/>
                <w:vertAlign w:val="superscript"/>
                <w:lang w:val="en-GB" w:eastAsia="sv-SE"/>
              </w:rPr>
            </w:pPr>
            <w:r w:rsidRPr="00F47ED1">
              <w:rPr>
                <w:rFonts w:eastAsia="ArialMT"/>
                <w:b/>
                <w:bCs/>
                <w:iCs/>
                <w:sz w:val="24"/>
                <w:szCs w:val="24"/>
                <w:lang w:val="en-GB" w:eastAsia="sv-SE"/>
              </w:rPr>
              <w:t>Dag 2-6</w:t>
            </w:r>
            <w:r w:rsidRPr="00F47ED1">
              <w:rPr>
                <w:rFonts w:eastAsia="ArialMT"/>
                <w:b/>
                <w:bCs/>
                <w:iCs/>
                <w:sz w:val="24"/>
                <w:szCs w:val="24"/>
                <w:vertAlign w:val="superscript"/>
                <w:lang w:val="en-GB" w:eastAsia="sv-SE"/>
              </w:rPr>
              <w:t>(b)</w:t>
            </w:r>
          </w:p>
        </w:tc>
      </w:tr>
      <w:tr w:rsidR="00F625E6" w:rsidRPr="00F47ED1" w14:paraId="26EF1709" w14:textId="77777777" w:rsidTr="0071192A">
        <w:tc>
          <w:tcPr>
            <w:tcW w:w="2457" w:type="dxa"/>
            <w:tcBorders>
              <w:top w:val="single" w:sz="4" w:space="0" w:color="auto"/>
              <w:left w:val="single" w:sz="4" w:space="0" w:color="auto"/>
              <w:bottom w:val="single" w:sz="4" w:space="0" w:color="auto"/>
              <w:right w:val="single" w:sz="4" w:space="0" w:color="auto"/>
            </w:tcBorders>
            <w:hideMark/>
          </w:tcPr>
          <w:p w14:paraId="1ECFC057" w14:textId="77777777" w:rsidR="00F625E6" w:rsidRPr="00F47ED1" w:rsidRDefault="00F625E6">
            <w:pPr>
              <w:autoSpaceDE w:val="0"/>
              <w:autoSpaceDN w:val="0"/>
              <w:adjustRightInd w:val="0"/>
              <w:ind w:right="178"/>
              <w:rPr>
                <w:rFonts w:eastAsia="ArialMT"/>
                <w:iCs/>
                <w:sz w:val="24"/>
                <w:szCs w:val="24"/>
                <w:lang w:val="en-GB" w:eastAsia="sv-SE"/>
              </w:rPr>
            </w:pPr>
            <w:r w:rsidRPr="00F47ED1">
              <w:rPr>
                <w:rFonts w:eastAsia="ArialMT"/>
                <w:iCs/>
                <w:sz w:val="24"/>
                <w:szCs w:val="24"/>
                <w:lang w:val="en-GB" w:eastAsia="sv-SE"/>
              </w:rPr>
              <w:t>= 10 kg</w:t>
            </w:r>
          </w:p>
        </w:tc>
        <w:tc>
          <w:tcPr>
            <w:tcW w:w="2811" w:type="dxa"/>
            <w:tcBorders>
              <w:top w:val="single" w:sz="4" w:space="0" w:color="auto"/>
              <w:left w:val="single" w:sz="4" w:space="0" w:color="auto"/>
              <w:bottom w:val="single" w:sz="4" w:space="0" w:color="auto"/>
              <w:right w:val="single" w:sz="4" w:space="0" w:color="auto"/>
            </w:tcBorders>
            <w:hideMark/>
          </w:tcPr>
          <w:p w14:paraId="23129E34" w14:textId="77777777" w:rsidR="00F625E6" w:rsidRPr="00F47ED1" w:rsidRDefault="00F625E6">
            <w:pPr>
              <w:autoSpaceDE w:val="0"/>
              <w:autoSpaceDN w:val="0"/>
              <w:adjustRightInd w:val="0"/>
              <w:rPr>
                <w:rFonts w:eastAsia="ArialMT"/>
                <w:iCs/>
                <w:sz w:val="24"/>
                <w:szCs w:val="24"/>
                <w:lang w:eastAsia="sv-SE"/>
              </w:rPr>
            </w:pPr>
            <w:r w:rsidRPr="00F47ED1">
              <w:rPr>
                <w:rFonts w:eastAsia="ArialMT"/>
                <w:iCs/>
                <w:sz w:val="24"/>
                <w:szCs w:val="24"/>
                <w:lang w:eastAsia="sv-SE"/>
              </w:rPr>
              <w:t>Op til 3 doser på 0,15 mg/kg med 4 timers interval</w:t>
            </w:r>
          </w:p>
        </w:tc>
        <w:tc>
          <w:tcPr>
            <w:tcW w:w="2812" w:type="dxa"/>
            <w:tcBorders>
              <w:top w:val="single" w:sz="4" w:space="0" w:color="auto"/>
              <w:left w:val="single" w:sz="4" w:space="0" w:color="auto"/>
              <w:bottom w:val="single" w:sz="4" w:space="0" w:color="auto"/>
              <w:right w:val="single" w:sz="4" w:space="0" w:color="auto"/>
            </w:tcBorders>
            <w:hideMark/>
          </w:tcPr>
          <w:p w14:paraId="1C4BE724" w14:textId="72FE7D2A" w:rsidR="00F625E6" w:rsidRPr="00F47ED1" w:rsidRDefault="00F625E6">
            <w:pPr>
              <w:autoSpaceDE w:val="0"/>
              <w:autoSpaceDN w:val="0"/>
              <w:adjustRightInd w:val="0"/>
              <w:ind w:right="311"/>
              <w:rPr>
                <w:rFonts w:eastAsia="ArialMT"/>
                <w:iCs/>
                <w:sz w:val="24"/>
                <w:szCs w:val="24"/>
                <w:lang w:eastAsia="sv-SE"/>
              </w:rPr>
            </w:pPr>
            <w:r w:rsidRPr="00F47ED1">
              <w:rPr>
                <w:rFonts w:eastAsia="ArialMT"/>
                <w:iCs/>
                <w:sz w:val="24"/>
                <w:szCs w:val="24"/>
                <w:lang w:eastAsia="sv-SE"/>
              </w:rPr>
              <w:t xml:space="preserve">2 mg </w:t>
            </w:r>
            <w:proofErr w:type="spellStart"/>
            <w:r w:rsidRPr="00F47ED1">
              <w:rPr>
                <w:rFonts w:eastAsia="ArialMT"/>
                <w:iCs/>
                <w:sz w:val="24"/>
                <w:szCs w:val="24"/>
                <w:lang w:eastAsia="sv-SE"/>
              </w:rPr>
              <w:t>syrup</w:t>
            </w:r>
            <w:proofErr w:type="spellEnd"/>
            <w:r w:rsidRPr="00F47ED1">
              <w:rPr>
                <w:rFonts w:eastAsia="ArialMT"/>
                <w:iCs/>
                <w:sz w:val="24"/>
                <w:szCs w:val="24"/>
                <w:lang w:eastAsia="sv-SE"/>
              </w:rPr>
              <w:t xml:space="preserve"> elle</w:t>
            </w:r>
            <w:r w:rsidR="00911154" w:rsidRPr="00F47ED1">
              <w:rPr>
                <w:rFonts w:eastAsia="ArialMT"/>
                <w:iCs/>
                <w:sz w:val="24"/>
                <w:szCs w:val="24"/>
                <w:lang w:eastAsia="sv-SE"/>
              </w:rPr>
              <w:t>r</w:t>
            </w:r>
            <w:r w:rsidRPr="00F47ED1">
              <w:rPr>
                <w:rFonts w:eastAsia="ArialMT"/>
                <w:iCs/>
                <w:sz w:val="24"/>
                <w:szCs w:val="24"/>
                <w:lang w:eastAsia="sv-SE"/>
              </w:rPr>
              <w:t xml:space="preserve"> tablet hver 12. time</w:t>
            </w:r>
          </w:p>
        </w:tc>
      </w:tr>
      <w:tr w:rsidR="00F625E6" w:rsidRPr="00F47ED1" w14:paraId="57FF1391" w14:textId="77777777" w:rsidTr="0071192A">
        <w:trPr>
          <w:trHeight w:val="439"/>
        </w:trPr>
        <w:tc>
          <w:tcPr>
            <w:tcW w:w="2457" w:type="dxa"/>
            <w:tcBorders>
              <w:top w:val="single" w:sz="4" w:space="0" w:color="auto"/>
              <w:left w:val="single" w:sz="4" w:space="0" w:color="auto"/>
              <w:bottom w:val="single" w:sz="4" w:space="0" w:color="auto"/>
              <w:right w:val="single" w:sz="4" w:space="0" w:color="auto"/>
            </w:tcBorders>
            <w:hideMark/>
          </w:tcPr>
          <w:p w14:paraId="3D538EA2" w14:textId="77777777" w:rsidR="00F625E6" w:rsidRPr="00F47ED1" w:rsidRDefault="00F625E6">
            <w:pPr>
              <w:autoSpaceDE w:val="0"/>
              <w:autoSpaceDN w:val="0"/>
              <w:adjustRightInd w:val="0"/>
              <w:ind w:right="177"/>
              <w:rPr>
                <w:rFonts w:eastAsia="ArialMT"/>
                <w:iCs/>
                <w:sz w:val="24"/>
                <w:szCs w:val="24"/>
                <w:lang w:val="en-GB" w:eastAsia="sv-SE"/>
              </w:rPr>
            </w:pPr>
            <w:r w:rsidRPr="00F47ED1">
              <w:rPr>
                <w:rFonts w:eastAsia="ArialMT"/>
                <w:iCs/>
                <w:sz w:val="24"/>
                <w:szCs w:val="24"/>
                <w:lang w:val="en-GB" w:eastAsia="sv-SE"/>
              </w:rPr>
              <w:t>&gt; 10 kg</w:t>
            </w:r>
          </w:p>
        </w:tc>
        <w:tc>
          <w:tcPr>
            <w:tcW w:w="2811" w:type="dxa"/>
            <w:tcBorders>
              <w:top w:val="single" w:sz="4" w:space="0" w:color="auto"/>
              <w:left w:val="single" w:sz="4" w:space="0" w:color="auto"/>
              <w:bottom w:val="single" w:sz="4" w:space="0" w:color="auto"/>
              <w:right w:val="single" w:sz="4" w:space="0" w:color="auto"/>
            </w:tcBorders>
            <w:hideMark/>
          </w:tcPr>
          <w:p w14:paraId="4993B8F0" w14:textId="77777777" w:rsidR="00F625E6" w:rsidRPr="00F47ED1" w:rsidRDefault="00F625E6">
            <w:pPr>
              <w:autoSpaceDE w:val="0"/>
              <w:autoSpaceDN w:val="0"/>
              <w:adjustRightInd w:val="0"/>
              <w:rPr>
                <w:rFonts w:eastAsia="ArialMT"/>
                <w:iCs/>
                <w:sz w:val="24"/>
                <w:szCs w:val="24"/>
                <w:lang w:eastAsia="sv-SE"/>
              </w:rPr>
            </w:pPr>
            <w:r w:rsidRPr="00F47ED1">
              <w:rPr>
                <w:rFonts w:eastAsia="ArialMT"/>
                <w:iCs/>
                <w:sz w:val="24"/>
                <w:szCs w:val="24"/>
                <w:lang w:eastAsia="sv-SE"/>
              </w:rPr>
              <w:t>Op til 3 doser på 0,15 mg/kg med 4 timers interval</w:t>
            </w:r>
          </w:p>
        </w:tc>
        <w:tc>
          <w:tcPr>
            <w:tcW w:w="2812" w:type="dxa"/>
            <w:tcBorders>
              <w:top w:val="single" w:sz="4" w:space="0" w:color="auto"/>
              <w:left w:val="single" w:sz="4" w:space="0" w:color="auto"/>
              <w:bottom w:val="single" w:sz="4" w:space="0" w:color="auto"/>
              <w:right w:val="single" w:sz="4" w:space="0" w:color="auto"/>
            </w:tcBorders>
            <w:hideMark/>
          </w:tcPr>
          <w:p w14:paraId="432AB218" w14:textId="77777777" w:rsidR="00F625E6" w:rsidRPr="00F47ED1" w:rsidRDefault="00F625E6">
            <w:pPr>
              <w:autoSpaceDE w:val="0"/>
              <w:autoSpaceDN w:val="0"/>
              <w:adjustRightInd w:val="0"/>
              <w:ind w:right="311"/>
              <w:rPr>
                <w:rFonts w:eastAsia="ArialMT"/>
                <w:iCs/>
                <w:sz w:val="24"/>
                <w:szCs w:val="24"/>
                <w:lang w:eastAsia="sv-SE"/>
              </w:rPr>
            </w:pPr>
            <w:r w:rsidRPr="00F47ED1">
              <w:rPr>
                <w:rFonts w:eastAsia="ArialMT"/>
                <w:iCs/>
                <w:sz w:val="24"/>
                <w:szCs w:val="24"/>
                <w:lang w:eastAsia="sv-SE"/>
              </w:rPr>
              <w:t xml:space="preserve">4 mg </w:t>
            </w:r>
            <w:proofErr w:type="spellStart"/>
            <w:r w:rsidRPr="00F47ED1">
              <w:rPr>
                <w:rFonts w:eastAsia="ArialMT"/>
                <w:iCs/>
                <w:sz w:val="24"/>
                <w:szCs w:val="24"/>
                <w:lang w:eastAsia="sv-SE"/>
              </w:rPr>
              <w:t>syrup</w:t>
            </w:r>
            <w:proofErr w:type="spellEnd"/>
            <w:r w:rsidRPr="00F47ED1">
              <w:rPr>
                <w:rFonts w:eastAsia="ArialMT"/>
                <w:iCs/>
                <w:sz w:val="24"/>
                <w:szCs w:val="24"/>
                <w:lang w:eastAsia="sv-SE"/>
              </w:rPr>
              <w:t xml:space="preserve"> eller tablet hver 12. time</w:t>
            </w:r>
          </w:p>
        </w:tc>
      </w:tr>
    </w:tbl>
    <w:p w14:paraId="6F9E7B23" w14:textId="77777777" w:rsidR="00F625E6" w:rsidRPr="00F47ED1" w:rsidRDefault="00F625E6" w:rsidP="0071192A">
      <w:pPr>
        <w:tabs>
          <w:tab w:val="left" w:pos="851"/>
        </w:tabs>
        <w:ind w:left="851"/>
        <w:rPr>
          <w:color w:val="000000"/>
          <w:sz w:val="24"/>
          <w:szCs w:val="24"/>
        </w:rPr>
      </w:pPr>
      <w:r w:rsidRPr="00F47ED1">
        <w:rPr>
          <w:color w:val="000000"/>
          <w:sz w:val="24"/>
          <w:szCs w:val="24"/>
          <w:vertAlign w:val="superscript"/>
        </w:rPr>
        <w:t xml:space="preserve">a. </w:t>
      </w:r>
      <w:r w:rsidRPr="00F47ED1">
        <w:rPr>
          <w:color w:val="000000"/>
          <w:sz w:val="24"/>
          <w:szCs w:val="24"/>
        </w:rPr>
        <w:t>Den intravenøse dosis må ikke overstige 8 mg.</w:t>
      </w:r>
    </w:p>
    <w:p w14:paraId="2DE6E946" w14:textId="77777777" w:rsidR="00F625E6" w:rsidRPr="00F47ED1" w:rsidRDefault="00F625E6" w:rsidP="0071192A">
      <w:pPr>
        <w:ind w:left="851"/>
        <w:rPr>
          <w:sz w:val="24"/>
          <w:szCs w:val="24"/>
        </w:rPr>
      </w:pPr>
      <w:r w:rsidRPr="00F47ED1">
        <w:rPr>
          <w:color w:val="000000"/>
          <w:sz w:val="24"/>
          <w:szCs w:val="24"/>
          <w:vertAlign w:val="superscript"/>
        </w:rPr>
        <w:t xml:space="preserve">b. </w:t>
      </w:r>
      <w:r w:rsidRPr="00F47ED1">
        <w:rPr>
          <w:color w:val="000000"/>
          <w:sz w:val="24"/>
          <w:szCs w:val="24"/>
        </w:rPr>
        <w:t>Den totale daglige dosis må ikke overstige voksendosen på 32 mg.</w:t>
      </w:r>
    </w:p>
    <w:p w14:paraId="0E8FEA24" w14:textId="77777777" w:rsidR="00F625E6" w:rsidRPr="00F47ED1" w:rsidRDefault="00F625E6" w:rsidP="0071192A">
      <w:pPr>
        <w:ind w:left="851"/>
        <w:rPr>
          <w:color w:val="000000"/>
          <w:sz w:val="24"/>
          <w:szCs w:val="24"/>
        </w:rPr>
      </w:pPr>
    </w:p>
    <w:p w14:paraId="42161409" w14:textId="77777777" w:rsidR="00F625E6" w:rsidRPr="00F47ED1" w:rsidRDefault="00F625E6" w:rsidP="0071192A">
      <w:pPr>
        <w:ind w:left="851"/>
        <w:rPr>
          <w:color w:val="000000"/>
          <w:sz w:val="24"/>
          <w:szCs w:val="24"/>
          <w:u w:val="single"/>
        </w:rPr>
      </w:pPr>
      <w:r w:rsidRPr="00F47ED1">
        <w:rPr>
          <w:color w:val="000000"/>
          <w:sz w:val="24"/>
          <w:szCs w:val="24"/>
          <w:u w:val="single"/>
        </w:rPr>
        <w:t>Ældre</w:t>
      </w:r>
    </w:p>
    <w:p w14:paraId="640B7682" w14:textId="77777777" w:rsidR="00F625E6" w:rsidRPr="00F47ED1" w:rsidRDefault="00F625E6" w:rsidP="0071192A">
      <w:pPr>
        <w:ind w:left="851"/>
        <w:rPr>
          <w:color w:val="000000"/>
          <w:sz w:val="24"/>
          <w:szCs w:val="24"/>
        </w:rPr>
      </w:pPr>
      <w:proofErr w:type="spellStart"/>
      <w:r w:rsidRPr="00F47ED1">
        <w:rPr>
          <w:color w:val="000000"/>
          <w:sz w:val="24"/>
          <w:szCs w:val="24"/>
        </w:rPr>
        <w:t>Ondansetron</w:t>
      </w:r>
      <w:proofErr w:type="spellEnd"/>
      <w:r w:rsidRPr="00F47ED1">
        <w:rPr>
          <w:color w:val="000000"/>
          <w:sz w:val="24"/>
          <w:szCs w:val="24"/>
        </w:rPr>
        <w:t xml:space="preserve"> er veltolereret hos patienter over 65 år, og det er ikke nødvendigt at ændre doseringen, doseringshyppigheden eller administrationsvejen.</w:t>
      </w:r>
    </w:p>
    <w:p w14:paraId="26CE3FE1" w14:textId="77777777" w:rsidR="00F625E6" w:rsidRPr="00F47ED1" w:rsidRDefault="00F625E6" w:rsidP="0071192A">
      <w:pPr>
        <w:ind w:left="851"/>
        <w:rPr>
          <w:color w:val="000000"/>
          <w:sz w:val="24"/>
          <w:szCs w:val="24"/>
        </w:rPr>
      </w:pPr>
    </w:p>
    <w:p w14:paraId="51756EBB" w14:textId="6E903F90" w:rsidR="00F625E6" w:rsidRPr="00F47ED1" w:rsidRDefault="00F625E6" w:rsidP="0071192A">
      <w:pPr>
        <w:ind w:left="851"/>
        <w:rPr>
          <w:color w:val="000000"/>
          <w:sz w:val="24"/>
          <w:szCs w:val="24"/>
        </w:rPr>
      </w:pPr>
      <w:r w:rsidRPr="00F47ED1">
        <w:rPr>
          <w:color w:val="000000"/>
          <w:sz w:val="24"/>
          <w:szCs w:val="24"/>
        </w:rPr>
        <w:t xml:space="preserve">Se også </w:t>
      </w:r>
      <w:r w:rsidR="000F6FC9">
        <w:rPr>
          <w:color w:val="000000"/>
          <w:sz w:val="24"/>
          <w:szCs w:val="24"/>
        </w:rPr>
        <w:t>"</w:t>
      </w:r>
      <w:r w:rsidRPr="00F47ED1">
        <w:rPr>
          <w:color w:val="000000"/>
          <w:sz w:val="24"/>
          <w:szCs w:val="24"/>
        </w:rPr>
        <w:t>Særlige populationer</w:t>
      </w:r>
      <w:r w:rsidR="000F6FC9">
        <w:rPr>
          <w:color w:val="000000"/>
          <w:sz w:val="24"/>
          <w:szCs w:val="24"/>
        </w:rPr>
        <w:t>"</w:t>
      </w:r>
      <w:r w:rsidRPr="00F47ED1">
        <w:rPr>
          <w:color w:val="000000"/>
          <w:sz w:val="24"/>
          <w:szCs w:val="24"/>
        </w:rPr>
        <w:t>.</w:t>
      </w:r>
    </w:p>
    <w:p w14:paraId="2125ED87" w14:textId="77777777" w:rsidR="00F625E6" w:rsidRPr="00F47ED1" w:rsidRDefault="00F625E6" w:rsidP="0071192A">
      <w:pPr>
        <w:ind w:left="851"/>
        <w:rPr>
          <w:color w:val="000000"/>
          <w:sz w:val="24"/>
          <w:szCs w:val="24"/>
        </w:rPr>
      </w:pPr>
    </w:p>
    <w:p w14:paraId="4716159B" w14:textId="77777777" w:rsidR="00F625E6" w:rsidRPr="00F47ED1" w:rsidRDefault="00F625E6" w:rsidP="0071192A">
      <w:pPr>
        <w:ind w:left="851"/>
        <w:rPr>
          <w:color w:val="000000"/>
          <w:sz w:val="24"/>
          <w:szCs w:val="24"/>
          <w:u w:val="single"/>
        </w:rPr>
      </w:pPr>
      <w:r w:rsidRPr="00F47ED1">
        <w:rPr>
          <w:color w:val="000000"/>
          <w:sz w:val="24"/>
          <w:szCs w:val="24"/>
          <w:u w:val="single"/>
        </w:rPr>
        <w:t>Postoperativ kvalme og opkastning</w:t>
      </w:r>
    </w:p>
    <w:p w14:paraId="3547B2AD" w14:textId="77777777" w:rsidR="00F625E6" w:rsidRPr="00F47ED1" w:rsidRDefault="00F625E6" w:rsidP="0071192A">
      <w:pPr>
        <w:ind w:left="851"/>
        <w:rPr>
          <w:i/>
          <w:iCs/>
          <w:color w:val="000000"/>
          <w:sz w:val="24"/>
          <w:szCs w:val="24"/>
          <w:u w:val="single"/>
        </w:rPr>
      </w:pPr>
      <w:r w:rsidRPr="00F47ED1">
        <w:rPr>
          <w:i/>
          <w:iCs/>
          <w:color w:val="000000"/>
          <w:sz w:val="24"/>
          <w:szCs w:val="24"/>
          <w:u w:val="single"/>
        </w:rPr>
        <w:t>Voksne</w:t>
      </w:r>
    </w:p>
    <w:p w14:paraId="1A9E68BF" w14:textId="77777777" w:rsidR="00F625E6" w:rsidRPr="00F47ED1" w:rsidRDefault="00F625E6" w:rsidP="0071192A">
      <w:pPr>
        <w:ind w:left="851"/>
        <w:rPr>
          <w:color w:val="000000"/>
          <w:sz w:val="24"/>
          <w:szCs w:val="24"/>
          <w:u w:val="single"/>
        </w:rPr>
      </w:pPr>
    </w:p>
    <w:p w14:paraId="4A252F51" w14:textId="77777777" w:rsidR="00F625E6" w:rsidRPr="00F47ED1" w:rsidRDefault="00F625E6" w:rsidP="0071192A">
      <w:pPr>
        <w:ind w:left="851"/>
        <w:rPr>
          <w:color w:val="000000"/>
          <w:sz w:val="24"/>
          <w:szCs w:val="24"/>
          <w:u w:val="single"/>
        </w:rPr>
      </w:pPr>
      <w:r w:rsidRPr="00F47ED1">
        <w:rPr>
          <w:color w:val="000000"/>
          <w:sz w:val="24"/>
          <w:szCs w:val="24"/>
          <w:u w:val="single"/>
        </w:rPr>
        <w:t>Profylakse af postoperativ kvalme og opkastning</w:t>
      </w:r>
    </w:p>
    <w:p w14:paraId="0F951EA8" w14:textId="77777777" w:rsidR="00F625E6" w:rsidRPr="00285AE3" w:rsidRDefault="00F625E6" w:rsidP="0071192A">
      <w:pPr>
        <w:ind w:left="851"/>
        <w:rPr>
          <w:color w:val="000000"/>
          <w:sz w:val="24"/>
          <w:szCs w:val="24"/>
        </w:rPr>
      </w:pPr>
      <w:proofErr w:type="spellStart"/>
      <w:r w:rsidRPr="00285AE3">
        <w:rPr>
          <w:color w:val="000000"/>
          <w:sz w:val="24"/>
          <w:szCs w:val="24"/>
        </w:rPr>
        <w:t>Ondansetron</w:t>
      </w:r>
      <w:proofErr w:type="spellEnd"/>
      <w:r w:rsidRPr="00285AE3">
        <w:rPr>
          <w:color w:val="000000"/>
          <w:sz w:val="24"/>
          <w:szCs w:val="24"/>
        </w:rPr>
        <w:t xml:space="preserve"> kan administreres oralt eller via intravenøs injektion til profylakse af postoperativ kvalme og opkastning.</w:t>
      </w:r>
    </w:p>
    <w:p w14:paraId="66C5B98B" w14:textId="77777777" w:rsidR="00F625E6" w:rsidRPr="00285AE3" w:rsidRDefault="00F625E6" w:rsidP="0071192A">
      <w:pPr>
        <w:ind w:left="851"/>
        <w:rPr>
          <w:color w:val="000000"/>
          <w:sz w:val="24"/>
          <w:szCs w:val="24"/>
        </w:rPr>
      </w:pPr>
    </w:p>
    <w:p w14:paraId="4A6BF145" w14:textId="77777777" w:rsidR="00F625E6" w:rsidRPr="00F47ED1" w:rsidRDefault="00F625E6" w:rsidP="0071192A">
      <w:pPr>
        <w:ind w:left="851"/>
        <w:rPr>
          <w:color w:val="000000"/>
          <w:sz w:val="24"/>
          <w:szCs w:val="24"/>
          <w:u w:val="single"/>
        </w:rPr>
      </w:pPr>
      <w:r w:rsidRPr="00F47ED1">
        <w:rPr>
          <w:color w:val="000000"/>
          <w:sz w:val="24"/>
          <w:szCs w:val="24"/>
          <w:u w:val="single"/>
        </w:rPr>
        <w:lastRenderedPageBreak/>
        <w:t>For oral administration:</w:t>
      </w:r>
    </w:p>
    <w:p w14:paraId="2A13D3DC" w14:textId="77777777" w:rsidR="00F625E6" w:rsidRPr="00285AE3" w:rsidRDefault="00F625E6" w:rsidP="0071192A">
      <w:pPr>
        <w:ind w:left="851"/>
        <w:rPr>
          <w:color w:val="000000"/>
          <w:sz w:val="24"/>
          <w:szCs w:val="24"/>
        </w:rPr>
      </w:pPr>
      <w:r w:rsidRPr="00285AE3">
        <w:rPr>
          <w:color w:val="000000"/>
          <w:sz w:val="24"/>
          <w:szCs w:val="24"/>
        </w:rPr>
        <w:t>16 mg én time før anæstesi.</w:t>
      </w:r>
    </w:p>
    <w:p w14:paraId="55B3790F" w14:textId="77777777" w:rsidR="00F625E6" w:rsidRPr="00285AE3" w:rsidRDefault="00F625E6" w:rsidP="0071192A">
      <w:pPr>
        <w:ind w:left="851"/>
        <w:rPr>
          <w:color w:val="000000"/>
          <w:sz w:val="24"/>
          <w:szCs w:val="24"/>
        </w:rPr>
      </w:pPr>
    </w:p>
    <w:p w14:paraId="613821FE" w14:textId="77777777" w:rsidR="00F625E6" w:rsidRPr="00285AE3" w:rsidRDefault="00F625E6" w:rsidP="0071192A">
      <w:pPr>
        <w:ind w:left="851"/>
        <w:rPr>
          <w:color w:val="000000"/>
          <w:sz w:val="24"/>
          <w:szCs w:val="24"/>
        </w:rPr>
      </w:pPr>
      <w:r w:rsidRPr="00285AE3">
        <w:rPr>
          <w:color w:val="000000"/>
          <w:sz w:val="24"/>
          <w:szCs w:val="24"/>
        </w:rPr>
        <w:t>Alternativt 8 mg én time før anæstesi, efterfulgt af to yderligere doser på 8 mg med otte timers interval.</w:t>
      </w:r>
    </w:p>
    <w:p w14:paraId="417CFC8B" w14:textId="77777777" w:rsidR="00F625E6" w:rsidRPr="00285AE3" w:rsidRDefault="00F625E6" w:rsidP="0071192A">
      <w:pPr>
        <w:ind w:left="851"/>
        <w:rPr>
          <w:color w:val="000000"/>
          <w:sz w:val="24"/>
          <w:szCs w:val="24"/>
        </w:rPr>
      </w:pPr>
    </w:p>
    <w:p w14:paraId="72F13038" w14:textId="77777777" w:rsidR="00F625E6" w:rsidRPr="00F47ED1" w:rsidRDefault="00F625E6" w:rsidP="0071192A">
      <w:pPr>
        <w:ind w:left="851"/>
        <w:rPr>
          <w:color w:val="000000"/>
          <w:sz w:val="24"/>
          <w:szCs w:val="24"/>
          <w:u w:val="single"/>
        </w:rPr>
      </w:pPr>
      <w:r w:rsidRPr="00F47ED1">
        <w:rPr>
          <w:color w:val="000000"/>
          <w:sz w:val="24"/>
          <w:szCs w:val="24"/>
          <w:u w:val="single"/>
        </w:rPr>
        <w:t>Behandling af etableret postoperativ kvalme og opkastning</w:t>
      </w:r>
    </w:p>
    <w:p w14:paraId="29D3B860" w14:textId="77777777" w:rsidR="00F625E6" w:rsidRPr="00285AE3" w:rsidRDefault="00F625E6" w:rsidP="0071192A">
      <w:pPr>
        <w:ind w:left="851"/>
        <w:rPr>
          <w:color w:val="000000"/>
          <w:sz w:val="24"/>
          <w:szCs w:val="24"/>
        </w:rPr>
      </w:pPr>
      <w:r w:rsidRPr="00285AE3">
        <w:rPr>
          <w:color w:val="000000"/>
          <w:sz w:val="24"/>
          <w:szCs w:val="24"/>
        </w:rPr>
        <w:t>Intravenøs administration anbefales til behandling af etableret postoperativ kvalme og opkastning.</w:t>
      </w:r>
    </w:p>
    <w:p w14:paraId="3A55013C" w14:textId="77777777" w:rsidR="00F625E6" w:rsidRPr="00285AE3" w:rsidRDefault="00F625E6" w:rsidP="0071192A">
      <w:pPr>
        <w:ind w:left="851"/>
        <w:rPr>
          <w:color w:val="000000"/>
          <w:sz w:val="24"/>
          <w:szCs w:val="24"/>
        </w:rPr>
      </w:pPr>
    </w:p>
    <w:p w14:paraId="6A1D23C6" w14:textId="77777777" w:rsidR="00F625E6" w:rsidRPr="00F47ED1" w:rsidRDefault="00F625E6" w:rsidP="0071192A">
      <w:pPr>
        <w:ind w:left="851"/>
        <w:rPr>
          <w:i/>
          <w:iCs/>
          <w:color w:val="000000"/>
          <w:sz w:val="24"/>
          <w:szCs w:val="24"/>
        </w:rPr>
      </w:pPr>
      <w:r w:rsidRPr="00F47ED1">
        <w:rPr>
          <w:i/>
          <w:iCs/>
          <w:color w:val="000000"/>
          <w:sz w:val="24"/>
          <w:szCs w:val="24"/>
        </w:rPr>
        <w:t>Pædiatrisk population</w:t>
      </w:r>
    </w:p>
    <w:p w14:paraId="7AF25FFB" w14:textId="77777777" w:rsidR="00F625E6" w:rsidRPr="00F47ED1" w:rsidRDefault="00F625E6" w:rsidP="0071192A">
      <w:pPr>
        <w:ind w:left="851"/>
        <w:rPr>
          <w:color w:val="000000"/>
          <w:sz w:val="24"/>
          <w:szCs w:val="24"/>
          <w:u w:val="single"/>
        </w:rPr>
      </w:pPr>
      <w:r w:rsidRPr="00F47ED1">
        <w:rPr>
          <w:color w:val="000000"/>
          <w:sz w:val="24"/>
          <w:szCs w:val="24"/>
          <w:u w:val="single"/>
        </w:rPr>
        <w:t>Postoperativ kvalme og opkastning hos børn i alderen ≥ 1 måned og unge:</w:t>
      </w:r>
    </w:p>
    <w:p w14:paraId="3F592675" w14:textId="77777777" w:rsidR="00F625E6" w:rsidRPr="00285AE3" w:rsidRDefault="00F625E6" w:rsidP="0071192A">
      <w:pPr>
        <w:ind w:left="851"/>
        <w:rPr>
          <w:color w:val="000000"/>
          <w:sz w:val="24"/>
          <w:szCs w:val="24"/>
        </w:rPr>
      </w:pPr>
      <w:r w:rsidRPr="00285AE3">
        <w:rPr>
          <w:color w:val="000000"/>
          <w:sz w:val="24"/>
          <w:szCs w:val="24"/>
        </w:rPr>
        <w:t>Oral formulering:</w:t>
      </w:r>
    </w:p>
    <w:p w14:paraId="5A251D29" w14:textId="77777777" w:rsidR="00F625E6" w:rsidRPr="00285AE3" w:rsidRDefault="00F625E6" w:rsidP="0071192A">
      <w:pPr>
        <w:ind w:left="851"/>
        <w:rPr>
          <w:color w:val="000000"/>
          <w:sz w:val="24"/>
          <w:szCs w:val="24"/>
        </w:rPr>
      </w:pPr>
      <w:r w:rsidRPr="00285AE3">
        <w:rPr>
          <w:color w:val="000000"/>
          <w:sz w:val="24"/>
          <w:szCs w:val="24"/>
        </w:rPr>
        <w:t xml:space="preserve">Der er ikke udført studier med anvendelse af oralt administreret </w:t>
      </w:r>
      <w:proofErr w:type="spellStart"/>
      <w:r w:rsidRPr="00285AE3">
        <w:rPr>
          <w:color w:val="000000"/>
          <w:sz w:val="24"/>
          <w:szCs w:val="24"/>
        </w:rPr>
        <w:t>ondansetron</w:t>
      </w:r>
      <w:proofErr w:type="spellEnd"/>
      <w:r w:rsidRPr="00285AE3">
        <w:rPr>
          <w:color w:val="000000"/>
          <w:sz w:val="24"/>
          <w:szCs w:val="24"/>
        </w:rPr>
        <w:t xml:space="preserve"> til profylakse eller behandling af postoperativ kvalme og opkastning. Her anbefales langsom intravenøs injektion.</w:t>
      </w:r>
    </w:p>
    <w:p w14:paraId="5CDC92BF" w14:textId="77777777" w:rsidR="00F625E6" w:rsidRPr="00285AE3" w:rsidRDefault="00F625E6" w:rsidP="0071192A">
      <w:pPr>
        <w:ind w:left="851"/>
        <w:rPr>
          <w:color w:val="000000"/>
          <w:sz w:val="24"/>
          <w:szCs w:val="24"/>
        </w:rPr>
      </w:pPr>
    </w:p>
    <w:p w14:paraId="14F695F6" w14:textId="77777777" w:rsidR="00F625E6" w:rsidRPr="00F47ED1" w:rsidRDefault="00F625E6" w:rsidP="0071192A">
      <w:pPr>
        <w:ind w:left="851"/>
        <w:rPr>
          <w:color w:val="000000"/>
          <w:sz w:val="24"/>
          <w:szCs w:val="24"/>
        </w:rPr>
      </w:pPr>
      <w:r w:rsidRPr="00F47ED1">
        <w:rPr>
          <w:color w:val="000000"/>
          <w:sz w:val="24"/>
          <w:szCs w:val="24"/>
        </w:rPr>
        <w:t xml:space="preserve">Injektion: Til profylakse af PONV (postoperativ kvalme og opkastning) hos pædiatriske patienter, der gennemgår kirurgi under generel anæstesi, kan der administreres en enkelt dosis </w:t>
      </w:r>
      <w:proofErr w:type="spellStart"/>
      <w:r w:rsidRPr="00F47ED1">
        <w:rPr>
          <w:color w:val="000000"/>
          <w:sz w:val="24"/>
          <w:szCs w:val="24"/>
        </w:rPr>
        <w:t>ondansetron</w:t>
      </w:r>
      <w:proofErr w:type="spellEnd"/>
      <w:r w:rsidRPr="00F47ED1">
        <w:rPr>
          <w:color w:val="000000"/>
          <w:sz w:val="24"/>
          <w:szCs w:val="24"/>
        </w:rPr>
        <w:t xml:space="preserve"> via langsom intravenøs injektion (ikke mindre end 30 sekunder) i doseringen 0,1 mg/kg, op til højst 4 mg, enten før, under eller efter induktion af anæstesi.</w:t>
      </w:r>
    </w:p>
    <w:p w14:paraId="52E3B969" w14:textId="77777777" w:rsidR="00F625E6" w:rsidRPr="00F47ED1" w:rsidRDefault="00F625E6" w:rsidP="0071192A">
      <w:pPr>
        <w:ind w:left="851"/>
        <w:rPr>
          <w:color w:val="000000"/>
          <w:sz w:val="24"/>
          <w:szCs w:val="24"/>
        </w:rPr>
      </w:pPr>
      <w:r w:rsidRPr="00F47ED1">
        <w:rPr>
          <w:color w:val="000000"/>
          <w:sz w:val="24"/>
          <w:szCs w:val="24"/>
        </w:rPr>
        <w:t xml:space="preserve">Der foreligger ingen data vedrørende brug af </w:t>
      </w:r>
      <w:proofErr w:type="spellStart"/>
      <w:r w:rsidRPr="00F47ED1">
        <w:rPr>
          <w:color w:val="000000"/>
          <w:sz w:val="24"/>
          <w:szCs w:val="24"/>
        </w:rPr>
        <w:t>ondansetron</w:t>
      </w:r>
      <w:proofErr w:type="spellEnd"/>
      <w:r w:rsidRPr="00F47ED1">
        <w:rPr>
          <w:color w:val="000000"/>
          <w:sz w:val="24"/>
          <w:szCs w:val="24"/>
        </w:rPr>
        <w:t xml:space="preserve"> til behandling af postoperativ kvalme og opkastning hos børn under 2 år.</w:t>
      </w:r>
    </w:p>
    <w:p w14:paraId="054CD015" w14:textId="77777777" w:rsidR="00F625E6" w:rsidRPr="00F47ED1" w:rsidRDefault="00F625E6" w:rsidP="0071192A">
      <w:pPr>
        <w:ind w:left="851"/>
        <w:rPr>
          <w:color w:val="000000"/>
          <w:sz w:val="24"/>
          <w:szCs w:val="24"/>
        </w:rPr>
      </w:pPr>
    </w:p>
    <w:p w14:paraId="6ED76E6C" w14:textId="77777777" w:rsidR="00F625E6" w:rsidRPr="00F47ED1" w:rsidRDefault="00F625E6" w:rsidP="0071192A">
      <w:pPr>
        <w:ind w:left="851"/>
        <w:rPr>
          <w:sz w:val="24"/>
          <w:szCs w:val="24"/>
        </w:rPr>
      </w:pPr>
      <w:r w:rsidRPr="00F47ED1">
        <w:rPr>
          <w:i/>
          <w:iCs/>
          <w:color w:val="000000"/>
          <w:sz w:val="24"/>
          <w:szCs w:val="24"/>
        </w:rPr>
        <w:t>Ældre</w:t>
      </w:r>
    </w:p>
    <w:p w14:paraId="59B4194C" w14:textId="77777777" w:rsidR="00F625E6" w:rsidRPr="00F47ED1" w:rsidRDefault="00F625E6" w:rsidP="0071192A">
      <w:pPr>
        <w:ind w:left="851"/>
        <w:rPr>
          <w:sz w:val="24"/>
          <w:szCs w:val="24"/>
        </w:rPr>
      </w:pPr>
      <w:r w:rsidRPr="00F47ED1">
        <w:rPr>
          <w:sz w:val="24"/>
          <w:szCs w:val="24"/>
        </w:rPr>
        <w:t xml:space="preserve">Der er begrænset erfaring med brug af </w:t>
      </w:r>
      <w:proofErr w:type="spellStart"/>
      <w:r w:rsidRPr="00F47ED1">
        <w:rPr>
          <w:sz w:val="24"/>
          <w:szCs w:val="24"/>
        </w:rPr>
        <w:t>ondansetron</w:t>
      </w:r>
      <w:proofErr w:type="spellEnd"/>
      <w:r w:rsidRPr="00F47ED1">
        <w:rPr>
          <w:sz w:val="24"/>
          <w:szCs w:val="24"/>
        </w:rPr>
        <w:t xml:space="preserve"> til profylakse og behandling af postoperativ kvalme og opkastning hos ældre. </w:t>
      </w:r>
      <w:proofErr w:type="spellStart"/>
      <w:r w:rsidRPr="00F47ED1">
        <w:rPr>
          <w:sz w:val="24"/>
          <w:szCs w:val="24"/>
        </w:rPr>
        <w:t>Ondansetron</w:t>
      </w:r>
      <w:proofErr w:type="spellEnd"/>
      <w:r w:rsidRPr="00F47ED1">
        <w:rPr>
          <w:sz w:val="24"/>
          <w:szCs w:val="24"/>
        </w:rPr>
        <w:t xml:space="preserve"> er imidlertid veltolereret hos patienter over 65 år, der får kemoterapi.</w:t>
      </w:r>
    </w:p>
    <w:p w14:paraId="6D3B6062" w14:textId="77777777" w:rsidR="00F625E6" w:rsidRPr="00F47ED1" w:rsidRDefault="00F625E6" w:rsidP="0071192A">
      <w:pPr>
        <w:ind w:left="851"/>
        <w:rPr>
          <w:sz w:val="24"/>
          <w:szCs w:val="24"/>
        </w:rPr>
      </w:pPr>
    </w:p>
    <w:p w14:paraId="19ED7F66" w14:textId="334E585F" w:rsidR="00F625E6" w:rsidRPr="00F47ED1" w:rsidRDefault="00F625E6" w:rsidP="0071192A">
      <w:pPr>
        <w:ind w:left="851"/>
        <w:rPr>
          <w:sz w:val="24"/>
          <w:szCs w:val="24"/>
        </w:rPr>
      </w:pPr>
      <w:r w:rsidRPr="00F47ED1">
        <w:rPr>
          <w:sz w:val="24"/>
          <w:szCs w:val="24"/>
        </w:rPr>
        <w:t xml:space="preserve">Se også </w:t>
      </w:r>
      <w:r w:rsidR="000F6FC9">
        <w:rPr>
          <w:sz w:val="24"/>
          <w:szCs w:val="24"/>
        </w:rPr>
        <w:t>"</w:t>
      </w:r>
      <w:r w:rsidRPr="00F47ED1">
        <w:rPr>
          <w:sz w:val="24"/>
          <w:szCs w:val="24"/>
        </w:rPr>
        <w:t>Særlige populationer</w:t>
      </w:r>
      <w:r w:rsidR="000F6FC9">
        <w:rPr>
          <w:sz w:val="24"/>
          <w:szCs w:val="24"/>
        </w:rPr>
        <w:t>"</w:t>
      </w:r>
      <w:r w:rsidRPr="00F47ED1">
        <w:rPr>
          <w:sz w:val="24"/>
          <w:szCs w:val="24"/>
        </w:rPr>
        <w:t>.</w:t>
      </w:r>
    </w:p>
    <w:p w14:paraId="473D1FD4" w14:textId="77777777" w:rsidR="00F625E6" w:rsidRPr="00F47ED1" w:rsidRDefault="00F625E6" w:rsidP="0071192A">
      <w:pPr>
        <w:ind w:left="851"/>
        <w:rPr>
          <w:sz w:val="24"/>
          <w:szCs w:val="24"/>
        </w:rPr>
      </w:pPr>
    </w:p>
    <w:p w14:paraId="0EFAF590" w14:textId="77777777" w:rsidR="00F625E6" w:rsidRPr="00F47ED1" w:rsidRDefault="00F625E6" w:rsidP="0071192A">
      <w:pPr>
        <w:ind w:left="851"/>
        <w:rPr>
          <w:sz w:val="24"/>
          <w:szCs w:val="24"/>
          <w:u w:val="single"/>
        </w:rPr>
      </w:pPr>
      <w:r w:rsidRPr="00F47ED1">
        <w:rPr>
          <w:sz w:val="24"/>
          <w:szCs w:val="24"/>
          <w:u w:val="single"/>
        </w:rPr>
        <w:t>Særlige populationer</w:t>
      </w:r>
    </w:p>
    <w:p w14:paraId="4CAB5E38" w14:textId="77777777" w:rsidR="00F625E6" w:rsidRPr="00285AE3" w:rsidRDefault="00F625E6" w:rsidP="0071192A">
      <w:pPr>
        <w:ind w:left="851"/>
        <w:rPr>
          <w:i/>
          <w:iCs/>
          <w:sz w:val="24"/>
          <w:szCs w:val="24"/>
        </w:rPr>
      </w:pPr>
      <w:r w:rsidRPr="00285AE3">
        <w:rPr>
          <w:i/>
          <w:iCs/>
          <w:sz w:val="24"/>
          <w:szCs w:val="24"/>
        </w:rPr>
        <w:t>Patienter med nedsat nyrefunktion</w:t>
      </w:r>
    </w:p>
    <w:p w14:paraId="654A5A11" w14:textId="77777777" w:rsidR="00F625E6" w:rsidRPr="00285AE3" w:rsidRDefault="00F625E6" w:rsidP="0071192A">
      <w:pPr>
        <w:ind w:left="851"/>
        <w:rPr>
          <w:sz w:val="24"/>
          <w:szCs w:val="24"/>
        </w:rPr>
      </w:pPr>
      <w:r w:rsidRPr="00285AE3">
        <w:rPr>
          <w:sz w:val="24"/>
          <w:szCs w:val="24"/>
        </w:rPr>
        <w:t>Ændring af daglig dosis, doseringshyppighed eller administrationsvej er ikke nødvendig.</w:t>
      </w:r>
    </w:p>
    <w:p w14:paraId="706E2234" w14:textId="77777777" w:rsidR="00F625E6" w:rsidRPr="00285AE3" w:rsidRDefault="00F625E6" w:rsidP="0071192A">
      <w:pPr>
        <w:ind w:left="851"/>
        <w:rPr>
          <w:sz w:val="24"/>
          <w:szCs w:val="24"/>
        </w:rPr>
      </w:pPr>
    </w:p>
    <w:p w14:paraId="4C231189" w14:textId="77777777" w:rsidR="00F625E6" w:rsidRPr="00F47ED1" w:rsidRDefault="00F625E6" w:rsidP="0071192A">
      <w:pPr>
        <w:ind w:left="851"/>
        <w:rPr>
          <w:i/>
          <w:iCs/>
          <w:sz w:val="24"/>
          <w:szCs w:val="24"/>
          <w:u w:val="single"/>
        </w:rPr>
      </w:pPr>
      <w:r w:rsidRPr="00F47ED1">
        <w:rPr>
          <w:i/>
          <w:iCs/>
          <w:sz w:val="24"/>
          <w:szCs w:val="24"/>
          <w:u w:val="single"/>
        </w:rPr>
        <w:t>Patienter med nedsat leverfunktion</w:t>
      </w:r>
    </w:p>
    <w:p w14:paraId="78649D4B" w14:textId="77777777" w:rsidR="00F625E6" w:rsidRPr="00F47ED1" w:rsidRDefault="00F625E6" w:rsidP="0071192A">
      <w:pPr>
        <w:ind w:left="851"/>
        <w:rPr>
          <w:sz w:val="24"/>
          <w:szCs w:val="24"/>
        </w:rPr>
      </w:pPr>
      <w:r w:rsidRPr="00F47ED1">
        <w:rPr>
          <w:sz w:val="24"/>
          <w:szCs w:val="24"/>
        </w:rPr>
        <w:t xml:space="preserve">Hos personer med moderat eller svært nedsat leverfunktion er </w:t>
      </w:r>
      <w:proofErr w:type="spellStart"/>
      <w:r w:rsidRPr="00F47ED1">
        <w:rPr>
          <w:sz w:val="24"/>
          <w:szCs w:val="24"/>
        </w:rPr>
        <w:t>ondansetron-clearance</w:t>
      </w:r>
      <w:proofErr w:type="spellEnd"/>
      <w:r w:rsidRPr="00F47ED1">
        <w:rPr>
          <w:sz w:val="24"/>
          <w:szCs w:val="24"/>
        </w:rPr>
        <w:t xml:space="preserve"> signifikant reduceret, og serumhalveringstiden er signifikant forlænget. Hos disse patienter må den totale daglige dosis ikke overstige 8 mg.</w:t>
      </w:r>
    </w:p>
    <w:p w14:paraId="46F32EFF" w14:textId="77777777" w:rsidR="00F625E6" w:rsidRPr="00F47ED1" w:rsidRDefault="00F625E6" w:rsidP="0071192A">
      <w:pPr>
        <w:ind w:left="851"/>
        <w:rPr>
          <w:sz w:val="24"/>
          <w:szCs w:val="24"/>
        </w:rPr>
      </w:pPr>
    </w:p>
    <w:p w14:paraId="7A5EC413" w14:textId="77777777" w:rsidR="00F625E6" w:rsidRPr="00F47ED1" w:rsidRDefault="00F625E6" w:rsidP="00F47ED1">
      <w:pPr>
        <w:ind w:left="851"/>
        <w:rPr>
          <w:i/>
          <w:sz w:val="24"/>
          <w:szCs w:val="24"/>
          <w:u w:val="single"/>
        </w:rPr>
      </w:pPr>
      <w:r w:rsidRPr="00F47ED1">
        <w:rPr>
          <w:i/>
          <w:sz w:val="24"/>
          <w:szCs w:val="24"/>
          <w:u w:val="single"/>
        </w:rPr>
        <w:t xml:space="preserve">Patienter med nedsat </w:t>
      </w:r>
      <w:proofErr w:type="spellStart"/>
      <w:r w:rsidRPr="00F47ED1">
        <w:rPr>
          <w:i/>
          <w:sz w:val="24"/>
          <w:szCs w:val="24"/>
          <w:u w:val="single"/>
        </w:rPr>
        <w:t>spartein</w:t>
      </w:r>
      <w:proofErr w:type="spellEnd"/>
      <w:r w:rsidRPr="00F47ED1">
        <w:rPr>
          <w:i/>
          <w:sz w:val="24"/>
          <w:szCs w:val="24"/>
          <w:u w:val="single"/>
        </w:rPr>
        <w:t>-/</w:t>
      </w:r>
      <w:proofErr w:type="spellStart"/>
      <w:r w:rsidRPr="00F47ED1">
        <w:rPr>
          <w:i/>
          <w:sz w:val="24"/>
          <w:szCs w:val="24"/>
          <w:u w:val="single"/>
        </w:rPr>
        <w:t>debrisoquinmetabolisme</w:t>
      </w:r>
      <w:proofErr w:type="spellEnd"/>
    </w:p>
    <w:p w14:paraId="20950C22" w14:textId="77777777" w:rsidR="00F625E6" w:rsidRPr="00285AE3" w:rsidRDefault="00F625E6" w:rsidP="0071192A">
      <w:pPr>
        <w:ind w:left="851"/>
        <w:rPr>
          <w:iCs/>
          <w:sz w:val="24"/>
          <w:szCs w:val="24"/>
        </w:rPr>
      </w:pPr>
      <w:r w:rsidRPr="00285AE3">
        <w:rPr>
          <w:iCs/>
          <w:sz w:val="24"/>
          <w:szCs w:val="24"/>
        </w:rPr>
        <w:t xml:space="preserve">Eliminationshalveringstiden af </w:t>
      </w:r>
      <w:proofErr w:type="spellStart"/>
      <w:r w:rsidRPr="00285AE3">
        <w:rPr>
          <w:iCs/>
          <w:sz w:val="24"/>
          <w:szCs w:val="24"/>
        </w:rPr>
        <w:t>ondansetron</w:t>
      </w:r>
      <w:proofErr w:type="spellEnd"/>
      <w:r w:rsidRPr="00285AE3">
        <w:rPr>
          <w:iCs/>
          <w:sz w:val="24"/>
          <w:szCs w:val="24"/>
        </w:rPr>
        <w:t xml:space="preserve"> er uændret hos personer, der klassificeres som dårlige </w:t>
      </w:r>
      <w:proofErr w:type="spellStart"/>
      <w:r w:rsidRPr="00285AE3">
        <w:rPr>
          <w:iCs/>
          <w:sz w:val="24"/>
          <w:szCs w:val="24"/>
        </w:rPr>
        <w:t>omsættere</w:t>
      </w:r>
      <w:proofErr w:type="spellEnd"/>
      <w:r w:rsidRPr="00285AE3">
        <w:rPr>
          <w:iCs/>
          <w:sz w:val="24"/>
          <w:szCs w:val="24"/>
        </w:rPr>
        <w:t xml:space="preserve"> af </w:t>
      </w:r>
      <w:proofErr w:type="spellStart"/>
      <w:r w:rsidRPr="00285AE3">
        <w:rPr>
          <w:iCs/>
          <w:sz w:val="24"/>
          <w:szCs w:val="24"/>
        </w:rPr>
        <w:t>spartein</w:t>
      </w:r>
      <w:proofErr w:type="spellEnd"/>
      <w:r w:rsidRPr="00285AE3">
        <w:rPr>
          <w:iCs/>
          <w:sz w:val="24"/>
          <w:szCs w:val="24"/>
        </w:rPr>
        <w:t xml:space="preserve"> og </w:t>
      </w:r>
      <w:proofErr w:type="spellStart"/>
      <w:r w:rsidRPr="00285AE3">
        <w:rPr>
          <w:iCs/>
          <w:sz w:val="24"/>
          <w:szCs w:val="24"/>
        </w:rPr>
        <w:t>debrisoquin</w:t>
      </w:r>
      <w:proofErr w:type="spellEnd"/>
      <w:r w:rsidRPr="00285AE3">
        <w:rPr>
          <w:iCs/>
          <w:sz w:val="24"/>
          <w:szCs w:val="24"/>
        </w:rPr>
        <w:t>. Som konsekvens heraf vil gentagne doser ikke give andre eksponeringsniveauer for lægemidlet hos disse patienter end i den generelle population. Der kræves ingen ændringer af den daglige dosis eller doseringshyppigheden.</w:t>
      </w:r>
    </w:p>
    <w:p w14:paraId="74F89C8A" w14:textId="77777777" w:rsidR="009260DE" w:rsidRPr="00285AE3" w:rsidRDefault="009260DE" w:rsidP="009260DE">
      <w:pPr>
        <w:tabs>
          <w:tab w:val="left" w:pos="851"/>
        </w:tabs>
        <w:ind w:left="851"/>
        <w:rPr>
          <w:sz w:val="24"/>
          <w:szCs w:val="24"/>
        </w:rPr>
      </w:pPr>
    </w:p>
    <w:p w14:paraId="009A50AC" w14:textId="77777777" w:rsidR="009260DE" w:rsidRPr="00F47ED1" w:rsidRDefault="009260DE" w:rsidP="009260DE">
      <w:pPr>
        <w:tabs>
          <w:tab w:val="left" w:pos="851"/>
        </w:tabs>
        <w:ind w:left="851" w:hanging="851"/>
        <w:rPr>
          <w:b/>
          <w:sz w:val="24"/>
          <w:szCs w:val="24"/>
        </w:rPr>
      </w:pPr>
      <w:r w:rsidRPr="00F47ED1">
        <w:rPr>
          <w:b/>
          <w:sz w:val="24"/>
          <w:szCs w:val="24"/>
        </w:rPr>
        <w:t>4.3</w:t>
      </w:r>
      <w:r w:rsidRPr="00F47ED1">
        <w:rPr>
          <w:b/>
          <w:sz w:val="24"/>
          <w:szCs w:val="24"/>
        </w:rPr>
        <w:tab/>
        <w:t>Kontraindikationer</w:t>
      </w:r>
    </w:p>
    <w:p w14:paraId="769878A0" w14:textId="77777777" w:rsidR="00BC15AF" w:rsidRPr="00F47ED1" w:rsidRDefault="00BC15AF" w:rsidP="0071192A">
      <w:pPr>
        <w:ind w:left="851"/>
        <w:rPr>
          <w:sz w:val="24"/>
          <w:szCs w:val="24"/>
        </w:rPr>
      </w:pPr>
      <w:r w:rsidRPr="00F47ED1">
        <w:rPr>
          <w:sz w:val="24"/>
          <w:szCs w:val="24"/>
        </w:rPr>
        <w:t xml:space="preserve">På baggrund af rapporter om udtalt hypotension og bevidsthedstab ved administration af </w:t>
      </w:r>
      <w:proofErr w:type="spellStart"/>
      <w:r w:rsidRPr="00F47ED1">
        <w:rPr>
          <w:sz w:val="24"/>
          <w:szCs w:val="24"/>
        </w:rPr>
        <w:t>ondansetron</w:t>
      </w:r>
      <w:proofErr w:type="spellEnd"/>
      <w:r w:rsidRPr="00F47ED1">
        <w:rPr>
          <w:sz w:val="24"/>
          <w:szCs w:val="24"/>
        </w:rPr>
        <w:t xml:space="preserve"> sammen med </w:t>
      </w:r>
      <w:proofErr w:type="spellStart"/>
      <w:r w:rsidRPr="00F47ED1">
        <w:rPr>
          <w:sz w:val="24"/>
          <w:szCs w:val="24"/>
        </w:rPr>
        <w:t>apomorphinhydrochlorid</w:t>
      </w:r>
      <w:proofErr w:type="spellEnd"/>
      <w:r w:rsidRPr="00F47ED1">
        <w:rPr>
          <w:sz w:val="24"/>
          <w:szCs w:val="24"/>
        </w:rPr>
        <w:t xml:space="preserve"> er samtidig brug af </w:t>
      </w:r>
      <w:proofErr w:type="spellStart"/>
      <w:r w:rsidRPr="00F47ED1">
        <w:rPr>
          <w:sz w:val="24"/>
          <w:szCs w:val="24"/>
        </w:rPr>
        <w:t>apomorphin</w:t>
      </w:r>
      <w:proofErr w:type="spellEnd"/>
      <w:r w:rsidRPr="00F47ED1">
        <w:rPr>
          <w:sz w:val="24"/>
          <w:szCs w:val="24"/>
        </w:rPr>
        <w:t xml:space="preserve"> kontraindiceret.</w:t>
      </w:r>
    </w:p>
    <w:p w14:paraId="525887C3" w14:textId="77777777" w:rsidR="00BC15AF" w:rsidRPr="00F47ED1" w:rsidRDefault="00BC15AF" w:rsidP="0071192A">
      <w:pPr>
        <w:ind w:left="851"/>
        <w:rPr>
          <w:sz w:val="24"/>
          <w:szCs w:val="24"/>
        </w:rPr>
      </w:pPr>
    </w:p>
    <w:p w14:paraId="295D2493" w14:textId="77777777" w:rsidR="00BC15AF" w:rsidRPr="00F47ED1" w:rsidRDefault="00BC15AF" w:rsidP="0071192A">
      <w:pPr>
        <w:ind w:left="851"/>
        <w:rPr>
          <w:sz w:val="24"/>
          <w:szCs w:val="24"/>
        </w:rPr>
      </w:pPr>
      <w:r w:rsidRPr="00F47ED1">
        <w:rPr>
          <w:sz w:val="24"/>
          <w:szCs w:val="24"/>
        </w:rPr>
        <w:t>Overfølsomhed over for det aktive stof eller over for et eller flere af hjælpestofferne anført i pkt. 6.1.</w:t>
      </w:r>
    </w:p>
    <w:p w14:paraId="466B5C3F" w14:textId="77777777" w:rsidR="009260DE" w:rsidRPr="00F47ED1" w:rsidRDefault="009260DE" w:rsidP="009260DE">
      <w:pPr>
        <w:tabs>
          <w:tab w:val="left" w:pos="851"/>
        </w:tabs>
        <w:ind w:left="851"/>
        <w:rPr>
          <w:sz w:val="24"/>
          <w:szCs w:val="24"/>
        </w:rPr>
      </w:pPr>
    </w:p>
    <w:p w14:paraId="1FBEA45F" w14:textId="77777777" w:rsidR="009260DE" w:rsidRPr="00F47ED1" w:rsidRDefault="009260DE" w:rsidP="009260DE">
      <w:pPr>
        <w:tabs>
          <w:tab w:val="left" w:pos="851"/>
        </w:tabs>
        <w:ind w:left="851" w:hanging="851"/>
        <w:rPr>
          <w:b/>
          <w:sz w:val="24"/>
          <w:szCs w:val="24"/>
        </w:rPr>
      </w:pPr>
      <w:r w:rsidRPr="00F47ED1">
        <w:rPr>
          <w:b/>
          <w:sz w:val="24"/>
          <w:szCs w:val="24"/>
        </w:rPr>
        <w:t>4.4</w:t>
      </w:r>
      <w:r w:rsidRPr="00F47ED1">
        <w:rPr>
          <w:b/>
          <w:sz w:val="24"/>
          <w:szCs w:val="24"/>
        </w:rPr>
        <w:tab/>
        <w:t>Særlige advarsler og forsigtighedsregler vedrørende brugen</w:t>
      </w:r>
    </w:p>
    <w:p w14:paraId="7E27ABE6" w14:textId="77777777" w:rsidR="00DA57A5" w:rsidRPr="00F47ED1" w:rsidRDefault="00DA57A5" w:rsidP="002D7BEB">
      <w:pPr>
        <w:ind w:left="851"/>
        <w:rPr>
          <w:sz w:val="24"/>
          <w:szCs w:val="24"/>
        </w:rPr>
      </w:pPr>
      <w:r w:rsidRPr="00F47ED1">
        <w:rPr>
          <w:sz w:val="24"/>
          <w:szCs w:val="24"/>
        </w:rPr>
        <w:t>Overfølsomhedsreaktioner er blevet rapporteret hos patienter, der har vist overfølsomhed over for andre selektive 5-HT</w:t>
      </w:r>
      <w:r w:rsidRPr="00F47ED1">
        <w:rPr>
          <w:sz w:val="24"/>
          <w:szCs w:val="24"/>
          <w:vertAlign w:val="subscript"/>
        </w:rPr>
        <w:t>3</w:t>
      </w:r>
      <w:r w:rsidRPr="00F47ED1">
        <w:rPr>
          <w:sz w:val="24"/>
          <w:szCs w:val="24"/>
        </w:rPr>
        <w:t>-receptorantagonister. Respiratoriske hændelser bør behandles symptomatisk, og læger bør være særligt opmærksomme på disse, da de kan være forløbere for overfølsomhedsreaktioner.</w:t>
      </w:r>
    </w:p>
    <w:p w14:paraId="52FA928F" w14:textId="77777777" w:rsidR="00DA57A5" w:rsidRPr="00F47ED1" w:rsidRDefault="00DA57A5" w:rsidP="002D7BEB">
      <w:pPr>
        <w:ind w:left="851"/>
        <w:rPr>
          <w:sz w:val="24"/>
          <w:szCs w:val="24"/>
        </w:rPr>
      </w:pPr>
    </w:p>
    <w:p w14:paraId="71D56976" w14:textId="0E728CD5" w:rsidR="00DA57A5" w:rsidRDefault="00DA57A5" w:rsidP="002D7BEB">
      <w:pPr>
        <w:ind w:left="851"/>
        <w:rPr>
          <w:sz w:val="24"/>
          <w:szCs w:val="24"/>
        </w:rPr>
      </w:pPr>
      <w:r w:rsidRPr="00F47ED1">
        <w:rPr>
          <w:sz w:val="24"/>
          <w:szCs w:val="24"/>
        </w:rPr>
        <w:t xml:space="preserve">Der er i sjældne tilfælde rapporteret om forbigående EKG-forandringer, herunder forlængelse af QT-intervallet, hos patienter, der fik </w:t>
      </w:r>
      <w:proofErr w:type="spellStart"/>
      <w:r w:rsidRPr="00F47ED1">
        <w:rPr>
          <w:sz w:val="24"/>
          <w:szCs w:val="24"/>
        </w:rPr>
        <w:t>ondansetron</w:t>
      </w:r>
      <w:proofErr w:type="spellEnd"/>
      <w:r w:rsidRPr="00F47ED1">
        <w:rPr>
          <w:sz w:val="24"/>
          <w:szCs w:val="24"/>
        </w:rPr>
        <w:t xml:space="preserve">. Efter markedsføringen er der desuden rapporteret om tilfælde af </w:t>
      </w:r>
      <w:proofErr w:type="spellStart"/>
      <w:r w:rsidRPr="00F47ED1">
        <w:rPr>
          <w:sz w:val="24"/>
          <w:szCs w:val="24"/>
        </w:rPr>
        <w:t>torsades</w:t>
      </w:r>
      <w:proofErr w:type="spellEnd"/>
      <w:r w:rsidRPr="00F47ED1">
        <w:rPr>
          <w:sz w:val="24"/>
          <w:szCs w:val="24"/>
        </w:rPr>
        <w:t xml:space="preserve"> de pointes hos patienter, der brugte </w:t>
      </w:r>
      <w:proofErr w:type="spellStart"/>
      <w:r w:rsidRPr="00F47ED1">
        <w:rPr>
          <w:sz w:val="24"/>
          <w:szCs w:val="24"/>
        </w:rPr>
        <w:t>ondansetron</w:t>
      </w:r>
      <w:proofErr w:type="spellEnd"/>
      <w:r w:rsidRPr="00F47ED1">
        <w:rPr>
          <w:sz w:val="24"/>
          <w:szCs w:val="24"/>
        </w:rPr>
        <w:t xml:space="preserve">. </w:t>
      </w:r>
      <w:proofErr w:type="spellStart"/>
      <w:r w:rsidRPr="00F47ED1">
        <w:rPr>
          <w:sz w:val="24"/>
          <w:szCs w:val="24"/>
        </w:rPr>
        <w:t>Ondansetron</w:t>
      </w:r>
      <w:proofErr w:type="spellEnd"/>
      <w:r w:rsidRPr="00F47ED1">
        <w:rPr>
          <w:sz w:val="24"/>
          <w:szCs w:val="24"/>
        </w:rPr>
        <w:t xml:space="preserve"> bør administreres med forsigtighed hos patienter, der har eller kan udvikle </w:t>
      </w:r>
      <w:proofErr w:type="spellStart"/>
      <w:r w:rsidRPr="00F47ED1">
        <w:rPr>
          <w:sz w:val="24"/>
          <w:szCs w:val="24"/>
        </w:rPr>
        <w:t>QTc</w:t>
      </w:r>
      <w:proofErr w:type="spellEnd"/>
      <w:r w:rsidRPr="00F47ED1">
        <w:rPr>
          <w:sz w:val="24"/>
          <w:szCs w:val="24"/>
        </w:rPr>
        <w:t xml:space="preserve">-forlængelse. Dette omfatter patienter med elektrolytforstyrrelser eller med kongenit langt QT-syndrom samt patienter, der tager andre lægemidler, der medfører QT-forlængelse. Derfor bør der udvises forsigtighed hos patienter med hjerterytme- eller overledningsforstyrrelser, hos patienter i behandling med </w:t>
      </w:r>
      <w:proofErr w:type="spellStart"/>
      <w:r w:rsidRPr="00F47ED1">
        <w:rPr>
          <w:sz w:val="24"/>
          <w:szCs w:val="24"/>
        </w:rPr>
        <w:t>antiarytmika</w:t>
      </w:r>
      <w:proofErr w:type="spellEnd"/>
      <w:r w:rsidRPr="00F47ED1">
        <w:rPr>
          <w:sz w:val="24"/>
          <w:szCs w:val="24"/>
        </w:rPr>
        <w:t xml:space="preserve"> eller betablokkere og hos patienter med signifikante elektrolytforstyrrelser.</w:t>
      </w:r>
    </w:p>
    <w:p w14:paraId="5B9172C3" w14:textId="75EC8332" w:rsidR="007B4A91" w:rsidRDefault="007B4A91" w:rsidP="002D7BEB">
      <w:pPr>
        <w:ind w:left="851"/>
        <w:rPr>
          <w:sz w:val="24"/>
          <w:szCs w:val="24"/>
        </w:rPr>
      </w:pPr>
    </w:p>
    <w:p w14:paraId="6A4EE40D" w14:textId="77777777" w:rsidR="007B4A91" w:rsidRPr="0050691C" w:rsidRDefault="007B4A91" w:rsidP="007B4A91">
      <w:pPr>
        <w:autoSpaceDE w:val="0"/>
        <w:autoSpaceDN w:val="0"/>
        <w:adjustRightInd w:val="0"/>
        <w:ind w:firstLine="851"/>
        <w:rPr>
          <w:sz w:val="24"/>
          <w:szCs w:val="24"/>
        </w:rPr>
      </w:pPr>
      <w:r w:rsidRPr="0050691C">
        <w:rPr>
          <w:sz w:val="24"/>
          <w:szCs w:val="24"/>
        </w:rPr>
        <w:t xml:space="preserve">Der er rapporteret om tilfælde af </w:t>
      </w:r>
      <w:proofErr w:type="spellStart"/>
      <w:r w:rsidRPr="0050691C">
        <w:rPr>
          <w:sz w:val="24"/>
          <w:szCs w:val="24"/>
        </w:rPr>
        <w:t>myokardieiskæmi</w:t>
      </w:r>
      <w:proofErr w:type="spellEnd"/>
      <w:r w:rsidRPr="0050691C">
        <w:rPr>
          <w:sz w:val="24"/>
          <w:szCs w:val="24"/>
        </w:rPr>
        <w:t xml:space="preserve"> hos patienter behandlet med</w:t>
      </w:r>
    </w:p>
    <w:p w14:paraId="6F8FBC82" w14:textId="77777777" w:rsidR="007B4A91" w:rsidRPr="0050691C" w:rsidRDefault="007B4A91" w:rsidP="007B4A91">
      <w:pPr>
        <w:autoSpaceDE w:val="0"/>
        <w:autoSpaceDN w:val="0"/>
        <w:adjustRightInd w:val="0"/>
        <w:ind w:firstLine="851"/>
        <w:rPr>
          <w:sz w:val="24"/>
          <w:szCs w:val="24"/>
        </w:rPr>
      </w:pPr>
      <w:proofErr w:type="spellStart"/>
      <w:r w:rsidRPr="0050691C">
        <w:rPr>
          <w:sz w:val="24"/>
          <w:szCs w:val="24"/>
        </w:rPr>
        <w:t>ondansetron</w:t>
      </w:r>
      <w:proofErr w:type="spellEnd"/>
      <w:r w:rsidRPr="0050691C">
        <w:rPr>
          <w:sz w:val="24"/>
          <w:szCs w:val="24"/>
        </w:rPr>
        <w:t>. Hos nogle patienter, især ved intravenøs administration, opstod der</w:t>
      </w:r>
    </w:p>
    <w:p w14:paraId="783FB5BE" w14:textId="77777777" w:rsidR="007B4A91" w:rsidRPr="0050691C" w:rsidRDefault="007B4A91" w:rsidP="007B4A91">
      <w:pPr>
        <w:autoSpaceDE w:val="0"/>
        <w:autoSpaceDN w:val="0"/>
        <w:adjustRightInd w:val="0"/>
        <w:ind w:firstLine="851"/>
        <w:rPr>
          <w:sz w:val="24"/>
          <w:szCs w:val="24"/>
        </w:rPr>
      </w:pPr>
      <w:r w:rsidRPr="0050691C">
        <w:rPr>
          <w:sz w:val="24"/>
          <w:szCs w:val="24"/>
        </w:rPr>
        <w:t xml:space="preserve">symptomer umiddelbart efter administration af </w:t>
      </w:r>
      <w:proofErr w:type="spellStart"/>
      <w:r w:rsidRPr="0050691C">
        <w:rPr>
          <w:sz w:val="24"/>
          <w:szCs w:val="24"/>
        </w:rPr>
        <w:t>ondansetron</w:t>
      </w:r>
      <w:proofErr w:type="spellEnd"/>
      <w:r w:rsidRPr="0050691C">
        <w:rPr>
          <w:sz w:val="24"/>
          <w:szCs w:val="24"/>
        </w:rPr>
        <w:t>. Patienter bør gøres</w:t>
      </w:r>
    </w:p>
    <w:p w14:paraId="3F2C373B" w14:textId="77777777" w:rsidR="007B4A91" w:rsidRPr="0050691C" w:rsidRDefault="007B4A91" w:rsidP="007B4A91">
      <w:pPr>
        <w:ind w:left="851"/>
        <w:rPr>
          <w:sz w:val="24"/>
          <w:szCs w:val="24"/>
        </w:rPr>
      </w:pPr>
      <w:r w:rsidRPr="0050691C">
        <w:rPr>
          <w:sz w:val="24"/>
          <w:szCs w:val="24"/>
        </w:rPr>
        <w:t xml:space="preserve">opmærksomme på tegnene og symptomerne på </w:t>
      </w:r>
      <w:proofErr w:type="spellStart"/>
      <w:r w:rsidRPr="0050691C">
        <w:rPr>
          <w:sz w:val="24"/>
          <w:szCs w:val="24"/>
        </w:rPr>
        <w:t>myokardieiskæmi</w:t>
      </w:r>
      <w:proofErr w:type="spellEnd"/>
      <w:r w:rsidRPr="0050691C">
        <w:rPr>
          <w:sz w:val="24"/>
          <w:szCs w:val="24"/>
        </w:rPr>
        <w:t>.</w:t>
      </w:r>
    </w:p>
    <w:p w14:paraId="233BDB31" w14:textId="77777777" w:rsidR="00DA57A5" w:rsidRPr="00F47ED1" w:rsidRDefault="00DA57A5" w:rsidP="002D7BEB">
      <w:pPr>
        <w:ind w:left="851"/>
        <w:rPr>
          <w:sz w:val="24"/>
          <w:szCs w:val="24"/>
        </w:rPr>
      </w:pPr>
    </w:p>
    <w:p w14:paraId="4A549C13" w14:textId="77777777" w:rsidR="00DA57A5" w:rsidRPr="00F47ED1" w:rsidRDefault="00DA57A5" w:rsidP="002D7BEB">
      <w:pPr>
        <w:ind w:left="851"/>
        <w:rPr>
          <w:sz w:val="24"/>
          <w:szCs w:val="24"/>
        </w:rPr>
      </w:pPr>
      <w:r w:rsidRPr="00F47ED1">
        <w:rPr>
          <w:sz w:val="24"/>
          <w:szCs w:val="24"/>
        </w:rPr>
        <w:t xml:space="preserve">Da </w:t>
      </w:r>
      <w:proofErr w:type="spellStart"/>
      <w:r w:rsidRPr="00F47ED1">
        <w:rPr>
          <w:sz w:val="24"/>
          <w:szCs w:val="24"/>
        </w:rPr>
        <w:t>ondansetron</w:t>
      </w:r>
      <w:proofErr w:type="spellEnd"/>
      <w:r w:rsidRPr="00F47ED1">
        <w:rPr>
          <w:sz w:val="24"/>
          <w:szCs w:val="24"/>
        </w:rPr>
        <w:t xml:space="preserve"> forlænger tarmtransittiden, bør patienter med tegn på </w:t>
      </w:r>
      <w:proofErr w:type="spellStart"/>
      <w:r w:rsidRPr="00F47ED1">
        <w:rPr>
          <w:sz w:val="24"/>
          <w:szCs w:val="24"/>
        </w:rPr>
        <w:t>subakut</w:t>
      </w:r>
      <w:proofErr w:type="spellEnd"/>
      <w:r w:rsidRPr="00F47ED1">
        <w:rPr>
          <w:sz w:val="24"/>
          <w:szCs w:val="24"/>
        </w:rPr>
        <w:t xml:space="preserve"> tarmobstruktion monitoreres efter administration af </w:t>
      </w:r>
      <w:proofErr w:type="spellStart"/>
      <w:r w:rsidRPr="00F47ED1">
        <w:rPr>
          <w:sz w:val="24"/>
          <w:szCs w:val="24"/>
        </w:rPr>
        <w:t>ondansetron</w:t>
      </w:r>
      <w:proofErr w:type="spellEnd"/>
      <w:r w:rsidRPr="00F47ED1">
        <w:rPr>
          <w:sz w:val="24"/>
          <w:szCs w:val="24"/>
        </w:rPr>
        <w:t>.</w:t>
      </w:r>
    </w:p>
    <w:p w14:paraId="2AF4645D" w14:textId="77777777" w:rsidR="00DA57A5" w:rsidRPr="00F47ED1" w:rsidRDefault="00DA57A5" w:rsidP="002D7BEB">
      <w:pPr>
        <w:ind w:left="851"/>
        <w:rPr>
          <w:sz w:val="24"/>
          <w:szCs w:val="24"/>
        </w:rPr>
      </w:pPr>
    </w:p>
    <w:p w14:paraId="7CBB06FE" w14:textId="77777777" w:rsidR="00DA57A5" w:rsidRPr="00F47ED1" w:rsidRDefault="00DA57A5" w:rsidP="002D7BEB">
      <w:pPr>
        <w:ind w:left="851"/>
        <w:rPr>
          <w:sz w:val="24"/>
          <w:szCs w:val="24"/>
        </w:rPr>
      </w:pPr>
      <w:r w:rsidRPr="00F47ED1">
        <w:rPr>
          <w:sz w:val="24"/>
          <w:szCs w:val="24"/>
        </w:rPr>
        <w:t xml:space="preserve">Hos patienter, der gennemgår </w:t>
      </w:r>
      <w:proofErr w:type="spellStart"/>
      <w:r w:rsidRPr="00F47ED1">
        <w:rPr>
          <w:sz w:val="24"/>
          <w:szCs w:val="24"/>
        </w:rPr>
        <w:t>adenotonsillær</w:t>
      </w:r>
      <w:proofErr w:type="spellEnd"/>
      <w:r w:rsidRPr="00F47ED1">
        <w:rPr>
          <w:sz w:val="24"/>
          <w:szCs w:val="24"/>
        </w:rPr>
        <w:t xml:space="preserve"> operation, kan profylakse af kvalme og opkastning med </w:t>
      </w:r>
      <w:proofErr w:type="spellStart"/>
      <w:r w:rsidRPr="00F47ED1">
        <w:rPr>
          <w:sz w:val="24"/>
          <w:szCs w:val="24"/>
        </w:rPr>
        <w:t>ondansetron</w:t>
      </w:r>
      <w:proofErr w:type="spellEnd"/>
      <w:r w:rsidRPr="00F47ED1">
        <w:rPr>
          <w:sz w:val="24"/>
          <w:szCs w:val="24"/>
        </w:rPr>
        <w:t xml:space="preserve"> maskere okkult blødning. Derfor bør disse patienter observeres nøje efter administration af </w:t>
      </w:r>
      <w:proofErr w:type="spellStart"/>
      <w:r w:rsidRPr="00F47ED1">
        <w:rPr>
          <w:sz w:val="24"/>
          <w:szCs w:val="24"/>
        </w:rPr>
        <w:t>ondansetron</w:t>
      </w:r>
      <w:proofErr w:type="spellEnd"/>
      <w:r w:rsidRPr="00F47ED1">
        <w:rPr>
          <w:sz w:val="24"/>
          <w:szCs w:val="24"/>
        </w:rPr>
        <w:t>.</w:t>
      </w:r>
    </w:p>
    <w:p w14:paraId="2E083BDB" w14:textId="77777777" w:rsidR="00DA57A5" w:rsidRPr="00F47ED1" w:rsidRDefault="00DA57A5" w:rsidP="002D7BEB">
      <w:pPr>
        <w:autoSpaceDE w:val="0"/>
        <w:autoSpaceDN w:val="0"/>
        <w:adjustRightInd w:val="0"/>
        <w:ind w:left="851"/>
        <w:rPr>
          <w:sz w:val="24"/>
          <w:szCs w:val="24"/>
          <w:lang w:eastAsia="en-GB"/>
        </w:rPr>
      </w:pPr>
    </w:p>
    <w:p w14:paraId="0CED0486" w14:textId="77777777" w:rsidR="00DA57A5" w:rsidRPr="00F47ED1" w:rsidRDefault="00DA57A5" w:rsidP="002D7BEB">
      <w:pPr>
        <w:ind w:left="851"/>
        <w:rPr>
          <w:noProof/>
          <w:sz w:val="24"/>
          <w:szCs w:val="24"/>
          <w:u w:val="single"/>
        </w:rPr>
      </w:pPr>
      <w:r w:rsidRPr="00F47ED1">
        <w:rPr>
          <w:noProof/>
          <w:sz w:val="24"/>
          <w:szCs w:val="24"/>
          <w:u w:val="single"/>
        </w:rPr>
        <w:t>Pædiatrisk population</w:t>
      </w:r>
    </w:p>
    <w:p w14:paraId="7BD3327D" w14:textId="77777777" w:rsidR="00DA57A5" w:rsidRPr="00F47ED1" w:rsidRDefault="00DA57A5" w:rsidP="002D7BEB">
      <w:pPr>
        <w:ind w:left="851"/>
        <w:rPr>
          <w:sz w:val="24"/>
          <w:szCs w:val="24"/>
        </w:rPr>
      </w:pPr>
      <w:r w:rsidRPr="00F47ED1">
        <w:rPr>
          <w:sz w:val="24"/>
          <w:szCs w:val="24"/>
        </w:rPr>
        <w:t xml:space="preserve">Pædiatriske patienter, der får </w:t>
      </w:r>
      <w:proofErr w:type="spellStart"/>
      <w:r w:rsidRPr="00F47ED1">
        <w:rPr>
          <w:sz w:val="24"/>
          <w:szCs w:val="24"/>
        </w:rPr>
        <w:t>ondansetron</w:t>
      </w:r>
      <w:proofErr w:type="spellEnd"/>
      <w:r w:rsidRPr="00F47ED1">
        <w:rPr>
          <w:sz w:val="24"/>
          <w:szCs w:val="24"/>
        </w:rPr>
        <w:t xml:space="preserve"> samtidig med </w:t>
      </w:r>
      <w:proofErr w:type="spellStart"/>
      <w:r w:rsidRPr="00F47ED1">
        <w:rPr>
          <w:sz w:val="24"/>
          <w:szCs w:val="24"/>
        </w:rPr>
        <w:t>hepatotoksiske</w:t>
      </w:r>
      <w:proofErr w:type="spellEnd"/>
      <w:r w:rsidRPr="00F47ED1">
        <w:rPr>
          <w:sz w:val="24"/>
          <w:szCs w:val="24"/>
        </w:rPr>
        <w:t xml:space="preserve"> kemoterapeutika, skal monitoreres tæt for nedsat leverfunktion.</w:t>
      </w:r>
    </w:p>
    <w:p w14:paraId="7044CCE2" w14:textId="77777777" w:rsidR="00DA57A5" w:rsidRPr="00F47ED1" w:rsidRDefault="00DA57A5" w:rsidP="002D7BEB">
      <w:pPr>
        <w:ind w:left="851"/>
        <w:rPr>
          <w:sz w:val="24"/>
          <w:szCs w:val="24"/>
        </w:rPr>
      </w:pPr>
    </w:p>
    <w:p w14:paraId="1A74F476" w14:textId="77777777" w:rsidR="00DA57A5" w:rsidRPr="00F47ED1" w:rsidRDefault="00DA57A5" w:rsidP="002D7BEB">
      <w:pPr>
        <w:ind w:left="851"/>
        <w:rPr>
          <w:i/>
          <w:iCs/>
          <w:sz w:val="24"/>
          <w:szCs w:val="24"/>
        </w:rPr>
      </w:pPr>
      <w:r w:rsidRPr="00F47ED1">
        <w:rPr>
          <w:i/>
          <w:iCs/>
          <w:sz w:val="24"/>
          <w:szCs w:val="24"/>
        </w:rPr>
        <w:t>Kvalme og opkastning forårsaget af kemoterapi (CINV):</w:t>
      </w:r>
    </w:p>
    <w:p w14:paraId="13D31E2C" w14:textId="77777777" w:rsidR="00DA57A5" w:rsidRPr="00F47ED1" w:rsidRDefault="00DA57A5" w:rsidP="002D7BEB">
      <w:pPr>
        <w:ind w:left="851"/>
        <w:rPr>
          <w:sz w:val="24"/>
          <w:szCs w:val="24"/>
        </w:rPr>
      </w:pPr>
      <w:r w:rsidRPr="00F47ED1">
        <w:rPr>
          <w:sz w:val="24"/>
          <w:szCs w:val="24"/>
        </w:rPr>
        <w:t>Når dosis udregnes i mg/kg på baggrund af vægten, og der administreres 3 doser med 4 timers interval, vil den totale daglige dosis være højere, end hvis der administreres en enkelt dosis på 5 mg/m</w:t>
      </w:r>
      <w:r w:rsidRPr="00F47ED1">
        <w:rPr>
          <w:sz w:val="24"/>
          <w:szCs w:val="24"/>
          <w:vertAlign w:val="superscript"/>
        </w:rPr>
        <w:t>2</w:t>
      </w:r>
      <w:r w:rsidRPr="00F47ED1">
        <w:rPr>
          <w:sz w:val="24"/>
          <w:szCs w:val="24"/>
        </w:rPr>
        <w:t xml:space="preserve"> efterfulgt af en oral dosis. Virkningen af disse to forskellige doseringsregimer er ikke blevet sammenlignet i kliniske studier. Sammenligning på tværs af studier indikerer samme virkning med begge regimer (se pkt. 5.1).</w:t>
      </w:r>
    </w:p>
    <w:p w14:paraId="25394684" w14:textId="77777777" w:rsidR="00DA57A5" w:rsidRPr="00F47ED1" w:rsidRDefault="00DA57A5" w:rsidP="002D7BEB">
      <w:pPr>
        <w:autoSpaceDE w:val="0"/>
        <w:autoSpaceDN w:val="0"/>
        <w:adjustRightInd w:val="0"/>
        <w:ind w:left="851"/>
        <w:rPr>
          <w:sz w:val="24"/>
          <w:szCs w:val="24"/>
        </w:rPr>
      </w:pPr>
    </w:p>
    <w:p w14:paraId="21530933" w14:textId="77777777" w:rsidR="00DA57A5" w:rsidRPr="00F47ED1" w:rsidRDefault="00DA57A5" w:rsidP="002D7BEB">
      <w:pPr>
        <w:autoSpaceDE w:val="0"/>
        <w:autoSpaceDN w:val="0"/>
        <w:adjustRightInd w:val="0"/>
        <w:ind w:left="851"/>
        <w:rPr>
          <w:sz w:val="24"/>
          <w:szCs w:val="24"/>
        </w:rPr>
      </w:pPr>
      <w:r w:rsidRPr="00F47ED1">
        <w:rPr>
          <w:sz w:val="24"/>
          <w:szCs w:val="24"/>
        </w:rPr>
        <w:t xml:space="preserve">Dette lægemiddel bør ikke anvendes til patienter med hereditær </w:t>
      </w:r>
      <w:proofErr w:type="spellStart"/>
      <w:r w:rsidRPr="00F47ED1">
        <w:rPr>
          <w:sz w:val="24"/>
          <w:szCs w:val="24"/>
        </w:rPr>
        <w:t>galactoseintolerans</w:t>
      </w:r>
      <w:proofErr w:type="spellEnd"/>
      <w:r w:rsidRPr="00F47ED1">
        <w:rPr>
          <w:sz w:val="24"/>
          <w:szCs w:val="24"/>
        </w:rPr>
        <w:t xml:space="preserve">, total </w:t>
      </w:r>
      <w:proofErr w:type="spellStart"/>
      <w:r w:rsidRPr="00F47ED1">
        <w:rPr>
          <w:sz w:val="24"/>
          <w:szCs w:val="24"/>
        </w:rPr>
        <w:t>lactasemangel</w:t>
      </w:r>
      <w:proofErr w:type="spellEnd"/>
      <w:r w:rsidRPr="00F47ED1">
        <w:rPr>
          <w:sz w:val="24"/>
          <w:szCs w:val="24"/>
        </w:rPr>
        <w:t xml:space="preserve"> eller </w:t>
      </w:r>
      <w:proofErr w:type="spellStart"/>
      <w:r w:rsidRPr="00F47ED1">
        <w:rPr>
          <w:sz w:val="24"/>
          <w:szCs w:val="24"/>
        </w:rPr>
        <w:t>glucose</w:t>
      </w:r>
      <w:proofErr w:type="spellEnd"/>
      <w:r w:rsidRPr="00F47ED1">
        <w:rPr>
          <w:sz w:val="24"/>
          <w:szCs w:val="24"/>
        </w:rPr>
        <w:t>/</w:t>
      </w:r>
      <w:proofErr w:type="spellStart"/>
      <w:r w:rsidRPr="00F47ED1">
        <w:rPr>
          <w:sz w:val="24"/>
          <w:szCs w:val="24"/>
        </w:rPr>
        <w:t>galactosemalabsorption</w:t>
      </w:r>
      <w:proofErr w:type="spellEnd"/>
      <w:r w:rsidRPr="00F47ED1">
        <w:rPr>
          <w:sz w:val="24"/>
          <w:szCs w:val="24"/>
        </w:rPr>
        <w:t>.</w:t>
      </w:r>
    </w:p>
    <w:p w14:paraId="7CDBFFB2" w14:textId="77777777" w:rsidR="009260DE" w:rsidRPr="00F47ED1" w:rsidRDefault="009260DE" w:rsidP="009260DE">
      <w:pPr>
        <w:tabs>
          <w:tab w:val="left" w:pos="851"/>
        </w:tabs>
        <w:ind w:left="851"/>
        <w:rPr>
          <w:sz w:val="24"/>
          <w:szCs w:val="24"/>
        </w:rPr>
      </w:pPr>
    </w:p>
    <w:p w14:paraId="1EED5B8F" w14:textId="77777777" w:rsidR="009260DE" w:rsidRPr="00F47ED1" w:rsidRDefault="009260DE" w:rsidP="009260DE">
      <w:pPr>
        <w:tabs>
          <w:tab w:val="left" w:pos="851"/>
        </w:tabs>
        <w:ind w:left="851" w:hanging="851"/>
        <w:rPr>
          <w:b/>
          <w:sz w:val="24"/>
          <w:szCs w:val="24"/>
        </w:rPr>
      </w:pPr>
      <w:r w:rsidRPr="00F47ED1">
        <w:rPr>
          <w:b/>
          <w:sz w:val="24"/>
          <w:szCs w:val="24"/>
        </w:rPr>
        <w:t>4.5</w:t>
      </w:r>
      <w:r w:rsidRPr="00F47ED1">
        <w:rPr>
          <w:b/>
          <w:sz w:val="24"/>
          <w:szCs w:val="24"/>
        </w:rPr>
        <w:tab/>
        <w:t>Interaktion med andre lægemidler og andre former for interaktion</w:t>
      </w:r>
    </w:p>
    <w:p w14:paraId="7D18123B" w14:textId="77777777" w:rsidR="00281768" w:rsidRPr="00F47ED1" w:rsidRDefault="00281768" w:rsidP="002D7BEB">
      <w:pPr>
        <w:ind w:left="851"/>
        <w:rPr>
          <w:sz w:val="24"/>
          <w:szCs w:val="24"/>
        </w:rPr>
      </w:pPr>
      <w:r w:rsidRPr="00F47ED1">
        <w:rPr>
          <w:sz w:val="24"/>
          <w:szCs w:val="24"/>
        </w:rPr>
        <w:t xml:space="preserve">Der er ingen tegn på, at </w:t>
      </w:r>
      <w:proofErr w:type="spellStart"/>
      <w:r w:rsidRPr="00F47ED1">
        <w:rPr>
          <w:sz w:val="24"/>
          <w:szCs w:val="24"/>
        </w:rPr>
        <w:t>ondansetron</w:t>
      </w:r>
      <w:proofErr w:type="spellEnd"/>
      <w:r w:rsidRPr="00F47ED1">
        <w:rPr>
          <w:sz w:val="24"/>
          <w:szCs w:val="24"/>
        </w:rPr>
        <w:t xml:space="preserve"> inducerer eller inhiberer metabolismen af andre lægemidler, der almindeligvis gives sammen med </w:t>
      </w:r>
      <w:proofErr w:type="spellStart"/>
      <w:r w:rsidRPr="00F47ED1">
        <w:rPr>
          <w:sz w:val="24"/>
          <w:szCs w:val="24"/>
        </w:rPr>
        <w:t>ondansetron</w:t>
      </w:r>
      <w:proofErr w:type="spellEnd"/>
      <w:r w:rsidRPr="00F47ED1">
        <w:rPr>
          <w:sz w:val="24"/>
          <w:szCs w:val="24"/>
        </w:rPr>
        <w:t xml:space="preserve">. Specifikke studier har vist, at der ingen interaktion er, når </w:t>
      </w:r>
      <w:proofErr w:type="spellStart"/>
      <w:r w:rsidRPr="00F47ED1">
        <w:rPr>
          <w:sz w:val="24"/>
          <w:szCs w:val="24"/>
        </w:rPr>
        <w:t>ondansetron</w:t>
      </w:r>
      <w:proofErr w:type="spellEnd"/>
      <w:r w:rsidRPr="00F47ED1">
        <w:rPr>
          <w:sz w:val="24"/>
          <w:szCs w:val="24"/>
        </w:rPr>
        <w:t xml:space="preserve"> administreres samtidig med alkohol, </w:t>
      </w:r>
      <w:proofErr w:type="spellStart"/>
      <w:r w:rsidRPr="00F47ED1">
        <w:rPr>
          <w:sz w:val="24"/>
          <w:szCs w:val="24"/>
        </w:rPr>
        <w:t>temazepam</w:t>
      </w:r>
      <w:proofErr w:type="spellEnd"/>
      <w:r w:rsidRPr="00F47ED1">
        <w:rPr>
          <w:sz w:val="24"/>
          <w:szCs w:val="24"/>
        </w:rPr>
        <w:t xml:space="preserve">, </w:t>
      </w:r>
      <w:proofErr w:type="spellStart"/>
      <w:r w:rsidRPr="00F47ED1">
        <w:rPr>
          <w:sz w:val="24"/>
          <w:szCs w:val="24"/>
        </w:rPr>
        <w:t>furosemid</w:t>
      </w:r>
      <w:proofErr w:type="spellEnd"/>
      <w:r w:rsidRPr="00F47ED1">
        <w:rPr>
          <w:sz w:val="24"/>
          <w:szCs w:val="24"/>
        </w:rPr>
        <w:t xml:space="preserve">, </w:t>
      </w:r>
      <w:proofErr w:type="spellStart"/>
      <w:r w:rsidRPr="00F47ED1">
        <w:rPr>
          <w:sz w:val="24"/>
          <w:szCs w:val="24"/>
        </w:rPr>
        <w:t>alfentanil</w:t>
      </w:r>
      <w:proofErr w:type="spellEnd"/>
      <w:r w:rsidRPr="00F47ED1">
        <w:rPr>
          <w:sz w:val="24"/>
          <w:szCs w:val="24"/>
        </w:rPr>
        <w:t xml:space="preserve">, </w:t>
      </w:r>
      <w:proofErr w:type="spellStart"/>
      <w:r w:rsidRPr="00F47ED1">
        <w:rPr>
          <w:sz w:val="24"/>
          <w:szCs w:val="24"/>
        </w:rPr>
        <w:t>tramadol</w:t>
      </w:r>
      <w:proofErr w:type="spellEnd"/>
      <w:r w:rsidRPr="00F47ED1">
        <w:rPr>
          <w:sz w:val="24"/>
          <w:szCs w:val="24"/>
        </w:rPr>
        <w:t xml:space="preserve">, </w:t>
      </w:r>
      <w:proofErr w:type="spellStart"/>
      <w:r w:rsidRPr="00F47ED1">
        <w:rPr>
          <w:sz w:val="24"/>
          <w:szCs w:val="24"/>
        </w:rPr>
        <w:t>morphin</w:t>
      </w:r>
      <w:proofErr w:type="spellEnd"/>
      <w:r w:rsidRPr="00F47ED1">
        <w:rPr>
          <w:sz w:val="24"/>
          <w:szCs w:val="24"/>
        </w:rPr>
        <w:t xml:space="preserve">, </w:t>
      </w:r>
      <w:proofErr w:type="spellStart"/>
      <w:r w:rsidRPr="00F47ED1">
        <w:rPr>
          <w:sz w:val="24"/>
          <w:szCs w:val="24"/>
        </w:rPr>
        <w:t>lidocain</w:t>
      </w:r>
      <w:proofErr w:type="spellEnd"/>
      <w:r w:rsidRPr="00F47ED1">
        <w:rPr>
          <w:sz w:val="24"/>
          <w:szCs w:val="24"/>
        </w:rPr>
        <w:t xml:space="preserve">, </w:t>
      </w:r>
      <w:proofErr w:type="spellStart"/>
      <w:r w:rsidRPr="00F47ED1">
        <w:rPr>
          <w:sz w:val="24"/>
          <w:szCs w:val="24"/>
        </w:rPr>
        <w:t>thiopental</w:t>
      </w:r>
      <w:proofErr w:type="spellEnd"/>
      <w:r w:rsidRPr="00F47ED1">
        <w:rPr>
          <w:sz w:val="24"/>
          <w:szCs w:val="24"/>
        </w:rPr>
        <w:t xml:space="preserve"> eller </w:t>
      </w:r>
      <w:proofErr w:type="spellStart"/>
      <w:r w:rsidRPr="00F47ED1">
        <w:rPr>
          <w:sz w:val="24"/>
          <w:szCs w:val="24"/>
        </w:rPr>
        <w:t>propofol</w:t>
      </w:r>
      <w:proofErr w:type="spellEnd"/>
      <w:r w:rsidRPr="00F47ED1">
        <w:rPr>
          <w:sz w:val="24"/>
          <w:szCs w:val="24"/>
        </w:rPr>
        <w:t>.</w:t>
      </w:r>
    </w:p>
    <w:p w14:paraId="1F805E0B" w14:textId="77777777" w:rsidR="00281768" w:rsidRPr="00F47ED1" w:rsidRDefault="00281768" w:rsidP="002D7BEB">
      <w:pPr>
        <w:ind w:left="851"/>
        <w:rPr>
          <w:sz w:val="24"/>
          <w:szCs w:val="24"/>
        </w:rPr>
      </w:pPr>
    </w:p>
    <w:p w14:paraId="1AA4822C" w14:textId="77777777" w:rsidR="00281768" w:rsidRPr="00F47ED1" w:rsidRDefault="00281768" w:rsidP="002D7BEB">
      <w:pPr>
        <w:ind w:left="851"/>
        <w:rPr>
          <w:sz w:val="24"/>
          <w:szCs w:val="24"/>
        </w:rPr>
      </w:pPr>
      <w:proofErr w:type="spellStart"/>
      <w:r w:rsidRPr="00F47ED1">
        <w:rPr>
          <w:sz w:val="24"/>
          <w:szCs w:val="24"/>
        </w:rPr>
        <w:t>Ondansetron</w:t>
      </w:r>
      <w:proofErr w:type="spellEnd"/>
      <w:r w:rsidRPr="00F47ED1">
        <w:rPr>
          <w:sz w:val="24"/>
          <w:szCs w:val="24"/>
        </w:rPr>
        <w:t xml:space="preserve"> </w:t>
      </w:r>
      <w:proofErr w:type="spellStart"/>
      <w:r w:rsidRPr="00F47ED1">
        <w:rPr>
          <w:sz w:val="24"/>
          <w:szCs w:val="24"/>
        </w:rPr>
        <w:t>metaboliseres</w:t>
      </w:r>
      <w:proofErr w:type="spellEnd"/>
      <w:r w:rsidRPr="00F47ED1">
        <w:rPr>
          <w:sz w:val="24"/>
          <w:szCs w:val="24"/>
        </w:rPr>
        <w:t xml:space="preserve"> af flere forskellige </w:t>
      </w:r>
      <w:proofErr w:type="spellStart"/>
      <w:r w:rsidRPr="00F47ED1">
        <w:rPr>
          <w:sz w:val="24"/>
          <w:szCs w:val="24"/>
        </w:rPr>
        <w:t>hepatiske</w:t>
      </w:r>
      <w:proofErr w:type="spellEnd"/>
      <w:r w:rsidRPr="00F47ED1">
        <w:rPr>
          <w:sz w:val="24"/>
          <w:szCs w:val="24"/>
        </w:rPr>
        <w:t xml:space="preserve"> </w:t>
      </w:r>
      <w:proofErr w:type="spellStart"/>
      <w:r w:rsidRPr="00F47ED1">
        <w:rPr>
          <w:sz w:val="24"/>
          <w:szCs w:val="24"/>
        </w:rPr>
        <w:t>cytokrom</w:t>
      </w:r>
      <w:proofErr w:type="spellEnd"/>
      <w:r w:rsidRPr="00F47ED1">
        <w:rPr>
          <w:sz w:val="24"/>
          <w:szCs w:val="24"/>
        </w:rPr>
        <w:t xml:space="preserve"> P450-enzymer: CYP3A4, CYP2D6 og CYP1A2. Eftersom der er flere enzymer, der kan </w:t>
      </w:r>
      <w:proofErr w:type="spellStart"/>
      <w:r w:rsidRPr="00F47ED1">
        <w:rPr>
          <w:sz w:val="24"/>
          <w:szCs w:val="24"/>
        </w:rPr>
        <w:t>metabolisere</w:t>
      </w:r>
      <w:proofErr w:type="spellEnd"/>
      <w:r w:rsidRPr="00F47ED1">
        <w:rPr>
          <w:sz w:val="24"/>
          <w:szCs w:val="24"/>
        </w:rPr>
        <w:t xml:space="preserve"> </w:t>
      </w:r>
      <w:proofErr w:type="spellStart"/>
      <w:r w:rsidRPr="00F47ED1">
        <w:rPr>
          <w:sz w:val="24"/>
          <w:szCs w:val="24"/>
        </w:rPr>
        <w:t>ondansetron</w:t>
      </w:r>
      <w:proofErr w:type="spellEnd"/>
      <w:r w:rsidRPr="00F47ED1">
        <w:rPr>
          <w:sz w:val="24"/>
          <w:szCs w:val="24"/>
        </w:rPr>
        <w:t xml:space="preserve">, er der normalt andre enzymer, der kompenserer for enzymhæmning eller nedsat aktivitet af et enzym (f.eks. CYP2D6-geninsufficiens), hvilket derfor kun bør medføre en beskeden eller ubetydelig ændring i den overordnede </w:t>
      </w:r>
      <w:proofErr w:type="spellStart"/>
      <w:r w:rsidRPr="00F47ED1">
        <w:rPr>
          <w:sz w:val="24"/>
          <w:szCs w:val="24"/>
        </w:rPr>
        <w:t>clearance</w:t>
      </w:r>
      <w:proofErr w:type="spellEnd"/>
      <w:r w:rsidRPr="00F47ED1">
        <w:rPr>
          <w:sz w:val="24"/>
          <w:szCs w:val="24"/>
        </w:rPr>
        <w:t xml:space="preserve"> og dosisbehovet for </w:t>
      </w:r>
      <w:proofErr w:type="spellStart"/>
      <w:r w:rsidRPr="00F47ED1">
        <w:rPr>
          <w:sz w:val="24"/>
          <w:szCs w:val="24"/>
        </w:rPr>
        <w:t>ondansetron</w:t>
      </w:r>
      <w:proofErr w:type="spellEnd"/>
      <w:r w:rsidRPr="00F47ED1">
        <w:rPr>
          <w:sz w:val="24"/>
          <w:szCs w:val="24"/>
        </w:rPr>
        <w:t>.</w:t>
      </w:r>
    </w:p>
    <w:p w14:paraId="342291F9" w14:textId="77777777" w:rsidR="00281768" w:rsidRPr="00F47ED1" w:rsidRDefault="00281768" w:rsidP="002D7BEB">
      <w:pPr>
        <w:ind w:left="851"/>
        <w:rPr>
          <w:sz w:val="24"/>
          <w:szCs w:val="24"/>
        </w:rPr>
      </w:pPr>
    </w:p>
    <w:p w14:paraId="2D46DBF1" w14:textId="77777777" w:rsidR="00281768" w:rsidRPr="00F47ED1" w:rsidRDefault="00281768" w:rsidP="002D7BEB">
      <w:pPr>
        <w:ind w:left="851"/>
        <w:rPr>
          <w:b/>
          <w:bCs/>
          <w:i/>
          <w:iCs/>
          <w:sz w:val="24"/>
          <w:szCs w:val="24"/>
        </w:rPr>
      </w:pPr>
      <w:proofErr w:type="spellStart"/>
      <w:r w:rsidRPr="00F47ED1">
        <w:rPr>
          <w:b/>
          <w:bCs/>
          <w:i/>
          <w:iCs/>
          <w:sz w:val="24"/>
          <w:szCs w:val="24"/>
        </w:rPr>
        <w:t>Apomorphin</w:t>
      </w:r>
      <w:proofErr w:type="spellEnd"/>
    </w:p>
    <w:p w14:paraId="12708844" w14:textId="77777777" w:rsidR="00281768" w:rsidRPr="00F47ED1" w:rsidRDefault="00281768" w:rsidP="002D7BEB">
      <w:pPr>
        <w:ind w:left="851"/>
        <w:rPr>
          <w:sz w:val="24"/>
          <w:szCs w:val="24"/>
        </w:rPr>
      </w:pPr>
      <w:r w:rsidRPr="00F47ED1">
        <w:rPr>
          <w:sz w:val="24"/>
          <w:szCs w:val="24"/>
        </w:rPr>
        <w:t xml:space="preserve">På baggrund af rapporter om udtalt hypotension og bevidsthedstab ved administration af </w:t>
      </w:r>
      <w:proofErr w:type="spellStart"/>
      <w:r w:rsidRPr="00F47ED1">
        <w:rPr>
          <w:sz w:val="24"/>
          <w:szCs w:val="24"/>
        </w:rPr>
        <w:t>ondansetron</w:t>
      </w:r>
      <w:proofErr w:type="spellEnd"/>
      <w:r w:rsidRPr="00F47ED1">
        <w:rPr>
          <w:sz w:val="24"/>
          <w:szCs w:val="24"/>
        </w:rPr>
        <w:t xml:space="preserve"> sammen med </w:t>
      </w:r>
      <w:proofErr w:type="spellStart"/>
      <w:r w:rsidRPr="00F47ED1">
        <w:rPr>
          <w:sz w:val="24"/>
          <w:szCs w:val="24"/>
        </w:rPr>
        <w:t>apomorphinhydrochlorid</w:t>
      </w:r>
      <w:proofErr w:type="spellEnd"/>
      <w:r w:rsidRPr="00F47ED1">
        <w:rPr>
          <w:sz w:val="24"/>
          <w:szCs w:val="24"/>
        </w:rPr>
        <w:t xml:space="preserve"> er samtidig brug af </w:t>
      </w:r>
      <w:proofErr w:type="spellStart"/>
      <w:r w:rsidRPr="00F47ED1">
        <w:rPr>
          <w:sz w:val="24"/>
          <w:szCs w:val="24"/>
        </w:rPr>
        <w:t>apomorphin</w:t>
      </w:r>
      <w:proofErr w:type="spellEnd"/>
      <w:r w:rsidRPr="00F47ED1">
        <w:rPr>
          <w:sz w:val="24"/>
          <w:szCs w:val="24"/>
        </w:rPr>
        <w:t xml:space="preserve"> kontraindiceret.</w:t>
      </w:r>
    </w:p>
    <w:p w14:paraId="022858C5" w14:textId="77777777" w:rsidR="00281768" w:rsidRPr="00F47ED1" w:rsidRDefault="00281768" w:rsidP="002D7BEB">
      <w:pPr>
        <w:ind w:left="851"/>
        <w:rPr>
          <w:sz w:val="24"/>
          <w:szCs w:val="24"/>
        </w:rPr>
      </w:pPr>
    </w:p>
    <w:p w14:paraId="60E23CA8" w14:textId="77777777" w:rsidR="00281768" w:rsidRPr="00F47ED1" w:rsidRDefault="00281768" w:rsidP="002D7BEB">
      <w:pPr>
        <w:ind w:left="851"/>
        <w:rPr>
          <w:b/>
          <w:bCs/>
          <w:i/>
          <w:iCs/>
          <w:sz w:val="24"/>
          <w:szCs w:val="24"/>
        </w:rPr>
      </w:pPr>
      <w:proofErr w:type="spellStart"/>
      <w:r w:rsidRPr="00F47ED1">
        <w:rPr>
          <w:b/>
          <w:bCs/>
          <w:i/>
          <w:iCs/>
          <w:sz w:val="24"/>
          <w:szCs w:val="24"/>
        </w:rPr>
        <w:t>Phenytoin</w:t>
      </w:r>
      <w:proofErr w:type="spellEnd"/>
      <w:r w:rsidRPr="00F47ED1">
        <w:rPr>
          <w:b/>
          <w:bCs/>
          <w:i/>
          <w:iCs/>
          <w:sz w:val="24"/>
          <w:szCs w:val="24"/>
        </w:rPr>
        <w:t xml:space="preserve">, </w:t>
      </w:r>
      <w:proofErr w:type="spellStart"/>
      <w:r w:rsidRPr="00F47ED1">
        <w:rPr>
          <w:b/>
          <w:bCs/>
          <w:i/>
          <w:iCs/>
          <w:sz w:val="24"/>
          <w:szCs w:val="24"/>
        </w:rPr>
        <w:t>carbamazepin</w:t>
      </w:r>
      <w:proofErr w:type="spellEnd"/>
      <w:r w:rsidRPr="00F47ED1">
        <w:rPr>
          <w:b/>
          <w:bCs/>
          <w:i/>
          <w:iCs/>
          <w:sz w:val="24"/>
          <w:szCs w:val="24"/>
        </w:rPr>
        <w:t xml:space="preserve"> og </w:t>
      </w:r>
      <w:proofErr w:type="spellStart"/>
      <w:r w:rsidRPr="00F47ED1">
        <w:rPr>
          <w:b/>
          <w:bCs/>
          <w:i/>
          <w:iCs/>
          <w:sz w:val="24"/>
          <w:szCs w:val="24"/>
        </w:rPr>
        <w:t>rifampicin</w:t>
      </w:r>
      <w:proofErr w:type="spellEnd"/>
    </w:p>
    <w:p w14:paraId="623DD09F" w14:textId="77777777" w:rsidR="00281768" w:rsidRPr="00F47ED1" w:rsidRDefault="00281768" w:rsidP="002D7BEB">
      <w:pPr>
        <w:ind w:left="851"/>
        <w:rPr>
          <w:sz w:val="24"/>
          <w:szCs w:val="24"/>
        </w:rPr>
      </w:pPr>
      <w:r w:rsidRPr="00F47ED1">
        <w:rPr>
          <w:sz w:val="24"/>
          <w:szCs w:val="24"/>
        </w:rPr>
        <w:t xml:space="preserve">Hos patienter i behandling med potente CYP3A4-induktorer (f.eks. </w:t>
      </w:r>
      <w:proofErr w:type="spellStart"/>
      <w:r w:rsidRPr="00F47ED1">
        <w:rPr>
          <w:sz w:val="24"/>
          <w:szCs w:val="24"/>
        </w:rPr>
        <w:t>phenytoin</w:t>
      </w:r>
      <w:proofErr w:type="spellEnd"/>
      <w:r w:rsidRPr="00F47ED1">
        <w:rPr>
          <w:sz w:val="24"/>
          <w:szCs w:val="24"/>
        </w:rPr>
        <w:t xml:space="preserve">, </w:t>
      </w:r>
      <w:proofErr w:type="spellStart"/>
      <w:r w:rsidRPr="00F47ED1">
        <w:rPr>
          <w:sz w:val="24"/>
          <w:szCs w:val="24"/>
        </w:rPr>
        <w:t>carbamazepin</w:t>
      </w:r>
      <w:proofErr w:type="spellEnd"/>
      <w:r w:rsidRPr="00F47ED1">
        <w:rPr>
          <w:sz w:val="24"/>
          <w:szCs w:val="24"/>
        </w:rPr>
        <w:t xml:space="preserve"> og </w:t>
      </w:r>
      <w:proofErr w:type="spellStart"/>
      <w:r w:rsidRPr="00F47ED1">
        <w:rPr>
          <w:sz w:val="24"/>
          <w:szCs w:val="24"/>
        </w:rPr>
        <w:t>rifampicin</w:t>
      </w:r>
      <w:proofErr w:type="spellEnd"/>
      <w:r w:rsidRPr="00F47ED1">
        <w:rPr>
          <w:sz w:val="24"/>
          <w:szCs w:val="24"/>
        </w:rPr>
        <w:t xml:space="preserve">) var den orale </w:t>
      </w:r>
      <w:proofErr w:type="spellStart"/>
      <w:r w:rsidRPr="00F47ED1">
        <w:rPr>
          <w:sz w:val="24"/>
          <w:szCs w:val="24"/>
        </w:rPr>
        <w:t>clearance</w:t>
      </w:r>
      <w:proofErr w:type="spellEnd"/>
      <w:r w:rsidRPr="00F47ED1">
        <w:rPr>
          <w:sz w:val="24"/>
          <w:szCs w:val="24"/>
        </w:rPr>
        <w:t xml:space="preserve"> af </w:t>
      </w:r>
      <w:proofErr w:type="spellStart"/>
      <w:r w:rsidRPr="00F47ED1">
        <w:rPr>
          <w:sz w:val="24"/>
          <w:szCs w:val="24"/>
        </w:rPr>
        <w:t>ondansetron</w:t>
      </w:r>
      <w:proofErr w:type="spellEnd"/>
      <w:r w:rsidRPr="00F47ED1">
        <w:rPr>
          <w:sz w:val="24"/>
          <w:szCs w:val="24"/>
        </w:rPr>
        <w:t xml:space="preserve"> forøget, og koncentrationen af </w:t>
      </w:r>
      <w:proofErr w:type="spellStart"/>
      <w:r w:rsidRPr="00F47ED1">
        <w:rPr>
          <w:sz w:val="24"/>
          <w:szCs w:val="24"/>
        </w:rPr>
        <w:t>ondansetron</w:t>
      </w:r>
      <w:proofErr w:type="spellEnd"/>
      <w:r w:rsidRPr="00F47ED1">
        <w:rPr>
          <w:sz w:val="24"/>
          <w:szCs w:val="24"/>
        </w:rPr>
        <w:t xml:space="preserve"> i blodet var nedsat.</w:t>
      </w:r>
    </w:p>
    <w:p w14:paraId="78796190" w14:textId="77777777" w:rsidR="00281768" w:rsidRPr="00F47ED1" w:rsidRDefault="00281768" w:rsidP="002D7BEB">
      <w:pPr>
        <w:ind w:left="851"/>
        <w:rPr>
          <w:sz w:val="24"/>
          <w:szCs w:val="24"/>
        </w:rPr>
      </w:pPr>
    </w:p>
    <w:p w14:paraId="63A0D08A" w14:textId="77777777" w:rsidR="00281768" w:rsidRPr="00F47ED1" w:rsidRDefault="00281768" w:rsidP="002D7BEB">
      <w:pPr>
        <w:ind w:left="851"/>
        <w:rPr>
          <w:b/>
          <w:bCs/>
          <w:i/>
          <w:iCs/>
          <w:sz w:val="24"/>
          <w:szCs w:val="24"/>
        </w:rPr>
      </w:pPr>
      <w:proofErr w:type="spellStart"/>
      <w:r w:rsidRPr="00F47ED1">
        <w:rPr>
          <w:b/>
          <w:bCs/>
          <w:i/>
          <w:iCs/>
          <w:sz w:val="24"/>
          <w:szCs w:val="24"/>
        </w:rPr>
        <w:t>Tramadol</w:t>
      </w:r>
      <w:proofErr w:type="spellEnd"/>
    </w:p>
    <w:p w14:paraId="2B6D2875" w14:textId="77777777" w:rsidR="00281768" w:rsidRPr="00F47ED1" w:rsidRDefault="00281768" w:rsidP="002D7BEB">
      <w:pPr>
        <w:ind w:left="851"/>
        <w:rPr>
          <w:sz w:val="24"/>
          <w:szCs w:val="24"/>
        </w:rPr>
      </w:pPr>
      <w:r w:rsidRPr="00F47ED1">
        <w:rPr>
          <w:sz w:val="24"/>
          <w:szCs w:val="24"/>
        </w:rPr>
        <w:t xml:space="preserve">Data fra mindre studier indikerer, at </w:t>
      </w:r>
      <w:proofErr w:type="spellStart"/>
      <w:r w:rsidRPr="00F47ED1">
        <w:rPr>
          <w:sz w:val="24"/>
          <w:szCs w:val="24"/>
        </w:rPr>
        <w:t>ondansetron</w:t>
      </w:r>
      <w:proofErr w:type="spellEnd"/>
      <w:r w:rsidRPr="00F47ED1">
        <w:rPr>
          <w:sz w:val="24"/>
          <w:szCs w:val="24"/>
        </w:rPr>
        <w:t xml:space="preserve"> kan reducere </w:t>
      </w:r>
      <w:proofErr w:type="spellStart"/>
      <w:r w:rsidRPr="00F47ED1">
        <w:rPr>
          <w:sz w:val="24"/>
          <w:szCs w:val="24"/>
        </w:rPr>
        <w:t>tramadols</w:t>
      </w:r>
      <w:proofErr w:type="spellEnd"/>
      <w:r w:rsidRPr="00F47ED1">
        <w:rPr>
          <w:sz w:val="24"/>
          <w:szCs w:val="24"/>
        </w:rPr>
        <w:t xml:space="preserve"> smertestillende virkning.</w:t>
      </w:r>
    </w:p>
    <w:p w14:paraId="15B5E0AE" w14:textId="77777777" w:rsidR="00281768" w:rsidRPr="00F47ED1" w:rsidRDefault="00281768" w:rsidP="002D7BEB">
      <w:pPr>
        <w:ind w:left="851"/>
        <w:rPr>
          <w:i/>
          <w:noProof/>
          <w:sz w:val="24"/>
          <w:szCs w:val="24"/>
        </w:rPr>
      </w:pPr>
    </w:p>
    <w:p w14:paraId="7D793452" w14:textId="77777777" w:rsidR="00281768" w:rsidRPr="00F47ED1" w:rsidRDefault="00281768" w:rsidP="002D7BEB">
      <w:pPr>
        <w:ind w:left="851"/>
        <w:rPr>
          <w:sz w:val="24"/>
          <w:szCs w:val="24"/>
        </w:rPr>
      </w:pPr>
      <w:r w:rsidRPr="00F47ED1">
        <w:rPr>
          <w:sz w:val="24"/>
          <w:szCs w:val="24"/>
        </w:rPr>
        <w:t xml:space="preserve">Brug af </w:t>
      </w:r>
      <w:proofErr w:type="spellStart"/>
      <w:r w:rsidRPr="00F47ED1">
        <w:rPr>
          <w:sz w:val="24"/>
          <w:szCs w:val="24"/>
        </w:rPr>
        <w:t>ondansetron</w:t>
      </w:r>
      <w:proofErr w:type="spellEnd"/>
      <w:r w:rsidRPr="00F47ED1">
        <w:rPr>
          <w:sz w:val="24"/>
          <w:szCs w:val="24"/>
        </w:rPr>
        <w:t xml:space="preserve"> sammen med QT-forlængende lægemidler kan resultere i yderligere QT-forlængelse. Samtidig brug af </w:t>
      </w:r>
      <w:proofErr w:type="spellStart"/>
      <w:r w:rsidRPr="00F47ED1">
        <w:rPr>
          <w:sz w:val="24"/>
          <w:szCs w:val="24"/>
        </w:rPr>
        <w:t>ondansetron</w:t>
      </w:r>
      <w:proofErr w:type="spellEnd"/>
      <w:r w:rsidRPr="00F47ED1">
        <w:rPr>
          <w:sz w:val="24"/>
          <w:szCs w:val="24"/>
        </w:rPr>
        <w:t xml:space="preserve"> og </w:t>
      </w:r>
      <w:proofErr w:type="spellStart"/>
      <w:r w:rsidRPr="00F47ED1">
        <w:rPr>
          <w:sz w:val="24"/>
          <w:szCs w:val="24"/>
        </w:rPr>
        <w:t>kardiotoksiske</w:t>
      </w:r>
      <w:proofErr w:type="spellEnd"/>
      <w:r w:rsidRPr="00F47ED1">
        <w:rPr>
          <w:sz w:val="24"/>
          <w:szCs w:val="24"/>
        </w:rPr>
        <w:t xml:space="preserve"> lægemidler (f.eks. </w:t>
      </w:r>
      <w:proofErr w:type="spellStart"/>
      <w:r w:rsidRPr="00F47ED1">
        <w:rPr>
          <w:sz w:val="24"/>
          <w:szCs w:val="24"/>
        </w:rPr>
        <w:t>antracykliner</w:t>
      </w:r>
      <w:proofErr w:type="spellEnd"/>
      <w:r w:rsidRPr="00F47ED1">
        <w:rPr>
          <w:sz w:val="24"/>
          <w:szCs w:val="24"/>
        </w:rPr>
        <w:t xml:space="preserve">) kan øge risikoen for </w:t>
      </w:r>
      <w:proofErr w:type="spellStart"/>
      <w:r w:rsidRPr="00F47ED1">
        <w:rPr>
          <w:sz w:val="24"/>
          <w:szCs w:val="24"/>
        </w:rPr>
        <w:t>arytmier</w:t>
      </w:r>
      <w:proofErr w:type="spellEnd"/>
      <w:r w:rsidRPr="00F47ED1">
        <w:rPr>
          <w:sz w:val="24"/>
          <w:szCs w:val="24"/>
        </w:rPr>
        <w:t xml:space="preserve"> (se pkt. 4.4).</w:t>
      </w:r>
    </w:p>
    <w:p w14:paraId="71AC8EFD" w14:textId="77777777" w:rsidR="009260DE" w:rsidRPr="00F47ED1" w:rsidRDefault="009260DE" w:rsidP="009260DE">
      <w:pPr>
        <w:tabs>
          <w:tab w:val="left" w:pos="851"/>
        </w:tabs>
        <w:ind w:left="851"/>
        <w:rPr>
          <w:sz w:val="24"/>
          <w:szCs w:val="24"/>
        </w:rPr>
      </w:pPr>
    </w:p>
    <w:p w14:paraId="1E2DF16E" w14:textId="77777777" w:rsidR="007A24EA" w:rsidRPr="00C84483" w:rsidRDefault="007A24EA" w:rsidP="007A24EA">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77044C45" w14:textId="77777777" w:rsidR="00F47ED1" w:rsidRDefault="00F47ED1" w:rsidP="002D7BEB">
      <w:pPr>
        <w:ind w:left="851"/>
        <w:rPr>
          <w:noProof/>
          <w:sz w:val="24"/>
          <w:szCs w:val="24"/>
          <w:u w:val="single"/>
        </w:rPr>
      </w:pPr>
    </w:p>
    <w:p w14:paraId="1AA70112" w14:textId="449A859A" w:rsidR="00281768" w:rsidRPr="00F47ED1" w:rsidRDefault="00281768" w:rsidP="002D7BEB">
      <w:pPr>
        <w:ind w:left="851"/>
        <w:rPr>
          <w:noProof/>
          <w:sz w:val="24"/>
          <w:szCs w:val="24"/>
          <w:u w:val="single"/>
        </w:rPr>
      </w:pPr>
      <w:r w:rsidRPr="00F47ED1">
        <w:rPr>
          <w:noProof/>
          <w:sz w:val="24"/>
          <w:szCs w:val="24"/>
          <w:u w:val="single"/>
        </w:rPr>
        <w:t>Kvinder i den fertile alder</w:t>
      </w:r>
    </w:p>
    <w:p w14:paraId="30168898" w14:textId="77777777" w:rsidR="00281768" w:rsidRPr="00F47ED1" w:rsidRDefault="00281768" w:rsidP="002D7BEB">
      <w:pPr>
        <w:ind w:left="851"/>
        <w:rPr>
          <w:noProof/>
          <w:sz w:val="24"/>
          <w:szCs w:val="24"/>
        </w:rPr>
      </w:pPr>
      <w:r w:rsidRPr="00F47ED1">
        <w:rPr>
          <w:noProof/>
          <w:sz w:val="24"/>
          <w:szCs w:val="24"/>
        </w:rPr>
        <w:t>Kvinder i den fertile alder bør overveje at anvende kontraception.</w:t>
      </w:r>
    </w:p>
    <w:p w14:paraId="6B82F07B" w14:textId="77777777" w:rsidR="00281768" w:rsidRPr="00F47ED1" w:rsidRDefault="00281768" w:rsidP="002D7BEB">
      <w:pPr>
        <w:ind w:left="851"/>
        <w:rPr>
          <w:noProof/>
          <w:sz w:val="24"/>
          <w:szCs w:val="24"/>
        </w:rPr>
      </w:pPr>
    </w:p>
    <w:p w14:paraId="1950808B" w14:textId="77777777" w:rsidR="00281768" w:rsidRPr="00F47ED1" w:rsidRDefault="00281768" w:rsidP="002D7BEB">
      <w:pPr>
        <w:ind w:left="851"/>
        <w:rPr>
          <w:noProof/>
          <w:sz w:val="24"/>
          <w:szCs w:val="24"/>
          <w:u w:val="single"/>
        </w:rPr>
      </w:pPr>
      <w:r w:rsidRPr="00F47ED1">
        <w:rPr>
          <w:noProof/>
          <w:sz w:val="24"/>
          <w:szCs w:val="24"/>
          <w:u w:val="single"/>
        </w:rPr>
        <w:t>Graviditet</w:t>
      </w:r>
    </w:p>
    <w:p w14:paraId="406010AA" w14:textId="77777777" w:rsidR="00281768" w:rsidRPr="00F47ED1" w:rsidRDefault="00281768" w:rsidP="002D7BEB">
      <w:pPr>
        <w:ind w:left="851"/>
        <w:rPr>
          <w:sz w:val="24"/>
          <w:szCs w:val="24"/>
        </w:rPr>
      </w:pPr>
      <w:r w:rsidRPr="00F47ED1">
        <w:rPr>
          <w:sz w:val="24"/>
          <w:szCs w:val="24"/>
        </w:rPr>
        <w:t xml:space="preserve">Baseret på erfaringen hos mennesker i epidemiologiske studier formodes </w:t>
      </w:r>
      <w:proofErr w:type="spellStart"/>
      <w:r w:rsidRPr="00F47ED1">
        <w:rPr>
          <w:sz w:val="24"/>
          <w:szCs w:val="24"/>
        </w:rPr>
        <w:t>ondansetron</w:t>
      </w:r>
      <w:proofErr w:type="spellEnd"/>
      <w:r w:rsidRPr="00F47ED1">
        <w:rPr>
          <w:sz w:val="24"/>
          <w:szCs w:val="24"/>
        </w:rPr>
        <w:t xml:space="preserve"> at forårsage </w:t>
      </w:r>
      <w:proofErr w:type="spellStart"/>
      <w:r w:rsidRPr="00F47ED1">
        <w:rPr>
          <w:sz w:val="24"/>
          <w:szCs w:val="24"/>
        </w:rPr>
        <w:t>orofaciale</w:t>
      </w:r>
      <w:proofErr w:type="spellEnd"/>
      <w:r w:rsidRPr="00F47ED1">
        <w:rPr>
          <w:sz w:val="24"/>
          <w:szCs w:val="24"/>
        </w:rPr>
        <w:t xml:space="preserve"> misdannelser, hvis det administreres i graviditetens første trimester.</w:t>
      </w:r>
    </w:p>
    <w:p w14:paraId="406C1E21" w14:textId="77777777" w:rsidR="00281768" w:rsidRPr="00F47ED1" w:rsidRDefault="00281768" w:rsidP="002D7BEB">
      <w:pPr>
        <w:ind w:left="851"/>
        <w:rPr>
          <w:sz w:val="24"/>
          <w:szCs w:val="24"/>
        </w:rPr>
      </w:pPr>
    </w:p>
    <w:p w14:paraId="0ECC9FB3" w14:textId="77777777" w:rsidR="00281768" w:rsidRPr="00F47ED1" w:rsidRDefault="00281768" w:rsidP="002D7BEB">
      <w:pPr>
        <w:ind w:left="851"/>
        <w:rPr>
          <w:sz w:val="24"/>
          <w:szCs w:val="24"/>
        </w:rPr>
      </w:pPr>
      <w:r w:rsidRPr="00F47ED1">
        <w:rPr>
          <w:sz w:val="24"/>
          <w:szCs w:val="24"/>
        </w:rPr>
        <w:t xml:space="preserve">I et kohortestudie, der omfattede 1,8 millioner graviditeter, var anvendelse af </w:t>
      </w:r>
      <w:proofErr w:type="spellStart"/>
      <w:r w:rsidRPr="00F47ED1">
        <w:rPr>
          <w:sz w:val="24"/>
          <w:szCs w:val="24"/>
        </w:rPr>
        <w:t>ondansetron</w:t>
      </w:r>
      <w:proofErr w:type="spellEnd"/>
      <w:r w:rsidRPr="00F47ED1">
        <w:rPr>
          <w:sz w:val="24"/>
          <w:szCs w:val="24"/>
        </w:rPr>
        <w:t xml:space="preserve"> i første trimester forbundet med en øget risiko for læbe-gane-spalte (3 yderligere tilfælde pr. 10.000 behandlede kvinder; justeret relativ risiko 1,24 (95 % CI 1,03-1,48)).</w:t>
      </w:r>
    </w:p>
    <w:p w14:paraId="5B1742FC" w14:textId="77777777" w:rsidR="00281768" w:rsidRPr="00F47ED1" w:rsidRDefault="00281768" w:rsidP="002D7BEB">
      <w:pPr>
        <w:ind w:left="851"/>
        <w:rPr>
          <w:sz w:val="24"/>
          <w:szCs w:val="24"/>
        </w:rPr>
      </w:pPr>
    </w:p>
    <w:p w14:paraId="267196CA" w14:textId="77777777" w:rsidR="00281768" w:rsidRPr="00F47ED1" w:rsidRDefault="00281768" w:rsidP="002D7BEB">
      <w:pPr>
        <w:ind w:left="851"/>
        <w:rPr>
          <w:sz w:val="24"/>
          <w:szCs w:val="24"/>
        </w:rPr>
      </w:pPr>
      <w:r w:rsidRPr="00F47ED1">
        <w:rPr>
          <w:sz w:val="24"/>
          <w:szCs w:val="24"/>
        </w:rPr>
        <w:t xml:space="preserve">De tilgængelige epidemiologiske studier af hjertemisdannelser viser modstridende resultater. Dyreforsøg indikerer hverken direkte eller indirekte skadelige virkninger hvad angår </w:t>
      </w:r>
      <w:r w:rsidRPr="00F47ED1">
        <w:rPr>
          <w:noProof/>
          <w:sz w:val="24"/>
          <w:szCs w:val="24"/>
        </w:rPr>
        <w:t>reproduktionstoksicitet</w:t>
      </w:r>
      <w:r w:rsidRPr="00F47ED1">
        <w:rPr>
          <w:sz w:val="24"/>
          <w:szCs w:val="24"/>
        </w:rPr>
        <w:t xml:space="preserve">. </w:t>
      </w:r>
      <w:proofErr w:type="spellStart"/>
      <w:r w:rsidRPr="00F47ED1">
        <w:rPr>
          <w:sz w:val="24"/>
          <w:szCs w:val="24"/>
        </w:rPr>
        <w:t>Ondansetron</w:t>
      </w:r>
      <w:proofErr w:type="spellEnd"/>
      <w:r w:rsidRPr="00F47ED1">
        <w:rPr>
          <w:sz w:val="24"/>
          <w:szCs w:val="24"/>
        </w:rPr>
        <w:t xml:space="preserve"> bør ikke anvendes i graviditetens første trimester.</w:t>
      </w:r>
    </w:p>
    <w:p w14:paraId="6EB283AB" w14:textId="77777777" w:rsidR="00281768" w:rsidRPr="00F47ED1" w:rsidRDefault="00281768" w:rsidP="002D7BEB">
      <w:pPr>
        <w:ind w:left="851"/>
        <w:rPr>
          <w:spacing w:val="-3"/>
          <w:sz w:val="24"/>
          <w:szCs w:val="24"/>
        </w:rPr>
      </w:pPr>
    </w:p>
    <w:p w14:paraId="5172317A" w14:textId="77777777" w:rsidR="00281768" w:rsidRPr="00F47ED1" w:rsidRDefault="00281768" w:rsidP="002D7BEB">
      <w:pPr>
        <w:ind w:left="851"/>
        <w:rPr>
          <w:sz w:val="24"/>
          <w:szCs w:val="24"/>
          <w:u w:val="single"/>
        </w:rPr>
      </w:pPr>
      <w:r w:rsidRPr="00F47ED1">
        <w:rPr>
          <w:sz w:val="24"/>
          <w:szCs w:val="24"/>
          <w:u w:val="single"/>
        </w:rPr>
        <w:t>Amning</w:t>
      </w:r>
    </w:p>
    <w:p w14:paraId="24E106FD" w14:textId="77777777" w:rsidR="00281768" w:rsidRPr="00F47ED1" w:rsidRDefault="00281768" w:rsidP="002D7BEB">
      <w:pPr>
        <w:ind w:left="851"/>
        <w:rPr>
          <w:noProof/>
          <w:sz w:val="24"/>
          <w:szCs w:val="24"/>
        </w:rPr>
      </w:pPr>
      <w:r w:rsidRPr="00F47ED1">
        <w:rPr>
          <w:sz w:val="24"/>
          <w:szCs w:val="24"/>
        </w:rPr>
        <w:t xml:space="preserve">Det er påvist i undersøgelser, at </w:t>
      </w:r>
      <w:proofErr w:type="spellStart"/>
      <w:r w:rsidRPr="00F47ED1">
        <w:rPr>
          <w:sz w:val="24"/>
          <w:szCs w:val="24"/>
        </w:rPr>
        <w:t>ondansetron</w:t>
      </w:r>
      <w:proofErr w:type="spellEnd"/>
      <w:r w:rsidRPr="00F47ED1">
        <w:rPr>
          <w:sz w:val="24"/>
          <w:szCs w:val="24"/>
        </w:rPr>
        <w:t xml:space="preserve"> udskilles i mælken hos diegivende dyr. Det anbefales derfor, at mødre, som får </w:t>
      </w:r>
      <w:proofErr w:type="spellStart"/>
      <w:r w:rsidRPr="00F47ED1">
        <w:rPr>
          <w:sz w:val="24"/>
          <w:szCs w:val="24"/>
        </w:rPr>
        <w:t>ondansetron</w:t>
      </w:r>
      <w:proofErr w:type="spellEnd"/>
      <w:r w:rsidRPr="00F47ED1">
        <w:rPr>
          <w:sz w:val="24"/>
          <w:szCs w:val="24"/>
        </w:rPr>
        <w:t>, ikke ammer deres børn.</w:t>
      </w:r>
    </w:p>
    <w:p w14:paraId="118E6A2D" w14:textId="77777777" w:rsidR="009260DE" w:rsidRPr="00F47ED1" w:rsidRDefault="009260DE" w:rsidP="009260DE">
      <w:pPr>
        <w:tabs>
          <w:tab w:val="left" w:pos="851"/>
        </w:tabs>
        <w:ind w:left="851"/>
        <w:rPr>
          <w:sz w:val="24"/>
          <w:szCs w:val="24"/>
        </w:rPr>
      </w:pPr>
    </w:p>
    <w:p w14:paraId="3A00B4B3" w14:textId="77777777" w:rsidR="007A24EA" w:rsidRPr="00C84483" w:rsidRDefault="007A24EA" w:rsidP="007A24EA">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64065A54" w14:textId="77777777" w:rsidR="009C1720" w:rsidRPr="00F47ED1" w:rsidRDefault="009C1720" w:rsidP="002D7BEB">
      <w:pPr>
        <w:ind w:left="851"/>
        <w:rPr>
          <w:sz w:val="24"/>
          <w:szCs w:val="24"/>
        </w:rPr>
      </w:pPr>
      <w:r w:rsidRPr="00F47ED1">
        <w:rPr>
          <w:sz w:val="24"/>
          <w:szCs w:val="24"/>
        </w:rPr>
        <w:t>Ikke mærkning</w:t>
      </w:r>
    </w:p>
    <w:p w14:paraId="62C44725" w14:textId="6901F962" w:rsidR="009C1720" w:rsidRPr="00F47ED1" w:rsidRDefault="009C1720" w:rsidP="002D7BEB">
      <w:pPr>
        <w:ind w:left="851"/>
        <w:rPr>
          <w:sz w:val="24"/>
          <w:szCs w:val="24"/>
        </w:rPr>
      </w:pPr>
      <w:proofErr w:type="spellStart"/>
      <w:r w:rsidRPr="00F47ED1">
        <w:rPr>
          <w:rStyle w:val="message-content"/>
          <w:sz w:val="24"/>
          <w:szCs w:val="24"/>
        </w:rPr>
        <w:lastRenderedPageBreak/>
        <w:t>Ondansetron</w:t>
      </w:r>
      <w:proofErr w:type="spellEnd"/>
      <w:r w:rsidRPr="00F47ED1">
        <w:rPr>
          <w:rStyle w:val="message-content"/>
          <w:sz w:val="24"/>
          <w:szCs w:val="24"/>
        </w:rPr>
        <w:t xml:space="preserve"> </w:t>
      </w:r>
      <w:r w:rsidR="000F6FC9">
        <w:rPr>
          <w:rStyle w:val="message-content"/>
          <w:sz w:val="24"/>
          <w:szCs w:val="24"/>
        </w:rPr>
        <w:t>"</w:t>
      </w:r>
      <w:r w:rsidR="00992534">
        <w:rPr>
          <w:rStyle w:val="message-content"/>
          <w:sz w:val="24"/>
          <w:szCs w:val="24"/>
        </w:rPr>
        <w:t>EQL Pharma</w:t>
      </w:r>
      <w:r w:rsidR="000F6FC9">
        <w:rPr>
          <w:rStyle w:val="message-content"/>
          <w:sz w:val="24"/>
          <w:szCs w:val="24"/>
        </w:rPr>
        <w:t>"</w:t>
      </w:r>
      <w:r w:rsidRPr="00F47ED1">
        <w:rPr>
          <w:rStyle w:val="message-content"/>
          <w:sz w:val="24"/>
          <w:szCs w:val="24"/>
        </w:rPr>
        <w:t xml:space="preserve"> </w:t>
      </w:r>
      <w:r w:rsidRPr="00F47ED1">
        <w:rPr>
          <w:sz w:val="24"/>
          <w:szCs w:val="24"/>
        </w:rPr>
        <w:t>påvirker ikke eller kun i ubetydelig grad evnen til at føre motorkøretøj eller betjene maskiner.</w:t>
      </w:r>
    </w:p>
    <w:p w14:paraId="6D27DBCB" w14:textId="77777777" w:rsidR="009260DE" w:rsidRPr="00F47ED1" w:rsidRDefault="009260DE" w:rsidP="009260DE">
      <w:pPr>
        <w:tabs>
          <w:tab w:val="left" w:pos="851"/>
        </w:tabs>
        <w:ind w:left="851"/>
        <w:rPr>
          <w:sz w:val="24"/>
          <w:szCs w:val="24"/>
        </w:rPr>
      </w:pPr>
    </w:p>
    <w:p w14:paraId="2D27E6F2" w14:textId="77777777" w:rsidR="009260DE" w:rsidRPr="00F47ED1" w:rsidRDefault="009260DE" w:rsidP="009260DE">
      <w:pPr>
        <w:tabs>
          <w:tab w:val="left" w:pos="851"/>
        </w:tabs>
        <w:ind w:left="851" w:hanging="851"/>
        <w:rPr>
          <w:b/>
          <w:sz w:val="24"/>
          <w:szCs w:val="24"/>
        </w:rPr>
      </w:pPr>
      <w:r w:rsidRPr="00F47ED1">
        <w:rPr>
          <w:b/>
          <w:sz w:val="24"/>
          <w:szCs w:val="24"/>
        </w:rPr>
        <w:t>4.8</w:t>
      </w:r>
      <w:r w:rsidRPr="00F47ED1">
        <w:rPr>
          <w:b/>
          <w:sz w:val="24"/>
          <w:szCs w:val="24"/>
        </w:rPr>
        <w:tab/>
        <w:t>Bivirkninger</w:t>
      </w:r>
    </w:p>
    <w:p w14:paraId="4F8100D5" w14:textId="5825B7AE" w:rsidR="00A048A4" w:rsidRPr="007B4A91" w:rsidRDefault="00A048A4" w:rsidP="002D7BEB">
      <w:pPr>
        <w:ind w:left="851"/>
        <w:rPr>
          <w:rStyle w:val="message-content"/>
          <w:sz w:val="24"/>
          <w:szCs w:val="24"/>
        </w:rPr>
      </w:pPr>
      <w:r w:rsidRPr="007B4A91">
        <w:rPr>
          <w:rStyle w:val="message-content"/>
          <w:sz w:val="24"/>
          <w:szCs w:val="24"/>
        </w:rPr>
        <w:t xml:space="preserve">Bivirkninger er nedenfor anført efter systemorganklasse og hyppighed. Hyppigheder er defineret som: </w:t>
      </w:r>
      <w:r w:rsidR="007B4A91" w:rsidRPr="007B4A91">
        <w:rPr>
          <w:rStyle w:val="message-content"/>
          <w:sz w:val="24"/>
          <w:szCs w:val="24"/>
        </w:rPr>
        <w:t>meget almindelig (</w:t>
      </w:r>
      <w:r w:rsidR="007B4A91" w:rsidRPr="007B4A91">
        <w:rPr>
          <w:rStyle w:val="message-content"/>
          <w:sz w:val="24"/>
          <w:szCs w:val="24"/>
        </w:rPr>
        <w:sym w:font="Symbol" w:char="F0B3"/>
      </w:r>
      <w:r w:rsidR="007B4A91" w:rsidRPr="007B4A91">
        <w:rPr>
          <w:rStyle w:val="message-content"/>
          <w:sz w:val="24"/>
          <w:szCs w:val="24"/>
        </w:rPr>
        <w:t xml:space="preserve"> 1/10), almindelig (</w:t>
      </w:r>
      <w:r w:rsidR="007B4A91" w:rsidRPr="007B4A91">
        <w:rPr>
          <w:rStyle w:val="message-content"/>
          <w:sz w:val="24"/>
          <w:szCs w:val="24"/>
        </w:rPr>
        <w:sym w:font="Symbol" w:char="F0B3"/>
      </w:r>
      <w:r w:rsidR="007B4A91" w:rsidRPr="007B4A91">
        <w:rPr>
          <w:rStyle w:val="message-content"/>
          <w:sz w:val="24"/>
          <w:szCs w:val="24"/>
        </w:rPr>
        <w:t xml:space="preserve"> 1/100 til &lt; 1/10), ikke almindelig (</w:t>
      </w:r>
      <w:r w:rsidR="007B4A91" w:rsidRPr="007B4A91">
        <w:rPr>
          <w:rStyle w:val="message-content"/>
          <w:sz w:val="24"/>
          <w:szCs w:val="24"/>
        </w:rPr>
        <w:sym w:font="Symbol" w:char="F0B3"/>
      </w:r>
      <w:r w:rsidR="007B4A91" w:rsidRPr="007B4A91">
        <w:rPr>
          <w:rStyle w:val="message-content"/>
          <w:sz w:val="24"/>
          <w:szCs w:val="24"/>
        </w:rPr>
        <w:t xml:space="preserve"> 1/1000 til &lt; 1/100), sjælden (</w:t>
      </w:r>
      <w:r w:rsidR="007B4A91" w:rsidRPr="007B4A91">
        <w:rPr>
          <w:rStyle w:val="message-content"/>
          <w:sz w:val="24"/>
          <w:szCs w:val="24"/>
        </w:rPr>
        <w:sym w:font="Symbol" w:char="F0B3"/>
      </w:r>
      <w:r w:rsidR="007B4A91" w:rsidRPr="007B4A91">
        <w:rPr>
          <w:rStyle w:val="message-content"/>
          <w:sz w:val="24"/>
          <w:szCs w:val="24"/>
        </w:rPr>
        <w:t xml:space="preserve"> 1/10.000 til &lt; 1/1000), meget sjælden (&lt; 1/10.000) og </w:t>
      </w:r>
      <w:r w:rsidR="007B4A91" w:rsidRPr="007B4A91">
        <w:rPr>
          <w:sz w:val="24"/>
          <w:szCs w:val="24"/>
        </w:rPr>
        <w:t>ikke kendt (kan ikke estimeres ud fra forhåndenværende data</w:t>
      </w:r>
      <w:r w:rsidR="007B4A91" w:rsidRPr="007B4A91">
        <w:rPr>
          <w:rStyle w:val="message-content"/>
          <w:sz w:val="24"/>
          <w:szCs w:val="24"/>
        </w:rPr>
        <w:t xml:space="preserve">. </w:t>
      </w:r>
      <w:r w:rsidRPr="007B4A91">
        <w:rPr>
          <w:rStyle w:val="message-content"/>
          <w:sz w:val="24"/>
          <w:szCs w:val="24"/>
        </w:rPr>
        <w:t xml:space="preserve">Meget almindelige, almindelige og ikke almindelige bivirkninger blev generelt bestemt ud fra data fra kliniske studier. Der er taget højde for </w:t>
      </w:r>
      <w:proofErr w:type="spellStart"/>
      <w:r w:rsidRPr="007B4A91">
        <w:rPr>
          <w:rStyle w:val="message-content"/>
          <w:sz w:val="24"/>
          <w:szCs w:val="24"/>
        </w:rPr>
        <w:t>incidensen</w:t>
      </w:r>
      <w:proofErr w:type="spellEnd"/>
      <w:r w:rsidRPr="007B4A91">
        <w:rPr>
          <w:rStyle w:val="message-content"/>
          <w:sz w:val="24"/>
          <w:szCs w:val="24"/>
        </w:rPr>
        <w:t xml:space="preserve"> med placebo. Sjældne og meget sjældne bivirkninger blev generelt bestemt ud fra spontane post-marketing-data.</w:t>
      </w:r>
    </w:p>
    <w:p w14:paraId="2309D6D4" w14:textId="77777777" w:rsidR="00A048A4" w:rsidRPr="007B4A91" w:rsidRDefault="00A048A4" w:rsidP="002D7BEB">
      <w:pPr>
        <w:ind w:left="851"/>
        <w:rPr>
          <w:rStyle w:val="message-content"/>
          <w:sz w:val="24"/>
          <w:szCs w:val="24"/>
        </w:rPr>
      </w:pPr>
      <w:r w:rsidRPr="007B4A91">
        <w:rPr>
          <w:rStyle w:val="message-content"/>
          <w:sz w:val="24"/>
          <w:szCs w:val="24"/>
        </w:rPr>
        <w:t xml:space="preserve">Nedenstående hyppigheder er estimeret ved de anbefalede standarddoser af </w:t>
      </w:r>
      <w:proofErr w:type="spellStart"/>
      <w:r w:rsidRPr="007B4A91">
        <w:rPr>
          <w:rStyle w:val="message-content"/>
          <w:sz w:val="24"/>
          <w:szCs w:val="24"/>
        </w:rPr>
        <w:t>ondansetron</w:t>
      </w:r>
      <w:proofErr w:type="spellEnd"/>
      <w:r w:rsidRPr="007B4A91">
        <w:rPr>
          <w:rStyle w:val="message-content"/>
          <w:sz w:val="24"/>
          <w:szCs w:val="24"/>
        </w:rPr>
        <w:t xml:space="preserve"> i henhold til indikation og formulering.</w:t>
      </w:r>
    </w:p>
    <w:p w14:paraId="4B8348A0" w14:textId="77777777" w:rsidR="00A048A4" w:rsidRPr="00F47ED1" w:rsidRDefault="00A048A4" w:rsidP="002D7BEB">
      <w:pPr>
        <w:tabs>
          <w:tab w:val="left" w:pos="2268"/>
        </w:tabs>
        <w:autoSpaceDE w:val="0"/>
        <w:autoSpaceDN w:val="0"/>
        <w:adjustRightInd w:val="0"/>
        <w:ind w:left="851"/>
        <w:rPr>
          <w:b/>
          <w:bCs/>
          <w:sz w:val="24"/>
          <w:szCs w:val="24"/>
          <w:lang w:eastAsia="sv-SE"/>
        </w:rPr>
      </w:pPr>
    </w:p>
    <w:p w14:paraId="0685F227" w14:textId="77777777" w:rsidR="00A048A4" w:rsidRPr="00F47ED1" w:rsidRDefault="00A048A4" w:rsidP="002D7BEB">
      <w:pPr>
        <w:tabs>
          <w:tab w:val="left" w:pos="2268"/>
        </w:tabs>
        <w:autoSpaceDE w:val="0"/>
        <w:autoSpaceDN w:val="0"/>
        <w:adjustRightInd w:val="0"/>
        <w:ind w:left="851"/>
        <w:rPr>
          <w:b/>
          <w:bCs/>
          <w:sz w:val="24"/>
          <w:szCs w:val="24"/>
          <w:lang w:eastAsia="sv-SE"/>
        </w:rPr>
      </w:pPr>
      <w:r w:rsidRPr="00F47ED1">
        <w:rPr>
          <w:b/>
          <w:bCs/>
          <w:sz w:val="24"/>
          <w:szCs w:val="24"/>
          <w:lang w:eastAsia="sv-SE"/>
        </w:rPr>
        <w:t>Immunsystemet</w:t>
      </w:r>
    </w:p>
    <w:p w14:paraId="5BA77558" w14:textId="2D592C2E" w:rsidR="00A048A4" w:rsidRPr="00F47ED1" w:rsidRDefault="00A048A4" w:rsidP="00440057">
      <w:pPr>
        <w:tabs>
          <w:tab w:val="left" w:pos="2977"/>
        </w:tabs>
        <w:autoSpaceDE w:val="0"/>
        <w:autoSpaceDN w:val="0"/>
        <w:adjustRightInd w:val="0"/>
        <w:ind w:left="851"/>
        <w:rPr>
          <w:rFonts w:eastAsia="ArialMT"/>
          <w:sz w:val="24"/>
          <w:szCs w:val="24"/>
          <w:lang w:eastAsia="sv-SE"/>
        </w:rPr>
      </w:pPr>
      <w:r w:rsidRPr="00F47ED1">
        <w:rPr>
          <w:rFonts w:eastAsia="ArialMT"/>
          <w:sz w:val="24"/>
          <w:szCs w:val="24"/>
          <w:lang w:eastAsia="sv-SE"/>
        </w:rPr>
        <w:t>Sjælden:</w:t>
      </w:r>
      <w:r w:rsidRPr="00F47ED1">
        <w:rPr>
          <w:rFonts w:eastAsia="ArialMT"/>
          <w:i/>
          <w:iCs/>
          <w:sz w:val="24"/>
          <w:szCs w:val="24"/>
          <w:lang w:eastAsia="sv-SE"/>
        </w:rPr>
        <w:tab/>
      </w:r>
      <w:r w:rsidRPr="00F47ED1">
        <w:rPr>
          <w:sz w:val="24"/>
          <w:szCs w:val="24"/>
        </w:rPr>
        <w:t xml:space="preserve">Akutte og i visse tilfælde alvorlige overfølsomhedsreaktioner, </w:t>
      </w:r>
      <w:r w:rsidR="00440057">
        <w:rPr>
          <w:sz w:val="24"/>
          <w:szCs w:val="24"/>
        </w:rPr>
        <w:tab/>
      </w:r>
      <w:r w:rsidRPr="00F47ED1">
        <w:rPr>
          <w:sz w:val="24"/>
          <w:szCs w:val="24"/>
        </w:rPr>
        <w:t>herunder anafylaksi</w:t>
      </w:r>
      <w:r w:rsidRPr="00F47ED1">
        <w:rPr>
          <w:rFonts w:eastAsia="ArialMT"/>
          <w:sz w:val="24"/>
          <w:szCs w:val="24"/>
          <w:lang w:eastAsia="sv-SE"/>
        </w:rPr>
        <w:t>.</w:t>
      </w:r>
    </w:p>
    <w:p w14:paraId="424D8D21" w14:textId="77777777" w:rsidR="00A048A4" w:rsidRPr="00F47ED1" w:rsidRDefault="00A048A4" w:rsidP="00440057">
      <w:pPr>
        <w:tabs>
          <w:tab w:val="left" w:pos="2977"/>
        </w:tabs>
        <w:autoSpaceDE w:val="0"/>
        <w:autoSpaceDN w:val="0"/>
        <w:adjustRightInd w:val="0"/>
        <w:ind w:left="851"/>
        <w:rPr>
          <w:rFonts w:eastAsia="ArialMT"/>
          <w:sz w:val="24"/>
          <w:szCs w:val="24"/>
          <w:lang w:eastAsia="sv-SE"/>
        </w:rPr>
      </w:pPr>
    </w:p>
    <w:p w14:paraId="342C14DD" w14:textId="77777777" w:rsidR="00A048A4" w:rsidRPr="00F47ED1" w:rsidRDefault="00A048A4" w:rsidP="00440057">
      <w:pPr>
        <w:tabs>
          <w:tab w:val="left" w:pos="2977"/>
        </w:tabs>
        <w:autoSpaceDE w:val="0"/>
        <w:autoSpaceDN w:val="0"/>
        <w:adjustRightInd w:val="0"/>
        <w:ind w:left="851"/>
        <w:rPr>
          <w:b/>
          <w:bCs/>
          <w:sz w:val="24"/>
          <w:szCs w:val="24"/>
          <w:lang w:eastAsia="sv-SE"/>
        </w:rPr>
      </w:pPr>
      <w:r w:rsidRPr="00F47ED1">
        <w:rPr>
          <w:b/>
          <w:bCs/>
          <w:sz w:val="24"/>
          <w:szCs w:val="24"/>
          <w:lang w:eastAsia="sv-SE"/>
        </w:rPr>
        <w:t>Nervesystemet</w:t>
      </w:r>
    </w:p>
    <w:p w14:paraId="1A292F04" w14:textId="77777777" w:rsidR="00A048A4" w:rsidRPr="00F47ED1" w:rsidRDefault="00A048A4" w:rsidP="00440057">
      <w:pPr>
        <w:tabs>
          <w:tab w:val="left" w:pos="2977"/>
        </w:tabs>
        <w:ind w:left="851"/>
        <w:rPr>
          <w:rFonts w:eastAsia="ArialMT"/>
          <w:sz w:val="24"/>
          <w:szCs w:val="24"/>
          <w:lang w:eastAsia="sv-SE"/>
        </w:rPr>
      </w:pPr>
      <w:r w:rsidRPr="00F47ED1">
        <w:rPr>
          <w:rFonts w:eastAsia="ArialMT"/>
          <w:sz w:val="24"/>
          <w:szCs w:val="24"/>
          <w:lang w:eastAsia="sv-SE"/>
        </w:rPr>
        <w:t>Meget almindelig:</w:t>
      </w:r>
      <w:r w:rsidRPr="00F47ED1">
        <w:rPr>
          <w:rFonts w:eastAsia="ArialMT"/>
          <w:i/>
          <w:iCs/>
          <w:sz w:val="24"/>
          <w:szCs w:val="24"/>
          <w:lang w:eastAsia="sv-SE"/>
        </w:rPr>
        <w:tab/>
      </w:r>
      <w:r w:rsidRPr="00F47ED1">
        <w:rPr>
          <w:rFonts w:eastAsia="ArialMT"/>
          <w:sz w:val="24"/>
          <w:szCs w:val="24"/>
          <w:lang w:eastAsia="sv-SE"/>
        </w:rPr>
        <w:t>Hovedpine.</w:t>
      </w:r>
    </w:p>
    <w:p w14:paraId="38FD5FEE" w14:textId="249FA949" w:rsidR="00A048A4" w:rsidRPr="00F47ED1" w:rsidRDefault="00A048A4" w:rsidP="00440057">
      <w:pPr>
        <w:tabs>
          <w:tab w:val="left" w:pos="2977"/>
        </w:tabs>
        <w:ind w:left="2977" w:hanging="2126"/>
        <w:rPr>
          <w:sz w:val="24"/>
          <w:szCs w:val="24"/>
        </w:rPr>
      </w:pPr>
      <w:r w:rsidRPr="00F47ED1">
        <w:rPr>
          <w:rFonts w:eastAsia="ArialMT"/>
          <w:sz w:val="24"/>
          <w:szCs w:val="24"/>
          <w:lang w:eastAsia="sv-SE"/>
        </w:rPr>
        <w:t>Ikke almindelig:</w:t>
      </w:r>
      <w:r w:rsidRPr="00F47ED1">
        <w:rPr>
          <w:rFonts w:eastAsia="ArialMT"/>
          <w:sz w:val="24"/>
          <w:szCs w:val="24"/>
          <w:lang w:eastAsia="sv-SE"/>
        </w:rPr>
        <w:tab/>
        <w:t>Krampeanfald, bevægelsesforstyrrelser (inklusive ekstrapyramidale reaktioner, såsom</w:t>
      </w:r>
      <w:r w:rsidRPr="00F47ED1">
        <w:rPr>
          <w:sz w:val="24"/>
          <w:szCs w:val="24"/>
        </w:rPr>
        <w:t xml:space="preserve"> </w:t>
      </w:r>
      <w:proofErr w:type="spellStart"/>
      <w:r w:rsidRPr="00F47ED1">
        <w:rPr>
          <w:sz w:val="24"/>
          <w:szCs w:val="24"/>
        </w:rPr>
        <w:t>dystoni</w:t>
      </w:r>
      <w:proofErr w:type="spellEnd"/>
      <w:r w:rsidRPr="00F47ED1">
        <w:rPr>
          <w:sz w:val="24"/>
          <w:szCs w:val="24"/>
        </w:rPr>
        <w:t xml:space="preserve">, </w:t>
      </w:r>
      <w:proofErr w:type="spellStart"/>
      <w:r w:rsidRPr="00F47ED1">
        <w:rPr>
          <w:sz w:val="24"/>
          <w:szCs w:val="24"/>
        </w:rPr>
        <w:t>okulogyr</w:t>
      </w:r>
      <w:proofErr w:type="spellEnd"/>
      <w:r w:rsidRPr="00F47ED1">
        <w:rPr>
          <w:sz w:val="24"/>
          <w:szCs w:val="24"/>
        </w:rPr>
        <w:t xml:space="preserve"> krise og </w:t>
      </w:r>
      <w:proofErr w:type="spellStart"/>
      <w:proofErr w:type="gramStart"/>
      <w:r w:rsidRPr="00F47ED1">
        <w:rPr>
          <w:sz w:val="24"/>
          <w:szCs w:val="24"/>
        </w:rPr>
        <w:t>dyskinesi</w:t>
      </w:r>
      <w:proofErr w:type="spellEnd"/>
      <w:r w:rsidRPr="00F47ED1">
        <w:rPr>
          <w:sz w:val="24"/>
          <w:szCs w:val="24"/>
        </w:rPr>
        <w:t>)(</w:t>
      </w:r>
      <w:proofErr w:type="gramEnd"/>
      <w:r w:rsidRPr="00F47ED1">
        <w:rPr>
          <w:sz w:val="24"/>
          <w:szCs w:val="24"/>
        </w:rPr>
        <w:t>1).</w:t>
      </w:r>
    </w:p>
    <w:p w14:paraId="6B55FF21" w14:textId="2FC531A9" w:rsidR="00A048A4" w:rsidRPr="00F47ED1" w:rsidRDefault="00A048A4" w:rsidP="00440057">
      <w:pPr>
        <w:tabs>
          <w:tab w:val="left" w:pos="2977"/>
        </w:tabs>
        <w:autoSpaceDE w:val="0"/>
        <w:autoSpaceDN w:val="0"/>
        <w:adjustRightInd w:val="0"/>
        <w:ind w:left="2977" w:hanging="2126"/>
        <w:rPr>
          <w:rFonts w:eastAsia="ArialMT"/>
          <w:sz w:val="24"/>
          <w:szCs w:val="24"/>
          <w:lang w:eastAsia="sv-SE"/>
        </w:rPr>
      </w:pPr>
      <w:r w:rsidRPr="00F47ED1">
        <w:rPr>
          <w:rFonts w:eastAsia="ArialMT"/>
          <w:sz w:val="24"/>
          <w:szCs w:val="24"/>
          <w:lang w:eastAsia="sv-SE"/>
        </w:rPr>
        <w:t>Sjælden:</w:t>
      </w:r>
      <w:r w:rsidRPr="00F47ED1">
        <w:rPr>
          <w:rFonts w:eastAsia="ArialMT"/>
          <w:i/>
          <w:iCs/>
          <w:sz w:val="24"/>
          <w:szCs w:val="24"/>
          <w:lang w:eastAsia="sv-SE"/>
        </w:rPr>
        <w:tab/>
      </w:r>
      <w:r w:rsidRPr="00F47ED1">
        <w:rPr>
          <w:rFonts w:eastAsia="ArialMT"/>
          <w:sz w:val="24"/>
          <w:szCs w:val="24"/>
          <w:lang w:eastAsia="sv-SE"/>
        </w:rPr>
        <w:t xml:space="preserve">Svimmelhed under </w:t>
      </w:r>
      <w:proofErr w:type="spellStart"/>
      <w:r w:rsidRPr="00F47ED1">
        <w:rPr>
          <w:rFonts w:eastAsia="ArialMT"/>
          <w:sz w:val="24"/>
          <w:szCs w:val="24"/>
          <w:lang w:eastAsia="sv-SE"/>
        </w:rPr>
        <w:t>i.v</w:t>
      </w:r>
      <w:proofErr w:type="spellEnd"/>
      <w:r w:rsidRPr="00F47ED1">
        <w:rPr>
          <w:rFonts w:eastAsia="ArialMT"/>
          <w:sz w:val="24"/>
          <w:szCs w:val="24"/>
          <w:lang w:eastAsia="sv-SE"/>
        </w:rPr>
        <w:t>. administration, hvilket i de fleste tilfælde kan undgås eller løses ved at forlænge infusionsperioden.</w:t>
      </w:r>
    </w:p>
    <w:p w14:paraId="5D2994BD" w14:textId="77777777" w:rsidR="00A048A4" w:rsidRPr="00F47ED1" w:rsidRDefault="00A048A4" w:rsidP="00440057">
      <w:pPr>
        <w:tabs>
          <w:tab w:val="left" w:pos="1418"/>
          <w:tab w:val="left" w:pos="2977"/>
        </w:tabs>
        <w:autoSpaceDE w:val="0"/>
        <w:autoSpaceDN w:val="0"/>
        <w:adjustRightInd w:val="0"/>
        <w:ind w:left="851"/>
        <w:rPr>
          <w:rFonts w:eastAsia="ArialMT"/>
          <w:sz w:val="24"/>
          <w:szCs w:val="24"/>
          <w:lang w:eastAsia="sv-SE"/>
        </w:rPr>
      </w:pPr>
    </w:p>
    <w:p w14:paraId="1F3C0B53" w14:textId="77777777" w:rsidR="00A048A4" w:rsidRPr="00F47ED1" w:rsidRDefault="00A048A4" w:rsidP="00440057">
      <w:pPr>
        <w:tabs>
          <w:tab w:val="left" w:pos="2977"/>
        </w:tabs>
        <w:autoSpaceDE w:val="0"/>
        <w:autoSpaceDN w:val="0"/>
        <w:adjustRightInd w:val="0"/>
        <w:ind w:left="851"/>
        <w:rPr>
          <w:b/>
          <w:bCs/>
          <w:sz w:val="24"/>
          <w:szCs w:val="24"/>
          <w:lang w:eastAsia="sv-SE"/>
        </w:rPr>
      </w:pPr>
      <w:r w:rsidRPr="00F47ED1">
        <w:rPr>
          <w:b/>
          <w:bCs/>
          <w:sz w:val="24"/>
          <w:szCs w:val="24"/>
          <w:lang w:eastAsia="sv-SE"/>
        </w:rPr>
        <w:t>Hjerte</w:t>
      </w:r>
    </w:p>
    <w:p w14:paraId="5D8B41DF" w14:textId="45EDE0A3" w:rsidR="00A048A4" w:rsidRPr="00F47ED1" w:rsidRDefault="00A048A4" w:rsidP="00440057">
      <w:pPr>
        <w:tabs>
          <w:tab w:val="left" w:pos="2977"/>
        </w:tabs>
        <w:autoSpaceDE w:val="0"/>
        <w:autoSpaceDN w:val="0"/>
        <w:adjustRightInd w:val="0"/>
        <w:ind w:left="2977" w:hanging="2126"/>
        <w:rPr>
          <w:rFonts w:eastAsia="ArialMT"/>
          <w:sz w:val="24"/>
          <w:szCs w:val="24"/>
          <w:lang w:eastAsia="sv-SE"/>
        </w:rPr>
      </w:pPr>
      <w:r w:rsidRPr="00F47ED1">
        <w:rPr>
          <w:rFonts w:eastAsia="ArialMT"/>
          <w:sz w:val="24"/>
          <w:szCs w:val="24"/>
          <w:lang w:eastAsia="sv-SE"/>
        </w:rPr>
        <w:t xml:space="preserve">Ikke almindelig: </w:t>
      </w:r>
      <w:r w:rsidRPr="00F47ED1">
        <w:rPr>
          <w:rFonts w:eastAsia="ArialMT"/>
          <w:sz w:val="24"/>
          <w:szCs w:val="24"/>
          <w:lang w:eastAsia="sv-SE"/>
        </w:rPr>
        <w:tab/>
      </w:r>
      <w:proofErr w:type="spellStart"/>
      <w:r w:rsidRPr="00F47ED1">
        <w:rPr>
          <w:sz w:val="24"/>
          <w:szCs w:val="24"/>
        </w:rPr>
        <w:t>Arytmier</w:t>
      </w:r>
      <w:proofErr w:type="spellEnd"/>
      <w:r w:rsidRPr="00F47ED1">
        <w:rPr>
          <w:sz w:val="24"/>
          <w:szCs w:val="24"/>
        </w:rPr>
        <w:t>, brystsmerter med eller uden ST-segmentdepression. Bradykardi</w:t>
      </w:r>
      <w:r w:rsidRPr="00F47ED1">
        <w:rPr>
          <w:rFonts w:eastAsia="ArialMT"/>
          <w:sz w:val="24"/>
          <w:szCs w:val="24"/>
          <w:lang w:eastAsia="sv-SE"/>
        </w:rPr>
        <w:t>.</w:t>
      </w:r>
    </w:p>
    <w:p w14:paraId="426AF63B" w14:textId="77777777" w:rsidR="00A048A4" w:rsidRPr="00F47ED1" w:rsidRDefault="00A048A4" w:rsidP="00440057">
      <w:pPr>
        <w:tabs>
          <w:tab w:val="left" w:pos="2977"/>
        </w:tabs>
        <w:autoSpaceDE w:val="0"/>
        <w:autoSpaceDN w:val="0"/>
        <w:adjustRightInd w:val="0"/>
        <w:ind w:left="851"/>
        <w:rPr>
          <w:rFonts w:eastAsia="ArialMT"/>
          <w:sz w:val="24"/>
          <w:szCs w:val="24"/>
          <w:lang w:eastAsia="sv-SE"/>
        </w:rPr>
      </w:pPr>
      <w:r w:rsidRPr="00F47ED1">
        <w:rPr>
          <w:rFonts w:eastAsia="ArialMT"/>
          <w:sz w:val="24"/>
          <w:szCs w:val="24"/>
          <w:lang w:eastAsia="sv-SE"/>
        </w:rPr>
        <w:t xml:space="preserve">Sjælden: </w:t>
      </w:r>
      <w:r w:rsidRPr="00F47ED1">
        <w:rPr>
          <w:rFonts w:eastAsia="ArialMT"/>
          <w:sz w:val="24"/>
          <w:szCs w:val="24"/>
          <w:lang w:eastAsia="sv-SE"/>
        </w:rPr>
        <w:tab/>
      </w:r>
      <w:proofErr w:type="spellStart"/>
      <w:r w:rsidRPr="00F47ED1">
        <w:rPr>
          <w:rFonts w:eastAsia="ArialMT"/>
          <w:sz w:val="24"/>
          <w:szCs w:val="24"/>
          <w:lang w:eastAsia="sv-SE"/>
        </w:rPr>
        <w:t>QTc</w:t>
      </w:r>
      <w:proofErr w:type="spellEnd"/>
      <w:r w:rsidRPr="00F47ED1">
        <w:rPr>
          <w:rFonts w:eastAsia="ArialMT"/>
          <w:sz w:val="24"/>
          <w:szCs w:val="24"/>
          <w:lang w:eastAsia="sv-SE"/>
        </w:rPr>
        <w:t xml:space="preserve">-forlængelse (inklusive </w:t>
      </w:r>
      <w:proofErr w:type="spellStart"/>
      <w:r w:rsidRPr="00F47ED1">
        <w:rPr>
          <w:rFonts w:eastAsia="ArialMT"/>
          <w:sz w:val="24"/>
          <w:szCs w:val="24"/>
          <w:lang w:eastAsia="sv-SE"/>
        </w:rPr>
        <w:t>torsades</w:t>
      </w:r>
      <w:proofErr w:type="spellEnd"/>
      <w:r w:rsidRPr="00F47ED1">
        <w:rPr>
          <w:rFonts w:eastAsia="ArialMT"/>
          <w:sz w:val="24"/>
          <w:szCs w:val="24"/>
          <w:lang w:eastAsia="sv-SE"/>
        </w:rPr>
        <w:t xml:space="preserve"> de pointes).</w:t>
      </w:r>
    </w:p>
    <w:p w14:paraId="0CEF79A6" w14:textId="77777777" w:rsidR="007B4A91" w:rsidRDefault="007B4A91" w:rsidP="007B4A91">
      <w:pPr>
        <w:tabs>
          <w:tab w:val="left" w:pos="2977"/>
        </w:tabs>
        <w:ind w:left="851"/>
        <w:rPr>
          <w:sz w:val="24"/>
          <w:szCs w:val="24"/>
        </w:rPr>
      </w:pPr>
      <w:r w:rsidRPr="00F4080D">
        <w:rPr>
          <w:sz w:val="24"/>
          <w:szCs w:val="24"/>
        </w:rPr>
        <w:t>Ikke kendt (kan ikke estimeres ud fra forhåndenværende data:</w:t>
      </w:r>
    </w:p>
    <w:p w14:paraId="5A1A9D29" w14:textId="77777777" w:rsidR="007B4A91" w:rsidRDefault="007B4A91" w:rsidP="007B4A91">
      <w:pPr>
        <w:tabs>
          <w:tab w:val="left" w:pos="2977"/>
        </w:tabs>
        <w:ind w:left="851"/>
        <w:rPr>
          <w:sz w:val="24"/>
          <w:szCs w:val="24"/>
        </w:rPr>
      </w:pPr>
      <w:r>
        <w:rPr>
          <w:sz w:val="24"/>
          <w:szCs w:val="24"/>
        </w:rPr>
        <w:tab/>
      </w:r>
      <w:proofErr w:type="spellStart"/>
      <w:r>
        <w:rPr>
          <w:sz w:val="24"/>
          <w:szCs w:val="24"/>
        </w:rPr>
        <w:t>M</w:t>
      </w:r>
      <w:r w:rsidRPr="00AC07FA">
        <w:rPr>
          <w:sz w:val="24"/>
          <w:szCs w:val="24"/>
        </w:rPr>
        <w:t>yokardieiskæmi</w:t>
      </w:r>
      <w:proofErr w:type="spellEnd"/>
      <w:r>
        <w:rPr>
          <w:sz w:val="24"/>
          <w:szCs w:val="24"/>
        </w:rPr>
        <w:t xml:space="preserve"> (se pkt. 4.4).</w:t>
      </w:r>
    </w:p>
    <w:p w14:paraId="1C7516B1" w14:textId="77777777" w:rsidR="00A048A4" w:rsidRPr="007B4A91" w:rsidRDefault="00A048A4" w:rsidP="00440057">
      <w:pPr>
        <w:tabs>
          <w:tab w:val="left" w:pos="2977"/>
        </w:tabs>
        <w:autoSpaceDE w:val="0"/>
        <w:autoSpaceDN w:val="0"/>
        <w:adjustRightInd w:val="0"/>
        <w:ind w:left="851"/>
        <w:rPr>
          <w:rFonts w:eastAsia="ArialMT"/>
          <w:iCs/>
          <w:sz w:val="24"/>
          <w:szCs w:val="24"/>
          <w:lang w:eastAsia="sv-SE"/>
        </w:rPr>
      </w:pPr>
    </w:p>
    <w:p w14:paraId="52F4554C" w14:textId="77777777" w:rsidR="00A048A4" w:rsidRPr="00F47ED1" w:rsidRDefault="00A048A4" w:rsidP="00440057">
      <w:pPr>
        <w:tabs>
          <w:tab w:val="left" w:pos="2977"/>
        </w:tabs>
        <w:ind w:left="851"/>
        <w:rPr>
          <w:b/>
          <w:bCs/>
          <w:sz w:val="24"/>
          <w:szCs w:val="24"/>
          <w:lang w:eastAsia="sv-SE"/>
        </w:rPr>
      </w:pPr>
      <w:proofErr w:type="spellStart"/>
      <w:r w:rsidRPr="00F47ED1">
        <w:rPr>
          <w:b/>
          <w:bCs/>
          <w:sz w:val="24"/>
          <w:szCs w:val="24"/>
          <w:lang w:eastAsia="sv-SE"/>
        </w:rPr>
        <w:t>Vaskulære</w:t>
      </w:r>
      <w:proofErr w:type="spellEnd"/>
      <w:r w:rsidRPr="00F47ED1">
        <w:rPr>
          <w:b/>
          <w:bCs/>
          <w:sz w:val="24"/>
          <w:szCs w:val="24"/>
          <w:lang w:eastAsia="sv-SE"/>
        </w:rPr>
        <w:t xml:space="preserve"> sygdomme</w:t>
      </w:r>
    </w:p>
    <w:p w14:paraId="02792C04" w14:textId="77777777" w:rsidR="00A048A4" w:rsidRPr="00F47ED1" w:rsidRDefault="00A048A4" w:rsidP="00440057">
      <w:pPr>
        <w:tabs>
          <w:tab w:val="left" w:pos="2977"/>
        </w:tabs>
        <w:ind w:left="851"/>
        <w:rPr>
          <w:rFonts w:eastAsia="ArialMT"/>
          <w:sz w:val="24"/>
          <w:szCs w:val="24"/>
          <w:lang w:eastAsia="sv-SE"/>
        </w:rPr>
      </w:pPr>
      <w:r w:rsidRPr="00F47ED1">
        <w:rPr>
          <w:rFonts w:eastAsia="ArialMT"/>
          <w:sz w:val="24"/>
          <w:szCs w:val="24"/>
          <w:lang w:eastAsia="sv-SE"/>
        </w:rPr>
        <w:t>Almindelig:</w:t>
      </w:r>
      <w:r w:rsidRPr="00F47ED1">
        <w:rPr>
          <w:rFonts w:eastAsia="ArialMT"/>
          <w:i/>
          <w:iCs/>
          <w:sz w:val="24"/>
          <w:szCs w:val="24"/>
          <w:lang w:eastAsia="sv-SE"/>
        </w:rPr>
        <w:t xml:space="preserve"> </w:t>
      </w:r>
      <w:r w:rsidRPr="00F47ED1">
        <w:rPr>
          <w:rFonts w:eastAsia="ArialMT"/>
          <w:i/>
          <w:iCs/>
          <w:sz w:val="24"/>
          <w:szCs w:val="24"/>
          <w:lang w:eastAsia="sv-SE"/>
        </w:rPr>
        <w:tab/>
      </w:r>
      <w:r w:rsidRPr="00F47ED1">
        <w:rPr>
          <w:rFonts w:eastAsia="ArialMT"/>
          <w:sz w:val="24"/>
          <w:szCs w:val="24"/>
          <w:lang w:eastAsia="sv-SE"/>
        </w:rPr>
        <w:t>Varmefølelse eller rødmen.</w:t>
      </w:r>
    </w:p>
    <w:p w14:paraId="7D9A3C0A" w14:textId="77777777" w:rsidR="00A048A4" w:rsidRPr="00F47ED1" w:rsidRDefault="00A048A4" w:rsidP="00440057">
      <w:pPr>
        <w:tabs>
          <w:tab w:val="left" w:pos="2977"/>
        </w:tabs>
        <w:ind w:left="851"/>
        <w:rPr>
          <w:rFonts w:eastAsia="ArialMT"/>
          <w:sz w:val="24"/>
          <w:szCs w:val="24"/>
          <w:lang w:eastAsia="sv-SE"/>
        </w:rPr>
      </w:pPr>
      <w:r w:rsidRPr="00F47ED1">
        <w:rPr>
          <w:rFonts w:eastAsia="ArialMT"/>
          <w:sz w:val="24"/>
          <w:szCs w:val="24"/>
          <w:lang w:eastAsia="sv-SE"/>
        </w:rPr>
        <w:t>Ikke almindelig:</w:t>
      </w:r>
      <w:r w:rsidRPr="00F47ED1">
        <w:rPr>
          <w:rFonts w:eastAsia="ArialMT"/>
          <w:i/>
          <w:iCs/>
          <w:sz w:val="24"/>
          <w:szCs w:val="24"/>
          <w:lang w:eastAsia="sv-SE"/>
        </w:rPr>
        <w:t xml:space="preserve"> </w:t>
      </w:r>
      <w:r w:rsidRPr="00F47ED1">
        <w:rPr>
          <w:rFonts w:eastAsia="ArialMT"/>
          <w:i/>
          <w:iCs/>
          <w:sz w:val="24"/>
          <w:szCs w:val="24"/>
          <w:lang w:eastAsia="sv-SE"/>
        </w:rPr>
        <w:tab/>
      </w:r>
      <w:r w:rsidRPr="00F47ED1">
        <w:rPr>
          <w:rFonts w:eastAsia="ArialMT"/>
          <w:sz w:val="24"/>
          <w:szCs w:val="24"/>
          <w:lang w:eastAsia="sv-SE"/>
        </w:rPr>
        <w:t>Hypotension.</w:t>
      </w:r>
    </w:p>
    <w:p w14:paraId="20FE3A62" w14:textId="77777777" w:rsidR="00A048A4" w:rsidRPr="00F47ED1" w:rsidRDefault="00A048A4" w:rsidP="00440057">
      <w:pPr>
        <w:tabs>
          <w:tab w:val="left" w:pos="2977"/>
        </w:tabs>
        <w:ind w:left="851"/>
        <w:rPr>
          <w:rFonts w:eastAsia="ArialMT"/>
          <w:b/>
          <w:bCs/>
          <w:i/>
          <w:iCs/>
          <w:sz w:val="24"/>
          <w:szCs w:val="24"/>
          <w:lang w:eastAsia="sv-SE"/>
        </w:rPr>
      </w:pPr>
    </w:p>
    <w:p w14:paraId="541277A0" w14:textId="77777777" w:rsidR="00A048A4" w:rsidRPr="00F47ED1" w:rsidRDefault="00A048A4" w:rsidP="00440057">
      <w:pPr>
        <w:tabs>
          <w:tab w:val="left" w:pos="2977"/>
        </w:tabs>
        <w:ind w:left="851"/>
        <w:rPr>
          <w:rFonts w:eastAsia="ArialMT"/>
          <w:b/>
          <w:bCs/>
          <w:i/>
          <w:iCs/>
          <w:sz w:val="24"/>
          <w:szCs w:val="24"/>
          <w:lang w:eastAsia="sv-SE"/>
        </w:rPr>
      </w:pPr>
      <w:r w:rsidRPr="00F47ED1">
        <w:rPr>
          <w:b/>
          <w:bCs/>
          <w:sz w:val="24"/>
          <w:szCs w:val="24"/>
          <w:lang w:eastAsia="sv-SE"/>
        </w:rPr>
        <w:t xml:space="preserve">Luftveje, thorax og </w:t>
      </w:r>
      <w:proofErr w:type="spellStart"/>
      <w:r w:rsidRPr="00F47ED1">
        <w:rPr>
          <w:b/>
          <w:bCs/>
          <w:sz w:val="24"/>
          <w:szCs w:val="24"/>
          <w:lang w:eastAsia="sv-SE"/>
        </w:rPr>
        <w:t>mediastinum</w:t>
      </w:r>
      <w:proofErr w:type="spellEnd"/>
    </w:p>
    <w:p w14:paraId="63840D8A" w14:textId="77777777" w:rsidR="00A048A4" w:rsidRPr="00F47ED1" w:rsidRDefault="00A048A4" w:rsidP="00440057">
      <w:pPr>
        <w:tabs>
          <w:tab w:val="left" w:pos="2977"/>
        </w:tabs>
        <w:autoSpaceDE w:val="0"/>
        <w:autoSpaceDN w:val="0"/>
        <w:adjustRightInd w:val="0"/>
        <w:ind w:left="851"/>
        <w:rPr>
          <w:i/>
          <w:iCs/>
          <w:sz w:val="24"/>
          <w:szCs w:val="24"/>
          <w:lang w:eastAsia="sv-SE"/>
        </w:rPr>
      </w:pPr>
      <w:r w:rsidRPr="00F47ED1">
        <w:rPr>
          <w:sz w:val="24"/>
          <w:szCs w:val="24"/>
          <w:lang w:eastAsia="sv-SE"/>
        </w:rPr>
        <w:t>Ikke almindelig:</w:t>
      </w:r>
      <w:r w:rsidRPr="00F47ED1">
        <w:rPr>
          <w:i/>
          <w:iCs/>
          <w:sz w:val="24"/>
          <w:szCs w:val="24"/>
          <w:lang w:eastAsia="sv-SE"/>
        </w:rPr>
        <w:t xml:space="preserve"> </w:t>
      </w:r>
      <w:r w:rsidRPr="00F47ED1">
        <w:rPr>
          <w:i/>
          <w:iCs/>
          <w:sz w:val="24"/>
          <w:szCs w:val="24"/>
          <w:lang w:eastAsia="sv-SE"/>
        </w:rPr>
        <w:tab/>
      </w:r>
      <w:r w:rsidRPr="00F47ED1">
        <w:rPr>
          <w:rFonts w:eastAsia="ArialMT"/>
          <w:sz w:val="24"/>
          <w:szCs w:val="24"/>
          <w:lang w:eastAsia="sv-SE"/>
        </w:rPr>
        <w:t>Hikke.</w:t>
      </w:r>
    </w:p>
    <w:p w14:paraId="5C084DDC" w14:textId="77777777" w:rsidR="00A048A4" w:rsidRPr="00F47ED1" w:rsidRDefault="00A048A4" w:rsidP="00440057">
      <w:pPr>
        <w:tabs>
          <w:tab w:val="left" w:pos="2977"/>
        </w:tabs>
        <w:autoSpaceDE w:val="0"/>
        <w:autoSpaceDN w:val="0"/>
        <w:adjustRightInd w:val="0"/>
        <w:ind w:left="851"/>
        <w:rPr>
          <w:rFonts w:eastAsia="ArialMT"/>
          <w:sz w:val="24"/>
          <w:szCs w:val="24"/>
          <w:lang w:eastAsia="sv-SE"/>
        </w:rPr>
      </w:pPr>
    </w:p>
    <w:p w14:paraId="459FCBE3" w14:textId="77777777" w:rsidR="00A048A4" w:rsidRPr="00F47ED1" w:rsidRDefault="00A048A4" w:rsidP="00440057">
      <w:pPr>
        <w:tabs>
          <w:tab w:val="left" w:pos="2977"/>
        </w:tabs>
        <w:autoSpaceDE w:val="0"/>
        <w:autoSpaceDN w:val="0"/>
        <w:adjustRightInd w:val="0"/>
        <w:ind w:left="851"/>
        <w:rPr>
          <w:b/>
          <w:bCs/>
          <w:sz w:val="24"/>
          <w:szCs w:val="24"/>
          <w:lang w:eastAsia="sv-SE"/>
        </w:rPr>
      </w:pPr>
      <w:r w:rsidRPr="00F47ED1">
        <w:rPr>
          <w:b/>
          <w:bCs/>
          <w:sz w:val="24"/>
          <w:szCs w:val="24"/>
          <w:lang w:eastAsia="sv-SE"/>
        </w:rPr>
        <w:t>Mave-tarm-kanalen</w:t>
      </w:r>
    </w:p>
    <w:p w14:paraId="1E5D8A93" w14:textId="77777777" w:rsidR="00A048A4" w:rsidRPr="00F47ED1" w:rsidRDefault="00A048A4" w:rsidP="00440057">
      <w:pPr>
        <w:tabs>
          <w:tab w:val="left" w:pos="2977"/>
        </w:tabs>
        <w:ind w:left="851"/>
        <w:rPr>
          <w:rFonts w:eastAsia="ArialMT"/>
          <w:i/>
          <w:iCs/>
          <w:sz w:val="24"/>
          <w:szCs w:val="24"/>
          <w:lang w:eastAsia="sv-SE"/>
        </w:rPr>
      </w:pPr>
      <w:r w:rsidRPr="00F47ED1">
        <w:rPr>
          <w:rFonts w:eastAsia="ArialMT"/>
          <w:sz w:val="24"/>
          <w:szCs w:val="24"/>
          <w:lang w:eastAsia="sv-SE"/>
        </w:rPr>
        <w:t>Almindelig:</w:t>
      </w:r>
      <w:r w:rsidRPr="00F47ED1">
        <w:rPr>
          <w:rFonts w:eastAsia="ArialMT"/>
          <w:i/>
          <w:iCs/>
          <w:sz w:val="24"/>
          <w:szCs w:val="24"/>
          <w:lang w:eastAsia="sv-SE"/>
        </w:rPr>
        <w:t xml:space="preserve"> </w:t>
      </w:r>
      <w:r w:rsidRPr="00F47ED1">
        <w:rPr>
          <w:rFonts w:eastAsia="ArialMT"/>
          <w:i/>
          <w:iCs/>
          <w:sz w:val="24"/>
          <w:szCs w:val="24"/>
          <w:lang w:eastAsia="sv-SE"/>
        </w:rPr>
        <w:tab/>
      </w:r>
      <w:r w:rsidRPr="00F47ED1">
        <w:rPr>
          <w:rFonts w:eastAsia="ArialMT"/>
          <w:sz w:val="24"/>
          <w:szCs w:val="24"/>
          <w:lang w:eastAsia="sv-SE"/>
        </w:rPr>
        <w:t>Obstipation.</w:t>
      </w:r>
    </w:p>
    <w:p w14:paraId="0599EB58" w14:textId="77777777" w:rsidR="00A048A4" w:rsidRPr="00F47ED1" w:rsidRDefault="00A048A4" w:rsidP="00440057">
      <w:pPr>
        <w:tabs>
          <w:tab w:val="left" w:pos="2977"/>
        </w:tabs>
        <w:autoSpaceDE w:val="0"/>
        <w:autoSpaceDN w:val="0"/>
        <w:adjustRightInd w:val="0"/>
        <w:ind w:left="851"/>
        <w:rPr>
          <w:rFonts w:eastAsia="ArialMT"/>
          <w:sz w:val="24"/>
          <w:szCs w:val="24"/>
          <w:lang w:eastAsia="sv-SE"/>
        </w:rPr>
      </w:pPr>
    </w:p>
    <w:p w14:paraId="7CE63C72" w14:textId="77777777" w:rsidR="00A048A4" w:rsidRPr="00F47ED1" w:rsidRDefault="00A048A4" w:rsidP="00440057">
      <w:pPr>
        <w:tabs>
          <w:tab w:val="left" w:pos="2977"/>
        </w:tabs>
        <w:autoSpaceDE w:val="0"/>
        <w:autoSpaceDN w:val="0"/>
        <w:adjustRightInd w:val="0"/>
        <w:ind w:left="851"/>
        <w:rPr>
          <w:b/>
          <w:bCs/>
          <w:sz w:val="24"/>
          <w:szCs w:val="24"/>
          <w:lang w:eastAsia="sv-SE"/>
        </w:rPr>
      </w:pPr>
      <w:r w:rsidRPr="00F47ED1">
        <w:rPr>
          <w:b/>
          <w:bCs/>
          <w:sz w:val="24"/>
          <w:szCs w:val="24"/>
          <w:lang w:eastAsia="sv-SE"/>
        </w:rPr>
        <w:t>Lever og galdeveje</w:t>
      </w:r>
    </w:p>
    <w:p w14:paraId="27A9EB6F" w14:textId="77777777" w:rsidR="00A048A4" w:rsidRPr="00F47ED1" w:rsidRDefault="00A048A4" w:rsidP="00440057">
      <w:pPr>
        <w:tabs>
          <w:tab w:val="left" w:pos="2977"/>
        </w:tabs>
        <w:autoSpaceDE w:val="0"/>
        <w:autoSpaceDN w:val="0"/>
        <w:adjustRightInd w:val="0"/>
        <w:ind w:left="851"/>
        <w:rPr>
          <w:rFonts w:eastAsia="ArialMT"/>
          <w:sz w:val="24"/>
          <w:szCs w:val="24"/>
          <w:lang w:eastAsia="sv-SE"/>
        </w:rPr>
      </w:pPr>
      <w:r w:rsidRPr="00F47ED1">
        <w:rPr>
          <w:rFonts w:eastAsia="ArialMT"/>
          <w:sz w:val="24"/>
          <w:szCs w:val="24"/>
          <w:lang w:eastAsia="sv-SE"/>
        </w:rPr>
        <w:t>Ikke almindelig:</w:t>
      </w:r>
      <w:r w:rsidRPr="00F47ED1">
        <w:rPr>
          <w:rFonts w:eastAsia="ArialMT"/>
          <w:i/>
          <w:iCs/>
          <w:sz w:val="24"/>
          <w:szCs w:val="24"/>
          <w:lang w:eastAsia="sv-SE"/>
        </w:rPr>
        <w:tab/>
      </w:r>
      <w:r w:rsidRPr="00F47ED1">
        <w:rPr>
          <w:rFonts w:eastAsia="ArialMT"/>
          <w:sz w:val="24"/>
          <w:szCs w:val="24"/>
          <w:lang w:eastAsia="sv-SE"/>
        </w:rPr>
        <w:t>Asymptomatiske stigninger i leverfunktionsprøver.</w:t>
      </w:r>
    </w:p>
    <w:p w14:paraId="3CB9CB47" w14:textId="77777777" w:rsidR="00A048A4" w:rsidRPr="00F47ED1" w:rsidRDefault="00A048A4" w:rsidP="00440057">
      <w:pPr>
        <w:tabs>
          <w:tab w:val="left" w:pos="2977"/>
        </w:tabs>
        <w:autoSpaceDE w:val="0"/>
        <w:autoSpaceDN w:val="0"/>
        <w:adjustRightInd w:val="0"/>
        <w:ind w:left="851"/>
        <w:rPr>
          <w:rFonts w:eastAsia="ArialMT"/>
          <w:sz w:val="24"/>
          <w:szCs w:val="24"/>
          <w:lang w:eastAsia="sv-SE"/>
        </w:rPr>
      </w:pPr>
    </w:p>
    <w:p w14:paraId="3EB84759" w14:textId="77777777" w:rsidR="00A048A4" w:rsidRPr="00F47ED1" w:rsidRDefault="00A048A4" w:rsidP="00440057">
      <w:pPr>
        <w:tabs>
          <w:tab w:val="left" w:pos="2977"/>
        </w:tabs>
        <w:autoSpaceDE w:val="0"/>
        <w:autoSpaceDN w:val="0"/>
        <w:adjustRightInd w:val="0"/>
        <w:ind w:left="851"/>
        <w:rPr>
          <w:b/>
          <w:bCs/>
          <w:sz w:val="24"/>
          <w:szCs w:val="24"/>
          <w:lang w:eastAsia="sv-SE"/>
        </w:rPr>
      </w:pPr>
      <w:r w:rsidRPr="00F47ED1">
        <w:rPr>
          <w:b/>
          <w:bCs/>
          <w:sz w:val="24"/>
          <w:szCs w:val="24"/>
          <w:lang w:eastAsia="sv-SE"/>
        </w:rPr>
        <w:t>Øjne</w:t>
      </w:r>
    </w:p>
    <w:p w14:paraId="3E95F208" w14:textId="25937DE8" w:rsidR="00A048A4" w:rsidRPr="00F47ED1" w:rsidRDefault="00A048A4" w:rsidP="00440057">
      <w:pPr>
        <w:tabs>
          <w:tab w:val="left" w:pos="2977"/>
        </w:tabs>
        <w:ind w:left="2977" w:hanging="2126"/>
        <w:rPr>
          <w:rFonts w:eastAsia="ArialMT"/>
          <w:sz w:val="24"/>
          <w:szCs w:val="24"/>
          <w:lang w:eastAsia="sv-SE"/>
        </w:rPr>
      </w:pPr>
      <w:r w:rsidRPr="00F47ED1">
        <w:rPr>
          <w:rFonts w:eastAsia="ArialMT"/>
          <w:sz w:val="24"/>
          <w:szCs w:val="24"/>
          <w:lang w:eastAsia="sv-SE"/>
        </w:rPr>
        <w:t xml:space="preserve">Sjælden: </w:t>
      </w:r>
      <w:r w:rsidRPr="00F47ED1">
        <w:rPr>
          <w:rFonts w:eastAsia="ArialMT"/>
          <w:sz w:val="24"/>
          <w:szCs w:val="24"/>
          <w:lang w:eastAsia="sv-SE"/>
        </w:rPr>
        <w:tab/>
        <w:t xml:space="preserve">Forbigående synsforstyrrelser (f.eks. sløret syn), især under </w:t>
      </w:r>
      <w:proofErr w:type="spellStart"/>
      <w:r w:rsidRPr="00F47ED1">
        <w:rPr>
          <w:rFonts w:eastAsia="ArialMT"/>
          <w:sz w:val="24"/>
          <w:szCs w:val="24"/>
          <w:lang w:eastAsia="sv-SE"/>
        </w:rPr>
        <w:t>i.v</w:t>
      </w:r>
      <w:proofErr w:type="spellEnd"/>
      <w:r w:rsidRPr="00F47ED1">
        <w:rPr>
          <w:rFonts w:eastAsia="ArialMT"/>
          <w:sz w:val="24"/>
          <w:szCs w:val="24"/>
          <w:lang w:eastAsia="sv-SE"/>
        </w:rPr>
        <w:t>. administration.</w:t>
      </w:r>
    </w:p>
    <w:p w14:paraId="1972E870" w14:textId="4A16E0BE" w:rsidR="00A048A4" w:rsidRPr="00F47ED1" w:rsidRDefault="00A048A4" w:rsidP="00440057">
      <w:pPr>
        <w:tabs>
          <w:tab w:val="left" w:pos="2977"/>
        </w:tabs>
        <w:autoSpaceDE w:val="0"/>
        <w:autoSpaceDN w:val="0"/>
        <w:adjustRightInd w:val="0"/>
        <w:ind w:left="851"/>
        <w:rPr>
          <w:rFonts w:eastAsia="ArialMT"/>
          <w:sz w:val="24"/>
          <w:szCs w:val="24"/>
          <w:lang w:eastAsia="sv-SE"/>
        </w:rPr>
      </w:pPr>
      <w:r w:rsidRPr="00F47ED1">
        <w:rPr>
          <w:rFonts w:eastAsia="ArialMT"/>
          <w:sz w:val="24"/>
          <w:szCs w:val="24"/>
          <w:lang w:eastAsia="sv-SE"/>
        </w:rPr>
        <w:t>Meget sjælden</w:t>
      </w:r>
      <w:r w:rsidRPr="007B4A91">
        <w:rPr>
          <w:rFonts w:eastAsia="ArialMT"/>
          <w:iCs/>
          <w:sz w:val="24"/>
          <w:szCs w:val="24"/>
          <w:lang w:eastAsia="sv-SE"/>
        </w:rPr>
        <w:t xml:space="preserve">: </w:t>
      </w:r>
      <w:r w:rsidRPr="00F47ED1">
        <w:rPr>
          <w:rFonts w:eastAsia="ArialMT"/>
          <w:i/>
          <w:iCs/>
          <w:sz w:val="24"/>
          <w:szCs w:val="24"/>
          <w:lang w:eastAsia="sv-SE"/>
        </w:rPr>
        <w:tab/>
      </w:r>
      <w:r w:rsidRPr="00F47ED1">
        <w:rPr>
          <w:sz w:val="24"/>
          <w:szCs w:val="24"/>
        </w:rPr>
        <w:t xml:space="preserve">Forbigående blindhed, især under </w:t>
      </w:r>
      <w:proofErr w:type="spellStart"/>
      <w:r w:rsidRPr="00F47ED1">
        <w:rPr>
          <w:sz w:val="24"/>
          <w:szCs w:val="24"/>
        </w:rPr>
        <w:t>i.v</w:t>
      </w:r>
      <w:proofErr w:type="spellEnd"/>
      <w:r w:rsidRPr="00F47ED1">
        <w:rPr>
          <w:sz w:val="24"/>
          <w:szCs w:val="24"/>
        </w:rPr>
        <w:t>. administration</w:t>
      </w:r>
      <w:r w:rsidR="00D378BF">
        <w:rPr>
          <w:sz w:val="24"/>
          <w:szCs w:val="24"/>
        </w:rPr>
        <w:t xml:space="preserve"> </w:t>
      </w:r>
      <w:r w:rsidRPr="00F47ED1">
        <w:rPr>
          <w:rFonts w:eastAsia="ArialMT"/>
          <w:sz w:val="24"/>
          <w:szCs w:val="24"/>
          <w:lang w:eastAsia="sv-SE"/>
        </w:rPr>
        <w:t>(2), (3).</w:t>
      </w:r>
    </w:p>
    <w:p w14:paraId="684BC7C2" w14:textId="77777777" w:rsidR="00A048A4" w:rsidRPr="00F47ED1" w:rsidRDefault="00A048A4" w:rsidP="002D7BEB">
      <w:pPr>
        <w:ind w:left="851"/>
        <w:rPr>
          <w:i/>
          <w:noProof/>
          <w:sz w:val="24"/>
          <w:szCs w:val="24"/>
        </w:rPr>
      </w:pPr>
    </w:p>
    <w:p w14:paraId="3E3B4AB9" w14:textId="77777777" w:rsidR="00A048A4" w:rsidRPr="00F47ED1" w:rsidRDefault="00A048A4" w:rsidP="002D7BEB">
      <w:pPr>
        <w:tabs>
          <w:tab w:val="left" w:pos="0"/>
        </w:tabs>
        <w:ind w:left="851"/>
        <w:rPr>
          <w:noProof/>
          <w:sz w:val="24"/>
          <w:szCs w:val="24"/>
        </w:rPr>
      </w:pPr>
      <w:r w:rsidRPr="00F47ED1">
        <w:rPr>
          <w:noProof/>
          <w:sz w:val="24"/>
          <w:szCs w:val="24"/>
        </w:rPr>
        <w:t>1: Observeret uden definitiv evidens for persisterende kliniske følgetilstande.</w:t>
      </w:r>
    </w:p>
    <w:p w14:paraId="03AE6E9B" w14:textId="77777777" w:rsidR="00A048A4" w:rsidRPr="00F47ED1" w:rsidRDefault="00A048A4" w:rsidP="002D7BEB">
      <w:pPr>
        <w:tabs>
          <w:tab w:val="left" w:pos="0"/>
        </w:tabs>
        <w:ind w:left="851"/>
        <w:rPr>
          <w:noProof/>
          <w:sz w:val="24"/>
          <w:szCs w:val="24"/>
        </w:rPr>
      </w:pPr>
    </w:p>
    <w:p w14:paraId="55D5EA27" w14:textId="77777777" w:rsidR="00A048A4" w:rsidRPr="00F47ED1" w:rsidRDefault="00A048A4" w:rsidP="002D7BEB">
      <w:pPr>
        <w:tabs>
          <w:tab w:val="left" w:pos="0"/>
        </w:tabs>
        <w:ind w:left="851"/>
        <w:rPr>
          <w:noProof/>
          <w:sz w:val="24"/>
          <w:szCs w:val="24"/>
        </w:rPr>
      </w:pPr>
      <w:r w:rsidRPr="00F47ED1">
        <w:rPr>
          <w:noProof/>
          <w:sz w:val="24"/>
          <w:szCs w:val="24"/>
        </w:rPr>
        <w:t>2: Størstedelen af de rapporterede tilfælde af blindhed forsvandt inden for 20 minutter. De fleste patienter havde fået kemoterapeutika, herunder cisplatin. Nogle af tilfældene af forbigående blindhed blev rapporteret som kortikale af oprindelse.</w:t>
      </w:r>
    </w:p>
    <w:p w14:paraId="0A84BCB4" w14:textId="77777777" w:rsidR="00A048A4" w:rsidRPr="00F47ED1" w:rsidRDefault="00A048A4" w:rsidP="002D7BEB">
      <w:pPr>
        <w:tabs>
          <w:tab w:val="left" w:pos="0"/>
        </w:tabs>
        <w:ind w:left="851"/>
        <w:rPr>
          <w:noProof/>
          <w:sz w:val="24"/>
          <w:szCs w:val="24"/>
        </w:rPr>
      </w:pPr>
    </w:p>
    <w:p w14:paraId="2147F366" w14:textId="77777777" w:rsidR="00A048A4" w:rsidRPr="00F47ED1" w:rsidRDefault="00A048A4" w:rsidP="002D7BEB">
      <w:pPr>
        <w:tabs>
          <w:tab w:val="left" w:pos="0"/>
        </w:tabs>
        <w:ind w:left="851"/>
        <w:rPr>
          <w:noProof/>
          <w:sz w:val="24"/>
          <w:szCs w:val="24"/>
        </w:rPr>
      </w:pPr>
      <w:r w:rsidRPr="00F47ED1">
        <w:rPr>
          <w:noProof/>
          <w:sz w:val="24"/>
          <w:szCs w:val="24"/>
        </w:rPr>
        <w:t xml:space="preserve">3: Disse hændelser blev observeret med hyppigheden ’almindelig’ hos patienter, der fik kemoterapi med cisplatin. </w:t>
      </w:r>
    </w:p>
    <w:p w14:paraId="54D6A8CF" w14:textId="77777777" w:rsidR="00A048A4" w:rsidRPr="00F47ED1" w:rsidRDefault="00A048A4" w:rsidP="002D7BEB">
      <w:pPr>
        <w:ind w:left="851"/>
        <w:rPr>
          <w:sz w:val="24"/>
          <w:szCs w:val="24"/>
        </w:rPr>
      </w:pPr>
    </w:p>
    <w:p w14:paraId="2BA0A729" w14:textId="77777777" w:rsidR="00A048A4" w:rsidRPr="00F47ED1" w:rsidRDefault="00A048A4" w:rsidP="002D7BEB">
      <w:pPr>
        <w:ind w:left="851"/>
        <w:rPr>
          <w:sz w:val="24"/>
          <w:szCs w:val="24"/>
          <w:u w:val="single"/>
        </w:rPr>
      </w:pPr>
      <w:r w:rsidRPr="00F47ED1">
        <w:rPr>
          <w:sz w:val="24"/>
          <w:szCs w:val="24"/>
          <w:u w:val="single"/>
        </w:rPr>
        <w:t>Pædiatrisk population</w:t>
      </w:r>
    </w:p>
    <w:p w14:paraId="4D39A922" w14:textId="77777777" w:rsidR="00A048A4" w:rsidRPr="00FA159E" w:rsidRDefault="00A048A4" w:rsidP="002D7BEB">
      <w:pPr>
        <w:ind w:left="851"/>
        <w:rPr>
          <w:iCs/>
          <w:noProof/>
          <w:sz w:val="24"/>
          <w:szCs w:val="24"/>
        </w:rPr>
      </w:pPr>
      <w:r w:rsidRPr="00FA159E">
        <w:rPr>
          <w:sz w:val="24"/>
          <w:szCs w:val="24"/>
        </w:rPr>
        <w:t>Bivirkningsprofilen hos børn og unge var sammenlignelig med bivirkningsprofilen hos voksne.</w:t>
      </w:r>
    </w:p>
    <w:p w14:paraId="381A6401" w14:textId="77777777" w:rsidR="00A048A4" w:rsidRPr="00FA159E" w:rsidRDefault="00A048A4" w:rsidP="002D7BEB">
      <w:pPr>
        <w:ind w:left="851"/>
        <w:rPr>
          <w:i/>
          <w:noProof/>
          <w:sz w:val="24"/>
          <w:szCs w:val="24"/>
        </w:rPr>
      </w:pPr>
    </w:p>
    <w:p w14:paraId="677B4E5B" w14:textId="77777777" w:rsidR="00A048A4" w:rsidRPr="00F47ED1" w:rsidRDefault="00A048A4" w:rsidP="002D7BEB">
      <w:pPr>
        <w:autoSpaceDE w:val="0"/>
        <w:autoSpaceDN w:val="0"/>
        <w:adjustRightInd w:val="0"/>
        <w:ind w:left="851"/>
        <w:rPr>
          <w:sz w:val="24"/>
          <w:szCs w:val="24"/>
          <w:u w:val="single"/>
        </w:rPr>
      </w:pPr>
      <w:r w:rsidRPr="00F47ED1">
        <w:rPr>
          <w:noProof/>
          <w:sz w:val="24"/>
          <w:szCs w:val="24"/>
          <w:u w:val="single"/>
        </w:rPr>
        <w:t>Indberetning af formodede bivirkninger</w:t>
      </w:r>
    </w:p>
    <w:p w14:paraId="0079EAA7" w14:textId="77777777" w:rsidR="00A048A4" w:rsidRPr="00F47ED1" w:rsidRDefault="00A048A4" w:rsidP="002D7BEB">
      <w:pPr>
        <w:autoSpaceDE w:val="0"/>
        <w:autoSpaceDN w:val="0"/>
        <w:adjustRightInd w:val="0"/>
        <w:ind w:left="851"/>
        <w:rPr>
          <w:noProof/>
          <w:sz w:val="24"/>
          <w:szCs w:val="24"/>
        </w:rPr>
      </w:pPr>
      <w:r w:rsidRPr="00F47ED1">
        <w:rPr>
          <w:noProof/>
          <w:sz w:val="24"/>
          <w:szCs w:val="24"/>
        </w:rPr>
        <w:t>Når lægemidlet er godkendt, er indberetning af formodede bivirkninger vigtig.</w:t>
      </w:r>
      <w:r w:rsidRPr="00F47ED1">
        <w:rPr>
          <w:sz w:val="24"/>
          <w:szCs w:val="24"/>
        </w:rPr>
        <w:t xml:space="preserve"> </w:t>
      </w:r>
      <w:r w:rsidRPr="00F47ED1">
        <w:rPr>
          <w:noProof/>
          <w:sz w:val="24"/>
          <w:szCs w:val="24"/>
        </w:rPr>
        <w:t>Det muliggør løbende overvågning af benefit/risk-forholdet for lægemidlet.</w:t>
      </w:r>
      <w:r w:rsidRPr="00F47ED1">
        <w:rPr>
          <w:sz w:val="24"/>
          <w:szCs w:val="24"/>
        </w:rPr>
        <w:t xml:space="preserve"> </w:t>
      </w:r>
      <w:r w:rsidRPr="00F47ED1">
        <w:rPr>
          <w:noProof/>
          <w:sz w:val="24"/>
          <w:szCs w:val="24"/>
        </w:rPr>
        <w:t>Sundhedspersoner anmodes om at indberette alle formodede bivirkninger via:</w:t>
      </w:r>
    </w:p>
    <w:p w14:paraId="602BCA3B" w14:textId="77777777" w:rsidR="00A048A4" w:rsidRPr="00F47ED1" w:rsidRDefault="00A048A4" w:rsidP="002D7BEB">
      <w:pPr>
        <w:autoSpaceDE w:val="0"/>
        <w:autoSpaceDN w:val="0"/>
        <w:adjustRightInd w:val="0"/>
        <w:ind w:left="851"/>
        <w:rPr>
          <w:noProof/>
          <w:sz w:val="24"/>
          <w:szCs w:val="24"/>
        </w:rPr>
      </w:pPr>
    </w:p>
    <w:p w14:paraId="0AFA10CE" w14:textId="77777777" w:rsidR="00A048A4" w:rsidRPr="00F47ED1" w:rsidRDefault="00A048A4" w:rsidP="002D7BEB">
      <w:pPr>
        <w:autoSpaceDE w:val="0"/>
        <w:autoSpaceDN w:val="0"/>
        <w:adjustRightInd w:val="0"/>
        <w:ind w:left="851"/>
        <w:rPr>
          <w:noProof/>
          <w:sz w:val="24"/>
          <w:szCs w:val="24"/>
        </w:rPr>
      </w:pPr>
      <w:r w:rsidRPr="00F47ED1">
        <w:rPr>
          <w:noProof/>
          <w:sz w:val="24"/>
          <w:szCs w:val="24"/>
        </w:rPr>
        <w:t>Lægemiddelstyrelsen</w:t>
      </w:r>
    </w:p>
    <w:p w14:paraId="366365D6" w14:textId="77777777" w:rsidR="00A048A4" w:rsidRPr="00F47ED1" w:rsidRDefault="00A048A4" w:rsidP="002D7BEB">
      <w:pPr>
        <w:autoSpaceDE w:val="0"/>
        <w:autoSpaceDN w:val="0"/>
        <w:adjustRightInd w:val="0"/>
        <w:ind w:left="851"/>
        <w:rPr>
          <w:noProof/>
          <w:sz w:val="24"/>
          <w:szCs w:val="24"/>
        </w:rPr>
      </w:pPr>
      <w:r w:rsidRPr="00F47ED1">
        <w:rPr>
          <w:noProof/>
          <w:sz w:val="24"/>
          <w:szCs w:val="24"/>
        </w:rPr>
        <w:t>Axel Heides Gade 1</w:t>
      </w:r>
    </w:p>
    <w:p w14:paraId="1E4682A9" w14:textId="77777777" w:rsidR="00A048A4" w:rsidRPr="00F47ED1" w:rsidRDefault="00A048A4" w:rsidP="002D7BEB">
      <w:pPr>
        <w:autoSpaceDE w:val="0"/>
        <w:autoSpaceDN w:val="0"/>
        <w:adjustRightInd w:val="0"/>
        <w:ind w:left="851"/>
        <w:rPr>
          <w:noProof/>
          <w:sz w:val="24"/>
          <w:szCs w:val="24"/>
        </w:rPr>
      </w:pPr>
      <w:r w:rsidRPr="00F47ED1">
        <w:rPr>
          <w:noProof/>
          <w:sz w:val="24"/>
          <w:szCs w:val="24"/>
        </w:rPr>
        <w:t>DK-2300 København S</w:t>
      </w:r>
    </w:p>
    <w:p w14:paraId="120F3E8D" w14:textId="77777777" w:rsidR="00A048A4" w:rsidRPr="00F47ED1" w:rsidRDefault="00A048A4" w:rsidP="002D7BEB">
      <w:pPr>
        <w:autoSpaceDE w:val="0"/>
        <w:autoSpaceDN w:val="0"/>
        <w:adjustRightInd w:val="0"/>
        <w:ind w:left="851"/>
        <w:rPr>
          <w:noProof/>
          <w:sz w:val="24"/>
          <w:szCs w:val="24"/>
        </w:rPr>
      </w:pPr>
      <w:r w:rsidRPr="00F47ED1">
        <w:rPr>
          <w:noProof/>
          <w:sz w:val="24"/>
          <w:szCs w:val="24"/>
        </w:rPr>
        <w:t>Websted: www.meldenbivirkning.dk</w:t>
      </w:r>
    </w:p>
    <w:p w14:paraId="455A8BDC" w14:textId="77777777" w:rsidR="009260DE" w:rsidRPr="00F47ED1" w:rsidRDefault="009260DE" w:rsidP="00A10294">
      <w:pPr>
        <w:tabs>
          <w:tab w:val="left" w:pos="851"/>
        </w:tabs>
        <w:ind w:left="851"/>
        <w:rPr>
          <w:sz w:val="24"/>
          <w:szCs w:val="24"/>
        </w:rPr>
      </w:pPr>
    </w:p>
    <w:p w14:paraId="3DB4545C" w14:textId="77777777" w:rsidR="009260DE" w:rsidRPr="00F47ED1" w:rsidRDefault="009260DE" w:rsidP="009260DE">
      <w:pPr>
        <w:tabs>
          <w:tab w:val="left" w:pos="851"/>
        </w:tabs>
        <w:ind w:left="851" w:hanging="851"/>
        <w:rPr>
          <w:b/>
          <w:sz w:val="24"/>
          <w:szCs w:val="24"/>
        </w:rPr>
      </w:pPr>
      <w:r w:rsidRPr="00F47ED1">
        <w:rPr>
          <w:b/>
          <w:sz w:val="24"/>
          <w:szCs w:val="24"/>
        </w:rPr>
        <w:t>4.9</w:t>
      </w:r>
      <w:r w:rsidRPr="00F47ED1">
        <w:rPr>
          <w:b/>
          <w:sz w:val="24"/>
          <w:szCs w:val="24"/>
        </w:rPr>
        <w:tab/>
        <w:t>Overdosering</w:t>
      </w:r>
    </w:p>
    <w:p w14:paraId="7EBE7095" w14:textId="77777777" w:rsidR="00191906" w:rsidRPr="00F47ED1" w:rsidRDefault="00191906" w:rsidP="002D7BEB">
      <w:pPr>
        <w:ind w:left="851"/>
        <w:rPr>
          <w:noProof/>
          <w:sz w:val="24"/>
          <w:szCs w:val="24"/>
        </w:rPr>
      </w:pPr>
      <w:r w:rsidRPr="00F47ED1">
        <w:rPr>
          <w:noProof/>
          <w:sz w:val="24"/>
          <w:szCs w:val="24"/>
        </w:rPr>
        <w:t>Der er for nuværende begrænset viden om overdosering af ondansetron. Der er imidlertid et begrænset antal patienter, der har fået overdosering. De rapporterede manifestationer inkluderer synsforstyrrelser, svær obstipation, hypotension og en vasovagal episode med forbigående AV-blok af 2. grad. Der blev set komplet remission i alle tilfældene.</w:t>
      </w:r>
    </w:p>
    <w:p w14:paraId="6AF1F040" w14:textId="77777777" w:rsidR="00191906" w:rsidRPr="00F47ED1" w:rsidRDefault="00191906" w:rsidP="002D7BEB">
      <w:pPr>
        <w:ind w:left="851"/>
        <w:rPr>
          <w:noProof/>
          <w:sz w:val="24"/>
          <w:szCs w:val="24"/>
        </w:rPr>
      </w:pPr>
    </w:p>
    <w:p w14:paraId="5E9AA549" w14:textId="4AE74DB5" w:rsidR="00191906" w:rsidRPr="00F47ED1" w:rsidRDefault="00191906" w:rsidP="002D7BEB">
      <w:pPr>
        <w:ind w:left="851"/>
        <w:rPr>
          <w:noProof/>
          <w:sz w:val="24"/>
          <w:szCs w:val="24"/>
        </w:rPr>
      </w:pPr>
      <w:proofErr w:type="spellStart"/>
      <w:r w:rsidRPr="00F47ED1">
        <w:rPr>
          <w:rStyle w:val="message-content"/>
          <w:sz w:val="24"/>
          <w:szCs w:val="24"/>
        </w:rPr>
        <w:t>Ondansetron</w:t>
      </w:r>
      <w:proofErr w:type="spellEnd"/>
      <w:r w:rsidRPr="00F47ED1">
        <w:rPr>
          <w:rStyle w:val="message-content"/>
          <w:sz w:val="24"/>
          <w:szCs w:val="24"/>
        </w:rPr>
        <w:t xml:space="preserve"> </w:t>
      </w:r>
      <w:r w:rsidR="000F6FC9">
        <w:rPr>
          <w:rStyle w:val="message-content"/>
          <w:sz w:val="24"/>
          <w:szCs w:val="24"/>
        </w:rPr>
        <w:t>"</w:t>
      </w:r>
      <w:r w:rsidR="00992534">
        <w:rPr>
          <w:rStyle w:val="message-content"/>
          <w:sz w:val="24"/>
          <w:szCs w:val="24"/>
        </w:rPr>
        <w:t>EQL Pharma</w:t>
      </w:r>
      <w:r w:rsidR="000F6FC9">
        <w:rPr>
          <w:rStyle w:val="message-content"/>
          <w:sz w:val="24"/>
          <w:szCs w:val="24"/>
        </w:rPr>
        <w:t>"</w:t>
      </w:r>
      <w:r w:rsidRPr="00F47ED1">
        <w:rPr>
          <w:noProof/>
          <w:sz w:val="24"/>
          <w:szCs w:val="24"/>
        </w:rPr>
        <w:t xml:space="preserve"> forlænger QT-intervallet på dosisafhængig vis. EKG-monitorering anbefales i tilfælde af overdosering.</w:t>
      </w:r>
    </w:p>
    <w:p w14:paraId="6DC3B9DC" w14:textId="77777777" w:rsidR="00191906" w:rsidRPr="00F47ED1" w:rsidRDefault="00191906" w:rsidP="002D7BEB">
      <w:pPr>
        <w:ind w:left="851"/>
        <w:rPr>
          <w:noProof/>
          <w:sz w:val="24"/>
          <w:szCs w:val="24"/>
        </w:rPr>
      </w:pPr>
      <w:r w:rsidRPr="00F47ED1">
        <w:rPr>
          <w:noProof/>
          <w:sz w:val="24"/>
          <w:szCs w:val="24"/>
        </w:rPr>
        <w:t>Der findes ingen specifik antidot for ondansetron. Ved mistanke om overdosering bør der derfor gives passende symptomatisk og støttende behandling.</w:t>
      </w:r>
    </w:p>
    <w:p w14:paraId="08BE0CAF" w14:textId="77777777" w:rsidR="00191906" w:rsidRPr="00F47ED1" w:rsidRDefault="00191906" w:rsidP="002D7BEB">
      <w:pPr>
        <w:ind w:left="851"/>
        <w:rPr>
          <w:noProof/>
          <w:sz w:val="24"/>
          <w:szCs w:val="24"/>
        </w:rPr>
      </w:pPr>
    </w:p>
    <w:p w14:paraId="7DF94E71" w14:textId="745873D5" w:rsidR="00191906" w:rsidRPr="00F47ED1" w:rsidRDefault="00191906" w:rsidP="002D7BEB">
      <w:pPr>
        <w:ind w:left="851"/>
        <w:rPr>
          <w:i/>
          <w:iCs/>
          <w:noProof/>
          <w:sz w:val="24"/>
          <w:szCs w:val="24"/>
        </w:rPr>
      </w:pPr>
      <w:r w:rsidRPr="00F47ED1">
        <w:rPr>
          <w:i/>
          <w:iCs/>
          <w:noProof/>
          <w:sz w:val="24"/>
          <w:szCs w:val="24"/>
        </w:rPr>
        <w:t xml:space="preserve">Brug af ipecacuanha til behandling af overdosering af ondansetron kan ikke anbefales, da respons sandsynligvis udebliver på grund af Ondansetron </w:t>
      </w:r>
      <w:r w:rsidR="000F6FC9">
        <w:rPr>
          <w:i/>
          <w:iCs/>
          <w:noProof/>
          <w:sz w:val="24"/>
          <w:szCs w:val="24"/>
        </w:rPr>
        <w:t>"</w:t>
      </w:r>
      <w:r w:rsidR="00992534">
        <w:rPr>
          <w:i/>
          <w:iCs/>
          <w:noProof/>
          <w:sz w:val="24"/>
          <w:szCs w:val="24"/>
        </w:rPr>
        <w:t>EQL Pharma</w:t>
      </w:r>
      <w:r w:rsidR="000F6FC9">
        <w:rPr>
          <w:i/>
          <w:iCs/>
          <w:noProof/>
          <w:sz w:val="24"/>
          <w:szCs w:val="24"/>
        </w:rPr>
        <w:t>"</w:t>
      </w:r>
      <w:r w:rsidRPr="00F47ED1">
        <w:rPr>
          <w:i/>
          <w:iCs/>
          <w:noProof/>
          <w:sz w:val="24"/>
          <w:szCs w:val="24"/>
        </w:rPr>
        <w:t>s antiemetiske virkning.</w:t>
      </w:r>
    </w:p>
    <w:p w14:paraId="60434015" w14:textId="77777777" w:rsidR="00191906" w:rsidRPr="00F47ED1" w:rsidRDefault="00191906" w:rsidP="002D7BEB">
      <w:pPr>
        <w:ind w:left="851"/>
        <w:rPr>
          <w:noProof/>
          <w:sz w:val="24"/>
          <w:szCs w:val="24"/>
        </w:rPr>
      </w:pPr>
    </w:p>
    <w:p w14:paraId="0EFE495D" w14:textId="77777777" w:rsidR="00191906" w:rsidRPr="00F47ED1" w:rsidRDefault="00191906" w:rsidP="002D7BEB">
      <w:pPr>
        <w:ind w:left="851"/>
        <w:rPr>
          <w:noProof/>
          <w:sz w:val="24"/>
          <w:szCs w:val="24"/>
        </w:rPr>
      </w:pPr>
      <w:r w:rsidRPr="00F47ED1">
        <w:rPr>
          <w:noProof/>
          <w:sz w:val="24"/>
          <w:szCs w:val="24"/>
        </w:rPr>
        <w:t>Pædiatrisk population</w:t>
      </w:r>
    </w:p>
    <w:p w14:paraId="4C511F32" w14:textId="77777777" w:rsidR="00191906" w:rsidRPr="00F47ED1" w:rsidRDefault="00191906" w:rsidP="002D7BEB">
      <w:pPr>
        <w:ind w:left="851"/>
        <w:rPr>
          <w:noProof/>
          <w:sz w:val="24"/>
          <w:szCs w:val="24"/>
        </w:rPr>
      </w:pPr>
      <w:r w:rsidRPr="00F47ED1">
        <w:rPr>
          <w:noProof/>
          <w:sz w:val="24"/>
          <w:szCs w:val="24"/>
        </w:rPr>
        <w:t>Der er blevet rapporteret om pædiatriske tilfælde forenelige med serotoninsyndrom efter utilsigtet oral overdosering af ondansetron (estimeret indtagelse overstigende 4 mg/kg) hos spædbørn og børn i alderen 12 måneder til 2 år.</w:t>
      </w:r>
    </w:p>
    <w:p w14:paraId="25B8C7BC" w14:textId="77777777" w:rsidR="009260DE" w:rsidRPr="00F47ED1" w:rsidRDefault="009260DE" w:rsidP="009260DE">
      <w:pPr>
        <w:tabs>
          <w:tab w:val="left" w:pos="851"/>
        </w:tabs>
        <w:ind w:left="851"/>
        <w:rPr>
          <w:sz w:val="24"/>
          <w:szCs w:val="24"/>
        </w:rPr>
      </w:pPr>
    </w:p>
    <w:p w14:paraId="3CD33124" w14:textId="77777777" w:rsidR="009260DE" w:rsidRPr="00F47ED1" w:rsidRDefault="009260DE" w:rsidP="009260DE">
      <w:pPr>
        <w:tabs>
          <w:tab w:val="left" w:pos="851"/>
        </w:tabs>
        <w:ind w:left="851" w:hanging="851"/>
        <w:rPr>
          <w:b/>
          <w:sz w:val="24"/>
          <w:szCs w:val="24"/>
        </w:rPr>
      </w:pPr>
      <w:r w:rsidRPr="00F47ED1">
        <w:rPr>
          <w:b/>
          <w:sz w:val="24"/>
          <w:szCs w:val="24"/>
        </w:rPr>
        <w:t>4.10</w:t>
      </w:r>
      <w:r w:rsidRPr="00F47ED1">
        <w:rPr>
          <w:b/>
          <w:sz w:val="24"/>
          <w:szCs w:val="24"/>
        </w:rPr>
        <w:tab/>
        <w:t>Udlevering</w:t>
      </w:r>
    </w:p>
    <w:p w14:paraId="0D11149D" w14:textId="3280B21A" w:rsidR="009260DE" w:rsidRPr="00F47ED1" w:rsidRDefault="00440057" w:rsidP="009260DE">
      <w:pPr>
        <w:tabs>
          <w:tab w:val="left" w:pos="851"/>
        </w:tabs>
        <w:ind w:left="851"/>
        <w:rPr>
          <w:sz w:val="24"/>
          <w:szCs w:val="24"/>
        </w:rPr>
      </w:pPr>
      <w:r>
        <w:rPr>
          <w:sz w:val="24"/>
          <w:szCs w:val="24"/>
        </w:rPr>
        <w:t>A</w:t>
      </w:r>
    </w:p>
    <w:p w14:paraId="6350790A" w14:textId="77777777" w:rsidR="009260DE" w:rsidRPr="00F47ED1" w:rsidRDefault="009260DE" w:rsidP="009260DE">
      <w:pPr>
        <w:tabs>
          <w:tab w:val="left" w:pos="851"/>
        </w:tabs>
        <w:ind w:left="851"/>
        <w:rPr>
          <w:sz w:val="24"/>
          <w:szCs w:val="24"/>
        </w:rPr>
      </w:pPr>
    </w:p>
    <w:p w14:paraId="214062B4" w14:textId="77777777" w:rsidR="009260DE" w:rsidRPr="00F47ED1" w:rsidRDefault="009260DE" w:rsidP="009260DE">
      <w:pPr>
        <w:tabs>
          <w:tab w:val="left" w:pos="851"/>
        </w:tabs>
        <w:ind w:left="851"/>
        <w:rPr>
          <w:sz w:val="24"/>
          <w:szCs w:val="24"/>
        </w:rPr>
      </w:pPr>
    </w:p>
    <w:p w14:paraId="290804C4" w14:textId="77777777" w:rsidR="007A24EA" w:rsidRPr="00C84483" w:rsidRDefault="007A24EA" w:rsidP="007A24EA">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33ABAA7F" w14:textId="77777777" w:rsidR="007A24EA" w:rsidRPr="00C84483" w:rsidRDefault="007A24EA" w:rsidP="007A24EA">
      <w:pPr>
        <w:tabs>
          <w:tab w:val="left" w:pos="851"/>
        </w:tabs>
        <w:ind w:left="851"/>
        <w:rPr>
          <w:sz w:val="24"/>
          <w:szCs w:val="24"/>
        </w:rPr>
      </w:pPr>
    </w:p>
    <w:p w14:paraId="5BB89510" w14:textId="77777777" w:rsidR="007A24EA" w:rsidRPr="00C84483" w:rsidRDefault="007A24EA" w:rsidP="007A24EA">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523F110E" w14:textId="2FBBAAD1" w:rsidR="007A24EA" w:rsidRPr="00F47ED1" w:rsidRDefault="007A24EA" w:rsidP="007A24EA">
      <w:pPr>
        <w:suppressAutoHyphens/>
        <w:ind w:left="851"/>
        <w:rPr>
          <w:sz w:val="24"/>
          <w:szCs w:val="24"/>
        </w:rPr>
      </w:pPr>
      <w:proofErr w:type="spellStart"/>
      <w:r>
        <w:rPr>
          <w:sz w:val="24"/>
          <w:szCs w:val="24"/>
        </w:rPr>
        <w:t>Farmakoterapeutisk</w:t>
      </w:r>
      <w:proofErr w:type="spellEnd"/>
      <w:r>
        <w:rPr>
          <w:sz w:val="24"/>
          <w:szCs w:val="24"/>
        </w:rPr>
        <w:t xml:space="preserve"> klassifikation: </w:t>
      </w:r>
      <w:proofErr w:type="spellStart"/>
      <w:r>
        <w:rPr>
          <w:sz w:val="24"/>
          <w:szCs w:val="24"/>
        </w:rPr>
        <w:t>A</w:t>
      </w:r>
      <w:r w:rsidRPr="00F47ED1">
        <w:rPr>
          <w:sz w:val="24"/>
          <w:szCs w:val="24"/>
        </w:rPr>
        <w:t>ntiemetika</w:t>
      </w:r>
      <w:proofErr w:type="spellEnd"/>
      <w:r w:rsidRPr="00F47ED1">
        <w:rPr>
          <w:sz w:val="24"/>
          <w:szCs w:val="24"/>
        </w:rPr>
        <w:t xml:space="preserve"> og midler mod kvalme, serotonin (5-HT</w:t>
      </w:r>
      <w:proofErr w:type="gramStart"/>
      <w:r w:rsidRPr="00F47ED1">
        <w:rPr>
          <w:sz w:val="24"/>
          <w:szCs w:val="24"/>
        </w:rPr>
        <w:t>3)-</w:t>
      </w:r>
      <w:proofErr w:type="gramEnd"/>
      <w:r w:rsidRPr="00F47ED1">
        <w:rPr>
          <w:sz w:val="24"/>
          <w:szCs w:val="24"/>
        </w:rPr>
        <w:t>antagonister</w:t>
      </w:r>
      <w:r>
        <w:rPr>
          <w:sz w:val="24"/>
          <w:szCs w:val="24"/>
        </w:rPr>
        <w:t xml:space="preserve">, </w:t>
      </w:r>
      <w:r w:rsidRPr="00F47ED1">
        <w:rPr>
          <w:sz w:val="24"/>
          <w:szCs w:val="24"/>
        </w:rPr>
        <w:t>ATC-kode: A04AA01</w:t>
      </w:r>
      <w:r>
        <w:rPr>
          <w:sz w:val="24"/>
          <w:szCs w:val="24"/>
        </w:rPr>
        <w:t>.</w:t>
      </w:r>
    </w:p>
    <w:p w14:paraId="3A073DAA" w14:textId="77777777" w:rsidR="00876BAE" w:rsidRDefault="00876BAE" w:rsidP="002D7BEB">
      <w:pPr>
        <w:suppressAutoHyphens/>
        <w:ind w:left="851"/>
        <w:rPr>
          <w:bCs/>
          <w:noProof/>
          <w:sz w:val="24"/>
          <w:szCs w:val="24"/>
          <w:u w:val="single"/>
        </w:rPr>
      </w:pPr>
    </w:p>
    <w:p w14:paraId="56C1D429" w14:textId="2D05291E" w:rsidR="00D765E0" w:rsidRPr="00F47ED1" w:rsidRDefault="00D765E0" w:rsidP="002D7BEB">
      <w:pPr>
        <w:suppressAutoHyphens/>
        <w:ind w:left="851"/>
        <w:rPr>
          <w:bCs/>
          <w:noProof/>
          <w:sz w:val="24"/>
          <w:szCs w:val="24"/>
          <w:u w:val="single"/>
        </w:rPr>
      </w:pPr>
      <w:r w:rsidRPr="00F47ED1">
        <w:rPr>
          <w:bCs/>
          <w:noProof/>
          <w:sz w:val="24"/>
          <w:szCs w:val="24"/>
          <w:u w:val="single"/>
        </w:rPr>
        <w:t>Virkningsmekanisme</w:t>
      </w:r>
    </w:p>
    <w:p w14:paraId="64F51743" w14:textId="77777777" w:rsidR="00D765E0" w:rsidRPr="00F47ED1" w:rsidRDefault="00D765E0" w:rsidP="002D7BEB">
      <w:pPr>
        <w:suppressAutoHyphens/>
        <w:ind w:left="851"/>
        <w:rPr>
          <w:sz w:val="24"/>
          <w:szCs w:val="24"/>
        </w:rPr>
      </w:pPr>
      <w:r w:rsidRPr="00F47ED1">
        <w:rPr>
          <w:sz w:val="24"/>
          <w:szCs w:val="24"/>
        </w:rPr>
        <w:t xml:space="preserve">Den præcise </w:t>
      </w:r>
      <w:proofErr w:type="spellStart"/>
      <w:r w:rsidRPr="00F47ED1">
        <w:rPr>
          <w:sz w:val="24"/>
          <w:szCs w:val="24"/>
        </w:rPr>
        <w:t>antiemetiske</w:t>
      </w:r>
      <w:proofErr w:type="spellEnd"/>
      <w:r w:rsidRPr="00F47ED1">
        <w:rPr>
          <w:sz w:val="24"/>
          <w:szCs w:val="24"/>
        </w:rPr>
        <w:t xml:space="preserve"> og kvalmestillende virkningsmekanisme er ikke klarlagt. Kemoterapeutika og strålebehandling kan medføre frigivelse af 5-HT i tyndtarmen, hvilket initierer en opkastningsrefleks som følge af aktivering af </w:t>
      </w:r>
      <w:proofErr w:type="spellStart"/>
      <w:r w:rsidRPr="00F47ED1">
        <w:rPr>
          <w:sz w:val="24"/>
          <w:szCs w:val="24"/>
        </w:rPr>
        <w:t>afferente</w:t>
      </w:r>
      <w:proofErr w:type="spellEnd"/>
      <w:r w:rsidRPr="00F47ED1">
        <w:rPr>
          <w:sz w:val="24"/>
          <w:szCs w:val="24"/>
        </w:rPr>
        <w:t xml:space="preserve"> </w:t>
      </w:r>
      <w:proofErr w:type="spellStart"/>
      <w:r w:rsidRPr="00F47ED1">
        <w:rPr>
          <w:sz w:val="24"/>
          <w:szCs w:val="24"/>
        </w:rPr>
        <w:t>vagusneuroner</w:t>
      </w:r>
      <w:proofErr w:type="spellEnd"/>
      <w:r w:rsidRPr="00F47ED1">
        <w:rPr>
          <w:sz w:val="24"/>
          <w:szCs w:val="24"/>
        </w:rPr>
        <w:t xml:space="preserve"> via 5-HT3-receptorerne. </w:t>
      </w:r>
      <w:proofErr w:type="spellStart"/>
      <w:r w:rsidRPr="00F47ED1">
        <w:rPr>
          <w:sz w:val="24"/>
          <w:szCs w:val="24"/>
        </w:rPr>
        <w:t>Ondansetron</w:t>
      </w:r>
      <w:proofErr w:type="spellEnd"/>
      <w:r w:rsidRPr="00F47ED1">
        <w:rPr>
          <w:sz w:val="24"/>
          <w:szCs w:val="24"/>
        </w:rPr>
        <w:t xml:space="preserve"> blokerer initieringen af denne refleks. Aktivering af </w:t>
      </w:r>
      <w:proofErr w:type="spellStart"/>
      <w:r w:rsidRPr="00F47ED1">
        <w:rPr>
          <w:sz w:val="24"/>
          <w:szCs w:val="24"/>
        </w:rPr>
        <w:t>afferente</w:t>
      </w:r>
      <w:proofErr w:type="spellEnd"/>
      <w:r w:rsidRPr="00F47ED1">
        <w:rPr>
          <w:sz w:val="24"/>
          <w:szCs w:val="24"/>
        </w:rPr>
        <w:t xml:space="preserve"> </w:t>
      </w:r>
      <w:proofErr w:type="spellStart"/>
      <w:r w:rsidRPr="00F47ED1">
        <w:rPr>
          <w:sz w:val="24"/>
          <w:szCs w:val="24"/>
        </w:rPr>
        <w:t>vagusneuroner</w:t>
      </w:r>
      <w:proofErr w:type="spellEnd"/>
      <w:r w:rsidRPr="00F47ED1">
        <w:rPr>
          <w:sz w:val="24"/>
          <w:szCs w:val="24"/>
        </w:rPr>
        <w:t xml:space="preserve"> kan også forårsage frigivelse af 5-HT i </w:t>
      </w:r>
      <w:proofErr w:type="spellStart"/>
      <w:r w:rsidRPr="00F47ED1">
        <w:rPr>
          <w:sz w:val="24"/>
          <w:szCs w:val="24"/>
        </w:rPr>
        <w:t>area</w:t>
      </w:r>
      <w:proofErr w:type="spellEnd"/>
      <w:r w:rsidRPr="00F47ED1">
        <w:rPr>
          <w:sz w:val="24"/>
          <w:szCs w:val="24"/>
        </w:rPr>
        <w:t xml:space="preserve"> </w:t>
      </w:r>
      <w:proofErr w:type="spellStart"/>
      <w:r w:rsidRPr="00F47ED1">
        <w:rPr>
          <w:sz w:val="24"/>
          <w:szCs w:val="24"/>
        </w:rPr>
        <w:t>postrema</w:t>
      </w:r>
      <w:proofErr w:type="spellEnd"/>
      <w:r w:rsidRPr="00F47ED1">
        <w:rPr>
          <w:sz w:val="24"/>
          <w:szCs w:val="24"/>
        </w:rPr>
        <w:t xml:space="preserve"> (lokaliseret i bunden af 4. ventrikel i hjernen), hvilket også kan fremme </w:t>
      </w:r>
      <w:proofErr w:type="spellStart"/>
      <w:r w:rsidRPr="00F47ED1">
        <w:rPr>
          <w:sz w:val="24"/>
          <w:szCs w:val="24"/>
        </w:rPr>
        <w:t>emesis</w:t>
      </w:r>
      <w:proofErr w:type="spellEnd"/>
      <w:r w:rsidRPr="00F47ED1">
        <w:rPr>
          <w:sz w:val="24"/>
          <w:szCs w:val="24"/>
        </w:rPr>
        <w:t xml:space="preserve"> gennem en central mekanisme. Derfor kan virkningen af </w:t>
      </w:r>
      <w:proofErr w:type="spellStart"/>
      <w:r w:rsidRPr="00F47ED1">
        <w:rPr>
          <w:sz w:val="24"/>
          <w:szCs w:val="24"/>
        </w:rPr>
        <w:t>ondansetron</w:t>
      </w:r>
      <w:proofErr w:type="spellEnd"/>
      <w:r w:rsidRPr="00F47ED1">
        <w:rPr>
          <w:sz w:val="24"/>
          <w:szCs w:val="24"/>
        </w:rPr>
        <w:t xml:space="preserve"> ved behandling af kvalme og opkastning forårsaget af </w:t>
      </w:r>
      <w:proofErr w:type="spellStart"/>
      <w:r w:rsidRPr="00F47ED1">
        <w:rPr>
          <w:sz w:val="24"/>
          <w:szCs w:val="24"/>
        </w:rPr>
        <w:t>cytotoksisk</w:t>
      </w:r>
      <w:proofErr w:type="spellEnd"/>
      <w:r w:rsidRPr="00F47ED1">
        <w:rPr>
          <w:sz w:val="24"/>
          <w:szCs w:val="24"/>
        </w:rPr>
        <w:t xml:space="preserve"> kemoterapi og strålebehandling sandsynligvis tilskrives antagonisme af 5-HT3-receptorer på neuroner lokaliseret i såvel det perifere som det centrale nervesystem. Virkningsmekanismen ved postoperativ kvalme og opkastning kendes ikke, men kan være den samme som ved </w:t>
      </w:r>
      <w:proofErr w:type="spellStart"/>
      <w:r w:rsidRPr="00F47ED1">
        <w:rPr>
          <w:sz w:val="24"/>
          <w:szCs w:val="24"/>
        </w:rPr>
        <w:t>cytotoksisk</w:t>
      </w:r>
      <w:proofErr w:type="spellEnd"/>
      <w:r w:rsidRPr="00F47ED1">
        <w:rPr>
          <w:sz w:val="24"/>
          <w:szCs w:val="24"/>
        </w:rPr>
        <w:t xml:space="preserve"> induceret kvalme og opkastning.</w:t>
      </w:r>
    </w:p>
    <w:p w14:paraId="298A5489" w14:textId="77777777" w:rsidR="00D765E0" w:rsidRPr="00F47ED1" w:rsidRDefault="00D765E0" w:rsidP="002D7BEB">
      <w:pPr>
        <w:suppressAutoHyphens/>
        <w:ind w:left="851"/>
        <w:rPr>
          <w:sz w:val="24"/>
          <w:szCs w:val="24"/>
        </w:rPr>
      </w:pPr>
    </w:p>
    <w:p w14:paraId="3AD9D487" w14:textId="77777777" w:rsidR="00D765E0" w:rsidRPr="00F47ED1" w:rsidRDefault="00D765E0" w:rsidP="002D7BEB">
      <w:pPr>
        <w:suppressAutoHyphens/>
        <w:ind w:left="851"/>
        <w:rPr>
          <w:sz w:val="24"/>
          <w:szCs w:val="24"/>
        </w:rPr>
      </w:pPr>
      <w:r w:rsidRPr="00F47ED1">
        <w:rPr>
          <w:sz w:val="24"/>
          <w:szCs w:val="24"/>
        </w:rPr>
        <w:t xml:space="preserve">I et </w:t>
      </w:r>
      <w:proofErr w:type="spellStart"/>
      <w:r w:rsidRPr="00F47ED1">
        <w:rPr>
          <w:sz w:val="24"/>
          <w:szCs w:val="24"/>
        </w:rPr>
        <w:t>farmakopsykologisk</w:t>
      </w:r>
      <w:proofErr w:type="spellEnd"/>
      <w:r w:rsidRPr="00F47ED1">
        <w:rPr>
          <w:sz w:val="24"/>
          <w:szCs w:val="24"/>
        </w:rPr>
        <w:t xml:space="preserve"> studie hos frivillige blev der ikke set nogen sedativ virkning af </w:t>
      </w:r>
      <w:proofErr w:type="spellStart"/>
      <w:r w:rsidRPr="00F47ED1">
        <w:rPr>
          <w:sz w:val="24"/>
          <w:szCs w:val="24"/>
        </w:rPr>
        <w:t>ondansetron</w:t>
      </w:r>
      <w:proofErr w:type="spellEnd"/>
      <w:r w:rsidRPr="00F47ED1">
        <w:rPr>
          <w:sz w:val="24"/>
          <w:szCs w:val="24"/>
        </w:rPr>
        <w:t>.</w:t>
      </w:r>
    </w:p>
    <w:p w14:paraId="51BB00D4" w14:textId="77777777" w:rsidR="00D765E0" w:rsidRPr="00F47ED1" w:rsidRDefault="00D765E0" w:rsidP="002D7BEB">
      <w:pPr>
        <w:suppressAutoHyphens/>
        <w:ind w:left="851"/>
        <w:rPr>
          <w:sz w:val="24"/>
          <w:szCs w:val="24"/>
        </w:rPr>
      </w:pPr>
    </w:p>
    <w:p w14:paraId="0E1BB14A" w14:textId="77777777" w:rsidR="00D765E0" w:rsidRPr="00F47ED1" w:rsidRDefault="00D765E0" w:rsidP="002D7BEB">
      <w:pPr>
        <w:suppressAutoHyphens/>
        <w:ind w:left="851"/>
        <w:rPr>
          <w:sz w:val="24"/>
          <w:szCs w:val="24"/>
        </w:rPr>
      </w:pPr>
      <w:proofErr w:type="spellStart"/>
      <w:r w:rsidRPr="00F47ED1">
        <w:rPr>
          <w:sz w:val="24"/>
          <w:szCs w:val="24"/>
        </w:rPr>
        <w:t>Ondansetron</w:t>
      </w:r>
      <w:proofErr w:type="spellEnd"/>
      <w:r w:rsidRPr="00F47ED1">
        <w:rPr>
          <w:sz w:val="24"/>
          <w:szCs w:val="24"/>
        </w:rPr>
        <w:t xml:space="preserve"> ændrer ikke plasmakoncentrationen af </w:t>
      </w:r>
      <w:proofErr w:type="spellStart"/>
      <w:r w:rsidRPr="00F47ED1">
        <w:rPr>
          <w:sz w:val="24"/>
          <w:szCs w:val="24"/>
        </w:rPr>
        <w:t>prolaktin</w:t>
      </w:r>
      <w:proofErr w:type="spellEnd"/>
      <w:r w:rsidRPr="00F47ED1">
        <w:rPr>
          <w:sz w:val="24"/>
          <w:szCs w:val="24"/>
        </w:rPr>
        <w:t>.</w:t>
      </w:r>
    </w:p>
    <w:p w14:paraId="576D296A" w14:textId="77777777" w:rsidR="00D765E0" w:rsidRPr="00F47ED1" w:rsidRDefault="00D765E0" w:rsidP="002D7BEB">
      <w:pPr>
        <w:suppressAutoHyphens/>
        <w:ind w:left="851"/>
        <w:rPr>
          <w:sz w:val="24"/>
          <w:szCs w:val="24"/>
        </w:rPr>
      </w:pPr>
    </w:p>
    <w:p w14:paraId="11DAB6EE" w14:textId="77777777" w:rsidR="00D765E0" w:rsidRPr="00F47ED1" w:rsidRDefault="00D765E0" w:rsidP="002D7BEB">
      <w:pPr>
        <w:suppressAutoHyphens/>
        <w:ind w:left="851"/>
        <w:rPr>
          <w:sz w:val="24"/>
          <w:szCs w:val="24"/>
        </w:rPr>
      </w:pPr>
      <w:proofErr w:type="spellStart"/>
      <w:r w:rsidRPr="00F47ED1">
        <w:rPr>
          <w:sz w:val="24"/>
          <w:szCs w:val="24"/>
        </w:rPr>
        <w:t>Ondansetrons</w:t>
      </w:r>
      <w:proofErr w:type="spellEnd"/>
      <w:r w:rsidRPr="00F47ED1">
        <w:rPr>
          <w:sz w:val="24"/>
          <w:szCs w:val="24"/>
        </w:rPr>
        <w:t xml:space="preserve"> rolle i forbindelse med opiat-induceret </w:t>
      </w:r>
      <w:proofErr w:type="spellStart"/>
      <w:r w:rsidRPr="00F47ED1">
        <w:rPr>
          <w:sz w:val="24"/>
          <w:szCs w:val="24"/>
        </w:rPr>
        <w:t>emesis</w:t>
      </w:r>
      <w:proofErr w:type="spellEnd"/>
      <w:r w:rsidRPr="00F47ED1">
        <w:rPr>
          <w:sz w:val="24"/>
          <w:szCs w:val="24"/>
        </w:rPr>
        <w:t xml:space="preserve"> er endnu ikke klarlagt.</w:t>
      </w:r>
    </w:p>
    <w:p w14:paraId="0EA87FC3" w14:textId="77777777" w:rsidR="00D765E0" w:rsidRPr="00F47ED1" w:rsidRDefault="00D765E0" w:rsidP="002D7BEB">
      <w:pPr>
        <w:suppressAutoHyphens/>
        <w:ind w:left="851"/>
        <w:rPr>
          <w:bCs/>
          <w:noProof/>
          <w:sz w:val="24"/>
          <w:szCs w:val="24"/>
          <w:u w:val="single"/>
        </w:rPr>
      </w:pPr>
    </w:p>
    <w:p w14:paraId="713A1143" w14:textId="77777777" w:rsidR="00D765E0" w:rsidRPr="00F47ED1" w:rsidRDefault="00D765E0" w:rsidP="002D7BEB">
      <w:pPr>
        <w:suppressAutoHyphens/>
        <w:ind w:left="851"/>
        <w:rPr>
          <w:bCs/>
          <w:noProof/>
          <w:sz w:val="24"/>
          <w:szCs w:val="24"/>
          <w:u w:val="single"/>
        </w:rPr>
      </w:pPr>
      <w:r w:rsidRPr="00F47ED1">
        <w:rPr>
          <w:bCs/>
          <w:noProof/>
          <w:sz w:val="24"/>
          <w:szCs w:val="24"/>
          <w:u w:val="single"/>
        </w:rPr>
        <w:t>Pædiatrisk population</w:t>
      </w:r>
    </w:p>
    <w:p w14:paraId="5BB524BC" w14:textId="77777777" w:rsidR="00D765E0" w:rsidRPr="00F47ED1" w:rsidRDefault="00D765E0" w:rsidP="002D7BEB">
      <w:pPr>
        <w:suppressAutoHyphens/>
        <w:ind w:left="851"/>
        <w:rPr>
          <w:bCs/>
          <w:i/>
          <w:iCs/>
          <w:noProof/>
          <w:sz w:val="24"/>
          <w:szCs w:val="24"/>
        </w:rPr>
      </w:pPr>
      <w:r w:rsidRPr="00F47ED1">
        <w:rPr>
          <w:bCs/>
          <w:i/>
          <w:iCs/>
          <w:noProof/>
          <w:sz w:val="24"/>
          <w:szCs w:val="24"/>
        </w:rPr>
        <w:t>Kvalme og opkastning forårsaget af kemoterapi</w:t>
      </w:r>
    </w:p>
    <w:p w14:paraId="4F4F21A1" w14:textId="77777777" w:rsidR="00D765E0" w:rsidRPr="00F47ED1" w:rsidRDefault="00D765E0" w:rsidP="002D7BEB">
      <w:pPr>
        <w:suppressAutoHyphens/>
        <w:ind w:left="851"/>
        <w:rPr>
          <w:bCs/>
          <w:noProof/>
          <w:sz w:val="24"/>
          <w:szCs w:val="24"/>
        </w:rPr>
      </w:pPr>
      <w:r w:rsidRPr="00F47ED1">
        <w:rPr>
          <w:bCs/>
          <w:noProof/>
          <w:sz w:val="24"/>
          <w:szCs w:val="24"/>
        </w:rPr>
        <w:t>Ondansetrons virkning til kontrol af emesis og kvalme forårsaget af kemoterapi for cancer er blevet vurderet i et dobbeltblindet, randomiseret studie med 415 patienter i alderen 1 til 18 år. På dage med kemoterapi fik patienterne enten 5 mg/m</w:t>
      </w:r>
      <w:r w:rsidRPr="00F47ED1">
        <w:rPr>
          <w:bCs/>
          <w:noProof/>
          <w:sz w:val="24"/>
          <w:szCs w:val="24"/>
          <w:vertAlign w:val="superscript"/>
        </w:rPr>
        <w:t>2</w:t>
      </w:r>
      <w:r w:rsidRPr="00F47ED1">
        <w:rPr>
          <w:bCs/>
          <w:noProof/>
          <w:sz w:val="24"/>
          <w:szCs w:val="24"/>
        </w:rPr>
        <w:t xml:space="preserve"> ondansetron i.v. + 4 mg ondansetron p.o efter 8-12 timer eller 0,45 mg /kg ondansetron i.v. + placebo p.o. efter 8-12 timer. Efter kemoterapien fik begge grupper 4 mg ondansetron i form af syrup to gange dagligt i 3 dage. Komplet kontrol over emesis på den værste dag med kemoterapi var 49 % (5 mg/m</w:t>
      </w:r>
      <w:r w:rsidRPr="00F47ED1">
        <w:rPr>
          <w:bCs/>
          <w:noProof/>
          <w:sz w:val="24"/>
          <w:szCs w:val="24"/>
          <w:vertAlign w:val="superscript"/>
        </w:rPr>
        <w:t>2</w:t>
      </w:r>
      <w:r w:rsidRPr="00F47ED1">
        <w:rPr>
          <w:bCs/>
          <w:noProof/>
          <w:sz w:val="24"/>
          <w:szCs w:val="24"/>
        </w:rPr>
        <w:t xml:space="preserve"> i.v. + ondansetron 4 mg p.o.) og 41 % (0,45 mg/kg i.v. + placebo p.o.). Efter kemoterapien fik begge grupper 4 mg ondansetron i form af syrup to gange dagligt i 3 dage. I et dobbeltblindet, randomiseret, placebokontrolleret studie hos 438 forsøgsdeltagere i alderen 1 til 17 år blev der påvist komplet kontrol over emesis på den værste dag med kemoterapi hos:</w:t>
      </w:r>
    </w:p>
    <w:p w14:paraId="29C9F575" w14:textId="77777777" w:rsidR="00D765E0" w:rsidRPr="00F47ED1" w:rsidRDefault="00D765E0" w:rsidP="002D7BEB">
      <w:pPr>
        <w:pStyle w:val="Listeafsnit"/>
        <w:numPr>
          <w:ilvl w:val="0"/>
          <w:numId w:val="6"/>
        </w:numPr>
        <w:suppressAutoHyphens/>
        <w:ind w:left="1276" w:hanging="425"/>
        <w:rPr>
          <w:bCs/>
          <w:noProof/>
          <w:sz w:val="24"/>
          <w:szCs w:val="24"/>
        </w:rPr>
      </w:pPr>
      <w:r w:rsidRPr="00F47ED1">
        <w:rPr>
          <w:bCs/>
          <w:noProof/>
          <w:sz w:val="24"/>
          <w:szCs w:val="24"/>
        </w:rPr>
        <w:t>73 % af patienterne, når ondansetron blev indgivet intravenøst i en dosis på 5 mg/m</w:t>
      </w:r>
      <w:r w:rsidRPr="00F47ED1">
        <w:rPr>
          <w:bCs/>
          <w:noProof/>
          <w:sz w:val="24"/>
          <w:szCs w:val="24"/>
          <w:vertAlign w:val="superscript"/>
        </w:rPr>
        <w:t>2</w:t>
      </w:r>
      <w:r w:rsidRPr="00F47ED1">
        <w:rPr>
          <w:bCs/>
          <w:noProof/>
          <w:sz w:val="24"/>
          <w:szCs w:val="24"/>
        </w:rPr>
        <w:t xml:space="preserve"> i.v. sammen med 2-4 mg dexamethason p.o. og hos</w:t>
      </w:r>
    </w:p>
    <w:p w14:paraId="43DA466C" w14:textId="77777777" w:rsidR="00D765E0" w:rsidRPr="00F47ED1" w:rsidRDefault="00D765E0" w:rsidP="002D7BEB">
      <w:pPr>
        <w:pStyle w:val="Listeafsnit"/>
        <w:numPr>
          <w:ilvl w:val="0"/>
          <w:numId w:val="6"/>
        </w:numPr>
        <w:suppressAutoHyphens/>
        <w:ind w:left="1276" w:hanging="425"/>
        <w:rPr>
          <w:noProof/>
          <w:sz w:val="24"/>
          <w:szCs w:val="24"/>
        </w:rPr>
      </w:pPr>
      <w:r w:rsidRPr="00F47ED1">
        <w:rPr>
          <w:bCs/>
          <w:noProof/>
          <w:sz w:val="24"/>
          <w:szCs w:val="24"/>
        </w:rPr>
        <w:t>71 % af patienterne, når ondansetron blev indgivet i form af en syrup i en dosis på 8 mg + 2-4 mg dexamethason p.o. på dage med kemoterapi.</w:t>
      </w:r>
    </w:p>
    <w:p w14:paraId="27CC6A90" w14:textId="77777777" w:rsidR="00D765E0" w:rsidRPr="00F47ED1" w:rsidRDefault="00D765E0" w:rsidP="002D7BEB">
      <w:pPr>
        <w:ind w:left="851"/>
        <w:rPr>
          <w:noProof/>
          <w:sz w:val="24"/>
          <w:szCs w:val="24"/>
        </w:rPr>
      </w:pPr>
      <w:r w:rsidRPr="00F47ED1">
        <w:rPr>
          <w:noProof/>
          <w:sz w:val="24"/>
          <w:szCs w:val="24"/>
        </w:rPr>
        <w:t>Efter kemoterapien fik begge grupper 4 mg ondansetron i form af syrup to gange dagligt i 2 dage. Ondansetrons virkning hos 75 børn i alderen 6 til 48 måneder er blevet undersøgt i et ublindet, ikke-komparativt enkeltarmsstudie. Alle børnene fik tre intravenøse doser ondansetron på 0,15 mg/kg, som blev indgivet henholdsvis 30 minutter før igangsættelse af kemoterapi og fire og otte timer efter den første dosis. Der blev opnået komplet kontrol over emesis hos 56 % af patienterne.</w:t>
      </w:r>
    </w:p>
    <w:p w14:paraId="6820DB2B" w14:textId="77777777" w:rsidR="00D765E0" w:rsidRPr="00F47ED1" w:rsidRDefault="00D765E0" w:rsidP="002D7BEB">
      <w:pPr>
        <w:ind w:left="851"/>
        <w:rPr>
          <w:noProof/>
          <w:sz w:val="24"/>
          <w:szCs w:val="24"/>
        </w:rPr>
      </w:pPr>
    </w:p>
    <w:p w14:paraId="4F84FE0D" w14:textId="415DE3ED" w:rsidR="00D765E0" w:rsidRPr="00F47ED1" w:rsidRDefault="00D765E0" w:rsidP="002D7BEB">
      <w:pPr>
        <w:ind w:left="851"/>
        <w:rPr>
          <w:noProof/>
          <w:sz w:val="24"/>
          <w:szCs w:val="24"/>
        </w:rPr>
      </w:pPr>
      <w:r w:rsidRPr="00F47ED1">
        <w:rPr>
          <w:noProof/>
          <w:sz w:val="24"/>
          <w:szCs w:val="24"/>
        </w:rPr>
        <w:t>Virkningen af én intravenøs dosis på 0,15 mg/kg ondansetron efterfulgt af to ondansetron</w:t>
      </w:r>
      <w:r w:rsidR="009A7292">
        <w:rPr>
          <w:noProof/>
          <w:sz w:val="24"/>
          <w:szCs w:val="24"/>
        </w:rPr>
        <w:softHyphen/>
      </w:r>
      <w:r w:rsidRPr="00F47ED1">
        <w:rPr>
          <w:noProof/>
          <w:sz w:val="24"/>
          <w:szCs w:val="24"/>
        </w:rPr>
        <w:t>doser på 4 mg hos børn i alderen 12 år og 8 mg hos børn i alderen ≥ 12 år (antal børn i</w:t>
      </w:r>
      <w:r w:rsidR="009A7292">
        <w:rPr>
          <w:noProof/>
          <w:sz w:val="24"/>
          <w:szCs w:val="24"/>
        </w:rPr>
        <w:t> </w:t>
      </w:r>
      <w:r w:rsidRPr="00F47ED1">
        <w:rPr>
          <w:noProof/>
          <w:sz w:val="24"/>
          <w:szCs w:val="24"/>
        </w:rPr>
        <w:t>alt</w:t>
      </w:r>
      <w:r w:rsidR="009A7292">
        <w:rPr>
          <w:noProof/>
          <w:sz w:val="24"/>
          <w:szCs w:val="24"/>
        </w:rPr>
        <w:t> </w:t>
      </w:r>
      <w:r w:rsidRPr="00F47ED1">
        <w:rPr>
          <w:noProof/>
          <w:sz w:val="24"/>
          <w:szCs w:val="24"/>
        </w:rPr>
        <w:t>=</w:t>
      </w:r>
      <w:r w:rsidR="009A7292">
        <w:rPr>
          <w:noProof/>
          <w:sz w:val="24"/>
          <w:szCs w:val="24"/>
        </w:rPr>
        <w:t> </w:t>
      </w:r>
      <w:r w:rsidRPr="00F47ED1">
        <w:rPr>
          <w:noProof/>
          <w:sz w:val="24"/>
          <w:szCs w:val="24"/>
        </w:rPr>
        <w:t>28) er blevet undersøgt i et andet ublindet, ikke-komparativt enkeltarmsstudie. Der blev opnået komplet kontrol over emesis hos 42 % af patienterne.</w:t>
      </w:r>
    </w:p>
    <w:p w14:paraId="3C13151C" w14:textId="77777777" w:rsidR="00D765E0" w:rsidRPr="00F47ED1" w:rsidRDefault="00D765E0" w:rsidP="002D7BEB">
      <w:pPr>
        <w:suppressAutoHyphens/>
        <w:ind w:left="851"/>
        <w:rPr>
          <w:noProof/>
          <w:sz w:val="24"/>
          <w:szCs w:val="24"/>
        </w:rPr>
      </w:pPr>
    </w:p>
    <w:p w14:paraId="431DAB96" w14:textId="77777777" w:rsidR="00D765E0" w:rsidRPr="00F47ED1" w:rsidRDefault="00D765E0" w:rsidP="002D7BEB">
      <w:pPr>
        <w:suppressAutoHyphens/>
        <w:ind w:left="851"/>
        <w:rPr>
          <w:i/>
          <w:noProof/>
          <w:sz w:val="24"/>
          <w:szCs w:val="24"/>
        </w:rPr>
      </w:pPr>
      <w:r w:rsidRPr="00F47ED1">
        <w:rPr>
          <w:i/>
          <w:noProof/>
          <w:sz w:val="24"/>
          <w:szCs w:val="24"/>
        </w:rPr>
        <w:lastRenderedPageBreak/>
        <w:t xml:space="preserve">Profylakse af postoperativ kvalme og opkastning. </w:t>
      </w:r>
    </w:p>
    <w:p w14:paraId="644C8038" w14:textId="77777777" w:rsidR="00D765E0" w:rsidRPr="00F47ED1" w:rsidRDefault="00D765E0" w:rsidP="002D7BEB">
      <w:pPr>
        <w:suppressAutoHyphens/>
        <w:ind w:left="851"/>
        <w:rPr>
          <w:iCs/>
          <w:noProof/>
          <w:sz w:val="24"/>
          <w:szCs w:val="24"/>
        </w:rPr>
      </w:pPr>
      <w:r w:rsidRPr="00F47ED1">
        <w:rPr>
          <w:iCs/>
          <w:noProof/>
          <w:sz w:val="24"/>
          <w:szCs w:val="24"/>
        </w:rPr>
        <w:t>Virkningen af en enkelt dosis ondansetron til profylakse af postoperativ kvalme og opkastning er blevet undersøgt i et randomiseret, dobbeltblindet, placebokontrolleret studie hos 670 børn i alderen 1 til 24 måneder (postkonceptionsalder ≥ 44 uger, vægt ≥ 3 kg). De inkluderede forsøgsdeltagere var planlagt til elektiv kirurgi under generel anæstesi og havde en ASA-status ≤ III. Der blev indgivet en enkelt dosis ondansetron på 0,1 mg/kg inden for fem minutter efter induktion af anæstesi. Andelen af forsøgsdeltagere, der oplevede mindst én emetisk episode i løbet af vurderingsperioden på 24 timer (ITT), var højere i placebogruppen end i ondansetrongruppen (28 % vs. 11 %, p = 0,0001).</w:t>
      </w:r>
    </w:p>
    <w:p w14:paraId="3ABD93F0" w14:textId="77777777" w:rsidR="009260DE" w:rsidRPr="00F47ED1" w:rsidRDefault="009260DE" w:rsidP="009260DE">
      <w:pPr>
        <w:tabs>
          <w:tab w:val="left" w:pos="851"/>
        </w:tabs>
        <w:ind w:left="851"/>
        <w:rPr>
          <w:sz w:val="24"/>
          <w:szCs w:val="24"/>
        </w:rPr>
      </w:pPr>
    </w:p>
    <w:p w14:paraId="15E1261F" w14:textId="77777777" w:rsidR="009260DE" w:rsidRPr="00F47ED1" w:rsidRDefault="009260DE" w:rsidP="009260DE">
      <w:pPr>
        <w:tabs>
          <w:tab w:val="left" w:pos="851"/>
        </w:tabs>
        <w:ind w:left="851" w:hanging="851"/>
        <w:rPr>
          <w:b/>
          <w:sz w:val="24"/>
          <w:szCs w:val="24"/>
        </w:rPr>
      </w:pPr>
      <w:r w:rsidRPr="00F47ED1">
        <w:rPr>
          <w:b/>
          <w:sz w:val="24"/>
          <w:szCs w:val="24"/>
        </w:rPr>
        <w:t>5.2</w:t>
      </w:r>
      <w:r w:rsidRPr="00F47ED1">
        <w:rPr>
          <w:b/>
          <w:sz w:val="24"/>
          <w:szCs w:val="24"/>
        </w:rPr>
        <w:tab/>
      </w:r>
      <w:proofErr w:type="spellStart"/>
      <w:r w:rsidRPr="00F47ED1">
        <w:rPr>
          <w:b/>
          <w:sz w:val="24"/>
          <w:szCs w:val="24"/>
        </w:rPr>
        <w:t>Farmakokinetiske</w:t>
      </w:r>
      <w:proofErr w:type="spellEnd"/>
      <w:r w:rsidRPr="00F47ED1">
        <w:rPr>
          <w:b/>
          <w:sz w:val="24"/>
          <w:szCs w:val="24"/>
        </w:rPr>
        <w:t xml:space="preserve"> egenskaber</w:t>
      </w:r>
    </w:p>
    <w:p w14:paraId="10D52562" w14:textId="77777777" w:rsidR="00876BAE" w:rsidRDefault="00876BAE" w:rsidP="002D7BEB">
      <w:pPr>
        <w:ind w:left="851"/>
        <w:rPr>
          <w:sz w:val="24"/>
          <w:szCs w:val="24"/>
          <w:u w:val="single"/>
        </w:rPr>
      </w:pPr>
    </w:p>
    <w:p w14:paraId="604F488F" w14:textId="42D56D76" w:rsidR="00465EAD" w:rsidRPr="00F47ED1" w:rsidRDefault="00465EAD" w:rsidP="002D7BEB">
      <w:pPr>
        <w:ind w:left="851"/>
        <w:rPr>
          <w:sz w:val="24"/>
          <w:szCs w:val="24"/>
          <w:u w:val="single"/>
        </w:rPr>
      </w:pPr>
      <w:r w:rsidRPr="00F47ED1">
        <w:rPr>
          <w:sz w:val="24"/>
          <w:szCs w:val="24"/>
          <w:u w:val="single"/>
        </w:rPr>
        <w:t>Absorption</w:t>
      </w:r>
    </w:p>
    <w:p w14:paraId="5C9F8CC9" w14:textId="77777777" w:rsidR="00465EAD" w:rsidRPr="00F47ED1" w:rsidRDefault="00465EAD" w:rsidP="002D7BEB">
      <w:pPr>
        <w:ind w:left="851"/>
        <w:rPr>
          <w:sz w:val="24"/>
          <w:szCs w:val="24"/>
        </w:rPr>
      </w:pPr>
      <w:r w:rsidRPr="00F47ED1">
        <w:rPr>
          <w:sz w:val="24"/>
          <w:szCs w:val="24"/>
        </w:rPr>
        <w:t xml:space="preserve">Efter oral administration absorberes </w:t>
      </w:r>
      <w:proofErr w:type="spellStart"/>
      <w:r w:rsidRPr="00F47ED1">
        <w:rPr>
          <w:sz w:val="24"/>
          <w:szCs w:val="24"/>
        </w:rPr>
        <w:t>ondansetron</w:t>
      </w:r>
      <w:proofErr w:type="spellEnd"/>
      <w:r w:rsidRPr="00F47ED1">
        <w:rPr>
          <w:sz w:val="24"/>
          <w:szCs w:val="24"/>
        </w:rPr>
        <w:t xml:space="preserve"> passivt og fuldstændigt fra mave-tarm-kanalen og gennemgår førstepassage-metabolisme (biotilgængeligheden er cirka 60 %). Den maksimale plasmakoncentration er cirka 30 </w:t>
      </w:r>
      <w:proofErr w:type="spellStart"/>
      <w:r w:rsidRPr="00F47ED1">
        <w:rPr>
          <w:sz w:val="24"/>
          <w:szCs w:val="24"/>
        </w:rPr>
        <w:t>ng</w:t>
      </w:r>
      <w:proofErr w:type="spellEnd"/>
      <w:r w:rsidRPr="00F47ED1">
        <w:rPr>
          <w:sz w:val="24"/>
          <w:szCs w:val="24"/>
        </w:rPr>
        <w:t xml:space="preserve">/ml og opnås cirka 1,5 time efter en dosis på 8 mg. Ved doser over 8 mg er stigningen i den systemiske eksponering for </w:t>
      </w:r>
      <w:proofErr w:type="spellStart"/>
      <w:r w:rsidRPr="00F47ED1">
        <w:rPr>
          <w:sz w:val="24"/>
          <w:szCs w:val="24"/>
        </w:rPr>
        <w:t>ondansetron</w:t>
      </w:r>
      <w:proofErr w:type="spellEnd"/>
      <w:r w:rsidRPr="00F47ED1">
        <w:rPr>
          <w:sz w:val="24"/>
          <w:szCs w:val="24"/>
        </w:rPr>
        <w:t xml:space="preserve"> højere end dosisproportional; dette kan skyldes en vis reduktion i førstepassage-metabolismen ved højere orale doser. Biotilgængeligheden efter oral administration øges let ved tilstedeværelse af føde, men påvirkes ikke af </w:t>
      </w:r>
      <w:proofErr w:type="spellStart"/>
      <w:r w:rsidRPr="00F47ED1">
        <w:rPr>
          <w:sz w:val="24"/>
          <w:szCs w:val="24"/>
        </w:rPr>
        <w:t>antacida</w:t>
      </w:r>
      <w:proofErr w:type="spellEnd"/>
      <w:r w:rsidRPr="00F47ED1">
        <w:rPr>
          <w:sz w:val="24"/>
          <w:szCs w:val="24"/>
        </w:rPr>
        <w:t xml:space="preserve">. Studier hos raske ældre frivillige har vist en let, men klinisk ikke-signifikant, aldersrelateret stigning i både den orale biotilgængelighed (65 %) og halveringstiden (5 timer) af </w:t>
      </w:r>
      <w:proofErr w:type="spellStart"/>
      <w:r w:rsidRPr="00F47ED1">
        <w:rPr>
          <w:sz w:val="24"/>
          <w:szCs w:val="24"/>
        </w:rPr>
        <w:t>ondansetron</w:t>
      </w:r>
      <w:proofErr w:type="spellEnd"/>
      <w:r w:rsidRPr="00F47ED1">
        <w:rPr>
          <w:sz w:val="24"/>
          <w:szCs w:val="24"/>
        </w:rPr>
        <w:t xml:space="preserve">. Der blev påvist kønsrelaterede forskelle i fordelingen af </w:t>
      </w:r>
      <w:proofErr w:type="spellStart"/>
      <w:r w:rsidRPr="00F47ED1">
        <w:rPr>
          <w:sz w:val="24"/>
          <w:szCs w:val="24"/>
        </w:rPr>
        <w:t>ondansetron</w:t>
      </w:r>
      <w:proofErr w:type="spellEnd"/>
      <w:r w:rsidRPr="00F47ED1">
        <w:rPr>
          <w:sz w:val="24"/>
          <w:szCs w:val="24"/>
        </w:rPr>
        <w:t xml:space="preserve">, idet der hos kvinder blev set øget absorptionshastighed og -omfang efter en oral dosis og reduceret systemisk </w:t>
      </w:r>
      <w:proofErr w:type="spellStart"/>
      <w:r w:rsidRPr="00F47ED1">
        <w:rPr>
          <w:sz w:val="24"/>
          <w:szCs w:val="24"/>
        </w:rPr>
        <w:t>clearance</w:t>
      </w:r>
      <w:proofErr w:type="spellEnd"/>
      <w:r w:rsidRPr="00F47ED1">
        <w:rPr>
          <w:sz w:val="24"/>
          <w:szCs w:val="24"/>
        </w:rPr>
        <w:t xml:space="preserve"> og fordelingsvolumen (justeret for vægt).</w:t>
      </w:r>
    </w:p>
    <w:p w14:paraId="6FE8D801" w14:textId="77777777" w:rsidR="00465EAD" w:rsidRPr="00F47ED1" w:rsidRDefault="00465EAD" w:rsidP="002D7BEB">
      <w:pPr>
        <w:ind w:left="851"/>
        <w:rPr>
          <w:sz w:val="24"/>
          <w:szCs w:val="24"/>
          <w:u w:val="single"/>
        </w:rPr>
      </w:pPr>
    </w:p>
    <w:p w14:paraId="52B38829" w14:textId="77777777" w:rsidR="00465EAD" w:rsidRPr="00F47ED1" w:rsidRDefault="00465EAD" w:rsidP="002D7BEB">
      <w:pPr>
        <w:ind w:left="851"/>
        <w:rPr>
          <w:sz w:val="24"/>
          <w:szCs w:val="24"/>
          <w:u w:val="single"/>
        </w:rPr>
      </w:pPr>
      <w:r w:rsidRPr="00F47ED1">
        <w:rPr>
          <w:noProof/>
          <w:sz w:val="24"/>
          <w:szCs w:val="24"/>
          <w:u w:val="single"/>
        </w:rPr>
        <w:t>Fordeling</w:t>
      </w:r>
    </w:p>
    <w:p w14:paraId="4C7B7904" w14:textId="77777777" w:rsidR="00465EAD" w:rsidRPr="00F47ED1" w:rsidRDefault="00465EAD" w:rsidP="002D7BEB">
      <w:pPr>
        <w:ind w:left="851"/>
        <w:rPr>
          <w:sz w:val="24"/>
          <w:szCs w:val="24"/>
        </w:rPr>
      </w:pPr>
      <w:r w:rsidRPr="00F47ED1">
        <w:rPr>
          <w:sz w:val="24"/>
          <w:szCs w:val="24"/>
        </w:rPr>
        <w:t xml:space="preserve">Fordelingen af </w:t>
      </w:r>
      <w:proofErr w:type="spellStart"/>
      <w:r w:rsidRPr="00F47ED1">
        <w:rPr>
          <w:sz w:val="24"/>
          <w:szCs w:val="24"/>
        </w:rPr>
        <w:t>ondansetron</w:t>
      </w:r>
      <w:proofErr w:type="spellEnd"/>
      <w:r w:rsidRPr="00F47ED1">
        <w:rPr>
          <w:sz w:val="24"/>
          <w:szCs w:val="24"/>
        </w:rPr>
        <w:t xml:space="preserve"> er den samme efter oral, intramuskulær (</w:t>
      </w:r>
      <w:proofErr w:type="spellStart"/>
      <w:r w:rsidRPr="00F47ED1">
        <w:rPr>
          <w:sz w:val="24"/>
          <w:szCs w:val="24"/>
        </w:rPr>
        <w:t>i.m</w:t>
      </w:r>
      <w:proofErr w:type="spellEnd"/>
      <w:r w:rsidRPr="00F47ED1">
        <w:rPr>
          <w:sz w:val="24"/>
          <w:szCs w:val="24"/>
        </w:rPr>
        <w:t>.) og intravenøs (</w:t>
      </w:r>
      <w:proofErr w:type="spellStart"/>
      <w:r w:rsidRPr="00F47ED1">
        <w:rPr>
          <w:sz w:val="24"/>
          <w:szCs w:val="24"/>
        </w:rPr>
        <w:t>i.v</w:t>
      </w:r>
      <w:proofErr w:type="spellEnd"/>
      <w:r w:rsidRPr="00F47ED1">
        <w:rPr>
          <w:sz w:val="24"/>
          <w:szCs w:val="24"/>
        </w:rPr>
        <w:t xml:space="preserve">.) dosering med en terminal halveringstid på cirka 3 timer og et fordelingsvolumen ved </w:t>
      </w:r>
      <w:proofErr w:type="spellStart"/>
      <w:r w:rsidRPr="00F47ED1">
        <w:rPr>
          <w:sz w:val="24"/>
          <w:szCs w:val="24"/>
        </w:rPr>
        <w:t>steady</w:t>
      </w:r>
      <w:proofErr w:type="spellEnd"/>
      <w:r w:rsidRPr="00F47ED1">
        <w:rPr>
          <w:sz w:val="24"/>
          <w:szCs w:val="24"/>
        </w:rPr>
        <w:t xml:space="preserve"> </w:t>
      </w:r>
      <w:proofErr w:type="spellStart"/>
      <w:r w:rsidRPr="00F47ED1">
        <w:rPr>
          <w:sz w:val="24"/>
          <w:szCs w:val="24"/>
        </w:rPr>
        <w:t>state</w:t>
      </w:r>
      <w:proofErr w:type="spellEnd"/>
      <w:r w:rsidRPr="00F47ED1">
        <w:rPr>
          <w:sz w:val="24"/>
          <w:szCs w:val="24"/>
        </w:rPr>
        <w:t xml:space="preserve"> på cirka 140 l. Der opnås den samme systemiske eksponering efter </w:t>
      </w:r>
      <w:proofErr w:type="spellStart"/>
      <w:r w:rsidRPr="00F47ED1">
        <w:rPr>
          <w:sz w:val="24"/>
          <w:szCs w:val="24"/>
        </w:rPr>
        <w:t>i.m</w:t>
      </w:r>
      <w:proofErr w:type="spellEnd"/>
      <w:r w:rsidRPr="00F47ED1">
        <w:rPr>
          <w:sz w:val="24"/>
          <w:szCs w:val="24"/>
        </w:rPr>
        <w:t xml:space="preserve">. og </w:t>
      </w:r>
      <w:proofErr w:type="spellStart"/>
      <w:r w:rsidRPr="00F47ED1">
        <w:rPr>
          <w:sz w:val="24"/>
          <w:szCs w:val="24"/>
        </w:rPr>
        <w:t>i.v</w:t>
      </w:r>
      <w:proofErr w:type="spellEnd"/>
      <w:r w:rsidRPr="00F47ED1">
        <w:rPr>
          <w:sz w:val="24"/>
          <w:szCs w:val="24"/>
        </w:rPr>
        <w:t xml:space="preserve">. administration af </w:t>
      </w:r>
      <w:proofErr w:type="spellStart"/>
      <w:r w:rsidRPr="00F47ED1">
        <w:rPr>
          <w:sz w:val="24"/>
          <w:szCs w:val="24"/>
        </w:rPr>
        <w:t>ondansetron</w:t>
      </w:r>
      <w:proofErr w:type="spellEnd"/>
      <w:r w:rsidRPr="00F47ED1">
        <w:rPr>
          <w:sz w:val="24"/>
          <w:szCs w:val="24"/>
        </w:rPr>
        <w:t>.</w:t>
      </w:r>
    </w:p>
    <w:p w14:paraId="37DE6C6A" w14:textId="77777777" w:rsidR="00465EAD" w:rsidRPr="00F47ED1" w:rsidRDefault="00465EAD" w:rsidP="002D7BEB">
      <w:pPr>
        <w:ind w:left="851"/>
        <w:rPr>
          <w:sz w:val="24"/>
          <w:szCs w:val="24"/>
        </w:rPr>
      </w:pPr>
    </w:p>
    <w:p w14:paraId="6AF1EFCD" w14:textId="77777777" w:rsidR="00465EAD" w:rsidRPr="00F47ED1" w:rsidRDefault="00465EAD" w:rsidP="002D7BEB">
      <w:pPr>
        <w:ind w:left="851"/>
        <w:rPr>
          <w:sz w:val="24"/>
          <w:szCs w:val="24"/>
          <w:u w:val="single"/>
        </w:rPr>
      </w:pPr>
      <w:r w:rsidRPr="00F47ED1">
        <w:rPr>
          <w:sz w:val="24"/>
          <w:szCs w:val="24"/>
          <w:u w:val="single"/>
        </w:rPr>
        <w:t>Biotransformation</w:t>
      </w:r>
    </w:p>
    <w:p w14:paraId="5E898EBF" w14:textId="77777777" w:rsidR="00465EAD" w:rsidRPr="00F47ED1" w:rsidRDefault="00465EAD" w:rsidP="002D7BEB">
      <w:pPr>
        <w:ind w:left="851"/>
        <w:rPr>
          <w:sz w:val="24"/>
          <w:szCs w:val="24"/>
        </w:rPr>
      </w:pPr>
      <w:proofErr w:type="spellStart"/>
      <w:r w:rsidRPr="00F47ED1">
        <w:rPr>
          <w:sz w:val="24"/>
          <w:szCs w:val="24"/>
        </w:rPr>
        <w:t>Ondansetrons</w:t>
      </w:r>
      <w:proofErr w:type="spellEnd"/>
      <w:r w:rsidRPr="00F47ED1">
        <w:rPr>
          <w:sz w:val="24"/>
          <w:szCs w:val="24"/>
        </w:rPr>
        <w:t xml:space="preserve"> proteinbindingsgrad er 70-76 %. En direkte virkning af plasmakoncentration og </w:t>
      </w:r>
      <w:proofErr w:type="spellStart"/>
      <w:r w:rsidRPr="00F47ED1">
        <w:rPr>
          <w:sz w:val="24"/>
          <w:szCs w:val="24"/>
        </w:rPr>
        <w:t>antiemetisk</w:t>
      </w:r>
      <w:proofErr w:type="spellEnd"/>
      <w:r w:rsidRPr="00F47ED1">
        <w:rPr>
          <w:sz w:val="24"/>
          <w:szCs w:val="24"/>
        </w:rPr>
        <w:t xml:space="preserve"> virkning er ikke klarlagt. </w:t>
      </w:r>
      <w:proofErr w:type="spellStart"/>
      <w:r w:rsidRPr="00F47ED1">
        <w:rPr>
          <w:sz w:val="24"/>
          <w:szCs w:val="24"/>
        </w:rPr>
        <w:t>Ondansetrons</w:t>
      </w:r>
      <w:proofErr w:type="spellEnd"/>
      <w:r w:rsidRPr="00F47ED1">
        <w:rPr>
          <w:sz w:val="24"/>
          <w:szCs w:val="24"/>
        </w:rPr>
        <w:t xml:space="preserve"> </w:t>
      </w:r>
      <w:proofErr w:type="spellStart"/>
      <w:r w:rsidRPr="00F47ED1">
        <w:rPr>
          <w:sz w:val="24"/>
          <w:szCs w:val="24"/>
        </w:rPr>
        <w:t>clearance</w:t>
      </w:r>
      <w:proofErr w:type="spellEnd"/>
      <w:r w:rsidRPr="00F47ED1">
        <w:rPr>
          <w:sz w:val="24"/>
          <w:szCs w:val="24"/>
        </w:rPr>
        <w:t xml:space="preserve"> fra det systemiske kredsløb sker primært ved </w:t>
      </w:r>
      <w:proofErr w:type="spellStart"/>
      <w:r w:rsidRPr="00F47ED1">
        <w:rPr>
          <w:sz w:val="24"/>
          <w:szCs w:val="24"/>
        </w:rPr>
        <w:t>hepatisk</w:t>
      </w:r>
      <w:proofErr w:type="spellEnd"/>
      <w:r w:rsidRPr="00F47ED1">
        <w:rPr>
          <w:sz w:val="24"/>
          <w:szCs w:val="24"/>
        </w:rPr>
        <w:t xml:space="preserve"> metabolisme via flere forskellige enzymer. Mindre end 5 % af den absorberede dosis udskilles </w:t>
      </w:r>
      <w:proofErr w:type="spellStart"/>
      <w:r w:rsidRPr="00F47ED1">
        <w:rPr>
          <w:sz w:val="24"/>
          <w:szCs w:val="24"/>
        </w:rPr>
        <w:t>uomdannet</w:t>
      </w:r>
      <w:proofErr w:type="spellEnd"/>
      <w:r w:rsidRPr="00F47ED1">
        <w:rPr>
          <w:sz w:val="24"/>
          <w:szCs w:val="24"/>
        </w:rPr>
        <w:t xml:space="preserve"> via urinen. Fravær af enzym CYP2D6 har ingen indvirkning på </w:t>
      </w:r>
      <w:proofErr w:type="spellStart"/>
      <w:r w:rsidRPr="00F47ED1">
        <w:rPr>
          <w:sz w:val="24"/>
          <w:szCs w:val="24"/>
        </w:rPr>
        <w:t>ondansetrons</w:t>
      </w:r>
      <w:proofErr w:type="spellEnd"/>
      <w:r w:rsidRPr="00F47ED1">
        <w:rPr>
          <w:sz w:val="24"/>
          <w:szCs w:val="24"/>
        </w:rPr>
        <w:t xml:space="preserve"> farmakokinetik. </w:t>
      </w:r>
      <w:proofErr w:type="spellStart"/>
      <w:r w:rsidRPr="00F47ED1">
        <w:rPr>
          <w:sz w:val="24"/>
          <w:szCs w:val="24"/>
        </w:rPr>
        <w:t>Ondansetrons</w:t>
      </w:r>
      <w:proofErr w:type="spellEnd"/>
      <w:r w:rsidRPr="00F47ED1">
        <w:rPr>
          <w:sz w:val="24"/>
          <w:szCs w:val="24"/>
        </w:rPr>
        <w:t xml:space="preserve"> </w:t>
      </w:r>
      <w:proofErr w:type="spellStart"/>
      <w:r w:rsidRPr="00F47ED1">
        <w:rPr>
          <w:sz w:val="24"/>
          <w:szCs w:val="24"/>
        </w:rPr>
        <w:t>farmakokinetiske</w:t>
      </w:r>
      <w:proofErr w:type="spellEnd"/>
      <w:r w:rsidRPr="00F47ED1">
        <w:rPr>
          <w:sz w:val="24"/>
          <w:szCs w:val="24"/>
        </w:rPr>
        <w:t xml:space="preserve"> egenskaber er uændrede ved gentagen dosering.</w:t>
      </w:r>
    </w:p>
    <w:p w14:paraId="5E361837" w14:textId="77777777" w:rsidR="00465EAD" w:rsidRPr="00F47ED1" w:rsidRDefault="00465EAD" w:rsidP="002D7BEB">
      <w:pPr>
        <w:ind w:left="851"/>
        <w:rPr>
          <w:sz w:val="24"/>
          <w:szCs w:val="24"/>
        </w:rPr>
      </w:pPr>
    </w:p>
    <w:p w14:paraId="5C4BE639" w14:textId="77777777" w:rsidR="00465EAD" w:rsidRPr="00F47ED1" w:rsidRDefault="00465EAD" w:rsidP="002D7BEB">
      <w:pPr>
        <w:ind w:left="851"/>
        <w:rPr>
          <w:sz w:val="24"/>
          <w:szCs w:val="24"/>
        </w:rPr>
      </w:pPr>
      <w:r w:rsidRPr="00F47ED1">
        <w:rPr>
          <w:sz w:val="24"/>
          <w:szCs w:val="24"/>
        </w:rPr>
        <w:t xml:space="preserve">I et studie hos 21 pædiatriske patienter i alderen 3-12 år, der gennemgik </w:t>
      </w:r>
      <w:proofErr w:type="spellStart"/>
      <w:r w:rsidRPr="00F47ED1">
        <w:rPr>
          <w:sz w:val="24"/>
          <w:szCs w:val="24"/>
        </w:rPr>
        <w:t>elektiv</w:t>
      </w:r>
      <w:proofErr w:type="spellEnd"/>
      <w:r w:rsidRPr="00F47ED1">
        <w:rPr>
          <w:sz w:val="24"/>
          <w:szCs w:val="24"/>
        </w:rPr>
        <w:t xml:space="preserve"> kirurgi med generel anæstesi, blev der set reducerede absolutte værdier for </w:t>
      </w:r>
      <w:proofErr w:type="spellStart"/>
      <w:r w:rsidRPr="00F47ED1">
        <w:rPr>
          <w:sz w:val="24"/>
          <w:szCs w:val="24"/>
        </w:rPr>
        <w:t>ondansetrons</w:t>
      </w:r>
      <w:proofErr w:type="spellEnd"/>
      <w:r w:rsidRPr="00F47ED1">
        <w:rPr>
          <w:sz w:val="24"/>
          <w:szCs w:val="24"/>
        </w:rPr>
        <w:t xml:space="preserve"> </w:t>
      </w:r>
      <w:proofErr w:type="spellStart"/>
      <w:r w:rsidRPr="00F47ED1">
        <w:rPr>
          <w:sz w:val="24"/>
          <w:szCs w:val="24"/>
        </w:rPr>
        <w:t>clearance</w:t>
      </w:r>
      <w:proofErr w:type="spellEnd"/>
      <w:r w:rsidRPr="00F47ED1">
        <w:rPr>
          <w:sz w:val="24"/>
          <w:szCs w:val="24"/>
        </w:rPr>
        <w:t xml:space="preserve"> og fordelingsvolumen efter en enkelt intravenøs dosis på 2 mg (alder 3-7 år) eller 4 mg (alder 8-12 år). Variationens omfang var aldersrelateret, idet </w:t>
      </w:r>
      <w:proofErr w:type="spellStart"/>
      <w:r w:rsidRPr="00F47ED1">
        <w:rPr>
          <w:sz w:val="24"/>
          <w:szCs w:val="24"/>
        </w:rPr>
        <w:t>clearance</w:t>
      </w:r>
      <w:proofErr w:type="spellEnd"/>
      <w:r w:rsidRPr="00F47ED1">
        <w:rPr>
          <w:sz w:val="24"/>
          <w:szCs w:val="24"/>
        </w:rPr>
        <w:t xml:space="preserve"> var reduceret fra cirka 300 ml/min ved 12-årsalderen til 100 ml/min ved 3-årsalderen. Fordelingsvoluminet var reduceret fra cirka 75 l ved 12-årsalderen til 17 l ved 3-årsalderen. Brug af vægtbaseret dosering (0,1 mg/kg, op til højst 4 mg) kompenserer for disse variationer og normaliserer den systemiske eksponering hos pædiatriske patienter. </w:t>
      </w:r>
    </w:p>
    <w:p w14:paraId="66CBF64A" w14:textId="4958035C" w:rsidR="001F24CF" w:rsidRDefault="001F24CF">
      <w:pPr>
        <w:rPr>
          <w:sz w:val="24"/>
          <w:szCs w:val="24"/>
          <w:u w:val="single"/>
        </w:rPr>
      </w:pPr>
      <w:r>
        <w:rPr>
          <w:sz w:val="24"/>
          <w:szCs w:val="24"/>
          <w:u w:val="single"/>
        </w:rPr>
        <w:br w:type="page"/>
      </w:r>
    </w:p>
    <w:p w14:paraId="5085B730" w14:textId="77777777" w:rsidR="00465EAD" w:rsidRPr="00F47ED1" w:rsidRDefault="00465EAD" w:rsidP="002D7BEB">
      <w:pPr>
        <w:ind w:left="851"/>
        <w:rPr>
          <w:sz w:val="24"/>
          <w:szCs w:val="24"/>
          <w:u w:val="single"/>
        </w:rPr>
      </w:pPr>
    </w:p>
    <w:p w14:paraId="39B47011" w14:textId="77777777" w:rsidR="00465EAD" w:rsidRPr="00F47ED1" w:rsidRDefault="00465EAD" w:rsidP="002D7BEB">
      <w:pPr>
        <w:ind w:left="851"/>
        <w:rPr>
          <w:sz w:val="24"/>
          <w:szCs w:val="24"/>
          <w:u w:val="single"/>
        </w:rPr>
      </w:pPr>
      <w:r w:rsidRPr="00F47ED1">
        <w:rPr>
          <w:sz w:val="24"/>
          <w:szCs w:val="24"/>
          <w:u w:val="single"/>
        </w:rPr>
        <w:t>Elimination</w:t>
      </w:r>
    </w:p>
    <w:p w14:paraId="5A3C0754" w14:textId="77777777" w:rsidR="00465EAD" w:rsidRPr="00F47ED1" w:rsidRDefault="00465EAD" w:rsidP="002D7BEB">
      <w:pPr>
        <w:ind w:left="851"/>
        <w:rPr>
          <w:sz w:val="24"/>
          <w:szCs w:val="24"/>
        </w:rPr>
      </w:pPr>
      <w:r w:rsidRPr="00F47ED1">
        <w:rPr>
          <w:sz w:val="24"/>
          <w:szCs w:val="24"/>
        </w:rPr>
        <w:t>Hos patienter med moderat nedsat nyrefunktion (</w:t>
      </w:r>
      <w:proofErr w:type="spellStart"/>
      <w:r w:rsidRPr="00F47ED1">
        <w:rPr>
          <w:sz w:val="24"/>
          <w:szCs w:val="24"/>
        </w:rPr>
        <w:t>kreatininclearance</w:t>
      </w:r>
      <w:proofErr w:type="spellEnd"/>
      <w:r w:rsidRPr="00F47ED1">
        <w:rPr>
          <w:sz w:val="24"/>
          <w:szCs w:val="24"/>
        </w:rPr>
        <w:t xml:space="preserve"> på 15-60 ml/min) er både den systemiske </w:t>
      </w:r>
      <w:proofErr w:type="spellStart"/>
      <w:r w:rsidRPr="00F47ED1">
        <w:rPr>
          <w:sz w:val="24"/>
          <w:szCs w:val="24"/>
        </w:rPr>
        <w:t>clearance</w:t>
      </w:r>
      <w:proofErr w:type="spellEnd"/>
      <w:r w:rsidRPr="00F47ED1">
        <w:rPr>
          <w:sz w:val="24"/>
          <w:szCs w:val="24"/>
        </w:rPr>
        <w:t xml:space="preserve"> og fordelingsvoluminet reduceret, hvilket resulterer i en let, men klinisk ubetydelig stigning i eliminationshalveringstiden (5,4 timer). I et studie hos patienter med svært nedsat nyrefunktion, som havde behov for regelmæssig hæmodialyse (undersøgt mellem dialyser), udviste </w:t>
      </w:r>
      <w:proofErr w:type="spellStart"/>
      <w:r w:rsidRPr="00F47ED1">
        <w:rPr>
          <w:sz w:val="24"/>
          <w:szCs w:val="24"/>
        </w:rPr>
        <w:t>ondansetron</w:t>
      </w:r>
      <w:proofErr w:type="spellEnd"/>
      <w:r w:rsidRPr="00F47ED1">
        <w:rPr>
          <w:sz w:val="24"/>
          <w:szCs w:val="24"/>
        </w:rPr>
        <w:t xml:space="preserve"> stort set uændret farmakokinetik.</w:t>
      </w:r>
    </w:p>
    <w:p w14:paraId="4BF20279" w14:textId="77777777" w:rsidR="00465EAD" w:rsidRPr="00F47ED1" w:rsidRDefault="00465EAD" w:rsidP="002D7BEB">
      <w:pPr>
        <w:ind w:left="851"/>
        <w:rPr>
          <w:sz w:val="24"/>
          <w:szCs w:val="24"/>
          <w:u w:val="single"/>
        </w:rPr>
      </w:pPr>
    </w:p>
    <w:p w14:paraId="1E55B772" w14:textId="77777777" w:rsidR="00465EAD" w:rsidRPr="00F47ED1" w:rsidRDefault="00465EAD" w:rsidP="002D7BEB">
      <w:pPr>
        <w:ind w:left="851"/>
        <w:rPr>
          <w:sz w:val="24"/>
          <w:szCs w:val="24"/>
          <w:u w:val="single"/>
        </w:rPr>
      </w:pPr>
      <w:r w:rsidRPr="00F47ED1">
        <w:rPr>
          <w:sz w:val="24"/>
          <w:szCs w:val="24"/>
          <w:u w:val="single"/>
        </w:rPr>
        <w:t>Linearitet/non-linearitet</w:t>
      </w:r>
    </w:p>
    <w:p w14:paraId="596B61EF" w14:textId="633083DE" w:rsidR="00465EAD" w:rsidRPr="00F47ED1" w:rsidRDefault="00465EAD" w:rsidP="002D7BEB">
      <w:pPr>
        <w:ind w:left="851"/>
        <w:rPr>
          <w:sz w:val="24"/>
          <w:szCs w:val="24"/>
        </w:rPr>
      </w:pPr>
      <w:r w:rsidRPr="00F47ED1">
        <w:rPr>
          <w:sz w:val="24"/>
          <w:szCs w:val="24"/>
        </w:rPr>
        <w:t xml:space="preserve">Efter oral, intravenøs eller intramuskulær dosering hos patienter med svært nedsat leverfunktion er </w:t>
      </w:r>
      <w:proofErr w:type="spellStart"/>
      <w:r w:rsidRPr="00F47ED1">
        <w:rPr>
          <w:sz w:val="24"/>
          <w:szCs w:val="24"/>
        </w:rPr>
        <w:t>ondansetrons</w:t>
      </w:r>
      <w:proofErr w:type="spellEnd"/>
      <w:r w:rsidRPr="00F47ED1">
        <w:rPr>
          <w:sz w:val="24"/>
          <w:szCs w:val="24"/>
        </w:rPr>
        <w:t xml:space="preserve"> systemiske </w:t>
      </w:r>
      <w:proofErr w:type="spellStart"/>
      <w:r w:rsidRPr="00F47ED1">
        <w:rPr>
          <w:sz w:val="24"/>
          <w:szCs w:val="24"/>
        </w:rPr>
        <w:t>clearance</w:t>
      </w:r>
      <w:proofErr w:type="spellEnd"/>
      <w:r w:rsidRPr="00F47ED1">
        <w:rPr>
          <w:sz w:val="24"/>
          <w:szCs w:val="24"/>
        </w:rPr>
        <w:t xml:space="preserve"> markant reduceret med en forlænget eliminationshalveringstid (15-32 timer) og en oral biotilgængelighed, der nærmer sig 100</w:t>
      </w:r>
      <w:r w:rsidR="007A24EA">
        <w:rPr>
          <w:sz w:val="24"/>
          <w:szCs w:val="24"/>
        </w:rPr>
        <w:t> </w:t>
      </w:r>
      <w:r w:rsidRPr="00F47ED1">
        <w:rPr>
          <w:sz w:val="24"/>
          <w:szCs w:val="24"/>
        </w:rPr>
        <w:t>% som følge af reduceret præsystemisk metabolisme.</w:t>
      </w:r>
    </w:p>
    <w:p w14:paraId="0798FFA5" w14:textId="77777777" w:rsidR="00465EAD" w:rsidRPr="00F47ED1" w:rsidRDefault="00465EAD" w:rsidP="002D7BEB">
      <w:pPr>
        <w:ind w:left="851"/>
        <w:rPr>
          <w:sz w:val="24"/>
          <w:szCs w:val="24"/>
          <w:u w:val="single"/>
        </w:rPr>
      </w:pPr>
    </w:p>
    <w:p w14:paraId="13940D0C" w14:textId="77777777" w:rsidR="00465EAD" w:rsidRPr="00F47ED1" w:rsidRDefault="00465EAD" w:rsidP="002D7BEB">
      <w:pPr>
        <w:ind w:left="851"/>
        <w:rPr>
          <w:sz w:val="24"/>
          <w:szCs w:val="24"/>
          <w:u w:val="single"/>
        </w:rPr>
      </w:pPr>
      <w:r w:rsidRPr="00F47ED1">
        <w:rPr>
          <w:sz w:val="24"/>
          <w:szCs w:val="24"/>
          <w:u w:val="single"/>
        </w:rPr>
        <w:t>Børn og unge (i alderen 1 måned til 17 år)</w:t>
      </w:r>
    </w:p>
    <w:p w14:paraId="31C5505D" w14:textId="77777777" w:rsidR="00465EAD" w:rsidRPr="00F47ED1" w:rsidRDefault="00465EAD" w:rsidP="002D7BEB">
      <w:pPr>
        <w:ind w:left="851"/>
        <w:rPr>
          <w:sz w:val="24"/>
          <w:szCs w:val="24"/>
        </w:rPr>
      </w:pPr>
      <w:r w:rsidRPr="00F47ED1">
        <w:rPr>
          <w:sz w:val="24"/>
          <w:szCs w:val="24"/>
        </w:rPr>
        <w:t xml:space="preserve">Hos pædiatriske patienter i alderen 1 til 4 måneder (n = 19), der gennemgik kirurgi, var den vægtnormaliserede </w:t>
      </w:r>
      <w:proofErr w:type="spellStart"/>
      <w:r w:rsidRPr="00F47ED1">
        <w:rPr>
          <w:sz w:val="24"/>
          <w:szCs w:val="24"/>
        </w:rPr>
        <w:t>clearance</w:t>
      </w:r>
      <w:proofErr w:type="spellEnd"/>
      <w:r w:rsidRPr="00F47ED1">
        <w:rPr>
          <w:sz w:val="24"/>
          <w:szCs w:val="24"/>
        </w:rPr>
        <w:t xml:space="preserve"> cirka 30 % lavere end hos patienter i alderen 5 til 24 måneder (n = 22), men sammenlignelig med patienter i alderen 3 til 12 år. Den indberettede gennemsnitlige halveringstid i patientpopulationen i alderen 1 til 4 måneder var 6,7 timer, sammenlignet med 2,9 timer hos patienterne i aldersintervallerne 5 til 24 måneder og 3 til 12 år. Forskellene i de </w:t>
      </w:r>
      <w:proofErr w:type="spellStart"/>
      <w:r w:rsidRPr="00F47ED1">
        <w:rPr>
          <w:sz w:val="24"/>
          <w:szCs w:val="24"/>
        </w:rPr>
        <w:t>farmakokinetiske</w:t>
      </w:r>
      <w:proofErr w:type="spellEnd"/>
      <w:r w:rsidRPr="00F47ED1">
        <w:rPr>
          <w:sz w:val="24"/>
          <w:szCs w:val="24"/>
        </w:rPr>
        <w:t xml:space="preserve"> parametre i patientpopulationen i alderen 1 til 4 måneder kan til dels tilskrives den totale legemsvæskeprocent hos nyfødte og spædbørn og det højere fordelingsvolumen for vandopløselige lægemidler som </w:t>
      </w:r>
      <w:proofErr w:type="spellStart"/>
      <w:r w:rsidRPr="00F47ED1">
        <w:rPr>
          <w:sz w:val="24"/>
          <w:szCs w:val="24"/>
        </w:rPr>
        <w:t>ondansetron</w:t>
      </w:r>
      <w:proofErr w:type="spellEnd"/>
      <w:r w:rsidRPr="00F47ED1">
        <w:rPr>
          <w:sz w:val="24"/>
          <w:szCs w:val="24"/>
        </w:rPr>
        <w:t xml:space="preserve">. Hos pædiatriske patienter i alderen 3 til 12 år, der gennemgik </w:t>
      </w:r>
      <w:proofErr w:type="spellStart"/>
      <w:r w:rsidRPr="00F47ED1">
        <w:rPr>
          <w:sz w:val="24"/>
          <w:szCs w:val="24"/>
        </w:rPr>
        <w:t>elektiv</w:t>
      </w:r>
      <w:proofErr w:type="spellEnd"/>
      <w:r w:rsidRPr="00F47ED1">
        <w:rPr>
          <w:sz w:val="24"/>
          <w:szCs w:val="24"/>
        </w:rPr>
        <w:t xml:space="preserve"> kirurgi med generel anæstesi, var de absolutte værdier for </w:t>
      </w:r>
      <w:proofErr w:type="spellStart"/>
      <w:r w:rsidRPr="00F47ED1">
        <w:rPr>
          <w:sz w:val="24"/>
          <w:szCs w:val="24"/>
        </w:rPr>
        <w:t>ondansetrons</w:t>
      </w:r>
      <w:proofErr w:type="spellEnd"/>
      <w:r w:rsidRPr="00F47ED1">
        <w:rPr>
          <w:sz w:val="24"/>
          <w:szCs w:val="24"/>
        </w:rPr>
        <w:t xml:space="preserve"> </w:t>
      </w:r>
      <w:proofErr w:type="spellStart"/>
      <w:r w:rsidRPr="00F47ED1">
        <w:rPr>
          <w:sz w:val="24"/>
          <w:szCs w:val="24"/>
        </w:rPr>
        <w:t>clearance</w:t>
      </w:r>
      <w:proofErr w:type="spellEnd"/>
      <w:r w:rsidRPr="00F47ED1">
        <w:rPr>
          <w:sz w:val="24"/>
          <w:szCs w:val="24"/>
        </w:rPr>
        <w:t xml:space="preserve"> og fordelingsvolumen lavere end værdierne hos voksne patienter. Begge parametre steg lineært med vægten, og ved 12-årsalderen nærmede værdierne sig de samme værdier som hos unge voksne. Når </w:t>
      </w:r>
      <w:proofErr w:type="spellStart"/>
      <w:r w:rsidRPr="00F47ED1">
        <w:rPr>
          <w:sz w:val="24"/>
          <w:szCs w:val="24"/>
        </w:rPr>
        <w:t>clearance</w:t>
      </w:r>
      <w:proofErr w:type="spellEnd"/>
      <w:r w:rsidRPr="00F47ED1">
        <w:rPr>
          <w:sz w:val="24"/>
          <w:szCs w:val="24"/>
        </w:rPr>
        <w:t xml:space="preserve"> og fordelingsvolumen blev normaliseret for legemsvægt, var værdierne for disse parametre ensartede i de forskellige aldersgrupper. Brug af vægtbaseret dosering kompenserer for aldersrelaterede variationer og normaliserer den systemiske eksponering hos pædiatriske patienter.</w:t>
      </w:r>
    </w:p>
    <w:p w14:paraId="79A8D2CD" w14:textId="77777777" w:rsidR="00465EAD" w:rsidRPr="00FA159E" w:rsidRDefault="00465EAD" w:rsidP="002D7BEB">
      <w:pPr>
        <w:ind w:left="851"/>
        <w:rPr>
          <w:sz w:val="24"/>
          <w:szCs w:val="24"/>
        </w:rPr>
      </w:pPr>
    </w:p>
    <w:p w14:paraId="5CAC0C90" w14:textId="77777777" w:rsidR="00465EAD" w:rsidRPr="00FA159E" w:rsidRDefault="00465EAD" w:rsidP="002D7BEB">
      <w:pPr>
        <w:ind w:left="851"/>
        <w:rPr>
          <w:iCs/>
          <w:sz w:val="24"/>
          <w:szCs w:val="24"/>
        </w:rPr>
      </w:pPr>
      <w:r w:rsidRPr="00FA159E">
        <w:rPr>
          <w:iCs/>
          <w:sz w:val="24"/>
          <w:szCs w:val="24"/>
        </w:rPr>
        <w:t xml:space="preserve">Der blev gennemført en </w:t>
      </w:r>
      <w:proofErr w:type="spellStart"/>
      <w:r w:rsidRPr="00FA159E">
        <w:rPr>
          <w:iCs/>
          <w:sz w:val="24"/>
          <w:szCs w:val="24"/>
        </w:rPr>
        <w:t>populationsfarmakokinetisk</w:t>
      </w:r>
      <w:proofErr w:type="spellEnd"/>
      <w:r w:rsidRPr="00FA159E">
        <w:rPr>
          <w:iCs/>
          <w:sz w:val="24"/>
          <w:szCs w:val="24"/>
        </w:rPr>
        <w:t xml:space="preserve"> analyse hos 74 pædiatriske cancerpatienter i alderen 6 til 48 måneder og 41 kirurgipatienter i alderen 1 til 24 måneder efter intravenøs administration af </w:t>
      </w:r>
      <w:proofErr w:type="spellStart"/>
      <w:r w:rsidRPr="00FA159E">
        <w:rPr>
          <w:iCs/>
          <w:sz w:val="24"/>
          <w:szCs w:val="24"/>
        </w:rPr>
        <w:t>ondansetron</w:t>
      </w:r>
      <w:proofErr w:type="spellEnd"/>
      <w:r w:rsidRPr="00FA159E">
        <w:rPr>
          <w:iCs/>
          <w:sz w:val="24"/>
          <w:szCs w:val="24"/>
        </w:rPr>
        <w:t xml:space="preserve">. Baseret på de </w:t>
      </w:r>
      <w:proofErr w:type="spellStart"/>
      <w:r w:rsidRPr="00FA159E">
        <w:rPr>
          <w:iCs/>
          <w:sz w:val="24"/>
          <w:szCs w:val="24"/>
        </w:rPr>
        <w:t>populationsfarmakokinetiske</w:t>
      </w:r>
      <w:proofErr w:type="spellEnd"/>
      <w:r w:rsidRPr="00FA159E">
        <w:rPr>
          <w:iCs/>
          <w:sz w:val="24"/>
          <w:szCs w:val="24"/>
        </w:rPr>
        <w:t xml:space="preserve"> parametre hos patienter i alderen 1 måned til 48 måneder ville administration af den voksenbaserede dosis (3 intravenøse doser på 0,15 mg/kg med 4 timers mellemrum) resultere i en systemisk eksponering (AUC), der er sammenlignelig med den systemiske eksponering hos pædiatriske kirurgipatienter (i alderen 5 til 24 måneder) og pædiatriske cancerpatienter (i alderen 3 til 12 år) ved samme dosis, som vist i tabel C. Denne eksponering (AUC) er overensstemmende med det tidligere beskrevne eksponerings-/virkningsforhold hos pædiatriske cancerpatienter, som viste en responsrate på 50 % til 90 % med AUC-værdier i intervallet 170 til 250 ng.t/ml.</w:t>
      </w:r>
    </w:p>
    <w:p w14:paraId="4F6AE786" w14:textId="34D19351" w:rsidR="001F24CF" w:rsidRDefault="001F24CF">
      <w:pPr>
        <w:rPr>
          <w:iCs/>
          <w:sz w:val="24"/>
          <w:szCs w:val="24"/>
        </w:rPr>
      </w:pPr>
      <w:r>
        <w:rPr>
          <w:iCs/>
          <w:sz w:val="24"/>
          <w:szCs w:val="24"/>
        </w:rPr>
        <w:br w:type="page"/>
      </w:r>
    </w:p>
    <w:p w14:paraId="670D4CF6" w14:textId="77777777" w:rsidR="00465EAD" w:rsidRPr="00FA159E" w:rsidRDefault="00465EAD" w:rsidP="002D7BEB">
      <w:pPr>
        <w:ind w:left="851"/>
        <w:rPr>
          <w:iCs/>
          <w:sz w:val="24"/>
          <w:szCs w:val="24"/>
        </w:rPr>
      </w:pPr>
    </w:p>
    <w:p w14:paraId="5340D925" w14:textId="77777777" w:rsidR="00465EAD" w:rsidRPr="00F47ED1" w:rsidRDefault="00465EAD" w:rsidP="00465EAD">
      <w:pPr>
        <w:rPr>
          <w:sz w:val="24"/>
          <w:szCs w:val="24"/>
        </w:rPr>
      </w:pPr>
      <w:r w:rsidRPr="00F47ED1">
        <w:rPr>
          <w:sz w:val="24"/>
          <w:szCs w:val="24"/>
        </w:rPr>
        <w:t>Tabel C: Farmakokinetik hos pædiatriske patienter i alderen 1 måned til 18 år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789"/>
        <w:gridCol w:w="982"/>
        <w:gridCol w:w="551"/>
        <w:gridCol w:w="1257"/>
        <w:gridCol w:w="1257"/>
        <w:gridCol w:w="1257"/>
        <w:gridCol w:w="1290"/>
      </w:tblGrid>
      <w:tr w:rsidR="00465EAD" w:rsidRPr="00FA159E" w14:paraId="7DB66446" w14:textId="77777777" w:rsidTr="00D0776B">
        <w:tc>
          <w:tcPr>
            <w:tcW w:w="646" w:type="pct"/>
            <w:tcBorders>
              <w:top w:val="single" w:sz="4" w:space="0" w:color="auto"/>
              <w:left w:val="single" w:sz="4" w:space="0" w:color="auto"/>
              <w:bottom w:val="single" w:sz="4" w:space="0" w:color="auto"/>
              <w:right w:val="single" w:sz="4" w:space="0" w:color="auto"/>
            </w:tcBorders>
            <w:hideMark/>
          </w:tcPr>
          <w:p w14:paraId="79D735A2" w14:textId="77777777" w:rsidR="00465EAD" w:rsidRPr="00FA159E" w:rsidRDefault="00465EAD">
            <w:pPr>
              <w:rPr>
                <w:sz w:val="20"/>
                <w:lang w:val="en-GB"/>
              </w:rPr>
            </w:pPr>
            <w:proofErr w:type="spellStart"/>
            <w:r w:rsidRPr="00FA159E">
              <w:rPr>
                <w:sz w:val="20"/>
                <w:lang w:val="en-GB"/>
              </w:rPr>
              <w:t>Studie</w:t>
            </w:r>
            <w:proofErr w:type="spellEnd"/>
          </w:p>
        </w:tc>
        <w:tc>
          <w:tcPr>
            <w:tcW w:w="929" w:type="pct"/>
            <w:tcBorders>
              <w:top w:val="single" w:sz="4" w:space="0" w:color="auto"/>
              <w:left w:val="single" w:sz="4" w:space="0" w:color="auto"/>
              <w:bottom w:val="single" w:sz="4" w:space="0" w:color="auto"/>
              <w:right w:val="single" w:sz="4" w:space="0" w:color="auto"/>
            </w:tcBorders>
            <w:hideMark/>
          </w:tcPr>
          <w:p w14:paraId="503175D8" w14:textId="77777777" w:rsidR="00465EAD" w:rsidRPr="00FA159E" w:rsidRDefault="00465EAD">
            <w:pPr>
              <w:rPr>
                <w:sz w:val="20"/>
                <w:lang w:val="en-GB"/>
              </w:rPr>
            </w:pPr>
            <w:proofErr w:type="spellStart"/>
            <w:r w:rsidRPr="00FA159E">
              <w:rPr>
                <w:sz w:val="20"/>
                <w:lang w:val="en-GB"/>
              </w:rPr>
              <w:t>Patientpopulation</w:t>
            </w:r>
            <w:proofErr w:type="spellEnd"/>
          </w:p>
        </w:tc>
        <w:tc>
          <w:tcPr>
            <w:tcW w:w="510" w:type="pct"/>
            <w:tcBorders>
              <w:top w:val="single" w:sz="4" w:space="0" w:color="auto"/>
              <w:left w:val="single" w:sz="4" w:space="0" w:color="auto"/>
              <w:bottom w:val="single" w:sz="4" w:space="0" w:color="auto"/>
              <w:right w:val="single" w:sz="4" w:space="0" w:color="auto"/>
            </w:tcBorders>
            <w:hideMark/>
          </w:tcPr>
          <w:p w14:paraId="1482D230" w14:textId="77777777" w:rsidR="00465EAD" w:rsidRPr="00FA159E" w:rsidRDefault="00465EAD">
            <w:pPr>
              <w:rPr>
                <w:sz w:val="20"/>
                <w:lang w:val="en-GB"/>
              </w:rPr>
            </w:pPr>
            <w:r w:rsidRPr="00FA159E">
              <w:rPr>
                <w:sz w:val="20"/>
                <w:lang w:val="en-GB"/>
              </w:rPr>
              <w:t>Alder</w:t>
            </w:r>
          </w:p>
        </w:tc>
        <w:tc>
          <w:tcPr>
            <w:tcW w:w="286" w:type="pct"/>
            <w:tcBorders>
              <w:top w:val="single" w:sz="4" w:space="0" w:color="auto"/>
              <w:left w:val="single" w:sz="4" w:space="0" w:color="auto"/>
              <w:bottom w:val="single" w:sz="4" w:space="0" w:color="auto"/>
              <w:right w:val="single" w:sz="4" w:space="0" w:color="auto"/>
            </w:tcBorders>
            <w:hideMark/>
          </w:tcPr>
          <w:p w14:paraId="79C6326F" w14:textId="77777777" w:rsidR="00465EAD" w:rsidRPr="00FA159E" w:rsidRDefault="00465EAD">
            <w:pPr>
              <w:rPr>
                <w:sz w:val="20"/>
                <w:lang w:val="en-GB"/>
              </w:rPr>
            </w:pPr>
            <w:r w:rsidRPr="00FA159E">
              <w:rPr>
                <w:sz w:val="20"/>
                <w:lang w:val="en-GB"/>
              </w:rPr>
              <w:t>N</w:t>
            </w:r>
          </w:p>
        </w:tc>
        <w:tc>
          <w:tcPr>
            <w:tcW w:w="653" w:type="pct"/>
            <w:tcBorders>
              <w:top w:val="single" w:sz="4" w:space="0" w:color="auto"/>
              <w:left w:val="single" w:sz="4" w:space="0" w:color="auto"/>
              <w:bottom w:val="single" w:sz="4" w:space="0" w:color="auto"/>
              <w:right w:val="single" w:sz="4" w:space="0" w:color="auto"/>
            </w:tcBorders>
            <w:hideMark/>
          </w:tcPr>
          <w:p w14:paraId="4389B29A" w14:textId="77777777" w:rsidR="00465EAD" w:rsidRPr="00FA159E" w:rsidRDefault="00465EAD">
            <w:pPr>
              <w:rPr>
                <w:sz w:val="20"/>
              </w:rPr>
            </w:pPr>
            <w:r w:rsidRPr="00FA159E">
              <w:rPr>
                <w:sz w:val="20"/>
              </w:rPr>
              <w:t>AUC (ng.t/ml)</w:t>
            </w:r>
          </w:p>
          <w:p w14:paraId="1495958A" w14:textId="77777777" w:rsidR="00465EAD" w:rsidRPr="00FA159E" w:rsidRDefault="00465EAD">
            <w:pPr>
              <w:rPr>
                <w:sz w:val="20"/>
              </w:rPr>
            </w:pPr>
            <w:r w:rsidRPr="00FA159E">
              <w:rPr>
                <w:sz w:val="20"/>
              </w:rPr>
              <w:t>Geometrisk gennemsnit</w:t>
            </w:r>
          </w:p>
        </w:tc>
        <w:tc>
          <w:tcPr>
            <w:tcW w:w="653" w:type="pct"/>
            <w:tcBorders>
              <w:top w:val="single" w:sz="4" w:space="0" w:color="auto"/>
              <w:left w:val="single" w:sz="4" w:space="0" w:color="auto"/>
              <w:bottom w:val="single" w:sz="4" w:space="0" w:color="auto"/>
              <w:right w:val="single" w:sz="4" w:space="0" w:color="auto"/>
            </w:tcBorders>
            <w:hideMark/>
          </w:tcPr>
          <w:p w14:paraId="49968F92" w14:textId="77777777" w:rsidR="00465EAD" w:rsidRPr="00FA159E" w:rsidRDefault="00465EAD">
            <w:pPr>
              <w:rPr>
                <w:sz w:val="20"/>
              </w:rPr>
            </w:pPr>
            <w:r w:rsidRPr="00FA159E">
              <w:rPr>
                <w:sz w:val="20"/>
              </w:rPr>
              <w:t>CL (l/t/kg)</w:t>
            </w:r>
          </w:p>
          <w:p w14:paraId="300EB5F9" w14:textId="77777777" w:rsidR="00465EAD" w:rsidRPr="00FA159E" w:rsidRDefault="00465EAD">
            <w:pPr>
              <w:rPr>
                <w:sz w:val="20"/>
              </w:rPr>
            </w:pPr>
            <w:r w:rsidRPr="00FA159E">
              <w:rPr>
                <w:sz w:val="20"/>
              </w:rPr>
              <w:t>Geometrisk gennemsnit</w:t>
            </w:r>
          </w:p>
        </w:tc>
        <w:tc>
          <w:tcPr>
            <w:tcW w:w="653" w:type="pct"/>
            <w:tcBorders>
              <w:top w:val="single" w:sz="4" w:space="0" w:color="auto"/>
              <w:left w:val="single" w:sz="4" w:space="0" w:color="auto"/>
              <w:bottom w:val="single" w:sz="4" w:space="0" w:color="auto"/>
              <w:right w:val="single" w:sz="4" w:space="0" w:color="auto"/>
            </w:tcBorders>
            <w:hideMark/>
          </w:tcPr>
          <w:p w14:paraId="3F67D471" w14:textId="77777777" w:rsidR="00465EAD" w:rsidRPr="00FA159E" w:rsidRDefault="00465EAD">
            <w:pPr>
              <w:rPr>
                <w:sz w:val="20"/>
              </w:rPr>
            </w:pPr>
            <w:r w:rsidRPr="00FA159E">
              <w:rPr>
                <w:sz w:val="20"/>
              </w:rPr>
              <w:t>Vd</w:t>
            </w:r>
            <w:r w:rsidRPr="00FA159E">
              <w:rPr>
                <w:sz w:val="20"/>
                <w:vertAlign w:val="subscript"/>
              </w:rPr>
              <w:t>55</w:t>
            </w:r>
            <w:r w:rsidRPr="00FA159E">
              <w:rPr>
                <w:sz w:val="20"/>
              </w:rPr>
              <w:t xml:space="preserve"> (l/kg)</w:t>
            </w:r>
          </w:p>
          <w:p w14:paraId="0D4DDBBB" w14:textId="77777777" w:rsidR="00465EAD" w:rsidRPr="00FA159E" w:rsidRDefault="00465EAD">
            <w:pPr>
              <w:rPr>
                <w:sz w:val="20"/>
              </w:rPr>
            </w:pPr>
            <w:r w:rsidRPr="00FA159E">
              <w:rPr>
                <w:sz w:val="20"/>
              </w:rPr>
              <w:t>Geometrisk gennemsnit</w:t>
            </w:r>
          </w:p>
        </w:tc>
        <w:tc>
          <w:tcPr>
            <w:tcW w:w="671" w:type="pct"/>
            <w:tcBorders>
              <w:top w:val="single" w:sz="4" w:space="0" w:color="auto"/>
              <w:left w:val="single" w:sz="4" w:space="0" w:color="auto"/>
              <w:bottom w:val="single" w:sz="4" w:space="0" w:color="auto"/>
              <w:right w:val="single" w:sz="4" w:space="0" w:color="auto"/>
            </w:tcBorders>
            <w:hideMark/>
          </w:tcPr>
          <w:p w14:paraId="7EF33EE4" w14:textId="194285B9" w:rsidR="00465EAD" w:rsidRPr="00FA159E" w:rsidRDefault="00465EAD">
            <w:pPr>
              <w:tabs>
                <w:tab w:val="left" w:pos="561"/>
              </w:tabs>
              <w:rPr>
                <w:sz w:val="20"/>
                <w:lang w:val="en-GB"/>
              </w:rPr>
            </w:pPr>
            <w:r w:rsidRPr="00FA159E">
              <w:rPr>
                <w:sz w:val="20"/>
                <w:lang w:val="en-GB"/>
              </w:rPr>
              <w:t>T</w:t>
            </w:r>
            <w:r w:rsidRPr="00FA159E">
              <w:rPr>
                <w:sz w:val="20"/>
                <w:vertAlign w:val="subscript"/>
                <w:lang w:val="en-GB"/>
              </w:rPr>
              <w:t>1/2</w:t>
            </w:r>
            <w:r w:rsidRPr="00FA159E">
              <w:rPr>
                <w:sz w:val="20"/>
                <w:lang w:val="en-GB"/>
              </w:rPr>
              <w:t xml:space="preserve"> </w:t>
            </w:r>
            <w:r w:rsidR="00803C43">
              <w:rPr>
                <w:sz w:val="20"/>
                <w:lang w:val="en-GB"/>
              </w:rPr>
              <w:tab/>
            </w:r>
            <w:r w:rsidRPr="00FA159E">
              <w:rPr>
                <w:sz w:val="20"/>
                <w:lang w:val="en-GB"/>
              </w:rPr>
              <w:t>(t)</w:t>
            </w:r>
          </w:p>
          <w:p w14:paraId="54C0A63D" w14:textId="77777777" w:rsidR="00465EAD" w:rsidRPr="00FA159E" w:rsidRDefault="00465EAD">
            <w:pPr>
              <w:rPr>
                <w:sz w:val="20"/>
                <w:lang w:val="en-GB"/>
              </w:rPr>
            </w:pPr>
            <w:proofErr w:type="spellStart"/>
            <w:r w:rsidRPr="00FA159E">
              <w:rPr>
                <w:sz w:val="20"/>
                <w:lang w:val="en-GB"/>
              </w:rPr>
              <w:t>Gennemsnit</w:t>
            </w:r>
            <w:proofErr w:type="spellEnd"/>
          </w:p>
        </w:tc>
      </w:tr>
      <w:tr w:rsidR="00465EAD" w:rsidRPr="00FA159E" w14:paraId="77D5FE98" w14:textId="77777777" w:rsidTr="00D0776B">
        <w:tc>
          <w:tcPr>
            <w:tcW w:w="646" w:type="pct"/>
            <w:tcBorders>
              <w:top w:val="single" w:sz="4" w:space="0" w:color="auto"/>
              <w:left w:val="single" w:sz="4" w:space="0" w:color="auto"/>
              <w:bottom w:val="single" w:sz="4" w:space="0" w:color="auto"/>
              <w:right w:val="single" w:sz="4" w:space="0" w:color="auto"/>
            </w:tcBorders>
            <w:hideMark/>
          </w:tcPr>
          <w:p w14:paraId="5931C3C5" w14:textId="77777777" w:rsidR="00465EAD" w:rsidRPr="00FA159E" w:rsidRDefault="00465EAD">
            <w:pPr>
              <w:rPr>
                <w:sz w:val="20"/>
                <w:lang w:val="en-GB"/>
              </w:rPr>
            </w:pPr>
            <w:r w:rsidRPr="00FA159E">
              <w:rPr>
                <w:sz w:val="20"/>
                <w:lang w:val="en-GB"/>
              </w:rPr>
              <w:t>S3A40319</w:t>
            </w:r>
            <w:r w:rsidRPr="00FA159E">
              <w:rPr>
                <w:sz w:val="20"/>
                <w:vertAlign w:val="superscript"/>
                <w:lang w:val="en-GB"/>
              </w:rPr>
              <w:t>1</w:t>
            </w:r>
          </w:p>
        </w:tc>
        <w:tc>
          <w:tcPr>
            <w:tcW w:w="929" w:type="pct"/>
            <w:tcBorders>
              <w:top w:val="single" w:sz="4" w:space="0" w:color="auto"/>
              <w:left w:val="single" w:sz="4" w:space="0" w:color="auto"/>
              <w:bottom w:val="single" w:sz="4" w:space="0" w:color="auto"/>
              <w:right w:val="single" w:sz="4" w:space="0" w:color="auto"/>
            </w:tcBorders>
            <w:hideMark/>
          </w:tcPr>
          <w:p w14:paraId="65303D99" w14:textId="77777777" w:rsidR="00465EAD" w:rsidRPr="00FA159E" w:rsidRDefault="00465EAD">
            <w:pPr>
              <w:rPr>
                <w:sz w:val="20"/>
                <w:lang w:val="en-GB"/>
              </w:rPr>
            </w:pPr>
            <w:proofErr w:type="spellStart"/>
            <w:r w:rsidRPr="00FA159E">
              <w:rPr>
                <w:sz w:val="20"/>
                <w:lang w:val="en-GB"/>
              </w:rPr>
              <w:t>Kirurgi</w:t>
            </w:r>
            <w:proofErr w:type="spellEnd"/>
            <w:r w:rsidRPr="00FA159E">
              <w:rPr>
                <w:sz w:val="20"/>
                <w:lang w:val="en-GB"/>
              </w:rPr>
              <w:t xml:space="preserve"> (0,1 </w:t>
            </w:r>
            <w:proofErr w:type="spellStart"/>
            <w:r w:rsidRPr="00FA159E">
              <w:rPr>
                <w:sz w:val="20"/>
                <w:lang w:val="en-GB"/>
              </w:rPr>
              <w:t>eller</w:t>
            </w:r>
            <w:proofErr w:type="spellEnd"/>
            <w:r w:rsidRPr="00FA159E">
              <w:rPr>
                <w:sz w:val="20"/>
                <w:lang w:val="en-GB"/>
              </w:rPr>
              <w:t xml:space="preserve"> 0,2 mg/kg</w:t>
            </w:r>
          </w:p>
        </w:tc>
        <w:tc>
          <w:tcPr>
            <w:tcW w:w="510" w:type="pct"/>
            <w:tcBorders>
              <w:top w:val="single" w:sz="4" w:space="0" w:color="auto"/>
              <w:left w:val="single" w:sz="4" w:space="0" w:color="auto"/>
              <w:bottom w:val="single" w:sz="4" w:space="0" w:color="auto"/>
              <w:right w:val="single" w:sz="4" w:space="0" w:color="auto"/>
            </w:tcBorders>
            <w:hideMark/>
          </w:tcPr>
          <w:p w14:paraId="06B7F90B" w14:textId="77777777" w:rsidR="00465EAD" w:rsidRPr="00FA159E" w:rsidRDefault="00465EAD">
            <w:pPr>
              <w:rPr>
                <w:sz w:val="20"/>
                <w:lang w:val="en-GB"/>
              </w:rPr>
            </w:pPr>
            <w:r w:rsidRPr="00FA159E">
              <w:rPr>
                <w:sz w:val="20"/>
                <w:lang w:val="en-GB"/>
              </w:rPr>
              <w:t xml:space="preserve">1 – 4 </w:t>
            </w:r>
            <w:proofErr w:type="spellStart"/>
            <w:r w:rsidRPr="00FA159E">
              <w:rPr>
                <w:sz w:val="20"/>
                <w:lang w:val="en-GB"/>
              </w:rPr>
              <w:t>måneder</w:t>
            </w:r>
            <w:proofErr w:type="spellEnd"/>
          </w:p>
        </w:tc>
        <w:tc>
          <w:tcPr>
            <w:tcW w:w="286" w:type="pct"/>
            <w:tcBorders>
              <w:top w:val="single" w:sz="4" w:space="0" w:color="auto"/>
              <w:left w:val="single" w:sz="4" w:space="0" w:color="auto"/>
              <w:bottom w:val="single" w:sz="4" w:space="0" w:color="auto"/>
              <w:right w:val="single" w:sz="4" w:space="0" w:color="auto"/>
            </w:tcBorders>
            <w:hideMark/>
          </w:tcPr>
          <w:p w14:paraId="5AD9C208" w14:textId="77777777" w:rsidR="00465EAD" w:rsidRPr="00FA159E" w:rsidRDefault="00465EAD">
            <w:pPr>
              <w:rPr>
                <w:sz w:val="20"/>
                <w:lang w:val="en-GB"/>
              </w:rPr>
            </w:pPr>
            <w:r w:rsidRPr="00FA159E">
              <w:rPr>
                <w:sz w:val="20"/>
                <w:lang w:val="en-GB"/>
              </w:rPr>
              <w:t>19</w:t>
            </w:r>
          </w:p>
        </w:tc>
        <w:tc>
          <w:tcPr>
            <w:tcW w:w="653" w:type="pct"/>
            <w:tcBorders>
              <w:top w:val="single" w:sz="4" w:space="0" w:color="auto"/>
              <w:left w:val="single" w:sz="4" w:space="0" w:color="auto"/>
              <w:bottom w:val="single" w:sz="4" w:space="0" w:color="auto"/>
              <w:right w:val="single" w:sz="4" w:space="0" w:color="auto"/>
            </w:tcBorders>
            <w:hideMark/>
          </w:tcPr>
          <w:p w14:paraId="6EF59F18" w14:textId="77777777" w:rsidR="00465EAD" w:rsidRPr="00FA159E" w:rsidRDefault="00465EAD">
            <w:pPr>
              <w:rPr>
                <w:sz w:val="20"/>
                <w:lang w:val="en-GB"/>
              </w:rPr>
            </w:pPr>
            <w:r w:rsidRPr="00FA159E">
              <w:rPr>
                <w:sz w:val="20"/>
                <w:lang w:val="en-GB"/>
              </w:rPr>
              <w:t>360</w:t>
            </w:r>
          </w:p>
        </w:tc>
        <w:tc>
          <w:tcPr>
            <w:tcW w:w="653" w:type="pct"/>
            <w:tcBorders>
              <w:top w:val="single" w:sz="4" w:space="0" w:color="auto"/>
              <w:left w:val="single" w:sz="4" w:space="0" w:color="auto"/>
              <w:bottom w:val="single" w:sz="4" w:space="0" w:color="auto"/>
              <w:right w:val="single" w:sz="4" w:space="0" w:color="auto"/>
            </w:tcBorders>
            <w:hideMark/>
          </w:tcPr>
          <w:p w14:paraId="5FE55507" w14:textId="77777777" w:rsidR="00465EAD" w:rsidRPr="00FA159E" w:rsidRDefault="00465EAD">
            <w:pPr>
              <w:rPr>
                <w:sz w:val="20"/>
                <w:lang w:val="en-GB"/>
              </w:rPr>
            </w:pPr>
            <w:r w:rsidRPr="00FA159E">
              <w:rPr>
                <w:sz w:val="20"/>
                <w:lang w:val="en-GB"/>
              </w:rPr>
              <w:t>0,401</w:t>
            </w:r>
          </w:p>
        </w:tc>
        <w:tc>
          <w:tcPr>
            <w:tcW w:w="653" w:type="pct"/>
            <w:tcBorders>
              <w:top w:val="single" w:sz="4" w:space="0" w:color="auto"/>
              <w:left w:val="single" w:sz="4" w:space="0" w:color="auto"/>
              <w:bottom w:val="single" w:sz="4" w:space="0" w:color="auto"/>
              <w:right w:val="single" w:sz="4" w:space="0" w:color="auto"/>
            </w:tcBorders>
            <w:hideMark/>
          </w:tcPr>
          <w:p w14:paraId="7BFBCA60" w14:textId="77777777" w:rsidR="00465EAD" w:rsidRPr="00FA159E" w:rsidRDefault="00465EAD">
            <w:pPr>
              <w:rPr>
                <w:sz w:val="20"/>
                <w:lang w:val="en-GB"/>
              </w:rPr>
            </w:pPr>
            <w:r w:rsidRPr="00FA159E">
              <w:rPr>
                <w:sz w:val="20"/>
                <w:lang w:val="en-GB"/>
              </w:rPr>
              <w:t>3,5</w:t>
            </w:r>
          </w:p>
        </w:tc>
        <w:tc>
          <w:tcPr>
            <w:tcW w:w="671" w:type="pct"/>
            <w:tcBorders>
              <w:top w:val="single" w:sz="4" w:space="0" w:color="auto"/>
              <w:left w:val="single" w:sz="4" w:space="0" w:color="auto"/>
              <w:bottom w:val="single" w:sz="4" w:space="0" w:color="auto"/>
              <w:right w:val="single" w:sz="4" w:space="0" w:color="auto"/>
            </w:tcBorders>
            <w:hideMark/>
          </w:tcPr>
          <w:p w14:paraId="058FC71B" w14:textId="77777777" w:rsidR="00465EAD" w:rsidRPr="00FA159E" w:rsidRDefault="00465EAD">
            <w:pPr>
              <w:rPr>
                <w:sz w:val="20"/>
                <w:lang w:val="en-GB"/>
              </w:rPr>
            </w:pPr>
            <w:r w:rsidRPr="00FA159E">
              <w:rPr>
                <w:sz w:val="20"/>
                <w:lang w:val="en-GB"/>
              </w:rPr>
              <w:t>6,7</w:t>
            </w:r>
          </w:p>
        </w:tc>
      </w:tr>
      <w:tr w:rsidR="00465EAD" w:rsidRPr="00FA159E" w14:paraId="5B14DBE4" w14:textId="77777777" w:rsidTr="00D0776B">
        <w:tc>
          <w:tcPr>
            <w:tcW w:w="646" w:type="pct"/>
            <w:tcBorders>
              <w:top w:val="single" w:sz="4" w:space="0" w:color="auto"/>
              <w:left w:val="single" w:sz="4" w:space="0" w:color="auto"/>
              <w:bottom w:val="single" w:sz="4" w:space="0" w:color="auto"/>
              <w:right w:val="single" w:sz="4" w:space="0" w:color="auto"/>
            </w:tcBorders>
            <w:hideMark/>
          </w:tcPr>
          <w:p w14:paraId="6794F85D" w14:textId="77777777" w:rsidR="00465EAD" w:rsidRPr="00FA159E" w:rsidRDefault="00465EAD">
            <w:pPr>
              <w:rPr>
                <w:sz w:val="20"/>
                <w:lang w:val="en-GB"/>
              </w:rPr>
            </w:pPr>
            <w:r w:rsidRPr="00FA159E">
              <w:rPr>
                <w:sz w:val="20"/>
                <w:lang w:val="en-GB"/>
              </w:rPr>
              <w:t>S3A40319</w:t>
            </w:r>
            <w:r w:rsidRPr="00FA159E">
              <w:rPr>
                <w:sz w:val="20"/>
                <w:vertAlign w:val="superscript"/>
                <w:lang w:val="en-GB"/>
              </w:rPr>
              <w:t>1</w:t>
            </w:r>
          </w:p>
        </w:tc>
        <w:tc>
          <w:tcPr>
            <w:tcW w:w="929" w:type="pct"/>
            <w:tcBorders>
              <w:top w:val="single" w:sz="4" w:space="0" w:color="auto"/>
              <w:left w:val="single" w:sz="4" w:space="0" w:color="auto"/>
              <w:bottom w:val="single" w:sz="4" w:space="0" w:color="auto"/>
              <w:right w:val="single" w:sz="4" w:space="0" w:color="auto"/>
            </w:tcBorders>
            <w:hideMark/>
          </w:tcPr>
          <w:p w14:paraId="5908FE65" w14:textId="77777777" w:rsidR="00465EAD" w:rsidRPr="00FA159E" w:rsidRDefault="00465EAD">
            <w:pPr>
              <w:rPr>
                <w:sz w:val="20"/>
                <w:lang w:val="en-GB"/>
              </w:rPr>
            </w:pPr>
            <w:proofErr w:type="spellStart"/>
            <w:r w:rsidRPr="00FA159E">
              <w:rPr>
                <w:sz w:val="20"/>
                <w:lang w:val="en-GB"/>
              </w:rPr>
              <w:t>Kirurgi</w:t>
            </w:r>
            <w:proofErr w:type="spellEnd"/>
            <w:r w:rsidRPr="00FA159E">
              <w:rPr>
                <w:sz w:val="20"/>
                <w:lang w:val="en-GB"/>
              </w:rPr>
              <w:t xml:space="preserve"> (0,1 </w:t>
            </w:r>
            <w:proofErr w:type="spellStart"/>
            <w:r w:rsidRPr="00FA159E">
              <w:rPr>
                <w:sz w:val="20"/>
                <w:lang w:val="en-GB"/>
              </w:rPr>
              <w:t>eller</w:t>
            </w:r>
            <w:proofErr w:type="spellEnd"/>
            <w:r w:rsidRPr="00FA159E">
              <w:rPr>
                <w:sz w:val="20"/>
                <w:lang w:val="en-GB"/>
              </w:rPr>
              <w:t xml:space="preserve"> 0,2 mg/kg</w:t>
            </w:r>
          </w:p>
        </w:tc>
        <w:tc>
          <w:tcPr>
            <w:tcW w:w="510" w:type="pct"/>
            <w:tcBorders>
              <w:top w:val="single" w:sz="4" w:space="0" w:color="auto"/>
              <w:left w:val="single" w:sz="4" w:space="0" w:color="auto"/>
              <w:bottom w:val="single" w:sz="4" w:space="0" w:color="auto"/>
              <w:right w:val="single" w:sz="4" w:space="0" w:color="auto"/>
            </w:tcBorders>
            <w:hideMark/>
          </w:tcPr>
          <w:p w14:paraId="49145723" w14:textId="77777777" w:rsidR="00465EAD" w:rsidRPr="00FA159E" w:rsidRDefault="00465EAD">
            <w:pPr>
              <w:rPr>
                <w:sz w:val="20"/>
                <w:lang w:val="en-GB"/>
              </w:rPr>
            </w:pPr>
            <w:r w:rsidRPr="00FA159E">
              <w:rPr>
                <w:sz w:val="20"/>
                <w:lang w:val="en-GB"/>
              </w:rPr>
              <w:t xml:space="preserve">2 – 24 </w:t>
            </w:r>
            <w:proofErr w:type="spellStart"/>
            <w:r w:rsidRPr="00FA159E">
              <w:rPr>
                <w:sz w:val="20"/>
                <w:lang w:val="en-GB"/>
              </w:rPr>
              <w:t>måneder</w:t>
            </w:r>
            <w:proofErr w:type="spellEnd"/>
          </w:p>
        </w:tc>
        <w:tc>
          <w:tcPr>
            <w:tcW w:w="286" w:type="pct"/>
            <w:tcBorders>
              <w:top w:val="single" w:sz="4" w:space="0" w:color="auto"/>
              <w:left w:val="single" w:sz="4" w:space="0" w:color="auto"/>
              <w:bottom w:val="single" w:sz="4" w:space="0" w:color="auto"/>
              <w:right w:val="single" w:sz="4" w:space="0" w:color="auto"/>
            </w:tcBorders>
            <w:hideMark/>
          </w:tcPr>
          <w:p w14:paraId="2C5FA984" w14:textId="77777777" w:rsidR="00465EAD" w:rsidRPr="00FA159E" w:rsidRDefault="00465EAD">
            <w:pPr>
              <w:rPr>
                <w:sz w:val="20"/>
                <w:lang w:val="en-GB"/>
              </w:rPr>
            </w:pPr>
            <w:r w:rsidRPr="00FA159E">
              <w:rPr>
                <w:sz w:val="20"/>
                <w:lang w:val="en-GB"/>
              </w:rPr>
              <w:t>22</w:t>
            </w:r>
          </w:p>
        </w:tc>
        <w:tc>
          <w:tcPr>
            <w:tcW w:w="653" w:type="pct"/>
            <w:tcBorders>
              <w:top w:val="single" w:sz="4" w:space="0" w:color="auto"/>
              <w:left w:val="single" w:sz="4" w:space="0" w:color="auto"/>
              <w:bottom w:val="single" w:sz="4" w:space="0" w:color="auto"/>
              <w:right w:val="single" w:sz="4" w:space="0" w:color="auto"/>
            </w:tcBorders>
            <w:hideMark/>
          </w:tcPr>
          <w:p w14:paraId="6CF6F196" w14:textId="77777777" w:rsidR="00465EAD" w:rsidRPr="00FA159E" w:rsidRDefault="00465EAD">
            <w:pPr>
              <w:rPr>
                <w:sz w:val="20"/>
                <w:lang w:val="en-GB"/>
              </w:rPr>
            </w:pPr>
            <w:r w:rsidRPr="00FA159E">
              <w:rPr>
                <w:sz w:val="20"/>
                <w:lang w:val="en-GB"/>
              </w:rPr>
              <w:t>236</w:t>
            </w:r>
          </w:p>
        </w:tc>
        <w:tc>
          <w:tcPr>
            <w:tcW w:w="653" w:type="pct"/>
            <w:tcBorders>
              <w:top w:val="single" w:sz="4" w:space="0" w:color="auto"/>
              <w:left w:val="single" w:sz="4" w:space="0" w:color="auto"/>
              <w:bottom w:val="single" w:sz="4" w:space="0" w:color="auto"/>
              <w:right w:val="single" w:sz="4" w:space="0" w:color="auto"/>
            </w:tcBorders>
            <w:hideMark/>
          </w:tcPr>
          <w:p w14:paraId="589EF004" w14:textId="77777777" w:rsidR="00465EAD" w:rsidRPr="00FA159E" w:rsidRDefault="00465EAD">
            <w:pPr>
              <w:rPr>
                <w:sz w:val="20"/>
                <w:lang w:val="en-GB"/>
              </w:rPr>
            </w:pPr>
            <w:r w:rsidRPr="00FA159E">
              <w:rPr>
                <w:sz w:val="20"/>
                <w:lang w:val="en-GB"/>
              </w:rPr>
              <w:t>0,581</w:t>
            </w:r>
          </w:p>
        </w:tc>
        <w:tc>
          <w:tcPr>
            <w:tcW w:w="653" w:type="pct"/>
            <w:tcBorders>
              <w:top w:val="single" w:sz="4" w:space="0" w:color="auto"/>
              <w:left w:val="single" w:sz="4" w:space="0" w:color="auto"/>
              <w:bottom w:val="single" w:sz="4" w:space="0" w:color="auto"/>
              <w:right w:val="single" w:sz="4" w:space="0" w:color="auto"/>
            </w:tcBorders>
            <w:hideMark/>
          </w:tcPr>
          <w:p w14:paraId="646AB247" w14:textId="77777777" w:rsidR="00465EAD" w:rsidRPr="00FA159E" w:rsidRDefault="00465EAD">
            <w:pPr>
              <w:rPr>
                <w:sz w:val="20"/>
                <w:lang w:val="en-GB"/>
              </w:rPr>
            </w:pPr>
            <w:r w:rsidRPr="00FA159E">
              <w:rPr>
                <w:sz w:val="20"/>
                <w:lang w:val="en-GB"/>
              </w:rPr>
              <w:t>2,3</w:t>
            </w:r>
          </w:p>
        </w:tc>
        <w:tc>
          <w:tcPr>
            <w:tcW w:w="671" w:type="pct"/>
            <w:tcBorders>
              <w:top w:val="single" w:sz="4" w:space="0" w:color="auto"/>
              <w:left w:val="single" w:sz="4" w:space="0" w:color="auto"/>
              <w:bottom w:val="single" w:sz="4" w:space="0" w:color="auto"/>
              <w:right w:val="single" w:sz="4" w:space="0" w:color="auto"/>
            </w:tcBorders>
            <w:hideMark/>
          </w:tcPr>
          <w:p w14:paraId="6C462C0D" w14:textId="77777777" w:rsidR="00465EAD" w:rsidRPr="00FA159E" w:rsidRDefault="00465EAD">
            <w:pPr>
              <w:rPr>
                <w:sz w:val="20"/>
                <w:lang w:val="en-GB"/>
              </w:rPr>
            </w:pPr>
            <w:r w:rsidRPr="00FA159E">
              <w:rPr>
                <w:sz w:val="20"/>
                <w:lang w:val="en-GB"/>
              </w:rPr>
              <w:t>2,9</w:t>
            </w:r>
          </w:p>
        </w:tc>
      </w:tr>
      <w:tr w:rsidR="00465EAD" w:rsidRPr="00FA159E" w14:paraId="1DA5BDF6" w14:textId="77777777" w:rsidTr="00D0776B">
        <w:tc>
          <w:tcPr>
            <w:tcW w:w="646" w:type="pct"/>
            <w:tcBorders>
              <w:top w:val="single" w:sz="4" w:space="0" w:color="auto"/>
              <w:left w:val="single" w:sz="4" w:space="0" w:color="auto"/>
              <w:bottom w:val="single" w:sz="4" w:space="0" w:color="auto"/>
              <w:right w:val="single" w:sz="4" w:space="0" w:color="auto"/>
            </w:tcBorders>
            <w:hideMark/>
          </w:tcPr>
          <w:p w14:paraId="4A44ACB1" w14:textId="77777777" w:rsidR="00465EAD" w:rsidRPr="00FA159E" w:rsidRDefault="00465EAD">
            <w:pPr>
              <w:rPr>
                <w:sz w:val="20"/>
                <w:lang w:val="en-GB"/>
              </w:rPr>
            </w:pPr>
            <w:r w:rsidRPr="00FA159E">
              <w:rPr>
                <w:sz w:val="20"/>
                <w:lang w:val="en-GB"/>
              </w:rPr>
              <w:t>S3A40320 &amp; S3A40319</w:t>
            </w:r>
          </w:p>
          <w:p w14:paraId="47A1ED99" w14:textId="77777777" w:rsidR="00465EAD" w:rsidRPr="00FA159E" w:rsidRDefault="00465EAD">
            <w:pPr>
              <w:rPr>
                <w:sz w:val="20"/>
                <w:vertAlign w:val="superscript"/>
                <w:lang w:val="en-GB"/>
              </w:rPr>
            </w:pPr>
            <w:r w:rsidRPr="00FA159E">
              <w:rPr>
                <w:sz w:val="20"/>
                <w:lang w:val="en-GB"/>
              </w:rPr>
              <w:t>Pop PK</w:t>
            </w:r>
            <w:r w:rsidRPr="00FA159E">
              <w:rPr>
                <w:sz w:val="20"/>
                <w:vertAlign w:val="superscript"/>
                <w:lang w:val="en-GB"/>
              </w:rPr>
              <w:t>2,3</w:t>
            </w:r>
          </w:p>
        </w:tc>
        <w:tc>
          <w:tcPr>
            <w:tcW w:w="929" w:type="pct"/>
            <w:tcBorders>
              <w:top w:val="single" w:sz="4" w:space="0" w:color="auto"/>
              <w:left w:val="single" w:sz="4" w:space="0" w:color="auto"/>
              <w:bottom w:val="single" w:sz="4" w:space="0" w:color="auto"/>
              <w:right w:val="single" w:sz="4" w:space="0" w:color="auto"/>
            </w:tcBorders>
            <w:hideMark/>
          </w:tcPr>
          <w:p w14:paraId="2A24E49E" w14:textId="77777777" w:rsidR="00465EAD" w:rsidRPr="00FA159E" w:rsidRDefault="00465EAD">
            <w:pPr>
              <w:rPr>
                <w:sz w:val="20"/>
              </w:rPr>
            </w:pPr>
            <w:r w:rsidRPr="00FA159E">
              <w:rPr>
                <w:sz w:val="20"/>
              </w:rPr>
              <w:t>Cancer/kirurgi (0,15 mg/kg hver 4. time/0,1 eller 0,2 mg/kg)</w:t>
            </w:r>
          </w:p>
        </w:tc>
        <w:tc>
          <w:tcPr>
            <w:tcW w:w="510" w:type="pct"/>
            <w:tcBorders>
              <w:top w:val="single" w:sz="4" w:space="0" w:color="auto"/>
              <w:left w:val="single" w:sz="4" w:space="0" w:color="auto"/>
              <w:bottom w:val="single" w:sz="4" w:space="0" w:color="auto"/>
              <w:right w:val="single" w:sz="4" w:space="0" w:color="auto"/>
            </w:tcBorders>
            <w:hideMark/>
          </w:tcPr>
          <w:p w14:paraId="646359A9" w14:textId="77777777" w:rsidR="00465EAD" w:rsidRPr="00FA159E" w:rsidRDefault="00465EAD">
            <w:pPr>
              <w:rPr>
                <w:sz w:val="20"/>
                <w:lang w:val="en-GB"/>
              </w:rPr>
            </w:pPr>
            <w:r w:rsidRPr="00FA159E">
              <w:rPr>
                <w:sz w:val="20"/>
                <w:lang w:val="en-GB"/>
              </w:rPr>
              <w:t xml:space="preserve">1 – 48 </w:t>
            </w:r>
            <w:proofErr w:type="spellStart"/>
            <w:r w:rsidRPr="00FA159E">
              <w:rPr>
                <w:sz w:val="20"/>
                <w:lang w:val="en-GB"/>
              </w:rPr>
              <w:t>måneder</w:t>
            </w:r>
            <w:proofErr w:type="spellEnd"/>
          </w:p>
        </w:tc>
        <w:tc>
          <w:tcPr>
            <w:tcW w:w="286" w:type="pct"/>
            <w:tcBorders>
              <w:top w:val="single" w:sz="4" w:space="0" w:color="auto"/>
              <w:left w:val="single" w:sz="4" w:space="0" w:color="auto"/>
              <w:bottom w:val="single" w:sz="4" w:space="0" w:color="auto"/>
              <w:right w:val="single" w:sz="4" w:space="0" w:color="auto"/>
            </w:tcBorders>
            <w:hideMark/>
          </w:tcPr>
          <w:p w14:paraId="5273A78C" w14:textId="77777777" w:rsidR="00465EAD" w:rsidRPr="00FA159E" w:rsidRDefault="00465EAD">
            <w:pPr>
              <w:rPr>
                <w:sz w:val="20"/>
                <w:lang w:val="en-GB"/>
              </w:rPr>
            </w:pPr>
            <w:r w:rsidRPr="00FA159E">
              <w:rPr>
                <w:sz w:val="20"/>
                <w:lang w:val="en-GB"/>
              </w:rPr>
              <w:t>115</w:t>
            </w:r>
          </w:p>
        </w:tc>
        <w:tc>
          <w:tcPr>
            <w:tcW w:w="653" w:type="pct"/>
            <w:tcBorders>
              <w:top w:val="single" w:sz="4" w:space="0" w:color="auto"/>
              <w:left w:val="single" w:sz="4" w:space="0" w:color="auto"/>
              <w:bottom w:val="single" w:sz="4" w:space="0" w:color="auto"/>
              <w:right w:val="single" w:sz="4" w:space="0" w:color="auto"/>
            </w:tcBorders>
            <w:hideMark/>
          </w:tcPr>
          <w:p w14:paraId="39EF8911" w14:textId="77777777" w:rsidR="00465EAD" w:rsidRPr="00FA159E" w:rsidRDefault="00465EAD">
            <w:pPr>
              <w:rPr>
                <w:sz w:val="20"/>
                <w:lang w:val="en-GB"/>
              </w:rPr>
            </w:pPr>
            <w:r w:rsidRPr="00FA159E">
              <w:rPr>
                <w:sz w:val="20"/>
                <w:lang w:val="en-GB"/>
              </w:rPr>
              <w:t>257</w:t>
            </w:r>
          </w:p>
        </w:tc>
        <w:tc>
          <w:tcPr>
            <w:tcW w:w="653" w:type="pct"/>
            <w:tcBorders>
              <w:top w:val="single" w:sz="4" w:space="0" w:color="auto"/>
              <w:left w:val="single" w:sz="4" w:space="0" w:color="auto"/>
              <w:bottom w:val="single" w:sz="4" w:space="0" w:color="auto"/>
              <w:right w:val="single" w:sz="4" w:space="0" w:color="auto"/>
            </w:tcBorders>
            <w:hideMark/>
          </w:tcPr>
          <w:p w14:paraId="356A1789" w14:textId="77777777" w:rsidR="00465EAD" w:rsidRPr="00FA159E" w:rsidRDefault="00465EAD">
            <w:pPr>
              <w:rPr>
                <w:sz w:val="20"/>
                <w:lang w:val="en-GB"/>
              </w:rPr>
            </w:pPr>
            <w:r w:rsidRPr="00FA159E">
              <w:rPr>
                <w:sz w:val="20"/>
                <w:lang w:val="en-GB"/>
              </w:rPr>
              <w:t>0,582</w:t>
            </w:r>
          </w:p>
        </w:tc>
        <w:tc>
          <w:tcPr>
            <w:tcW w:w="653" w:type="pct"/>
            <w:tcBorders>
              <w:top w:val="single" w:sz="4" w:space="0" w:color="auto"/>
              <w:left w:val="single" w:sz="4" w:space="0" w:color="auto"/>
              <w:bottom w:val="single" w:sz="4" w:space="0" w:color="auto"/>
              <w:right w:val="single" w:sz="4" w:space="0" w:color="auto"/>
            </w:tcBorders>
            <w:hideMark/>
          </w:tcPr>
          <w:p w14:paraId="4215ABC0" w14:textId="77777777" w:rsidR="00465EAD" w:rsidRPr="00FA159E" w:rsidRDefault="00465EAD">
            <w:pPr>
              <w:rPr>
                <w:sz w:val="20"/>
                <w:lang w:val="en-GB"/>
              </w:rPr>
            </w:pPr>
            <w:r w:rsidRPr="00FA159E">
              <w:rPr>
                <w:sz w:val="20"/>
                <w:lang w:val="en-GB"/>
              </w:rPr>
              <w:t>3,65</w:t>
            </w:r>
          </w:p>
        </w:tc>
        <w:tc>
          <w:tcPr>
            <w:tcW w:w="671" w:type="pct"/>
            <w:tcBorders>
              <w:top w:val="single" w:sz="4" w:space="0" w:color="auto"/>
              <w:left w:val="single" w:sz="4" w:space="0" w:color="auto"/>
              <w:bottom w:val="single" w:sz="4" w:space="0" w:color="auto"/>
              <w:right w:val="single" w:sz="4" w:space="0" w:color="auto"/>
            </w:tcBorders>
            <w:hideMark/>
          </w:tcPr>
          <w:p w14:paraId="546ABB71" w14:textId="77777777" w:rsidR="00465EAD" w:rsidRPr="00FA159E" w:rsidRDefault="00465EAD">
            <w:pPr>
              <w:rPr>
                <w:sz w:val="20"/>
                <w:lang w:val="en-GB"/>
              </w:rPr>
            </w:pPr>
            <w:r w:rsidRPr="00FA159E">
              <w:rPr>
                <w:sz w:val="20"/>
                <w:lang w:val="en-GB"/>
              </w:rPr>
              <w:t>4,9</w:t>
            </w:r>
          </w:p>
        </w:tc>
      </w:tr>
      <w:tr w:rsidR="00465EAD" w:rsidRPr="00FA159E" w14:paraId="2CD0FD11" w14:textId="77777777" w:rsidTr="00D0776B">
        <w:tc>
          <w:tcPr>
            <w:tcW w:w="646" w:type="pct"/>
            <w:tcBorders>
              <w:top w:val="single" w:sz="4" w:space="0" w:color="auto"/>
              <w:left w:val="single" w:sz="4" w:space="0" w:color="auto"/>
              <w:bottom w:val="single" w:sz="4" w:space="0" w:color="auto"/>
              <w:right w:val="single" w:sz="4" w:space="0" w:color="auto"/>
            </w:tcBorders>
            <w:hideMark/>
          </w:tcPr>
          <w:p w14:paraId="7A754D05" w14:textId="77777777" w:rsidR="00465EAD" w:rsidRPr="00FA159E" w:rsidRDefault="00465EAD">
            <w:pPr>
              <w:rPr>
                <w:sz w:val="20"/>
                <w:lang w:val="en-GB"/>
              </w:rPr>
            </w:pPr>
            <w:r w:rsidRPr="00FA159E">
              <w:rPr>
                <w:sz w:val="20"/>
                <w:lang w:val="en-GB"/>
              </w:rPr>
              <w:t>S3KG02</w:t>
            </w:r>
            <w:r w:rsidRPr="00FA159E">
              <w:rPr>
                <w:sz w:val="20"/>
                <w:vertAlign w:val="superscript"/>
                <w:lang w:val="en-GB"/>
              </w:rPr>
              <w:t>4</w:t>
            </w:r>
          </w:p>
        </w:tc>
        <w:tc>
          <w:tcPr>
            <w:tcW w:w="929" w:type="pct"/>
            <w:tcBorders>
              <w:top w:val="single" w:sz="4" w:space="0" w:color="auto"/>
              <w:left w:val="single" w:sz="4" w:space="0" w:color="auto"/>
              <w:bottom w:val="single" w:sz="4" w:space="0" w:color="auto"/>
              <w:right w:val="single" w:sz="4" w:space="0" w:color="auto"/>
            </w:tcBorders>
            <w:hideMark/>
          </w:tcPr>
          <w:p w14:paraId="0118C40A" w14:textId="77777777" w:rsidR="00465EAD" w:rsidRPr="00FA159E" w:rsidRDefault="00465EAD">
            <w:pPr>
              <w:rPr>
                <w:sz w:val="20"/>
                <w:lang w:val="en-GB"/>
              </w:rPr>
            </w:pPr>
            <w:proofErr w:type="spellStart"/>
            <w:r w:rsidRPr="00FA159E">
              <w:rPr>
                <w:sz w:val="20"/>
                <w:lang w:val="en-GB"/>
              </w:rPr>
              <w:t>Kirurgi</w:t>
            </w:r>
            <w:proofErr w:type="spellEnd"/>
            <w:r w:rsidRPr="00FA159E">
              <w:rPr>
                <w:sz w:val="20"/>
                <w:lang w:val="en-GB"/>
              </w:rPr>
              <w:t xml:space="preserve"> (2 mg </w:t>
            </w:r>
            <w:proofErr w:type="spellStart"/>
            <w:r w:rsidRPr="00FA159E">
              <w:rPr>
                <w:sz w:val="20"/>
                <w:lang w:val="en-GB"/>
              </w:rPr>
              <w:t>eller</w:t>
            </w:r>
            <w:proofErr w:type="spellEnd"/>
            <w:r w:rsidRPr="00FA159E">
              <w:rPr>
                <w:sz w:val="20"/>
                <w:lang w:val="en-GB"/>
              </w:rPr>
              <w:t xml:space="preserve"> 4 mg)</w:t>
            </w:r>
          </w:p>
        </w:tc>
        <w:tc>
          <w:tcPr>
            <w:tcW w:w="510" w:type="pct"/>
            <w:tcBorders>
              <w:top w:val="single" w:sz="4" w:space="0" w:color="auto"/>
              <w:left w:val="single" w:sz="4" w:space="0" w:color="auto"/>
              <w:bottom w:val="single" w:sz="4" w:space="0" w:color="auto"/>
              <w:right w:val="single" w:sz="4" w:space="0" w:color="auto"/>
            </w:tcBorders>
            <w:hideMark/>
          </w:tcPr>
          <w:p w14:paraId="2E2553A1" w14:textId="77777777" w:rsidR="00465EAD" w:rsidRPr="00FA159E" w:rsidRDefault="00465EAD">
            <w:pPr>
              <w:rPr>
                <w:sz w:val="20"/>
                <w:lang w:val="en-GB"/>
              </w:rPr>
            </w:pPr>
            <w:r w:rsidRPr="00FA159E">
              <w:rPr>
                <w:sz w:val="20"/>
                <w:lang w:val="en-GB"/>
              </w:rPr>
              <w:t xml:space="preserve">3 – 12 </w:t>
            </w:r>
            <w:proofErr w:type="spellStart"/>
            <w:r w:rsidRPr="00FA159E">
              <w:rPr>
                <w:sz w:val="20"/>
                <w:lang w:val="en-GB"/>
              </w:rPr>
              <w:t>år</w:t>
            </w:r>
            <w:proofErr w:type="spellEnd"/>
          </w:p>
        </w:tc>
        <w:tc>
          <w:tcPr>
            <w:tcW w:w="286" w:type="pct"/>
            <w:tcBorders>
              <w:top w:val="single" w:sz="4" w:space="0" w:color="auto"/>
              <w:left w:val="single" w:sz="4" w:space="0" w:color="auto"/>
              <w:bottom w:val="single" w:sz="4" w:space="0" w:color="auto"/>
              <w:right w:val="single" w:sz="4" w:space="0" w:color="auto"/>
            </w:tcBorders>
            <w:hideMark/>
          </w:tcPr>
          <w:p w14:paraId="69061078" w14:textId="77777777" w:rsidR="00465EAD" w:rsidRPr="00FA159E" w:rsidRDefault="00465EAD">
            <w:pPr>
              <w:rPr>
                <w:sz w:val="20"/>
                <w:lang w:val="en-GB"/>
              </w:rPr>
            </w:pPr>
            <w:r w:rsidRPr="00FA159E">
              <w:rPr>
                <w:sz w:val="20"/>
                <w:lang w:val="en-GB"/>
              </w:rPr>
              <w:t>21</w:t>
            </w:r>
          </w:p>
        </w:tc>
        <w:tc>
          <w:tcPr>
            <w:tcW w:w="653" w:type="pct"/>
            <w:tcBorders>
              <w:top w:val="single" w:sz="4" w:space="0" w:color="auto"/>
              <w:left w:val="single" w:sz="4" w:space="0" w:color="auto"/>
              <w:bottom w:val="single" w:sz="4" w:space="0" w:color="auto"/>
              <w:right w:val="single" w:sz="4" w:space="0" w:color="auto"/>
            </w:tcBorders>
            <w:hideMark/>
          </w:tcPr>
          <w:p w14:paraId="28B2ADCA" w14:textId="77777777" w:rsidR="00465EAD" w:rsidRPr="00FA159E" w:rsidRDefault="00465EAD">
            <w:pPr>
              <w:rPr>
                <w:sz w:val="20"/>
                <w:lang w:val="en-GB"/>
              </w:rPr>
            </w:pPr>
            <w:r w:rsidRPr="00FA159E">
              <w:rPr>
                <w:sz w:val="20"/>
                <w:lang w:val="en-GB"/>
              </w:rPr>
              <w:t>240</w:t>
            </w:r>
          </w:p>
        </w:tc>
        <w:tc>
          <w:tcPr>
            <w:tcW w:w="653" w:type="pct"/>
            <w:tcBorders>
              <w:top w:val="single" w:sz="4" w:space="0" w:color="auto"/>
              <w:left w:val="single" w:sz="4" w:space="0" w:color="auto"/>
              <w:bottom w:val="single" w:sz="4" w:space="0" w:color="auto"/>
              <w:right w:val="single" w:sz="4" w:space="0" w:color="auto"/>
            </w:tcBorders>
            <w:hideMark/>
          </w:tcPr>
          <w:p w14:paraId="69C1E69D" w14:textId="77777777" w:rsidR="00465EAD" w:rsidRPr="00FA159E" w:rsidRDefault="00465EAD">
            <w:pPr>
              <w:rPr>
                <w:sz w:val="20"/>
                <w:lang w:val="en-GB"/>
              </w:rPr>
            </w:pPr>
            <w:r w:rsidRPr="00FA159E">
              <w:rPr>
                <w:sz w:val="20"/>
                <w:lang w:val="en-GB"/>
              </w:rPr>
              <w:t>0,439</w:t>
            </w:r>
          </w:p>
        </w:tc>
        <w:tc>
          <w:tcPr>
            <w:tcW w:w="653" w:type="pct"/>
            <w:tcBorders>
              <w:top w:val="single" w:sz="4" w:space="0" w:color="auto"/>
              <w:left w:val="single" w:sz="4" w:space="0" w:color="auto"/>
              <w:bottom w:val="single" w:sz="4" w:space="0" w:color="auto"/>
              <w:right w:val="single" w:sz="4" w:space="0" w:color="auto"/>
            </w:tcBorders>
            <w:hideMark/>
          </w:tcPr>
          <w:p w14:paraId="4EB8F2C5" w14:textId="77777777" w:rsidR="00465EAD" w:rsidRPr="00FA159E" w:rsidRDefault="00465EAD">
            <w:pPr>
              <w:rPr>
                <w:sz w:val="20"/>
                <w:lang w:val="en-GB"/>
              </w:rPr>
            </w:pPr>
            <w:r w:rsidRPr="00FA159E">
              <w:rPr>
                <w:sz w:val="20"/>
                <w:lang w:val="en-GB"/>
              </w:rPr>
              <w:t>1,65</w:t>
            </w:r>
          </w:p>
        </w:tc>
        <w:tc>
          <w:tcPr>
            <w:tcW w:w="671" w:type="pct"/>
            <w:tcBorders>
              <w:top w:val="single" w:sz="4" w:space="0" w:color="auto"/>
              <w:left w:val="single" w:sz="4" w:space="0" w:color="auto"/>
              <w:bottom w:val="single" w:sz="4" w:space="0" w:color="auto"/>
              <w:right w:val="single" w:sz="4" w:space="0" w:color="auto"/>
            </w:tcBorders>
            <w:hideMark/>
          </w:tcPr>
          <w:p w14:paraId="28465253" w14:textId="77777777" w:rsidR="00465EAD" w:rsidRPr="00FA159E" w:rsidRDefault="00465EAD">
            <w:pPr>
              <w:rPr>
                <w:sz w:val="20"/>
                <w:lang w:val="en-GB"/>
              </w:rPr>
            </w:pPr>
            <w:r w:rsidRPr="00FA159E">
              <w:rPr>
                <w:sz w:val="20"/>
                <w:lang w:val="en-GB"/>
              </w:rPr>
              <w:t>2,9</w:t>
            </w:r>
          </w:p>
        </w:tc>
      </w:tr>
      <w:tr w:rsidR="00465EAD" w:rsidRPr="00FA159E" w14:paraId="33C08F22" w14:textId="77777777" w:rsidTr="00D0776B">
        <w:tc>
          <w:tcPr>
            <w:tcW w:w="646" w:type="pct"/>
            <w:tcBorders>
              <w:top w:val="single" w:sz="4" w:space="0" w:color="auto"/>
              <w:left w:val="single" w:sz="4" w:space="0" w:color="auto"/>
              <w:bottom w:val="single" w:sz="4" w:space="0" w:color="auto"/>
              <w:right w:val="single" w:sz="4" w:space="0" w:color="auto"/>
            </w:tcBorders>
            <w:hideMark/>
          </w:tcPr>
          <w:p w14:paraId="68893084" w14:textId="77777777" w:rsidR="00465EAD" w:rsidRPr="00FA159E" w:rsidRDefault="00465EAD">
            <w:pPr>
              <w:rPr>
                <w:sz w:val="20"/>
                <w:lang w:val="en-GB"/>
              </w:rPr>
            </w:pPr>
            <w:r w:rsidRPr="00FA159E">
              <w:rPr>
                <w:sz w:val="20"/>
                <w:lang w:val="en-GB"/>
              </w:rPr>
              <w:t>S3A-150</w:t>
            </w:r>
          </w:p>
        </w:tc>
        <w:tc>
          <w:tcPr>
            <w:tcW w:w="929" w:type="pct"/>
            <w:tcBorders>
              <w:top w:val="single" w:sz="4" w:space="0" w:color="auto"/>
              <w:left w:val="single" w:sz="4" w:space="0" w:color="auto"/>
              <w:bottom w:val="single" w:sz="4" w:space="0" w:color="auto"/>
              <w:right w:val="single" w:sz="4" w:space="0" w:color="auto"/>
            </w:tcBorders>
            <w:hideMark/>
          </w:tcPr>
          <w:p w14:paraId="721732C2" w14:textId="77777777" w:rsidR="00465EAD" w:rsidRPr="00FA159E" w:rsidRDefault="00465EAD">
            <w:pPr>
              <w:rPr>
                <w:sz w:val="20"/>
              </w:rPr>
            </w:pPr>
            <w:r w:rsidRPr="00FA159E">
              <w:rPr>
                <w:sz w:val="20"/>
              </w:rPr>
              <w:t>Cancer (0,15 mg/kg hver 4. time)</w:t>
            </w:r>
          </w:p>
        </w:tc>
        <w:tc>
          <w:tcPr>
            <w:tcW w:w="510" w:type="pct"/>
            <w:tcBorders>
              <w:top w:val="single" w:sz="4" w:space="0" w:color="auto"/>
              <w:left w:val="single" w:sz="4" w:space="0" w:color="auto"/>
              <w:bottom w:val="single" w:sz="4" w:space="0" w:color="auto"/>
              <w:right w:val="single" w:sz="4" w:space="0" w:color="auto"/>
            </w:tcBorders>
            <w:hideMark/>
          </w:tcPr>
          <w:p w14:paraId="7F033183" w14:textId="77777777" w:rsidR="00465EAD" w:rsidRPr="00FA159E" w:rsidRDefault="00465EAD">
            <w:pPr>
              <w:rPr>
                <w:sz w:val="20"/>
                <w:lang w:val="en-GB"/>
              </w:rPr>
            </w:pPr>
            <w:r w:rsidRPr="00FA159E">
              <w:rPr>
                <w:sz w:val="20"/>
                <w:lang w:val="en-GB"/>
              </w:rPr>
              <w:t xml:space="preserve">1 -18 </w:t>
            </w:r>
            <w:proofErr w:type="spellStart"/>
            <w:r w:rsidRPr="00FA159E">
              <w:rPr>
                <w:sz w:val="20"/>
                <w:lang w:val="en-GB"/>
              </w:rPr>
              <w:t>år</w:t>
            </w:r>
            <w:proofErr w:type="spellEnd"/>
          </w:p>
        </w:tc>
        <w:tc>
          <w:tcPr>
            <w:tcW w:w="286" w:type="pct"/>
            <w:tcBorders>
              <w:top w:val="single" w:sz="4" w:space="0" w:color="auto"/>
              <w:left w:val="single" w:sz="4" w:space="0" w:color="auto"/>
              <w:bottom w:val="single" w:sz="4" w:space="0" w:color="auto"/>
              <w:right w:val="single" w:sz="4" w:space="0" w:color="auto"/>
            </w:tcBorders>
            <w:hideMark/>
          </w:tcPr>
          <w:p w14:paraId="388F644E" w14:textId="77777777" w:rsidR="00465EAD" w:rsidRPr="00FA159E" w:rsidRDefault="00465EAD">
            <w:pPr>
              <w:rPr>
                <w:sz w:val="20"/>
                <w:lang w:val="en-GB"/>
              </w:rPr>
            </w:pPr>
            <w:r w:rsidRPr="00FA159E">
              <w:rPr>
                <w:sz w:val="20"/>
                <w:lang w:val="en-GB"/>
              </w:rPr>
              <w:t>21</w:t>
            </w:r>
          </w:p>
        </w:tc>
        <w:tc>
          <w:tcPr>
            <w:tcW w:w="653" w:type="pct"/>
            <w:tcBorders>
              <w:top w:val="single" w:sz="4" w:space="0" w:color="auto"/>
              <w:left w:val="single" w:sz="4" w:space="0" w:color="auto"/>
              <w:bottom w:val="single" w:sz="4" w:space="0" w:color="auto"/>
              <w:right w:val="single" w:sz="4" w:space="0" w:color="auto"/>
            </w:tcBorders>
            <w:hideMark/>
          </w:tcPr>
          <w:p w14:paraId="7007C599" w14:textId="77777777" w:rsidR="00465EAD" w:rsidRPr="00FA159E" w:rsidRDefault="00465EAD">
            <w:pPr>
              <w:rPr>
                <w:sz w:val="20"/>
                <w:lang w:val="en-GB"/>
              </w:rPr>
            </w:pPr>
            <w:r w:rsidRPr="00FA159E">
              <w:rPr>
                <w:sz w:val="20"/>
                <w:lang w:val="en-GB"/>
              </w:rPr>
              <w:t>247</w:t>
            </w:r>
          </w:p>
        </w:tc>
        <w:tc>
          <w:tcPr>
            <w:tcW w:w="653" w:type="pct"/>
            <w:tcBorders>
              <w:top w:val="single" w:sz="4" w:space="0" w:color="auto"/>
              <w:left w:val="single" w:sz="4" w:space="0" w:color="auto"/>
              <w:bottom w:val="single" w:sz="4" w:space="0" w:color="auto"/>
              <w:right w:val="single" w:sz="4" w:space="0" w:color="auto"/>
            </w:tcBorders>
            <w:hideMark/>
          </w:tcPr>
          <w:p w14:paraId="7534606F" w14:textId="77777777" w:rsidR="00465EAD" w:rsidRPr="00FA159E" w:rsidRDefault="00465EAD">
            <w:pPr>
              <w:rPr>
                <w:sz w:val="20"/>
                <w:lang w:val="en-GB"/>
              </w:rPr>
            </w:pPr>
            <w:r w:rsidRPr="00FA159E">
              <w:rPr>
                <w:sz w:val="20"/>
                <w:lang w:val="en-GB"/>
              </w:rPr>
              <w:t>0,599</w:t>
            </w:r>
          </w:p>
        </w:tc>
        <w:tc>
          <w:tcPr>
            <w:tcW w:w="653" w:type="pct"/>
            <w:tcBorders>
              <w:top w:val="single" w:sz="4" w:space="0" w:color="auto"/>
              <w:left w:val="single" w:sz="4" w:space="0" w:color="auto"/>
              <w:bottom w:val="single" w:sz="4" w:space="0" w:color="auto"/>
              <w:right w:val="single" w:sz="4" w:space="0" w:color="auto"/>
            </w:tcBorders>
            <w:hideMark/>
          </w:tcPr>
          <w:p w14:paraId="75648B37" w14:textId="77777777" w:rsidR="00465EAD" w:rsidRPr="00FA159E" w:rsidRDefault="00465EAD">
            <w:pPr>
              <w:rPr>
                <w:sz w:val="20"/>
                <w:lang w:val="en-GB"/>
              </w:rPr>
            </w:pPr>
            <w:r w:rsidRPr="00FA159E">
              <w:rPr>
                <w:sz w:val="20"/>
                <w:lang w:val="en-GB"/>
              </w:rPr>
              <w:t>1,9</w:t>
            </w:r>
          </w:p>
        </w:tc>
        <w:tc>
          <w:tcPr>
            <w:tcW w:w="671" w:type="pct"/>
            <w:tcBorders>
              <w:top w:val="single" w:sz="4" w:space="0" w:color="auto"/>
              <w:left w:val="single" w:sz="4" w:space="0" w:color="auto"/>
              <w:bottom w:val="single" w:sz="4" w:space="0" w:color="auto"/>
              <w:right w:val="single" w:sz="4" w:space="0" w:color="auto"/>
            </w:tcBorders>
            <w:hideMark/>
          </w:tcPr>
          <w:p w14:paraId="2D3DB7CA" w14:textId="77777777" w:rsidR="00465EAD" w:rsidRPr="00FA159E" w:rsidRDefault="00465EAD">
            <w:pPr>
              <w:rPr>
                <w:sz w:val="20"/>
                <w:lang w:val="en-GB"/>
              </w:rPr>
            </w:pPr>
            <w:r w:rsidRPr="00FA159E">
              <w:rPr>
                <w:sz w:val="20"/>
                <w:lang w:val="en-GB"/>
              </w:rPr>
              <w:t>2,8</w:t>
            </w:r>
          </w:p>
        </w:tc>
      </w:tr>
    </w:tbl>
    <w:p w14:paraId="7D3FE184" w14:textId="77777777" w:rsidR="00465EAD" w:rsidRPr="00F47ED1" w:rsidRDefault="00465EAD" w:rsidP="00465EAD">
      <w:pPr>
        <w:rPr>
          <w:sz w:val="24"/>
          <w:szCs w:val="24"/>
        </w:rPr>
      </w:pPr>
      <w:r w:rsidRPr="00F47ED1">
        <w:rPr>
          <w:sz w:val="24"/>
          <w:szCs w:val="24"/>
        </w:rPr>
        <w:t xml:space="preserve">1: Enkelt intravenøs dosis af </w:t>
      </w:r>
      <w:proofErr w:type="spellStart"/>
      <w:r w:rsidRPr="00F47ED1">
        <w:rPr>
          <w:sz w:val="24"/>
          <w:szCs w:val="24"/>
        </w:rPr>
        <w:t>ondansetron</w:t>
      </w:r>
      <w:proofErr w:type="spellEnd"/>
      <w:r w:rsidRPr="00F47ED1">
        <w:rPr>
          <w:sz w:val="24"/>
          <w:szCs w:val="24"/>
        </w:rPr>
        <w:t>: 0,1 eller 0,2 mg/kg</w:t>
      </w:r>
    </w:p>
    <w:p w14:paraId="16BB80D0" w14:textId="77777777" w:rsidR="00465EAD" w:rsidRPr="00F47ED1" w:rsidRDefault="00465EAD" w:rsidP="00465EAD">
      <w:pPr>
        <w:rPr>
          <w:sz w:val="24"/>
          <w:szCs w:val="24"/>
        </w:rPr>
      </w:pPr>
      <w:r w:rsidRPr="00F47ED1">
        <w:rPr>
          <w:sz w:val="24"/>
          <w:szCs w:val="24"/>
        </w:rPr>
        <w:t xml:space="preserve">2: </w:t>
      </w:r>
      <w:proofErr w:type="spellStart"/>
      <w:r w:rsidRPr="00F47ED1">
        <w:rPr>
          <w:sz w:val="24"/>
          <w:szCs w:val="24"/>
        </w:rPr>
        <w:t>Farmakokinetiske</w:t>
      </w:r>
      <w:proofErr w:type="spellEnd"/>
      <w:r w:rsidRPr="00F47ED1">
        <w:rPr>
          <w:sz w:val="24"/>
          <w:szCs w:val="24"/>
        </w:rPr>
        <w:t xml:space="preserve"> populationspatienter: 64 % cancerpatienter og 36 % kirurgipatienter.</w:t>
      </w:r>
    </w:p>
    <w:p w14:paraId="324968C8" w14:textId="77777777" w:rsidR="00465EAD" w:rsidRPr="00F47ED1" w:rsidRDefault="00465EAD" w:rsidP="00465EAD">
      <w:pPr>
        <w:rPr>
          <w:sz w:val="24"/>
          <w:szCs w:val="24"/>
        </w:rPr>
      </w:pPr>
      <w:r w:rsidRPr="00F47ED1">
        <w:rPr>
          <w:sz w:val="24"/>
          <w:szCs w:val="24"/>
        </w:rPr>
        <w:t>3: Populationsestimater vist; AUC baseret på en dosis på 0,15 mg/kg.</w:t>
      </w:r>
    </w:p>
    <w:p w14:paraId="4545837E" w14:textId="77777777" w:rsidR="00465EAD" w:rsidRPr="00F47ED1" w:rsidRDefault="00465EAD" w:rsidP="00465EAD">
      <w:pPr>
        <w:rPr>
          <w:sz w:val="24"/>
          <w:szCs w:val="24"/>
        </w:rPr>
      </w:pPr>
      <w:r w:rsidRPr="00F47ED1">
        <w:rPr>
          <w:sz w:val="24"/>
          <w:szCs w:val="24"/>
        </w:rPr>
        <w:t xml:space="preserve">4: Enkelt intravenøs dosis af </w:t>
      </w:r>
      <w:proofErr w:type="spellStart"/>
      <w:r w:rsidRPr="00F47ED1">
        <w:rPr>
          <w:sz w:val="24"/>
          <w:szCs w:val="24"/>
        </w:rPr>
        <w:t>ondansetron</w:t>
      </w:r>
      <w:proofErr w:type="spellEnd"/>
      <w:r w:rsidRPr="00F47ED1">
        <w:rPr>
          <w:sz w:val="24"/>
          <w:szCs w:val="24"/>
        </w:rPr>
        <w:t>: 2 mg (3 til 7 år) eller 4 mg (8 til 12 år)</w:t>
      </w:r>
    </w:p>
    <w:p w14:paraId="4682D980" w14:textId="77777777" w:rsidR="009260DE" w:rsidRPr="00F47ED1" w:rsidRDefault="009260DE" w:rsidP="009260DE">
      <w:pPr>
        <w:tabs>
          <w:tab w:val="left" w:pos="851"/>
        </w:tabs>
        <w:ind w:left="851"/>
        <w:rPr>
          <w:sz w:val="24"/>
          <w:szCs w:val="24"/>
        </w:rPr>
      </w:pPr>
    </w:p>
    <w:p w14:paraId="2BA68DEC" w14:textId="77777777" w:rsidR="007A24EA" w:rsidRPr="00C84483" w:rsidRDefault="007A24EA" w:rsidP="007A24EA">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7BF2604D" w14:textId="77777777" w:rsidR="00465EAD" w:rsidRPr="00F47ED1" w:rsidRDefault="00465EAD" w:rsidP="00D0776B">
      <w:pPr>
        <w:numPr>
          <w:ilvl w:val="12"/>
          <w:numId w:val="0"/>
        </w:numPr>
        <w:ind w:left="851" w:right="11"/>
        <w:rPr>
          <w:noProof/>
          <w:sz w:val="24"/>
          <w:szCs w:val="24"/>
          <w:u w:val="single"/>
        </w:rPr>
      </w:pPr>
      <w:r w:rsidRPr="00F47ED1">
        <w:rPr>
          <w:sz w:val="24"/>
          <w:szCs w:val="24"/>
        </w:rPr>
        <w:t xml:space="preserve">Non-kliniske data viser ingen speciel risiko for mennesker vurderet ud fra konventionelle studier af sikkerhedsfarmakologi, toksicitet efter gentagne doser, genotoksicitet og </w:t>
      </w:r>
      <w:proofErr w:type="spellStart"/>
      <w:r w:rsidRPr="00F47ED1">
        <w:rPr>
          <w:sz w:val="24"/>
          <w:szCs w:val="24"/>
        </w:rPr>
        <w:t>karcinogent</w:t>
      </w:r>
      <w:proofErr w:type="spellEnd"/>
      <w:r w:rsidRPr="00F47ED1">
        <w:rPr>
          <w:sz w:val="24"/>
          <w:szCs w:val="24"/>
        </w:rPr>
        <w:t xml:space="preserve"> potentiale. </w:t>
      </w:r>
    </w:p>
    <w:p w14:paraId="1C656ADA" w14:textId="77777777" w:rsidR="00465EAD" w:rsidRPr="00F47ED1" w:rsidRDefault="00465EAD" w:rsidP="00D0776B">
      <w:pPr>
        <w:ind w:left="851"/>
        <w:rPr>
          <w:sz w:val="24"/>
          <w:szCs w:val="24"/>
        </w:rPr>
      </w:pPr>
    </w:p>
    <w:p w14:paraId="79C0F0DA" w14:textId="77777777" w:rsidR="00465EAD" w:rsidRPr="00F47ED1" w:rsidRDefault="00465EAD" w:rsidP="00D0776B">
      <w:pPr>
        <w:ind w:left="851"/>
        <w:rPr>
          <w:sz w:val="24"/>
          <w:szCs w:val="24"/>
        </w:rPr>
      </w:pPr>
      <w:proofErr w:type="spellStart"/>
      <w:r w:rsidRPr="00F47ED1">
        <w:rPr>
          <w:sz w:val="24"/>
          <w:szCs w:val="24"/>
        </w:rPr>
        <w:t>Ondansetron</w:t>
      </w:r>
      <w:proofErr w:type="spellEnd"/>
      <w:r w:rsidRPr="00F47ED1">
        <w:rPr>
          <w:sz w:val="24"/>
          <w:szCs w:val="24"/>
        </w:rPr>
        <w:t xml:space="preserve"> og dets metabolitter akkumuleres i mælken hos rotter; mælk/plasma-ratioen var 5,2. Et studie i klonede ionkanaler fra det humane hjerte har vist, at </w:t>
      </w:r>
      <w:proofErr w:type="spellStart"/>
      <w:r w:rsidRPr="00F47ED1">
        <w:rPr>
          <w:sz w:val="24"/>
          <w:szCs w:val="24"/>
        </w:rPr>
        <w:t>ondansetron</w:t>
      </w:r>
      <w:proofErr w:type="spellEnd"/>
      <w:r w:rsidRPr="00F47ED1">
        <w:rPr>
          <w:sz w:val="24"/>
          <w:szCs w:val="24"/>
        </w:rPr>
        <w:t xml:space="preserve"> potentielt kan påvirke hjertets </w:t>
      </w:r>
      <w:proofErr w:type="spellStart"/>
      <w:r w:rsidRPr="00F47ED1">
        <w:rPr>
          <w:sz w:val="24"/>
          <w:szCs w:val="24"/>
        </w:rPr>
        <w:t>repolarisering</w:t>
      </w:r>
      <w:proofErr w:type="spellEnd"/>
      <w:r w:rsidRPr="00F47ED1">
        <w:rPr>
          <w:sz w:val="24"/>
          <w:szCs w:val="24"/>
        </w:rPr>
        <w:t xml:space="preserve"> via en blokade af HERG-kaliumkanalerne. Den kliniske relevans af dette fund er ikke klarlagt.</w:t>
      </w:r>
    </w:p>
    <w:p w14:paraId="24D854A1" w14:textId="77777777" w:rsidR="009260DE" w:rsidRPr="00F47ED1" w:rsidRDefault="009260DE" w:rsidP="009260DE">
      <w:pPr>
        <w:tabs>
          <w:tab w:val="left" w:pos="851"/>
        </w:tabs>
        <w:ind w:left="851"/>
        <w:rPr>
          <w:sz w:val="24"/>
          <w:szCs w:val="24"/>
        </w:rPr>
      </w:pPr>
    </w:p>
    <w:p w14:paraId="1A336C6C" w14:textId="77777777" w:rsidR="009260DE" w:rsidRPr="00F47ED1" w:rsidRDefault="009260DE" w:rsidP="009260DE">
      <w:pPr>
        <w:tabs>
          <w:tab w:val="left" w:pos="851"/>
        </w:tabs>
        <w:ind w:left="851"/>
        <w:rPr>
          <w:sz w:val="24"/>
          <w:szCs w:val="24"/>
        </w:rPr>
      </w:pPr>
    </w:p>
    <w:p w14:paraId="41D32D19" w14:textId="77777777" w:rsidR="009260DE" w:rsidRPr="00F47ED1" w:rsidRDefault="009260DE" w:rsidP="009260DE">
      <w:pPr>
        <w:tabs>
          <w:tab w:val="left" w:pos="851"/>
        </w:tabs>
        <w:ind w:left="851" w:hanging="851"/>
        <w:rPr>
          <w:b/>
          <w:sz w:val="24"/>
          <w:szCs w:val="24"/>
        </w:rPr>
      </w:pPr>
      <w:r w:rsidRPr="00F47ED1">
        <w:rPr>
          <w:b/>
          <w:sz w:val="24"/>
          <w:szCs w:val="24"/>
        </w:rPr>
        <w:t>6.</w:t>
      </w:r>
      <w:r w:rsidRPr="00F47ED1">
        <w:rPr>
          <w:b/>
          <w:sz w:val="24"/>
          <w:szCs w:val="24"/>
        </w:rPr>
        <w:tab/>
        <w:t>FARMACEUTISKE OPLYSNINGER</w:t>
      </w:r>
    </w:p>
    <w:p w14:paraId="5D75E4F5" w14:textId="77777777" w:rsidR="009260DE" w:rsidRPr="00F47ED1" w:rsidRDefault="009260DE" w:rsidP="009260DE">
      <w:pPr>
        <w:tabs>
          <w:tab w:val="left" w:pos="851"/>
        </w:tabs>
        <w:ind w:left="851"/>
        <w:rPr>
          <w:sz w:val="24"/>
          <w:szCs w:val="24"/>
        </w:rPr>
      </w:pPr>
    </w:p>
    <w:p w14:paraId="0EDD72C8" w14:textId="77777777" w:rsidR="009260DE" w:rsidRPr="00F47ED1" w:rsidRDefault="009260DE" w:rsidP="009260DE">
      <w:pPr>
        <w:tabs>
          <w:tab w:val="left" w:pos="851"/>
        </w:tabs>
        <w:ind w:left="851" w:hanging="851"/>
        <w:rPr>
          <w:b/>
          <w:sz w:val="24"/>
          <w:szCs w:val="24"/>
        </w:rPr>
      </w:pPr>
      <w:r w:rsidRPr="00F47ED1">
        <w:rPr>
          <w:b/>
          <w:sz w:val="24"/>
          <w:szCs w:val="24"/>
        </w:rPr>
        <w:t>6.1</w:t>
      </w:r>
      <w:r w:rsidRPr="00F47ED1">
        <w:rPr>
          <w:b/>
          <w:sz w:val="24"/>
          <w:szCs w:val="24"/>
        </w:rPr>
        <w:tab/>
        <w:t>Hjælpestoffer</w:t>
      </w:r>
    </w:p>
    <w:p w14:paraId="3E1FB450" w14:textId="77777777" w:rsidR="00F2169F" w:rsidRPr="00F47ED1" w:rsidRDefault="00F2169F" w:rsidP="00D0776B">
      <w:pPr>
        <w:ind w:left="851"/>
        <w:rPr>
          <w:sz w:val="24"/>
          <w:szCs w:val="24"/>
        </w:rPr>
      </w:pPr>
      <w:proofErr w:type="spellStart"/>
      <w:r w:rsidRPr="00F47ED1">
        <w:rPr>
          <w:sz w:val="24"/>
          <w:szCs w:val="24"/>
        </w:rPr>
        <w:t>Lactosemonohydrat</w:t>
      </w:r>
      <w:proofErr w:type="spellEnd"/>
    </w:p>
    <w:p w14:paraId="615546D0" w14:textId="77777777" w:rsidR="00F2169F" w:rsidRPr="00F47ED1" w:rsidRDefault="00F2169F" w:rsidP="00D0776B">
      <w:pPr>
        <w:ind w:left="851"/>
        <w:rPr>
          <w:sz w:val="24"/>
          <w:szCs w:val="24"/>
        </w:rPr>
      </w:pPr>
      <w:r w:rsidRPr="00F47ED1">
        <w:rPr>
          <w:sz w:val="24"/>
          <w:szCs w:val="24"/>
        </w:rPr>
        <w:t>Mikrokrystallinsk cellulose E460</w:t>
      </w:r>
    </w:p>
    <w:p w14:paraId="1F8A8D08" w14:textId="77777777" w:rsidR="00F2169F" w:rsidRPr="00F47ED1" w:rsidRDefault="00F2169F" w:rsidP="00D0776B">
      <w:pPr>
        <w:ind w:left="851"/>
        <w:rPr>
          <w:sz w:val="24"/>
          <w:szCs w:val="24"/>
        </w:rPr>
      </w:pPr>
      <w:r w:rsidRPr="00F47ED1">
        <w:rPr>
          <w:sz w:val="24"/>
          <w:szCs w:val="24"/>
        </w:rPr>
        <w:t>Majsstivelse</w:t>
      </w:r>
    </w:p>
    <w:p w14:paraId="21511BDD" w14:textId="77777777" w:rsidR="00F2169F" w:rsidRPr="001E19A9" w:rsidRDefault="00F2169F" w:rsidP="00D0776B">
      <w:pPr>
        <w:ind w:left="851"/>
        <w:rPr>
          <w:sz w:val="24"/>
          <w:szCs w:val="24"/>
          <w:lang w:val="en-US"/>
        </w:rPr>
      </w:pPr>
      <w:proofErr w:type="spellStart"/>
      <w:r w:rsidRPr="001E19A9">
        <w:rPr>
          <w:sz w:val="24"/>
          <w:szCs w:val="24"/>
          <w:lang w:val="en-US"/>
        </w:rPr>
        <w:t>Magnesiumstearat</w:t>
      </w:r>
      <w:proofErr w:type="spellEnd"/>
    </w:p>
    <w:p w14:paraId="3FA6AA5A" w14:textId="77777777" w:rsidR="00F2169F" w:rsidRPr="001E19A9" w:rsidRDefault="00F2169F" w:rsidP="00D0776B">
      <w:pPr>
        <w:ind w:left="851"/>
        <w:rPr>
          <w:sz w:val="24"/>
          <w:szCs w:val="24"/>
          <w:lang w:val="en-US"/>
        </w:rPr>
      </w:pPr>
      <w:r w:rsidRPr="001E19A9">
        <w:rPr>
          <w:sz w:val="24"/>
          <w:szCs w:val="24"/>
          <w:lang w:val="en-US"/>
        </w:rPr>
        <w:t>Hypromellose E464</w:t>
      </w:r>
    </w:p>
    <w:p w14:paraId="77E219F4" w14:textId="77777777" w:rsidR="00F2169F" w:rsidRPr="001E19A9" w:rsidRDefault="00F2169F" w:rsidP="00D0776B">
      <w:pPr>
        <w:ind w:left="851"/>
        <w:rPr>
          <w:sz w:val="24"/>
          <w:szCs w:val="24"/>
          <w:lang w:val="en-US"/>
        </w:rPr>
      </w:pPr>
      <w:proofErr w:type="spellStart"/>
      <w:r w:rsidRPr="001E19A9">
        <w:rPr>
          <w:sz w:val="24"/>
          <w:szCs w:val="24"/>
          <w:lang w:val="en-US"/>
        </w:rPr>
        <w:t>Titandioxid</w:t>
      </w:r>
      <w:proofErr w:type="spellEnd"/>
      <w:r w:rsidRPr="001E19A9">
        <w:rPr>
          <w:sz w:val="24"/>
          <w:szCs w:val="24"/>
          <w:lang w:val="en-US"/>
        </w:rPr>
        <w:t xml:space="preserve"> E171</w:t>
      </w:r>
    </w:p>
    <w:p w14:paraId="380AAEFC" w14:textId="77777777" w:rsidR="00F2169F" w:rsidRPr="001E19A9" w:rsidRDefault="00F2169F" w:rsidP="00D0776B">
      <w:pPr>
        <w:ind w:left="851"/>
        <w:rPr>
          <w:sz w:val="24"/>
          <w:szCs w:val="24"/>
          <w:lang w:val="en-US"/>
        </w:rPr>
      </w:pPr>
      <w:proofErr w:type="spellStart"/>
      <w:r w:rsidRPr="001E19A9">
        <w:rPr>
          <w:sz w:val="24"/>
          <w:szCs w:val="24"/>
          <w:lang w:val="en-US"/>
        </w:rPr>
        <w:t>Polyethylenglycol</w:t>
      </w:r>
      <w:proofErr w:type="spellEnd"/>
      <w:r w:rsidRPr="001E19A9">
        <w:rPr>
          <w:sz w:val="24"/>
          <w:szCs w:val="24"/>
          <w:lang w:val="en-US"/>
        </w:rPr>
        <w:t xml:space="preserve"> E1521</w:t>
      </w:r>
    </w:p>
    <w:p w14:paraId="096D2222" w14:textId="77777777" w:rsidR="009260DE" w:rsidRPr="001E19A9" w:rsidRDefault="009260DE" w:rsidP="009260DE">
      <w:pPr>
        <w:tabs>
          <w:tab w:val="left" w:pos="851"/>
        </w:tabs>
        <w:ind w:left="851"/>
        <w:rPr>
          <w:sz w:val="24"/>
          <w:szCs w:val="24"/>
          <w:lang w:val="en-US"/>
        </w:rPr>
      </w:pPr>
    </w:p>
    <w:p w14:paraId="3AC33989" w14:textId="77777777" w:rsidR="009260DE" w:rsidRPr="00F47ED1" w:rsidRDefault="009260DE" w:rsidP="009260DE">
      <w:pPr>
        <w:tabs>
          <w:tab w:val="left" w:pos="851"/>
        </w:tabs>
        <w:ind w:left="851" w:hanging="851"/>
        <w:rPr>
          <w:b/>
          <w:sz w:val="24"/>
          <w:szCs w:val="24"/>
        </w:rPr>
      </w:pPr>
      <w:r w:rsidRPr="00F47ED1">
        <w:rPr>
          <w:b/>
          <w:sz w:val="24"/>
          <w:szCs w:val="24"/>
        </w:rPr>
        <w:t>6.2</w:t>
      </w:r>
      <w:r w:rsidRPr="00F47ED1">
        <w:rPr>
          <w:b/>
          <w:sz w:val="24"/>
          <w:szCs w:val="24"/>
        </w:rPr>
        <w:tab/>
        <w:t>Uforligeligheder</w:t>
      </w:r>
    </w:p>
    <w:p w14:paraId="03A8B980" w14:textId="77777777" w:rsidR="009F3CB2" w:rsidRPr="00F47ED1" w:rsidRDefault="009F3CB2" w:rsidP="00D0776B">
      <w:pPr>
        <w:ind w:left="851"/>
        <w:rPr>
          <w:sz w:val="24"/>
          <w:szCs w:val="24"/>
        </w:rPr>
      </w:pPr>
      <w:r w:rsidRPr="00F47ED1">
        <w:rPr>
          <w:sz w:val="24"/>
          <w:szCs w:val="24"/>
        </w:rPr>
        <w:t>Ikke relevant.</w:t>
      </w:r>
    </w:p>
    <w:p w14:paraId="337D8D93" w14:textId="77777777" w:rsidR="009260DE" w:rsidRPr="00F47ED1" w:rsidRDefault="009260DE" w:rsidP="009260DE">
      <w:pPr>
        <w:tabs>
          <w:tab w:val="left" w:pos="851"/>
        </w:tabs>
        <w:ind w:left="851"/>
        <w:rPr>
          <w:sz w:val="24"/>
          <w:szCs w:val="24"/>
        </w:rPr>
      </w:pPr>
    </w:p>
    <w:p w14:paraId="72ACFE11" w14:textId="77777777" w:rsidR="009260DE" w:rsidRPr="00F47ED1" w:rsidRDefault="009260DE" w:rsidP="009260DE">
      <w:pPr>
        <w:tabs>
          <w:tab w:val="left" w:pos="851"/>
        </w:tabs>
        <w:ind w:left="851" w:hanging="851"/>
        <w:rPr>
          <w:b/>
          <w:sz w:val="24"/>
          <w:szCs w:val="24"/>
        </w:rPr>
      </w:pPr>
      <w:r w:rsidRPr="00F47ED1">
        <w:rPr>
          <w:b/>
          <w:sz w:val="24"/>
          <w:szCs w:val="24"/>
        </w:rPr>
        <w:t>6.3</w:t>
      </w:r>
      <w:r w:rsidRPr="00F47ED1">
        <w:rPr>
          <w:b/>
          <w:sz w:val="24"/>
          <w:szCs w:val="24"/>
        </w:rPr>
        <w:tab/>
        <w:t>Opbevaringstid</w:t>
      </w:r>
    </w:p>
    <w:p w14:paraId="09CDE1A3" w14:textId="1276A613" w:rsidR="00746DA8" w:rsidRPr="00F47ED1" w:rsidRDefault="00746DA8" w:rsidP="00D0776B">
      <w:pPr>
        <w:ind w:left="851"/>
        <w:rPr>
          <w:sz w:val="24"/>
          <w:szCs w:val="24"/>
        </w:rPr>
      </w:pPr>
      <w:r w:rsidRPr="00F47ED1">
        <w:rPr>
          <w:sz w:val="24"/>
          <w:szCs w:val="24"/>
        </w:rPr>
        <w:t>30 måneder</w:t>
      </w:r>
    </w:p>
    <w:p w14:paraId="7EF466CF" w14:textId="77777777" w:rsidR="009260DE" w:rsidRPr="00F47ED1" w:rsidRDefault="009260DE" w:rsidP="009260DE">
      <w:pPr>
        <w:tabs>
          <w:tab w:val="left" w:pos="851"/>
        </w:tabs>
        <w:ind w:left="851"/>
        <w:rPr>
          <w:sz w:val="24"/>
          <w:szCs w:val="24"/>
        </w:rPr>
      </w:pPr>
    </w:p>
    <w:p w14:paraId="01192264" w14:textId="77777777" w:rsidR="009260DE" w:rsidRPr="00F47ED1" w:rsidRDefault="009260DE" w:rsidP="009260DE">
      <w:pPr>
        <w:tabs>
          <w:tab w:val="left" w:pos="851"/>
        </w:tabs>
        <w:ind w:left="851" w:hanging="851"/>
        <w:rPr>
          <w:b/>
          <w:sz w:val="24"/>
          <w:szCs w:val="24"/>
        </w:rPr>
      </w:pPr>
      <w:r w:rsidRPr="00F47ED1">
        <w:rPr>
          <w:b/>
          <w:sz w:val="24"/>
          <w:szCs w:val="24"/>
        </w:rPr>
        <w:t>6.4</w:t>
      </w:r>
      <w:r w:rsidRPr="00F47ED1">
        <w:rPr>
          <w:b/>
          <w:sz w:val="24"/>
          <w:szCs w:val="24"/>
        </w:rPr>
        <w:tab/>
        <w:t>Særlige opbevaringsforhold</w:t>
      </w:r>
    </w:p>
    <w:p w14:paraId="347A13D9" w14:textId="77777777" w:rsidR="00746DA8" w:rsidRPr="00F47ED1" w:rsidRDefault="00746DA8" w:rsidP="00D0776B">
      <w:pPr>
        <w:ind w:left="851"/>
        <w:rPr>
          <w:sz w:val="24"/>
          <w:szCs w:val="24"/>
          <w:highlight w:val="yellow"/>
        </w:rPr>
      </w:pPr>
      <w:r w:rsidRPr="00F47ED1">
        <w:rPr>
          <w:noProof/>
          <w:sz w:val="24"/>
          <w:szCs w:val="24"/>
        </w:rPr>
        <w:t>Dette lægemiddel kræver ingen særlige forholdsregler vedrørende opbevaringen.</w:t>
      </w:r>
    </w:p>
    <w:p w14:paraId="59B66DC0" w14:textId="77777777" w:rsidR="009260DE" w:rsidRPr="00F47ED1" w:rsidRDefault="009260DE" w:rsidP="009260DE">
      <w:pPr>
        <w:tabs>
          <w:tab w:val="left" w:pos="851"/>
        </w:tabs>
        <w:ind w:left="851"/>
        <w:rPr>
          <w:sz w:val="24"/>
          <w:szCs w:val="24"/>
        </w:rPr>
      </w:pPr>
    </w:p>
    <w:p w14:paraId="1144595F" w14:textId="77777777" w:rsidR="007A24EA" w:rsidRPr="00C84483" w:rsidRDefault="007A24EA" w:rsidP="007A24EA">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1E9FC930" w14:textId="4CCEC478" w:rsidR="00746DA8" w:rsidRPr="00F47ED1" w:rsidRDefault="00746DA8" w:rsidP="00D0776B">
      <w:pPr>
        <w:ind w:left="851"/>
        <w:rPr>
          <w:sz w:val="24"/>
          <w:szCs w:val="24"/>
        </w:rPr>
      </w:pPr>
      <w:r w:rsidRPr="00F47ED1">
        <w:rPr>
          <w:sz w:val="24"/>
          <w:szCs w:val="24"/>
        </w:rPr>
        <w:t xml:space="preserve">Blister af PVC/PVDC/aluminium: </w:t>
      </w:r>
      <w:r w:rsidR="00746184" w:rsidRPr="00746184">
        <w:rPr>
          <w:sz w:val="24"/>
          <w:szCs w:val="24"/>
        </w:rPr>
        <w:t>10, 50 og 56 tabletter.</w:t>
      </w:r>
    </w:p>
    <w:p w14:paraId="72F5F3E0" w14:textId="77777777" w:rsidR="00746DA8" w:rsidRPr="00F47ED1" w:rsidRDefault="00746DA8" w:rsidP="00D0776B">
      <w:pPr>
        <w:suppressAutoHyphens/>
        <w:ind w:left="851"/>
        <w:rPr>
          <w:sz w:val="24"/>
          <w:szCs w:val="24"/>
        </w:rPr>
      </w:pPr>
    </w:p>
    <w:p w14:paraId="6099D67A" w14:textId="77777777" w:rsidR="00746DA8" w:rsidRPr="00F47ED1" w:rsidRDefault="00746DA8" w:rsidP="00D0776B">
      <w:pPr>
        <w:suppressAutoHyphens/>
        <w:ind w:left="851"/>
        <w:rPr>
          <w:sz w:val="24"/>
          <w:szCs w:val="24"/>
          <w:highlight w:val="yellow"/>
        </w:rPr>
      </w:pPr>
      <w:bookmarkStart w:id="4" w:name="_Hlk77684682"/>
      <w:r w:rsidRPr="00F47ED1">
        <w:rPr>
          <w:sz w:val="24"/>
          <w:szCs w:val="24"/>
        </w:rPr>
        <w:t>Ikke alle pakningsstørrelser er nødvendigvis markedsført.</w:t>
      </w:r>
      <w:bookmarkEnd w:id="4"/>
    </w:p>
    <w:p w14:paraId="216EF54A" w14:textId="77777777" w:rsidR="009260DE" w:rsidRPr="00F47ED1" w:rsidRDefault="009260DE" w:rsidP="009260DE">
      <w:pPr>
        <w:tabs>
          <w:tab w:val="left" w:pos="851"/>
        </w:tabs>
        <w:ind w:left="851"/>
        <w:rPr>
          <w:sz w:val="24"/>
          <w:szCs w:val="24"/>
        </w:rPr>
      </w:pPr>
    </w:p>
    <w:p w14:paraId="61D6CCEC" w14:textId="77777777" w:rsidR="007A24EA" w:rsidRPr="00C84483" w:rsidRDefault="007A24EA" w:rsidP="007A24EA">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2AA8F0A0" w14:textId="77777777" w:rsidR="00FD13C4" w:rsidRPr="00F47ED1" w:rsidRDefault="00FD13C4" w:rsidP="00D0776B">
      <w:pPr>
        <w:ind w:left="851"/>
        <w:rPr>
          <w:sz w:val="24"/>
          <w:szCs w:val="24"/>
        </w:rPr>
      </w:pPr>
      <w:r w:rsidRPr="00F47ED1">
        <w:rPr>
          <w:sz w:val="24"/>
          <w:szCs w:val="24"/>
        </w:rPr>
        <w:t>Ikke anvendt lægemiddel samt affald heraf skal bortskaffes i henhold til lokale retningslinjer.</w:t>
      </w:r>
    </w:p>
    <w:p w14:paraId="17BF1161" w14:textId="77777777" w:rsidR="009260DE" w:rsidRPr="00F47ED1" w:rsidRDefault="009260DE" w:rsidP="000730CA">
      <w:pPr>
        <w:tabs>
          <w:tab w:val="left" w:pos="851"/>
        </w:tabs>
        <w:ind w:left="851"/>
        <w:rPr>
          <w:sz w:val="24"/>
          <w:szCs w:val="24"/>
        </w:rPr>
      </w:pPr>
    </w:p>
    <w:p w14:paraId="180A728F" w14:textId="77777777" w:rsidR="009260DE" w:rsidRPr="00F47ED1" w:rsidRDefault="009260DE" w:rsidP="009260DE">
      <w:pPr>
        <w:tabs>
          <w:tab w:val="left" w:pos="851"/>
        </w:tabs>
        <w:ind w:left="851" w:hanging="851"/>
        <w:rPr>
          <w:b/>
          <w:sz w:val="24"/>
          <w:szCs w:val="24"/>
        </w:rPr>
      </w:pPr>
      <w:r w:rsidRPr="00F47ED1">
        <w:rPr>
          <w:b/>
          <w:sz w:val="24"/>
          <w:szCs w:val="24"/>
        </w:rPr>
        <w:t>7.</w:t>
      </w:r>
      <w:r w:rsidRPr="00F47ED1">
        <w:rPr>
          <w:b/>
          <w:sz w:val="24"/>
          <w:szCs w:val="24"/>
        </w:rPr>
        <w:tab/>
        <w:t>INDEHAVER AF MARKEDSFØRINGSTILLADELSEN</w:t>
      </w:r>
    </w:p>
    <w:p w14:paraId="74AB4B36" w14:textId="77777777" w:rsidR="00FD13C4" w:rsidRPr="00F47ED1" w:rsidRDefault="00FD13C4" w:rsidP="00D0776B">
      <w:pPr>
        <w:ind w:left="851"/>
        <w:rPr>
          <w:rStyle w:val="message-content"/>
          <w:sz w:val="24"/>
          <w:szCs w:val="24"/>
        </w:rPr>
      </w:pPr>
      <w:bookmarkStart w:id="5" w:name="_Hlk77684710"/>
      <w:r w:rsidRPr="00F47ED1">
        <w:rPr>
          <w:rStyle w:val="message-content"/>
          <w:sz w:val="24"/>
          <w:szCs w:val="24"/>
        </w:rPr>
        <w:t>EQL Pharma</w:t>
      </w:r>
    </w:p>
    <w:p w14:paraId="6A715F49" w14:textId="77777777" w:rsidR="00FD13C4" w:rsidRPr="00F47ED1" w:rsidRDefault="00FD13C4" w:rsidP="00D0776B">
      <w:pPr>
        <w:ind w:left="851"/>
        <w:rPr>
          <w:rStyle w:val="message-content"/>
          <w:sz w:val="24"/>
          <w:szCs w:val="24"/>
        </w:rPr>
      </w:pPr>
      <w:proofErr w:type="spellStart"/>
      <w:r w:rsidRPr="00F47ED1">
        <w:rPr>
          <w:rStyle w:val="message-content"/>
          <w:sz w:val="24"/>
          <w:szCs w:val="24"/>
        </w:rPr>
        <w:t>Stortorget</w:t>
      </w:r>
      <w:proofErr w:type="spellEnd"/>
      <w:r w:rsidRPr="00F47ED1">
        <w:rPr>
          <w:rStyle w:val="message-content"/>
          <w:sz w:val="24"/>
          <w:szCs w:val="24"/>
        </w:rPr>
        <w:t xml:space="preserve"> 1</w:t>
      </w:r>
    </w:p>
    <w:p w14:paraId="1A61595A" w14:textId="77777777" w:rsidR="00FD13C4" w:rsidRPr="00F47ED1" w:rsidRDefault="00FD13C4" w:rsidP="00D0776B">
      <w:pPr>
        <w:ind w:left="851"/>
        <w:rPr>
          <w:rStyle w:val="message-content"/>
          <w:sz w:val="24"/>
          <w:szCs w:val="24"/>
        </w:rPr>
      </w:pPr>
      <w:r w:rsidRPr="00F47ED1">
        <w:rPr>
          <w:rStyle w:val="message-content"/>
          <w:sz w:val="24"/>
          <w:szCs w:val="24"/>
        </w:rPr>
        <w:t>222 23 Lund</w:t>
      </w:r>
    </w:p>
    <w:p w14:paraId="23AD7F67" w14:textId="77777777" w:rsidR="00FD13C4" w:rsidRPr="00F47ED1" w:rsidRDefault="00FD13C4" w:rsidP="00D0776B">
      <w:pPr>
        <w:ind w:left="851"/>
        <w:rPr>
          <w:rStyle w:val="message-content"/>
          <w:sz w:val="24"/>
          <w:szCs w:val="24"/>
        </w:rPr>
      </w:pPr>
      <w:r w:rsidRPr="00F47ED1">
        <w:rPr>
          <w:rStyle w:val="message-content"/>
          <w:sz w:val="24"/>
          <w:szCs w:val="24"/>
        </w:rPr>
        <w:t>Sverige</w:t>
      </w:r>
      <w:bookmarkEnd w:id="5"/>
    </w:p>
    <w:p w14:paraId="2D0B77A8" w14:textId="77777777" w:rsidR="009260DE" w:rsidRPr="00F47ED1" w:rsidRDefault="009260DE" w:rsidP="009260DE">
      <w:pPr>
        <w:tabs>
          <w:tab w:val="left" w:pos="851"/>
        </w:tabs>
        <w:ind w:left="851"/>
        <w:rPr>
          <w:sz w:val="24"/>
          <w:szCs w:val="24"/>
        </w:rPr>
      </w:pPr>
    </w:p>
    <w:p w14:paraId="3F3832E2" w14:textId="77777777" w:rsidR="007A24EA" w:rsidRPr="00C84483" w:rsidRDefault="007A24EA" w:rsidP="007A24EA">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39E083A4" w14:textId="6B18BDD2" w:rsidR="009260DE" w:rsidRPr="00F47ED1" w:rsidRDefault="00D0776B" w:rsidP="009260DE">
      <w:pPr>
        <w:tabs>
          <w:tab w:val="left" w:pos="851"/>
        </w:tabs>
        <w:ind w:left="851"/>
        <w:rPr>
          <w:sz w:val="24"/>
          <w:szCs w:val="24"/>
        </w:rPr>
      </w:pPr>
      <w:r w:rsidRPr="00F47ED1">
        <w:rPr>
          <w:sz w:val="24"/>
          <w:szCs w:val="24"/>
        </w:rPr>
        <w:t>4 mg: 64</w:t>
      </w:r>
      <w:r w:rsidR="00F47ED1" w:rsidRPr="00F47ED1">
        <w:rPr>
          <w:sz w:val="24"/>
          <w:szCs w:val="24"/>
        </w:rPr>
        <w:t>684</w:t>
      </w:r>
    </w:p>
    <w:p w14:paraId="5B2F2E16" w14:textId="19C7AA9F" w:rsidR="00D0776B" w:rsidRPr="00F47ED1" w:rsidRDefault="00D0776B" w:rsidP="009260DE">
      <w:pPr>
        <w:tabs>
          <w:tab w:val="left" w:pos="851"/>
        </w:tabs>
        <w:ind w:left="851"/>
        <w:rPr>
          <w:sz w:val="24"/>
          <w:szCs w:val="24"/>
        </w:rPr>
      </w:pPr>
      <w:r w:rsidRPr="00F47ED1">
        <w:rPr>
          <w:sz w:val="24"/>
          <w:szCs w:val="24"/>
        </w:rPr>
        <w:t>8 mg:</w:t>
      </w:r>
      <w:r w:rsidR="00F47ED1" w:rsidRPr="00F47ED1">
        <w:rPr>
          <w:sz w:val="24"/>
          <w:szCs w:val="24"/>
        </w:rPr>
        <w:t xml:space="preserve"> 64685</w:t>
      </w:r>
    </w:p>
    <w:p w14:paraId="75270E61" w14:textId="77777777" w:rsidR="009260DE" w:rsidRPr="00F47ED1" w:rsidRDefault="009260DE" w:rsidP="009260DE">
      <w:pPr>
        <w:tabs>
          <w:tab w:val="left" w:pos="851"/>
        </w:tabs>
        <w:ind w:left="851"/>
        <w:jc w:val="both"/>
        <w:rPr>
          <w:sz w:val="24"/>
          <w:szCs w:val="24"/>
        </w:rPr>
      </w:pPr>
    </w:p>
    <w:p w14:paraId="765F9D57" w14:textId="77777777" w:rsidR="009260DE" w:rsidRPr="00F47ED1" w:rsidRDefault="009260DE" w:rsidP="009260DE">
      <w:pPr>
        <w:tabs>
          <w:tab w:val="left" w:pos="851"/>
        </w:tabs>
        <w:ind w:left="851" w:hanging="851"/>
        <w:rPr>
          <w:b/>
          <w:sz w:val="24"/>
          <w:szCs w:val="24"/>
        </w:rPr>
      </w:pPr>
      <w:r w:rsidRPr="00F47ED1">
        <w:rPr>
          <w:b/>
          <w:sz w:val="24"/>
          <w:szCs w:val="24"/>
        </w:rPr>
        <w:t>9.</w:t>
      </w:r>
      <w:r w:rsidRPr="00F47ED1">
        <w:rPr>
          <w:b/>
          <w:sz w:val="24"/>
          <w:szCs w:val="24"/>
        </w:rPr>
        <w:tab/>
        <w:t>DATO FOR FØRSTE MARKEDSFØRINGSTILLADELSE</w:t>
      </w:r>
    </w:p>
    <w:p w14:paraId="4D24076B" w14:textId="3CF6E808" w:rsidR="009260DE" w:rsidRPr="00F47ED1" w:rsidRDefault="001E19A9" w:rsidP="009260DE">
      <w:pPr>
        <w:tabs>
          <w:tab w:val="left" w:pos="851"/>
        </w:tabs>
        <w:ind w:left="851"/>
        <w:rPr>
          <w:sz w:val="24"/>
          <w:szCs w:val="24"/>
        </w:rPr>
      </w:pPr>
      <w:r>
        <w:rPr>
          <w:sz w:val="24"/>
          <w:szCs w:val="24"/>
        </w:rPr>
        <w:t>29. september 2021</w:t>
      </w:r>
    </w:p>
    <w:p w14:paraId="7A3D749A" w14:textId="77777777" w:rsidR="009260DE" w:rsidRPr="00F47ED1" w:rsidRDefault="009260DE" w:rsidP="009260DE">
      <w:pPr>
        <w:tabs>
          <w:tab w:val="left" w:pos="851"/>
        </w:tabs>
        <w:ind w:left="851"/>
        <w:rPr>
          <w:sz w:val="24"/>
          <w:szCs w:val="24"/>
        </w:rPr>
      </w:pPr>
    </w:p>
    <w:p w14:paraId="22AF24E5" w14:textId="77777777" w:rsidR="009260DE" w:rsidRPr="00F47ED1" w:rsidRDefault="009260DE" w:rsidP="009260DE">
      <w:pPr>
        <w:tabs>
          <w:tab w:val="left" w:pos="851"/>
        </w:tabs>
        <w:ind w:left="851" w:hanging="851"/>
        <w:rPr>
          <w:b/>
          <w:sz w:val="24"/>
          <w:szCs w:val="24"/>
        </w:rPr>
      </w:pPr>
      <w:r w:rsidRPr="00F47ED1">
        <w:rPr>
          <w:b/>
          <w:sz w:val="24"/>
          <w:szCs w:val="24"/>
        </w:rPr>
        <w:t>10.</w:t>
      </w:r>
      <w:r w:rsidRPr="00F47ED1">
        <w:rPr>
          <w:b/>
          <w:sz w:val="24"/>
          <w:szCs w:val="24"/>
        </w:rPr>
        <w:tab/>
        <w:t>DATO FOR ÆNDRING AF TEKSTEN</w:t>
      </w:r>
    </w:p>
    <w:p w14:paraId="34271CDD" w14:textId="5A074F65" w:rsidR="009260DE" w:rsidRPr="00F47ED1" w:rsidRDefault="00746184" w:rsidP="009260DE">
      <w:pPr>
        <w:tabs>
          <w:tab w:val="left" w:pos="851"/>
        </w:tabs>
        <w:ind w:left="851"/>
        <w:rPr>
          <w:sz w:val="24"/>
          <w:szCs w:val="24"/>
        </w:rPr>
      </w:pPr>
      <w:r>
        <w:rPr>
          <w:sz w:val="24"/>
          <w:szCs w:val="24"/>
        </w:rPr>
        <w:t>1</w:t>
      </w:r>
      <w:r w:rsidR="007A24EA">
        <w:rPr>
          <w:sz w:val="24"/>
          <w:szCs w:val="24"/>
        </w:rPr>
        <w:t xml:space="preserve">. </w:t>
      </w:r>
      <w:r>
        <w:rPr>
          <w:sz w:val="24"/>
          <w:szCs w:val="24"/>
        </w:rPr>
        <w:t>juli</w:t>
      </w:r>
      <w:r w:rsidR="007A24EA">
        <w:rPr>
          <w:sz w:val="24"/>
          <w:szCs w:val="24"/>
        </w:rPr>
        <w:t xml:space="preserve"> 2023</w:t>
      </w:r>
    </w:p>
    <w:sectPr w:rsidR="009260DE" w:rsidRPr="00F47ED1"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62D3C" w14:textId="77777777" w:rsidR="00C27BFD" w:rsidRDefault="00C27BFD">
      <w:r>
        <w:separator/>
      </w:r>
    </w:p>
  </w:endnote>
  <w:endnote w:type="continuationSeparator" w:id="0">
    <w:p w14:paraId="71CB90E1" w14:textId="77777777" w:rsidR="00C27BFD" w:rsidRDefault="00C2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35E6" w14:textId="77777777" w:rsidR="000259B9" w:rsidRDefault="000259B9">
    <w:pPr>
      <w:pStyle w:val="Sidefod"/>
      <w:pBdr>
        <w:bottom w:val="single" w:sz="6" w:space="1" w:color="auto"/>
      </w:pBdr>
    </w:pPr>
  </w:p>
  <w:p w14:paraId="33F5A640" w14:textId="77777777" w:rsidR="000259B9" w:rsidRDefault="000259B9" w:rsidP="00C42586">
    <w:pPr>
      <w:pStyle w:val="Sidefod"/>
      <w:tabs>
        <w:tab w:val="clear" w:pos="4819"/>
        <w:tab w:val="left" w:pos="8505"/>
      </w:tabs>
      <w:rPr>
        <w:i/>
        <w:sz w:val="18"/>
        <w:szCs w:val="18"/>
      </w:rPr>
    </w:pPr>
  </w:p>
  <w:p w14:paraId="71F7BC17" w14:textId="6DBFFA2C"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378BF">
      <w:rPr>
        <w:i/>
        <w:noProof/>
        <w:sz w:val="18"/>
        <w:szCs w:val="18"/>
      </w:rPr>
      <w:t>Ondansetron EQL Pharma, filmovertrukne tabletter 4 mg og 8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324D9" w14:textId="77777777" w:rsidR="00C27BFD" w:rsidRDefault="00C27BFD">
      <w:r>
        <w:separator/>
      </w:r>
    </w:p>
  </w:footnote>
  <w:footnote w:type="continuationSeparator" w:id="0">
    <w:p w14:paraId="1B40753A" w14:textId="77777777" w:rsidR="00C27BFD" w:rsidRDefault="00C27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0A42213"/>
    <w:multiLevelType w:val="hybridMultilevel"/>
    <w:tmpl w:val="F03E3B2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FD"/>
    <w:rsid w:val="000259B9"/>
    <w:rsid w:val="00041491"/>
    <w:rsid w:val="00050D16"/>
    <w:rsid w:val="000730CA"/>
    <w:rsid w:val="00073655"/>
    <w:rsid w:val="00074F2A"/>
    <w:rsid w:val="000A1CA8"/>
    <w:rsid w:val="000A466B"/>
    <w:rsid w:val="000B058C"/>
    <w:rsid w:val="000E4EE6"/>
    <w:rsid w:val="000F6FC9"/>
    <w:rsid w:val="001403B9"/>
    <w:rsid w:val="001454E2"/>
    <w:rsid w:val="00191906"/>
    <w:rsid w:val="001E19A9"/>
    <w:rsid w:val="001F24CF"/>
    <w:rsid w:val="00206CE8"/>
    <w:rsid w:val="0021526C"/>
    <w:rsid w:val="00281768"/>
    <w:rsid w:val="00283A2B"/>
    <w:rsid w:val="00285AE3"/>
    <w:rsid w:val="002B30AD"/>
    <w:rsid w:val="002C2C01"/>
    <w:rsid w:val="002D38D8"/>
    <w:rsid w:val="002D7BEB"/>
    <w:rsid w:val="003A29AE"/>
    <w:rsid w:val="003A32D7"/>
    <w:rsid w:val="003B4074"/>
    <w:rsid w:val="003C769A"/>
    <w:rsid w:val="003F1838"/>
    <w:rsid w:val="00440057"/>
    <w:rsid w:val="0045746C"/>
    <w:rsid w:val="00462417"/>
    <w:rsid w:val="00465EAD"/>
    <w:rsid w:val="0049104B"/>
    <w:rsid w:val="004D32AC"/>
    <w:rsid w:val="004E3B12"/>
    <w:rsid w:val="00532310"/>
    <w:rsid w:val="00532EB5"/>
    <w:rsid w:val="00565F0F"/>
    <w:rsid w:val="00594A86"/>
    <w:rsid w:val="00596D86"/>
    <w:rsid w:val="00605EB6"/>
    <w:rsid w:val="00637F5A"/>
    <w:rsid w:val="006560B1"/>
    <w:rsid w:val="006756DD"/>
    <w:rsid w:val="0071192A"/>
    <w:rsid w:val="00737275"/>
    <w:rsid w:val="00740EEC"/>
    <w:rsid w:val="00746184"/>
    <w:rsid w:val="00746DA8"/>
    <w:rsid w:val="00772F8F"/>
    <w:rsid w:val="0078011A"/>
    <w:rsid w:val="00782AF4"/>
    <w:rsid w:val="00790EE7"/>
    <w:rsid w:val="007A24EA"/>
    <w:rsid w:val="007B4A91"/>
    <w:rsid w:val="007B6649"/>
    <w:rsid w:val="00803C43"/>
    <w:rsid w:val="0082576E"/>
    <w:rsid w:val="00876BAE"/>
    <w:rsid w:val="00907F75"/>
    <w:rsid w:val="00911154"/>
    <w:rsid w:val="009260DE"/>
    <w:rsid w:val="0093258A"/>
    <w:rsid w:val="00961318"/>
    <w:rsid w:val="00992534"/>
    <w:rsid w:val="009A7292"/>
    <w:rsid w:val="009B3DF2"/>
    <w:rsid w:val="009C1720"/>
    <w:rsid w:val="009C7BA3"/>
    <w:rsid w:val="009D1F5A"/>
    <w:rsid w:val="009F3CB2"/>
    <w:rsid w:val="00A048A4"/>
    <w:rsid w:val="00A10294"/>
    <w:rsid w:val="00B003BF"/>
    <w:rsid w:val="00B373D7"/>
    <w:rsid w:val="00B41880"/>
    <w:rsid w:val="00B763D9"/>
    <w:rsid w:val="00BC15AF"/>
    <w:rsid w:val="00C27BFD"/>
    <w:rsid w:val="00C36276"/>
    <w:rsid w:val="00C40C02"/>
    <w:rsid w:val="00C42586"/>
    <w:rsid w:val="00C52262"/>
    <w:rsid w:val="00C60CCD"/>
    <w:rsid w:val="00C84483"/>
    <w:rsid w:val="00C95551"/>
    <w:rsid w:val="00CB20D7"/>
    <w:rsid w:val="00D020B0"/>
    <w:rsid w:val="00D0776B"/>
    <w:rsid w:val="00D11748"/>
    <w:rsid w:val="00D366CF"/>
    <w:rsid w:val="00D378BF"/>
    <w:rsid w:val="00D765E0"/>
    <w:rsid w:val="00DA57A5"/>
    <w:rsid w:val="00E108AA"/>
    <w:rsid w:val="00E3749A"/>
    <w:rsid w:val="00E7437F"/>
    <w:rsid w:val="00E865B8"/>
    <w:rsid w:val="00EC0B9B"/>
    <w:rsid w:val="00ED2E55"/>
    <w:rsid w:val="00ED5E9F"/>
    <w:rsid w:val="00F2169F"/>
    <w:rsid w:val="00F47ED1"/>
    <w:rsid w:val="00F625E6"/>
    <w:rsid w:val="00F66D4F"/>
    <w:rsid w:val="00FA159E"/>
    <w:rsid w:val="00FB6D01"/>
    <w:rsid w:val="00FD13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4BE7F"/>
  <w15:chartTrackingRefBased/>
  <w15:docId w15:val="{4CB8777A-5A8A-4DE2-9F7C-94483D8C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2D38D8"/>
    <w:pPr>
      <w:spacing w:before="120" w:after="120"/>
      <w:jc w:val="both"/>
    </w:pPr>
    <w:rPr>
      <w:sz w:val="22"/>
      <w:lang w:val="en-US"/>
    </w:rPr>
  </w:style>
  <w:style w:type="character" w:customStyle="1" w:styleId="message-content">
    <w:name w:val="message-content"/>
    <w:basedOn w:val="Standardskrifttypeiafsnit"/>
    <w:rsid w:val="00F625E6"/>
  </w:style>
  <w:style w:type="paragraph" w:styleId="Brdtekstindrykning2">
    <w:name w:val="Body Text Indent 2"/>
    <w:basedOn w:val="Normal"/>
    <w:link w:val="Brdtekstindrykning2Tegn"/>
    <w:semiHidden/>
    <w:unhideWhenUsed/>
    <w:rsid w:val="00191906"/>
    <w:pPr>
      <w:tabs>
        <w:tab w:val="left" w:pos="0"/>
        <w:tab w:val="left" w:pos="71"/>
      </w:tabs>
      <w:ind w:left="71"/>
    </w:pPr>
    <w:rPr>
      <w:spacing w:val="-3"/>
      <w:lang w:eastAsia="da-DK"/>
    </w:rPr>
  </w:style>
  <w:style w:type="character" w:customStyle="1" w:styleId="Brdtekstindrykning2Tegn">
    <w:name w:val="Brødtekstindrykning 2 Tegn"/>
    <w:basedOn w:val="Standardskrifttypeiafsnit"/>
    <w:link w:val="Brdtekstindrykning2"/>
    <w:semiHidden/>
    <w:rsid w:val="00191906"/>
    <w:rPr>
      <w:spacing w:val="-3"/>
      <w:sz w:val="23"/>
    </w:rPr>
  </w:style>
  <w:style w:type="paragraph" w:styleId="Listeafsnit">
    <w:name w:val="List Paragraph"/>
    <w:basedOn w:val="Normal"/>
    <w:uiPriority w:val="34"/>
    <w:qFormat/>
    <w:rsid w:val="00D765E0"/>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8568">
      <w:bodyDiv w:val="1"/>
      <w:marLeft w:val="0"/>
      <w:marRight w:val="0"/>
      <w:marTop w:val="0"/>
      <w:marBottom w:val="0"/>
      <w:divBdr>
        <w:top w:val="none" w:sz="0" w:space="0" w:color="auto"/>
        <w:left w:val="none" w:sz="0" w:space="0" w:color="auto"/>
        <w:bottom w:val="none" w:sz="0" w:space="0" w:color="auto"/>
        <w:right w:val="none" w:sz="0" w:space="0" w:color="auto"/>
      </w:divBdr>
    </w:div>
    <w:div w:id="13730748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2330066">
      <w:bodyDiv w:val="1"/>
      <w:marLeft w:val="0"/>
      <w:marRight w:val="0"/>
      <w:marTop w:val="0"/>
      <w:marBottom w:val="0"/>
      <w:divBdr>
        <w:top w:val="none" w:sz="0" w:space="0" w:color="auto"/>
        <w:left w:val="none" w:sz="0" w:space="0" w:color="auto"/>
        <w:bottom w:val="none" w:sz="0" w:space="0" w:color="auto"/>
        <w:right w:val="none" w:sz="0" w:space="0" w:color="auto"/>
      </w:divBdr>
    </w:div>
    <w:div w:id="358969879">
      <w:bodyDiv w:val="1"/>
      <w:marLeft w:val="0"/>
      <w:marRight w:val="0"/>
      <w:marTop w:val="0"/>
      <w:marBottom w:val="0"/>
      <w:divBdr>
        <w:top w:val="none" w:sz="0" w:space="0" w:color="auto"/>
        <w:left w:val="none" w:sz="0" w:space="0" w:color="auto"/>
        <w:bottom w:val="none" w:sz="0" w:space="0" w:color="auto"/>
        <w:right w:val="none" w:sz="0" w:space="0" w:color="auto"/>
      </w:divBdr>
    </w:div>
    <w:div w:id="656423110">
      <w:bodyDiv w:val="1"/>
      <w:marLeft w:val="0"/>
      <w:marRight w:val="0"/>
      <w:marTop w:val="0"/>
      <w:marBottom w:val="0"/>
      <w:divBdr>
        <w:top w:val="none" w:sz="0" w:space="0" w:color="auto"/>
        <w:left w:val="none" w:sz="0" w:space="0" w:color="auto"/>
        <w:bottom w:val="none" w:sz="0" w:space="0" w:color="auto"/>
        <w:right w:val="none" w:sz="0" w:space="0" w:color="auto"/>
      </w:divBdr>
    </w:div>
    <w:div w:id="780342545">
      <w:bodyDiv w:val="1"/>
      <w:marLeft w:val="0"/>
      <w:marRight w:val="0"/>
      <w:marTop w:val="0"/>
      <w:marBottom w:val="0"/>
      <w:divBdr>
        <w:top w:val="none" w:sz="0" w:space="0" w:color="auto"/>
        <w:left w:val="none" w:sz="0" w:space="0" w:color="auto"/>
        <w:bottom w:val="none" w:sz="0" w:space="0" w:color="auto"/>
        <w:right w:val="none" w:sz="0" w:space="0" w:color="auto"/>
      </w:divBdr>
    </w:div>
    <w:div w:id="858157895">
      <w:bodyDiv w:val="1"/>
      <w:marLeft w:val="0"/>
      <w:marRight w:val="0"/>
      <w:marTop w:val="0"/>
      <w:marBottom w:val="0"/>
      <w:divBdr>
        <w:top w:val="none" w:sz="0" w:space="0" w:color="auto"/>
        <w:left w:val="none" w:sz="0" w:space="0" w:color="auto"/>
        <w:bottom w:val="none" w:sz="0" w:space="0" w:color="auto"/>
        <w:right w:val="none" w:sz="0" w:space="0" w:color="auto"/>
      </w:divBdr>
    </w:div>
    <w:div w:id="869075697">
      <w:bodyDiv w:val="1"/>
      <w:marLeft w:val="0"/>
      <w:marRight w:val="0"/>
      <w:marTop w:val="0"/>
      <w:marBottom w:val="0"/>
      <w:divBdr>
        <w:top w:val="none" w:sz="0" w:space="0" w:color="auto"/>
        <w:left w:val="none" w:sz="0" w:space="0" w:color="auto"/>
        <w:bottom w:val="none" w:sz="0" w:space="0" w:color="auto"/>
        <w:right w:val="none" w:sz="0" w:space="0" w:color="auto"/>
      </w:divBdr>
    </w:div>
    <w:div w:id="869799727">
      <w:bodyDiv w:val="1"/>
      <w:marLeft w:val="0"/>
      <w:marRight w:val="0"/>
      <w:marTop w:val="0"/>
      <w:marBottom w:val="0"/>
      <w:divBdr>
        <w:top w:val="none" w:sz="0" w:space="0" w:color="auto"/>
        <w:left w:val="none" w:sz="0" w:space="0" w:color="auto"/>
        <w:bottom w:val="none" w:sz="0" w:space="0" w:color="auto"/>
        <w:right w:val="none" w:sz="0" w:space="0" w:color="auto"/>
      </w:divBdr>
    </w:div>
    <w:div w:id="900873225">
      <w:bodyDiv w:val="1"/>
      <w:marLeft w:val="0"/>
      <w:marRight w:val="0"/>
      <w:marTop w:val="0"/>
      <w:marBottom w:val="0"/>
      <w:divBdr>
        <w:top w:val="none" w:sz="0" w:space="0" w:color="auto"/>
        <w:left w:val="none" w:sz="0" w:space="0" w:color="auto"/>
        <w:bottom w:val="none" w:sz="0" w:space="0" w:color="auto"/>
        <w:right w:val="none" w:sz="0" w:space="0" w:color="auto"/>
      </w:divBdr>
    </w:div>
    <w:div w:id="949357558">
      <w:bodyDiv w:val="1"/>
      <w:marLeft w:val="0"/>
      <w:marRight w:val="0"/>
      <w:marTop w:val="0"/>
      <w:marBottom w:val="0"/>
      <w:divBdr>
        <w:top w:val="none" w:sz="0" w:space="0" w:color="auto"/>
        <w:left w:val="none" w:sz="0" w:space="0" w:color="auto"/>
        <w:bottom w:val="none" w:sz="0" w:space="0" w:color="auto"/>
        <w:right w:val="none" w:sz="0" w:space="0" w:color="auto"/>
      </w:divBdr>
    </w:div>
    <w:div w:id="1040472489">
      <w:bodyDiv w:val="1"/>
      <w:marLeft w:val="0"/>
      <w:marRight w:val="0"/>
      <w:marTop w:val="0"/>
      <w:marBottom w:val="0"/>
      <w:divBdr>
        <w:top w:val="none" w:sz="0" w:space="0" w:color="auto"/>
        <w:left w:val="none" w:sz="0" w:space="0" w:color="auto"/>
        <w:bottom w:val="none" w:sz="0" w:space="0" w:color="auto"/>
        <w:right w:val="none" w:sz="0" w:space="0" w:color="auto"/>
      </w:divBdr>
    </w:div>
    <w:div w:id="1109088158">
      <w:bodyDiv w:val="1"/>
      <w:marLeft w:val="0"/>
      <w:marRight w:val="0"/>
      <w:marTop w:val="0"/>
      <w:marBottom w:val="0"/>
      <w:divBdr>
        <w:top w:val="none" w:sz="0" w:space="0" w:color="auto"/>
        <w:left w:val="none" w:sz="0" w:space="0" w:color="auto"/>
        <w:bottom w:val="none" w:sz="0" w:space="0" w:color="auto"/>
        <w:right w:val="none" w:sz="0" w:space="0" w:color="auto"/>
      </w:divBdr>
    </w:div>
    <w:div w:id="1178808956">
      <w:bodyDiv w:val="1"/>
      <w:marLeft w:val="0"/>
      <w:marRight w:val="0"/>
      <w:marTop w:val="0"/>
      <w:marBottom w:val="0"/>
      <w:divBdr>
        <w:top w:val="none" w:sz="0" w:space="0" w:color="auto"/>
        <w:left w:val="none" w:sz="0" w:space="0" w:color="auto"/>
        <w:bottom w:val="none" w:sz="0" w:space="0" w:color="auto"/>
        <w:right w:val="none" w:sz="0" w:space="0" w:color="auto"/>
      </w:divBdr>
    </w:div>
    <w:div w:id="1249387517">
      <w:bodyDiv w:val="1"/>
      <w:marLeft w:val="0"/>
      <w:marRight w:val="0"/>
      <w:marTop w:val="0"/>
      <w:marBottom w:val="0"/>
      <w:divBdr>
        <w:top w:val="none" w:sz="0" w:space="0" w:color="auto"/>
        <w:left w:val="none" w:sz="0" w:space="0" w:color="auto"/>
        <w:bottom w:val="none" w:sz="0" w:space="0" w:color="auto"/>
        <w:right w:val="none" w:sz="0" w:space="0" w:color="auto"/>
      </w:divBdr>
    </w:div>
    <w:div w:id="1279071776">
      <w:bodyDiv w:val="1"/>
      <w:marLeft w:val="0"/>
      <w:marRight w:val="0"/>
      <w:marTop w:val="0"/>
      <w:marBottom w:val="0"/>
      <w:divBdr>
        <w:top w:val="none" w:sz="0" w:space="0" w:color="auto"/>
        <w:left w:val="none" w:sz="0" w:space="0" w:color="auto"/>
        <w:bottom w:val="none" w:sz="0" w:space="0" w:color="auto"/>
        <w:right w:val="none" w:sz="0" w:space="0" w:color="auto"/>
      </w:divBdr>
    </w:div>
    <w:div w:id="1441684243">
      <w:bodyDiv w:val="1"/>
      <w:marLeft w:val="0"/>
      <w:marRight w:val="0"/>
      <w:marTop w:val="0"/>
      <w:marBottom w:val="0"/>
      <w:divBdr>
        <w:top w:val="none" w:sz="0" w:space="0" w:color="auto"/>
        <w:left w:val="none" w:sz="0" w:space="0" w:color="auto"/>
        <w:bottom w:val="none" w:sz="0" w:space="0" w:color="auto"/>
        <w:right w:val="none" w:sz="0" w:space="0" w:color="auto"/>
      </w:divBdr>
    </w:div>
    <w:div w:id="1470366827">
      <w:bodyDiv w:val="1"/>
      <w:marLeft w:val="0"/>
      <w:marRight w:val="0"/>
      <w:marTop w:val="0"/>
      <w:marBottom w:val="0"/>
      <w:divBdr>
        <w:top w:val="none" w:sz="0" w:space="0" w:color="auto"/>
        <w:left w:val="none" w:sz="0" w:space="0" w:color="auto"/>
        <w:bottom w:val="none" w:sz="0" w:space="0" w:color="auto"/>
        <w:right w:val="none" w:sz="0" w:space="0" w:color="auto"/>
      </w:divBdr>
    </w:div>
    <w:div w:id="1515922234">
      <w:bodyDiv w:val="1"/>
      <w:marLeft w:val="0"/>
      <w:marRight w:val="0"/>
      <w:marTop w:val="0"/>
      <w:marBottom w:val="0"/>
      <w:divBdr>
        <w:top w:val="none" w:sz="0" w:space="0" w:color="auto"/>
        <w:left w:val="none" w:sz="0" w:space="0" w:color="auto"/>
        <w:bottom w:val="none" w:sz="0" w:space="0" w:color="auto"/>
        <w:right w:val="none" w:sz="0" w:space="0" w:color="auto"/>
      </w:divBdr>
    </w:div>
    <w:div w:id="1561211263">
      <w:bodyDiv w:val="1"/>
      <w:marLeft w:val="0"/>
      <w:marRight w:val="0"/>
      <w:marTop w:val="0"/>
      <w:marBottom w:val="0"/>
      <w:divBdr>
        <w:top w:val="none" w:sz="0" w:space="0" w:color="auto"/>
        <w:left w:val="none" w:sz="0" w:space="0" w:color="auto"/>
        <w:bottom w:val="none" w:sz="0" w:space="0" w:color="auto"/>
        <w:right w:val="none" w:sz="0" w:space="0" w:color="auto"/>
      </w:divBdr>
    </w:div>
    <w:div w:id="1877692225">
      <w:bodyDiv w:val="1"/>
      <w:marLeft w:val="0"/>
      <w:marRight w:val="0"/>
      <w:marTop w:val="0"/>
      <w:marBottom w:val="0"/>
      <w:divBdr>
        <w:top w:val="none" w:sz="0" w:space="0" w:color="auto"/>
        <w:left w:val="none" w:sz="0" w:space="0" w:color="auto"/>
        <w:bottom w:val="none" w:sz="0" w:space="0" w:color="auto"/>
        <w:right w:val="none" w:sz="0" w:space="0" w:color="auto"/>
      </w:divBdr>
    </w:div>
    <w:div w:id="20540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4131</Words>
  <Characters>25616</Characters>
  <Application>Microsoft Office Word</Application>
  <DocSecurity>0</DocSecurity>
  <Lines>213</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Lynge</dc:creator>
  <cp:keywords/>
  <dc:description>2023060590, var. 2, pkt. 6.5 _x000d_
Tilføjelse af 50 (5x10 tabl) blister</dc:description>
  <cp:lastModifiedBy>Pia Lynge</cp:lastModifiedBy>
  <cp:revision>5</cp:revision>
  <cp:lastPrinted>2012-08-22T08:53:00Z</cp:lastPrinted>
  <dcterms:created xsi:type="dcterms:W3CDTF">2023-07-03T11:29:00Z</dcterms:created>
  <dcterms:modified xsi:type="dcterms:W3CDTF">2023-07-03T12:03:00Z</dcterms:modified>
</cp:coreProperties>
</file>