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D18A"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8D80DE4" wp14:editId="2399B5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F975D00" w14:textId="77777777" w:rsidR="009260DE" w:rsidRPr="00C84483" w:rsidRDefault="009260DE" w:rsidP="009260DE">
      <w:pPr>
        <w:pStyle w:val="Titel"/>
        <w:tabs>
          <w:tab w:val="right" w:pos="9356"/>
        </w:tabs>
        <w:jc w:val="left"/>
        <w:rPr>
          <w:b w:val="0"/>
          <w:szCs w:val="24"/>
          <w:lang w:eastAsia="en-US"/>
        </w:rPr>
      </w:pPr>
    </w:p>
    <w:p w14:paraId="3CD76F83" w14:textId="26B2115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03D79">
        <w:rPr>
          <w:szCs w:val="24"/>
        </w:rPr>
        <w:t>14. juli 2025</w:t>
      </w:r>
    </w:p>
    <w:p w14:paraId="2FDDDC5E" w14:textId="77777777" w:rsidR="009260DE" w:rsidRPr="00C84483" w:rsidRDefault="009260DE" w:rsidP="009260DE">
      <w:pPr>
        <w:pStyle w:val="Titel"/>
        <w:tabs>
          <w:tab w:val="left" w:pos="8222"/>
        </w:tabs>
        <w:jc w:val="left"/>
        <w:rPr>
          <w:b w:val="0"/>
          <w:szCs w:val="24"/>
        </w:rPr>
      </w:pPr>
    </w:p>
    <w:p w14:paraId="6D5BCB93" w14:textId="77777777" w:rsidR="009260DE" w:rsidRPr="00C84483" w:rsidRDefault="009260DE" w:rsidP="009260DE">
      <w:pPr>
        <w:pStyle w:val="Titel"/>
        <w:jc w:val="left"/>
        <w:rPr>
          <w:b w:val="0"/>
          <w:szCs w:val="24"/>
        </w:rPr>
      </w:pPr>
    </w:p>
    <w:p w14:paraId="759DC6E7" w14:textId="77777777" w:rsidR="009260DE" w:rsidRPr="00C84483" w:rsidRDefault="009260DE" w:rsidP="009260DE">
      <w:pPr>
        <w:pStyle w:val="Titel"/>
        <w:jc w:val="left"/>
        <w:rPr>
          <w:b w:val="0"/>
          <w:szCs w:val="24"/>
        </w:rPr>
      </w:pPr>
    </w:p>
    <w:p w14:paraId="40E4798A" w14:textId="77777777" w:rsidR="009260DE" w:rsidRPr="00C84483" w:rsidRDefault="009260DE" w:rsidP="009260DE">
      <w:pPr>
        <w:jc w:val="center"/>
        <w:rPr>
          <w:b/>
          <w:sz w:val="24"/>
          <w:szCs w:val="24"/>
        </w:rPr>
      </w:pPr>
      <w:r w:rsidRPr="00C84483">
        <w:rPr>
          <w:b/>
          <w:sz w:val="24"/>
          <w:szCs w:val="24"/>
        </w:rPr>
        <w:t>PRODUKTRESUMÉ</w:t>
      </w:r>
    </w:p>
    <w:p w14:paraId="18177316" w14:textId="77777777" w:rsidR="009260DE" w:rsidRPr="00C84483" w:rsidRDefault="009260DE" w:rsidP="009260DE">
      <w:pPr>
        <w:jc w:val="center"/>
        <w:rPr>
          <w:b/>
          <w:sz w:val="24"/>
          <w:szCs w:val="24"/>
        </w:rPr>
      </w:pPr>
    </w:p>
    <w:p w14:paraId="56A6BF33" w14:textId="77777777" w:rsidR="009260DE" w:rsidRDefault="009260DE" w:rsidP="009260DE">
      <w:pPr>
        <w:jc w:val="center"/>
        <w:rPr>
          <w:b/>
          <w:sz w:val="24"/>
          <w:szCs w:val="24"/>
        </w:rPr>
      </w:pPr>
      <w:r w:rsidRPr="00C84483">
        <w:rPr>
          <w:b/>
          <w:sz w:val="24"/>
          <w:szCs w:val="24"/>
        </w:rPr>
        <w:t>for</w:t>
      </w:r>
    </w:p>
    <w:p w14:paraId="5601E7CF" w14:textId="77777777" w:rsidR="000B058C" w:rsidRPr="00C84483" w:rsidRDefault="000B058C" w:rsidP="009260DE">
      <w:pPr>
        <w:jc w:val="center"/>
        <w:rPr>
          <w:b/>
          <w:sz w:val="24"/>
          <w:szCs w:val="24"/>
        </w:rPr>
      </w:pPr>
    </w:p>
    <w:p w14:paraId="2226D9B3" w14:textId="77777777" w:rsidR="009260DE" w:rsidRPr="00C84483" w:rsidRDefault="000A32B4" w:rsidP="009260DE">
      <w:pPr>
        <w:jc w:val="center"/>
        <w:rPr>
          <w:b/>
          <w:sz w:val="24"/>
          <w:szCs w:val="24"/>
        </w:rPr>
      </w:pPr>
      <w:r>
        <w:rPr>
          <w:b/>
          <w:sz w:val="24"/>
          <w:szCs w:val="24"/>
        </w:rPr>
        <w:t>Ondansetron "Noridem", injektionsvæske, opløsning</w:t>
      </w:r>
    </w:p>
    <w:p w14:paraId="477A7847" w14:textId="77777777" w:rsidR="009260DE" w:rsidRPr="00C84483" w:rsidRDefault="009260DE" w:rsidP="009260DE">
      <w:pPr>
        <w:jc w:val="both"/>
        <w:rPr>
          <w:sz w:val="24"/>
          <w:szCs w:val="24"/>
        </w:rPr>
      </w:pPr>
    </w:p>
    <w:p w14:paraId="406503E0" w14:textId="77777777" w:rsidR="009260DE" w:rsidRPr="00C84483" w:rsidRDefault="009260DE" w:rsidP="009260DE">
      <w:pPr>
        <w:jc w:val="both"/>
        <w:rPr>
          <w:sz w:val="24"/>
          <w:szCs w:val="24"/>
        </w:rPr>
      </w:pPr>
    </w:p>
    <w:p w14:paraId="7E52782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CD91AFC" w14:textId="78FA543E" w:rsidR="009260DE" w:rsidRPr="00C84483" w:rsidRDefault="008B22F1" w:rsidP="009260DE">
      <w:pPr>
        <w:tabs>
          <w:tab w:val="left" w:pos="851"/>
        </w:tabs>
        <w:ind w:left="851"/>
        <w:rPr>
          <w:sz w:val="24"/>
          <w:szCs w:val="24"/>
        </w:rPr>
      </w:pPr>
      <w:r>
        <w:rPr>
          <w:sz w:val="24"/>
          <w:szCs w:val="24"/>
        </w:rPr>
        <w:t>34329</w:t>
      </w:r>
    </w:p>
    <w:p w14:paraId="6FECF7B5" w14:textId="77777777" w:rsidR="009260DE" w:rsidRPr="00C84483" w:rsidRDefault="009260DE" w:rsidP="009260DE">
      <w:pPr>
        <w:tabs>
          <w:tab w:val="left" w:pos="851"/>
        </w:tabs>
        <w:ind w:left="851"/>
        <w:rPr>
          <w:sz w:val="24"/>
          <w:szCs w:val="24"/>
        </w:rPr>
      </w:pPr>
    </w:p>
    <w:p w14:paraId="70E7C38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644034F" w14:textId="214A8B3D" w:rsidR="009260DE" w:rsidRPr="00C84483" w:rsidRDefault="008B22F1" w:rsidP="009260DE">
      <w:pPr>
        <w:tabs>
          <w:tab w:val="left" w:pos="851"/>
        </w:tabs>
        <w:ind w:left="851"/>
        <w:rPr>
          <w:sz w:val="24"/>
          <w:szCs w:val="24"/>
        </w:rPr>
      </w:pPr>
      <w:r>
        <w:rPr>
          <w:sz w:val="24"/>
          <w:szCs w:val="24"/>
        </w:rPr>
        <w:t>Ondansetron "Noridem"</w:t>
      </w:r>
    </w:p>
    <w:p w14:paraId="7A3FA046" w14:textId="77777777" w:rsidR="009260DE" w:rsidRPr="00C84483" w:rsidRDefault="009260DE" w:rsidP="009260DE">
      <w:pPr>
        <w:tabs>
          <w:tab w:val="left" w:pos="851"/>
        </w:tabs>
        <w:ind w:left="851"/>
        <w:rPr>
          <w:sz w:val="24"/>
          <w:szCs w:val="24"/>
        </w:rPr>
      </w:pPr>
    </w:p>
    <w:p w14:paraId="75F48E9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FAD45AC" w14:textId="77777777" w:rsidR="008B22F1" w:rsidRPr="008B22F1" w:rsidRDefault="008B22F1" w:rsidP="008B22F1">
      <w:pPr>
        <w:tabs>
          <w:tab w:val="left" w:pos="851"/>
        </w:tabs>
        <w:ind w:left="851"/>
        <w:rPr>
          <w:sz w:val="24"/>
          <w:szCs w:val="24"/>
        </w:rPr>
      </w:pPr>
      <w:r w:rsidRPr="008B22F1">
        <w:rPr>
          <w:sz w:val="24"/>
          <w:szCs w:val="24"/>
        </w:rPr>
        <w:t>1 ml indeholder ondansetronhydrochloriddihydrat svarende til 2 mg ondansetron.</w:t>
      </w:r>
    </w:p>
    <w:p w14:paraId="7556A5B5" w14:textId="77777777" w:rsidR="008B22F1" w:rsidRPr="008B22F1" w:rsidRDefault="008B22F1" w:rsidP="008B22F1">
      <w:pPr>
        <w:tabs>
          <w:tab w:val="left" w:pos="851"/>
        </w:tabs>
        <w:ind w:left="851"/>
        <w:rPr>
          <w:sz w:val="24"/>
          <w:szCs w:val="24"/>
        </w:rPr>
      </w:pPr>
    </w:p>
    <w:p w14:paraId="182002DF" w14:textId="77777777" w:rsidR="008B22F1" w:rsidRPr="008B22F1" w:rsidRDefault="008B22F1" w:rsidP="008B22F1">
      <w:pPr>
        <w:tabs>
          <w:tab w:val="left" w:pos="851"/>
        </w:tabs>
        <w:ind w:left="851"/>
        <w:rPr>
          <w:sz w:val="24"/>
          <w:szCs w:val="24"/>
        </w:rPr>
      </w:pPr>
      <w:r w:rsidRPr="008B22F1">
        <w:rPr>
          <w:sz w:val="24"/>
          <w:szCs w:val="24"/>
        </w:rPr>
        <w:t>Hver 2 ml-ampul indeholder 4 mg ondansetron.</w:t>
      </w:r>
    </w:p>
    <w:p w14:paraId="1F1AF111" w14:textId="77777777" w:rsidR="008B22F1" w:rsidRPr="008B22F1" w:rsidRDefault="008B22F1" w:rsidP="008B22F1">
      <w:pPr>
        <w:tabs>
          <w:tab w:val="left" w:pos="851"/>
        </w:tabs>
        <w:ind w:left="851"/>
        <w:rPr>
          <w:sz w:val="24"/>
          <w:szCs w:val="24"/>
        </w:rPr>
      </w:pPr>
      <w:r w:rsidRPr="008B22F1">
        <w:rPr>
          <w:sz w:val="24"/>
          <w:szCs w:val="24"/>
        </w:rPr>
        <w:t>Hver 4 ml-ampul indeholder 8 mg ondansetron.</w:t>
      </w:r>
    </w:p>
    <w:p w14:paraId="679EDAA9" w14:textId="77777777" w:rsidR="008B22F1" w:rsidRPr="008B22F1" w:rsidRDefault="008B22F1" w:rsidP="008B22F1">
      <w:pPr>
        <w:tabs>
          <w:tab w:val="left" w:pos="851"/>
        </w:tabs>
        <w:ind w:left="851"/>
        <w:rPr>
          <w:sz w:val="24"/>
          <w:szCs w:val="24"/>
        </w:rPr>
      </w:pPr>
    </w:p>
    <w:p w14:paraId="54377C28" w14:textId="1238D56F" w:rsidR="008B22F1" w:rsidRPr="008B22F1" w:rsidRDefault="008B22F1" w:rsidP="008B22F1">
      <w:pPr>
        <w:tabs>
          <w:tab w:val="left" w:pos="851"/>
        </w:tabs>
        <w:ind w:left="851"/>
        <w:rPr>
          <w:sz w:val="24"/>
          <w:szCs w:val="24"/>
        </w:rPr>
      </w:pPr>
      <w:r w:rsidRPr="008B22F1">
        <w:rPr>
          <w:sz w:val="24"/>
          <w:szCs w:val="24"/>
          <w:u w:val="single"/>
        </w:rPr>
        <w:t>Hjælpestof, som behandleren skal være opmærksom på</w:t>
      </w:r>
    </w:p>
    <w:p w14:paraId="6FA2E08C" w14:textId="77777777" w:rsidR="008B22F1" w:rsidRPr="008B22F1" w:rsidRDefault="008B22F1" w:rsidP="008B22F1">
      <w:pPr>
        <w:tabs>
          <w:tab w:val="left" w:pos="851"/>
        </w:tabs>
        <w:ind w:left="851"/>
        <w:rPr>
          <w:sz w:val="24"/>
          <w:szCs w:val="24"/>
        </w:rPr>
      </w:pPr>
      <w:r w:rsidRPr="008B22F1">
        <w:rPr>
          <w:sz w:val="24"/>
          <w:szCs w:val="24"/>
        </w:rPr>
        <w:t>Dette lægemiddel indeholder 0,313 mmol (7,2 mg) natrium pr. 2 ml ampul.</w:t>
      </w:r>
    </w:p>
    <w:p w14:paraId="568D48C7" w14:textId="77777777" w:rsidR="008B22F1" w:rsidRPr="008B22F1" w:rsidRDefault="008B22F1" w:rsidP="008B22F1">
      <w:pPr>
        <w:tabs>
          <w:tab w:val="left" w:pos="851"/>
        </w:tabs>
        <w:ind w:left="851"/>
        <w:rPr>
          <w:sz w:val="24"/>
          <w:szCs w:val="24"/>
        </w:rPr>
      </w:pPr>
      <w:r w:rsidRPr="008B22F1">
        <w:rPr>
          <w:sz w:val="24"/>
          <w:szCs w:val="24"/>
        </w:rPr>
        <w:t>Dette lægemiddel indeholder 0,626 mmol (14,4 mg) natrium pr. 4 ml ampul.</w:t>
      </w:r>
    </w:p>
    <w:p w14:paraId="052DE61E" w14:textId="77777777" w:rsidR="008B22F1" w:rsidRPr="008B22F1" w:rsidRDefault="008B22F1" w:rsidP="008B22F1">
      <w:pPr>
        <w:tabs>
          <w:tab w:val="left" w:pos="851"/>
        </w:tabs>
        <w:ind w:left="851"/>
        <w:rPr>
          <w:sz w:val="24"/>
          <w:szCs w:val="24"/>
        </w:rPr>
      </w:pPr>
    </w:p>
    <w:p w14:paraId="4CE1CEFC" w14:textId="77777777" w:rsidR="008B22F1" w:rsidRPr="008B22F1" w:rsidRDefault="008B22F1" w:rsidP="008B22F1">
      <w:pPr>
        <w:tabs>
          <w:tab w:val="left" w:pos="851"/>
        </w:tabs>
        <w:ind w:left="851"/>
        <w:rPr>
          <w:sz w:val="24"/>
          <w:szCs w:val="24"/>
        </w:rPr>
      </w:pPr>
      <w:r w:rsidRPr="008B22F1">
        <w:rPr>
          <w:sz w:val="24"/>
          <w:szCs w:val="24"/>
        </w:rPr>
        <w:t>Alle hjælpestoffer er anført under punkt 6.1.</w:t>
      </w:r>
    </w:p>
    <w:p w14:paraId="0DCE7B55" w14:textId="77777777" w:rsidR="008B22F1" w:rsidRPr="008B22F1" w:rsidRDefault="008B22F1" w:rsidP="008B22F1">
      <w:pPr>
        <w:tabs>
          <w:tab w:val="left" w:pos="851"/>
        </w:tabs>
        <w:ind w:left="851"/>
        <w:rPr>
          <w:sz w:val="24"/>
          <w:szCs w:val="24"/>
        </w:rPr>
      </w:pPr>
    </w:p>
    <w:p w14:paraId="09459AA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AB6DE44" w14:textId="77777777" w:rsidR="008B22F1" w:rsidRPr="008B22F1" w:rsidRDefault="008B22F1" w:rsidP="008B22F1">
      <w:pPr>
        <w:tabs>
          <w:tab w:val="left" w:pos="851"/>
        </w:tabs>
        <w:ind w:left="851"/>
        <w:rPr>
          <w:sz w:val="24"/>
          <w:szCs w:val="24"/>
        </w:rPr>
      </w:pPr>
      <w:r w:rsidRPr="008B22F1">
        <w:rPr>
          <w:sz w:val="24"/>
          <w:szCs w:val="24"/>
        </w:rPr>
        <w:t>Injektionsvæske, opløsning</w:t>
      </w:r>
    </w:p>
    <w:p w14:paraId="44799B6A" w14:textId="77777777" w:rsidR="008B22F1" w:rsidRPr="008B22F1" w:rsidRDefault="008B22F1" w:rsidP="008B22F1">
      <w:pPr>
        <w:tabs>
          <w:tab w:val="left" w:pos="851"/>
        </w:tabs>
        <w:ind w:left="851"/>
        <w:rPr>
          <w:sz w:val="24"/>
          <w:szCs w:val="24"/>
        </w:rPr>
      </w:pPr>
    </w:p>
    <w:p w14:paraId="084BFAA4" w14:textId="77777777" w:rsidR="008B22F1" w:rsidRPr="008B22F1" w:rsidRDefault="008B22F1" w:rsidP="008B22F1">
      <w:pPr>
        <w:tabs>
          <w:tab w:val="left" w:pos="851"/>
        </w:tabs>
        <w:ind w:left="851"/>
        <w:rPr>
          <w:sz w:val="24"/>
          <w:szCs w:val="24"/>
        </w:rPr>
      </w:pPr>
      <w:r w:rsidRPr="008B22F1">
        <w:rPr>
          <w:sz w:val="24"/>
          <w:szCs w:val="24"/>
        </w:rPr>
        <w:t>Klar og farveløs, vandig opløsning.</w:t>
      </w:r>
    </w:p>
    <w:p w14:paraId="32F452BA" w14:textId="77777777" w:rsidR="009260DE" w:rsidRPr="00C84483" w:rsidRDefault="009260DE" w:rsidP="009260DE">
      <w:pPr>
        <w:tabs>
          <w:tab w:val="left" w:pos="851"/>
        </w:tabs>
        <w:ind w:left="851"/>
        <w:rPr>
          <w:sz w:val="24"/>
          <w:szCs w:val="24"/>
        </w:rPr>
      </w:pPr>
    </w:p>
    <w:p w14:paraId="62168B33" w14:textId="77777777" w:rsidR="009260DE" w:rsidRPr="00C84483" w:rsidRDefault="009260DE" w:rsidP="009260DE">
      <w:pPr>
        <w:tabs>
          <w:tab w:val="left" w:pos="851"/>
        </w:tabs>
        <w:ind w:left="851"/>
        <w:rPr>
          <w:sz w:val="24"/>
          <w:szCs w:val="24"/>
        </w:rPr>
      </w:pPr>
    </w:p>
    <w:p w14:paraId="15E7175F"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D7843F1" w14:textId="77777777" w:rsidR="009260DE" w:rsidRPr="00C84483" w:rsidRDefault="009260DE" w:rsidP="009260DE">
      <w:pPr>
        <w:tabs>
          <w:tab w:val="left" w:pos="851"/>
        </w:tabs>
        <w:ind w:left="851"/>
        <w:rPr>
          <w:b/>
          <w:sz w:val="24"/>
          <w:szCs w:val="24"/>
        </w:rPr>
      </w:pPr>
    </w:p>
    <w:p w14:paraId="69D369B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649293B" w14:textId="77777777" w:rsidR="008B22F1" w:rsidRDefault="008B22F1" w:rsidP="008B22F1">
      <w:pPr>
        <w:tabs>
          <w:tab w:val="left" w:pos="851"/>
        </w:tabs>
        <w:ind w:left="851"/>
        <w:rPr>
          <w:sz w:val="24"/>
          <w:szCs w:val="24"/>
          <w:u w:val="single"/>
        </w:rPr>
      </w:pPr>
    </w:p>
    <w:p w14:paraId="45758278" w14:textId="10137A58" w:rsidR="008B22F1" w:rsidRPr="008B22F1" w:rsidRDefault="008B22F1" w:rsidP="008B22F1">
      <w:pPr>
        <w:tabs>
          <w:tab w:val="left" w:pos="851"/>
        </w:tabs>
        <w:ind w:left="851"/>
        <w:rPr>
          <w:sz w:val="24"/>
          <w:szCs w:val="24"/>
          <w:u w:val="single"/>
        </w:rPr>
      </w:pPr>
      <w:r w:rsidRPr="008B22F1">
        <w:rPr>
          <w:sz w:val="24"/>
          <w:szCs w:val="24"/>
          <w:u w:val="single"/>
        </w:rPr>
        <w:t xml:space="preserve">Voksne </w:t>
      </w:r>
    </w:p>
    <w:p w14:paraId="481B1953" w14:textId="77777777" w:rsidR="008B22F1" w:rsidRPr="008B22F1" w:rsidRDefault="008B22F1" w:rsidP="008B22F1">
      <w:pPr>
        <w:tabs>
          <w:tab w:val="left" w:pos="851"/>
        </w:tabs>
        <w:ind w:left="851"/>
        <w:rPr>
          <w:sz w:val="24"/>
          <w:szCs w:val="24"/>
        </w:rPr>
      </w:pPr>
      <w:r w:rsidRPr="008B22F1">
        <w:rPr>
          <w:sz w:val="24"/>
          <w:szCs w:val="24"/>
        </w:rPr>
        <w:t>Ondansetron er indiceret til behandling af kvalme og opkastning fremkaldt af cytotoksisk kemoterapi og strålebehandling. Ondansetron er også indiceret til forebyggelse og behandling af postoperativ kvalme og opkastning.</w:t>
      </w:r>
    </w:p>
    <w:p w14:paraId="52A755ED" w14:textId="4FBF9D2A" w:rsidR="008B22F1" w:rsidRDefault="008B22F1">
      <w:pPr>
        <w:rPr>
          <w:sz w:val="24"/>
          <w:szCs w:val="24"/>
        </w:rPr>
      </w:pPr>
      <w:r>
        <w:rPr>
          <w:sz w:val="24"/>
          <w:szCs w:val="24"/>
        </w:rPr>
        <w:br w:type="page"/>
      </w:r>
    </w:p>
    <w:p w14:paraId="04FD4135" w14:textId="77777777" w:rsidR="008B22F1" w:rsidRPr="008B22F1" w:rsidRDefault="008B22F1" w:rsidP="008B22F1">
      <w:pPr>
        <w:tabs>
          <w:tab w:val="left" w:pos="851"/>
        </w:tabs>
        <w:ind w:left="851"/>
        <w:rPr>
          <w:sz w:val="24"/>
          <w:szCs w:val="24"/>
        </w:rPr>
      </w:pPr>
    </w:p>
    <w:p w14:paraId="78983797" w14:textId="77777777" w:rsidR="008B22F1" w:rsidRPr="008B22F1" w:rsidRDefault="008B22F1" w:rsidP="008B22F1">
      <w:pPr>
        <w:tabs>
          <w:tab w:val="left" w:pos="851"/>
        </w:tabs>
        <w:ind w:left="851"/>
        <w:rPr>
          <w:sz w:val="24"/>
          <w:szCs w:val="24"/>
          <w:u w:val="single"/>
        </w:rPr>
      </w:pPr>
      <w:r w:rsidRPr="008B22F1">
        <w:rPr>
          <w:sz w:val="24"/>
          <w:szCs w:val="24"/>
          <w:u w:val="single"/>
        </w:rPr>
        <w:t>Pædiatrisk population</w:t>
      </w:r>
    </w:p>
    <w:p w14:paraId="02999B8A" w14:textId="77777777" w:rsidR="008B22F1" w:rsidRPr="008B22F1" w:rsidRDefault="008B22F1" w:rsidP="008B22F1">
      <w:pPr>
        <w:tabs>
          <w:tab w:val="left" w:pos="851"/>
        </w:tabs>
        <w:ind w:left="851"/>
        <w:rPr>
          <w:sz w:val="24"/>
          <w:szCs w:val="24"/>
        </w:rPr>
      </w:pPr>
      <w:r w:rsidRPr="008B22F1">
        <w:rPr>
          <w:sz w:val="24"/>
          <w:szCs w:val="24"/>
        </w:rPr>
        <w:t xml:space="preserve">Ondansetron er indiceret til behandling af kvalme og opkastning forårsaget af cytotoksisk kemoterapi hos børn og unge i alderen 6 måneder til 17 år. </w:t>
      </w:r>
    </w:p>
    <w:p w14:paraId="59F09E06" w14:textId="77777777" w:rsidR="008B22F1" w:rsidRPr="008B22F1" w:rsidRDefault="008B22F1" w:rsidP="008B22F1">
      <w:pPr>
        <w:tabs>
          <w:tab w:val="left" w:pos="851"/>
        </w:tabs>
        <w:ind w:left="851"/>
        <w:rPr>
          <w:sz w:val="24"/>
          <w:szCs w:val="24"/>
        </w:rPr>
      </w:pPr>
      <w:r w:rsidRPr="008B22F1">
        <w:rPr>
          <w:sz w:val="24"/>
          <w:szCs w:val="24"/>
        </w:rPr>
        <w:t>Ondansetron-injektion er indiceret til forebyggelse eller behandling af postoperativ kvalme og opkastning hos børn og unge i alderen 1 måned til 17 år.</w:t>
      </w:r>
    </w:p>
    <w:p w14:paraId="189DE77C" w14:textId="77777777" w:rsidR="009260DE" w:rsidRPr="00C84483" w:rsidRDefault="009260DE" w:rsidP="009260DE">
      <w:pPr>
        <w:tabs>
          <w:tab w:val="left" w:pos="851"/>
        </w:tabs>
        <w:ind w:left="851"/>
        <w:rPr>
          <w:sz w:val="24"/>
          <w:szCs w:val="24"/>
        </w:rPr>
      </w:pPr>
    </w:p>
    <w:p w14:paraId="7CC63DB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37BD0B6" w14:textId="77777777" w:rsidR="008B22F1" w:rsidRPr="008B22F1" w:rsidRDefault="008B22F1" w:rsidP="008B22F1">
      <w:pPr>
        <w:ind w:left="851"/>
        <w:rPr>
          <w:noProof/>
          <w:sz w:val="24"/>
          <w:szCs w:val="24"/>
        </w:rPr>
      </w:pPr>
    </w:p>
    <w:p w14:paraId="10028D7E" w14:textId="77777777" w:rsidR="008B22F1" w:rsidRPr="008B22F1" w:rsidRDefault="008B22F1" w:rsidP="008B22F1">
      <w:pPr>
        <w:ind w:left="851"/>
        <w:rPr>
          <w:noProof/>
          <w:sz w:val="24"/>
          <w:szCs w:val="24"/>
          <w:u w:val="single"/>
        </w:rPr>
      </w:pPr>
      <w:r w:rsidRPr="008B22F1">
        <w:rPr>
          <w:noProof/>
          <w:sz w:val="24"/>
          <w:szCs w:val="24"/>
          <w:u w:val="single"/>
        </w:rPr>
        <w:t>Kvalme og opkast fremkaldt af kemoterapi og strålebehandling (CINV og RINV)</w:t>
      </w:r>
    </w:p>
    <w:p w14:paraId="4E1D4F88" w14:textId="77777777" w:rsidR="008B22F1" w:rsidRPr="008B22F1" w:rsidRDefault="008B22F1" w:rsidP="008B22F1">
      <w:pPr>
        <w:ind w:left="851"/>
        <w:rPr>
          <w:noProof/>
          <w:sz w:val="24"/>
          <w:szCs w:val="24"/>
        </w:rPr>
      </w:pPr>
      <w:r w:rsidRPr="008B22F1">
        <w:rPr>
          <w:noProof/>
          <w:sz w:val="24"/>
          <w:szCs w:val="24"/>
        </w:rPr>
        <w:t>Kræftbehandlingens emetogene potentiale varierer afhængigt af doserne og kombination af kemoterapi og strålebehandling. Valg af doseringsregimen bør bestemmes af sværhedsgraden af den emetogene påvirkning.</w:t>
      </w:r>
    </w:p>
    <w:p w14:paraId="5580F61D" w14:textId="77777777" w:rsidR="008B22F1" w:rsidRPr="008B22F1" w:rsidRDefault="008B22F1" w:rsidP="008B22F1">
      <w:pPr>
        <w:ind w:left="851"/>
        <w:rPr>
          <w:noProof/>
          <w:sz w:val="24"/>
          <w:szCs w:val="24"/>
          <w:u w:val="single"/>
        </w:rPr>
      </w:pPr>
    </w:p>
    <w:p w14:paraId="4F6E8AFB" w14:textId="77777777" w:rsidR="008B22F1" w:rsidRPr="008B22F1" w:rsidRDefault="008B22F1" w:rsidP="008B22F1">
      <w:pPr>
        <w:ind w:left="851"/>
        <w:rPr>
          <w:noProof/>
          <w:sz w:val="24"/>
          <w:szCs w:val="24"/>
          <w:u w:val="single"/>
        </w:rPr>
      </w:pPr>
      <w:r w:rsidRPr="008B22F1">
        <w:rPr>
          <w:noProof/>
          <w:sz w:val="24"/>
          <w:szCs w:val="24"/>
          <w:u w:val="single"/>
        </w:rPr>
        <w:t>CINV og RINV hos voksne</w:t>
      </w:r>
    </w:p>
    <w:p w14:paraId="5ED68DDB" w14:textId="77777777" w:rsidR="008B22F1" w:rsidRPr="008B22F1" w:rsidRDefault="008B22F1" w:rsidP="008B22F1">
      <w:pPr>
        <w:ind w:left="851"/>
        <w:rPr>
          <w:noProof/>
          <w:sz w:val="24"/>
          <w:szCs w:val="24"/>
        </w:rPr>
      </w:pPr>
      <w:r w:rsidRPr="008B22F1">
        <w:rPr>
          <w:noProof/>
          <w:sz w:val="24"/>
          <w:szCs w:val="24"/>
        </w:rPr>
        <w:t xml:space="preserve">Dosisområdet for ondansetron er 8-32 mg dagligt og vælges som vist nedenfor. </w:t>
      </w:r>
    </w:p>
    <w:p w14:paraId="680D001E" w14:textId="77777777" w:rsidR="008B22F1" w:rsidRPr="008B22F1" w:rsidRDefault="008B22F1" w:rsidP="008B22F1">
      <w:pPr>
        <w:ind w:left="851"/>
        <w:rPr>
          <w:noProof/>
          <w:sz w:val="24"/>
          <w:szCs w:val="24"/>
          <w:u w:val="single"/>
        </w:rPr>
      </w:pPr>
    </w:p>
    <w:p w14:paraId="55CA7EE0" w14:textId="77777777" w:rsidR="008B22F1" w:rsidRPr="008B22F1" w:rsidRDefault="008B22F1" w:rsidP="008B22F1">
      <w:pPr>
        <w:ind w:left="851"/>
        <w:rPr>
          <w:noProof/>
          <w:sz w:val="24"/>
          <w:szCs w:val="24"/>
        </w:rPr>
      </w:pPr>
      <w:r w:rsidRPr="008B22F1">
        <w:rPr>
          <w:noProof/>
          <w:sz w:val="24"/>
          <w:szCs w:val="24"/>
        </w:rPr>
        <w:t>Den anbefalede intravenøse eller intramuskulære dosis af ondansetron er 8 mg, og indgives umiddelbart før behandlingen.</w:t>
      </w:r>
    </w:p>
    <w:p w14:paraId="54723A81" w14:textId="77777777" w:rsidR="008B22F1" w:rsidRPr="008B22F1" w:rsidRDefault="008B22F1" w:rsidP="008B22F1">
      <w:pPr>
        <w:ind w:left="851"/>
        <w:rPr>
          <w:noProof/>
          <w:sz w:val="24"/>
          <w:szCs w:val="24"/>
          <w:u w:val="single"/>
        </w:rPr>
      </w:pPr>
    </w:p>
    <w:p w14:paraId="3D3B4C9E" w14:textId="77777777" w:rsidR="008B22F1" w:rsidRPr="008B22F1" w:rsidRDefault="008B22F1" w:rsidP="008B22F1">
      <w:pPr>
        <w:ind w:left="851"/>
        <w:rPr>
          <w:i/>
          <w:iCs/>
          <w:noProof/>
          <w:sz w:val="24"/>
          <w:szCs w:val="24"/>
        </w:rPr>
      </w:pPr>
      <w:r w:rsidRPr="008B22F1">
        <w:rPr>
          <w:i/>
          <w:iCs/>
          <w:noProof/>
          <w:sz w:val="24"/>
          <w:szCs w:val="24"/>
        </w:rPr>
        <w:t>Høj-emetogen kemoterapi</w:t>
      </w:r>
    </w:p>
    <w:p w14:paraId="26F71680" w14:textId="77777777" w:rsidR="008B22F1" w:rsidRPr="008B22F1" w:rsidRDefault="008B22F1" w:rsidP="008B22F1">
      <w:pPr>
        <w:ind w:left="851"/>
        <w:rPr>
          <w:noProof/>
          <w:sz w:val="24"/>
          <w:szCs w:val="24"/>
        </w:rPr>
      </w:pPr>
      <w:r w:rsidRPr="008B22F1">
        <w:rPr>
          <w:noProof/>
          <w:sz w:val="24"/>
          <w:szCs w:val="24"/>
        </w:rPr>
        <w:t xml:space="preserve">Til patienter, der får høj-emetogen kemoterapi, kan der indgives en maksimal startdosis på 16 mg ondansetron i.v. over 15 minutter. Der må ikke gives en enkelt dosis på over 16 mg på grund af dosisafhængig forøgelse af risikoen for QT-forlængelse (se pkt.  4.4, 4.8 og 5.1). Ondansetron har vist sig at være lige effektiv i følgende doseringsprogrammer i løbet af de første 24 timer af kemoterapien: </w:t>
      </w:r>
    </w:p>
    <w:p w14:paraId="702702D1" w14:textId="77777777" w:rsidR="008B22F1" w:rsidRPr="008B22F1" w:rsidRDefault="008B22F1" w:rsidP="008B22F1">
      <w:pPr>
        <w:ind w:left="851"/>
        <w:rPr>
          <w:noProof/>
          <w:sz w:val="24"/>
          <w:szCs w:val="24"/>
          <w:u w:val="single"/>
        </w:rPr>
      </w:pPr>
    </w:p>
    <w:p w14:paraId="23A3EF5C" w14:textId="77777777" w:rsidR="008B22F1" w:rsidRPr="008B22F1" w:rsidRDefault="008B22F1" w:rsidP="008B22F1">
      <w:pPr>
        <w:pStyle w:val="Listeafsnit"/>
        <w:numPr>
          <w:ilvl w:val="0"/>
          <w:numId w:val="6"/>
        </w:numPr>
        <w:ind w:left="1134" w:hanging="283"/>
        <w:rPr>
          <w:noProof/>
          <w:sz w:val="24"/>
          <w:szCs w:val="24"/>
        </w:rPr>
      </w:pPr>
      <w:r w:rsidRPr="008B22F1">
        <w:rPr>
          <w:noProof/>
          <w:sz w:val="24"/>
          <w:szCs w:val="24"/>
        </w:rPr>
        <w:t xml:space="preserve">En enkelt dosis på 8 mg ved langsom intravenøs injektion (på mindst 30 sekunder) eller intramuskulær injektion umiddelbart før kemoterapi. </w:t>
      </w:r>
    </w:p>
    <w:p w14:paraId="63225165" w14:textId="77777777" w:rsidR="008B22F1" w:rsidRPr="008B22F1" w:rsidRDefault="008B22F1" w:rsidP="008B22F1">
      <w:pPr>
        <w:pStyle w:val="Listeafsnit"/>
        <w:numPr>
          <w:ilvl w:val="0"/>
          <w:numId w:val="6"/>
        </w:numPr>
        <w:ind w:left="1134" w:hanging="283"/>
        <w:rPr>
          <w:noProof/>
          <w:sz w:val="24"/>
          <w:szCs w:val="24"/>
        </w:rPr>
      </w:pPr>
      <w:r w:rsidRPr="008B22F1">
        <w:rPr>
          <w:noProof/>
          <w:sz w:val="24"/>
          <w:szCs w:val="24"/>
        </w:rPr>
        <w:t xml:space="preserve">En dosis på 8 mg ved langsom intravenøs injektion (på mindst 30 sekunder) eller intramuskulær injektion umiddelbart før kemoterapi, efterfulgt af yderligere to intravenøse injektioner (på mindst 30 sekunder) eller intramuskulære doser på 8 mg med fire timers mellemrum, eller ved konstant infusion af 1 mg/time i op til 24 timer. </w:t>
      </w:r>
    </w:p>
    <w:p w14:paraId="369979A4" w14:textId="77777777" w:rsidR="008B22F1" w:rsidRPr="008B22F1" w:rsidRDefault="008B22F1" w:rsidP="008B22F1">
      <w:pPr>
        <w:pStyle w:val="Listeafsnit"/>
        <w:numPr>
          <w:ilvl w:val="0"/>
          <w:numId w:val="6"/>
        </w:numPr>
        <w:ind w:left="1134" w:hanging="283"/>
        <w:rPr>
          <w:noProof/>
          <w:sz w:val="24"/>
          <w:szCs w:val="24"/>
        </w:rPr>
      </w:pPr>
      <w:r w:rsidRPr="008B22F1">
        <w:rPr>
          <w:noProof/>
          <w:sz w:val="24"/>
          <w:szCs w:val="24"/>
        </w:rPr>
        <w:t xml:space="preserve">Den maksimale startdosis intravenøst er 16 mg fortyndet i 50-100 ml natriumchlorid 0,9 % w/v eller anden kompatibel infusionsvæske (se pkt.  6.6) og skal indgives over mindst 15 minutter umiddelbart før kemoterapi. Efter den første dosis ondansetron kan der gives yderligere to doser på 8 mg intravenøst (i løbet af mindst 30 sekunder) eller intramuskulært med fire timers mellemrum. </w:t>
      </w:r>
    </w:p>
    <w:p w14:paraId="38DC5C46" w14:textId="77777777" w:rsidR="008B22F1" w:rsidRPr="008B22F1" w:rsidRDefault="008B22F1" w:rsidP="008B22F1">
      <w:pPr>
        <w:ind w:left="851"/>
        <w:rPr>
          <w:noProof/>
          <w:sz w:val="24"/>
          <w:szCs w:val="24"/>
          <w:u w:val="single"/>
        </w:rPr>
      </w:pPr>
    </w:p>
    <w:p w14:paraId="78CCBF25" w14:textId="77777777" w:rsidR="008B22F1" w:rsidRPr="008B22F1" w:rsidRDefault="008B22F1" w:rsidP="008B22F1">
      <w:pPr>
        <w:ind w:left="851"/>
        <w:rPr>
          <w:noProof/>
          <w:sz w:val="24"/>
          <w:szCs w:val="24"/>
        </w:rPr>
      </w:pPr>
      <w:r w:rsidRPr="008B22F1">
        <w:rPr>
          <w:noProof/>
          <w:sz w:val="24"/>
          <w:szCs w:val="24"/>
        </w:rPr>
        <w:t xml:space="preserve">Virkningen af ondansetron ved høj-emetogen kemoterapi kan forstærkes ved tilsætning af en enkelt intravenøs dosis dexamethasonnatriumphosphat, 20 mg, administreret før kemoterapien. </w:t>
      </w:r>
    </w:p>
    <w:p w14:paraId="61CDE6D9" w14:textId="77777777" w:rsidR="008B22F1" w:rsidRPr="008B22F1" w:rsidRDefault="008B22F1" w:rsidP="008B22F1">
      <w:pPr>
        <w:ind w:left="851"/>
        <w:rPr>
          <w:noProof/>
          <w:sz w:val="24"/>
          <w:szCs w:val="24"/>
        </w:rPr>
      </w:pPr>
      <w:r w:rsidRPr="008B22F1">
        <w:rPr>
          <w:noProof/>
          <w:sz w:val="24"/>
          <w:szCs w:val="24"/>
        </w:rPr>
        <w:t>Der anbefales oral behandling for at beskytte mod forsinket eller langvarig opkastning efter de første 24 timer. Den anbefalede orale dosis er 8 mg, og skal tages to gange dagligt.</w:t>
      </w:r>
    </w:p>
    <w:p w14:paraId="331E0F24" w14:textId="77777777" w:rsidR="008B22F1" w:rsidRPr="008B22F1" w:rsidRDefault="008B22F1" w:rsidP="008B22F1">
      <w:pPr>
        <w:ind w:left="851"/>
        <w:rPr>
          <w:noProof/>
          <w:sz w:val="24"/>
          <w:szCs w:val="24"/>
        </w:rPr>
      </w:pPr>
      <w:r w:rsidRPr="008B22F1">
        <w:rPr>
          <w:noProof/>
          <w:sz w:val="24"/>
          <w:szCs w:val="24"/>
        </w:rPr>
        <w:t xml:space="preserve">Valg af doseringsregimen bør bestemmes af sværhedsgraden af den emetogene påvirkning. </w:t>
      </w:r>
    </w:p>
    <w:p w14:paraId="233798AB" w14:textId="6F90187B" w:rsidR="008B22F1" w:rsidRDefault="008B22F1">
      <w:pPr>
        <w:rPr>
          <w:noProof/>
          <w:sz w:val="24"/>
          <w:szCs w:val="24"/>
          <w:u w:val="single"/>
        </w:rPr>
      </w:pPr>
      <w:r>
        <w:rPr>
          <w:noProof/>
          <w:sz w:val="24"/>
          <w:szCs w:val="24"/>
          <w:u w:val="single"/>
        </w:rPr>
        <w:br w:type="page"/>
      </w:r>
    </w:p>
    <w:p w14:paraId="060816C8" w14:textId="77777777" w:rsidR="008B22F1" w:rsidRPr="008B22F1" w:rsidRDefault="008B22F1" w:rsidP="008B22F1">
      <w:pPr>
        <w:ind w:left="851"/>
        <w:rPr>
          <w:noProof/>
          <w:sz w:val="24"/>
          <w:szCs w:val="24"/>
          <w:u w:val="single"/>
        </w:rPr>
      </w:pPr>
    </w:p>
    <w:p w14:paraId="26E8A1A1" w14:textId="77777777" w:rsidR="008B22F1" w:rsidRPr="008B22F1" w:rsidRDefault="008B22F1" w:rsidP="008B22F1">
      <w:pPr>
        <w:ind w:left="851"/>
        <w:rPr>
          <w:noProof/>
          <w:sz w:val="24"/>
          <w:szCs w:val="24"/>
          <w:u w:val="single"/>
        </w:rPr>
      </w:pPr>
      <w:r w:rsidRPr="008B22F1">
        <w:rPr>
          <w:noProof/>
          <w:sz w:val="24"/>
          <w:szCs w:val="24"/>
          <w:u w:val="single"/>
        </w:rPr>
        <w:t>Pædiatrisk population</w:t>
      </w:r>
    </w:p>
    <w:p w14:paraId="458D583B" w14:textId="77777777" w:rsidR="008B22F1" w:rsidRPr="008B22F1" w:rsidRDefault="008B22F1" w:rsidP="008B22F1">
      <w:pPr>
        <w:ind w:left="851"/>
        <w:rPr>
          <w:noProof/>
          <w:sz w:val="24"/>
          <w:szCs w:val="24"/>
          <w:u w:val="single"/>
        </w:rPr>
      </w:pPr>
    </w:p>
    <w:p w14:paraId="5A7EB8DB" w14:textId="77777777" w:rsidR="008B22F1" w:rsidRPr="008B22F1" w:rsidRDefault="008B22F1" w:rsidP="008B22F1">
      <w:pPr>
        <w:ind w:left="851"/>
        <w:rPr>
          <w:i/>
          <w:iCs/>
          <w:noProof/>
          <w:sz w:val="24"/>
          <w:szCs w:val="24"/>
        </w:rPr>
      </w:pPr>
      <w:r w:rsidRPr="008B22F1">
        <w:rPr>
          <w:i/>
          <w:iCs/>
          <w:noProof/>
          <w:sz w:val="24"/>
          <w:szCs w:val="24"/>
        </w:rPr>
        <w:t>CINV hos børn og unge (i alderen 6 måneder til 17 år)</w:t>
      </w:r>
    </w:p>
    <w:p w14:paraId="4A869934" w14:textId="77777777" w:rsidR="008B22F1" w:rsidRPr="008B22F1" w:rsidRDefault="008B22F1" w:rsidP="008B22F1">
      <w:pPr>
        <w:ind w:left="851"/>
        <w:rPr>
          <w:noProof/>
          <w:sz w:val="24"/>
          <w:szCs w:val="24"/>
        </w:rPr>
      </w:pPr>
      <w:r w:rsidRPr="008B22F1">
        <w:rPr>
          <w:noProof/>
          <w:sz w:val="24"/>
          <w:szCs w:val="24"/>
        </w:rPr>
        <w:t xml:space="preserve">Dosis for CINV kan beregnes ud fra kropsoverfladeareal (BSA) eller vægt. Vægtbaseret dosering resulterer i højere totale daglige doser sammenlignet med BSA-baseret dosering (se pkt.  4.4 og 5.1). </w:t>
      </w:r>
    </w:p>
    <w:p w14:paraId="28B02C18" w14:textId="77777777" w:rsidR="008B22F1" w:rsidRPr="008B22F1" w:rsidRDefault="008B22F1" w:rsidP="008B22F1">
      <w:pPr>
        <w:ind w:left="851"/>
        <w:rPr>
          <w:noProof/>
          <w:sz w:val="24"/>
          <w:szCs w:val="24"/>
          <w:u w:val="single"/>
        </w:rPr>
      </w:pPr>
    </w:p>
    <w:p w14:paraId="09986425" w14:textId="77777777" w:rsidR="008B22F1" w:rsidRPr="008B22F1" w:rsidRDefault="008B22F1" w:rsidP="008B22F1">
      <w:pPr>
        <w:ind w:left="851"/>
        <w:rPr>
          <w:noProof/>
          <w:sz w:val="24"/>
          <w:szCs w:val="24"/>
        </w:rPr>
      </w:pPr>
      <w:r w:rsidRPr="008B22F1">
        <w:rPr>
          <w:noProof/>
          <w:sz w:val="24"/>
          <w:szCs w:val="24"/>
        </w:rPr>
        <w:t>I pædiatriske kliniske forsøg blev ondansetron givet som i.v. infusion fortyndet i 25-50 ml natriumchlorid 0,9 % w/v eller anden kompatibel infusionsvæske (se pkt.  6.6) og infunderet over mindst 15 minutter.</w:t>
      </w:r>
    </w:p>
    <w:p w14:paraId="3646A799" w14:textId="77777777" w:rsidR="008B22F1" w:rsidRPr="008B22F1" w:rsidRDefault="008B22F1" w:rsidP="008B22F1">
      <w:pPr>
        <w:ind w:left="851"/>
        <w:rPr>
          <w:noProof/>
          <w:sz w:val="24"/>
          <w:szCs w:val="24"/>
        </w:rPr>
      </w:pPr>
      <w:r w:rsidRPr="008B22F1">
        <w:rPr>
          <w:noProof/>
          <w:sz w:val="24"/>
          <w:szCs w:val="24"/>
        </w:rPr>
        <w:t>Der er ingen data fra kontrollerede kliniske forsøg om anvendelse af ondansetron til strålebehandlingsinduceret kvalme og opkastning hos børn.</w:t>
      </w:r>
    </w:p>
    <w:p w14:paraId="4F986F59" w14:textId="77777777" w:rsidR="008B22F1" w:rsidRPr="008B22F1" w:rsidRDefault="008B22F1" w:rsidP="008B22F1">
      <w:pPr>
        <w:ind w:left="851"/>
        <w:rPr>
          <w:noProof/>
          <w:sz w:val="24"/>
          <w:szCs w:val="24"/>
          <w:u w:val="single"/>
        </w:rPr>
      </w:pPr>
    </w:p>
    <w:p w14:paraId="25F49036" w14:textId="77777777" w:rsidR="008B22F1" w:rsidRPr="008B22F1" w:rsidRDefault="008B22F1" w:rsidP="008B22F1">
      <w:pPr>
        <w:ind w:left="851"/>
        <w:rPr>
          <w:i/>
          <w:iCs/>
          <w:noProof/>
          <w:sz w:val="24"/>
          <w:szCs w:val="24"/>
        </w:rPr>
      </w:pPr>
      <w:r w:rsidRPr="008B22F1">
        <w:rPr>
          <w:i/>
          <w:iCs/>
          <w:noProof/>
          <w:sz w:val="24"/>
          <w:szCs w:val="24"/>
        </w:rPr>
        <w:t>Dosering efter kropsoverfladeareal (BSA)</w:t>
      </w:r>
    </w:p>
    <w:p w14:paraId="324D2A28" w14:textId="77777777" w:rsidR="008B22F1" w:rsidRPr="008B22F1" w:rsidRDefault="008B22F1" w:rsidP="008B22F1">
      <w:pPr>
        <w:ind w:left="851"/>
        <w:rPr>
          <w:noProof/>
          <w:sz w:val="24"/>
          <w:szCs w:val="24"/>
        </w:rPr>
      </w:pPr>
      <w:r w:rsidRPr="008B22F1">
        <w:rPr>
          <w:noProof/>
          <w:sz w:val="24"/>
          <w:szCs w:val="24"/>
        </w:rPr>
        <w:t>Ondansetron skal indgives umiddelbart før kemoterapi som en enkelt intravenøs dosis på 5 mg/m2. Den intravenøse enkeltdosis må ikke overstige 8 mg.</w:t>
      </w:r>
    </w:p>
    <w:p w14:paraId="5556FF65" w14:textId="77777777" w:rsidR="008B22F1" w:rsidRPr="008B22F1" w:rsidRDefault="008B22F1" w:rsidP="008B22F1">
      <w:pPr>
        <w:ind w:left="851"/>
        <w:rPr>
          <w:noProof/>
          <w:sz w:val="24"/>
          <w:szCs w:val="24"/>
        </w:rPr>
      </w:pPr>
      <w:r w:rsidRPr="008B22F1">
        <w:rPr>
          <w:noProof/>
          <w:sz w:val="24"/>
          <w:szCs w:val="24"/>
        </w:rPr>
        <w:t>Oral dosering kan påbegyndes 12 timer senere og kan fortsætte i op til 5 dage (Tabel 1).</w:t>
      </w:r>
    </w:p>
    <w:p w14:paraId="0590AEBF" w14:textId="77777777" w:rsidR="008B22F1" w:rsidRPr="008B22F1" w:rsidRDefault="008B22F1" w:rsidP="008B22F1">
      <w:pPr>
        <w:ind w:left="851"/>
        <w:rPr>
          <w:noProof/>
          <w:sz w:val="24"/>
          <w:szCs w:val="24"/>
        </w:rPr>
      </w:pPr>
      <w:r w:rsidRPr="008B22F1">
        <w:rPr>
          <w:noProof/>
          <w:sz w:val="24"/>
          <w:szCs w:val="24"/>
        </w:rPr>
        <w:t>Den samlede dosis over 24 timer (givet som opdelte doser) må ikke overstige en voksendosis på 32 mg.</w:t>
      </w:r>
    </w:p>
    <w:p w14:paraId="1A8C7BD4" w14:textId="77777777" w:rsidR="008B22F1" w:rsidRPr="008B22F1" w:rsidRDefault="008B22F1" w:rsidP="008B22F1">
      <w:pPr>
        <w:ind w:left="851"/>
        <w:rPr>
          <w:noProof/>
          <w:sz w:val="24"/>
          <w:szCs w:val="24"/>
          <w:u w:val="single"/>
        </w:rPr>
      </w:pPr>
    </w:p>
    <w:p w14:paraId="1A772E76" w14:textId="77777777" w:rsidR="008B22F1" w:rsidRDefault="008B22F1" w:rsidP="008B22F1">
      <w:pPr>
        <w:ind w:left="851"/>
        <w:rPr>
          <w:noProof/>
          <w:szCs w:val="22"/>
          <w:u w:val="single"/>
        </w:rPr>
      </w:pPr>
      <w:r>
        <w:rPr>
          <w:noProof/>
          <w:szCs w:val="22"/>
          <w:u w:val="single"/>
        </w:rPr>
        <w:t>Tabel 1 -  BSA-baseret dosering til CINV (6 måneder til 17 år)</w:t>
      </w:r>
    </w:p>
    <w:p w14:paraId="693E326A" w14:textId="77777777" w:rsidR="008B22F1" w:rsidRDefault="008B22F1" w:rsidP="008B22F1">
      <w:pPr>
        <w:rPr>
          <w:noProof/>
          <w:szCs w:val="22"/>
          <w:u w:val="single"/>
        </w:rPr>
      </w:pPr>
    </w:p>
    <w:tbl>
      <w:tblPr>
        <w:tblW w:w="89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899"/>
        <w:gridCol w:w="3088"/>
      </w:tblGrid>
      <w:tr w:rsidR="008B22F1" w14:paraId="01765AF5" w14:textId="77777777" w:rsidTr="008B22F1">
        <w:trPr>
          <w:trHeight w:val="400"/>
        </w:trPr>
        <w:tc>
          <w:tcPr>
            <w:tcW w:w="1960" w:type="dxa"/>
            <w:tcBorders>
              <w:top w:val="single" w:sz="4" w:space="0" w:color="auto"/>
              <w:left w:val="single" w:sz="4" w:space="0" w:color="auto"/>
              <w:bottom w:val="single" w:sz="4" w:space="0" w:color="auto"/>
              <w:right w:val="single" w:sz="4" w:space="0" w:color="auto"/>
            </w:tcBorders>
            <w:vAlign w:val="center"/>
            <w:hideMark/>
          </w:tcPr>
          <w:p w14:paraId="12210CA3" w14:textId="77777777" w:rsidR="008B22F1" w:rsidRDefault="008B22F1">
            <w:pPr>
              <w:rPr>
                <w:b/>
                <w:bCs/>
                <w:i/>
                <w:iCs/>
                <w:color w:val="000000"/>
                <w:szCs w:val="22"/>
                <w:lang w:val="en-GB"/>
              </w:rPr>
            </w:pPr>
            <w:r>
              <w:rPr>
                <w:b/>
                <w:color w:val="000000"/>
                <w:szCs w:val="22"/>
                <w:lang w:val="en-GB" w:bidi="da-DK"/>
              </w:rPr>
              <w:t>BSA</w:t>
            </w:r>
          </w:p>
        </w:tc>
        <w:tc>
          <w:tcPr>
            <w:tcW w:w="3899" w:type="dxa"/>
            <w:tcBorders>
              <w:top w:val="single" w:sz="4" w:space="0" w:color="auto"/>
              <w:left w:val="single" w:sz="4" w:space="0" w:color="auto"/>
              <w:bottom w:val="single" w:sz="4" w:space="0" w:color="auto"/>
              <w:right w:val="single" w:sz="4" w:space="0" w:color="auto"/>
            </w:tcBorders>
            <w:vAlign w:val="center"/>
            <w:hideMark/>
          </w:tcPr>
          <w:p w14:paraId="18EE93EC" w14:textId="77777777" w:rsidR="008B22F1" w:rsidRDefault="008B22F1">
            <w:pPr>
              <w:rPr>
                <w:b/>
                <w:bCs/>
                <w:i/>
                <w:iCs/>
                <w:color w:val="000000"/>
                <w:szCs w:val="22"/>
                <w:lang w:val="en-GB"/>
              </w:rPr>
            </w:pPr>
            <w:r>
              <w:rPr>
                <w:b/>
                <w:color w:val="000000"/>
                <w:szCs w:val="22"/>
                <w:lang w:val="en-GB" w:bidi="da-DK"/>
              </w:rPr>
              <w:t xml:space="preserve">Dag 1 </w:t>
            </w:r>
            <w:r>
              <w:rPr>
                <w:b/>
                <w:color w:val="000000"/>
                <w:szCs w:val="22"/>
                <w:vertAlign w:val="superscript"/>
                <w:lang w:val="en-GB" w:bidi="da-DK"/>
              </w:rPr>
              <w:t>(a,b)</w:t>
            </w:r>
          </w:p>
        </w:tc>
        <w:tc>
          <w:tcPr>
            <w:tcW w:w="3088" w:type="dxa"/>
            <w:tcBorders>
              <w:top w:val="single" w:sz="4" w:space="0" w:color="auto"/>
              <w:left w:val="single" w:sz="4" w:space="0" w:color="auto"/>
              <w:bottom w:val="single" w:sz="4" w:space="0" w:color="auto"/>
              <w:right w:val="single" w:sz="4" w:space="0" w:color="auto"/>
            </w:tcBorders>
            <w:vAlign w:val="center"/>
            <w:hideMark/>
          </w:tcPr>
          <w:p w14:paraId="13AD7BE2" w14:textId="77777777" w:rsidR="008B22F1" w:rsidRDefault="008B22F1">
            <w:pPr>
              <w:rPr>
                <w:b/>
                <w:bCs/>
                <w:i/>
                <w:iCs/>
                <w:color w:val="000000"/>
                <w:szCs w:val="22"/>
                <w:lang w:val="en-GB"/>
              </w:rPr>
            </w:pPr>
            <w:r>
              <w:rPr>
                <w:b/>
                <w:color w:val="000000"/>
                <w:szCs w:val="22"/>
                <w:lang w:val="en-GB" w:bidi="da-DK"/>
              </w:rPr>
              <w:t xml:space="preserve">Dag 2 – 6 </w:t>
            </w:r>
            <w:r>
              <w:rPr>
                <w:b/>
                <w:color w:val="000000"/>
                <w:szCs w:val="22"/>
                <w:vertAlign w:val="superscript"/>
                <w:lang w:val="en-GB" w:bidi="da-DK"/>
              </w:rPr>
              <w:t>(b)</w:t>
            </w:r>
          </w:p>
        </w:tc>
      </w:tr>
      <w:tr w:rsidR="008B22F1" w14:paraId="33B05B51" w14:textId="77777777" w:rsidTr="008B22F1">
        <w:tc>
          <w:tcPr>
            <w:tcW w:w="1960" w:type="dxa"/>
            <w:tcBorders>
              <w:top w:val="single" w:sz="4" w:space="0" w:color="auto"/>
              <w:left w:val="single" w:sz="4" w:space="0" w:color="auto"/>
              <w:bottom w:val="single" w:sz="4" w:space="0" w:color="auto"/>
              <w:right w:val="single" w:sz="4" w:space="0" w:color="auto"/>
            </w:tcBorders>
            <w:vAlign w:val="center"/>
            <w:hideMark/>
          </w:tcPr>
          <w:p w14:paraId="348C11EA" w14:textId="77777777" w:rsidR="008B22F1" w:rsidRDefault="008B22F1">
            <w:pPr>
              <w:rPr>
                <w:iCs/>
                <w:color w:val="000000"/>
                <w:szCs w:val="22"/>
                <w:vertAlign w:val="superscript"/>
                <w:lang w:val="en-GB"/>
              </w:rPr>
            </w:pPr>
            <w:r>
              <w:rPr>
                <w:color w:val="000000"/>
                <w:szCs w:val="22"/>
                <w:lang w:val="en-GB" w:bidi="da-DK"/>
              </w:rPr>
              <w:t>&lt; 0,6 m</w:t>
            </w:r>
            <w:r>
              <w:rPr>
                <w:color w:val="000000"/>
                <w:szCs w:val="22"/>
                <w:vertAlign w:val="superscript"/>
                <w:lang w:val="en-GB" w:bidi="da-DK"/>
              </w:rPr>
              <w:t>2</w:t>
            </w:r>
          </w:p>
        </w:tc>
        <w:tc>
          <w:tcPr>
            <w:tcW w:w="3899" w:type="dxa"/>
            <w:tcBorders>
              <w:top w:val="single" w:sz="4" w:space="0" w:color="auto"/>
              <w:left w:val="single" w:sz="4" w:space="0" w:color="auto"/>
              <w:bottom w:val="single" w:sz="4" w:space="0" w:color="auto"/>
              <w:right w:val="single" w:sz="4" w:space="0" w:color="auto"/>
            </w:tcBorders>
            <w:vAlign w:val="center"/>
            <w:hideMark/>
          </w:tcPr>
          <w:p w14:paraId="7C981E97" w14:textId="77777777" w:rsidR="008B22F1" w:rsidRPr="008B22F1" w:rsidRDefault="008B22F1">
            <w:pPr>
              <w:rPr>
                <w:iCs/>
                <w:color w:val="000000"/>
                <w:szCs w:val="22"/>
              </w:rPr>
            </w:pPr>
            <w:r w:rsidRPr="008B22F1">
              <w:rPr>
                <w:color w:val="000000"/>
                <w:szCs w:val="22"/>
                <w:lang w:bidi="da-DK"/>
              </w:rPr>
              <w:t>5 mg / m</w:t>
            </w:r>
            <w:r w:rsidRPr="008B22F1">
              <w:rPr>
                <w:color w:val="000000"/>
                <w:szCs w:val="22"/>
                <w:vertAlign w:val="superscript"/>
                <w:lang w:bidi="da-DK"/>
              </w:rPr>
              <w:t>2</w:t>
            </w:r>
            <w:r w:rsidRPr="008B22F1">
              <w:rPr>
                <w:color w:val="000000"/>
                <w:szCs w:val="22"/>
                <w:lang w:bidi="da-DK"/>
              </w:rPr>
              <w:t xml:space="preserve"> i.v. plus </w:t>
            </w:r>
          </w:p>
          <w:p w14:paraId="72DA715D" w14:textId="77777777" w:rsidR="008B22F1" w:rsidRPr="008B22F1" w:rsidRDefault="008B22F1">
            <w:pPr>
              <w:rPr>
                <w:iCs/>
                <w:color w:val="000000"/>
                <w:szCs w:val="22"/>
              </w:rPr>
            </w:pPr>
            <w:r w:rsidRPr="008B22F1">
              <w:rPr>
                <w:color w:val="000000"/>
                <w:szCs w:val="22"/>
                <w:lang w:bidi="da-DK"/>
              </w:rPr>
              <w:t>2 mg sirup efter 12 timer</w:t>
            </w:r>
          </w:p>
        </w:tc>
        <w:tc>
          <w:tcPr>
            <w:tcW w:w="3088" w:type="dxa"/>
            <w:tcBorders>
              <w:top w:val="single" w:sz="4" w:space="0" w:color="auto"/>
              <w:left w:val="single" w:sz="4" w:space="0" w:color="auto"/>
              <w:bottom w:val="single" w:sz="4" w:space="0" w:color="auto"/>
              <w:right w:val="single" w:sz="4" w:space="0" w:color="auto"/>
            </w:tcBorders>
            <w:vAlign w:val="center"/>
            <w:hideMark/>
          </w:tcPr>
          <w:p w14:paraId="413BF199" w14:textId="77777777" w:rsidR="008B22F1" w:rsidRDefault="008B22F1">
            <w:pPr>
              <w:autoSpaceDE w:val="0"/>
              <w:autoSpaceDN w:val="0"/>
              <w:adjustRightInd w:val="0"/>
              <w:rPr>
                <w:iCs/>
                <w:color w:val="000000"/>
                <w:szCs w:val="22"/>
                <w:lang w:val="en-GB"/>
              </w:rPr>
            </w:pPr>
            <w:r>
              <w:rPr>
                <w:color w:val="000000"/>
                <w:szCs w:val="22"/>
                <w:lang w:val="en-GB" w:bidi="da-DK"/>
              </w:rPr>
              <w:t>2 mg sirup hver 12. time</w:t>
            </w:r>
          </w:p>
        </w:tc>
      </w:tr>
      <w:tr w:rsidR="008B22F1" w14:paraId="07C17876" w14:textId="77777777" w:rsidTr="008B22F1">
        <w:tc>
          <w:tcPr>
            <w:tcW w:w="1960" w:type="dxa"/>
            <w:tcBorders>
              <w:top w:val="single" w:sz="4" w:space="0" w:color="auto"/>
              <w:left w:val="single" w:sz="4" w:space="0" w:color="auto"/>
              <w:bottom w:val="single" w:sz="4" w:space="0" w:color="auto"/>
              <w:right w:val="single" w:sz="4" w:space="0" w:color="auto"/>
            </w:tcBorders>
            <w:vAlign w:val="center"/>
            <w:hideMark/>
          </w:tcPr>
          <w:p w14:paraId="0FABF903" w14:textId="77777777" w:rsidR="008B22F1" w:rsidRDefault="008B22F1">
            <w:pPr>
              <w:rPr>
                <w:iCs/>
                <w:color w:val="000000"/>
                <w:szCs w:val="22"/>
                <w:vertAlign w:val="superscript"/>
                <w:lang w:val="en-GB"/>
              </w:rPr>
            </w:pPr>
            <w:r>
              <w:rPr>
                <w:color w:val="000000"/>
                <w:szCs w:val="22"/>
                <w:lang w:val="en-GB" w:bidi="da-DK"/>
              </w:rPr>
              <w:t>≥ 0,6 m</w:t>
            </w:r>
            <w:r>
              <w:rPr>
                <w:color w:val="000000"/>
                <w:szCs w:val="22"/>
                <w:vertAlign w:val="superscript"/>
                <w:lang w:val="en-GB" w:bidi="da-DK"/>
              </w:rPr>
              <w:t>2</w:t>
            </w:r>
          </w:p>
        </w:tc>
        <w:tc>
          <w:tcPr>
            <w:tcW w:w="3899" w:type="dxa"/>
            <w:tcBorders>
              <w:top w:val="single" w:sz="4" w:space="0" w:color="auto"/>
              <w:left w:val="single" w:sz="4" w:space="0" w:color="auto"/>
              <w:bottom w:val="single" w:sz="4" w:space="0" w:color="auto"/>
              <w:right w:val="single" w:sz="4" w:space="0" w:color="auto"/>
            </w:tcBorders>
            <w:vAlign w:val="center"/>
            <w:hideMark/>
          </w:tcPr>
          <w:p w14:paraId="537C9F9C" w14:textId="77777777" w:rsidR="008B22F1" w:rsidRPr="008B22F1" w:rsidRDefault="008B22F1">
            <w:pPr>
              <w:rPr>
                <w:iCs/>
                <w:color w:val="000000"/>
                <w:szCs w:val="22"/>
              </w:rPr>
            </w:pPr>
            <w:r w:rsidRPr="008B22F1">
              <w:rPr>
                <w:color w:val="000000"/>
                <w:szCs w:val="22"/>
                <w:lang w:bidi="da-DK"/>
              </w:rPr>
              <w:t>5 mg / m</w:t>
            </w:r>
            <w:r w:rsidRPr="008B22F1">
              <w:rPr>
                <w:color w:val="000000"/>
                <w:szCs w:val="22"/>
                <w:vertAlign w:val="superscript"/>
                <w:lang w:bidi="da-DK"/>
              </w:rPr>
              <w:t>2</w:t>
            </w:r>
            <w:r w:rsidRPr="008B22F1">
              <w:rPr>
                <w:color w:val="000000"/>
                <w:szCs w:val="22"/>
                <w:lang w:bidi="da-DK"/>
              </w:rPr>
              <w:t xml:space="preserve"> i.v. plus </w:t>
            </w:r>
          </w:p>
          <w:p w14:paraId="6F04145D" w14:textId="77777777" w:rsidR="008B22F1" w:rsidRPr="008B22F1" w:rsidRDefault="008B22F1">
            <w:pPr>
              <w:rPr>
                <w:iCs/>
                <w:color w:val="000000"/>
                <w:szCs w:val="22"/>
              </w:rPr>
            </w:pPr>
            <w:r w:rsidRPr="008B22F1">
              <w:rPr>
                <w:color w:val="000000"/>
                <w:szCs w:val="22"/>
                <w:lang w:bidi="da-DK"/>
              </w:rPr>
              <w:t>4 mg sirup eller tablet efter 12 timer</w:t>
            </w:r>
          </w:p>
        </w:tc>
        <w:tc>
          <w:tcPr>
            <w:tcW w:w="3088" w:type="dxa"/>
            <w:tcBorders>
              <w:top w:val="single" w:sz="4" w:space="0" w:color="auto"/>
              <w:left w:val="single" w:sz="4" w:space="0" w:color="auto"/>
              <w:bottom w:val="single" w:sz="4" w:space="0" w:color="auto"/>
              <w:right w:val="single" w:sz="4" w:space="0" w:color="auto"/>
            </w:tcBorders>
            <w:vAlign w:val="center"/>
            <w:hideMark/>
          </w:tcPr>
          <w:p w14:paraId="0A8E14D2" w14:textId="77777777" w:rsidR="008B22F1" w:rsidRPr="008B22F1" w:rsidRDefault="008B22F1">
            <w:pPr>
              <w:rPr>
                <w:iCs/>
                <w:color w:val="000000"/>
                <w:szCs w:val="22"/>
              </w:rPr>
            </w:pPr>
            <w:r w:rsidRPr="008B22F1">
              <w:rPr>
                <w:color w:val="000000"/>
                <w:szCs w:val="22"/>
                <w:lang w:bidi="da-DK"/>
              </w:rPr>
              <w:t>4 mg sirup eller tablet hver 12. time</w:t>
            </w:r>
          </w:p>
        </w:tc>
      </w:tr>
    </w:tbl>
    <w:p w14:paraId="2436F4E0" w14:textId="77777777" w:rsidR="008B22F1" w:rsidRPr="008B22F1" w:rsidRDefault="008B22F1" w:rsidP="008B22F1">
      <w:pPr>
        <w:ind w:left="851"/>
        <w:rPr>
          <w:noProof/>
          <w:sz w:val="20"/>
        </w:rPr>
      </w:pPr>
      <w:r w:rsidRPr="008B22F1">
        <w:rPr>
          <w:noProof/>
          <w:sz w:val="20"/>
          <w:vertAlign w:val="superscript"/>
        </w:rPr>
        <w:t xml:space="preserve">a </w:t>
      </w:r>
      <w:r w:rsidRPr="008B22F1">
        <w:rPr>
          <w:noProof/>
          <w:sz w:val="20"/>
        </w:rPr>
        <w:t>Den intravenøse dosis må ikke overstige 8 mg.</w:t>
      </w:r>
    </w:p>
    <w:p w14:paraId="6B5CFD14" w14:textId="77777777" w:rsidR="008B22F1" w:rsidRPr="008B22F1" w:rsidRDefault="008B22F1" w:rsidP="008B22F1">
      <w:pPr>
        <w:ind w:left="851"/>
        <w:rPr>
          <w:noProof/>
          <w:sz w:val="20"/>
        </w:rPr>
      </w:pPr>
      <w:r w:rsidRPr="008B22F1">
        <w:rPr>
          <w:noProof/>
          <w:sz w:val="20"/>
          <w:vertAlign w:val="superscript"/>
        </w:rPr>
        <w:t xml:space="preserve">b </w:t>
      </w:r>
      <w:r w:rsidRPr="008B22F1">
        <w:rPr>
          <w:noProof/>
          <w:sz w:val="20"/>
        </w:rPr>
        <w:t>Den samlede dosis i løbet af et døgn må ikke overstige en voksendosis på 32 mg.</w:t>
      </w:r>
    </w:p>
    <w:p w14:paraId="6965E1F2" w14:textId="77777777" w:rsidR="008B22F1" w:rsidRPr="008B22F1" w:rsidRDefault="008B22F1" w:rsidP="008B22F1">
      <w:pPr>
        <w:ind w:left="851"/>
        <w:rPr>
          <w:noProof/>
          <w:sz w:val="24"/>
          <w:szCs w:val="24"/>
          <w:u w:val="single"/>
        </w:rPr>
      </w:pPr>
    </w:p>
    <w:p w14:paraId="049A0085" w14:textId="77777777" w:rsidR="008B22F1" w:rsidRPr="008B22F1" w:rsidRDefault="008B22F1" w:rsidP="008B22F1">
      <w:pPr>
        <w:ind w:left="851"/>
        <w:rPr>
          <w:i/>
          <w:iCs/>
          <w:noProof/>
          <w:sz w:val="24"/>
          <w:szCs w:val="24"/>
        </w:rPr>
      </w:pPr>
      <w:r w:rsidRPr="008B22F1">
        <w:rPr>
          <w:i/>
          <w:iCs/>
          <w:noProof/>
          <w:sz w:val="24"/>
          <w:szCs w:val="24"/>
        </w:rPr>
        <w:t>Dosering efter kropsvægt</w:t>
      </w:r>
    </w:p>
    <w:p w14:paraId="2312AE9B" w14:textId="77777777" w:rsidR="008B22F1" w:rsidRPr="008B22F1" w:rsidRDefault="008B22F1" w:rsidP="008B22F1">
      <w:pPr>
        <w:ind w:left="851"/>
        <w:rPr>
          <w:noProof/>
          <w:sz w:val="24"/>
          <w:szCs w:val="24"/>
        </w:rPr>
      </w:pPr>
      <w:r w:rsidRPr="008B22F1">
        <w:rPr>
          <w:noProof/>
          <w:sz w:val="24"/>
          <w:szCs w:val="24"/>
        </w:rPr>
        <w:t>Vægtbaseret dosering resulterer i højere totale daglige doser sammenlignet med BSA-baseret dosering (se pkt.  4.4 og 5.1).</w:t>
      </w:r>
    </w:p>
    <w:p w14:paraId="1EC1444E" w14:textId="77777777" w:rsidR="008B22F1" w:rsidRPr="008B22F1" w:rsidRDefault="008B22F1" w:rsidP="008B22F1">
      <w:pPr>
        <w:ind w:left="851"/>
        <w:rPr>
          <w:noProof/>
          <w:sz w:val="24"/>
          <w:szCs w:val="24"/>
        </w:rPr>
      </w:pPr>
      <w:r w:rsidRPr="008B22F1">
        <w:rPr>
          <w:noProof/>
          <w:sz w:val="24"/>
          <w:szCs w:val="24"/>
        </w:rPr>
        <w:t>Ondansetron skal indgives umiddelbart før kemoterapi som en enkelt intravenøs dosis på 0,15 mg/kg. Den intravenøse enkeltdosis må ikke overstige 8 mg.</w:t>
      </w:r>
    </w:p>
    <w:p w14:paraId="77662F90" w14:textId="77777777" w:rsidR="008B22F1" w:rsidRPr="008B22F1" w:rsidRDefault="008B22F1" w:rsidP="008B22F1">
      <w:pPr>
        <w:ind w:left="851"/>
        <w:rPr>
          <w:noProof/>
          <w:sz w:val="24"/>
          <w:szCs w:val="24"/>
        </w:rPr>
      </w:pPr>
      <w:r w:rsidRPr="008B22F1">
        <w:rPr>
          <w:noProof/>
          <w:sz w:val="24"/>
          <w:szCs w:val="24"/>
        </w:rPr>
        <w:t xml:space="preserve">På Dag 1 kan der gives yderligere to intravenøse doser med 4 timers mellemrum. </w:t>
      </w:r>
    </w:p>
    <w:p w14:paraId="263B8F3D" w14:textId="77777777" w:rsidR="008B22F1" w:rsidRPr="008B22F1" w:rsidRDefault="008B22F1" w:rsidP="008B22F1">
      <w:pPr>
        <w:ind w:left="851"/>
        <w:rPr>
          <w:noProof/>
          <w:sz w:val="24"/>
          <w:szCs w:val="24"/>
        </w:rPr>
      </w:pPr>
      <w:r w:rsidRPr="008B22F1">
        <w:rPr>
          <w:noProof/>
          <w:sz w:val="24"/>
          <w:szCs w:val="24"/>
        </w:rPr>
        <w:t>Oral dosering kan påbegyndes 12 timer senere og kan fortsætte i op til 5 dage (Tabel 2).</w:t>
      </w:r>
    </w:p>
    <w:p w14:paraId="55F2EE9A" w14:textId="77777777" w:rsidR="008B22F1" w:rsidRPr="008B22F1" w:rsidRDefault="008B22F1" w:rsidP="008B22F1">
      <w:pPr>
        <w:ind w:left="851"/>
        <w:rPr>
          <w:noProof/>
          <w:sz w:val="24"/>
          <w:szCs w:val="24"/>
        </w:rPr>
      </w:pPr>
    </w:p>
    <w:p w14:paraId="63B862CF" w14:textId="77777777" w:rsidR="008B22F1" w:rsidRPr="008B22F1" w:rsidRDefault="008B22F1" w:rsidP="008B22F1">
      <w:pPr>
        <w:ind w:left="851"/>
        <w:rPr>
          <w:noProof/>
          <w:sz w:val="24"/>
          <w:szCs w:val="24"/>
        </w:rPr>
      </w:pPr>
      <w:r w:rsidRPr="008B22F1">
        <w:rPr>
          <w:noProof/>
          <w:sz w:val="24"/>
          <w:szCs w:val="24"/>
        </w:rPr>
        <w:t xml:space="preserve">Den samlede dosis over 24 timer (givet som opdelte doser) må ikke overstige en voksendosis på 32 mg. </w:t>
      </w:r>
    </w:p>
    <w:p w14:paraId="33B38960" w14:textId="77777777" w:rsidR="008B22F1" w:rsidRPr="008B22F1" w:rsidRDefault="008B22F1" w:rsidP="008B22F1">
      <w:pPr>
        <w:ind w:left="851"/>
        <w:rPr>
          <w:noProof/>
          <w:sz w:val="24"/>
          <w:szCs w:val="24"/>
          <w:u w:val="single"/>
        </w:rPr>
      </w:pPr>
    </w:p>
    <w:p w14:paraId="09A9EA1E" w14:textId="2F7F2F80" w:rsidR="008B22F1" w:rsidRDefault="008B22F1" w:rsidP="008B22F1">
      <w:pPr>
        <w:ind w:left="851"/>
        <w:rPr>
          <w:noProof/>
          <w:szCs w:val="22"/>
          <w:u w:val="single"/>
        </w:rPr>
      </w:pPr>
      <w:r>
        <w:rPr>
          <w:noProof/>
          <w:szCs w:val="22"/>
          <w:u w:val="single"/>
        </w:rPr>
        <w:t>Tabel 2 -  Vægtbaseret dosering for CINV (i alderen 6 måneder til 17 år)</w:t>
      </w:r>
    </w:p>
    <w:p w14:paraId="3D4E1FD6" w14:textId="77777777" w:rsidR="008B22F1" w:rsidRDefault="008B22F1" w:rsidP="008B22F1">
      <w:pPr>
        <w:rPr>
          <w:noProof/>
          <w:szCs w:val="22"/>
          <w:u w:val="single"/>
        </w:rPr>
      </w:pPr>
    </w:p>
    <w:tbl>
      <w:tblPr>
        <w:tblW w:w="83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51"/>
        <w:gridCol w:w="3548"/>
      </w:tblGrid>
      <w:tr w:rsidR="008B22F1" w14:paraId="7D4754DD" w14:textId="77777777" w:rsidTr="00145754">
        <w:tc>
          <w:tcPr>
            <w:tcW w:w="1368" w:type="dxa"/>
            <w:tcBorders>
              <w:top w:val="single" w:sz="4" w:space="0" w:color="auto"/>
              <w:left w:val="single" w:sz="4" w:space="0" w:color="auto"/>
              <w:bottom w:val="single" w:sz="4" w:space="0" w:color="auto"/>
              <w:right w:val="single" w:sz="4" w:space="0" w:color="auto"/>
            </w:tcBorders>
            <w:vAlign w:val="center"/>
            <w:hideMark/>
          </w:tcPr>
          <w:p w14:paraId="568723E4" w14:textId="77777777" w:rsidR="008B22F1" w:rsidRDefault="008B22F1">
            <w:pPr>
              <w:rPr>
                <w:b/>
                <w:bCs/>
                <w:i/>
                <w:iCs/>
                <w:color w:val="000000"/>
                <w:szCs w:val="22"/>
                <w:lang w:val="en-GB"/>
              </w:rPr>
            </w:pPr>
            <w:r>
              <w:rPr>
                <w:b/>
                <w:color w:val="000000"/>
                <w:szCs w:val="22"/>
                <w:lang w:val="en-GB" w:bidi="da-DK"/>
              </w:rPr>
              <w:t>Vægt</w:t>
            </w:r>
          </w:p>
        </w:tc>
        <w:tc>
          <w:tcPr>
            <w:tcW w:w="3451" w:type="dxa"/>
            <w:tcBorders>
              <w:top w:val="single" w:sz="4" w:space="0" w:color="auto"/>
              <w:left w:val="single" w:sz="4" w:space="0" w:color="auto"/>
              <w:bottom w:val="single" w:sz="4" w:space="0" w:color="auto"/>
              <w:right w:val="single" w:sz="4" w:space="0" w:color="auto"/>
            </w:tcBorders>
            <w:vAlign w:val="center"/>
            <w:hideMark/>
          </w:tcPr>
          <w:p w14:paraId="1978B500" w14:textId="77777777" w:rsidR="008B22F1" w:rsidRDefault="008B22F1">
            <w:pPr>
              <w:rPr>
                <w:b/>
                <w:bCs/>
                <w:i/>
                <w:iCs/>
                <w:color w:val="000000"/>
                <w:szCs w:val="22"/>
                <w:lang w:val="en-GB"/>
              </w:rPr>
            </w:pPr>
            <w:r>
              <w:rPr>
                <w:b/>
                <w:color w:val="000000"/>
                <w:szCs w:val="22"/>
                <w:lang w:val="en-GB" w:bidi="da-DK"/>
              </w:rPr>
              <w:t xml:space="preserve">Dag 1 </w:t>
            </w:r>
            <w:r>
              <w:rPr>
                <w:b/>
                <w:color w:val="000000"/>
                <w:szCs w:val="22"/>
                <w:vertAlign w:val="superscript"/>
                <w:lang w:val="en-GB" w:bidi="da-DK"/>
              </w:rPr>
              <w:t>(a,b)</w:t>
            </w:r>
          </w:p>
        </w:tc>
        <w:tc>
          <w:tcPr>
            <w:tcW w:w="3548" w:type="dxa"/>
            <w:tcBorders>
              <w:top w:val="single" w:sz="4" w:space="0" w:color="auto"/>
              <w:left w:val="single" w:sz="4" w:space="0" w:color="auto"/>
              <w:bottom w:val="single" w:sz="4" w:space="0" w:color="auto"/>
              <w:right w:val="single" w:sz="4" w:space="0" w:color="auto"/>
            </w:tcBorders>
            <w:vAlign w:val="center"/>
            <w:hideMark/>
          </w:tcPr>
          <w:p w14:paraId="46C48C4E" w14:textId="77777777" w:rsidR="008B22F1" w:rsidRDefault="008B22F1">
            <w:pPr>
              <w:rPr>
                <w:b/>
                <w:bCs/>
                <w:i/>
                <w:iCs/>
                <w:color w:val="000000"/>
                <w:szCs w:val="22"/>
                <w:lang w:val="en-GB"/>
              </w:rPr>
            </w:pPr>
            <w:r>
              <w:rPr>
                <w:b/>
                <w:color w:val="000000"/>
                <w:szCs w:val="22"/>
                <w:lang w:val="en-GB" w:bidi="da-DK"/>
              </w:rPr>
              <w:t xml:space="preserve">Dag 2 – 6 </w:t>
            </w:r>
            <w:r>
              <w:rPr>
                <w:b/>
                <w:color w:val="000000"/>
                <w:szCs w:val="22"/>
                <w:vertAlign w:val="superscript"/>
                <w:lang w:val="en-GB" w:bidi="da-DK"/>
              </w:rPr>
              <w:t>(b)</w:t>
            </w:r>
          </w:p>
        </w:tc>
      </w:tr>
      <w:tr w:rsidR="008B22F1" w14:paraId="28FEE817" w14:textId="77777777" w:rsidTr="00145754">
        <w:tc>
          <w:tcPr>
            <w:tcW w:w="1368" w:type="dxa"/>
            <w:tcBorders>
              <w:top w:val="single" w:sz="4" w:space="0" w:color="auto"/>
              <w:left w:val="single" w:sz="4" w:space="0" w:color="auto"/>
              <w:bottom w:val="single" w:sz="4" w:space="0" w:color="auto"/>
              <w:right w:val="single" w:sz="4" w:space="0" w:color="auto"/>
            </w:tcBorders>
            <w:vAlign w:val="center"/>
            <w:hideMark/>
          </w:tcPr>
          <w:p w14:paraId="348F9BE5" w14:textId="77777777" w:rsidR="008B22F1" w:rsidRDefault="008B22F1">
            <w:pPr>
              <w:rPr>
                <w:i/>
                <w:iCs/>
                <w:color w:val="000000"/>
                <w:szCs w:val="22"/>
                <w:lang w:val="en-GB"/>
              </w:rPr>
            </w:pPr>
            <w:r>
              <w:rPr>
                <w:color w:val="000000"/>
                <w:szCs w:val="22"/>
                <w:lang w:val="en-GB" w:bidi="da-DK"/>
              </w:rPr>
              <w:t>≤ 10 kg</w:t>
            </w:r>
          </w:p>
        </w:tc>
        <w:tc>
          <w:tcPr>
            <w:tcW w:w="3451" w:type="dxa"/>
            <w:tcBorders>
              <w:top w:val="single" w:sz="4" w:space="0" w:color="auto"/>
              <w:left w:val="single" w:sz="4" w:space="0" w:color="auto"/>
              <w:bottom w:val="single" w:sz="4" w:space="0" w:color="auto"/>
              <w:right w:val="single" w:sz="4" w:space="0" w:color="auto"/>
            </w:tcBorders>
            <w:vAlign w:val="center"/>
            <w:hideMark/>
          </w:tcPr>
          <w:p w14:paraId="045C728B" w14:textId="77777777" w:rsidR="008B22F1" w:rsidRPr="008B22F1" w:rsidRDefault="008B22F1">
            <w:pPr>
              <w:rPr>
                <w:iCs/>
                <w:color w:val="000000"/>
                <w:szCs w:val="22"/>
              </w:rPr>
            </w:pPr>
            <w:r w:rsidRPr="008B22F1">
              <w:rPr>
                <w:color w:val="000000"/>
                <w:szCs w:val="22"/>
                <w:lang w:bidi="da-DK"/>
              </w:rPr>
              <w:t>Op til 3 doser på 0,15 mg/kg i.v. hver 4. time</w:t>
            </w:r>
          </w:p>
        </w:tc>
        <w:tc>
          <w:tcPr>
            <w:tcW w:w="3548" w:type="dxa"/>
            <w:tcBorders>
              <w:top w:val="single" w:sz="4" w:space="0" w:color="auto"/>
              <w:left w:val="single" w:sz="4" w:space="0" w:color="auto"/>
              <w:bottom w:val="single" w:sz="4" w:space="0" w:color="auto"/>
              <w:right w:val="single" w:sz="4" w:space="0" w:color="auto"/>
            </w:tcBorders>
            <w:vAlign w:val="center"/>
            <w:hideMark/>
          </w:tcPr>
          <w:p w14:paraId="69A2E382" w14:textId="77777777" w:rsidR="008B22F1" w:rsidRDefault="008B22F1">
            <w:pPr>
              <w:autoSpaceDE w:val="0"/>
              <w:autoSpaceDN w:val="0"/>
              <w:adjustRightInd w:val="0"/>
              <w:rPr>
                <w:iCs/>
                <w:color w:val="000000"/>
                <w:szCs w:val="22"/>
                <w:lang w:val="en-GB"/>
              </w:rPr>
            </w:pPr>
            <w:r>
              <w:rPr>
                <w:color w:val="000000"/>
                <w:szCs w:val="22"/>
                <w:lang w:val="en-GB" w:bidi="da-DK"/>
              </w:rPr>
              <w:t>2 mg sirup hver 12. time</w:t>
            </w:r>
          </w:p>
        </w:tc>
      </w:tr>
      <w:tr w:rsidR="008B22F1" w14:paraId="6E0E6394" w14:textId="77777777" w:rsidTr="00145754">
        <w:tc>
          <w:tcPr>
            <w:tcW w:w="1368" w:type="dxa"/>
            <w:tcBorders>
              <w:top w:val="single" w:sz="4" w:space="0" w:color="auto"/>
              <w:left w:val="single" w:sz="4" w:space="0" w:color="auto"/>
              <w:bottom w:val="single" w:sz="4" w:space="0" w:color="auto"/>
              <w:right w:val="single" w:sz="4" w:space="0" w:color="auto"/>
            </w:tcBorders>
            <w:vAlign w:val="center"/>
            <w:hideMark/>
          </w:tcPr>
          <w:p w14:paraId="561A897B" w14:textId="77777777" w:rsidR="008B22F1" w:rsidRDefault="008B22F1">
            <w:pPr>
              <w:rPr>
                <w:i/>
                <w:iCs/>
                <w:color w:val="000000"/>
                <w:szCs w:val="22"/>
                <w:lang w:val="en-US"/>
              </w:rPr>
            </w:pPr>
            <w:r>
              <w:rPr>
                <w:color w:val="000000"/>
                <w:szCs w:val="22"/>
                <w:lang w:val="en-GB" w:bidi="da-DK"/>
              </w:rPr>
              <w:t>&gt; 10 kg</w:t>
            </w:r>
          </w:p>
        </w:tc>
        <w:tc>
          <w:tcPr>
            <w:tcW w:w="3451" w:type="dxa"/>
            <w:tcBorders>
              <w:top w:val="single" w:sz="4" w:space="0" w:color="auto"/>
              <w:left w:val="single" w:sz="4" w:space="0" w:color="auto"/>
              <w:bottom w:val="single" w:sz="4" w:space="0" w:color="auto"/>
              <w:right w:val="single" w:sz="4" w:space="0" w:color="auto"/>
            </w:tcBorders>
            <w:vAlign w:val="center"/>
            <w:hideMark/>
          </w:tcPr>
          <w:p w14:paraId="53190654" w14:textId="77777777" w:rsidR="008B22F1" w:rsidRPr="008B22F1" w:rsidRDefault="008B22F1">
            <w:pPr>
              <w:rPr>
                <w:iCs/>
                <w:color w:val="000000"/>
                <w:szCs w:val="22"/>
              </w:rPr>
            </w:pPr>
            <w:r w:rsidRPr="008B22F1">
              <w:rPr>
                <w:color w:val="000000"/>
                <w:szCs w:val="22"/>
                <w:lang w:bidi="da-DK"/>
              </w:rPr>
              <w:t>Op til 3 doser på 0,15 mg/kg i.v. hver 4. time</w:t>
            </w:r>
          </w:p>
        </w:tc>
        <w:tc>
          <w:tcPr>
            <w:tcW w:w="3548" w:type="dxa"/>
            <w:tcBorders>
              <w:top w:val="single" w:sz="4" w:space="0" w:color="auto"/>
              <w:left w:val="single" w:sz="4" w:space="0" w:color="auto"/>
              <w:bottom w:val="single" w:sz="4" w:space="0" w:color="auto"/>
              <w:right w:val="single" w:sz="4" w:space="0" w:color="auto"/>
            </w:tcBorders>
            <w:vAlign w:val="center"/>
            <w:hideMark/>
          </w:tcPr>
          <w:p w14:paraId="0214ABC5" w14:textId="77777777" w:rsidR="008B22F1" w:rsidRPr="008B22F1" w:rsidRDefault="008B22F1">
            <w:pPr>
              <w:rPr>
                <w:iCs/>
                <w:color w:val="000000"/>
                <w:szCs w:val="22"/>
              </w:rPr>
            </w:pPr>
            <w:r w:rsidRPr="008B22F1">
              <w:rPr>
                <w:color w:val="000000"/>
                <w:szCs w:val="22"/>
                <w:lang w:bidi="da-DK"/>
              </w:rPr>
              <w:t>4 mg sirup eller tablet hver 12. time</w:t>
            </w:r>
          </w:p>
        </w:tc>
      </w:tr>
    </w:tbl>
    <w:p w14:paraId="390F1BC1" w14:textId="77777777" w:rsidR="008B22F1" w:rsidRPr="008B22F1" w:rsidRDefault="008B22F1" w:rsidP="008B22F1">
      <w:pPr>
        <w:ind w:left="851"/>
        <w:rPr>
          <w:noProof/>
          <w:sz w:val="20"/>
        </w:rPr>
      </w:pPr>
      <w:r w:rsidRPr="008B22F1">
        <w:rPr>
          <w:noProof/>
          <w:sz w:val="20"/>
          <w:vertAlign w:val="superscript"/>
        </w:rPr>
        <w:t xml:space="preserve">a </w:t>
      </w:r>
      <w:r w:rsidRPr="008B22F1">
        <w:rPr>
          <w:noProof/>
          <w:sz w:val="20"/>
        </w:rPr>
        <w:t>Den intravenøse dosis må ikke overstige 8 mg.</w:t>
      </w:r>
    </w:p>
    <w:p w14:paraId="13A896C1" w14:textId="77777777" w:rsidR="008B22F1" w:rsidRPr="008B22F1" w:rsidRDefault="008B22F1" w:rsidP="008B22F1">
      <w:pPr>
        <w:ind w:left="851"/>
        <w:rPr>
          <w:noProof/>
          <w:sz w:val="20"/>
        </w:rPr>
      </w:pPr>
      <w:r w:rsidRPr="008B22F1">
        <w:rPr>
          <w:noProof/>
          <w:sz w:val="20"/>
          <w:vertAlign w:val="superscript"/>
        </w:rPr>
        <w:t xml:space="preserve">b </w:t>
      </w:r>
      <w:r w:rsidRPr="008B22F1">
        <w:rPr>
          <w:noProof/>
          <w:sz w:val="20"/>
        </w:rPr>
        <w:t>Den samlede dosis i løbet af et døgn må ikke overstige en voksendosis på 32 mg.</w:t>
      </w:r>
    </w:p>
    <w:p w14:paraId="45AC2335" w14:textId="77777777" w:rsidR="008B22F1" w:rsidRPr="008B22F1" w:rsidRDefault="008B22F1" w:rsidP="008B22F1">
      <w:pPr>
        <w:ind w:left="851"/>
        <w:rPr>
          <w:noProof/>
          <w:sz w:val="24"/>
          <w:szCs w:val="24"/>
          <w:u w:val="single"/>
        </w:rPr>
      </w:pPr>
    </w:p>
    <w:p w14:paraId="77CF91D3" w14:textId="77777777" w:rsidR="008B22F1" w:rsidRPr="008B22F1" w:rsidRDefault="008B22F1" w:rsidP="008B22F1">
      <w:pPr>
        <w:ind w:left="851"/>
        <w:rPr>
          <w:i/>
          <w:iCs/>
          <w:noProof/>
          <w:sz w:val="24"/>
          <w:szCs w:val="24"/>
          <w:u w:val="single"/>
        </w:rPr>
      </w:pPr>
      <w:r w:rsidRPr="008B22F1">
        <w:rPr>
          <w:i/>
          <w:iCs/>
          <w:noProof/>
          <w:sz w:val="24"/>
          <w:szCs w:val="24"/>
          <w:u w:val="single"/>
        </w:rPr>
        <w:lastRenderedPageBreak/>
        <w:t>CINV og RINV hos ældre</w:t>
      </w:r>
    </w:p>
    <w:p w14:paraId="187846C2" w14:textId="77777777" w:rsidR="008B22F1" w:rsidRPr="008B22F1" w:rsidRDefault="008B22F1" w:rsidP="008B22F1">
      <w:pPr>
        <w:ind w:left="851"/>
        <w:rPr>
          <w:noProof/>
          <w:sz w:val="24"/>
          <w:szCs w:val="24"/>
        </w:rPr>
      </w:pPr>
      <w:r w:rsidRPr="008B22F1">
        <w:rPr>
          <w:noProof/>
          <w:sz w:val="24"/>
          <w:szCs w:val="24"/>
        </w:rPr>
        <w:t xml:space="preserve">For patienter i alderen 65-74 år kan dosisprogrammet for voksne følges. Alle intravenøse doser skal fortyndes i 50-100 ml 0,9 % natriumchloridopløsning eller anden kompatibel infusionsvæske (se punkt 6.6) og indgives over 15 minutter. </w:t>
      </w:r>
    </w:p>
    <w:p w14:paraId="593F50B9" w14:textId="77777777" w:rsidR="008B22F1" w:rsidRPr="008B22F1" w:rsidRDefault="008B22F1" w:rsidP="008B22F1">
      <w:pPr>
        <w:ind w:left="851"/>
        <w:rPr>
          <w:noProof/>
          <w:sz w:val="24"/>
          <w:szCs w:val="24"/>
        </w:rPr>
      </w:pPr>
    </w:p>
    <w:p w14:paraId="6D08B7A6" w14:textId="77777777" w:rsidR="008B22F1" w:rsidRPr="008B22F1" w:rsidRDefault="008B22F1" w:rsidP="008B22F1">
      <w:pPr>
        <w:ind w:left="851"/>
        <w:rPr>
          <w:noProof/>
          <w:sz w:val="24"/>
          <w:szCs w:val="24"/>
        </w:rPr>
      </w:pPr>
      <w:r w:rsidRPr="008B22F1">
        <w:rPr>
          <w:noProof/>
          <w:sz w:val="24"/>
          <w:szCs w:val="24"/>
        </w:rPr>
        <w:t>Hos patienter, der er 75 år eller ældre, bør den første intravenøse dosis af ondansetron ikke overstige 8 mg. Alle intravenøse doser skal fortyndes i 50-100 ml 0,9 % natriumchloridopløsning eller anden kompatibel infusionsvæske (se punkt 6.6) og indgives over 15 minutter. Startdosis på 8 mg kan efterfølges af to yderligere intravenøse doser på 8 mg, der indgives over 15 minutter med mindst fire timers mellemrum (se pkt. 5.2).</w:t>
      </w:r>
    </w:p>
    <w:p w14:paraId="29942D4E" w14:textId="77777777" w:rsidR="008B22F1" w:rsidRPr="008B22F1" w:rsidRDefault="008B22F1" w:rsidP="008B22F1">
      <w:pPr>
        <w:ind w:left="851"/>
        <w:rPr>
          <w:noProof/>
          <w:sz w:val="24"/>
          <w:szCs w:val="24"/>
          <w:u w:val="single"/>
        </w:rPr>
      </w:pPr>
    </w:p>
    <w:p w14:paraId="349AD278" w14:textId="77777777" w:rsidR="008B22F1" w:rsidRPr="008B22F1" w:rsidRDefault="008B22F1" w:rsidP="008B22F1">
      <w:pPr>
        <w:ind w:left="851"/>
        <w:rPr>
          <w:noProof/>
          <w:sz w:val="24"/>
          <w:szCs w:val="24"/>
          <w:u w:val="single"/>
        </w:rPr>
      </w:pPr>
      <w:r w:rsidRPr="008B22F1">
        <w:rPr>
          <w:noProof/>
          <w:sz w:val="24"/>
          <w:szCs w:val="24"/>
          <w:u w:val="single"/>
        </w:rPr>
        <w:t>Postoperativ kvalme og opkastning (PONV)</w:t>
      </w:r>
    </w:p>
    <w:p w14:paraId="32891ADD" w14:textId="77777777" w:rsidR="008B22F1" w:rsidRPr="008B22F1" w:rsidRDefault="008B22F1" w:rsidP="008B22F1">
      <w:pPr>
        <w:ind w:left="851"/>
        <w:rPr>
          <w:noProof/>
          <w:sz w:val="24"/>
          <w:szCs w:val="24"/>
          <w:u w:val="single"/>
        </w:rPr>
      </w:pPr>
    </w:p>
    <w:p w14:paraId="50D85EE2" w14:textId="77777777" w:rsidR="008B22F1" w:rsidRPr="008B22F1" w:rsidRDefault="008B22F1" w:rsidP="008B22F1">
      <w:pPr>
        <w:ind w:left="851"/>
        <w:rPr>
          <w:i/>
          <w:iCs/>
          <w:noProof/>
          <w:sz w:val="24"/>
          <w:szCs w:val="24"/>
        </w:rPr>
      </w:pPr>
      <w:r w:rsidRPr="008B22F1">
        <w:rPr>
          <w:i/>
          <w:iCs/>
          <w:noProof/>
          <w:sz w:val="24"/>
          <w:szCs w:val="24"/>
        </w:rPr>
        <w:t>PONV hos voksne</w:t>
      </w:r>
    </w:p>
    <w:p w14:paraId="17BCF2B3" w14:textId="77777777" w:rsidR="008B22F1" w:rsidRPr="008B22F1" w:rsidRDefault="008B22F1" w:rsidP="008B22F1">
      <w:pPr>
        <w:ind w:left="851"/>
        <w:rPr>
          <w:noProof/>
          <w:sz w:val="24"/>
          <w:szCs w:val="24"/>
        </w:rPr>
      </w:pPr>
      <w:r w:rsidRPr="008B22F1">
        <w:rPr>
          <w:noProof/>
          <w:sz w:val="24"/>
          <w:szCs w:val="24"/>
        </w:rPr>
        <w:t xml:space="preserve">Til forebyggelse af postoperativ kvalme og opkastning er den anbefalede dosis ondansetron en enkeltdosis på 4 mg, der indgives intramuskulært eller langsomt intravenøst ved induktion af </w:t>
      </w:r>
      <w:r w:rsidRPr="008B22F1">
        <w:rPr>
          <w:sz w:val="24"/>
          <w:szCs w:val="24"/>
        </w:rPr>
        <w:t>anæstesi</w:t>
      </w:r>
      <w:r w:rsidRPr="008B22F1">
        <w:rPr>
          <w:noProof/>
          <w:sz w:val="24"/>
          <w:szCs w:val="24"/>
        </w:rPr>
        <w:t xml:space="preserve">. </w:t>
      </w:r>
    </w:p>
    <w:p w14:paraId="46B77466" w14:textId="77777777" w:rsidR="008B22F1" w:rsidRPr="008B22F1" w:rsidRDefault="008B22F1" w:rsidP="008B22F1">
      <w:pPr>
        <w:ind w:left="851"/>
        <w:rPr>
          <w:noProof/>
          <w:sz w:val="24"/>
          <w:szCs w:val="24"/>
        </w:rPr>
      </w:pPr>
      <w:r w:rsidRPr="008B22F1">
        <w:rPr>
          <w:noProof/>
          <w:sz w:val="24"/>
          <w:szCs w:val="24"/>
        </w:rPr>
        <w:t>Til behandling af etableret postoperativ kvalme og opkastning anbefales en enkelt dosis på 4 mg givet intramuskulært eller langsomt intravenøst.</w:t>
      </w:r>
    </w:p>
    <w:p w14:paraId="06F94FD0" w14:textId="77777777" w:rsidR="008B22F1" w:rsidRPr="008B22F1" w:rsidRDefault="008B22F1" w:rsidP="008B22F1">
      <w:pPr>
        <w:ind w:left="851"/>
        <w:rPr>
          <w:noProof/>
          <w:sz w:val="24"/>
          <w:szCs w:val="24"/>
          <w:u w:val="single"/>
        </w:rPr>
      </w:pPr>
    </w:p>
    <w:p w14:paraId="2577A17A" w14:textId="77777777" w:rsidR="008B22F1" w:rsidRPr="008B22F1" w:rsidRDefault="008B22F1" w:rsidP="008B22F1">
      <w:pPr>
        <w:ind w:left="851"/>
        <w:rPr>
          <w:i/>
          <w:iCs/>
          <w:noProof/>
          <w:sz w:val="24"/>
          <w:szCs w:val="24"/>
        </w:rPr>
      </w:pPr>
      <w:r w:rsidRPr="008B22F1">
        <w:rPr>
          <w:i/>
          <w:iCs/>
          <w:noProof/>
          <w:sz w:val="24"/>
          <w:szCs w:val="24"/>
        </w:rPr>
        <w:t>Pædiatrisk population</w:t>
      </w:r>
    </w:p>
    <w:p w14:paraId="797A80A9" w14:textId="77777777" w:rsidR="008B22F1" w:rsidRPr="008B22F1" w:rsidRDefault="008B22F1" w:rsidP="008B22F1">
      <w:pPr>
        <w:ind w:left="851"/>
        <w:rPr>
          <w:noProof/>
          <w:sz w:val="24"/>
          <w:szCs w:val="24"/>
          <w:u w:val="single"/>
        </w:rPr>
      </w:pPr>
    </w:p>
    <w:p w14:paraId="6BA6CE33" w14:textId="77777777" w:rsidR="008B22F1" w:rsidRPr="008B22F1" w:rsidRDefault="008B22F1" w:rsidP="008B22F1">
      <w:pPr>
        <w:ind w:left="851"/>
        <w:rPr>
          <w:i/>
          <w:iCs/>
          <w:noProof/>
          <w:sz w:val="24"/>
          <w:szCs w:val="24"/>
        </w:rPr>
      </w:pPr>
      <w:r w:rsidRPr="008B22F1">
        <w:rPr>
          <w:i/>
          <w:iCs/>
          <w:noProof/>
          <w:sz w:val="24"/>
          <w:szCs w:val="24"/>
        </w:rPr>
        <w:t>PONV hos børn og unge (i alderen 1 måned til 17 år)</w:t>
      </w:r>
    </w:p>
    <w:p w14:paraId="79416FA3" w14:textId="77777777" w:rsidR="008B22F1" w:rsidRPr="008B22F1" w:rsidRDefault="008B22F1" w:rsidP="008B22F1">
      <w:pPr>
        <w:ind w:left="851"/>
        <w:rPr>
          <w:noProof/>
          <w:sz w:val="24"/>
          <w:szCs w:val="24"/>
        </w:rPr>
      </w:pPr>
      <w:r w:rsidRPr="008B22F1">
        <w:rPr>
          <w:noProof/>
          <w:sz w:val="24"/>
          <w:szCs w:val="24"/>
        </w:rPr>
        <w:t xml:space="preserve">Til forebyggelse af PONV hos børn, der opereres under fuld narkose, kan en enkelt dosis ondansetron indgives langsomt intravenøst (ikke mindre end 30 sekunder) i en dosis på 0,1 mg/kg op til maksimalt 4 mg enten før, under eller efter induktion af </w:t>
      </w:r>
      <w:r w:rsidRPr="008B22F1">
        <w:rPr>
          <w:sz w:val="24"/>
          <w:szCs w:val="24"/>
        </w:rPr>
        <w:t>anæstesi</w:t>
      </w:r>
      <w:r w:rsidRPr="008B22F1">
        <w:rPr>
          <w:noProof/>
          <w:sz w:val="24"/>
          <w:szCs w:val="24"/>
        </w:rPr>
        <w:t xml:space="preserve">. </w:t>
      </w:r>
    </w:p>
    <w:p w14:paraId="5E64BCD2" w14:textId="77777777" w:rsidR="008B22F1" w:rsidRPr="008B22F1" w:rsidRDefault="008B22F1" w:rsidP="008B22F1">
      <w:pPr>
        <w:ind w:left="851"/>
        <w:rPr>
          <w:noProof/>
          <w:sz w:val="24"/>
          <w:szCs w:val="24"/>
        </w:rPr>
      </w:pPr>
      <w:r w:rsidRPr="008B22F1">
        <w:rPr>
          <w:noProof/>
          <w:sz w:val="24"/>
          <w:szCs w:val="24"/>
        </w:rPr>
        <w:t xml:space="preserve">Til behandling af PONV hos børn efter operation, der opereres under fuld </w:t>
      </w:r>
      <w:r w:rsidRPr="008B22F1">
        <w:rPr>
          <w:sz w:val="24"/>
          <w:szCs w:val="24"/>
        </w:rPr>
        <w:t>anæstesi</w:t>
      </w:r>
      <w:r w:rsidRPr="008B22F1">
        <w:rPr>
          <w:noProof/>
          <w:sz w:val="24"/>
          <w:szCs w:val="24"/>
        </w:rPr>
        <w:t xml:space="preserve">, kan en enkelt dosis ondansetron indgives ved langsom, intravenøs injektion (ikke mindre end  30 sekunder) i en dosis på 0,1 mg/kg op til maksimalt 4 mg. </w:t>
      </w:r>
    </w:p>
    <w:p w14:paraId="59ACA0D3" w14:textId="77777777" w:rsidR="008B22F1" w:rsidRPr="008B22F1" w:rsidRDefault="008B22F1" w:rsidP="008B22F1">
      <w:pPr>
        <w:ind w:left="851"/>
        <w:rPr>
          <w:noProof/>
          <w:sz w:val="24"/>
          <w:szCs w:val="24"/>
          <w:u w:val="single"/>
        </w:rPr>
      </w:pPr>
    </w:p>
    <w:p w14:paraId="4EA2A501" w14:textId="77777777" w:rsidR="008B22F1" w:rsidRPr="008B22F1" w:rsidRDefault="008B22F1" w:rsidP="008B22F1">
      <w:pPr>
        <w:ind w:left="851"/>
        <w:rPr>
          <w:i/>
          <w:iCs/>
          <w:noProof/>
          <w:sz w:val="24"/>
          <w:szCs w:val="24"/>
        </w:rPr>
      </w:pPr>
      <w:r w:rsidRPr="008B22F1">
        <w:rPr>
          <w:i/>
          <w:iCs/>
          <w:noProof/>
          <w:sz w:val="24"/>
          <w:szCs w:val="24"/>
        </w:rPr>
        <w:t xml:space="preserve">Ældre </w:t>
      </w:r>
    </w:p>
    <w:p w14:paraId="50A0F5D9" w14:textId="77777777" w:rsidR="008B22F1" w:rsidRPr="008B22F1" w:rsidRDefault="008B22F1" w:rsidP="008B22F1">
      <w:pPr>
        <w:ind w:left="851"/>
        <w:rPr>
          <w:noProof/>
          <w:sz w:val="24"/>
          <w:szCs w:val="24"/>
        </w:rPr>
      </w:pPr>
      <w:r w:rsidRPr="008B22F1">
        <w:rPr>
          <w:noProof/>
          <w:sz w:val="24"/>
          <w:szCs w:val="24"/>
        </w:rPr>
        <w:t xml:space="preserve">Der er begrænset erfaring med anvendelse af ondansetron til forebyggelse og behandling af PONV hos ældre, men ondansetron tolereres godt af patienter over 65 år, der får kemoterapi. </w:t>
      </w:r>
    </w:p>
    <w:p w14:paraId="4A04618B" w14:textId="77777777" w:rsidR="008B22F1" w:rsidRPr="008B22F1" w:rsidRDefault="008B22F1" w:rsidP="008B22F1">
      <w:pPr>
        <w:ind w:left="851"/>
        <w:rPr>
          <w:noProof/>
          <w:sz w:val="24"/>
          <w:szCs w:val="24"/>
          <w:u w:val="single"/>
        </w:rPr>
      </w:pPr>
    </w:p>
    <w:p w14:paraId="251EF7ED" w14:textId="77777777" w:rsidR="008B22F1" w:rsidRPr="008B22F1" w:rsidRDefault="008B22F1" w:rsidP="008B22F1">
      <w:pPr>
        <w:ind w:left="851"/>
        <w:rPr>
          <w:i/>
          <w:iCs/>
          <w:noProof/>
          <w:sz w:val="24"/>
          <w:szCs w:val="24"/>
        </w:rPr>
      </w:pPr>
      <w:r w:rsidRPr="008B22F1">
        <w:rPr>
          <w:i/>
          <w:iCs/>
          <w:noProof/>
          <w:sz w:val="24"/>
          <w:szCs w:val="24"/>
        </w:rPr>
        <w:t xml:space="preserve">Patienter med nedsat nyrefunktion </w:t>
      </w:r>
    </w:p>
    <w:p w14:paraId="3019FE30" w14:textId="77777777" w:rsidR="008B22F1" w:rsidRPr="008B22F1" w:rsidRDefault="008B22F1" w:rsidP="008B22F1">
      <w:pPr>
        <w:ind w:left="851"/>
        <w:rPr>
          <w:noProof/>
          <w:sz w:val="24"/>
          <w:szCs w:val="24"/>
        </w:rPr>
      </w:pPr>
      <w:r w:rsidRPr="008B22F1">
        <w:rPr>
          <w:noProof/>
          <w:sz w:val="24"/>
          <w:szCs w:val="24"/>
        </w:rPr>
        <w:t xml:space="preserve">Det er ikke nødvendigt at ændre den daglige dosis, doseringshyppighed eller administrationsvej. </w:t>
      </w:r>
    </w:p>
    <w:p w14:paraId="70394F07" w14:textId="77777777" w:rsidR="008B22F1" w:rsidRPr="008B22F1" w:rsidRDefault="008B22F1" w:rsidP="008B22F1">
      <w:pPr>
        <w:ind w:left="851"/>
        <w:rPr>
          <w:noProof/>
          <w:sz w:val="24"/>
          <w:szCs w:val="24"/>
          <w:u w:val="single"/>
        </w:rPr>
      </w:pPr>
    </w:p>
    <w:p w14:paraId="6199A658" w14:textId="77777777" w:rsidR="008B22F1" w:rsidRPr="008B22F1" w:rsidRDefault="008B22F1" w:rsidP="008B22F1">
      <w:pPr>
        <w:ind w:left="851"/>
        <w:rPr>
          <w:i/>
          <w:iCs/>
          <w:noProof/>
          <w:sz w:val="24"/>
          <w:szCs w:val="24"/>
        </w:rPr>
      </w:pPr>
      <w:r w:rsidRPr="008B22F1">
        <w:rPr>
          <w:i/>
          <w:iCs/>
          <w:noProof/>
          <w:sz w:val="24"/>
          <w:szCs w:val="24"/>
        </w:rPr>
        <w:t>Patienter med nedsat leverfunktion</w:t>
      </w:r>
    </w:p>
    <w:p w14:paraId="5E8F5FE6" w14:textId="77777777" w:rsidR="008B22F1" w:rsidRPr="008B22F1" w:rsidRDefault="008B22F1" w:rsidP="008B22F1">
      <w:pPr>
        <w:ind w:left="851"/>
        <w:rPr>
          <w:noProof/>
          <w:sz w:val="24"/>
          <w:szCs w:val="24"/>
        </w:rPr>
      </w:pPr>
      <w:r w:rsidRPr="008B22F1">
        <w:rPr>
          <w:noProof/>
          <w:sz w:val="24"/>
          <w:szCs w:val="24"/>
        </w:rPr>
        <w:t xml:space="preserve">Ondansetrons clearance er betydeligt reduceret, og serumhalveringstiden er betydeligt forlænget hos personer med moderat til svær nedsat leverfunktion. Hos sådanne patienter bør en samlet daglig dosis på 8 mg i.v. eller oralt ikke overskrides. </w:t>
      </w:r>
    </w:p>
    <w:p w14:paraId="3D5EE3E8" w14:textId="77777777" w:rsidR="008B22F1" w:rsidRPr="008B22F1" w:rsidRDefault="008B22F1" w:rsidP="008B22F1">
      <w:pPr>
        <w:ind w:left="851"/>
        <w:rPr>
          <w:noProof/>
          <w:sz w:val="24"/>
          <w:szCs w:val="24"/>
          <w:u w:val="single"/>
        </w:rPr>
      </w:pPr>
    </w:p>
    <w:p w14:paraId="7C59FD97" w14:textId="77777777" w:rsidR="008B22F1" w:rsidRPr="008B22F1" w:rsidRDefault="008B22F1" w:rsidP="008B22F1">
      <w:pPr>
        <w:ind w:left="851"/>
        <w:rPr>
          <w:i/>
          <w:iCs/>
          <w:noProof/>
          <w:sz w:val="24"/>
          <w:szCs w:val="24"/>
        </w:rPr>
      </w:pPr>
      <w:r w:rsidRPr="008B22F1">
        <w:rPr>
          <w:i/>
          <w:iCs/>
          <w:noProof/>
          <w:sz w:val="24"/>
          <w:szCs w:val="24"/>
        </w:rPr>
        <w:t>Patienter med dårlig spartein/debrisoquine-metabolisme</w:t>
      </w:r>
    </w:p>
    <w:p w14:paraId="2362808B" w14:textId="77777777" w:rsidR="008B22F1" w:rsidRPr="008B22F1" w:rsidRDefault="008B22F1" w:rsidP="008B22F1">
      <w:pPr>
        <w:ind w:left="851"/>
        <w:rPr>
          <w:noProof/>
          <w:sz w:val="24"/>
          <w:szCs w:val="24"/>
        </w:rPr>
      </w:pPr>
      <w:r w:rsidRPr="008B22F1">
        <w:rPr>
          <w:noProof/>
          <w:sz w:val="24"/>
          <w:szCs w:val="24"/>
        </w:rPr>
        <w:t>Halveringstiden for ondansetron er ikke ændret hos personer, der er klassificeret som dårlige metaboliserende personer af spartein og debrisoquine. Derfor vil gentagen dosering hos sådanne patienter ikke medføre andre lægemiddeleksponeringsniveauer end hos den generelle befolkning. Det er ikke nødvendigt at ændre den daglige dosis eller doseringshyppighed.</w:t>
      </w:r>
    </w:p>
    <w:p w14:paraId="45DF305D" w14:textId="77777777" w:rsidR="009260DE" w:rsidRPr="008B22F1" w:rsidRDefault="009260DE" w:rsidP="008B22F1">
      <w:pPr>
        <w:tabs>
          <w:tab w:val="left" w:pos="851"/>
        </w:tabs>
        <w:ind w:left="851"/>
        <w:rPr>
          <w:sz w:val="24"/>
          <w:szCs w:val="24"/>
        </w:rPr>
      </w:pPr>
    </w:p>
    <w:p w14:paraId="1E4F488A"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05DE6672" w14:textId="77777777" w:rsidR="00DE2451" w:rsidRPr="00DE2451" w:rsidRDefault="00DE2451" w:rsidP="00DE2451">
      <w:pPr>
        <w:tabs>
          <w:tab w:val="left" w:pos="851"/>
        </w:tabs>
        <w:ind w:left="851"/>
        <w:rPr>
          <w:sz w:val="24"/>
          <w:szCs w:val="24"/>
        </w:rPr>
      </w:pPr>
      <w:r w:rsidRPr="00DE2451">
        <w:rPr>
          <w:sz w:val="24"/>
          <w:szCs w:val="24"/>
        </w:rPr>
        <w:t>Baseret på rapporter om alvorlig hypotension og bevidsthedstab, når ondansetron blev administreret sammen med apomorphinhydrochlorid, er samtidig brug med apomorphin kontraindiceret (se pkt.  4.5).</w:t>
      </w:r>
    </w:p>
    <w:p w14:paraId="400CCF3F" w14:textId="77777777" w:rsidR="00DE2451" w:rsidRPr="00DE2451" w:rsidRDefault="00DE2451" w:rsidP="00DE2451">
      <w:pPr>
        <w:tabs>
          <w:tab w:val="left" w:pos="851"/>
        </w:tabs>
        <w:ind w:left="851"/>
        <w:rPr>
          <w:sz w:val="24"/>
          <w:szCs w:val="24"/>
        </w:rPr>
      </w:pPr>
    </w:p>
    <w:p w14:paraId="467787B1" w14:textId="77777777" w:rsidR="00DE2451" w:rsidRPr="00DE2451" w:rsidRDefault="00DE2451" w:rsidP="00DE2451">
      <w:pPr>
        <w:tabs>
          <w:tab w:val="left" w:pos="851"/>
        </w:tabs>
        <w:ind w:left="851"/>
        <w:rPr>
          <w:sz w:val="24"/>
          <w:szCs w:val="24"/>
        </w:rPr>
      </w:pPr>
      <w:r w:rsidRPr="00DE2451">
        <w:rPr>
          <w:sz w:val="24"/>
          <w:szCs w:val="24"/>
        </w:rPr>
        <w:t>Overfølsomhed over for det aktive stof eller over for et eller flere af hjælpestofferne, der er nævnt i pkt 6.1.</w:t>
      </w:r>
    </w:p>
    <w:p w14:paraId="76B03BBD" w14:textId="77777777" w:rsidR="009260DE" w:rsidRPr="00C84483" w:rsidRDefault="009260DE" w:rsidP="009260DE">
      <w:pPr>
        <w:tabs>
          <w:tab w:val="left" w:pos="851"/>
        </w:tabs>
        <w:ind w:left="851"/>
        <w:rPr>
          <w:sz w:val="24"/>
          <w:szCs w:val="24"/>
        </w:rPr>
      </w:pPr>
    </w:p>
    <w:p w14:paraId="61F0B41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6F927AE" w14:textId="77777777" w:rsidR="00DE2451" w:rsidRPr="00DE2451" w:rsidRDefault="00DE2451" w:rsidP="00DE2451">
      <w:pPr>
        <w:tabs>
          <w:tab w:val="left" w:pos="851"/>
        </w:tabs>
        <w:ind w:left="851"/>
        <w:rPr>
          <w:sz w:val="24"/>
          <w:szCs w:val="24"/>
        </w:rPr>
      </w:pPr>
      <w:r w:rsidRPr="00DE2451">
        <w:rPr>
          <w:sz w:val="24"/>
          <w:szCs w:val="24"/>
        </w:rPr>
        <w:t>Der er blevet rapporteret overfølsomhedsreaktioner hos patienter, der har udvist overfølsomhed over for andre selektive 5HT</w:t>
      </w:r>
      <w:r w:rsidRPr="00DE2451">
        <w:rPr>
          <w:sz w:val="24"/>
          <w:szCs w:val="24"/>
          <w:vertAlign w:val="subscript"/>
        </w:rPr>
        <w:t>3</w:t>
      </w:r>
      <w:r w:rsidRPr="00DE2451">
        <w:rPr>
          <w:sz w:val="24"/>
          <w:szCs w:val="24"/>
        </w:rPr>
        <w:t xml:space="preserve">-receptorantagonister. Respiratoriske hændelser skal behandles symptomatisk, og klinikere skal være særligt opmærksomme på disse som forstadier til overfølsomhedsreaktioner. </w:t>
      </w:r>
    </w:p>
    <w:p w14:paraId="0F741DF9" w14:textId="77777777" w:rsidR="00DE2451" w:rsidRPr="00DE2451" w:rsidRDefault="00DE2451" w:rsidP="00DE2451">
      <w:pPr>
        <w:tabs>
          <w:tab w:val="left" w:pos="851"/>
        </w:tabs>
        <w:ind w:left="851"/>
        <w:rPr>
          <w:sz w:val="24"/>
          <w:szCs w:val="24"/>
        </w:rPr>
      </w:pPr>
    </w:p>
    <w:p w14:paraId="74AE922D" w14:textId="77777777" w:rsidR="00DE2451" w:rsidRPr="00DE2451" w:rsidRDefault="00DE2451" w:rsidP="00DE2451">
      <w:pPr>
        <w:tabs>
          <w:tab w:val="left" w:pos="851"/>
        </w:tabs>
        <w:ind w:left="851"/>
        <w:rPr>
          <w:sz w:val="24"/>
          <w:szCs w:val="24"/>
        </w:rPr>
      </w:pPr>
      <w:r w:rsidRPr="00DE2451">
        <w:rPr>
          <w:sz w:val="24"/>
          <w:szCs w:val="24"/>
        </w:rPr>
        <w:t xml:space="preserve">Ondansetron forlænger QT-intervallet dosisafhængigt (se pkt.  5.1). Derudover er der efter markedsføring indberettet tilfælde af Torsade de Pointes hos patienter, der anvender ondansetron. Ondansetron bør undgås hos patienter med medfødt langt QT-syndrom. Ondansetron skal administreres med forsigtighed hos patienter, der har eller kan udvikle forlængelse af QTc, herunder patienter med elektrolytabnormiteter, kongestiv hjerteinsufficiens, bradykardi, ledningsforstyrrelser og hos patienter, der tager antiarytmika eller beta-adrenerge blokerende midler eller andre lægemidler, der fører til QT-forlængelse eller elektrolytabnormiteter. </w:t>
      </w:r>
    </w:p>
    <w:p w14:paraId="682AB571" w14:textId="77777777" w:rsidR="00DE2451" w:rsidRPr="00DE2451" w:rsidRDefault="00DE2451" w:rsidP="00DE2451">
      <w:pPr>
        <w:tabs>
          <w:tab w:val="left" w:pos="851"/>
        </w:tabs>
        <w:ind w:left="851"/>
        <w:rPr>
          <w:sz w:val="24"/>
          <w:szCs w:val="24"/>
        </w:rPr>
      </w:pPr>
    </w:p>
    <w:p w14:paraId="497F9BDF" w14:textId="77777777" w:rsidR="00DE2451" w:rsidRPr="00DE2451" w:rsidRDefault="00DE2451" w:rsidP="00DE2451">
      <w:pPr>
        <w:tabs>
          <w:tab w:val="left" w:pos="851"/>
        </w:tabs>
        <w:ind w:left="851"/>
        <w:rPr>
          <w:sz w:val="24"/>
          <w:szCs w:val="24"/>
        </w:rPr>
      </w:pPr>
      <w:r w:rsidRPr="00DE2451">
        <w:rPr>
          <w:sz w:val="24"/>
          <w:szCs w:val="24"/>
        </w:rPr>
        <w:t>Der er rapporteret tilfælde af myokardieiskæmi hos patienter behandlet med ondansetron. Hos nogle patienter, især i tilfælde af intravenøs administration, opstod der symptomer umiddelbart efter administration af ondansetron. Patienterne skal gøres opmærksom på tegn og symptomer på myokardieiskæmi.</w:t>
      </w:r>
    </w:p>
    <w:p w14:paraId="3F8BA276" w14:textId="77777777" w:rsidR="00DE2451" w:rsidRPr="00DE2451" w:rsidRDefault="00DE2451" w:rsidP="00DE2451">
      <w:pPr>
        <w:tabs>
          <w:tab w:val="left" w:pos="851"/>
        </w:tabs>
        <w:ind w:left="851"/>
        <w:rPr>
          <w:sz w:val="24"/>
          <w:szCs w:val="24"/>
        </w:rPr>
      </w:pPr>
    </w:p>
    <w:p w14:paraId="6AE46AA5" w14:textId="77777777" w:rsidR="00DE2451" w:rsidRPr="00DE2451" w:rsidRDefault="00DE2451" w:rsidP="00DE2451">
      <w:pPr>
        <w:tabs>
          <w:tab w:val="left" w:pos="851"/>
        </w:tabs>
        <w:ind w:left="851"/>
        <w:rPr>
          <w:sz w:val="24"/>
          <w:szCs w:val="24"/>
        </w:rPr>
      </w:pPr>
      <w:r w:rsidRPr="00DE2451">
        <w:rPr>
          <w:sz w:val="24"/>
          <w:szCs w:val="24"/>
        </w:rPr>
        <w:t xml:space="preserve">Hypokaliæmi og hypomagnesiæmi skal korrigeres før indgivelse af ondansetron. </w:t>
      </w:r>
    </w:p>
    <w:p w14:paraId="57DC3DB7" w14:textId="77777777" w:rsidR="00DE2451" w:rsidRPr="00DE2451" w:rsidRDefault="00DE2451" w:rsidP="00DE2451">
      <w:pPr>
        <w:tabs>
          <w:tab w:val="left" w:pos="851"/>
        </w:tabs>
        <w:ind w:left="851"/>
        <w:rPr>
          <w:sz w:val="24"/>
          <w:szCs w:val="24"/>
        </w:rPr>
      </w:pPr>
    </w:p>
    <w:p w14:paraId="37388666" w14:textId="77777777" w:rsidR="00DE2451" w:rsidRPr="00DE2451" w:rsidRDefault="00DE2451" w:rsidP="00DE2451">
      <w:pPr>
        <w:tabs>
          <w:tab w:val="left" w:pos="851"/>
        </w:tabs>
        <w:ind w:left="851"/>
        <w:rPr>
          <w:sz w:val="24"/>
          <w:szCs w:val="24"/>
        </w:rPr>
      </w:pPr>
      <w:r w:rsidRPr="00DE2451">
        <w:rPr>
          <w:sz w:val="24"/>
          <w:szCs w:val="24"/>
        </w:rPr>
        <w:t xml:space="preserve">Der er indberettet tilfælde efter markedsføring, hvor patienter har udviklet serotoninsyndrom (herunder ændret mental tilstand, autonom ustabilitet og neuromuskulære abnormiteter) efter samtidig brug af ondansetron og andre serotonergiske lægemidler (herunder selektive serotonin-genoptagelsesinhibitorer (SSRI'er) og serotonin-noradrenalin-genoptagelsesinhibitorer (SNRI'er)). Hvis samtidig behandling med ondansetron og andre serotonergiske lægemidler er klinisk begrundet, anbefales det at observere patienten nøje. </w:t>
      </w:r>
    </w:p>
    <w:p w14:paraId="0E88C6A2" w14:textId="77777777" w:rsidR="00DE2451" w:rsidRPr="00DE2451" w:rsidRDefault="00DE2451" w:rsidP="00DE2451">
      <w:pPr>
        <w:tabs>
          <w:tab w:val="left" w:pos="851"/>
        </w:tabs>
        <w:ind w:left="851"/>
        <w:rPr>
          <w:sz w:val="24"/>
          <w:szCs w:val="24"/>
        </w:rPr>
      </w:pPr>
      <w:r w:rsidRPr="00DE2451">
        <w:rPr>
          <w:sz w:val="24"/>
          <w:szCs w:val="24"/>
        </w:rPr>
        <w:t>Da ondansetron er kendt for at øge transittiden i tyktarmen, bør patienter med tegn på subakut tarmobstruktion overvåges efter administration.</w:t>
      </w:r>
    </w:p>
    <w:p w14:paraId="3038E495" w14:textId="77777777" w:rsidR="00DE2451" w:rsidRPr="00DE2451" w:rsidRDefault="00DE2451" w:rsidP="00DE2451">
      <w:pPr>
        <w:tabs>
          <w:tab w:val="left" w:pos="851"/>
        </w:tabs>
        <w:ind w:left="851"/>
        <w:rPr>
          <w:sz w:val="24"/>
          <w:szCs w:val="24"/>
        </w:rPr>
      </w:pPr>
    </w:p>
    <w:p w14:paraId="11A5F6A8" w14:textId="77777777" w:rsidR="00DE2451" w:rsidRPr="00DE2451" w:rsidRDefault="00DE2451" w:rsidP="00DE2451">
      <w:pPr>
        <w:tabs>
          <w:tab w:val="left" w:pos="851"/>
        </w:tabs>
        <w:ind w:left="851"/>
        <w:rPr>
          <w:sz w:val="24"/>
          <w:szCs w:val="24"/>
        </w:rPr>
      </w:pPr>
      <w:r w:rsidRPr="00DE2451">
        <w:rPr>
          <w:sz w:val="24"/>
          <w:szCs w:val="24"/>
        </w:rPr>
        <w:t>Hos patienter, der har fået foretaget adenotonsillær kirurgi, kan forebyggelse af kvalme og opkastning med ondansetron maskere latent blødning. Derfor bør sådanne patienter følges nøje efter behandling med ondansetron.</w:t>
      </w:r>
    </w:p>
    <w:p w14:paraId="26F44C4C" w14:textId="77777777" w:rsidR="00DE2451" w:rsidRPr="00DE2451" w:rsidRDefault="00DE2451" w:rsidP="00DE2451">
      <w:pPr>
        <w:tabs>
          <w:tab w:val="left" w:pos="851"/>
        </w:tabs>
        <w:ind w:left="851"/>
        <w:rPr>
          <w:sz w:val="24"/>
          <w:szCs w:val="24"/>
        </w:rPr>
      </w:pPr>
    </w:p>
    <w:p w14:paraId="051FBB1B" w14:textId="77777777" w:rsidR="00DE2451" w:rsidRPr="00DE2451" w:rsidRDefault="00DE2451" w:rsidP="00DE2451">
      <w:pPr>
        <w:tabs>
          <w:tab w:val="left" w:pos="851"/>
        </w:tabs>
        <w:ind w:left="851"/>
        <w:rPr>
          <w:sz w:val="24"/>
          <w:szCs w:val="24"/>
        </w:rPr>
      </w:pPr>
      <w:r w:rsidRPr="00DE2451">
        <w:rPr>
          <w:sz w:val="24"/>
          <w:szCs w:val="24"/>
        </w:rPr>
        <w:t>Dette lægemiddel indeholder mindre end 1 mmol natrium (23 mg) pr. ampul, dvs. det er i det væsentlige natriumfrit.</w:t>
      </w:r>
    </w:p>
    <w:p w14:paraId="2D59B6D4" w14:textId="77777777" w:rsidR="00DE2451" w:rsidRPr="00DE2451" w:rsidRDefault="00DE2451" w:rsidP="00DE2451">
      <w:pPr>
        <w:tabs>
          <w:tab w:val="left" w:pos="851"/>
        </w:tabs>
        <w:ind w:left="851"/>
        <w:rPr>
          <w:sz w:val="24"/>
          <w:szCs w:val="24"/>
        </w:rPr>
      </w:pPr>
    </w:p>
    <w:p w14:paraId="65C7A972" w14:textId="77777777" w:rsidR="00DE2451" w:rsidRPr="00DE2451" w:rsidRDefault="00DE2451" w:rsidP="00DE2451">
      <w:pPr>
        <w:tabs>
          <w:tab w:val="left" w:pos="851"/>
        </w:tabs>
        <w:ind w:left="851"/>
        <w:rPr>
          <w:iCs/>
          <w:sz w:val="24"/>
          <w:szCs w:val="24"/>
          <w:u w:val="single"/>
        </w:rPr>
      </w:pPr>
      <w:r w:rsidRPr="00DE2451">
        <w:rPr>
          <w:iCs/>
          <w:sz w:val="24"/>
          <w:szCs w:val="24"/>
          <w:u w:val="single"/>
        </w:rPr>
        <w:t>Pædiatrisk population</w:t>
      </w:r>
    </w:p>
    <w:p w14:paraId="533D6224" w14:textId="77777777" w:rsidR="00DE2451" w:rsidRPr="00DE2451" w:rsidRDefault="00DE2451" w:rsidP="00DE2451">
      <w:pPr>
        <w:tabs>
          <w:tab w:val="left" w:pos="851"/>
        </w:tabs>
        <w:ind w:left="851"/>
        <w:rPr>
          <w:sz w:val="24"/>
          <w:szCs w:val="24"/>
        </w:rPr>
      </w:pPr>
      <w:r w:rsidRPr="00DE2451">
        <w:rPr>
          <w:sz w:val="24"/>
          <w:szCs w:val="24"/>
        </w:rPr>
        <w:t>Pædiatriske patienter, der får ondansetron sammen med hepatotoksiske kemoterapeutiske midler, skal overvåges nøje for nedsat leverfunktion.</w:t>
      </w:r>
    </w:p>
    <w:p w14:paraId="74EADF5C" w14:textId="77777777" w:rsidR="00DE2451" w:rsidRPr="00DE2451" w:rsidRDefault="00DE2451" w:rsidP="00DE2451">
      <w:pPr>
        <w:tabs>
          <w:tab w:val="left" w:pos="851"/>
        </w:tabs>
        <w:ind w:left="851"/>
        <w:rPr>
          <w:sz w:val="24"/>
          <w:szCs w:val="24"/>
        </w:rPr>
      </w:pPr>
    </w:p>
    <w:p w14:paraId="7187B5EB" w14:textId="77777777" w:rsidR="00DE2451" w:rsidRPr="00DE2451" w:rsidRDefault="00DE2451" w:rsidP="00DE2451">
      <w:pPr>
        <w:tabs>
          <w:tab w:val="left" w:pos="851"/>
        </w:tabs>
        <w:ind w:left="851"/>
        <w:rPr>
          <w:iCs/>
          <w:sz w:val="24"/>
          <w:szCs w:val="24"/>
          <w:u w:val="single"/>
        </w:rPr>
      </w:pPr>
      <w:r w:rsidRPr="00DE2451">
        <w:rPr>
          <w:iCs/>
          <w:sz w:val="24"/>
          <w:szCs w:val="24"/>
          <w:u w:val="single"/>
        </w:rPr>
        <w:lastRenderedPageBreak/>
        <w:t>Kemoterapi-induceret kvalme og opkastning</w:t>
      </w:r>
    </w:p>
    <w:p w14:paraId="7E5AEEFB" w14:textId="77777777" w:rsidR="00DE2451" w:rsidRPr="00DE2451" w:rsidRDefault="00DE2451" w:rsidP="00DE2451">
      <w:pPr>
        <w:tabs>
          <w:tab w:val="left" w:pos="851"/>
        </w:tabs>
        <w:ind w:left="851"/>
        <w:rPr>
          <w:sz w:val="24"/>
          <w:szCs w:val="24"/>
        </w:rPr>
      </w:pPr>
      <w:r w:rsidRPr="00DE2451">
        <w:rPr>
          <w:sz w:val="24"/>
          <w:szCs w:val="24"/>
        </w:rPr>
        <w:t>Ved beregning af dosis på mg/kg-basis og administration af tre doser med 4 timers mellemrum vil den samlede daglige dosis være højere end ved administration af en enkelt dosis på 5 mg/m2 efterfulgt af en oral dosis. Den sammenlignende effekt af disse to forskellige doseringsregimener er ikke blevet undersøgt i kliniske forsøg. Sammenligning på tværs af forsøg viser samme effekt for de to regimener (se pkt. 5.1).</w:t>
      </w:r>
    </w:p>
    <w:p w14:paraId="018F01B5" w14:textId="77777777" w:rsidR="00DE2451" w:rsidRPr="00DE2451" w:rsidRDefault="00DE2451" w:rsidP="00DE2451">
      <w:pPr>
        <w:tabs>
          <w:tab w:val="left" w:pos="851"/>
        </w:tabs>
        <w:ind w:left="851"/>
        <w:rPr>
          <w:sz w:val="24"/>
          <w:szCs w:val="24"/>
        </w:rPr>
      </w:pPr>
    </w:p>
    <w:p w14:paraId="0BE9718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4B2DD5D" w14:textId="77777777" w:rsidR="00DB062A" w:rsidRPr="00DB062A" w:rsidRDefault="00DB062A" w:rsidP="00DB062A">
      <w:pPr>
        <w:tabs>
          <w:tab w:val="left" w:pos="851"/>
        </w:tabs>
        <w:ind w:left="851"/>
        <w:rPr>
          <w:sz w:val="24"/>
          <w:szCs w:val="24"/>
        </w:rPr>
      </w:pPr>
      <w:r w:rsidRPr="00DB062A">
        <w:rPr>
          <w:sz w:val="24"/>
          <w:szCs w:val="24"/>
        </w:rPr>
        <w:t>Der er ingen tegn på, at ondansetron inducerer eller hæmmer metabolismen af andre lægemidler, der ofte administreres på samme tid. Specifikke studier har vist, at der ikke er nogen interaktioner, når ondansetron administreres sammen med alkohol, temazepam, furosemid, alfentanil, tramadol, morphin, lidocain, thiopental eller propofol.</w:t>
      </w:r>
    </w:p>
    <w:p w14:paraId="0CE32A01" w14:textId="77777777" w:rsidR="00DB062A" w:rsidRPr="00DB062A" w:rsidRDefault="00DB062A" w:rsidP="00DB062A">
      <w:pPr>
        <w:tabs>
          <w:tab w:val="left" w:pos="851"/>
        </w:tabs>
        <w:ind w:left="851"/>
        <w:rPr>
          <w:sz w:val="24"/>
          <w:szCs w:val="24"/>
        </w:rPr>
      </w:pPr>
    </w:p>
    <w:p w14:paraId="01CF2D87" w14:textId="77777777" w:rsidR="00DB062A" w:rsidRPr="00DB062A" w:rsidRDefault="00DB062A" w:rsidP="00DB062A">
      <w:pPr>
        <w:tabs>
          <w:tab w:val="left" w:pos="851"/>
        </w:tabs>
        <w:ind w:left="851"/>
        <w:rPr>
          <w:sz w:val="24"/>
          <w:szCs w:val="24"/>
        </w:rPr>
      </w:pPr>
      <w:r w:rsidRPr="00DB062A">
        <w:rPr>
          <w:sz w:val="24"/>
          <w:szCs w:val="24"/>
        </w:rPr>
        <w:t>Ondansetron metaboliseres af flere hepatiske cytochrom P-450-enzymer: CYP3A4, CYP2D6 og CYP1A2. På grund af de mange metaboliske enzymer, der kan metabolisere ondansetron, kompenseres enzymhæmning eller nedsat aktivitet af et enzym (f.eks. CYP2D6-genmangel) normalt af andre enzymer og bør kun medføre en ubetydelig eller ingen signifikant ændring i den samlede clearance af ondansetron eller dosisbehovet.</w:t>
      </w:r>
    </w:p>
    <w:p w14:paraId="04123A43" w14:textId="77777777" w:rsidR="00DB062A" w:rsidRPr="00DB062A" w:rsidRDefault="00DB062A" w:rsidP="00DB062A">
      <w:pPr>
        <w:tabs>
          <w:tab w:val="left" w:pos="851"/>
        </w:tabs>
        <w:ind w:left="851"/>
        <w:rPr>
          <w:sz w:val="24"/>
          <w:szCs w:val="24"/>
        </w:rPr>
      </w:pPr>
    </w:p>
    <w:p w14:paraId="4A51C1E2" w14:textId="77777777" w:rsidR="00DB062A" w:rsidRPr="00DB062A" w:rsidRDefault="00DB062A" w:rsidP="00DB062A">
      <w:pPr>
        <w:tabs>
          <w:tab w:val="left" w:pos="851"/>
        </w:tabs>
        <w:ind w:left="851"/>
        <w:rPr>
          <w:sz w:val="24"/>
          <w:szCs w:val="24"/>
        </w:rPr>
      </w:pPr>
      <w:r w:rsidRPr="00DB062A">
        <w:rPr>
          <w:sz w:val="24"/>
          <w:szCs w:val="24"/>
        </w:rPr>
        <w:t xml:space="preserve">Der skal udvises forsigtighed, når ondansetron administreres sammen med lægemidler, der forlænger QT-intervallet (herunder visse cytotoksiske midler) og/eller forårsager elektrolytforstyrrelser. (se punkt 4.4). </w:t>
      </w:r>
    </w:p>
    <w:p w14:paraId="3D87C5A5" w14:textId="77777777" w:rsidR="00DB062A" w:rsidRPr="00DB062A" w:rsidRDefault="00DB062A" w:rsidP="00DB062A">
      <w:pPr>
        <w:tabs>
          <w:tab w:val="left" w:pos="851"/>
        </w:tabs>
        <w:ind w:left="851"/>
        <w:rPr>
          <w:sz w:val="24"/>
          <w:szCs w:val="24"/>
        </w:rPr>
      </w:pPr>
      <w:r w:rsidRPr="00DB062A">
        <w:rPr>
          <w:sz w:val="24"/>
          <w:szCs w:val="24"/>
        </w:rPr>
        <w:t xml:space="preserve">Anvendelse af ondansetron sammen med QT-forlængende lægemidler kan medføre yderligere QT-forlængelse. Samtidig brug af ondansetron med kardiotoksiske lægemidler (f.eks. anthracycliner såsom doxorubicin, daunorubicin eller trastuzumab), antibiotika (såsom erythromycin), svampemidler (såsom ketoconazol), antiarytmika (såsom amiodaron) og betablokkere (såsom atenolol eller timolol) kan øge risikoen for arytmier. (se punkt 4.4). </w:t>
      </w:r>
    </w:p>
    <w:p w14:paraId="1CB63198" w14:textId="77777777" w:rsidR="00DB062A" w:rsidRPr="00DB062A" w:rsidRDefault="00DB062A" w:rsidP="00DB062A">
      <w:pPr>
        <w:tabs>
          <w:tab w:val="left" w:pos="851"/>
        </w:tabs>
        <w:ind w:left="851"/>
        <w:rPr>
          <w:sz w:val="24"/>
          <w:szCs w:val="24"/>
        </w:rPr>
      </w:pPr>
    </w:p>
    <w:p w14:paraId="762AB501" w14:textId="77777777" w:rsidR="00DB062A" w:rsidRDefault="00DB062A" w:rsidP="00DB062A">
      <w:pPr>
        <w:tabs>
          <w:tab w:val="left" w:pos="851"/>
        </w:tabs>
        <w:ind w:left="851"/>
        <w:rPr>
          <w:sz w:val="24"/>
          <w:szCs w:val="24"/>
        </w:rPr>
      </w:pPr>
      <w:r w:rsidRPr="00DB062A">
        <w:rPr>
          <w:i/>
          <w:iCs/>
          <w:sz w:val="24"/>
          <w:szCs w:val="24"/>
        </w:rPr>
        <w:t>Serotonerge lægemidler (f.eks. SSRI'er og SNRI'er</w:t>
      </w:r>
      <w:r w:rsidRPr="00DB062A">
        <w:rPr>
          <w:sz w:val="24"/>
          <w:szCs w:val="24"/>
        </w:rPr>
        <w:t>)</w:t>
      </w:r>
    </w:p>
    <w:p w14:paraId="14996837" w14:textId="42E56A45" w:rsidR="00DB062A" w:rsidRPr="00DB062A" w:rsidRDefault="00DB062A" w:rsidP="00DB062A">
      <w:pPr>
        <w:tabs>
          <w:tab w:val="left" w:pos="851"/>
        </w:tabs>
        <w:ind w:left="851"/>
        <w:rPr>
          <w:sz w:val="24"/>
          <w:szCs w:val="24"/>
        </w:rPr>
      </w:pPr>
      <w:r w:rsidRPr="00DB062A">
        <w:rPr>
          <w:sz w:val="24"/>
          <w:szCs w:val="24"/>
        </w:rPr>
        <w:t xml:space="preserve">Der er indberettet tilfælde efter markedsføring af serotoninsyndrom (herunder ændret mental status, autonom ustabilitet og neuromuskulære abnormiteter) efter samtidig brug af ondansetron og andre serotonergiske lægemidler (herunder SSRI'er og SNRI'er). (se punkt 4.4) </w:t>
      </w:r>
    </w:p>
    <w:p w14:paraId="5C3FD135" w14:textId="77777777" w:rsidR="00DB062A" w:rsidRPr="00DB062A" w:rsidRDefault="00DB062A" w:rsidP="00DB062A">
      <w:pPr>
        <w:tabs>
          <w:tab w:val="left" w:pos="851"/>
        </w:tabs>
        <w:ind w:left="851"/>
        <w:rPr>
          <w:sz w:val="24"/>
          <w:szCs w:val="24"/>
        </w:rPr>
      </w:pPr>
    </w:p>
    <w:p w14:paraId="748DDC93" w14:textId="77777777" w:rsidR="00DB062A" w:rsidRDefault="00DB062A" w:rsidP="00DB062A">
      <w:pPr>
        <w:tabs>
          <w:tab w:val="left" w:pos="851"/>
        </w:tabs>
        <w:ind w:left="851"/>
        <w:rPr>
          <w:sz w:val="24"/>
          <w:szCs w:val="24"/>
        </w:rPr>
      </w:pPr>
      <w:r w:rsidRPr="00DB062A">
        <w:rPr>
          <w:i/>
          <w:iCs/>
          <w:sz w:val="24"/>
          <w:szCs w:val="24"/>
        </w:rPr>
        <w:t>Apomorphin</w:t>
      </w:r>
    </w:p>
    <w:p w14:paraId="1749C62F" w14:textId="70CC9C1C" w:rsidR="00DB062A" w:rsidRPr="00DB062A" w:rsidRDefault="00DB062A" w:rsidP="00DB062A">
      <w:pPr>
        <w:tabs>
          <w:tab w:val="left" w:pos="851"/>
        </w:tabs>
        <w:ind w:left="851"/>
        <w:rPr>
          <w:sz w:val="24"/>
          <w:szCs w:val="24"/>
        </w:rPr>
      </w:pPr>
      <w:r w:rsidRPr="00DB062A">
        <w:rPr>
          <w:sz w:val="24"/>
          <w:szCs w:val="24"/>
        </w:rPr>
        <w:t xml:space="preserve">Baseret på rapporter om alvorlig hypotension og bevidsthedstab, når ondansetron blev administreret sammen med apomorphinhydrochlorid, er samtidig brug med apomorphin kontraindiceret. </w:t>
      </w:r>
    </w:p>
    <w:p w14:paraId="0444AA15" w14:textId="77777777" w:rsidR="00DB062A" w:rsidRPr="00DB062A" w:rsidRDefault="00DB062A" w:rsidP="00DB062A">
      <w:pPr>
        <w:tabs>
          <w:tab w:val="left" w:pos="851"/>
        </w:tabs>
        <w:ind w:left="851"/>
        <w:rPr>
          <w:sz w:val="24"/>
          <w:szCs w:val="24"/>
        </w:rPr>
      </w:pPr>
    </w:p>
    <w:p w14:paraId="2B1E0FD0" w14:textId="77777777" w:rsidR="00DB062A" w:rsidRPr="00DB062A" w:rsidRDefault="00DB062A" w:rsidP="00DB062A">
      <w:pPr>
        <w:tabs>
          <w:tab w:val="left" w:pos="851"/>
        </w:tabs>
        <w:ind w:left="851"/>
        <w:rPr>
          <w:i/>
          <w:sz w:val="24"/>
          <w:szCs w:val="24"/>
        </w:rPr>
      </w:pPr>
      <w:r w:rsidRPr="00DB062A">
        <w:rPr>
          <w:i/>
          <w:sz w:val="24"/>
          <w:szCs w:val="24"/>
        </w:rPr>
        <w:t>Phenytoin, carbamazepin og rifampicin</w:t>
      </w:r>
    </w:p>
    <w:p w14:paraId="593D9329" w14:textId="5AEF585F" w:rsidR="00DB062A" w:rsidRPr="00DB062A" w:rsidRDefault="00DB062A" w:rsidP="00DB062A">
      <w:pPr>
        <w:tabs>
          <w:tab w:val="left" w:pos="851"/>
        </w:tabs>
        <w:ind w:left="851"/>
        <w:rPr>
          <w:sz w:val="24"/>
          <w:szCs w:val="24"/>
        </w:rPr>
      </w:pPr>
      <w:r w:rsidRPr="00DB062A">
        <w:rPr>
          <w:sz w:val="24"/>
          <w:szCs w:val="24"/>
        </w:rPr>
        <w:t>Hos patienter behandlet med potente induktorer af CYP3A4 (dvs. fenytoin, carbamazepin og rifampicin) var den orale clearance af ondansetron forøget, og ondansetronkoncentrationerne i blodet nedsat.</w:t>
      </w:r>
    </w:p>
    <w:p w14:paraId="2A437A31" w14:textId="77777777" w:rsidR="00DB062A" w:rsidRPr="00DB062A" w:rsidRDefault="00DB062A" w:rsidP="00DB062A">
      <w:pPr>
        <w:tabs>
          <w:tab w:val="left" w:pos="851"/>
        </w:tabs>
        <w:ind w:left="851"/>
        <w:rPr>
          <w:sz w:val="24"/>
          <w:szCs w:val="24"/>
        </w:rPr>
      </w:pPr>
    </w:p>
    <w:p w14:paraId="16CACBF9" w14:textId="77777777" w:rsidR="00DB062A" w:rsidRDefault="00DB062A" w:rsidP="00DB062A">
      <w:pPr>
        <w:tabs>
          <w:tab w:val="left" w:pos="851"/>
        </w:tabs>
        <w:ind w:left="851"/>
        <w:rPr>
          <w:sz w:val="24"/>
          <w:szCs w:val="24"/>
        </w:rPr>
      </w:pPr>
      <w:r w:rsidRPr="00DB062A">
        <w:rPr>
          <w:i/>
          <w:iCs/>
          <w:sz w:val="24"/>
          <w:szCs w:val="24"/>
        </w:rPr>
        <w:t>Tramadol</w:t>
      </w:r>
    </w:p>
    <w:p w14:paraId="79B36BA9" w14:textId="6C9B2441" w:rsidR="00DB062A" w:rsidRPr="00DB062A" w:rsidRDefault="00DB062A" w:rsidP="00DB062A">
      <w:pPr>
        <w:tabs>
          <w:tab w:val="left" w:pos="851"/>
        </w:tabs>
        <w:ind w:left="851"/>
        <w:rPr>
          <w:sz w:val="24"/>
          <w:szCs w:val="24"/>
        </w:rPr>
      </w:pPr>
      <w:r w:rsidRPr="00DB062A">
        <w:rPr>
          <w:sz w:val="24"/>
          <w:szCs w:val="24"/>
        </w:rPr>
        <w:t>Data fra mindre forsøg tyder på, at ondansetron kan nedsætte den smertestillende virkning af tramadol.</w:t>
      </w:r>
    </w:p>
    <w:p w14:paraId="733625A2" w14:textId="555F8A06" w:rsidR="00DB062A" w:rsidRDefault="00DB062A">
      <w:pPr>
        <w:rPr>
          <w:sz w:val="24"/>
          <w:szCs w:val="24"/>
        </w:rPr>
      </w:pPr>
      <w:r>
        <w:rPr>
          <w:sz w:val="24"/>
          <w:szCs w:val="24"/>
        </w:rPr>
        <w:br w:type="page"/>
      </w:r>
    </w:p>
    <w:p w14:paraId="4D3EFE31" w14:textId="77777777" w:rsidR="00DB062A" w:rsidRPr="00DB062A" w:rsidRDefault="00DB062A" w:rsidP="00DB062A">
      <w:pPr>
        <w:tabs>
          <w:tab w:val="left" w:pos="851"/>
        </w:tabs>
        <w:ind w:left="851"/>
        <w:rPr>
          <w:sz w:val="24"/>
          <w:szCs w:val="24"/>
        </w:rPr>
      </w:pPr>
    </w:p>
    <w:p w14:paraId="7F26AD4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7453AEE" w14:textId="77777777" w:rsidR="00DB062A" w:rsidRPr="00DB062A" w:rsidRDefault="00DB062A" w:rsidP="00DB062A">
      <w:pPr>
        <w:tabs>
          <w:tab w:val="left" w:pos="851"/>
        </w:tabs>
        <w:ind w:left="851"/>
        <w:rPr>
          <w:i/>
          <w:sz w:val="24"/>
          <w:szCs w:val="24"/>
        </w:rPr>
      </w:pPr>
    </w:p>
    <w:p w14:paraId="05F26DFE" w14:textId="77777777" w:rsidR="00DB062A" w:rsidRPr="00DB062A" w:rsidRDefault="00DB062A" w:rsidP="00DB062A">
      <w:pPr>
        <w:tabs>
          <w:tab w:val="left" w:pos="851"/>
        </w:tabs>
        <w:ind w:left="851"/>
        <w:rPr>
          <w:sz w:val="24"/>
          <w:szCs w:val="24"/>
          <w:u w:val="single"/>
        </w:rPr>
      </w:pPr>
      <w:r w:rsidRPr="00DB062A">
        <w:rPr>
          <w:sz w:val="24"/>
          <w:szCs w:val="24"/>
          <w:u w:val="single"/>
        </w:rPr>
        <w:t xml:space="preserve">Fertile kvinder </w:t>
      </w:r>
    </w:p>
    <w:p w14:paraId="40725F39" w14:textId="77777777" w:rsidR="00DB062A" w:rsidRPr="00DB062A" w:rsidRDefault="00DB062A" w:rsidP="00DB062A">
      <w:pPr>
        <w:tabs>
          <w:tab w:val="left" w:pos="851"/>
        </w:tabs>
        <w:ind w:left="851"/>
        <w:rPr>
          <w:sz w:val="24"/>
          <w:szCs w:val="24"/>
        </w:rPr>
      </w:pPr>
      <w:r w:rsidRPr="00DB062A">
        <w:rPr>
          <w:sz w:val="24"/>
          <w:szCs w:val="24"/>
        </w:rPr>
        <w:t>Fertile kvinder bør overveje at bruge prævention.</w:t>
      </w:r>
    </w:p>
    <w:p w14:paraId="7EBBDF27" w14:textId="77777777" w:rsidR="00DB062A" w:rsidRPr="00DB062A" w:rsidRDefault="00DB062A" w:rsidP="00DB062A">
      <w:pPr>
        <w:tabs>
          <w:tab w:val="left" w:pos="851"/>
        </w:tabs>
        <w:ind w:left="851"/>
        <w:rPr>
          <w:sz w:val="24"/>
          <w:szCs w:val="24"/>
        </w:rPr>
      </w:pPr>
    </w:p>
    <w:p w14:paraId="086CC605" w14:textId="77777777" w:rsidR="00DB062A" w:rsidRPr="00DB062A" w:rsidRDefault="00DB062A" w:rsidP="00DB062A">
      <w:pPr>
        <w:tabs>
          <w:tab w:val="left" w:pos="851"/>
        </w:tabs>
        <w:ind w:left="851"/>
        <w:rPr>
          <w:sz w:val="24"/>
          <w:szCs w:val="24"/>
          <w:u w:val="single"/>
        </w:rPr>
      </w:pPr>
      <w:r w:rsidRPr="00DB062A">
        <w:rPr>
          <w:sz w:val="24"/>
          <w:szCs w:val="24"/>
          <w:u w:val="single"/>
        </w:rPr>
        <w:t>Graviditet</w:t>
      </w:r>
    </w:p>
    <w:p w14:paraId="4FF56231" w14:textId="77777777" w:rsidR="00DB062A" w:rsidRPr="00DB062A" w:rsidRDefault="00DB062A" w:rsidP="00DB062A">
      <w:pPr>
        <w:tabs>
          <w:tab w:val="left" w:pos="851"/>
        </w:tabs>
        <w:ind w:left="851"/>
        <w:rPr>
          <w:sz w:val="24"/>
          <w:szCs w:val="24"/>
        </w:rPr>
      </w:pPr>
      <w:r w:rsidRPr="00DB062A">
        <w:rPr>
          <w:sz w:val="24"/>
          <w:szCs w:val="24"/>
        </w:rPr>
        <w:t xml:space="preserve">Baseret på erfaringer fra epidemiologiske studier hos kvinder er ondansetron mistænkt for at forårsage orofaciale misdannelser, når det administreres i første trimester af graviditeten. </w:t>
      </w:r>
    </w:p>
    <w:p w14:paraId="13C4CA5E" w14:textId="77777777" w:rsidR="00DB062A" w:rsidRPr="00DB062A" w:rsidRDefault="00DB062A" w:rsidP="00DB062A">
      <w:pPr>
        <w:tabs>
          <w:tab w:val="left" w:pos="851"/>
        </w:tabs>
        <w:ind w:left="851"/>
        <w:rPr>
          <w:sz w:val="24"/>
          <w:szCs w:val="24"/>
        </w:rPr>
      </w:pPr>
    </w:p>
    <w:p w14:paraId="7F944672" w14:textId="77777777" w:rsidR="00DB062A" w:rsidRPr="00DB062A" w:rsidRDefault="00DB062A" w:rsidP="00DB062A">
      <w:pPr>
        <w:tabs>
          <w:tab w:val="left" w:pos="851"/>
        </w:tabs>
        <w:ind w:left="851"/>
        <w:rPr>
          <w:sz w:val="24"/>
          <w:szCs w:val="24"/>
        </w:rPr>
      </w:pPr>
      <w:r w:rsidRPr="00DB062A">
        <w:rPr>
          <w:sz w:val="24"/>
          <w:szCs w:val="24"/>
        </w:rPr>
        <w:t xml:space="preserve">I et kohorteforsøg omfattende 1,8 millioner graviditeter var anvendelse af ondansetron i første trimester forbundet med en øget risiko for mundspalte (3 ekstra tilfælde pr. 10.000 behandlede kvinder; justeret relativ risiko 1,24 (95 % CI 1,03-1,48)). </w:t>
      </w:r>
    </w:p>
    <w:p w14:paraId="765F7C7F" w14:textId="77777777" w:rsidR="00DB062A" w:rsidRPr="00DB062A" w:rsidRDefault="00DB062A" w:rsidP="00DB062A">
      <w:pPr>
        <w:tabs>
          <w:tab w:val="left" w:pos="851"/>
        </w:tabs>
        <w:ind w:left="851"/>
        <w:rPr>
          <w:sz w:val="24"/>
          <w:szCs w:val="24"/>
        </w:rPr>
      </w:pPr>
    </w:p>
    <w:p w14:paraId="4838025B" w14:textId="77777777" w:rsidR="00DB062A" w:rsidRPr="00DB062A" w:rsidRDefault="00DB062A" w:rsidP="00DB062A">
      <w:pPr>
        <w:tabs>
          <w:tab w:val="left" w:pos="851"/>
        </w:tabs>
        <w:ind w:left="851"/>
        <w:rPr>
          <w:sz w:val="24"/>
          <w:szCs w:val="24"/>
        </w:rPr>
      </w:pPr>
      <w:r w:rsidRPr="00DB062A">
        <w:rPr>
          <w:sz w:val="24"/>
          <w:szCs w:val="24"/>
        </w:rPr>
        <w:t xml:space="preserve">De tilgængelige epidemiologiske studier af hjertefejl viser modstridende resultater. </w:t>
      </w:r>
    </w:p>
    <w:p w14:paraId="27BF3E64" w14:textId="77777777" w:rsidR="00DB062A" w:rsidRPr="00DB062A" w:rsidRDefault="00DB062A" w:rsidP="00DB062A">
      <w:pPr>
        <w:tabs>
          <w:tab w:val="left" w:pos="851"/>
        </w:tabs>
        <w:ind w:left="851"/>
        <w:rPr>
          <w:sz w:val="24"/>
          <w:szCs w:val="24"/>
        </w:rPr>
      </w:pPr>
      <w:r w:rsidRPr="00DB062A">
        <w:rPr>
          <w:sz w:val="24"/>
          <w:szCs w:val="24"/>
        </w:rPr>
        <w:t>Dyreforsøg har ikke vist direkte eller indirekte skadelige virkninger med hensyn til reproduktionstoksicitet. Ondansetron bør ikke anvendes i første trimester af graviditeten.</w:t>
      </w:r>
    </w:p>
    <w:p w14:paraId="6EC95A4B" w14:textId="77777777" w:rsidR="00DB062A" w:rsidRPr="00DB062A" w:rsidRDefault="00DB062A" w:rsidP="00DB062A">
      <w:pPr>
        <w:tabs>
          <w:tab w:val="left" w:pos="851"/>
        </w:tabs>
        <w:ind w:left="851"/>
        <w:rPr>
          <w:sz w:val="24"/>
          <w:szCs w:val="24"/>
        </w:rPr>
      </w:pPr>
    </w:p>
    <w:p w14:paraId="3D99D287" w14:textId="77777777" w:rsidR="00DB062A" w:rsidRPr="00DB062A" w:rsidRDefault="00DB062A" w:rsidP="00DB062A">
      <w:pPr>
        <w:tabs>
          <w:tab w:val="left" w:pos="851"/>
        </w:tabs>
        <w:ind w:left="851"/>
        <w:rPr>
          <w:sz w:val="24"/>
          <w:szCs w:val="24"/>
          <w:u w:val="single"/>
        </w:rPr>
      </w:pPr>
      <w:r w:rsidRPr="00DB062A">
        <w:rPr>
          <w:sz w:val="24"/>
          <w:szCs w:val="24"/>
          <w:u w:val="single"/>
        </w:rPr>
        <w:t>Graviditetstest</w:t>
      </w:r>
    </w:p>
    <w:p w14:paraId="512E5271" w14:textId="0C5C1F02" w:rsidR="00DB062A" w:rsidRPr="00DB062A" w:rsidRDefault="00DB062A" w:rsidP="00DB062A">
      <w:pPr>
        <w:tabs>
          <w:tab w:val="left" w:pos="851"/>
        </w:tabs>
        <w:ind w:left="851"/>
        <w:rPr>
          <w:sz w:val="24"/>
          <w:szCs w:val="24"/>
        </w:rPr>
      </w:pPr>
      <w:r w:rsidRPr="00DB062A">
        <w:rPr>
          <w:sz w:val="24"/>
          <w:szCs w:val="24"/>
        </w:rPr>
        <w:t>Der bør foretages graviditetstest hos fertile kvinder, inden behandlingen med ondansetron påbegyndes.</w:t>
      </w:r>
    </w:p>
    <w:p w14:paraId="791DAB3D" w14:textId="77777777" w:rsidR="00DB062A" w:rsidRPr="00DB062A" w:rsidRDefault="00DB062A" w:rsidP="00DB062A">
      <w:pPr>
        <w:tabs>
          <w:tab w:val="left" w:pos="851"/>
        </w:tabs>
        <w:ind w:left="851"/>
        <w:rPr>
          <w:sz w:val="24"/>
          <w:szCs w:val="24"/>
        </w:rPr>
      </w:pPr>
    </w:p>
    <w:p w14:paraId="023F3C79" w14:textId="77777777" w:rsidR="00DB062A" w:rsidRPr="00DB062A" w:rsidRDefault="00DB062A" w:rsidP="00DB062A">
      <w:pPr>
        <w:tabs>
          <w:tab w:val="left" w:pos="851"/>
        </w:tabs>
        <w:ind w:left="851"/>
        <w:rPr>
          <w:sz w:val="24"/>
          <w:szCs w:val="24"/>
          <w:u w:val="single"/>
        </w:rPr>
      </w:pPr>
      <w:r w:rsidRPr="00DB062A">
        <w:rPr>
          <w:sz w:val="24"/>
          <w:szCs w:val="24"/>
          <w:u w:val="single"/>
        </w:rPr>
        <w:t>Amning</w:t>
      </w:r>
    </w:p>
    <w:p w14:paraId="4EFFA46E" w14:textId="77777777" w:rsidR="00DB062A" w:rsidRPr="00DB062A" w:rsidRDefault="00DB062A" w:rsidP="00DB062A">
      <w:pPr>
        <w:tabs>
          <w:tab w:val="left" w:pos="851"/>
        </w:tabs>
        <w:ind w:left="851"/>
        <w:rPr>
          <w:sz w:val="24"/>
          <w:szCs w:val="24"/>
        </w:rPr>
      </w:pPr>
      <w:r w:rsidRPr="00DB062A">
        <w:rPr>
          <w:sz w:val="24"/>
          <w:szCs w:val="24"/>
        </w:rPr>
        <w:t>Der foreligger ikke tilstrækkelige oplysninger om udskillelsen af ondansetron/metabolitter i modermælk eller om ondansetrons virkning på mælkeproduktionen. Tilgængelige farmakodynamiske/toksikologiske data fra dyr har vist udskillelse af ondansetron/metabolitter i modermælk (se pkt. 5.3). Der kan ikke udelukkes en risiko for nyfødte/spædbørn. Ondansetron bør ikke gives, hvis en kvinde ammer.</w:t>
      </w:r>
    </w:p>
    <w:p w14:paraId="4053EBD3" w14:textId="77777777" w:rsidR="00DB062A" w:rsidRPr="00DB062A" w:rsidRDefault="00DB062A" w:rsidP="00DB062A">
      <w:pPr>
        <w:tabs>
          <w:tab w:val="left" w:pos="851"/>
        </w:tabs>
        <w:ind w:left="851"/>
        <w:rPr>
          <w:sz w:val="24"/>
          <w:szCs w:val="24"/>
        </w:rPr>
      </w:pPr>
    </w:p>
    <w:p w14:paraId="6E8AE2A7" w14:textId="77777777" w:rsidR="00DB062A" w:rsidRPr="00DB062A" w:rsidRDefault="00DB062A" w:rsidP="00DB062A">
      <w:pPr>
        <w:tabs>
          <w:tab w:val="left" w:pos="851"/>
        </w:tabs>
        <w:ind w:left="851"/>
        <w:rPr>
          <w:sz w:val="24"/>
          <w:szCs w:val="24"/>
          <w:u w:val="single"/>
        </w:rPr>
      </w:pPr>
      <w:r w:rsidRPr="00DB062A">
        <w:rPr>
          <w:sz w:val="24"/>
          <w:szCs w:val="24"/>
          <w:u w:val="single"/>
        </w:rPr>
        <w:t>Fertilitet</w:t>
      </w:r>
    </w:p>
    <w:p w14:paraId="61261B2D" w14:textId="77777777" w:rsidR="00DB062A" w:rsidRPr="00DB062A" w:rsidRDefault="00DB062A" w:rsidP="00DB062A">
      <w:pPr>
        <w:tabs>
          <w:tab w:val="left" w:pos="851"/>
        </w:tabs>
        <w:ind w:left="851"/>
        <w:rPr>
          <w:sz w:val="24"/>
          <w:szCs w:val="24"/>
        </w:rPr>
      </w:pPr>
      <w:r w:rsidRPr="00DB062A">
        <w:rPr>
          <w:sz w:val="24"/>
          <w:szCs w:val="24"/>
        </w:rPr>
        <w:t>Der er ingen data om virkningerne af ondansetron på fertiliteten hos mennesker.</w:t>
      </w:r>
    </w:p>
    <w:p w14:paraId="1B26AA9D" w14:textId="77777777" w:rsidR="009260DE" w:rsidRPr="00C84483" w:rsidRDefault="009260DE" w:rsidP="009260DE">
      <w:pPr>
        <w:tabs>
          <w:tab w:val="left" w:pos="851"/>
        </w:tabs>
        <w:ind w:left="851"/>
        <w:rPr>
          <w:sz w:val="24"/>
          <w:szCs w:val="24"/>
        </w:rPr>
      </w:pPr>
    </w:p>
    <w:p w14:paraId="356C03C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2C34747" w14:textId="77777777" w:rsidR="002F74F6" w:rsidRPr="002F74F6" w:rsidRDefault="002F74F6" w:rsidP="002F74F6">
      <w:pPr>
        <w:tabs>
          <w:tab w:val="left" w:pos="851"/>
        </w:tabs>
        <w:ind w:left="851"/>
        <w:rPr>
          <w:sz w:val="24"/>
          <w:szCs w:val="24"/>
        </w:rPr>
      </w:pPr>
      <w:r w:rsidRPr="002F74F6">
        <w:rPr>
          <w:sz w:val="24"/>
          <w:szCs w:val="24"/>
        </w:rPr>
        <w:t>Ikke mærkning.</w:t>
      </w:r>
    </w:p>
    <w:p w14:paraId="28924124" w14:textId="77777777" w:rsidR="002F74F6" w:rsidRPr="002F74F6" w:rsidRDefault="002F74F6" w:rsidP="002F74F6">
      <w:pPr>
        <w:tabs>
          <w:tab w:val="left" w:pos="851"/>
        </w:tabs>
        <w:ind w:left="851"/>
        <w:rPr>
          <w:sz w:val="24"/>
          <w:szCs w:val="24"/>
        </w:rPr>
      </w:pPr>
      <w:r w:rsidRPr="002F74F6">
        <w:rPr>
          <w:sz w:val="24"/>
          <w:szCs w:val="24"/>
        </w:rPr>
        <w:t>Ondansetron påvirker ikke eller kun i ubetydelig grad evnen til at føre motorkøretøj og betjene maskiner.</w:t>
      </w:r>
    </w:p>
    <w:p w14:paraId="0DD9CD76" w14:textId="77777777" w:rsidR="002F74F6" w:rsidRPr="002F74F6" w:rsidRDefault="002F74F6" w:rsidP="002F74F6">
      <w:pPr>
        <w:tabs>
          <w:tab w:val="left" w:pos="851"/>
        </w:tabs>
        <w:ind w:left="851"/>
        <w:rPr>
          <w:sz w:val="24"/>
          <w:szCs w:val="24"/>
        </w:rPr>
      </w:pPr>
      <w:r w:rsidRPr="002F74F6">
        <w:rPr>
          <w:sz w:val="24"/>
          <w:szCs w:val="24"/>
        </w:rPr>
        <w:t>I psykomotoriske tests forringer ondansetron ikke præstationen og forårsager ikke sedation.</w:t>
      </w:r>
    </w:p>
    <w:p w14:paraId="77ABD100" w14:textId="77777777" w:rsidR="002F74F6" w:rsidRPr="002F74F6" w:rsidRDefault="002F74F6" w:rsidP="002F74F6">
      <w:pPr>
        <w:tabs>
          <w:tab w:val="left" w:pos="851"/>
        </w:tabs>
        <w:ind w:left="851"/>
        <w:rPr>
          <w:sz w:val="24"/>
          <w:szCs w:val="24"/>
        </w:rPr>
      </w:pPr>
      <w:r w:rsidRPr="002F74F6">
        <w:rPr>
          <w:sz w:val="24"/>
          <w:szCs w:val="24"/>
        </w:rPr>
        <w:t>Der forventes ingen skadelige virkninger på sådanne aktiviteter ud fra ondansetrons farmakologi.</w:t>
      </w:r>
    </w:p>
    <w:p w14:paraId="3E75A620" w14:textId="77777777" w:rsidR="009260DE" w:rsidRPr="00C84483" w:rsidRDefault="009260DE" w:rsidP="009260DE">
      <w:pPr>
        <w:tabs>
          <w:tab w:val="left" w:pos="851"/>
        </w:tabs>
        <w:ind w:left="851"/>
        <w:rPr>
          <w:sz w:val="24"/>
          <w:szCs w:val="24"/>
        </w:rPr>
      </w:pPr>
    </w:p>
    <w:p w14:paraId="4272E5D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98516C6" w14:textId="77777777" w:rsidR="004679B5" w:rsidRPr="004679B5" w:rsidRDefault="004679B5" w:rsidP="004679B5">
      <w:pPr>
        <w:ind w:left="851"/>
        <w:rPr>
          <w:noProof/>
          <w:sz w:val="24"/>
          <w:szCs w:val="24"/>
        </w:rPr>
      </w:pPr>
      <w:r w:rsidRPr="004679B5">
        <w:rPr>
          <w:noProof/>
          <w:sz w:val="24"/>
          <w:szCs w:val="24"/>
        </w:rPr>
        <w:t xml:space="preserve">Bivirkninger er angivet nedenfor efter organsystem og hyppighed. </w:t>
      </w:r>
    </w:p>
    <w:p w14:paraId="31C787D1" w14:textId="77777777" w:rsidR="004679B5" w:rsidRPr="004679B5" w:rsidRDefault="004679B5" w:rsidP="004679B5">
      <w:pPr>
        <w:ind w:left="851"/>
        <w:rPr>
          <w:noProof/>
          <w:sz w:val="24"/>
          <w:szCs w:val="24"/>
        </w:rPr>
      </w:pPr>
      <w:r w:rsidRPr="004679B5">
        <w:rPr>
          <w:noProof/>
          <w:sz w:val="24"/>
          <w:szCs w:val="24"/>
        </w:rPr>
        <w:t>Hyppighed er defineret således: Meget almindelig (≥1/10); almindelig (≥1/100 til &lt;1/10); ikke almindelig (≥1/1 000 til &lt;1/100); sjælden: (≥1/10 000 til &lt;1/1 000); meget sjælden: (&lt;1/10 000); ikke kendt (kan ikke estimeres ud fra forhåndenværende data).</w:t>
      </w:r>
    </w:p>
    <w:p w14:paraId="4EB22741" w14:textId="77777777" w:rsidR="004679B5" w:rsidRPr="004679B5" w:rsidRDefault="004679B5" w:rsidP="004679B5">
      <w:pPr>
        <w:ind w:left="851"/>
        <w:rPr>
          <w:noProof/>
          <w:sz w:val="24"/>
          <w:szCs w:val="24"/>
        </w:rPr>
      </w:pPr>
    </w:p>
    <w:p w14:paraId="2398C9A6" w14:textId="77777777" w:rsidR="004679B5" w:rsidRPr="004679B5" w:rsidRDefault="004679B5" w:rsidP="004679B5">
      <w:pPr>
        <w:ind w:left="851"/>
        <w:rPr>
          <w:noProof/>
          <w:sz w:val="24"/>
          <w:szCs w:val="24"/>
        </w:rPr>
      </w:pPr>
      <w:r w:rsidRPr="004679B5">
        <w:rPr>
          <w:noProof/>
          <w:sz w:val="24"/>
          <w:szCs w:val="24"/>
        </w:rPr>
        <w:t xml:space="preserve">Meget almindelige, almindelige og sjældne hændelser er generelt blevet fastlagt på baggrund af data fra kliniske forsøg. Forekomsten i placebogruppen er også taget i betragtning. Sjældne og meget sjældne hændelser er generelt fastslået på baggrund af spontane data indsamlet efter markedsføring. </w:t>
      </w:r>
    </w:p>
    <w:p w14:paraId="377CA166" w14:textId="77777777" w:rsidR="004679B5" w:rsidRPr="004679B5" w:rsidRDefault="004679B5" w:rsidP="004679B5">
      <w:pPr>
        <w:ind w:left="851"/>
        <w:rPr>
          <w:noProof/>
          <w:sz w:val="24"/>
          <w:szCs w:val="24"/>
        </w:rPr>
      </w:pPr>
    </w:p>
    <w:p w14:paraId="43489375" w14:textId="77777777" w:rsidR="004679B5" w:rsidRPr="004679B5" w:rsidRDefault="004679B5" w:rsidP="004679B5">
      <w:pPr>
        <w:ind w:left="851"/>
        <w:rPr>
          <w:noProof/>
          <w:sz w:val="24"/>
          <w:szCs w:val="24"/>
        </w:rPr>
      </w:pPr>
      <w:r w:rsidRPr="004679B5">
        <w:rPr>
          <w:noProof/>
          <w:sz w:val="24"/>
          <w:szCs w:val="24"/>
        </w:rPr>
        <w:t>Følgende hyppigheder er estimeret ved standard anbefalede doser af ondansetron. Bivirkningerne hos børn og unge var sammenlignelige med dem, der ses hos voksne.</w:t>
      </w:r>
    </w:p>
    <w:p w14:paraId="524DBB55" w14:textId="77777777" w:rsidR="004679B5" w:rsidRDefault="004679B5" w:rsidP="004679B5">
      <w:pPr>
        <w:rPr>
          <w:noProof/>
          <w:szCs w:val="22"/>
        </w:rPr>
      </w:pPr>
    </w:p>
    <w:tbl>
      <w:tblPr>
        <w:tblW w:w="90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7335"/>
      </w:tblGrid>
      <w:tr w:rsidR="004679B5" w14:paraId="45C6416A"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0B187ED4" w14:textId="77777777" w:rsidR="004679B5" w:rsidRDefault="004679B5">
            <w:pPr>
              <w:adjustRightInd w:val="0"/>
              <w:rPr>
                <w:b/>
                <w:color w:val="000000"/>
                <w:szCs w:val="22"/>
              </w:rPr>
            </w:pPr>
            <w:bookmarkStart w:id="1" w:name="_Hlk152771173"/>
            <w:r>
              <w:rPr>
                <w:b/>
                <w:color w:val="000000"/>
                <w:szCs w:val="22"/>
                <w:lang w:bidi="da-DK"/>
              </w:rPr>
              <w:t>Immunsystemet</w:t>
            </w:r>
          </w:p>
        </w:tc>
      </w:tr>
      <w:tr w:rsidR="004679B5" w14:paraId="7E591BF7"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61C85466" w14:textId="77777777" w:rsidR="004679B5" w:rsidRDefault="004679B5">
            <w:pPr>
              <w:tabs>
                <w:tab w:val="left" w:pos="2160"/>
              </w:tabs>
              <w:rPr>
                <w:b/>
                <w:color w:val="000000"/>
                <w:szCs w:val="22"/>
              </w:rPr>
            </w:pPr>
            <w:r>
              <w:rPr>
                <w:color w:val="000000"/>
                <w:szCs w:val="22"/>
                <w:lang w:bidi="da-DK"/>
              </w:rPr>
              <w:t xml:space="preserve">Sjælden </w:t>
            </w:r>
          </w:p>
        </w:tc>
        <w:tc>
          <w:tcPr>
            <w:tcW w:w="7335" w:type="dxa"/>
            <w:tcBorders>
              <w:top w:val="single" w:sz="4" w:space="0" w:color="auto"/>
              <w:left w:val="single" w:sz="4" w:space="0" w:color="auto"/>
              <w:bottom w:val="single" w:sz="4" w:space="0" w:color="auto"/>
              <w:right w:val="single" w:sz="4" w:space="0" w:color="auto"/>
            </w:tcBorders>
            <w:hideMark/>
          </w:tcPr>
          <w:p w14:paraId="5D5AC58A" w14:textId="77777777" w:rsidR="004679B5" w:rsidRDefault="004679B5">
            <w:pPr>
              <w:tabs>
                <w:tab w:val="left" w:pos="2160"/>
              </w:tabs>
              <w:rPr>
                <w:color w:val="000000"/>
                <w:szCs w:val="22"/>
              </w:rPr>
            </w:pPr>
            <w:r>
              <w:rPr>
                <w:color w:val="000000"/>
                <w:szCs w:val="22"/>
                <w:lang w:bidi="da-DK"/>
              </w:rPr>
              <w:t xml:space="preserve">Umiddelbare overfølsomhedsreaktioner, undertiden alvorlige, herunder anafylaksi. </w:t>
            </w:r>
          </w:p>
        </w:tc>
      </w:tr>
      <w:tr w:rsidR="004679B5" w14:paraId="0B008928"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3B92D4F5" w14:textId="77777777" w:rsidR="004679B5" w:rsidRDefault="004679B5">
            <w:pPr>
              <w:adjustRightInd w:val="0"/>
              <w:rPr>
                <w:b/>
                <w:color w:val="000000"/>
                <w:szCs w:val="22"/>
              </w:rPr>
            </w:pPr>
            <w:r>
              <w:rPr>
                <w:b/>
                <w:color w:val="000000"/>
                <w:szCs w:val="22"/>
                <w:lang w:bidi="da-DK"/>
              </w:rPr>
              <w:t>Nervesystemet</w:t>
            </w:r>
          </w:p>
        </w:tc>
      </w:tr>
      <w:tr w:rsidR="004679B5" w14:paraId="4D000430"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2E9A8851" w14:textId="77777777" w:rsidR="004679B5" w:rsidRDefault="004679B5">
            <w:pPr>
              <w:rPr>
                <w:color w:val="000000"/>
                <w:szCs w:val="22"/>
              </w:rPr>
            </w:pPr>
            <w:r>
              <w:rPr>
                <w:color w:val="000000"/>
                <w:szCs w:val="22"/>
                <w:lang w:bidi="da-DK"/>
              </w:rPr>
              <w:t xml:space="preserve">Meget almindelig </w:t>
            </w:r>
          </w:p>
        </w:tc>
        <w:tc>
          <w:tcPr>
            <w:tcW w:w="7335" w:type="dxa"/>
            <w:tcBorders>
              <w:top w:val="single" w:sz="4" w:space="0" w:color="auto"/>
              <w:left w:val="single" w:sz="4" w:space="0" w:color="auto"/>
              <w:bottom w:val="single" w:sz="4" w:space="0" w:color="auto"/>
              <w:right w:val="single" w:sz="4" w:space="0" w:color="auto"/>
            </w:tcBorders>
            <w:hideMark/>
          </w:tcPr>
          <w:p w14:paraId="796C5B85" w14:textId="77777777" w:rsidR="004679B5" w:rsidRDefault="004679B5">
            <w:pPr>
              <w:adjustRightInd w:val="0"/>
              <w:rPr>
                <w:b/>
                <w:color w:val="000000"/>
                <w:szCs w:val="22"/>
              </w:rPr>
            </w:pPr>
            <w:r>
              <w:rPr>
                <w:color w:val="000000"/>
                <w:szCs w:val="22"/>
                <w:lang w:bidi="da-DK"/>
              </w:rPr>
              <w:t>Hovedpine</w:t>
            </w:r>
          </w:p>
        </w:tc>
      </w:tr>
      <w:tr w:rsidR="004679B5" w14:paraId="355DAB1F" w14:textId="77777777" w:rsidTr="004679B5">
        <w:tc>
          <w:tcPr>
            <w:tcW w:w="1732" w:type="dxa"/>
            <w:tcBorders>
              <w:top w:val="single" w:sz="4" w:space="0" w:color="auto"/>
              <w:left w:val="single" w:sz="4" w:space="0" w:color="auto"/>
              <w:bottom w:val="single" w:sz="4" w:space="0" w:color="auto"/>
              <w:right w:val="single" w:sz="4" w:space="0" w:color="auto"/>
            </w:tcBorders>
          </w:tcPr>
          <w:p w14:paraId="14AD7D7B" w14:textId="77777777" w:rsidR="004679B5" w:rsidRDefault="004679B5">
            <w:pPr>
              <w:tabs>
                <w:tab w:val="left" w:pos="540"/>
              </w:tabs>
              <w:rPr>
                <w:strike/>
                <w:color w:val="000000"/>
                <w:szCs w:val="22"/>
              </w:rPr>
            </w:pPr>
            <w:r>
              <w:rPr>
                <w:color w:val="000000"/>
                <w:szCs w:val="22"/>
                <w:lang w:bidi="da-DK"/>
              </w:rPr>
              <w:t xml:space="preserve">Ikke almindelig </w:t>
            </w:r>
          </w:p>
          <w:p w14:paraId="5EB39B91" w14:textId="77777777" w:rsidR="004679B5" w:rsidRDefault="004679B5">
            <w:pPr>
              <w:adjustRightInd w:val="0"/>
              <w:rPr>
                <w:b/>
                <w:color w:val="000000"/>
                <w:szCs w:val="22"/>
              </w:rPr>
            </w:pPr>
          </w:p>
        </w:tc>
        <w:tc>
          <w:tcPr>
            <w:tcW w:w="7335" w:type="dxa"/>
            <w:tcBorders>
              <w:top w:val="single" w:sz="4" w:space="0" w:color="auto"/>
              <w:left w:val="single" w:sz="4" w:space="0" w:color="auto"/>
              <w:bottom w:val="single" w:sz="4" w:space="0" w:color="auto"/>
              <w:right w:val="single" w:sz="4" w:space="0" w:color="auto"/>
            </w:tcBorders>
            <w:hideMark/>
          </w:tcPr>
          <w:p w14:paraId="2B63F93F" w14:textId="77777777" w:rsidR="004679B5" w:rsidRDefault="004679B5">
            <w:pPr>
              <w:adjustRightInd w:val="0"/>
              <w:rPr>
                <w:b/>
                <w:color w:val="000000"/>
                <w:szCs w:val="22"/>
              </w:rPr>
            </w:pPr>
            <w:r>
              <w:rPr>
                <w:color w:val="000000"/>
                <w:szCs w:val="22"/>
                <w:lang w:bidi="da-DK"/>
              </w:rPr>
              <w:t>Kramper, bevægelsesforstyrrelser (herunder ekstrapyramidale reaktioner såsom dystoniske reaktioner, okulogyriske kriser og dyskinesi)</w:t>
            </w:r>
            <w:r>
              <w:rPr>
                <w:color w:val="000000"/>
                <w:szCs w:val="22"/>
                <w:vertAlign w:val="superscript"/>
                <w:lang w:bidi="da-DK"/>
              </w:rPr>
              <w:t>(1)</w:t>
            </w:r>
            <w:r>
              <w:rPr>
                <w:color w:val="000000"/>
                <w:szCs w:val="22"/>
                <w:lang w:bidi="da-DK"/>
              </w:rPr>
              <w:t>.</w:t>
            </w:r>
          </w:p>
        </w:tc>
      </w:tr>
      <w:tr w:rsidR="004679B5" w14:paraId="521F2279"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657A97CE" w14:textId="77777777" w:rsidR="004679B5" w:rsidRDefault="004679B5">
            <w:pPr>
              <w:tabs>
                <w:tab w:val="left" w:pos="360"/>
              </w:tabs>
              <w:ind w:left="540" w:hanging="540"/>
              <w:rPr>
                <w:color w:val="000000"/>
                <w:szCs w:val="22"/>
              </w:rPr>
            </w:pPr>
            <w:r>
              <w:rPr>
                <w:color w:val="000000"/>
                <w:szCs w:val="22"/>
                <w:lang w:bidi="da-DK"/>
              </w:rPr>
              <w:t xml:space="preserve">Sjælden </w:t>
            </w:r>
          </w:p>
        </w:tc>
        <w:tc>
          <w:tcPr>
            <w:tcW w:w="7335" w:type="dxa"/>
            <w:tcBorders>
              <w:top w:val="single" w:sz="4" w:space="0" w:color="auto"/>
              <w:left w:val="single" w:sz="4" w:space="0" w:color="auto"/>
              <w:bottom w:val="single" w:sz="4" w:space="0" w:color="auto"/>
              <w:right w:val="single" w:sz="4" w:space="0" w:color="auto"/>
            </w:tcBorders>
            <w:hideMark/>
          </w:tcPr>
          <w:p w14:paraId="2B1EA7FB" w14:textId="77777777" w:rsidR="004679B5" w:rsidRDefault="004679B5">
            <w:pPr>
              <w:adjustRightInd w:val="0"/>
              <w:rPr>
                <w:b/>
                <w:color w:val="000000"/>
                <w:szCs w:val="22"/>
              </w:rPr>
            </w:pPr>
            <w:r>
              <w:rPr>
                <w:color w:val="000000"/>
                <w:szCs w:val="22"/>
                <w:lang w:bidi="da-DK"/>
              </w:rPr>
              <w:t>Svimmelhed, hovedsageligt ved hurtig intravenøs administration.</w:t>
            </w:r>
          </w:p>
        </w:tc>
      </w:tr>
      <w:tr w:rsidR="004679B5" w14:paraId="62852CED"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0F7A5114" w14:textId="77777777" w:rsidR="004679B5" w:rsidRDefault="004679B5">
            <w:pPr>
              <w:adjustRightInd w:val="0"/>
              <w:rPr>
                <w:b/>
                <w:color w:val="000000"/>
                <w:szCs w:val="22"/>
              </w:rPr>
            </w:pPr>
            <w:r>
              <w:rPr>
                <w:b/>
                <w:color w:val="000000"/>
                <w:szCs w:val="22"/>
                <w:lang w:bidi="da-DK"/>
              </w:rPr>
              <w:t>Øjne</w:t>
            </w:r>
          </w:p>
        </w:tc>
      </w:tr>
      <w:tr w:rsidR="004679B5" w14:paraId="541CBBC2" w14:textId="77777777" w:rsidTr="004679B5">
        <w:tc>
          <w:tcPr>
            <w:tcW w:w="1732" w:type="dxa"/>
            <w:tcBorders>
              <w:top w:val="single" w:sz="4" w:space="0" w:color="auto"/>
              <w:left w:val="single" w:sz="4" w:space="0" w:color="auto"/>
              <w:bottom w:val="single" w:sz="4" w:space="0" w:color="auto"/>
              <w:right w:val="single" w:sz="4" w:space="0" w:color="auto"/>
            </w:tcBorders>
          </w:tcPr>
          <w:p w14:paraId="2A1976F0" w14:textId="77777777" w:rsidR="004679B5" w:rsidRDefault="004679B5">
            <w:pPr>
              <w:rPr>
                <w:color w:val="000000"/>
                <w:szCs w:val="22"/>
              </w:rPr>
            </w:pPr>
            <w:r>
              <w:rPr>
                <w:color w:val="000000"/>
                <w:szCs w:val="22"/>
                <w:lang w:bidi="da-DK"/>
              </w:rPr>
              <w:t xml:space="preserve">Sjælden </w:t>
            </w:r>
          </w:p>
          <w:p w14:paraId="2DF48BD0" w14:textId="77777777" w:rsidR="004679B5" w:rsidRDefault="004679B5">
            <w:pPr>
              <w:adjustRightInd w:val="0"/>
              <w:rPr>
                <w:b/>
                <w:color w:val="000000"/>
                <w:szCs w:val="22"/>
              </w:rPr>
            </w:pPr>
          </w:p>
        </w:tc>
        <w:tc>
          <w:tcPr>
            <w:tcW w:w="7335" w:type="dxa"/>
            <w:tcBorders>
              <w:top w:val="single" w:sz="4" w:space="0" w:color="auto"/>
              <w:left w:val="single" w:sz="4" w:space="0" w:color="auto"/>
              <w:bottom w:val="single" w:sz="4" w:space="0" w:color="auto"/>
              <w:right w:val="single" w:sz="4" w:space="0" w:color="auto"/>
            </w:tcBorders>
            <w:hideMark/>
          </w:tcPr>
          <w:p w14:paraId="19A46E00" w14:textId="77777777" w:rsidR="004679B5" w:rsidRDefault="004679B5">
            <w:pPr>
              <w:adjustRightInd w:val="0"/>
              <w:rPr>
                <w:b/>
                <w:color w:val="000000"/>
                <w:szCs w:val="22"/>
              </w:rPr>
            </w:pPr>
            <w:r>
              <w:rPr>
                <w:color w:val="000000"/>
                <w:szCs w:val="22"/>
                <w:lang w:bidi="da-DK"/>
              </w:rPr>
              <w:t>Forbigående synsforstyrrelser (f.eks. sløret syn) hovedsageligt under hurtig intravenøs administration.</w:t>
            </w:r>
          </w:p>
        </w:tc>
      </w:tr>
      <w:tr w:rsidR="004679B5" w14:paraId="6B6E4C88"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6D5BDF6F" w14:textId="77777777" w:rsidR="004679B5" w:rsidRDefault="004679B5">
            <w:pPr>
              <w:rPr>
                <w:b/>
                <w:color w:val="000000"/>
                <w:szCs w:val="22"/>
              </w:rPr>
            </w:pPr>
            <w:r>
              <w:rPr>
                <w:color w:val="000000"/>
                <w:szCs w:val="22"/>
                <w:lang w:bidi="da-DK"/>
              </w:rPr>
              <w:t xml:space="preserve">Meget sjælden </w:t>
            </w:r>
          </w:p>
        </w:tc>
        <w:tc>
          <w:tcPr>
            <w:tcW w:w="7335" w:type="dxa"/>
            <w:tcBorders>
              <w:top w:val="single" w:sz="4" w:space="0" w:color="auto"/>
              <w:left w:val="single" w:sz="4" w:space="0" w:color="auto"/>
              <w:bottom w:val="single" w:sz="4" w:space="0" w:color="auto"/>
              <w:right w:val="single" w:sz="4" w:space="0" w:color="auto"/>
            </w:tcBorders>
            <w:hideMark/>
          </w:tcPr>
          <w:p w14:paraId="78979CFB" w14:textId="77777777" w:rsidR="004679B5" w:rsidRDefault="004679B5">
            <w:pPr>
              <w:rPr>
                <w:i/>
                <w:color w:val="000000"/>
                <w:szCs w:val="22"/>
              </w:rPr>
            </w:pPr>
            <w:r>
              <w:rPr>
                <w:color w:val="000000"/>
                <w:szCs w:val="22"/>
                <w:lang w:bidi="da-DK"/>
              </w:rPr>
              <w:t>Forbigående synsforstyrrelser, hovedsageligt under intravenøs administration.</w:t>
            </w:r>
            <w:r>
              <w:rPr>
                <w:color w:val="000000"/>
                <w:szCs w:val="22"/>
                <w:vertAlign w:val="superscript"/>
                <w:lang w:bidi="da-DK"/>
              </w:rPr>
              <w:t xml:space="preserve">(2) </w:t>
            </w:r>
          </w:p>
        </w:tc>
      </w:tr>
      <w:tr w:rsidR="004679B5" w14:paraId="630781F5"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017AE749" w14:textId="77777777" w:rsidR="004679B5" w:rsidRDefault="004679B5">
            <w:pPr>
              <w:rPr>
                <w:b/>
                <w:color w:val="000000"/>
                <w:szCs w:val="22"/>
              </w:rPr>
            </w:pPr>
            <w:r>
              <w:rPr>
                <w:b/>
                <w:color w:val="000000"/>
                <w:szCs w:val="22"/>
                <w:lang w:bidi="da-DK"/>
              </w:rPr>
              <w:t>Hjerte</w:t>
            </w:r>
          </w:p>
        </w:tc>
      </w:tr>
      <w:tr w:rsidR="004679B5" w14:paraId="322B8CF3" w14:textId="77777777" w:rsidTr="004679B5">
        <w:tc>
          <w:tcPr>
            <w:tcW w:w="1732" w:type="dxa"/>
            <w:tcBorders>
              <w:top w:val="single" w:sz="4" w:space="0" w:color="auto"/>
              <w:left w:val="single" w:sz="4" w:space="0" w:color="auto"/>
              <w:bottom w:val="single" w:sz="4" w:space="0" w:color="auto"/>
              <w:right w:val="single" w:sz="4" w:space="0" w:color="auto"/>
            </w:tcBorders>
          </w:tcPr>
          <w:p w14:paraId="321174D0" w14:textId="77777777" w:rsidR="004679B5" w:rsidRDefault="004679B5">
            <w:pPr>
              <w:rPr>
                <w:color w:val="000000"/>
                <w:szCs w:val="22"/>
              </w:rPr>
            </w:pPr>
            <w:r>
              <w:rPr>
                <w:color w:val="000000"/>
                <w:szCs w:val="22"/>
                <w:lang w:bidi="da-DK"/>
              </w:rPr>
              <w:t xml:space="preserve">Ikke almindelig </w:t>
            </w:r>
          </w:p>
          <w:p w14:paraId="62BB2893" w14:textId="77777777" w:rsidR="004679B5" w:rsidRDefault="004679B5">
            <w:pPr>
              <w:adjustRightInd w:val="0"/>
              <w:rPr>
                <w:b/>
                <w:color w:val="000000"/>
                <w:szCs w:val="22"/>
              </w:rPr>
            </w:pPr>
          </w:p>
        </w:tc>
        <w:tc>
          <w:tcPr>
            <w:tcW w:w="7335" w:type="dxa"/>
            <w:tcBorders>
              <w:top w:val="single" w:sz="4" w:space="0" w:color="auto"/>
              <w:left w:val="single" w:sz="4" w:space="0" w:color="auto"/>
              <w:bottom w:val="single" w:sz="4" w:space="0" w:color="auto"/>
              <w:right w:val="single" w:sz="4" w:space="0" w:color="auto"/>
            </w:tcBorders>
            <w:hideMark/>
          </w:tcPr>
          <w:p w14:paraId="41108783" w14:textId="77777777" w:rsidR="004679B5" w:rsidRDefault="004679B5">
            <w:pPr>
              <w:adjustRightInd w:val="0"/>
              <w:rPr>
                <w:b/>
                <w:color w:val="000000"/>
                <w:szCs w:val="22"/>
              </w:rPr>
            </w:pPr>
            <w:r>
              <w:rPr>
                <w:color w:val="000000"/>
                <w:szCs w:val="22"/>
                <w:lang w:bidi="da-DK"/>
              </w:rPr>
              <w:t xml:space="preserve">Arytmier, brystsmerter med eller uden ST-segmentdepression, bradykardi. </w:t>
            </w:r>
          </w:p>
        </w:tc>
      </w:tr>
      <w:tr w:rsidR="004679B5" w14:paraId="65A60D63"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4BCB1062" w14:textId="77777777" w:rsidR="004679B5" w:rsidRDefault="004679B5">
            <w:pPr>
              <w:tabs>
                <w:tab w:val="left" w:pos="540"/>
              </w:tabs>
              <w:rPr>
                <w:color w:val="000000"/>
                <w:szCs w:val="22"/>
              </w:rPr>
            </w:pPr>
            <w:r>
              <w:rPr>
                <w:color w:val="000000"/>
                <w:szCs w:val="22"/>
                <w:lang w:bidi="da-DK"/>
              </w:rPr>
              <w:t>Sjælden</w:t>
            </w:r>
          </w:p>
        </w:tc>
        <w:tc>
          <w:tcPr>
            <w:tcW w:w="7335" w:type="dxa"/>
            <w:tcBorders>
              <w:top w:val="single" w:sz="4" w:space="0" w:color="auto"/>
              <w:left w:val="single" w:sz="4" w:space="0" w:color="auto"/>
              <w:bottom w:val="single" w:sz="4" w:space="0" w:color="auto"/>
              <w:right w:val="single" w:sz="4" w:space="0" w:color="auto"/>
            </w:tcBorders>
            <w:hideMark/>
          </w:tcPr>
          <w:p w14:paraId="48404BBB" w14:textId="77777777" w:rsidR="004679B5" w:rsidRDefault="004679B5">
            <w:pPr>
              <w:tabs>
                <w:tab w:val="left" w:pos="540"/>
              </w:tabs>
              <w:ind w:left="2160" w:hanging="2160"/>
              <w:rPr>
                <w:color w:val="000000"/>
                <w:szCs w:val="22"/>
              </w:rPr>
            </w:pPr>
            <w:r>
              <w:rPr>
                <w:color w:val="000000"/>
                <w:szCs w:val="22"/>
                <w:lang w:bidi="da-DK"/>
              </w:rPr>
              <w:t>QTc-forlængelse (herunder Torsade de Pointes).</w:t>
            </w:r>
          </w:p>
        </w:tc>
      </w:tr>
      <w:tr w:rsidR="004679B5" w14:paraId="427FD66D"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2E5C819B" w14:textId="77777777" w:rsidR="004679B5" w:rsidRDefault="004679B5">
            <w:pPr>
              <w:rPr>
                <w:color w:val="000000"/>
                <w:szCs w:val="22"/>
              </w:rPr>
            </w:pPr>
            <w:r>
              <w:rPr>
                <w:color w:val="000000"/>
                <w:szCs w:val="22"/>
                <w:lang w:bidi="da-DK"/>
              </w:rPr>
              <w:t>Ikke kendt</w:t>
            </w:r>
          </w:p>
        </w:tc>
        <w:tc>
          <w:tcPr>
            <w:tcW w:w="7335" w:type="dxa"/>
            <w:tcBorders>
              <w:top w:val="single" w:sz="4" w:space="0" w:color="auto"/>
              <w:left w:val="single" w:sz="4" w:space="0" w:color="auto"/>
              <w:bottom w:val="single" w:sz="4" w:space="0" w:color="auto"/>
              <w:right w:val="single" w:sz="4" w:space="0" w:color="auto"/>
            </w:tcBorders>
            <w:hideMark/>
          </w:tcPr>
          <w:p w14:paraId="2DE4EDB4" w14:textId="77777777" w:rsidR="004679B5" w:rsidRDefault="004679B5">
            <w:pPr>
              <w:tabs>
                <w:tab w:val="left" w:pos="540"/>
              </w:tabs>
              <w:ind w:left="2160" w:hanging="2160"/>
              <w:rPr>
                <w:color w:val="000000"/>
                <w:szCs w:val="22"/>
              </w:rPr>
            </w:pPr>
            <w:r>
              <w:rPr>
                <w:color w:val="000000"/>
                <w:szCs w:val="22"/>
                <w:lang w:bidi="da-DK"/>
              </w:rPr>
              <w:t>Myokardieiskæmi (se pkt.  4.4)</w:t>
            </w:r>
          </w:p>
        </w:tc>
      </w:tr>
      <w:tr w:rsidR="004679B5" w14:paraId="0AA73805"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3D51EABD" w14:textId="77777777" w:rsidR="004679B5" w:rsidRDefault="004679B5">
            <w:pPr>
              <w:tabs>
                <w:tab w:val="left" w:pos="540"/>
              </w:tabs>
              <w:ind w:left="2160" w:hanging="2160"/>
              <w:rPr>
                <w:b/>
                <w:color w:val="000000"/>
                <w:szCs w:val="22"/>
              </w:rPr>
            </w:pPr>
            <w:r>
              <w:rPr>
                <w:b/>
                <w:color w:val="000000"/>
                <w:szCs w:val="22"/>
                <w:lang w:bidi="da-DK"/>
              </w:rPr>
              <w:t>Vaskulære sygdomme</w:t>
            </w:r>
          </w:p>
        </w:tc>
      </w:tr>
      <w:tr w:rsidR="004679B5" w14:paraId="1E20EDDB"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4C1CC5BF" w14:textId="77777777" w:rsidR="004679B5" w:rsidRDefault="004679B5">
            <w:pPr>
              <w:rPr>
                <w:color w:val="000000"/>
                <w:szCs w:val="22"/>
              </w:rPr>
            </w:pPr>
            <w:r>
              <w:rPr>
                <w:color w:val="000000"/>
                <w:szCs w:val="22"/>
                <w:lang w:bidi="da-DK"/>
              </w:rPr>
              <w:t xml:space="preserve">Almindelig </w:t>
            </w:r>
          </w:p>
        </w:tc>
        <w:tc>
          <w:tcPr>
            <w:tcW w:w="7335" w:type="dxa"/>
            <w:tcBorders>
              <w:top w:val="single" w:sz="4" w:space="0" w:color="auto"/>
              <w:left w:val="single" w:sz="4" w:space="0" w:color="auto"/>
              <w:bottom w:val="single" w:sz="4" w:space="0" w:color="auto"/>
              <w:right w:val="single" w:sz="4" w:space="0" w:color="auto"/>
            </w:tcBorders>
            <w:hideMark/>
          </w:tcPr>
          <w:p w14:paraId="06DB177E" w14:textId="77777777" w:rsidR="004679B5" w:rsidRDefault="004679B5">
            <w:pPr>
              <w:tabs>
                <w:tab w:val="left" w:pos="540"/>
              </w:tabs>
              <w:ind w:left="2160" w:hanging="2160"/>
              <w:rPr>
                <w:color w:val="000000"/>
                <w:szCs w:val="22"/>
              </w:rPr>
            </w:pPr>
            <w:r>
              <w:rPr>
                <w:color w:val="000000"/>
                <w:szCs w:val="22"/>
                <w:lang w:bidi="da-DK"/>
              </w:rPr>
              <w:t>Rødmen eller følelsen af at have det for varmt</w:t>
            </w:r>
          </w:p>
        </w:tc>
      </w:tr>
      <w:tr w:rsidR="004679B5" w14:paraId="43B9E670"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70519D0F" w14:textId="77777777" w:rsidR="004679B5" w:rsidRDefault="004679B5">
            <w:pPr>
              <w:rPr>
                <w:color w:val="000000"/>
                <w:szCs w:val="22"/>
              </w:rPr>
            </w:pPr>
            <w:r>
              <w:rPr>
                <w:color w:val="000000"/>
                <w:szCs w:val="22"/>
                <w:lang w:bidi="da-DK"/>
              </w:rPr>
              <w:t xml:space="preserve">Ikke almindelig </w:t>
            </w:r>
          </w:p>
        </w:tc>
        <w:tc>
          <w:tcPr>
            <w:tcW w:w="7335" w:type="dxa"/>
            <w:tcBorders>
              <w:top w:val="single" w:sz="4" w:space="0" w:color="auto"/>
              <w:left w:val="single" w:sz="4" w:space="0" w:color="auto"/>
              <w:bottom w:val="single" w:sz="4" w:space="0" w:color="auto"/>
              <w:right w:val="single" w:sz="4" w:space="0" w:color="auto"/>
            </w:tcBorders>
            <w:hideMark/>
          </w:tcPr>
          <w:p w14:paraId="060332A0" w14:textId="77777777" w:rsidR="004679B5" w:rsidRDefault="004679B5">
            <w:pPr>
              <w:tabs>
                <w:tab w:val="left" w:pos="540"/>
              </w:tabs>
              <w:ind w:left="2160" w:hanging="2160"/>
              <w:rPr>
                <w:color w:val="000000"/>
                <w:szCs w:val="22"/>
              </w:rPr>
            </w:pPr>
            <w:r>
              <w:rPr>
                <w:color w:val="000000"/>
                <w:szCs w:val="22"/>
                <w:lang w:bidi="da-DK"/>
              </w:rPr>
              <w:t>Hypotension</w:t>
            </w:r>
          </w:p>
        </w:tc>
      </w:tr>
      <w:tr w:rsidR="004679B5" w14:paraId="5F476D23"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4DCA2703" w14:textId="77777777" w:rsidR="004679B5" w:rsidRDefault="004679B5">
            <w:pPr>
              <w:pStyle w:val="NormalWeb"/>
              <w:spacing w:before="0" w:beforeAutospacing="0" w:after="0" w:afterAutospacing="0"/>
              <w:rPr>
                <w:b/>
                <w:color w:val="000000"/>
                <w:sz w:val="22"/>
                <w:szCs w:val="22"/>
                <w:lang w:val="da-DK"/>
              </w:rPr>
            </w:pPr>
            <w:r>
              <w:rPr>
                <w:b/>
                <w:color w:val="000000"/>
                <w:sz w:val="22"/>
                <w:szCs w:val="22"/>
                <w:lang w:val="da-DK" w:bidi="da-DK"/>
              </w:rPr>
              <w:t>Luftveje, thorax og mediastinum</w:t>
            </w:r>
          </w:p>
        </w:tc>
      </w:tr>
      <w:tr w:rsidR="004679B5" w14:paraId="2E81660D"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5232C9C1" w14:textId="77777777" w:rsidR="004679B5" w:rsidRDefault="004679B5">
            <w:pPr>
              <w:rPr>
                <w:color w:val="000000"/>
                <w:sz w:val="22"/>
                <w:szCs w:val="22"/>
              </w:rPr>
            </w:pPr>
            <w:r>
              <w:rPr>
                <w:color w:val="000000"/>
                <w:szCs w:val="22"/>
                <w:lang w:bidi="da-DK"/>
              </w:rPr>
              <w:t xml:space="preserve">Ikke almindelig </w:t>
            </w:r>
          </w:p>
        </w:tc>
        <w:tc>
          <w:tcPr>
            <w:tcW w:w="7335" w:type="dxa"/>
            <w:tcBorders>
              <w:top w:val="single" w:sz="4" w:space="0" w:color="auto"/>
              <w:left w:val="single" w:sz="4" w:space="0" w:color="auto"/>
              <w:bottom w:val="single" w:sz="4" w:space="0" w:color="auto"/>
              <w:right w:val="single" w:sz="4" w:space="0" w:color="auto"/>
            </w:tcBorders>
            <w:hideMark/>
          </w:tcPr>
          <w:p w14:paraId="0172DC7D" w14:textId="77777777" w:rsidR="004679B5" w:rsidRDefault="004679B5">
            <w:pPr>
              <w:tabs>
                <w:tab w:val="left" w:pos="540"/>
              </w:tabs>
              <w:ind w:left="2160" w:hanging="2160"/>
              <w:rPr>
                <w:color w:val="000000"/>
                <w:szCs w:val="22"/>
              </w:rPr>
            </w:pPr>
            <w:r>
              <w:rPr>
                <w:color w:val="000000"/>
                <w:szCs w:val="22"/>
                <w:lang w:bidi="da-DK"/>
              </w:rPr>
              <w:t>Hikke</w:t>
            </w:r>
          </w:p>
        </w:tc>
      </w:tr>
      <w:tr w:rsidR="004679B5" w14:paraId="46D72D51"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3534D4DF" w14:textId="77777777" w:rsidR="004679B5" w:rsidRDefault="004679B5">
            <w:pPr>
              <w:pStyle w:val="NormalWeb"/>
              <w:spacing w:before="0" w:beforeAutospacing="0" w:after="0" w:afterAutospacing="0"/>
              <w:rPr>
                <w:b/>
                <w:color w:val="000000"/>
                <w:sz w:val="22"/>
                <w:szCs w:val="22"/>
              </w:rPr>
            </w:pPr>
            <w:r>
              <w:rPr>
                <w:b/>
                <w:color w:val="000000"/>
                <w:sz w:val="22"/>
                <w:szCs w:val="22"/>
              </w:rPr>
              <w:t>Mave-tarm-kanalen</w:t>
            </w:r>
          </w:p>
        </w:tc>
      </w:tr>
      <w:tr w:rsidR="004679B5" w14:paraId="30EE4547"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47F24465" w14:textId="77777777" w:rsidR="004679B5" w:rsidRDefault="004679B5">
            <w:pPr>
              <w:tabs>
                <w:tab w:val="left" w:pos="540"/>
                <w:tab w:val="left" w:pos="900"/>
              </w:tabs>
              <w:rPr>
                <w:color w:val="000000"/>
                <w:sz w:val="22"/>
                <w:szCs w:val="22"/>
              </w:rPr>
            </w:pPr>
            <w:r>
              <w:rPr>
                <w:color w:val="000000"/>
                <w:szCs w:val="22"/>
                <w:lang w:bidi="da-DK"/>
              </w:rPr>
              <w:t xml:space="preserve">Almindelig </w:t>
            </w:r>
          </w:p>
        </w:tc>
        <w:tc>
          <w:tcPr>
            <w:tcW w:w="7335" w:type="dxa"/>
            <w:tcBorders>
              <w:top w:val="single" w:sz="4" w:space="0" w:color="auto"/>
              <w:left w:val="single" w:sz="4" w:space="0" w:color="auto"/>
              <w:bottom w:val="single" w:sz="4" w:space="0" w:color="auto"/>
              <w:right w:val="single" w:sz="4" w:space="0" w:color="auto"/>
            </w:tcBorders>
            <w:hideMark/>
          </w:tcPr>
          <w:p w14:paraId="3436AF42" w14:textId="77777777" w:rsidR="004679B5" w:rsidRDefault="004679B5">
            <w:pPr>
              <w:tabs>
                <w:tab w:val="left" w:pos="540"/>
              </w:tabs>
              <w:rPr>
                <w:color w:val="000000"/>
                <w:szCs w:val="22"/>
                <w:lang w:val="en-US"/>
              </w:rPr>
            </w:pPr>
            <w:r>
              <w:rPr>
                <w:color w:val="000000"/>
                <w:szCs w:val="22"/>
                <w:lang w:bidi="da-DK"/>
              </w:rPr>
              <w:t>Forstoppelse</w:t>
            </w:r>
          </w:p>
        </w:tc>
      </w:tr>
      <w:tr w:rsidR="004679B5" w14:paraId="3D2F9ACF"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3FE48784" w14:textId="77777777" w:rsidR="004679B5" w:rsidRDefault="004679B5">
            <w:pPr>
              <w:pStyle w:val="NormalWeb"/>
              <w:spacing w:before="0" w:beforeAutospacing="0" w:after="0" w:afterAutospacing="0"/>
              <w:rPr>
                <w:b/>
                <w:color w:val="000000"/>
                <w:sz w:val="22"/>
                <w:szCs w:val="22"/>
              </w:rPr>
            </w:pPr>
            <w:r>
              <w:rPr>
                <w:b/>
                <w:color w:val="000000"/>
                <w:sz w:val="22"/>
                <w:szCs w:val="22"/>
                <w:lang w:val="da-DK" w:bidi="da-DK"/>
              </w:rPr>
              <w:t>Lever- og galdeveje</w:t>
            </w:r>
          </w:p>
        </w:tc>
      </w:tr>
      <w:tr w:rsidR="004679B5" w14:paraId="1EE002E7"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6652D874" w14:textId="77777777" w:rsidR="004679B5" w:rsidRDefault="004679B5">
            <w:pPr>
              <w:rPr>
                <w:color w:val="000000"/>
                <w:sz w:val="22"/>
                <w:szCs w:val="22"/>
              </w:rPr>
            </w:pPr>
            <w:r>
              <w:rPr>
                <w:color w:val="000000"/>
                <w:szCs w:val="22"/>
                <w:lang w:bidi="da-DK"/>
              </w:rPr>
              <w:t xml:space="preserve">Ikke almindelig </w:t>
            </w:r>
          </w:p>
        </w:tc>
        <w:tc>
          <w:tcPr>
            <w:tcW w:w="7335" w:type="dxa"/>
            <w:tcBorders>
              <w:top w:val="single" w:sz="4" w:space="0" w:color="auto"/>
              <w:left w:val="single" w:sz="4" w:space="0" w:color="auto"/>
              <w:bottom w:val="single" w:sz="4" w:space="0" w:color="auto"/>
              <w:right w:val="single" w:sz="4" w:space="0" w:color="auto"/>
            </w:tcBorders>
            <w:hideMark/>
          </w:tcPr>
          <w:p w14:paraId="1346D181" w14:textId="77777777" w:rsidR="004679B5" w:rsidRDefault="004679B5">
            <w:pPr>
              <w:tabs>
                <w:tab w:val="left" w:pos="540"/>
              </w:tabs>
              <w:rPr>
                <w:color w:val="000000"/>
                <w:szCs w:val="22"/>
                <w:lang w:val="en-US"/>
              </w:rPr>
            </w:pPr>
            <w:r>
              <w:rPr>
                <w:color w:val="000000"/>
                <w:szCs w:val="22"/>
                <w:lang w:bidi="da-DK"/>
              </w:rPr>
              <w:t>Asymptomatiske forhøjelser i leverfunktionsprøver</w:t>
            </w:r>
            <w:r>
              <w:rPr>
                <w:szCs w:val="22"/>
                <w:vertAlign w:val="superscript"/>
                <w:lang w:bidi="da-DK"/>
              </w:rPr>
              <w:t>(3)</w:t>
            </w:r>
            <w:r>
              <w:rPr>
                <w:color w:val="000000"/>
                <w:szCs w:val="22"/>
                <w:lang w:bidi="da-DK"/>
              </w:rPr>
              <w:t xml:space="preserve">. </w:t>
            </w:r>
          </w:p>
        </w:tc>
      </w:tr>
      <w:tr w:rsidR="004679B5" w14:paraId="227F4765"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12DC24DF" w14:textId="77777777" w:rsidR="004679B5" w:rsidRDefault="004679B5">
            <w:pPr>
              <w:pStyle w:val="NormalWeb"/>
              <w:spacing w:before="0" w:beforeAutospacing="0" w:after="0" w:afterAutospacing="0"/>
              <w:rPr>
                <w:color w:val="000000"/>
                <w:sz w:val="22"/>
                <w:szCs w:val="22"/>
              </w:rPr>
            </w:pPr>
            <w:r>
              <w:rPr>
                <w:b/>
                <w:color w:val="000000"/>
                <w:sz w:val="22"/>
                <w:szCs w:val="22"/>
                <w:lang w:val="de-DE" w:bidi="da-DK"/>
              </w:rPr>
              <w:t>Hud og subkutane væv</w:t>
            </w:r>
          </w:p>
        </w:tc>
      </w:tr>
      <w:tr w:rsidR="004679B5" w14:paraId="734D489C"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07E2B301" w14:textId="77777777" w:rsidR="004679B5" w:rsidRDefault="004679B5">
            <w:pPr>
              <w:rPr>
                <w:color w:val="000000"/>
                <w:sz w:val="22"/>
                <w:szCs w:val="22"/>
                <w:lang w:val="en-US"/>
              </w:rPr>
            </w:pPr>
            <w:r>
              <w:rPr>
                <w:color w:val="000000"/>
                <w:szCs w:val="22"/>
                <w:lang w:bidi="da-DK"/>
              </w:rPr>
              <w:t>Meget sjælden</w:t>
            </w:r>
          </w:p>
        </w:tc>
        <w:tc>
          <w:tcPr>
            <w:tcW w:w="7335" w:type="dxa"/>
            <w:tcBorders>
              <w:top w:val="single" w:sz="4" w:space="0" w:color="auto"/>
              <w:left w:val="single" w:sz="4" w:space="0" w:color="auto"/>
              <w:bottom w:val="single" w:sz="4" w:space="0" w:color="auto"/>
              <w:right w:val="single" w:sz="4" w:space="0" w:color="auto"/>
            </w:tcBorders>
            <w:hideMark/>
          </w:tcPr>
          <w:p w14:paraId="1EF9E184" w14:textId="77777777" w:rsidR="004679B5" w:rsidRDefault="004679B5">
            <w:pPr>
              <w:tabs>
                <w:tab w:val="left" w:pos="540"/>
              </w:tabs>
              <w:rPr>
                <w:color w:val="000000"/>
                <w:szCs w:val="22"/>
              </w:rPr>
            </w:pPr>
            <w:r>
              <w:rPr>
                <w:color w:val="000000"/>
                <w:szCs w:val="22"/>
                <w:lang w:bidi="da-DK"/>
              </w:rPr>
              <w:t>Toksisk hududslæt, herunder toksisk epidermal nekrolyse.</w:t>
            </w:r>
          </w:p>
        </w:tc>
      </w:tr>
      <w:tr w:rsidR="004679B5" w14:paraId="2B9A69C7" w14:textId="77777777" w:rsidTr="004679B5">
        <w:tc>
          <w:tcPr>
            <w:tcW w:w="9067" w:type="dxa"/>
            <w:gridSpan w:val="2"/>
            <w:tcBorders>
              <w:top w:val="single" w:sz="4" w:space="0" w:color="auto"/>
              <w:left w:val="single" w:sz="4" w:space="0" w:color="auto"/>
              <w:bottom w:val="single" w:sz="4" w:space="0" w:color="auto"/>
              <w:right w:val="single" w:sz="4" w:space="0" w:color="auto"/>
            </w:tcBorders>
            <w:hideMark/>
          </w:tcPr>
          <w:p w14:paraId="76E789B2" w14:textId="77777777" w:rsidR="004679B5" w:rsidRDefault="004679B5">
            <w:pPr>
              <w:pStyle w:val="NormalWeb"/>
              <w:spacing w:before="0" w:beforeAutospacing="0" w:after="0" w:afterAutospacing="0"/>
              <w:rPr>
                <w:b/>
                <w:color w:val="000000"/>
                <w:sz w:val="22"/>
                <w:szCs w:val="22"/>
                <w:lang w:val="da-DK"/>
              </w:rPr>
            </w:pPr>
            <w:r>
              <w:rPr>
                <w:b/>
                <w:color w:val="000000"/>
                <w:sz w:val="22"/>
                <w:szCs w:val="22"/>
                <w:lang w:val="da-DK" w:bidi="da-DK"/>
              </w:rPr>
              <w:t>Almene symptomer og reaktioner på administrationsstedet</w:t>
            </w:r>
          </w:p>
        </w:tc>
      </w:tr>
      <w:tr w:rsidR="004679B5" w14:paraId="253578EE" w14:textId="77777777" w:rsidTr="004679B5">
        <w:tc>
          <w:tcPr>
            <w:tcW w:w="1732" w:type="dxa"/>
            <w:tcBorders>
              <w:top w:val="single" w:sz="4" w:space="0" w:color="auto"/>
              <w:left w:val="single" w:sz="4" w:space="0" w:color="auto"/>
              <w:bottom w:val="single" w:sz="4" w:space="0" w:color="auto"/>
              <w:right w:val="single" w:sz="4" w:space="0" w:color="auto"/>
            </w:tcBorders>
            <w:hideMark/>
          </w:tcPr>
          <w:p w14:paraId="5DD8B15C" w14:textId="77777777" w:rsidR="004679B5" w:rsidRDefault="004679B5">
            <w:pPr>
              <w:rPr>
                <w:color w:val="000000"/>
                <w:sz w:val="22"/>
                <w:szCs w:val="22"/>
              </w:rPr>
            </w:pPr>
            <w:r>
              <w:rPr>
                <w:color w:val="000000"/>
                <w:szCs w:val="22"/>
                <w:lang w:bidi="da-DK"/>
              </w:rPr>
              <w:t>Almindelig</w:t>
            </w:r>
          </w:p>
        </w:tc>
        <w:tc>
          <w:tcPr>
            <w:tcW w:w="7335" w:type="dxa"/>
            <w:tcBorders>
              <w:top w:val="single" w:sz="4" w:space="0" w:color="auto"/>
              <w:left w:val="single" w:sz="4" w:space="0" w:color="auto"/>
              <w:bottom w:val="single" w:sz="4" w:space="0" w:color="auto"/>
              <w:right w:val="single" w:sz="4" w:space="0" w:color="auto"/>
            </w:tcBorders>
            <w:hideMark/>
          </w:tcPr>
          <w:p w14:paraId="5D190DDB" w14:textId="77777777" w:rsidR="004679B5" w:rsidRDefault="004679B5">
            <w:pPr>
              <w:rPr>
                <w:color w:val="000000"/>
                <w:szCs w:val="22"/>
              </w:rPr>
            </w:pPr>
            <w:r>
              <w:rPr>
                <w:color w:val="000000"/>
                <w:szCs w:val="22"/>
                <w:lang w:bidi="da-DK"/>
              </w:rPr>
              <w:t>Lokale reaktioner på i.v.-injektionsstedet.</w:t>
            </w:r>
          </w:p>
        </w:tc>
      </w:tr>
      <w:bookmarkEnd w:id="1"/>
    </w:tbl>
    <w:p w14:paraId="0F6D0B4B" w14:textId="77777777" w:rsidR="004679B5" w:rsidRDefault="004679B5" w:rsidP="004679B5">
      <w:pPr>
        <w:rPr>
          <w:sz w:val="22"/>
        </w:rPr>
      </w:pPr>
    </w:p>
    <w:p w14:paraId="65570500" w14:textId="77777777" w:rsidR="004679B5" w:rsidRPr="004679B5" w:rsidRDefault="004679B5" w:rsidP="004679B5">
      <w:pPr>
        <w:ind w:left="993" w:hanging="142"/>
        <w:rPr>
          <w:sz w:val="20"/>
        </w:rPr>
      </w:pPr>
      <w:r w:rsidRPr="004679B5">
        <w:rPr>
          <w:sz w:val="20"/>
          <w:vertAlign w:val="superscript"/>
        </w:rPr>
        <w:t>1.</w:t>
      </w:r>
      <w:r w:rsidRPr="004679B5">
        <w:rPr>
          <w:sz w:val="20"/>
        </w:rPr>
        <w:t xml:space="preserve"> Observeret uden definitive tegn på vedvarende kliniske følgevirkninger. </w:t>
      </w:r>
    </w:p>
    <w:p w14:paraId="5667B926" w14:textId="77777777" w:rsidR="004679B5" w:rsidRPr="004679B5" w:rsidRDefault="004679B5" w:rsidP="004679B5">
      <w:pPr>
        <w:ind w:left="993" w:hanging="142"/>
        <w:rPr>
          <w:sz w:val="20"/>
        </w:rPr>
      </w:pPr>
      <w:r w:rsidRPr="004679B5">
        <w:rPr>
          <w:sz w:val="20"/>
          <w:vertAlign w:val="superscript"/>
        </w:rPr>
        <w:t>2.</w:t>
      </w:r>
      <w:r w:rsidRPr="004679B5">
        <w:rPr>
          <w:sz w:val="20"/>
        </w:rPr>
        <w:t xml:space="preserve"> De fleste af de rapporterede tilfælde af blindhed blev løst inden for 20 minutter. De fleste patienter havde fået kemoterapeutiske stoffer, herunder cisplatin. Nogle tilfælde af forbigående blindhed blev rapporteret som værende af kortikal oprindelse. </w:t>
      </w:r>
    </w:p>
    <w:p w14:paraId="6436D313" w14:textId="77777777" w:rsidR="004679B5" w:rsidRPr="004679B5" w:rsidRDefault="004679B5" w:rsidP="004679B5">
      <w:pPr>
        <w:ind w:left="993" w:hanging="142"/>
        <w:rPr>
          <w:sz w:val="20"/>
        </w:rPr>
      </w:pPr>
      <w:r w:rsidRPr="004679B5">
        <w:rPr>
          <w:sz w:val="20"/>
          <w:vertAlign w:val="superscript"/>
        </w:rPr>
        <w:t>3.</w:t>
      </w:r>
      <w:r w:rsidRPr="004679B5">
        <w:rPr>
          <w:sz w:val="20"/>
        </w:rPr>
        <w:t xml:space="preserve"> Disse hændelser blev ofte observeret hos patienter, der fik kemoterapi med cisplatin. </w:t>
      </w:r>
    </w:p>
    <w:p w14:paraId="264C6BCD" w14:textId="77777777" w:rsidR="004679B5" w:rsidRPr="004679B5" w:rsidRDefault="004679B5" w:rsidP="004679B5">
      <w:pPr>
        <w:ind w:left="851"/>
        <w:rPr>
          <w:sz w:val="24"/>
          <w:szCs w:val="24"/>
        </w:rPr>
      </w:pPr>
    </w:p>
    <w:p w14:paraId="5CD06087" w14:textId="77777777" w:rsidR="004679B5" w:rsidRPr="004679B5" w:rsidRDefault="004679B5" w:rsidP="004679B5">
      <w:pPr>
        <w:ind w:left="851"/>
        <w:rPr>
          <w:sz w:val="24"/>
          <w:szCs w:val="24"/>
          <w:u w:val="single"/>
        </w:rPr>
      </w:pPr>
      <w:r w:rsidRPr="004679B5">
        <w:rPr>
          <w:sz w:val="24"/>
          <w:szCs w:val="24"/>
          <w:u w:val="single"/>
        </w:rPr>
        <w:t>Indberetning af formodede bivirkninger</w:t>
      </w:r>
    </w:p>
    <w:p w14:paraId="4113F8B4" w14:textId="77777777" w:rsidR="004679B5" w:rsidRPr="004679B5" w:rsidRDefault="004679B5" w:rsidP="004679B5">
      <w:pPr>
        <w:ind w:left="851"/>
        <w:rPr>
          <w:sz w:val="24"/>
          <w:szCs w:val="24"/>
        </w:rPr>
      </w:pPr>
      <w:r w:rsidRPr="004679B5">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638ED2E" w14:textId="77777777" w:rsidR="004679B5" w:rsidRPr="004679B5" w:rsidRDefault="004679B5" w:rsidP="004679B5">
      <w:pPr>
        <w:ind w:left="851"/>
        <w:rPr>
          <w:sz w:val="24"/>
          <w:szCs w:val="24"/>
        </w:rPr>
      </w:pPr>
    </w:p>
    <w:p w14:paraId="40EFC4BE" w14:textId="77777777" w:rsidR="004679B5" w:rsidRPr="004679B5" w:rsidRDefault="004679B5" w:rsidP="004679B5">
      <w:pPr>
        <w:ind w:left="851"/>
        <w:rPr>
          <w:sz w:val="24"/>
          <w:szCs w:val="24"/>
        </w:rPr>
      </w:pPr>
      <w:r w:rsidRPr="004679B5">
        <w:rPr>
          <w:sz w:val="24"/>
          <w:szCs w:val="24"/>
        </w:rPr>
        <w:t xml:space="preserve">Lægemiddelstyrelsen </w:t>
      </w:r>
    </w:p>
    <w:p w14:paraId="495B8E5B" w14:textId="77777777" w:rsidR="004679B5" w:rsidRPr="004679B5" w:rsidRDefault="004679B5" w:rsidP="004679B5">
      <w:pPr>
        <w:ind w:left="851"/>
        <w:rPr>
          <w:sz w:val="24"/>
          <w:szCs w:val="24"/>
        </w:rPr>
      </w:pPr>
      <w:r w:rsidRPr="004679B5">
        <w:rPr>
          <w:sz w:val="24"/>
          <w:szCs w:val="24"/>
        </w:rPr>
        <w:t xml:space="preserve">Axel Heides Gade 1 </w:t>
      </w:r>
    </w:p>
    <w:p w14:paraId="58711106" w14:textId="77777777" w:rsidR="004679B5" w:rsidRPr="004679B5" w:rsidRDefault="004679B5" w:rsidP="004679B5">
      <w:pPr>
        <w:ind w:left="851"/>
        <w:rPr>
          <w:sz w:val="24"/>
          <w:szCs w:val="24"/>
        </w:rPr>
      </w:pPr>
      <w:r w:rsidRPr="004679B5">
        <w:rPr>
          <w:sz w:val="24"/>
          <w:szCs w:val="24"/>
        </w:rPr>
        <w:t xml:space="preserve">DK-2300 København S </w:t>
      </w:r>
    </w:p>
    <w:p w14:paraId="04A6F677" w14:textId="77777777" w:rsidR="004679B5" w:rsidRPr="004679B5" w:rsidRDefault="004679B5" w:rsidP="004679B5">
      <w:pPr>
        <w:ind w:left="851"/>
        <w:rPr>
          <w:sz w:val="24"/>
          <w:szCs w:val="24"/>
        </w:rPr>
      </w:pPr>
      <w:r w:rsidRPr="004679B5">
        <w:rPr>
          <w:sz w:val="24"/>
          <w:szCs w:val="24"/>
        </w:rPr>
        <w:t xml:space="preserve">Websted: www.meldenbivirkning.dk  </w:t>
      </w:r>
    </w:p>
    <w:p w14:paraId="1449DA32" w14:textId="77777777" w:rsidR="004679B5" w:rsidRPr="004679B5" w:rsidRDefault="004679B5" w:rsidP="004679B5">
      <w:pPr>
        <w:ind w:left="851"/>
        <w:rPr>
          <w:sz w:val="24"/>
          <w:szCs w:val="24"/>
        </w:rPr>
      </w:pPr>
    </w:p>
    <w:p w14:paraId="5774F005" w14:textId="77777777" w:rsidR="009260DE" w:rsidRPr="00C84483" w:rsidRDefault="009260DE" w:rsidP="009260DE">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14:paraId="493D778E" w14:textId="77777777" w:rsidR="005D37BA" w:rsidRPr="005D37BA" w:rsidRDefault="005D37BA" w:rsidP="005D37BA">
      <w:pPr>
        <w:tabs>
          <w:tab w:val="left" w:pos="851"/>
        </w:tabs>
        <w:ind w:left="851"/>
        <w:rPr>
          <w:sz w:val="24"/>
          <w:szCs w:val="24"/>
        </w:rPr>
      </w:pPr>
    </w:p>
    <w:p w14:paraId="562058C1" w14:textId="77777777" w:rsidR="005D37BA" w:rsidRPr="005D37BA" w:rsidRDefault="005D37BA" w:rsidP="005D37BA">
      <w:pPr>
        <w:tabs>
          <w:tab w:val="left" w:pos="851"/>
        </w:tabs>
        <w:ind w:left="851"/>
        <w:rPr>
          <w:sz w:val="24"/>
          <w:szCs w:val="24"/>
          <w:u w:val="single"/>
        </w:rPr>
      </w:pPr>
      <w:r w:rsidRPr="005D37BA">
        <w:rPr>
          <w:sz w:val="24"/>
          <w:szCs w:val="24"/>
          <w:u w:val="single"/>
        </w:rPr>
        <w:t>Symptomer og tegn</w:t>
      </w:r>
    </w:p>
    <w:p w14:paraId="31F9B99C" w14:textId="77777777" w:rsidR="005D37BA" w:rsidRPr="005D37BA" w:rsidRDefault="005D37BA" w:rsidP="005D37BA">
      <w:pPr>
        <w:tabs>
          <w:tab w:val="left" w:pos="851"/>
        </w:tabs>
        <w:ind w:left="851"/>
        <w:rPr>
          <w:sz w:val="24"/>
          <w:szCs w:val="24"/>
        </w:rPr>
      </w:pPr>
      <w:r w:rsidRPr="005D37BA">
        <w:rPr>
          <w:sz w:val="24"/>
          <w:szCs w:val="24"/>
        </w:rPr>
        <w:t xml:space="preserve">Der er begrænset erfaring med overdosering af ondansetron. I de fleste tilfælde svarede symptomerne til dem, der allerede er rapporteret hos patienter, der fik anbefalede doser (se pkt. 4.8). Der er rapporteret symptomer såsom synforstyrrelser, svær forstoppelse, hypotension og en vasovagal episode med forbigående AV-blok i anden grad. </w:t>
      </w:r>
    </w:p>
    <w:p w14:paraId="545252D0" w14:textId="77777777" w:rsidR="005D37BA" w:rsidRPr="005D37BA" w:rsidRDefault="005D37BA" w:rsidP="005D37BA">
      <w:pPr>
        <w:tabs>
          <w:tab w:val="left" w:pos="851"/>
        </w:tabs>
        <w:ind w:left="851"/>
        <w:rPr>
          <w:sz w:val="24"/>
          <w:szCs w:val="24"/>
        </w:rPr>
      </w:pPr>
    </w:p>
    <w:p w14:paraId="753FD7CA" w14:textId="77777777" w:rsidR="005D37BA" w:rsidRPr="005D37BA" w:rsidRDefault="005D37BA" w:rsidP="005D37BA">
      <w:pPr>
        <w:tabs>
          <w:tab w:val="left" w:pos="851"/>
        </w:tabs>
        <w:ind w:left="851"/>
        <w:rPr>
          <w:sz w:val="24"/>
          <w:szCs w:val="24"/>
        </w:rPr>
      </w:pPr>
      <w:r w:rsidRPr="005D37BA">
        <w:rPr>
          <w:sz w:val="24"/>
          <w:szCs w:val="24"/>
        </w:rPr>
        <w:t xml:space="preserve">Ondansetron forlænger QT-intervallet dosisafhængigt. Der anbefales EKG-overvågning i tilfælde af overdosering. </w:t>
      </w:r>
    </w:p>
    <w:p w14:paraId="2D46659B" w14:textId="77777777" w:rsidR="005D37BA" w:rsidRPr="005D37BA" w:rsidRDefault="005D37BA" w:rsidP="005D37BA">
      <w:pPr>
        <w:tabs>
          <w:tab w:val="left" w:pos="851"/>
        </w:tabs>
        <w:ind w:left="851"/>
        <w:rPr>
          <w:sz w:val="24"/>
          <w:szCs w:val="24"/>
        </w:rPr>
      </w:pPr>
    </w:p>
    <w:p w14:paraId="00B4C3A7" w14:textId="77777777" w:rsidR="005D37BA" w:rsidRPr="005D37BA" w:rsidRDefault="005D37BA" w:rsidP="005D37BA">
      <w:pPr>
        <w:tabs>
          <w:tab w:val="left" w:pos="851"/>
        </w:tabs>
        <w:ind w:left="851"/>
        <w:rPr>
          <w:sz w:val="24"/>
          <w:szCs w:val="24"/>
          <w:u w:val="single"/>
        </w:rPr>
      </w:pPr>
      <w:r w:rsidRPr="005D37BA">
        <w:rPr>
          <w:sz w:val="24"/>
          <w:szCs w:val="24"/>
          <w:u w:val="single"/>
        </w:rPr>
        <w:t>Pædiatrisk population</w:t>
      </w:r>
    </w:p>
    <w:p w14:paraId="31C29710" w14:textId="77777777" w:rsidR="005D37BA" w:rsidRPr="005D37BA" w:rsidRDefault="005D37BA" w:rsidP="005D37BA">
      <w:pPr>
        <w:tabs>
          <w:tab w:val="left" w:pos="851"/>
        </w:tabs>
        <w:ind w:left="851"/>
        <w:rPr>
          <w:sz w:val="24"/>
          <w:szCs w:val="24"/>
        </w:rPr>
      </w:pPr>
      <w:r w:rsidRPr="005D37BA">
        <w:rPr>
          <w:sz w:val="24"/>
          <w:szCs w:val="24"/>
        </w:rPr>
        <w:t>Der er rapporteret pædiatriske tilfælde svarende til serotoninsyndrom efter utilsigtet oral overdosering af ondansetron (overskridelse af den estimerede indtagelse på 4 mg/kg) hos spædbørn og små børn i alderen 12 måneder til 2 år.</w:t>
      </w:r>
    </w:p>
    <w:p w14:paraId="112A1FE7" w14:textId="77777777" w:rsidR="005D37BA" w:rsidRPr="005D37BA" w:rsidRDefault="005D37BA" w:rsidP="005D37BA">
      <w:pPr>
        <w:tabs>
          <w:tab w:val="left" w:pos="851"/>
        </w:tabs>
        <w:ind w:left="851"/>
        <w:rPr>
          <w:sz w:val="24"/>
          <w:szCs w:val="24"/>
        </w:rPr>
      </w:pPr>
    </w:p>
    <w:p w14:paraId="18168CCB" w14:textId="77777777" w:rsidR="005D37BA" w:rsidRPr="005D37BA" w:rsidRDefault="005D37BA" w:rsidP="005D37BA">
      <w:pPr>
        <w:tabs>
          <w:tab w:val="left" w:pos="851"/>
        </w:tabs>
        <w:ind w:left="851"/>
        <w:rPr>
          <w:sz w:val="24"/>
          <w:szCs w:val="24"/>
          <w:u w:val="single"/>
        </w:rPr>
      </w:pPr>
      <w:r w:rsidRPr="005D37BA">
        <w:rPr>
          <w:sz w:val="24"/>
          <w:szCs w:val="24"/>
          <w:u w:val="single"/>
        </w:rPr>
        <w:t>Behandling</w:t>
      </w:r>
    </w:p>
    <w:p w14:paraId="3423F57E" w14:textId="77777777" w:rsidR="005D37BA" w:rsidRPr="005D37BA" w:rsidRDefault="005D37BA" w:rsidP="005D37BA">
      <w:pPr>
        <w:tabs>
          <w:tab w:val="left" w:pos="851"/>
        </w:tabs>
        <w:ind w:left="851"/>
        <w:rPr>
          <w:sz w:val="24"/>
          <w:szCs w:val="24"/>
        </w:rPr>
      </w:pPr>
      <w:r w:rsidRPr="005D37BA">
        <w:rPr>
          <w:sz w:val="24"/>
          <w:szCs w:val="24"/>
        </w:rPr>
        <w:t>Der findes ingen specifik antidot mod ondansetron, og i tilfælde af mistanke om overdosering skal der derfor gives symptomatisk og understøttende behandling efter behov.</w:t>
      </w:r>
    </w:p>
    <w:p w14:paraId="628DA545" w14:textId="77777777" w:rsidR="005D37BA" w:rsidRPr="005D37BA" w:rsidRDefault="005D37BA" w:rsidP="005D37BA">
      <w:pPr>
        <w:tabs>
          <w:tab w:val="left" w:pos="851"/>
        </w:tabs>
        <w:ind w:left="851"/>
        <w:rPr>
          <w:sz w:val="24"/>
          <w:szCs w:val="24"/>
        </w:rPr>
      </w:pPr>
    </w:p>
    <w:p w14:paraId="6F0A3CFD" w14:textId="77777777" w:rsidR="005D37BA" w:rsidRPr="005D37BA" w:rsidRDefault="005D37BA" w:rsidP="005D37BA">
      <w:pPr>
        <w:tabs>
          <w:tab w:val="left" w:pos="851"/>
        </w:tabs>
        <w:ind w:left="851"/>
        <w:rPr>
          <w:sz w:val="24"/>
          <w:szCs w:val="24"/>
        </w:rPr>
      </w:pPr>
      <w:r w:rsidRPr="005D37BA">
        <w:rPr>
          <w:sz w:val="24"/>
          <w:szCs w:val="24"/>
        </w:rPr>
        <w:t>Yderligere behandling skal være klinisk indiceret eller som anbefalet af det nationale giftinformationscenter, hvis et sådant findes.</w:t>
      </w:r>
    </w:p>
    <w:p w14:paraId="76D2B43C" w14:textId="77777777" w:rsidR="005D37BA" w:rsidRPr="005D37BA" w:rsidRDefault="005D37BA" w:rsidP="005D37BA">
      <w:pPr>
        <w:tabs>
          <w:tab w:val="left" w:pos="851"/>
        </w:tabs>
        <w:ind w:left="851"/>
        <w:rPr>
          <w:sz w:val="24"/>
          <w:szCs w:val="24"/>
        </w:rPr>
      </w:pPr>
    </w:p>
    <w:p w14:paraId="0C596B98" w14:textId="77777777" w:rsidR="005D37BA" w:rsidRPr="005D37BA" w:rsidRDefault="005D37BA" w:rsidP="005D37BA">
      <w:pPr>
        <w:tabs>
          <w:tab w:val="left" w:pos="851"/>
        </w:tabs>
        <w:ind w:left="851"/>
        <w:rPr>
          <w:sz w:val="24"/>
          <w:szCs w:val="24"/>
        </w:rPr>
      </w:pPr>
      <w:r w:rsidRPr="005D37BA">
        <w:rPr>
          <w:sz w:val="24"/>
          <w:szCs w:val="24"/>
        </w:rPr>
        <w:t>Anvendelse af ipecacuanha til behandling af overdosering med ondansetron frarådes, da det er usandsynligt, at patienterne vil reagere på grund af ondansetrons egen antiemetiske virkning.</w:t>
      </w:r>
    </w:p>
    <w:p w14:paraId="05C6ECF2" w14:textId="77777777" w:rsidR="009260DE" w:rsidRPr="00C84483" w:rsidRDefault="009260DE" w:rsidP="009260DE">
      <w:pPr>
        <w:tabs>
          <w:tab w:val="left" w:pos="851"/>
        </w:tabs>
        <w:ind w:left="851"/>
        <w:rPr>
          <w:sz w:val="24"/>
          <w:szCs w:val="24"/>
        </w:rPr>
      </w:pPr>
    </w:p>
    <w:p w14:paraId="3B7CB68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A738F92" w14:textId="75F9B180" w:rsidR="009260DE" w:rsidRPr="00C84483" w:rsidRDefault="005D37BA" w:rsidP="009260DE">
      <w:pPr>
        <w:tabs>
          <w:tab w:val="left" w:pos="851"/>
        </w:tabs>
        <w:ind w:left="851"/>
        <w:rPr>
          <w:sz w:val="24"/>
          <w:szCs w:val="24"/>
        </w:rPr>
      </w:pPr>
      <w:r>
        <w:rPr>
          <w:sz w:val="24"/>
          <w:szCs w:val="24"/>
        </w:rPr>
        <w:t>A</w:t>
      </w:r>
    </w:p>
    <w:p w14:paraId="7E5799CB" w14:textId="77777777" w:rsidR="009260DE" w:rsidRPr="00C84483" w:rsidRDefault="009260DE" w:rsidP="009260DE">
      <w:pPr>
        <w:tabs>
          <w:tab w:val="left" w:pos="851"/>
        </w:tabs>
        <w:ind w:left="851"/>
        <w:rPr>
          <w:sz w:val="24"/>
          <w:szCs w:val="24"/>
        </w:rPr>
      </w:pPr>
    </w:p>
    <w:p w14:paraId="01B40513" w14:textId="77777777" w:rsidR="009260DE" w:rsidRPr="00C84483" w:rsidRDefault="009260DE" w:rsidP="009260DE">
      <w:pPr>
        <w:tabs>
          <w:tab w:val="left" w:pos="851"/>
        </w:tabs>
        <w:ind w:left="851"/>
        <w:rPr>
          <w:sz w:val="24"/>
          <w:szCs w:val="24"/>
        </w:rPr>
      </w:pPr>
    </w:p>
    <w:p w14:paraId="723354F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6503266" w14:textId="77777777" w:rsidR="009260DE" w:rsidRPr="00C84483" w:rsidRDefault="009260DE" w:rsidP="009260DE">
      <w:pPr>
        <w:tabs>
          <w:tab w:val="left" w:pos="851"/>
        </w:tabs>
        <w:ind w:left="851"/>
        <w:rPr>
          <w:sz w:val="24"/>
          <w:szCs w:val="24"/>
        </w:rPr>
      </w:pPr>
    </w:p>
    <w:p w14:paraId="3DAA3E5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08506D0" w14:textId="05417B19" w:rsidR="00A41138" w:rsidRPr="00A41138" w:rsidRDefault="00A41138" w:rsidP="00A41138">
      <w:pPr>
        <w:ind w:left="851"/>
        <w:rPr>
          <w:sz w:val="24"/>
          <w:szCs w:val="24"/>
        </w:rPr>
      </w:pPr>
      <w:r w:rsidRPr="00A41138">
        <w:rPr>
          <w:sz w:val="24"/>
          <w:szCs w:val="24"/>
        </w:rPr>
        <w:t xml:space="preserve">Farmakoterapeutisk klassifikation: Antiemetika og kvalmestillende midler, </w:t>
      </w:r>
      <w:r>
        <w:rPr>
          <w:sz w:val="24"/>
          <w:szCs w:val="24"/>
        </w:rPr>
        <w:t>s</w:t>
      </w:r>
      <w:r w:rsidRPr="00A41138">
        <w:rPr>
          <w:sz w:val="24"/>
          <w:szCs w:val="24"/>
        </w:rPr>
        <w:t>erotonin (5-HT3) antagonister</w:t>
      </w:r>
      <w:r>
        <w:rPr>
          <w:sz w:val="24"/>
          <w:szCs w:val="24"/>
        </w:rPr>
        <w:t xml:space="preserve">, </w:t>
      </w:r>
      <w:r w:rsidRPr="00A41138">
        <w:rPr>
          <w:sz w:val="24"/>
          <w:szCs w:val="24"/>
        </w:rPr>
        <w:t>ATC-kode: A04AA01</w:t>
      </w:r>
      <w:r>
        <w:rPr>
          <w:sz w:val="24"/>
          <w:szCs w:val="24"/>
        </w:rPr>
        <w:t>.</w:t>
      </w:r>
    </w:p>
    <w:p w14:paraId="4A634156" w14:textId="77777777" w:rsidR="00A41138" w:rsidRPr="00A41138" w:rsidRDefault="00A41138" w:rsidP="00A41138">
      <w:pPr>
        <w:ind w:left="851"/>
        <w:rPr>
          <w:sz w:val="24"/>
          <w:szCs w:val="24"/>
        </w:rPr>
      </w:pPr>
    </w:p>
    <w:p w14:paraId="5CCE7009" w14:textId="77777777" w:rsidR="00A41138" w:rsidRPr="00A41138" w:rsidRDefault="00A41138" w:rsidP="00A41138">
      <w:pPr>
        <w:ind w:left="851"/>
        <w:rPr>
          <w:sz w:val="24"/>
          <w:szCs w:val="24"/>
          <w:u w:val="single"/>
        </w:rPr>
      </w:pPr>
      <w:r w:rsidRPr="00A41138">
        <w:rPr>
          <w:sz w:val="24"/>
          <w:szCs w:val="24"/>
          <w:u w:val="single"/>
        </w:rPr>
        <w:t>Virkningsmekanisme</w:t>
      </w:r>
    </w:p>
    <w:p w14:paraId="76ACE368" w14:textId="77777777" w:rsidR="00A41138" w:rsidRPr="00A41138" w:rsidRDefault="00A41138" w:rsidP="00A41138">
      <w:pPr>
        <w:ind w:left="851"/>
        <w:rPr>
          <w:sz w:val="24"/>
          <w:szCs w:val="24"/>
        </w:rPr>
      </w:pPr>
      <w:r w:rsidRPr="00A41138">
        <w:rPr>
          <w:sz w:val="24"/>
          <w:szCs w:val="24"/>
        </w:rPr>
        <w:t>Ondansetron er en potent, meget selektiv 5HT</w:t>
      </w:r>
      <w:r w:rsidRPr="00A41138">
        <w:rPr>
          <w:rFonts w:ascii="TimesNewRomanPSMT" w:hAnsi="TimesNewRomanPSMT" w:cs="TimesNewRomanPSMT"/>
          <w:sz w:val="24"/>
          <w:szCs w:val="24"/>
          <w:vertAlign w:val="subscript"/>
          <w:lang w:eastAsia="en-GB"/>
        </w:rPr>
        <w:t>3</w:t>
      </w:r>
      <w:r w:rsidRPr="00A41138">
        <w:rPr>
          <w:sz w:val="24"/>
          <w:szCs w:val="24"/>
        </w:rPr>
        <w:t>-receptorantagonist. Den præcise virkningsmekanisme i forbindelse med kontrol af kvalme og opkastning er ikke kendt. Kemoterapeutiske midler og strålebehandling kan forårsage frigivelse af 5HT i tyndtarmen, hvilket udløser en opkastningsrefleks ved at aktivere vagale afferenter via 5HT</w:t>
      </w:r>
      <w:r w:rsidRPr="00A41138">
        <w:rPr>
          <w:rFonts w:ascii="TimesNewRomanPSMT" w:hAnsi="TimesNewRomanPSMT" w:cs="TimesNewRomanPSMT"/>
          <w:sz w:val="24"/>
          <w:szCs w:val="24"/>
          <w:vertAlign w:val="subscript"/>
          <w:lang w:eastAsia="en-GB"/>
        </w:rPr>
        <w:t>3</w:t>
      </w:r>
      <w:r w:rsidRPr="00A41138">
        <w:rPr>
          <w:sz w:val="24"/>
          <w:szCs w:val="24"/>
        </w:rPr>
        <w:t>-receptorer. Ondansetron blokerer udløsningen af denne refleks. Aktivering af vagale afferenter kan også forårsage frigivelse af 5HT i postremaområdet, der er placeret i bunden af fjerde ventrikel, hvilket også kan fremme opkastning gennem en centralmekanisme. Ondansetrons virkning ved behandling af kvalme og opkastning forårsaget af cytotoksisk kemoterapi og strålebehandling skyldes således sandsynligvis antagonisme af 5HT</w:t>
      </w:r>
      <w:r w:rsidRPr="00A41138">
        <w:rPr>
          <w:rFonts w:ascii="TimesNewRomanPSMT" w:hAnsi="TimesNewRomanPSMT" w:cs="TimesNewRomanPSMT"/>
          <w:sz w:val="24"/>
          <w:szCs w:val="24"/>
          <w:vertAlign w:val="subscript"/>
          <w:lang w:eastAsia="en-GB"/>
        </w:rPr>
        <w:t>3</w:t>
      </w:r>
      <w:r w:rsidRPr="00A41138">
        <w:rPr>
          <w:sz w:val="24"/>
          <w:szCs w:val="24"/>
        </w:rPr>
        <w:t xml:space="preserve">-receptorer på neuroner i både det perifere og centrale nervesystem. Virkningsmekanismerne ved postoperativ kvalme og opkastning er ikke kendte, men der kan være fælles veje med cytotoksisk induceret kvalme og opkastning. </w:t>
      </w:r>
    </w:p>
    <w:p w14:paraId="619CFA53" w14:textId="77777777" w:rsidR="00A41138" w:rsidRPr="00A41138" w:rsidRDefault="00A41138" w:rsidP="00A41138">
      <w:pPr>
        <w:ind w:left="851"/>
        <w:rPr>
          <w:sz w:val="24"/>
          <w:szCs w:val="24"/>
        </w:rPr>
      </w:pPr>
      <w:r w:rsidRPr="00A41138">
        <w:rPr>
          <w:sz w:val="24"/>
          <w:szCs w:val="24"/>
        </w:rPr>
        <w:lastRenderedPageBreak/>
        <w:t xml:space="preserve">Ondansetron ændrer ikke plasmakoncentrationen af prolactin. </w:t>
      </w:r>
    </w:p>
    <w:p w14:paraId="5E3C3192" w14:textId="77777777" w:rsidR="00A41138" w:rsidRPr="00A41138" w:rsidRDefault="00A41138" w:rsidP="00A41138">
      <w:pPr>
        <w:ind w:left="851"/>
        <w:rPr>
          <w:sz w:val="24"/>
          <w:szCs w:val="24"/>
        </w:rPr>
      </w:pPr>
    </w:p>
    <w:p w14:paraId="46468BB3" w14:textId="77777777" w:rsidR="00A41138" w:rsidRPr="00A41138" w:rsidRDefault="00A41138" w:rsidP="00A41138">
      <w:pPr>
        <w:ind w:left="851"/>
        <w:rPr>
          <w:sz w:val="24"/>
          <w:szCs w:val="24"/>
          <w:u w:val="single"/>
        </w:rPr>
      </w:pPr>
      <w:r w:rsidRPr="00A41138">
        <w:rPr>
          <w:sz w:val="24"/>
          <w:szCs w:val="24"/>
          <w:u w:val="single"/>
        </w:rPr>
        <w:t>QT-forlængelse</w:t>
      </w:r>
    </w:p>
    <w:p w14:paraId="1B6A2DD1" w14:textId="77777777" w:rsidR="00A41138" w:rsidRPr="00A41138" w:rsidRDefault="00A41138" w:rsidP="00A41138">
      <w:pPr>
        <w:ind w:left="851"/>
        <w:rPr>
          <w:sz w:val="24"/>
          <w:szCs w:val="24"/>
        </w:rPr>
      </w:pPr>
      <w:r w:rsidRPr="00A41138">
        <w:rPr>
          <w:sz w:val="24"/>
          <w:szCs w:val="24"/>
        </w:rPr>
        <w:t>Virkningen af ondansetron på QTc-intervallet blev evalueret i et dobbeltblindt, randomiseret, placebokontrolleret og positivt (moxifloxacin) kontrolleret crossover-forsøg hos 58 raske voksne mænd og kvinder. Ondansetron-doser omfattede 8 mg og 32 mg intravenøst over 15 minutter. Ved den højeste testede dosis på 32 mg var den maksimale gennemsnitlige (øvre grænse for 90 % CI) forskel i QTcF fra placebo efter baseline-korrektion 19,6 (21,5) millisekunder. Ved den lavere testede dosis på 8 mg var den maksimale gennemsnitlige (øvre grænse for 90 % CI) forskel i QTcF fra placebo efter baseline-korrektion 5,8 (7,8) millisekunder. I dette forsøg var der ingen QTcF-målinger på over 480 millisekunder, og ingen QTcF-forlængelse var højere end 60 millisekunder. Der blev ikke observeret signifikante ændringer i de målte elektrokardiografiske PR- og QRS-intervaller.</w:t>
      </w:r>
    </w:p>
    <w:p w14:paraId="536C71F5" w14:textId="77777777" w:rsidR="00A41138" w:rsidRPr="00A41138" w:rsidRDefault="00A41138" w:rsidP="00A41138">
      <w:pPr>
        <w:ind w:left="851"/>
        <w:rPr>
          <w:sz w:val="24"/>
          <w:szCs w:val="24"/>
        </w:rPr>
      </w:pPr>
    </w:p>
    <w:p w14:paraId="025CA557" w14:textId="77777777" w:rsidR="00A41138" w:rsidRPr="00A41138" w:rsidRDefault="00A41138" w:rsidP="00A41138">
      <w:pPr>
        <w:ind w:left="851"/>
        <w:rPr>
          <w:i/>
          <w:iCs/>
          <w:sz w:val="24"/>
          <w:szCs w:val="24"/>
          <w:u w:val="single"/>
        </w:rPr>
      </w:pPr>
      <w:r w:rsidRPr="00A41138">
        <w:rPr>
          <w:i/>
          <w:iCs/>
          <w:sz w:val="24"/>
          <w:szCs w:val="24"/>
          <w:u w:val="single"/>
        </w:rPr>
        <w:t>Pædiatrisk population</w:t>
      </w:r>
    </w:p>
    <w:p w14:paraId="373FAC35" w14:textId="77777777" w:rsidR="00A41138" w:rsidRPr="00A41138" w:rsidRDefault="00A41138" w:rsidP="00A41138">
      <w:pPr>
        <w:ind w:left="851"/>
        <w:rPr>
          <w:sz w:val="24"/>
          <w:szCs w:val="24"/>
        </w:rPr>
      </w:pPr>
    </w:p>
    <w:p w14:paraId="20BE508A" w14:textId="77777777" w:rsidR="00A41138" w:rsidRPr="00A41138" w:rsidRDefault="00A41138" w:rsidP="00A41138">
      <w:pPr>
        <w:ind w:left="851"/>
        <w:rPr>
          <w:sz w:val="24"/>
          <w:szCs w:val="24"/>
          <w:u w:val="single"/>
        </w:rPr>
      </w:pPr>
      <w:r w:rsidRPr="00A41138">
        <w:rPr>
          <w:sz w:val="24"/>
          <w:szCs w:val="24"/>
          <w:u w:val="single"/>
        </w:rPr>
        <w:t>Kemoterapi-induceret kvalme og opkastning</w:t>
      </w:r>
    </w:p>
    <w:p w14:paraId="40247C19" w14:textId="77777777" w:rsidR="00A41138" w:rsidRPr="00A41138" w:rsidRDefault="00A41138" w:rsidP="00A41138">
      <w:pPr>
        <w:ind w:left="851"/>
        <w:rPr>
          <w:sz w:val="24"/>
          <w:szCs w:val="24"/>
        </w:rPr>
      </w:pPr>
      <w:r w:rsidRPr="00A41138">
        <w:rPr>
          <w:sz w:val="24"/>
          <w:szCs w:val="24"/>
        </w:rPr>
        <w:t>Virkningen af ondansetron til kontrol af opkastning og kvalme forårsaget af kemoterapi mod kræft blev vurderet i et dobbeltblindt, randomiseret forsøg med 415 patienter i alderen 1-18 år (S3AB3006). På dagene med kemoterapi fik patienterne enten ondansetron 5 mg/m2 intravenøst og ondansetron 4 mg oralt efter 8-12 timer eller ondansetron 0,45 mg/kg intravenøst og placebo oralt efter 8-12 timer. Efter kemoterapi fik begge grupper 4 mg ondansetron-sirup to gange dagligt i 3 dage. Der var fuldstændig kontrol af opkastning på den værste dag af kemoterapien hos 49 % (5 mg/m2 intravenøst og ondansetron 4 mg oralt) og 41 % (0,45 mg/kg intravenøst og placebo oralt). Efter kemoterapi fik begge grupper 4 mg ondansetron-sirup to gange dagligt i 3 dage. Der var ingen forskel i den samlede forekomst eller karakter af bivirkninger mellem de to behandlingsgrupper.</w:t>
      </w:r>
    </w:p>
    <w:p w14:paraId="52B9AD3D" w14:textId="77777777" w:rsidR="00A41138" w:rsidRPr="00A41138" w:rsidRDefault="00A41138" w:rsidP="00A41138">
      <w:pPr>
        <w:ind w:left="851"/>
        <w:rPr>
          <w:sz w:val="24"/>
          <w:szCs w:val="24"/>
        </w:rPr>
      </w:pPr>
    </w:p>
    <w:p w14:paraId="3837D50D" w14:textId="77777777" w:rsidR="00A41138" w:rsidRPr="00A41138" w:rsidRDefault="00A41138" w:rsidP="00A41138">
      <w:pPr>
        <w:ind w:left="851"/>
        <w:rPr>
          <w:sz w:val="24"/>
          <w:szCs w:val="24"/>
        </w:rPr>
      </w:pPr>
      <w:r w:rsidRPr="00A41138">
        <w:rPr>
          <w:sz w:val="24"/>
          <w:szCs w:val="24"/>
        </w:rPr>
        <w:t>Et dobbeltblindt, randomiseret, placebokontrolleret forsøg (S3AB4003) med 438 patienter i alderen 1-17 år viste fuldstændig kontrol af opkastning på den værste dag af kemoterapien hos:</w:t>
      </w:r>
    </w:p>
    <w:p w14:paraId="50F53009" w14:textId="77777777" w:rsidR="00A41138" w:rsidRPr="00A41138" w:rsidRDefault="00A41138" w:rsidP="006259CD">
      <w:pPr>
        <w:pStyle w:val="Listeafsnit"/>
        <w:numPr>
          <w:ilvl w:val="0"/>
          <w:numId w:val="7"/>
        </w:numPr>
        <w:ind w:left="1134" w:hanging="283"/>
        <w:rPr>
          <w:sz w:val="24"/>
          <w:szCs w:val="24"/>
        </w:rPr>
      </w:pPr>
      <w:r w:rsidRPr="00A41138">
        <w:rPr>
          <w:sz w:val="24"/>
          <w:szCs w:val="24"/>
        </w:rPr>
        <w:t>73 % af patienterne, når ondansetron blev administreret intravenøst i en dosis på 5 mg/m2 intravenøst sammen med 2-4 mg dexamethason oralt.</w:t>
      </w:r>
    </w:p>
    <w:p w14:paraId="69409AB7" w14:textId="77777777" w:rsidR="00A41138" w:rsidRPr="00A41138" w:rsidRDefault="00A41138" w:rsidP="006259CD">
      <w:pPr>
        <w:pStyle w:val="Listeafsnit"/>
        <w:numPr>
          <w:ilvl w:val="0"/>
          <w:numId w:val="7"/>
        </w:numPr>
        <w:ind w:left="1134" w:hanging="283"/>
        <w:rPr>
          <w:sz w:val="24"/>
          <w:szCs w:val="24"/>
        </w:rPr>
      </w:pPr>
      <w:r w:rsidRPr="00A41138">
        <w:rPr>
          <w:sz w:val="24"/>
          <w:szCs w:val="24"/>
        </w:rPr>
        <w:t>71 % af patienterne, når ondansetron blev administreret som sirup i en dosis på 8 mg sammen med 2-4 mg dexamethason oralt på kemoterapidagene.</w:t>
      </w:r>
    </w:p>
    <w:p w14:paraId="6E7C4953" w14:textId="77777777" w:rsidR="00A41138" w:rsidRPr="00A41138" w:rsidRDefault="00A41138" w:rsidP="00A41138">
      <w:pPr>
        <w:ind w:left="851"/>
        <w:rPr>
          <w:sz w:val="24"/>
          <w:szCs w:val="24"/>
        </w:rPr>
      </w:pPr>
      <w:r w:rsidRPr="00A41138">
        <w:rPr>
          <w:sz w:val="24"/>
          <w:szCs w:val="24"/>
        </w:rPr>
        <w:t>Efter kemoterapi fik begge grupper 4 mg ondansetron-sirup to gange dagligt i 2 dage. Der var ingen forskel i forekomsten eller karakteren af bivirkninger mellem de to behandlingsgrupper.</w:t>
      </w:r>
    </w:p>
    <w:p w14:paraId="3115F61B" w14:textId="77777777" w:rsidR="00A41138" w:rsidRPr="00A41138" w:rsidRDefault="00A41138" w:rsidP="00A41138">
      <w:pPr>
        <w:ind w:left="851"/>
        <w:rPr>
          <w:sz w:val="24"/>
          <w:szCs w:val="24"/>
        </w:rPr>
      </w:pPr>
    </w:p>
    <w:p w14:paraId="328F3483" w14:textId="77777777" w:rsidR="00A41138" w:rsidRPr="00A41138" w:rsidRDefault="00A41138" w:rsidP="00A41138">
      <w:pPr>
        <w:ind w:left="851"/>
        <w:rPr>
          <w:sz w:val="24"/>
          <w:szCs w:val="24"/>
        </w:rPr>
      </w:pPr>
      <w:r w:rsidRPr="00A41138">
        <w:rPr>
          <w:sz w:val="24"/>
          <w:szCs w:val="24"/>
        </w:rPr>
        <w:t>Ondansetrons virkning hos 75 børn i alderen 6-48 måneder blev undersøgt i et åbent, ikke-komparativt, enkeltgruppeforsøg (S3A40320). Alle børn fik tre doser på 0,15 mg/kg intravenøst ondansetron, administreret 30 minutter før start af kemoterapien og derefter 4 og 8 timer efter den første dosis. Der blev opnået fuldstændig kontrol af opkastning hos 56 % af patienterne.</w:t>
      </w:r>
    </w:p>
    <w:p w14:paraId="3ADE631A" w14:textId="77777777" w:rsidR="00A41138" w:rsidRPr="00A41138" w:rsidRDefault="00A41138" w:rsidP="00A41138">
      <w:pPr>
        <w:ind w:left="851"/>
        <w:rPr>
          <w:sz w:val="24"/>
          <w:szCs w:val="24"/>
        </w:rPr>
      </w:pPr>
    </w:p>
    <w:p w14:paraId="008CAA4D" w14:textId="77777777" w:rsidR="00A41138" w:rsidRPr="00A41138" w:rsidRDefault="00A41138" w:rsidP="00A41138">
      <w:pPr>
        <w:ind w:left="851"/>
        <w:rPr>
          <w:sz w:val="24"/>
          <w:szCs w:val="24"/>
        </w:rPr>
      </w:pPr>
      <w:r w:rsidRPr="00A41138">
        <w:rPr>
          <w:sz w:val="24"/>
          <w:szCs w:val="24"/>
        </w:rPr>
        <w:t>I et andet åbent, ikke-komparativt, enkeltgruppeforsøg (S3A239) blev virkningen af en intravenøs dosis på 0,15 mg/kg ondansetron efterfulgt af to orale doser på 4 mg ondansetron til børn under 12 år og 8 mg til børn på 12 år og derover (samlet antal børn n= 28) undersøgt. Der blev opnået fuldstændig kontrol af opkastning hos 42 % af patienterne.</w:t>
      </w:r>
    </w:p>
    <w:p w14:paraId="2F6DF4E3" w14:textId="77777777" w:rsidR="00A41138" w:rsidRPr="00A41138" w:rsidRDefault="00A41138" w:rsidP="00A41138">
      <w:pPr>
        <w:ind w:left="851"/>
        <w:rPr>
          <w:sz w:val="24"/>
          <w:szCs w:val="24"/>
        </w:rPr>
      </w:pPr>
    </w:p>
    <w:p w14:paraId="285862B0" w14:textId="77777777" w:rsidR="00A41138" w:rsidRPr="00A41138" w:rsidRDefault="00A41138" w:rsidP="00A41138">
      <w:pPr>
        <w:ind w:left="851"/>
        <w:rPr>
          <w:sz w:val="24"/>
          <w:szCs w:val="24"/>
          <w:u w:val="single"/>
        </w:rPr>
      </w:pPr>
      <w:r w:rsidRPr="00A41138">
        <w:rPr>
          <w:sz w:val="24"/>
          <w:szCs w:val="24"/>
          <w:u w:val="single"/>
        </w:rPr>
        <w:lastRenderedPageBreak/>
        <w:t>Postoperativ kvalme og opkastning</w:t>
      </w:r>
    </w:p>
    <w:p w14:paraId="61CEBE15" w14:textId="61AEB36F" w:rsidR="00A41138" w:rsidRPr="00A41138" w:rsidRDefault="00A41138" w:rsidP="00A41138">
      <w:pPr>
        <w:ind w:left="851"/>
        <w:rPr>
          <w:sz w:val="24"/>
          <w:szCs w:val="24"/>
        </w:rPr>
      </w:pPr>
      <w:r w:rsidRPr="00A41138">
        <w:rPr>
          <w:sz w:val="24"/>
          <w:szCs w:val="24"/>
        </w:rPr>
        <w:t>Virkningen af en enkelt dosis ondansetron til forebyggelse af postoperativ kvalme og opkastning blev undersøgt i et randomiseret, dobbeltblindt, placebokontrolleret forsøg med 670 børn i alderen 1- 24 måneder (postkonceptionel alder ≥ 44 uger, vægt ≥ 3 kg). De inkluderede patienter skulle gennemgå elektiv kirurgi under generel anæstesi og havde en ASA-status på ≤ III. Der blev administreret en enkelt dosis ondansetron 0,1 mg/kg inden for fem minutter efter induktion af anæstesi. Andelen af forsøgspersoner, der oplevede mindst én opkastning i løbet af den 24-timers vurderingsperiode (ITT), var højere for patienter, der fik placebo, end for patienter, der fik ondansetron (28 % mod 11%, p &lt;0.0001).</w:t>
      </w:r>
    </w:p>
    <w:p w14:paraId="535F2067" w14:textId="77777777" w:rsidR="00A41138" w:rsidRPr="00A41138" w:rsidRDefault="00A41138" w:rsidP="00A41138">
      <w:pPr>
        <w:ind w:left="851"/>
        <w:rPr>
          <w:sz w:val="24"/>
          <w:szCs w:val="24"/>
        </w:rPr>
      </w:pPr>
    </w:p>
    <w:p w14:paraId="036AFFD0" w14:textId="0626A449" w:rsidR="00A41138" w:rsidRPr="00A41138" w:rsidRDefault="00A41138" w:rsidP="00A41138">
      <w:pPr>
        <w:ind w:left="851"/>
        <w:rPr>
          <w:sz w:val="24"/>
          <w:szCs w:val="24"/>
        </w:rPr>
      </w:pPr>
      <w:r w:rsidRPr="00A41138">
        <w:rPr>
          <w:sz w:val="24"/>
          <w:szCs w:val="24"/>
        </w:rPr>
        <w:t xml:space="preserve">Der er udført fire dobbeltblinde, placebokontrollerede forsøg hos 1.469 mandlige og kvindelige patienter (i alderen 2-12 år), der var under generel anæstesi. Patienterne blev randomiseret til enten enkelt intravenøse doser af ondansetron (0,1 mg/kg til pædiatriske patienter, der vejede 40 kg eller derunder, 4 mg til pædiatriske patienter, der vejede over 40 kg; antal patienter = 735) eller placebo (antal patienter = 734). Forsøgslægemidlet blev administreret over mindst 30 sekunder, umiddelbart før eller efter induktion af anæstesi. Ondansetron var væsentligt mere effektivt end placebo til forebyggelse af kvalme og opkastning. Resultaterne af disse forsøg er sammenfattet i Tabel 3. </w:t>
      </w:r>
    </w:p>
    <w:p w14:paraId="3AE493B9" w14:textId="77777777" w:rsidR="00A41138" w:rsidRPr="00A41138" w:rsidRDefault="00A41138" w:rsidP="006259CD">
      <w:pPr>
        <w:ind w:left="851"/>
        <w:rPr>
          <w:sz w:val="24"/>
          <w:szCs w:val="24"/>
        </w:rPr>
      </w:pPr>
    </w:p>
    <w:p w14:paraId="6E03ECC8" w14:textId="2871BF89" w:rsidR="00A41138" w:rsidRPr="00A41138" w:rsidRDefault="00A41138" w:rsidP="006259CD">
      <w:pPr>
        <w:ind w:left="851"/>
        <w:rPr>
          <w:sz w:val="24"/>
          <w:szCs w:val="24"/>
          <w:u w:val="single"/>
        </w:rPr>
      </w:pPr>
      <w:r w:rsidRPr="00A41138">
        <w:rPr>
          <w:sz w:val="24"/>
          <w:szCs w:val="24"/>
          <w:u w:val="single"/>
        </w:rPr>
        <w:t>Tabel 3 - Forebyggelse og behandling af postoperativ kvalme og opkastning hos pædiatriske patienter – Behandlingsrespons over 24 timer</w:t>
      </w:r>
    </w:p>
    <w:p w14:paraId="279FA6EC" w14:textId="77777777" w:rsidR="00A41138" w:rsidRPr="00A41138" w:rsidRDefault="00A41138" w:rsidP="006259CD">
      <w:pPr>
        <w:ind w:left="851"/>
        <w:rPr>
          <w:sz w:val="24"/>
          <w:szCs w:val="24"/>
          <w:u w:val="single"/>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7"/>
        <w:gridCol w:w="1858"/>
        <w:gridCol w:w="1359"/>
      </w:tblGrid>
      <w:tr w:rsidR="00A41138" w14:paraId="5D4381CC" w14:textId="77777777" w:rsidTr="006259CD">
        <w:tc>
          <w:tcPr>
            <w:tcW w:w="1857" w:type="dxa"/>
            <w:tcBorders>
              <w:top w:val="single" w:sz="4" w:space="0" w:color="auto"/>
              <w:left w:val="single" w:sz="4" w:space="0" w:color="auto"/>
              <w:bottom w:val="single" w:sz="4" w:space="0" w:color="auto"/>
              <w:right w:val="single" w:sz="4" w:space="0" w:color="auto"/>
            </w:tcBorders>
            <w:hideMark/>
          </w:tcPr>
          <w:p w14:paraId="32D385B9" w14:textId="77777777" w:rsidR="00A41138" w:rsidRDefault="00A41138">
            <w:pPr>
              <w:rPr>
                <w:b/>
                <w:bCs/>
                <w:color w:val="000000"/>
                <w:szCs w:val="22"/>
                <w:lang w:val="en-GB"/>
              </w:rPr>
            </w:pPr>
            <w:r>
              <w:rPr>
                <w:b/>
                <w:color w:val="000000"/>
                <w:szCs w:val="22"/>
                <w:lang w:val="en-GB" w:bidi="da-DK"/>
              </w:rPr>
              <w:t>Forsøg</w:t>
            </w:r>
          </w:p>
        </w:tc>
        <w:tc>
          <w:tcPr>
            <w:tcW w:w="1857" w:type="dxa"/>
            <w:tcBorders>
              <w:top w:val="single" w:sz="4" w:space="0" w:color="auto"/>
              <w:left w:val="single" w:sz="4" w:space="0" w:color="auto"/>
              <w:bottom w:val="single" w:sz="4" w:space="0" w:color="auto"/>
              <w:right w:val="single" w:sz="4" w:space="0" w:color="auto"/>
            </w:tcBorders>
            <w:hideMark/>
          </w:tcPr>
          <w:p w14:paraId="77BDE9D0" w14:textId="77777777" w:rsidR="00A41138" w:rsidRDefault="00A41138">
            <w:pPr>
              <w:rPr>
                <w:b/>
                <w:bCs/>
                <w:color w:val="000000"/>
                <w:szCs w:val="22"/>
                <w:lang w:val="en-GB"/>
              </w:rPr>
            </w:pPr>
            <w:r>
              <w:rPr>
                <w:b/>
                <w:color w:val="000000"/>
                <w:szCs w:val="22"/>
                <w:lang w:val="en-GB" w:bidi="da-DK"/>
              </w:rPr>
              <w:t>Endepunkt</w:t>
            </w:r>
          </w:p>
        </w:tc>
        <w:tc>
          <w:tcPr>
            <w:tcW w:w="1857" w:type="dxa"/>
            <w:tcBorders>
              <w:top w:val="single" w:sz="4" w:space="0" w:color="auto"/>
              <w:left w:val="single" w:sz="4" w:space="0" w:color="auto"/>
              <w:bottom w:val="single" w:sz="4" w:space="0" w:color="auto"/>
              <w:right w:val="single" w:sz="4" w:space="0" w:color="auto"/>
            </w:tcBorders>
            <w:hideMark/>
          </w:tcPr>
          <w:p w14:paraId="4BBFC813" w14:textId="77777777" w:rsidR="00A41138" w:rsidRDefault="00A41138">
            <w:pPr>
              <w:rPr>
                <w:b/>
                <w:bCs/>
                <w:color w:val="000000"/>
                <w:szCs w:val="22"/>
                <w:lang w:val="en-GB"/>
              </w:rPr>
            </w:pPr>
            <w:r>
              <w:rPr>
                <w:b/>
                <w:color w:val="000000"/>
                <w:szCs w:val="22"/>
                <w:lang w:val="en-GB" w:bidi="da-DK"/>
              </w:rPr>
              <w:t>Ondansetron (%)</w:t>
            </w:r>
          </w:p>
        </w:tc>
        <w:tc>
          <w:tcPr>
            <w:tcW w:w="1858" w:type="dxa"/>
            <w:tcBorders>
              <w:top w:val="single" w:sz="4" w:space="0" w:color="auto"/>
              <w:left w:val="single" w:sz="4" w:space="0" w:color="auto"/>
              <w:bottom w:val="single" w:sz="4" w:space="0" w:color="auto"/>
              <w:right w:val="single" w:sz="4" w:space="0" w:color="auto"/>
            </w:tcBorders>
            <w:hideMark/>
          </w:tcPr>
          <w:p w14:paraId="176B4FF4" w14:textId="77777777" w:rsidR="00A41138" w:rsidRDefault="00A41138">
            <w:pPr>
              <w:rPr>
                <w:b/>
                <w:bCs/>
                <w:color w:val="000000"/>
                <w:szCs w:val="22"/>
                <w:lang w:val="en-GB"/>
              </w:rPr>
            </w:pPr>
            <w:r>
              <w:rPr>
                <w:b/>
                <w:color w:val="000000"/>
                <w:szCs w:val="22"/>
                <w:lang w:val="en-GB" w:bidi="da-DK"/>
              </w:rPr>
              <w:t>Placebo (%)</w:t>
            </w:r>
          </w:p>
        </w:tc>
        <w:tc>
          <w:tcPr>
            <w:tcW w:w="1359" w:type="dxa"/>
            <w:tcBorders>
              <w:top w:val="single" w:sz="4" w:space="0" w:color="auto"/>
              <w:left w:val="single" w:sz="4" w:space="0" w:color="auto"/>
              <w:bottom w:val="single" w:sz="4" w:space="0" w:color="auto"/>
              <w:right w:val="single" w:sz="4" w:space="0" w:color="auto"/>
            </w:tcBorders>
            <w:hideMark/>
          </w:tcPr>
          <w:p w14:paraId="0AE70F52" w14:textId="77777777" w:rsidR="00A41138" w:rsidRDefault="00A41138">
            <w:pPr>
              <w:rPr>
                <w:b/>
                <w:bCs/>
                <w:color w:val="000000"/>
                <w:szCs w:val="22"/>
                <w:lang w:val="en-GB"/>
              </w:rPr>
            </w:pPr>
            <w:r>
              <w:rPr>
                <w:b/>
                <w:color w:val="000000"/>
                <w:szCs w:val="22"/>
                <w:lang w:val="en-GB" w:bidi="da-DK"/>
              </w:rPr>
              <w:t>P-værdi</w:t>
            </w:r>
          </w:p>
        </w:tc>
      </w:tr>
      <w:tr w:rsidR="00A41138" w14:paraId="555CDF77" w14:textId="77777777" w:rsidTr="006259CD">
        <w:tc>
          <w:tcPr>
            <w:tcW w:w="1857" w:type="dxa"/>
            <w:tcBorders>
              <w:top w:val="single" w:sz="4" w:space="0" w:color="auto"/>
              <w:left w:val="single" w:sz="4" w:space="0" w:color="auto"/>
              <w:bottom w:val="single" w:sz="4" w:space="0" w:color="auto"/>
              <w:right w:val="single" w:sz="4" w:space="0" w:color="auto"/>
            </w:tcBorders>
            <w:hideMark/>
          </w:tcPr>
          <w:p w14:paraId="01D7541E" w14:textId="77777777" w:rsidR="00A41138" w:rsidRDefault="00A41138">
            <w:pPr>
              <w:rPr>
                <w:color w:val="000000"/>
                <w:szCs w:val="22"/>
                <w:lang w:val="en-GB"/>
              </w:rPr>
            </w:pPr>
            <w:r>
              <w:rPr>
                <w:color w:val="000000"/>
                <w:szCs w:val="22"/>
                <w:lang w:val="en-GB" w:bidi="da-DK"/>
              </w:rPr>
              <w:t>S3A380</w:t>
            </w:r>
          </w:p>
        </w:tc>
        <w:tc>
          <w:tcPr>
            <w:tcW w:w="1857" w:type="dxa"/>
            <w:tcBorders>
              <w:top w:val="single" w:sz="4" w:space="0" w:color="auto"/>
              <w:left w:val="single" w:sz="4" w:space="0" w:color="auto"/>
              <w:bottom w:val="single" w:sz="4" w:space="0" w:color="auto"/>
              <w:right w:val="single" w:sz="4" w:space="0" w:color="auto"/>
            </w:tcBorders>
            <w:hideMark/>
          </w:tcPr>
          <w:p w14:paraId="3CC2B0AE" w14:textId="77777777" w:rsidR="00A41138" w:rsidRDefault="00A41138">
            <w:pPr>
              <w:rPr>
                <w:color w:val="000000"/>
                <w:szCs w:val="22"/>
                <w:lang w:val="en-GB"/>
              </w:rPr>
            </w:pPr>
            <w:r>
              <w:rPr>
                <w:color w:val="000000"/>
                <w:szCs w:val="22"/>
                <w:lang w:val="en-GB" w:bidi="da-DK"/>
              </w:rPr>
              <w:t>CR</w:t>
            </w:r>
          </w:p>
        </w:tc>
        <w:tc>
          <w:tcPr>
            <w:tcW w:w="1857" w:type="dxa"/>
            <w:tcBorders>
              <w:top w:val="single" w:sz="4" w:space="0" w:color="auto"/>
              <w:left w:val="single" w:sz="4" w:space="0" w:color="auto"/>
              <w:bottom w:val="single" w:sz="4" w:space="0" w:color="auto"/>
              <w:right w:val="single" w:sz="4" w:space="0" w:color="auto"/>
            </w:tcBorders>
            <w:hideMark/>
          </w:tcPr>
          <w:p w14:paraId="1400DC62" w14:textId="77777777" w:rsidR="00A41138" w:rsidRDefault="00A41138">
            <w:pPr>
              <w:rPr>
                <w:color w:val="000000"/>
                <w:szCs w:val="22"/>
                <w:lang w:val="en-GB"/>
              </w:rPr>
            </w:pPr>
            <w:r>
              <w:rPr>
                <w:color w:val="000000"/>
                <w:szCs w:val="22"/>
                <w:lang w:val="en-GB" w:bidi="da-DK"/>
              </w:rPr>
              <w:t>68</w:t>
            </w:r>
          </w:p>
        </w:tc>
        <w:tc>
          <w:tcPr>
            <w:tcW w:w="1858" w:type="dxa"/>
            <w:tcBorders>
              <w:top w:val="single" w:sz="4" w:space="0" w:color="auto"/>
              <w:left w:val="single" w:sz="4" w:space="0" w:color="auto"/>
              <w:bottom w:val="single" w:sz="4" w:space="0" w:color="auto"/>
              <w:right w:val="single" w:sz="4" w:space="0" w:color="auto"/>
            </w:tcBorders>
            <w:hideMark/>
          </w:tcPr>
          <w:p w14:paraId="00134591" w14:textId="77777777" w:rsidR="00A41138" w:rsidRDefault="00A41138">
            <w:pPr>
              <w:rPr>
                <w:color w:val="000000"/>
                <w:szCs w:val="22"/>
                <w:lang w:val="en-GB"/>
              </w:rPr>
            </w:pPr>
            <w:r>
              <w:rPr>
                <w:color w:val="000000"/>
                <w:szCs w:val="22"/>
                <w:lang w:val="en-GB" w:bidi="da-DK"/>
              </w:rPr>
              <w:t>39</w:t>
            </w:r>
          </w:p>
        </w:tc>
        <w:tc>
          <w:tcPr>
            <w:tcW w:w="1359" w:type="dxa"/>
            <w:tcBorders>
              <w:top w:val="single" w:sz="4" w:space="0" w:color="auto"/>
              <w:left w:val="single" w:sz="4" w:space="0" w:color="auto"/>
              <w:bottom w:val="single" w:sz="4" w:space="0" w:color="auto"/>
              <w:right w:val="single" w:sz="4" w:space="0" w:color="auto"/>
            </w:tcBorders>
            <w:hideMark/>
          </w:tcPr>
          <w:p w14:paraId="7E60745C" w14:textId="77777777" w:rsidR="00A41138" w:rsidRDefault="00A41138">
            <w:pPr>
              <w:rPr>
                <w:color w:val="000000"/>
                <w:szCs w:val="22"/>
                <w:lang w:val="en-GB"/>
              </w:rPr>
            </w:pPr>
            <w:r>
              <w:rPr>
                <w:color w:val="000000"/>
                <w:szCs w:val="22"/>
                <w:lang w:val="en-GB" w:bidi="da-DK"/>
              </w:rPr>
              <w:t>≤ 0,001</w:t>
            </w:r>
          </w:p>
        </w:tc>
      </w:tr>
      <w:tr w:rsidR="00A41138" w14:paraId="108CE05B" w14:textId="77777777" w:rsidTr="006259CD">
        <w:tc>
          <w:tcPr>
            <w:tcW w:w="1857" w:type="dxa"/>
            <w:tcBorders>
              <w:top w:val="single" w:sz="4" w:space="0" w:color="auto"/>
              <w:left w:val="single" w:sz="4" w:space="0" w:color="auto"/>
              <w:bottom w:val="single" w:sz="4" w:space="0" w:color="auto"/>
              <w:right w:val="single" w:sz="4" w:space="0" w:color="auto"/>
            </w:tcBorders>
            <w:hideMark/>
          </w:tcPr>
          <w:p w14:paraId="66F5AB06" w14:textId="77777777" w:rsidR="00A41138" w:rsidRDefault="00A41138">
            <w:pPr>
              <w:rPr>
                <w:color w:val="000000"/>
                <w:szCs w:val="22"/>
                <w:lang w:val="en-GB"/>
              </w:rPr>
            </w:pPr>
            <w:r>
              <w:rPr>
                <w:color w:val="000000"/>
                <w:szCs w:val="22"/>
                <w:lang w:val="en-GB" w:bidi="da-DK"/>
              </w:rPr>
              <w:t>S3GT09</w:t>
            </w:r>
          </w:p>
        </w:tc>
        <w:tc>
          <w:tcPr>
            <w:tcW w:w="1857" w:type="dxa"/>
            <w:tcBorders>
              <w:top w:val="single" w:sz="4" w:space="0" w:color="auto"/>
              <w:left w:val="single" w:sz="4" w:space="0" w:color="auto"/>
              <w:bottom w:val="single" w:sz="4" w:space="0" w:color="auto"/>
              <w:right w:val="single" w:sz="4" w:space="0" w:color="auto"/>
            </w:tcBorders>
            <w:hideMark/>
          </w:tcPr>
          <w:p w14:paraId="79AEFA5D" w14:textId="77777777" w:rsidR="00A41138" w:rsidRDefault="00A41138">
            <w:pPr>
              <w:rPr>
                <w:color w:val="000000"/>
                <w:szCs w:val="22"/>
                <w:lang w:val="en-GB"/>
              </w:rPr>
            </w:pPr>
            <w:r>
              <w:rPr>
                <w:color w:val="000000"/>
                <w:szCs w:val="22"/>
                <w:lang w:val="en-GB" w:bidi="da-DK"/>
              </w:rPr>
              <w:t>CR</w:t>
            </w:r>
          </w:p>
        </w:tc>
        <w:tc>
          <w:tcPr>
            <w:tcW w:w="1857" w:type="dxa"/>
            <w:tcBorders>
              <w:top w:val="single" w:sz="4" w:space="0" w:color="auto"/>
              <w:left w:val="single" w:sz="4" w:space="0" w:color="auto"/>
              <w:bottom w:val="single" w:sz="4" w:space="0" w:color="auto"/>
              <w:right w:val="single" w:sz="4" w:space="0" w:color="auto"/>
            </w:tcBorders>
            <w:hideMark/>
          </w:tcPr>
          <w:p w14:paraId="48C7C549" w14:textId="77777777" w:rsidR="00A41138" w:rsidRDefault="00A41138">
            <w:pPr>
              <w:rPr>
                <w:color w:val="000000"/>
                <w:szCs w:val="22"/>
                <w:lang w:val="en-GB"/>
              </w:rPr>
            </w:pPr>
            <w:r>
              <w:rPr>
                <w:color w:val="000000"/>
                <w:szCs w:val="22"/>
                <w:lang w:val="en-GB" w:bidi="da-DK"/>
              </w:rPr>
              <w:t>61</w:t>
            </w:r>
          </w:p>
        </w:tc>
        <w:tc>
          <w:tcPr>
            <w:tcW w:w="1858" w:type="dxa"/>
            <w:tcBorders>
              <w:top w:val="single" w:sz="4" w:space="0" w:color="auto"/>
              <w:left w:val="single" w:sz="4" w:space="0" w:color="auto"/>
              <w:bottom w:val="single" w:sz="4" w:space="0" w:color="auto"/>
              <w:right w:val="single" w:sz="4" w:space="0" w:color="auto"/>
            </w:tcBorders>
            <w:hideMark/>
          </w:tcPr>
          <w:p w14:paraId="32E852F8" w14:textId="77777777" w:rsidR="00A41138" w:rsidRDefault="00A41138">
            <w:pPr>
              <w:rPr>
                <w:color w:val="000000"/>
                <w:szCs w:val="22"/>
                <w:lang w:val="en-GB"/>
              </w:rPr>
            </w:pPr>
            <w:r>
              <w:rPr>
                <w:color w:val="000000"/>
                <w:szCs w:val="22"/>
                <w:lang w:val="en-GB" w:bidi="da-DK"/>
              </w:rPr>
              <w:t>35</w:t>
            </w:r>
          </w:p>
        </w:tc>
        <w:tc>
          <w:tcPr>
            <w:tcW w:w="1359" w:type="dxa"/>
            <w:tcBorders>
              <w:top w:val="single" w:sz="4" w:space="0" w:color="auto"/>
              <w:left w:val="single" w:sz="4" w:space="0" w:color="auto"/>
              <w:bottom w:val="single" w:sz="4" w:space="0" w:color="auto"/>
              <w:right w:val="single" w:sz="4" w:space="0" w:color="auto"/>
            </w:tcBorders>
            <w:hideMark/>
          </w:tcPr>
          <w:p w14:paraId="15C3B895" w14:textId="77777777" w:rsidR="00A41138" w:rsidRDefault="00A41138">
            <w:pPr>
              <w:rPr>
                <w:color w:val="000000"/>
                <w:szCs w:val="22"/>
                <w:lang w:val="en-GB"/>
              </w:rPr>
            </w:pPr>
            <w:r>
              <w:rPr>
                <w:color w:val="000000"/>
                <w:szCs w:val="22"/>
                <w:lang w:val="en-GB" w:bidi="da-DK"/>
              </w:rPr>
              <w:t>≤ 0,001</w:t>
            </w:r>
          </w:p>
        </w:tc>
      </w:tr>
      <w:tr w:rsidR="00A41138" w14:paraId="1A2623B6" w14:textId="77777777" w:rsidTr="006259CD">
        <w:tc>
          <w:tcPr>
            <w:tcW w:w="1857" w:type="dxa"/>
            <w:tcBorders>
              <w:top w:val="single" w:sz="4" w:space="0" w:color="auto"/>
              <w:left w:val="single" w:sz="4" w:space="0" w:color="auto"/>
              <w:bottom w:val="single" w:sz="4" w:space="0" w:color="auto"/>
              <w:right w:val="single" w:sz="4" w:space="0" w:color="auto"/>
            </w:tcBorders>
            <w:hideMark/>
          </w:tcPr>
          <w:p w14:paraId="0787CDB1" w14:textId="77777777" w:rsidR="00A41138" w:rsidRDefault="00A41138">
            <w:pPr>
              <w:rPr>
                <w:color w:val="000000"/>
                <w:szCs w:val="22"/>
                <w:lang w:val="en-GB"/>
              </w:rPr>
            </w:pPr>
            <w:r>
              <w:rPr>
                <w:color w:val="000000"/>
                <w:szCs w:val="22"/>
                <w:lang w:val="en-GB" w:bidi="da-DK"/>
              </w:rPr>
              <w:t>S3A381</w:t>
            </w:r>
          </w:p>
        </w:tc>
        <w:tc>
          <w:tcPr>
            <w:tcW w:w="1857" w:type="dxa"/>
            <w:tcBorders>
              <w:top w:val="single" w:sz="4" w:space="0" w:color="auto"/>
              <w:left w:val="single" w:sz="4" w:space="0" w:color="auto"/>
              <w:bottom w:val="single" w:sz="4" w:space="0" w:color="auto"/>
              <w:right w:val="single" w:sz="4" w:space="0" w:color="auto"/>
            </w:tcBorders>
            <w:hideMark/>
          </w:tcPr>
          <w:p w14:paraId="7FEAAF7A" w14:textId="77777777" w:rsidR="00A41138" w:rsidRDefault="00A41138">
            <w:pPr>
              <w:rPr>
                <w:color w:val="000000"/>
                <w:szCs w:val="22"/>
                <w:lang w:val="en-GB"/>
              </w:rPr>
            </w:pPr>
            <w:r>
              <w:rPr>
                <w:color w:val="000000"/>
                <w:szCs w:val="22"/>
                <w:lang w:val="en-GB" w:bidi="da-DK"/>
              </w:rPr>
              <w:t>CR</w:t>
            </w:r>
          </w:p>
        </w:tc>
        <w:tc>
          <w:tcPr>
            <w:tcW w:w="1857" w:type="dxa"/>
            <w:tcBorders>
              <w:top w:val="single" w:sz="4" w:space="0" w:color="auto"/>
              <w:left w:val="single" w:sz="4" w:space="0" w:color="auto"/>
              <w:bottom w:val="single" w:sz="4" w:space="0" w:color="auto"/>
              <w:right w:val="single" w:sz="4" w:space="0" w:color="auto"/>
            </w:tcBorders>
            <w:hideMark/>
          </w:tcPr>
          <w:p w14:paraId="695AD3A7" w14:textId="77777777" w:rsidR="00A41138" w:rsidRDefault="00A41138">
            <w:pPr>
              <w:rPr>
                <w:color w:val="000000"/>
                <w:szCs w:val="22"/>
                <w:lang w:val="en-GB"/>
              </w:rPr>
            </w:pPr>
            <w:r>
              <w:rPr>
                <w:color w:val="000000"/>
                <w:szCs w:val="22"/>
                <w:lang w:val="en-GB" w:bidi="da-DK"/>
              </w:rPr>
              <w:t>53</w:t>
            </w:r>
          </w:p>
        </w:tc>
        <w:tc>
          <w:tcPr>
            <w:tcW w:w="1858" w:type="dxa"/>
            <w:tcBorders>
              <w:top w:val="single" w:sz="4" w:space="0" w:color="auto"/>
              <w:left w:val="single" w:sz="4" w:space="0" w:color="auto"/>
              <w:bottom w:val="single" w:sz="4" w:space="0" w:color="auto"/>
              <w:right w:val="single" w:sz="4" w:space="0" w:color="auto"/>
            </w:tcBorders>
            <w:hideMark/>
          </w:tcPr>
          <w:p w14:paraId="5C76A314" w14:textId="77777777" w:rsidR="00A41138" w:rsidRDefault="00A41138">
            <w:pPr>
              <w:rPr>
                <w:color w:val="000000"/>
                <w:szCs w:val="22"/>
                <w:lang w:val="en-GB"/>
              </w:rPr>
            </w:pPr>
            <w:r>
              <w:rPr>
                <w:color w:val="000000"/>
                <w:szCs w:val="22"/>
                <w:lang w:val="en-GB" w:bidi="da-DK"/>
              </w:rPr>
              <w:t>17</w:t>
            </w:r>
          </w:p>
        </w:tc>
        <w:tc>
          <w:tcPr>
            <w:tcW w:w="1359" w:type="dxa"/>
            <w:tcBorders>
              <w:top w:val="single" w:sz="4" w:space="0" w:color="auto"/>
              <w:left w:val="single" w:sz="4" w:space="0" w:color="auto"/>
              <w:bottom w:val="single" w:sz="4" w:space="0" w:color="auto"/>
              <w:right w:val="single" w:sz="4" w:space="0" w:color="auto"/>
            </w:tcBorders>
            <w:hideMark/>
          </w:tcPr>
          <w:p w14:paraId="4E5B284E" w14:textId="77777777" w:rsidR="00A41138" w:rsidRDefault="00A41138">
            <w:pPr>
              <w:rPr>
                <w:color w:val="000000"/>
                <w:szCs w:val="22"/>
                <w:lang w:val="en-GB"/>
              </w:rPr>
            </w:pPr>
            <w:r>
              <w:rPr>
                <w:color w:val="000000"/>
                <w:szCs w:val="22"/>
                <w:lang w:val="en-GB" w:bidi="da-DK"/>
              </w:rPr>
              <w:t>≤ 0,001</w:t>
            </w:r>
          </w:p>
        </w:tc>
      </w:tr>
      <w:tr w:rsidR="00A41138" w14:paraId="76A802C8" w14:textId="77777777" w:rsidTr="006259CD">
        <w:tc>
          <w:tcPr>
            <w:tcW w:w="1857" w:type="dxa"/>
            <w:tcBorders>
              <w:top w:val="single" w:sz="4" w:space="0" w:color="auto"/>
              <w:left w:val="single" w:sz="4" w:space="0" w:color="auto"/>
              <w:bottom w:val="single" w:sz="4" w:space="0" w:color="auto"/>
              <w:right w:val="single" w:sz="4" w:space="0" w:color="auto"/>
            </w:tcBorders>
            <w:hideMark/>
          </w:tcPr>
          <w:p w14:paraId="4434BBC2" w14:textId="77777777" w:rsidR="00A41138" w:rsidRDefault="00A41138">
            <w:pPr>
              <w:rPr>
                <w:color w:val="000000"/>
                <w:szCs w:val="22"/>
                <w:lang w:val="en-GB"/>
              </w:rPr>
            </w:pPr>
            <w:r>
              <w:rPr>
                <w:color w:val="000000"/>
                <w:szCs w:val="22"/>
                <w:lang w:val="en-GB" w:bidi="da-DK"/>
              </w:rPr>
              <w:t>S3GT11</w:t>
            </w:r>
          </w:p>
        </w:tc>
        <w:tc>
          <w:tcPr>
            <w:tcW w:w="1857" w:type="dxa"/>
            <w:tcBorders>
              <w:top w:val="single" w:sz="4" w:space="0" w:color="auto"/>
              <w:left w:val="single" w:sz="4" w:space="0" w:color="auto"/>
              <w:bottom w:val="single" w:sz="4" w:space="0" w:color="auto"/>
              <w:right w:val="single" w:sz="4" w:space="0" w:color="auto"/>
            </w:tcBorders>
            <w:hideMark/>
          </w:tcPr>
          <w:p w14:paraId="3613D59F" w14:textId="77777777" w:rsidR="00A41138" w:rsidRDefault="00A41138">
            <w:pPr>
              <w:rPr>
                <w:color w:val="000000"/>
                <w:szCs w:val="22"/>
                <w:lang w:val="en-GB"/>
              </w:rPr>
            </w:pPr>
            <w:r>
              <w:rPr>
                <w:color w:val="000000"/>
                <w:szCs w:val="22"/>
                <w:lang w:val="en-GB" w:bidi="da-DK"/>
              </w:rPr>
              <w:t>Ingen kvalme</w:t>
            </w:r>
          </w:p>
        </w:tc>
        <w:tc>
          <w:tcPr>
            <w:tcW w:w="1857" w:type="dxa"/>
            <w:tcBorders>
              <w:top w:val="single" w:sz="4" w:space="0" w:color="auto"/>
              <w:left w:val="single" w:sz="4" w:space="0" w:color="auto"/>
              <w:bottom w:val="single" w:sz="4" w:space="0" w:color="auto"/>
              <w:right w:val="single" w:sz="4" w:space="0" w:color="auto"/>
            </w:tcBorders>
            <w:hideMark/>
          </w:tcPr>
          <w:p w14:paraId="31F70DED" w14:textId="77777777" w:rsidR="00A41138" w:rsidRDefault="00A41138">
            <w:pPr>
              <w:rPr>
                <w:color w:val="000000"/>
                <w:szCs w:val="22"/>
                <w:lang w:val="en-GB"/>
              </w:rPr>
            </w:pPr>
            <w:r>
              <w:rPr>
                <w:color w:val="000000"/>
                <w:szCs w:val="22"/>
                <w:lang w:val="en-GB" w:bidi="da-DK"/>
              </w:rPr>
              <w:t>64</w:t>
            </w:r>
          </w:p>
        </w:tc>
        <w:tc>
          <w:tcPr>
            <w:tcW w:w="1858" w:type="dxa"/>
            <w:tcBorders>
              <w:top w:val="single" w:sz="4" w:space="0" w:color="auto"/>
              <w:left w:val="single" w:sz="4" w:space="0" w:color="auto"/>
              <w:bottom w:val="single" w:sz="4" w:space="0" w:color="auto"/>
              <w:right w:val="single" w:sz="4" w:space="0" w:color="auto"/>
            </w:tcBorders>
            <w:hideMark/>
          </w:tcPr>
          <w:p w14:paraId="6DDE1CC7" w14:textId="77777777" w:rsidR="00A41138" w:rsidRDefault="00A41138">
            <w:pPr>
              <w:rPr>
                <w:color w:val="000000"/>
                <w:szCs w:val="22"/>
                <w:lang w:val="en-GB"/>
              </w:rPr>
            </w:pPr>
            <w:r>
              <w:rPr>
                <w:color w:val="000000"/>
                <w:szCs w:val="22"/>
                <w:lang w:val="en-GB" w:bidi="da-DK"/>
              </w:rPr>
              <w:t>51</w:t>
            </w:r>
          </w:p>
        </w:tc>
        <w:tc>
          <w:tcPr>
            <w:tcW w:w="1359" w:type="dxa"/>
            <w:tcBorders>
              <w:top w:val="single" w:sz="4" w:space="0" w:color="auto"/>
              <w:left w:val="single" w:sz="4" w:space="0" w:color="auto"/>
              <w:bottom w:val="single" w:sz="4" w:space="0" w:color="auto"/>
              <w:right w:val="single" w:sz="4" w:space="0" w:color="auto"/>
            </w:tcBorders>
            <w:hideMark/>
          </w:tcPr>
          <w:p w14:paraId="7D02FCC5" w14:textId="77777777" w:rsidR="00A41138" w:rsidRDefault="00A41138">
            <w:pPr>
              <w:rPr>
                <w:color w:val="000000"/>
                <w:szCs w:val="22"/>
                <w:lang w:val="en-GB"/>
              </w:rPr>
            </w:pPr>
            <w:r>
              <w:rPr>
                <w:color w:val="000000"/>
                <w:szCs w:val="22"/>
                <w:lang w:val="en-GB" w:bidi="da-DK"/>
              </w:rPr>
              <w:t>0,004</w:t>
            </w:r>
          </w:p>
        </w:tc>
      </w:tr>
      <w:tr w:rsidR="00A41138" w14:paraId="2ED6CFDF" w14:textId="77777777" w:rsidTr="006259CD">
        <w:tc>
          <w:tcPr>
            <w:tcW w:w="1857" w:type="dxa"/>
            <w:tcBorders>
              <w:top w:val="single" w:sz="4" w:space="0" w:color="auto"/>
              <w:left w:val="single" w:sz="4" w:space="0" w:color="auto"/>
              <w:bottom w:val="single" w:sz="4" w:space="0" w:color="auto"/>
              <w:right w:val="single" w:sz="4" w:space="0" w:color="auto"/>
            </w:tcBorders>
            <w:hideMark/>
          </w:tcPr>
          <w:p w14:paraId="267F9E2E" w14:textId="77777777" w:rsidR="00A41138" w:rsidRDefault="00A41138">
            <w:pPr>
              <w:rPr>
                <w:color w:val="000000"/>
                <w:szCs w:val="22"/>
                <w:lang w:val="en-GB"/>
              </w:rPr>
            </w:pPr>
            <w:r>
              <w:rPr>
                <w:color w:val="000000"/>
                <w:szCs w:val="22"/>
                <w:lang w:val="en-GB" w:bidi="da-DK"/>
              </w:rPr>
              <w:t>S3GT11</w:t>
            </w:r>
          </w:p>
        </w:tc>
        <w:tc>
          <w:tcPr>
            <w:tcW w:w="1857" w:type="dxa"/>
            <w:tcBorders>
              <w:top w:val="single" w:sz="4" w:space="0" w:color="auto"/>
              <w:left w:val="single" w:sz="4" w:space="0" w:color="auto"/>
              <w:bottom w:val="single" w:sz="4" w:space="0" w:color="auto"/>
              <w:right w:val="single" w:sz="4" w:space="0" w:color="auto"/>
            </w:tcBorders>
            <w:hideMark/>
          </w:tcPr>
          <w:p w14:paraId="08E4175E" w14:textId="77777777" w:rsidR="00A41138" w:rsidRDefault="00A41138">
            <w:pPr>
              <w:rPr>
                <w:color w:val="000000"/>
                <w:szCs w:val="22"/>
                <w:lang w:val="en-GB"/>
              </w:rPr>
            </w:pPr>
            <w:r>
              <w:rPr>
                <w:color w:val="000000"/>
                <w:szCs w:val="22"/>
                <w:lang w:val="en-GB" w:bidi="da-DK"/>
              </w:rPr>
              <w:t>Ingen opkastning</w:t>
            </w:r>
          </w:p>
        </w:tc>
        <w:tc>
          <w:tcPr>
            <w:tcW w:w="1857" w:type="dxa"/>
            <w:tcBorders>
              <w:top w:val="single" w:sz="4" w:space="0" w:color="auto"/>
              <w:left w:val="single" w:sz="4" w:space="0" w:color="auto"/>
              <w:bottom w:val="single" w:sz="4" w:space="0" w:color="auto"/>
              <w:right w:val="single" w:sz="4" w:space="0" w:color="auto"/>
            </w:tcBorders>
            <w:hideMark/>
          </w:tcPr>
          <w:p w14:paraId="31611DA8" w14:textId="77777777" w:rsidR="00A41138" w:rsidRDefault="00A41138">
            <w:pPr>
              <w:rPr>
                <w:color w:val="000000"/>
                <w:szCs w:val="22"/>
                <w:lang w:val="en-GB"/>
              </w:rPr>
            </w:pPr>
            <w:r>
              <w:rPr>
                <w:color w:val="000000"/>
                <w:szCs w:val="22"/>
                <w:lang w:val="en-GB" w:bidi="da-DK"/>
              </w:rPr>
              <w:t>60</w:t>
            </w:r>
          </w:p>
        </w:tc>
        <w:tc>
          <w:tcPr>
            <w:tcW w:w="1858" w:type="dxa"/>
            <w:tcBorders>
              <w:top w:val="single" w:sz="4" w:space="0" w:color="auto"/>
              <w:left w:val="single" w:sz="4" w:space="0" w:color="auto"/>
              <w:bottom w:val="single" w:sz="4" w:space="0" w:color="auto"/>
              <w:right w:val="single" w:sz="4" w:space="0" w:color="auto"/>
            </w:tcBorders>
            <w:hideMark/>
          </w:tcPr>
          <w:p w14:paraId="75BB8BD2" w14:textId="77777777" w:rsidR="00A41138" w:rsidRDefault="00A41138">
            <w:pPr>
              <w:rPr>
                <w:color w:val="000000"/>
                <w:szCs w:val="22"/>
                <w:lang w:val="en-GB"/>
              </w:rPr>
            </w:pPr>
            <w:r>
              <w:rPr>
                <w:color w:val="000000"/>
                <w:szCs w:val="22"/>
                <w:lang w:val="en-GB" w:bidi="da-DK"/>
              </w:rPr>
              <w:t>47</w:t>
            </w:r>
          </w:p>
        </w:tc>
        <w:tc>
          <w:tcPr>
            <w:tcW w:w="1359" w:type="dxa"/>
            <w:tcBorders>
              <w:top w:val="single" w:sz="4" w:space="0" w:color="auto"/>
              <w:left w:val="single" w:sz="4" w:space="0" w:color="auto"/>
              <w:bottom w:val="single" w:sz="4" w:space="0" w:color="auto"/>
              <w:right w:val="single" w:sz="4" w:space="0" w:color="auto"/>
            </w:tcBorders>
            <w:hideMark/>
          </w:tcPr>
          <w:p w14:paraId="36EFF6AB" w14:textId="77777777" w:rsidR="00A41138" w:rsidRDefault="00A41138">
            <w:pPr>
              <w:rPr>
                <w:color w:val="000000"/>
                <w:szCs w:val="22"/>
                <w:lang w:val="en-GB"/>
              </w:rPr>
            </w:pPr>
            <w:r>
              <w:rPr>
                <w:color w:val="000000"/>
                <w:szCs w:val="22"/>
                <w:lang w:val="en-GB" w:bidi="da-DK"/>
              </w:rPr>
              <w:t>0,004</w:t>
            </w:r>
          </w:p>
        </w:tc>
      </w:tr>
    </w:tbl>
    <w:p w14:paraId="01F15803" w14:textId="77777777" w:rsidR="00A41138" w:rsidRPr="00A41138" w:rsidRDefault="00A41138" w:rsidP="006259CD">
      <w:pPr>
        <w:ind w:left="851"/>
        <w:rPr>
          <w:color w:val="000000"/>
          <w:sz w:val="20"/>
        </w:rPr>
      </w:pPr>
      <w:r w:rsidRPr="00A41138">
        <w:rPr>
          <w:color w:val="000000"/>
          <w:sz w:val="20"/>
          <w:lang w:bidi="da-DK"/>
        </w:rPr>
        <w:t>CR = ingen opkastninger, akutmedicin eller seponering</w:t>
      </w:r>
    </w:p>
    <w:p w14:paraId="41CEBEE3" w14:textId="77777777" w:rsidR="009260DE" w:rsidRPr="00C84483" w:rsidRDefault="009260DE" w:rsidP="009260DE">
      <w:pPr>
        <w:tabs>
          <w:tab w:val="left" w:pos="851"/>
        </w:tabs>
        <w:ind w:left="851"/>
        <w:rPr>
          <w:sz w:val="24"/>
          <w:szCs w:val="24"/>
        </w:rPr>
      </w:pPr>
    </w:p>
    <w:p w14:paraId="337DDCB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5BD17D5" w14:textId="77777777" w:rsidR="006C6659" w:rsidRPr="006C6659" w:rsidRDefault="006C6659" w:rsidP="006C6659">
      <w:pPr>
        <w:tabs>
          <w:tab w:val="left" w:pos="851"/>
        </w:tabs>
        <w:ind w:left="851"/>
        <w:rPr>
          <w:sz w:val="24"/>
          <w:szCs w:val="24"/>
        </w:rPr>
      </w:pPr>
      <w:r w:rsidRPr="006C6659">
        <w:rPr>
          <w:sz w:val="24"/>
          <w:szCs w:val="24"/>
        </w:rPr>
        <w:t xml:space="preserve">Ondansetron udskilles efter oral, intramuskulær eller intravenøs dosering hos voksne på samme måde med en terminal halveringstid på ca. 3 timer og en steady state-distributionsvolumen på ca. 140 liter. Der opnås tilsvarende systemisk eksponering efter intramuskulær og intravenøs administration af ondansetron. </w:t>
      </w:r>
    </w:p>
    <w:p w14:paraId="62480731" w14:textId="77777777" w:rsidR="006C6659" w:rsidRPr="006C6659" w:rsidRDefault="006C6659" w:rsidP="006C6659">
      <w:pPr>
        <w:tabs>
          <w:tab w:val="left" w:pos="851"/>
        </w:tabs>
        <w:ind w:left="851"/>
        <w:rPr>
          <w:sz w:val="24"/>
          <w:szCs w:val="24"/>
        </w:rPr>
      </w:pPr>
      <w:r w:rsidRPr="006C6659">
        <w:rPr>
          <w:sz w:val="24"/>
          <w:szCs w:val="24"/>
        </w:rPr>
        <w:t>Ondansetron er ikke stærkt proteinbundet (70-76 %). Ondansetron cleares fra den systemiske cirkulation hovedsageligt ved levermetabolisme gennem flere enzymatiske veje. Mindre end 5 % af den absorberede dosis udskilles uændret i urinen. Fraværet af enzymet CYP2D6 (debrisoquine-polymorfismen) har ingen indvirkning på ondansetrons farmakokinetik. De farmakokinetiske egenskaber af ondansetron er uændrede ved gentagen dosering. Forsøg hos raske ældre frivillige har vist en svag, men klinisk ubetydelig aldersbetinget stigning i både oral biotilgængelighed og halveringstid for ondansetron.</w:t>
      </w:r>
    </w:p>
    <w:p w14:paraId="0048C137" w14:textId="77777777" w:rsidR="006C6659" w:rsidRPr="006C6659" w:rsidRDefault="006C6659" w:rsidP="006C6659">
      <w:pPr>
        <w:tabs>
          <w:tab w:val="left" w:pos="851"/>
        </w:tabs>
        <w:ind w:left="851"/>
        <w:rPr>
          <w:sz w:val="24"/>
          <w:szCs w:val="24"/>
        </w:rPr>
      </w:pPr>
    </w:p>
    <w:p w14:paraId="0229095D" w14:textId="77777777" w:rsidR="006C6659" w:rsidRPr="006C6659" w:rsidRDefault="006C6659" w:rsidP="006C6659">
      <w:pPr>
        <w:tabs>
          <w:tab w:val="left" w:pos="851"/>
        </w:tabs>
        <w:ind w:left="851"/>
        <w:rPr>
          <w:sz w:val="24"/>
          <w:szCs w:val="24"/>
        </w:rPr>
      </w:pPr>
      <w:r w:rsidRPr="006C6659">
        <w:rPr>
          <w:sz w:val="24"/>
          <w:szCs w:val="24"/>
        </w:rPr>
        <w:t xml:space="preserve">Der blev påvist kønsforskelle i dispositionen af ondansetron, idet kvinder havde en højere absorptionshastighed og -grad efter oral indgift og nedsat systemisk clearance og distributionsvolumen (justeret for vægt). </w:t>
      </w:r>
    </w:p>
    <w:p w14:paraId="7B58F8F8" w14:textId="12A76790" w:rsidR="004050C0" w:rsidRDefault="004050C0">
      <w:pPr>
        <w:rPr>
          <w:sz w:val="24"/>
          <w:szCs w:val="24"/>
        </w:rPr>
      </w:pPr>
      <w:r>
        <w:rPr>
          <w:sz w:val="24"/>
          <w:szCs w:val="24"/>
        </w:rPr>
        <w:br w:type="page"/>
      </w:r>
    </w:p>
    <w:p w14:paraId="3B3CB077" w14:textId="77777777" w:rsidR="006C6659" w:rsidRPr="006C6659" w:rsidRDefault="006C6659" w:rsidP="006C6659">
      <w:pPr>
        <w:tabs>
          <w:tab w:val="left" w:pos="851"/>
        </w:tabs>
        <w:ind w:left="851"/>
        <w:rPr>
          <w:sz w:val="24"/>
          <w:szCs w:val="24"/>
        </w:rPr>
      </w:pPr>
    </w:p>
    <w:p w14:paraId="1F54358D" w14:textId="77777777" w:rsidR="006C6659" w:rsidRPr="004050C0" w:rsidRDefault="006C6659" w:rsidP="006C6659">
      <w:pPr>
        <w:tabs>
          <w:tab w:val="left" w:pos="851"/>
        </w:tabs>
        <w:ind w:left="851"/>
        <w:rPr>
          <w:iCs/>
          <w:sz w:val="24"/>
          <w:szCs w:val="24"/>
          <w:u w:val="single"/>
        </w:rPr>
      </w:pPr>
      <w:r w:rsidRPr="004050C0">
        <w:rPr>
          <w:iCs/>
          <w:sz w:val="24"/>
          <w:szCs w:val="24"/>
          <w:u w:val="single"/>
        </w:rPr>
        <w:t>Pædiatrisk population</w:t>
      </w:r>
    </w:p>
    <w:p w14:paraId="7C971266" w14:textId="77777777" w:rsidR="006C6659" w:rsidRPr="006C6659" w:rsidRDefault="006C6659" w:rsidP="006C6659">
      <w:pPr>
        <w:tabs>
          <w:tab w:val="left" w:pos="851"/>
        </w:tabs>
        <w:ind w:left="851"/>
        <w:rPr>
          <w:sz w:val="24"/>
          <w:szCs w:val="24"/>
        </w:rPr>
      </w:pPr>
      <w:r w:rsidRPr="006C6659">
        <w:rPr>
          <w:sz w:val="24"/>
          <w:szCs w:val="24"/>
        </w:rPr>
        <w:t>Hos småbørn i alderen 1-4 måneder (n = 19), der blev opereret, var vægtnormaliseret clearance ca. 30 % langsommere end hos patienter i alderen 5-24 måneder. (n = 22), men sammenlignelig med patienter i alderen 3-12 år. Halveringstiden i patientpopulationen på 1-4 måneder. blev rapporteret til i gennemsnit 6,7 timer sammenlignet med 2,9 timer for patienter i aldersgruppen 5-24 mdr. og 3-12 år. Forskellene i farmakokinetiske parametre i patientpopulationen på 1-4 måneder kan delvis forklares ved den højere procentdel af total kropsvæske hos nyfødte og spædbørn og et højere distributionsvolumen for vandopløselige lægemidler såsom ondansetron.</w:t>
      </w:r>
    </w:p>
    <w:p w14:paraId="4AA9CB64" w14:textId="77777777" w:rsidR="006C6659" w:rsidRPr="006C6659" w:rsidRDefault="006C6659" w:rsidP="006C6659">
      <w:pPr>
        <w:tabs>
          <w:tab w:val="left" w:pos="851"/>
        </w:tabs>
        <w:ind w:left="851"/>
        <w:rPr>
          <w:sz w:val="24"/>
          <w:szCs w:val="24"/>
        </w:rPr>
      </w:pPr>
      <w:r w:rsidRPr="006C6659">
        <w:rPr>
          <w:sz w:val="24"/>
          <w:szCs w:val="24"/>
        </w:rPr>
        <w:t>Hos børn i alderen 3-12 år, der blev opereret under fuld anæstesi, var de absolutte værdier for både clearance og fordelingsvolumen af ondansetron reduceret sammenlignet med værdierne hos voksne patienter. Begge parametre steg lineært med vægten, og ved 12-åsalderen nærmede værdierne sig de samme, som ses hos unge voksne. Når clearance- og distributionsvolumenværdierne blev normaliseret efter kropsvægt, var værdierne for disse parametre ens mellem de forskellige aldersgrupper. Anvendelse af vægtbaseret dosering kompenserer for aldersrelaterede ændringer og er effektiv til normalisering af systemisk eksponering hos pædiatriske patienter.</w:t>
      </w:r>
    </w:p>
    <w:p w14:paraId="6EEC8A60" w14:textId="77777777" w:rsidR="006C6659" w:rsidRPr="006C6659" w:rsidRDefault="006C6659" w:rsidP="006C6659">
      <w:pPr>
        <w:tabs>
          <w:tab w:val="left" w:pos="851"/>
        </w:tabs>
        <w:ind w:left="851"/>
        <w:rPr>
          <w:sz w:val="24"/>
          <w:szCs w:val="24"/>
        </w:rPr>
      </w:pPr>
    </w:p>
    <w:p w14:paraId="038576EB" w14:textId="77777777" w:rsidR="006C6659" w:rsidRPr="006C6659" w:rsidRDefault="006C6659" w:rsidP="006C6659">
      <w:pPr>
        <w:tabs>
          <w:tab w:val="left" w:pos="851"/>
        </w:tabs>
        <w:ind w:left="851"/>
        <w:rPr>
          <w:sz w:val="24"/>
          <w:szCs w:val="24"/>
        </w:rPr>
      </w:pPr>
      <w:r w:rsidRPr="006C6659">
        <w:rPr>
          <w:sz w:val="24"/>
          <w:szCs w:val="24"/>
        </w:rPr>
        <w:t>Der er blevet foretaget en populationsfarmakokinetisk analyse hos 428 forsøgspersoner (kræftpatienter, kirurgiske patienter og raske frivillige) i alderen 1 måned til 44 år efter intravenøs administration af ondansetron. Baseret på denne analyse var den systemiske eksponering (AUC) af ondansetron efter oral eller intravenøs dosering hos børn og unge sammenlignelig med voksne, med undtagelse af spædbørn i alderen 1- 4 måneder. Distributionsvolumen var relateret til alder og var lavere hos voksne end hos spædbørn og børn. Clearance var relateret til vægt, men ikke til alder, med undtagelse af spædbørn i alderen 1-4 måneder. Det er vanskeligt at konkludere, om der var en yderligere reduktion i clearance i forbindelse med alder hos spædbørn i alderen 1-4 måneder, eller om det blot var en iboende variabilitet på grund af det lave antal undersøgte personer i denne aldersgruppe. Da patienter under 6 måneder kun får en enkelt dosis ved PONV, er det ikke sandsynligt, at en nedsat clearance vil være klinisk relevant.</w:t>
      </w:r>
    </w:p>
    <w:p w14:paraId="322FDA88" w14:textId="77777777" w:rsidR="006C6659" w:rsidRPr="006C6659" w:rsidRDefault="006C6659" w:rsidP="006C6659">
      <w:pPr>
        <w:tabs>
          <w:tab w:val="left" w:pos="851"/>
        </w:tabs>
        <w:ind w:left="851"/>
        <w:rPr>
          <w:sz w:val="24"/>
          <w:szCs w:val="24"/>
        </w:rPr>
      </w:pPr>
    </w:p>
    <w:p w14:paraId="70DF5FFB" w14:textId="77777777" w:rsidR="006C6659" w:rsidRPr="004050C0" w:rsidRDefault="006C6659" w:rsidP="006C6659">
      <w:pPr>
        <w:tabs>
          <w:tab w:val="left" w:pos="851"/>
        </w:tabs>
        <w:ind w:left="851"/>
        <w:rPr>
          <w:iCs/>
          <w:sz w:val="24"/>
          <w:szCs w:val="24"/>
          <w:u w:val="single"/>
        </w:rPr>
      </w:pPr>
      <w:r w:rsidRPr="004050C0">
        <w:rPr>
          <w:iCs/>
          <w:sz w:val="24"/>
          <w:szCs w:val="24"/>
          <w:u w:val="single"/>
        </w:rPr>
        <w:t>Ældre</w:t>
      </w:r>
    </w:p>
    <w:p w14:paraId="44721273" w14:textId="77777777" w:rsidR="006C6659" w:rsidRPr="006C6659" w:rsidRDefault="006C6659" w:rsidP="006C6659">
      <w:pPr>
        <w:tabs>
          <w:tab w:val="left" w:pos="851"/>
        </w:tabs>
        <w:ind w:left="851"/>
        <w:rPr>
          <w:sz w:val="24"/>
          <w:szCs w:val="24"/>
        </w:rPr>
      </w:pPr>
      <w:r w:rsidRPr="006C6659">
        <w:rPr>
          <w:sz w:val="24"/>
          <w:szCs w:val="24"/>
        </w:rPr>
        <w:t xml:space="preserve">Tidlige fase I-forsøg med ondansetron hos raske, ældre frivillige viste et mindre aldersrelateret fald i clearance og en forøgelse af halveringstiden. Imidlertid medførte store individuelle forskelle betydelig overlapning i farmakokinetiske parametre mellem unge (&lt; 65 år) og ældre (≥ 65 år), og der blev ikke observeret nogen generelle forskelle i sikkerhed eller virkning mellem unge og ældre kræftpatienter, der deltog i kliniske forsøg med CINV, som kunne understøtte en anden doseringsanbefaling for ældre. </w:t>
      </w:r>
    </w:p>
    <w:p w14:paraId="673A9FC4" w14:textId="77777777" w:rsidR="006C6659" w:rsidRPr="006C6659" w:rsidRDefault="006C6659" w:rsidP="006C6659">
      <w:pPr>
        <w:tabs>
          <w:tab w:val="left" w:pos="851"/>
        </w:tabs>
        <w:ind w:left="851"/>
        <w:rPr>
          <w:sz w:val="24"/>
          <w:szCs w:val="24"/>
        </w:rPr>
      </w:pPr>
      <w:r w:rsidRPr="006C6659">
        <w:rPr>
          <w:sz w:val="24"/>
          <w:szCs w:val="24"/>
        </w:rPr>
        <w:t xml:space="preserve">Baseret på nyere ondansetron-plasmakoncentrationer og eksponerings-respons-modellering forventes en større effekt på QTcF hos patienter ≥ 75 år sammenlignet med unge voksne. Der er specifikke doseringsoplysninger for patienter over 65 år og over 75 år til i.v. dosering (se pkt.  4.2). </w:t>
      </w:r>
    </w:p>
    <w:p w14:paraId="4F1001D0" w14:textId="77777777" w:rsidR="006C6659" w:rsidRPr="006C6659" w:rsidRDefault="006C6659" w:rsidP="006C6659">
      <w:pPr>
        <w:tabs>
          <w:tab w:val="left" w:pos="851"/>
        </w:tabs>
        <w:ind w:left="851"/>
        <w:rPr>
          <w:sz w:val="24"/>
          <w:szCs w:val="24"/>
        </w:rPr>
      </w:pPr>
    </w:p>
    <w:p w14:paraId="342259B6" w14:textId="77777777" w:rsidR="006C6659" w:rsidRPr="004050C0" w:rsidRDefault="006C6659" w:rsidP="006C6659">
      <w:pPr>
        <w:tabs>
          <w:tab w:val="left" w:pos="851"/>
        </w:tabs>
        <w:ind w:left="851"/>
        <w:rPr>
          <w:iCs/>
          <w:sz w:val="24"/>
          <w:szCs w:val="24"/>
          <w:u w:val="single"/>
        </w:rPr>
      </w:pPr>
      <w:r w:rsidRPr="004050C0">
        <w:rPr>
          <w:iCs/>
          <w:sz w:val="24"/>
          <w:szCs w:val="24"/>
          <w:u w:val="single"/>
        </w:rPr>
        <w:t>Nedsat nyrefunktion</w:t>
      </w:r>
    </w:p>
    <w:p w14:paraId="24D86A18" w14:textId="77777777" w:rsidR="006C6659" w:rsidRPr="006C6659" w:rsidRDefault="006C6659" w:rsidP="006C6659">
      <w:pPr>
        <w:tabs>
          <w:tab w:val="left" w:pos="851"/>
        </w:tabs>
        <w:ind w:left="851"/>
        <w:rPr>
          <w:sz w:val="24"/>
          <w:szCs w:val="24"/>
        </w:rPr>
      </w:pPr>
      <w:r w:rsidRPr="006C6659">
        <w:rPr>
          <w:sz w:val="24"/>
          <w:szCs w:val="24"/>
        </w:rPr>
        <w:t xml:space="preserve">Hos patienter med moderat nedsat nyrefunktion (kreatinin-clearance 15-60 ml/min) er både den systemiske clearance og fordelingsvolumen reduceret, hvilket resulterer i en svag, men klinisk ubetydelig forøgelse af eliminationshalveringstiden (5,4 timer). Et forsøg hos patienter med alvorlig nedsat nyrefunktion, der krævede regelmæssig hæmodialyse (undersøgt mellem dialysebehandlinger), viste, at ondansetrons farmakokinetik var stort set uændret. </w:t>
      </w:r>
    </w:p>
    <w:p w14:paraId="1D6ADF6E" w14:textId="77777777" w:rsidR="006C6659" w:rsidRPr="006C6659" w:rsidRDefault="006C6659" w:rsidP="006C6659">
      <w:pPr>
        <w:tabs>
          <w:tab w:val="left" w:pos="851"/>
        </w:tabs>
        <w:ind w:left="851"/>
        <w:rPr>
          <w:sz w:val="24"/>
          <w:szCs w:val="24"/>
        </w:rPr>
      </w:pPr>
    </w:p>
    <w:p w14:paraId="280A4818" w14:textId="77777777" w:rsidR="006C6659" w:rsidRPr="004050C0" w:rsidRDefault="006C6659" w:rsidP="006C6659">
      <w:pPr>
        <w:tabs>
          <w:tab w:val="left" w:pos="851"/>
        </w:tabs>
        <w:ind w:left="851"/>
        <w:rPr>
          <w:iCs/>
          <w:sz w:val="24"/>
          <w:szCs w:val="24"/>
          <w:u w:val="single"/>
        </w:rPr>
      </w:pPr>
      <w:r w:rsidRPr="004050C0">
        <w:rPr>
          <w:iCs/>
          <w:sz w:val="24"/>
          <w:szCs w:val="24"/>
          <w:u w:val="single"/>
        </w:rPr>
        <w:t>Nedsat leverfunktion</w:t>
      </w:r>
    </w:p>
    <w:p w14:paraId="2D7C7EFC" w14:textId="77777777" w:rsidR="006C6659" w:rsidRPr="006C6659" w:rsidRDefault="006C6659" w:rsidP="006C6659">
      <w:pPr>
        <w:tabs>
          <w:tab w:val="left" w:pos="851"/>
        </w:tabs>
        <w:ind w:left="851"/>
        <w:rPr>
          <w:sz w:val="24"/>
          <w:szCs w:val="24"/>
        </w:rPr>
      </w:pPr>
      <w:r w:rsidRPr="006C6659">
        <w:rPr>
          <w:sz w:val="24"/>
          <w:szCs w:val="24"/>
        </w:rPr>
        <w:t>Hos patienter med alvorlig leverinsufficiens er ondansetrons systemiske clearance markant reduceret med forlænget halveringstid (15-32 timer) og en oral biotilgængelighed på næsten 100 % på grund af reduceret præsystemisk metabolisme.</w:t>
      </w:r>
    </w:p>
    <w:p w14:paraId="0FA49D2A" w14:textId="77777777" w:rsidR="009260DE" w:rsidRPr="00C84483" w:rsidRDefault="009260DE" w:rsidP="009260DE">
      <w:pPr>
        <w:tabs>
          <w:tab w:val="left" w:pos="851"/>
        </w:tabs>
        <w:ind w:left="851"/>
        <w:rPr>
          <w:sz w:val="24"/>
          <w:szCs w:val="24"/>
        </w:rPr>
      </w:pPr>
    </w:p>
    <w:p w14:paraId="392DFCA5"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B05E54B" w14:textId="77777777" w:rsidR="004A4996" w:rsidRPr="004A4996" w:rsidRDefault="004A4996" w:rsidP="004A4996">
      <w:pPr>
        <w:tabs>
          <w:tab w:val="left" w:pos="851"/>
        </w:tabs>
        <w:ind w:left="851"/>
        <w:rPr>
          <w:sz w:val="24"/>
          <w:szCs w:val="24"/>
        </w:rPr>
      </w:pPr>
      <w:r w:rsidRPr="004A4996">
        <w:rPr>
          <w:sz w:val="24"/>
          <w:szCs w:val="24"/>
        </w:rPr>
        <w:t>Et studie af klonede humane hjerteionkanaler har vist, at ondansetron muligvis kan påvirke hjerterepolarisation via blokering af hERG-kaliumkanaler i klinisk relevante koncentrationer. Der er observeret dosisafhængig QT-forlængelse i et grundigt QT-forsøg hos frivillige personer (se pkt.  5.1). I embryonale og føtale utviklingsforsøg hos rotter og kaniner fik drægtige dyr orale doser af ondansetron på op til henholdsvis 15 mg/kg/dag og 30 mg/kg/dag i organogeneseperioden. Med undtagelse af et mindre fald i moderdyrenes vægtøgning hos kaniner var der ingen signifikante virkninger af ondansetron på moderdyrene eller afkommet. Ved doser på 15 mg/kg/dag til rotter og 30 mg/kg/dag til kaniner var moderens dosis ca. 6 og 24 gange den maksimale anbefalede orale dosis til mennesker på 24 mg/dag, baseret på kropsoverfladeareal. I et præ- og postnatal udviklingstoksicitetsforsøg fik drægtige rotter orale doser af ondansetron på op til 15 mg/kg/dag fra drægtighedsdag 17 til kulddag 21. Med undtagelse af en svag reduktion i moderdyrets vægtøgning var der ingen virkninger på de drægtige rotter og deres afkoms præ- og postnatale udvikling, ej heller reproduktionsevnen hos den parrede F1-generation. Ved en dosis på 15 mg/kg/dag hos rotter var moderdyrets dosis ca. 6 gange den maksimale anbefalede orale dosis til mennesker på 24 mg/dag baseret på BSA.</w:t>
      </w:r>
    </w:p>
    <w:p w14:paraId="673D33AA" w14:textId="77777777" w:rsidR="009260DE" w:rsidRPr="00C84483" w:rsidRDefault="009260DE" w:rsidP="009260DE">
      <w:pPr>
        <w:tabs>
          <w:tab w:val="left" w:pos="851"/>
        </w:tabs>
        <w:ind w:left="851"/>
        <w:rPr>
          <w:sz w:val="24"/>
          <w:szCs w:val="24"/>
        </w:rPr>
      </w:pPr>
    </w:p>
    <w:p w14:paraId="31F3E444" w14:textId="77777777" w:rsidR="009260DE" w:rsidRPr="00C84483" w:rsidRDefault="009260DE" w:rsidP="009260DE">
      <w:pPr>
        <w:tabs>
          <w:tab w:val="left" w:pos="851"/>
        </w:tabs>
        <w:ind w:left="851"/>
        <w:rPr>
          <w:sz w:val="24"/>
          <w:szCs w:val="24"/>
        </w:rPr>
      </w:pPr>
    </w:p>
    <w:p w14:paraId="7488C09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D507FE6" w14:textId="77777777" w:rsidR="009260DE" w:rsidRPr="00BA09F1" w:rsidRDefault="009260DE" w:rsidP="009260DE">
      <w:pPr>
        <w:tabs>
          <w:tab w:val="left" w:pos="851"/>
        </w:tabs>
        <w:ind w:left="851"/>
        <w:rPr>
          <w:sz w:val="24"/>
          <w:szCs w:val="24"/>
        </w:rPr>
      </w:pPr>
    </w:p>
    <w:p w14:paraId="544772E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9591F19" w14:textId="77777777" w:rsidR="004A4996" w:rsidRPr="004A4996" w:rsidRDefault="004A4996" w:rsidP="004A4996">
      <w:pPr>
        <w:tabs>
          <w:tab w:val="left" w:pos="851"/>
        </w:tabs>
        <w:ind w:left="851"/>
        <w:rPr>
          <w:sz w:val="24"/>
          <w:szCs w:val="24"/>
        </w:rPr>
      </w:pPr>
      <w:r w:rsidRPr="004A4996">
        <w:rPr>
          <w:sz w:val="24"/>
          <w:szCs w:val="24"/>
        </w:rPr>
        <w:t>Citronsyremonohydrat</w:t>
      </w:r>
    </w:p>
    <w:p w14:paraId="6B0AFBFD" w14:textId="77777777" w:rsidR="004A4996" w:rsidRPr="004A4996" w:rsidRDefault="004A4996" w:rsidP="004A4996">
      <w:pPr>
        <w:tabs>
          <w:tab w:val="left" w:pos="851"/>
        </w:tabs>
        <w:ind w:left="851"/>
        <w:rPr>
          <w:sz w:val="24"/>
          <w:szCs w:val="24"/>
        </w:rPr>
      </w:pPr>
      <w:r w:rsidRPr="004A4996">
        <w:rPr>
          <w:sz w:val="24"/>
          <w:szCs w:val="24"/>
        </w:rPr>
        <w:t xml:space="preserve">Natriumcitratdihydrat </w:t>
      </w:r>
    </w:p>
    <w:p w14:paraId="1F720722" w14:textId="77777777" w:rsidR="004A4996" w:rsidRPr="004A4996" w:rsidRDefault="004A4996" w:rsidP="004A4996">
      <w:pPr>
        <w:tabs>
          <w:tab w:val="left" w:pos="851"/>
        </w:tabs>
        <w:ind w:left="851"/>
        <w:rPr>
          <w:sz w:val="24"/>
          <w:szCs w:val="24"/>
        </w:rPr>
      </w:pPr>
      <w:r w:rsidRPr="004A4996">
        <w:rPr>
          <w:sz w:val="24"/>
          <w:szCs w:val="24"/>
        </w:rPr>
        <w:t>Natriumchlorid</w:t>
      </w:r>
    </w:p>
    <w:p w14:paraId="74885E51" w14:textId="77777777" w:rsidR="004A4996" w:rsidRPr="004A4996" w:rsidRDefault="004A4996" w:rsidP="004A4996">
      <w:pPr>
        <w:tabs>
          <w:tab w:val="left" w:pos="851"/>
        </w:tabs>
        <w:ind w:left="851"/>
        <w:rPr>
          <w:sz w:val="24"/>
          <w:szCs w:val="24"/>
        </w:rPr>
      </w:pPr>
      <w:r w:rsidRPr="004A4996">
        <w:rPr>
          <w:sz w:val="24"/>
          <w:szCs w:val="24"/>
        </w:rPr>
        <w:t>Vand til injektionsvæsker</w:t>
      </w:r>
    </w:p>
    <w:p w14:paraId="75B83B5C" w14:textId="77777777" w:rsidR="009260DE" w:rsidRPr="00C84483" w:rsidRDefault="009260DE" w:rsidP="009260DE">
      <w:pPr>
        <w:tabs>
          <w:tab w:val="left" w:pos="851"/>
        </w:tabs>
        <w:ind w:left="851"/>
        <w:rPr>
          <w:sz w:val="24"/>
          <w:szCs w:val="24"/>
        </w:rPr>
      </w:pPr>
    </w:p>
    <w:p w14:paraId="37CA258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7E36A59" w14:textId="77777777" w:rsidR="004A4996" w:rsidRPr="004A4996" w:rsidRDefault="004A4996" w:rsidP="004A4996">
      <w:pPr>
        <w:tabs>
          <w:tab w:val="left" w:pos="851"/>
        </w:tabs>
        <w:ind w:left="851"/>
        <w:rPr>
          <w:sz w:val="24"/>
          <w:szCs w:val="24"/>
        </w:rPr>
      </w:pPr>
      <w:r w:rsidRPr="004A4996">
        <w:rPr>
          <w:sz w:val="24"/>
          <w:szCs w:val="24"/>
        </w:rPr>
        <w:t>Ondansetron-injektion må ikke indgives i samme sprøjte eller infusion med andre lægemidler. Dette lægemiddel må ikke blandes med andre lægemidler undtagen dem, der er nævnt i pkt.  6.6.</w:t>
      </w:r>
    </w:p>
    <w:p w14:paraId="76A5A860" w14:textId="77777777" w:rsidR="009260DE" w:rsidRPr="00C84483" w:rsidRDefault="009260DE" w:rsidP="009260DE">
      <w:pPr>
        <w:tabs>
          <w:tab w:val="left" w:pos="851"/>
        </w:tabs>
        <w:ind w:left="851"/>
        <w:rPr>
          <w:sz w:val="24"/>
          <w:szCs w:val="24"/>
        </w:rPr>
      </w:pPr>
    </w:p>
    <w:p w14:paraId="4C397305"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694D10C" w14:textId="0622741C" w:rsidR="004A4996" w:rsidRPr="004A4996" w:rsidRDefault="004A4996" w:rsidP="004A4996">
      <w:pPr>
        <w:tabs>
          <w:tab w:val="left" w:pos="851"/>
        </w:tabs>
        <w:ind w:left="851"/>
        <w:rPr>
          <w:sz w:val="24"/>
          <w:szCs w:val="24"/>
        </w:rPr>
      </w:pPr>
      <w:r w:rsidRPr="004A4996">
        <w:rPr>
          <w:sz w:val="24"/>
          <w:szCs w:val="24"/>
        </w:rPr>
        <w:t>Glasampuller: 3 år</w:t>
      </w:r>
      <w:r>
        <w:rPr>
          <w:sz w:val="24"/>
          <w:szCs w:val="24"/>
        </w:rPr>
        <w:t>.</w:t>
      </w:r>
    </w:p>
    <w:p w14:paraId="262499A5" w14:textId="72CD13AF" w:rsidR="004A4996" w:rsidRPr="004A4996" w:rsidRDefault="004A4996" w:rsidP="004A4996">
      <w:pPr>
        <w:tabs>
          <w:tab w:val="left" w:pos="851"/>
        </w:tabs>
        <w:ind w:left="851"/>
        <w:rPr>
          <w:sz w:val="24"/>
          <w:szCs w:val="24"/>
        </w:rPr>
      </w:pPr>
      <w:r w:rsidRPr="004A4996">
        <w:rPr>
          <w:sz w:val="24"/>
          <w:szCs w:val="24"/>
        </w:rPr>
        <w:t>Plastampuller indpakket i individuelle blisterpakninger af aluminiumsfolie: 3 år</w:t>
      </w:r>
      <w:r>
        <w:rPr>
          <w:sz w:val="24"/>
          <w:szCs w:val="24"/>
        </w:rPr>
        <w:t>.</w:t>
      </w:r>
    </w:p>
    <w:p w14:paraId="65271213" w14:textId="407925A6" w:rsidR="004A4996" w:rsidRPr="004A4996" w:rsidRDefault="004A4996" w:rsidP="004A4996">
      <w:pPr>
        <w:tabs>
          <w:tab w:val="left" w:pos="851"/>
        </w:tabs>
        <w:ind w:left="851"/>
        <w:rPr>
          <w:sz w:val="24"/>
          <w:szCs w:val="24"/>
        </w:rPr>
      </w:pPr>
      <w:r w:rsidRPr="004A4996">
        <w:rPr>
          <w:sz w:val="24"/>
          <w:szCs w:val="24"/>
        </w:rPr>
        <w:t>Plastampuller indpakket i en beskyttelsespose: 3 år</w:t>
      </w:r>
      <w:r>
        <w:rPr>
          <w:sz w:val="24"/>
          <w:szCs w:val="24"/>
        </w:rPr>
        <w:t>.</w:t>
      </w:r>
    </w:p>
    <w:p w14:paraId="26ED5984" w14:textId="77777777" w:rsidR="004A4996" w:rsidRPr="004A4996" w:rsidRDefault="004A4996" w:rsidP="004A4996">
      <w:pPr>
        <w:tabs>
          <w:tab w:val="left" w:pos="851"/>
        </w:tabs>
        <w:ind w:left="851"/>
        <w:rPr>
          <w:sz w:val="24"/>
          <w:szCs w:val="24"/>
        </w:rPr>
      </w:pPr>
      <w:r w:rsidRPr="004A4996">
        <w:rPr>
          <w:sz w:val="24"/>
          <w:szCs w:val="24"/>
        </w:rPr>
        <w:t>Anvendes indenfor 4 måneder efter åbning af beskyttelsesposen.</w:t>
      </w:r>
    </w:p>
    <w:p w14:paraId="7A8FE508" w14:textId="77777777" w:rsidR="004A4996" w:rsidRPr="004A4996" w:rsidRDefault="004A4996" w:rsidP="004A4996">
      <w:pPr>
        <w:tabs>
          <w:tab w:val="left" w:pos="851"/>
        </w:tabs>
        <w:ind w:left="851"/>
        <w:rPr>
          <w:sz w:val="24"/>
          <w:szCs w:val="24"/>
        </w:rPr>
      </w:pPr>
    </w:p>
    <w:p w14:paraId="7D525A11" w14:textId="397C1704" w:rsidR="004A4996" w:rsidRPr="004A4996" w:rsidRDefault="004A4996" w:rsidP="004A4996">
      <w:pPr>
        <w:tabs>
          <w:tab w:val="left" w:pos="851"/>
        </w:tabs>
        <w:ind w:left="851"/>
        <w:rPr>
          <w:sz w:val="24"/>
          <w:szCs w:val="24"/>
          <w:u w:val="single"/>
        </w:rPr>
      </w:pPr>
      <w:r w:rsidRPr="004A4996">
        <w:rPr>
          <w:sz w:val="24"/>
          <w:szCs w:val="24"/>
          <w:u w:val="single"/>
        </w:rPr>
        <w:t>Efter fortynding</w:t>
      </w:r>
    </w:p>
    <w:p w14:paraId="529EE826" w14:textId="77777777" w:rsidR="004A4996" w:rsidRDefault="004A4996" w:rsidP="004A4996">
      <w:pPr>
        <w:tabs>
          <w:tab w:val="left" w:pos="851"/>
        </w:tabs>
        <w:ind w:left="851"/>
        <w:rPr>
          <w:sz w:val="24"/>
          <w:szCs w:val="24"/>
        </w:rPr>
      </w:pPr>
      <w:r w:rsidRPr="004A4996">
        <w:rPr>
          <w:sz w:val="24"/>
          <w:szCs w:val="24"/>
        </w:rPr>
        <w:t>Der er påvist kemisk og fysisk stabilitet ved anvendelse efter 24 timers opbevaring ved</w:t>
      </w:r>
    </w:p>
    <w:p w14:paraId="5B56293F" w14:textId="4EF7A506" w:rsidR="004A4996" w:rsidRPr="004A4996" w:rsidRDefault="004A4996" w:rsidP="004A4996">
      <w:pPr>
        <w:tabs>
          <w:tab w:val="left" w:pos="851"/>
        </w:tabs>
        <w:ind w:left="851"/>
        <w:rPr>
          <w:sz w:val="24"/>
          <w:szCs w:val="24"/>
        </w:rPr>
      </w:pPr>
      <w:r w:rsidRPr="004A4996">
        <w:rPr>
          <w:sz w:val="24"/>
          <w:szCs w:val="24"/>
        </w:rPr>
        <w:t>25 °C og 36 timers opbevaring i køleskab (2</w:t>
      </w:r>
      <w:r>
        <w:rPr>
          <w:sz w:val="24"/>
          <w:szCs w:val="24"/>
        </w:rPr>
        <w:t>-</w:t>
      </w:r>
      <w:r w:rsidRPr="004A4996">
        <w:rPr>
          <w:sz w:val="24"/>
          <w:szCs w:val="24"/>
        </w:rPr>
        <w:t xml:space="preserve">8 °C). Fortyndinger af </w:t>
      </w:r>
      <w:r>
        <w:rPr>
          <w:sz w:val="24"/>
          <w:szCs w:val="24"/>
        </w:rPr>
        <w:t>o</w:t>
      </w:r>
      <w:r w:rsidRPr="004A4996">
        <w:rPr>
          <w:sz w:val="24"/>
          <w:szCs w:val="24"/>
        </w:rPr>
        <w:t>ndansetron-injektion i kompatible, intravenøse infusionsvæsker er stabile under normale lysforhold i rummet eller dagslys i mindst 24 timer, og således unødvendigt at beskytte mod lys under infusionen.</w:t>
      </w:r>
    </w:p>
    <w:p w14:paraId="13794575" w14:textId="77777777" w:rsidR="004A4996" w:rsidRPr="004A4996" w:rsidRDefault="004A4996" w:rsidP="004A4996">
      <w:pPr>
        <w:tabs>
          <w:tab w:val="left" w:pos="851"/>
        </w:tabs>
        <w:ind w:left="851"/>
        <w:rPr>
          <w:sz w:val="24"/>
          <w:szCs w:val="24"/>
        </w:rPr>
      </w:pPr>
      <w:r w:rsidRPr="004A4996">
        <w:rPr>
          <w:sz w:val="24"/>
          <w:szCs w:val="24"/>
        </w:rPr>
        <w:lastRenderedPageBreak/>
        <w:t>Fra et mikrobiologisk synspunkt skal produktet anvendes straks, medmindre åbnings- eller fortyndingsmetoden udelukker risiko for mikrobiel kontaminering. Hvis produktet ikke anvendes straks, er det brugerens ansvar at sikre korrekt opbevaring.</w:t>
      </w:r>
    </w:p>
    <w:p w14:paraId="040E1BDD" w14:textId="77777777" w:rsidR="009260DE" w:rsidRPr="00C84483" w:rsidRDefault="009260DE" w:rsidP="009260DE">
      <w:pPr>
        <w:tabs>
          <w:tab w:val="left" w:pos="851"/>
        </w:tabs>
        <w:ind w:left="851"/>
        <w:rPr>
          <w:sz w:val="24"/>
          <w:szCs w:val="24"/>
        </w:rPr>
      </w:pPr>
    </w:p>
    <w:p w14:paraId="2C4F926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EA2E3A4" w14:textId="7E5D5B9C" w:rsidR="004A4996" w:rsidRPr="004A4996" w:rsidRDefault="004A4996" w:rsidP="004A4996">
      <w:pPr>
        <w:tabs>
          <w:tab w:val="left" w:pos="851"/>
        </w:tabs>
        <w:ind w:left="851"/>
        <w:rPr>
          <w:sz w:val="24"/>
          <w:szCs w:val="24"/>
        </w:rPr>
      </w:pPr>
      <w:r w:rsidRPr="004A4996">
        <w:rPr>
          <w:sz w:val="24"/>
          <w:szCs w:val="24"/>
        </w:rPr>
        <w:t>Opbevares ved temperaturer under 25 °C.</w:t>
      </w:r>
    </w:p>
    <w:p w14:paraId="0A03D390" w14:textId="2ECDBB9F" w:rsidR="004A4996" w:rsidRDefault="004A4996" w:rsidP="004A4996">
      <w:pPr>
        <w:tabs>
          <w:tab w:val="left" w:pos="851"/>
        </w:tabs>
        <w:ind w:left="851"/>
        <w:rPr>
          <w:sz w:val="24"/>
          <w:szCs w:val="24"/>
        </w:rPr>
      </w:pPr>
      <w:r w:rsidRPr="004A4996">
        <w:rPr>
          <w:sz w:val="24"/>
          <w:szCs w:val="24"/>
        </w:rPr>
        <w:t>Opbevares i den or</w:t>
      </w:r>
      <w:r w:rsidR="00C6007F">
        <w:rPr>
          <w:sz w:val="24"/>
          <w:szCs w:val="24"/>
        </w:rPr>
        <w:t>i</w:t>
      </w:r>
      <w:r w:rsidRPr="004A4996">
        <w:rPr>
          <w:sz w:val="24"/>
          <w:szCs w:val="24"/>
        </w:rPr>
        <w:t>ginale yderpakning for at beskytte mod lys.</w:t>
      </w:r>
    </w:p>
    <w:p w14:paraId="1C04C745" w14:textId="77777777" w:rsidR="004A4996" w:rsidRPr="004A4996" w:rsidRDefault="004A4996" w:rsidP="004A4996">
      <w:pPr>
        <w:tabs>
          <w:tab w:val="left" w:pos="851"/>
        </w:tabs>
        <w:ind w:left="851"/>
        <w:rPr>
          <w:sz w:val="24"/>
          <w:szCs w:val="24"/>
        </w:rPr>
      </w:pPr>
    </w:p>
    <w:p w14:paraId="4FD7EBA4" w14:textId="77777777" w:rsidR="004A4996" w:rsidRPr="004A4996" w:rsidRDefault="004A4996" w:rsidP="004A4996">
      <w:pPr>
        <w:tabs>
          <w:tab w:val="left" w:pos="851"/>
        </w:tabs>
        <w:ind w:left="851"/>
        <w:rPr>
          <w:sz w:val="24"/>
          <w:szCs w:val="24"/>
        </w:rPr>
      </w:pPr>
      <w:r w:rsidRPr="004A4996">
        <w:rPr>
          <w:sz w:val="24"/>
          <w:szCs w:val="24"/>
        </w:rPr>
        <w:t>Se pkt. 6.3 for opbevaringsbetingelser for det fortyndede lægemiddel.</w:t>
      </w:r>
    </w:p>
    <w:p w14:paraId="75B751F8" w14:textId="77777777" w:rsidR="009260DE" w:rsidRPr="00C84483" w:rsidRDefault="009260DE" w:rsidP="009260DE">
      <w:pPr>
        <w:tabs>
          <w:tab w:val="left" w:pos="851"/>
        </w:tabs>
        <w:ind w:left="851"/>
        <w:rPr>
          <w:sz w:val="24"/>
          <w:szCs w:val="24"/>
        </w:rPr>
      </w:pPr>
    </w:p>
    <w:p w14:paraId="14D0907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C46AD19" w14:textId="77777777" w:rsidR="008D5DFB" w:rsidRDefault="008D5DFB" w:rsidP="008D5DFB">
      <w:pPr>
        <w:tabs>
          <w:tab w:val="left" w:pos="851"/>
        </w:tabs>
        <w:ind w:left="851"/>
        <w:rPr>
          <w:sz w:val="24"/>
          <w:szCs w:val="24"/>
        </w:rPr>
      </w:pPr>
    </w:p>
    <w:p w14:paraId="0DD6AFB6" w14:textId="0C612CEE" w:rsidR="008D5DFB" w:rsidRPr="008D5DFB" w:rsidRDefault="008D5DFB" w:rsidP="008D5DFB">
      <w:pPr>
        <w:tabs>
          <w:tab w:val="left" w:pos="851"/>
        </w:tabs>
        <w:ind w:left="851"/>
        <w:rPr>
          <w:sz w:val="24"/>
          <w:szCs w:val="24"/>
          <w:u w:val="single"/>
        </w:rPr>
      </w:pPr>
      <w:r w:rsidRPr="008D5DFB">
        <w:rPr>
          <w:sz w:val="24"/>
          <w:szCs w:val="24"/>
          <w:u w:val="single"/>
        </w:rPr>
        <w:t>2 ml- og 4 ml-polypropylen og ""blow-fill-sealed"" ampul med skruelåg.</w:t>
      </w:r>
    </w:p>
    <w:p w14:paraId="54955E12" w14:textId="34CF4CD1" w:rsidR="008D5DFB" w:rsidRDefault="008D5DFB" w:rsidP="008D5DFB">
      <w:pPr>
        <w:tabs>
          <w:tab w:val="left" w:pos="851"/>
        </w:tabs>
        <w:ind w:left="851"/>
        <w:rPr>
          <w:sz w:val="24"/>
          <w:szCs w:val="24"/>
        </w:rPr>
      </w:pPr>
      <w:r w:rsidRPr="008D5DFB">
        <w:rPr>
          <w:sz w:val="24"/>
          <w:szCs w:val="24"/>
        </w:rPr>
        <w:t>Plastampullerne er pakket ind i individuelle blisterpakninger af aluminiumsfolie og lagt i kartonæsker. Alternativt kan strimler med 5 plastampuller være indpakket i en beskyttelsespose og lagt i kartonæsker.</w:t>
      </w:r>
    </w:p>
    <w:p w14:paraId="13BF8A90" w14:textId="280BADBD" w:rsidR="008D5DFB" w:rsidRDefault="008D5DFB" w:rsidP="008D5DFB">
      <w:pPr>
        <w:tabs>
          <w:tab w:val="left" w:pos="851"/>
        </w:tabs>
        <w:ind w:left="851"/>
        <w:rPr>
          <w:sz w:val="24"/>
          <w:szCs w:val="24"/>
        </w:rPr>
      </w:pPr>
      <w:r>
        <w:rPr>
          <w:sz w:val="24"/>
          <w:szCs w:val="24"/>
        </w:rPr>
        <w:t xml:space="preserve">Pakningsstørrelser: </w:t>
      </w:r>
      <w:r w:rsidRPr="008D5DFB">
        <w:rPr>
          <w:sz w:val="24"/>
          <w:szCs w:val="24"/>
        </w:rPr>
        <w:t>5, 10 og 50 plastampuller.</w:t>
      </w:r>
    </w:p>
    <w:p w14:paraId="37581AFB" w14:textId="77777777" w:rsidR="008D5DFB" w:rsidRDefault="008D5DFB" w:rsidP="008D5DFB">
      <w:pPr>
        <w:tabs>
          <w:tab w:val="left" w:pos="851"/>
        </w:tabs>
        <w:ind w:left="851"/>
        <w:rPr>
          <w:sz w:val="24"/>
          <w:szCs w:val="24"/>
        </w:rPr>
      </w:pPr>
    </w:p>
    <w:p w14:paraId="2580E332" w14:textId="27AF551E" w:rsidR="008D5DFB" w:rsidRPr="008D5DFB" w:rsidRDefault="008D5DFB" w:rsidP="008D5DFB">
      <w:pPr>
        <w:tabs>
          <w:tab w:val="left" w:pos="851"/>
        </w:tabs>
        <w:ind w:left="851"/>
        <w:rPr>
          <w:sz w:val="24"/>
          <w:szCs w:val="24"/>
          <w:u w:val="single"/>
        </w:rPr>
      </w:pPr>
      <w:r w:rsidRPr="008D5DFB">
        <w:rPr>
          <w:sz w:val="24"/>
          <w:szCs w:val="24"/>
          <w:u w:val="single"/>
        </w:rPr>
        <w:t>Klar, farveløs glasampul (Ph. EUR, type I)</w:t>
      </w:r>
    </w:p>
    <w:p w14:paraId="5C98C09E" w14:textId="7B48D98F" w:rsidR="008D5DFB" w:rsidRPr="008D5DFB" w:rsidRDefault="008D5DFB" w:rsidP="008D5DFB">
      <w:pPr>
        <w:tabs>
          <w:tab w:val="left" w:pos="851"/>
        </w:tabs>
        <w:ind w:left="851"/>
        <w:rPr>
          <w:sz w:val="24"/>
          <w:szCs w:val="24"/>
        </w:rPr>
      </w:pPr>
      <w:r w:rsidRPr="008D5DFB">
        <w:rPr>
          <w:sz w:val="24"/>
          <w:szCs w:val="24"/>
        </w:rPr>
        <w:t>Glasampullerne er anbragt i plasthylstre inden i kartonæsker.</w:t>
      </w:r>
    </w:p>
    <w:p w14:paraId="56AFF5F8" w14:textId="053B129E" w:rsidR="008D5DFB" w:rsidRPr="008D5DFB" w:rsidRDefault="008D5DFB" w:rsidP="008D5DFB">
      <w:pPr>
        <w:tabs>
          <w:tab w:val="left" w:pos="851"/>
        </w:tabs>
        <w:ind w:left="851"/>
        <w:rPr>
          <w:sz w:val="24"/>
          <w:szCs w:val="24"/>
        </w:rPr>
      </w:pPr>
      <w:r w:rsidRPr="008D5DFB">
        <w:rPr>
          <w:sz w:val="24"/>
          <w:szCs w:val="24"/>
        </w:rPr>
        <w:t>Pakningsstørrelser: 5 glasampuller</w:t>
      </w:r>
      <w:r>
        <w:rPr>
          <w:sz w:val="24"/>
          <w:szCs w:val="24"/>
        </w:rPr>
        <w:t>.</w:t>
      </w:r>
    </w:p>
    <w:p w14:paraId="377C10D9" w14:textId="77777777" w:rsidR="008D5DFB" w:rsidRPr="008D5DFB" w:rsidRDefault="008D5DFB" w:rsidP="008D5DFB">
      <w:pPr>
        <w:tabs>
          <w:tab w:val="left" w:pos="851"/>
        </w:tabs>
        <w:ind w:left="851"/>
        <w:rPr>
          <w:sz w:val="24"/>
          <w:szCs w:val="24"/>
        </w:rPr>
      </w:pPr>
    </w:p>
    <w:p w14:paraId="2D9F21EF" w14:textId="77777777" w:rsidR="008D5DFB" w:rsidRPr="008D5DFB" w:rsidRDefault="008D5DFB" w:rsidP="008D5DFB">
      <w:pPr>
        <w:tabs>
          <w:tab w:val="left" w:pos="851"/>
        </w:tabs>
        <w:ind w:left="851"/>
        <w:rPr>
          <w:sz w:val="24"/>
          <w:szCs w:val="24"/>
        </w:rPr>
      </w:pPr>
      <w:r w:rsidRPr="008D5DFB">
        <w:rPr>
          <w:sz w:val="24"/>
          <w:szCs w:val="24"/>
        </w:rPr>
        <w:t>Ikke alle pakningsstørrelser er nødvendigvis markedsført.</w:t>
      </w:r>
    </w:p>
    <w:p w14:paraId="57FACF7F" w14:textId="77777777" w:rsidR="009260DE" w:rsidRPr="00C84483" w:rsidRDefault="009260DE" w:rsidP="009260DE">
      <w:pPr>
        <w:tabs>
          <w:tab w:val="left" w:pos="851"/>
        </w:tabs>
        <w:ind w:left="851"/>
        <w:rPr>
          <w:sz w:val="24"/>
          <w:szCs w:val="24"/>
        </w:rPr>
      </w:pPr>
    </w:p>
    <w:p w14:paraId="4BF70DA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6358417" w14:textId="77777777" w:rsidR="008D5DFB" w:rsidRPr="008D5DFB" w:rsidRDefault="008D5DFB" w:rsidP="008D5DFB">
      <w:pPr>
        <w:tabs>
          <w:tab w:val="left" w:pos="851"/>
        </w:tabs>
        <w:ind w:left="851"/>
        <w:rPr>
          <w:sz w:val="24"/>
          <w:szCs w:val="24"/>
        </w:rPr>
      </w:pPr>
      <w:r w:rsidRPr="008D5DFB">
        <w:rPr>
          <w:sz w:val="24"/>
          <w:szCs w:val="24"/>
        </w:rPr>
        <w:t xml:space="preserve">Ondansetron bør ikke autoklaveres. </w:t>
      </w:r>
    </w:p>
    <w:p w14:paraId="1E192094" w14:textId="77777777" w:rsidR="008D5DFB" w:rsidRPr="008D5DFB" w:rsidRDefault="008D5DFB" w:rsidP="008D5DFB">
      <w:pPr>
        <w:tabs>
          <w:tab w:val="left" w:pos="851"/>
        </w:tabs>
        <w:ind w:left="851"/>
        <w:rPr>
          <w:sz w:val="24"/>
          <w:szCs w:val="24"/>
        </w:rPr>
      </w:pPr>
    </w:p>
    <w:p w14:paraId="45038669" w14:textId="77777777" w:rsidR="008D5DFB" w:rsidRPr="008D5DFB" w:rsidRDefault="008D5DFB" w:rsidP="008D5DFB">
      <w:pPr>
        <w:tabs>
          <w:tab w:val="left" w:pos="851"/>
        </w:tabs>
        <w:ind w:left="851"/>
        <w:rPr>
          <w:sz w:val="24"/>
          <w:szCs w:val="24"/>
        </w:rPr>
      </w:pPr>
      <w:r w:rsidRPr="008D5DFB">
        <w:rPr>
          <w:sz w:val="24"/>
          <w:szCs w:val="24"/>
        </w:rPr>
        <w:t xml:space="preserve">Ikke anvendt lægemiddel samt affald heraf skal bortskaffes i henhold til lokale retningslinjer. </w:t>
      </w:r>
    </w:p>
    <w:p w14:paraId="33485046" w14:textId="77777777" w:rsidR="008D5DFB" w:rsidRPr="008D5DFB" w:rsidRDefault="008D5DFB" w:rsidP="008D5DFB">
      <w:pPr>
        <w:tabs>
          <w:tab w:val="left" w:pos="851"/>
        </w:tabs>
        <w:ind w:left="851"/>
        <w:rPr>
          <w:sz w:val="24"/>
          <w:szCs w:val="24"/>
        </w:rPr>
      </w:pPr>
    </w:p>
    <w:p w14:paraId="783C5702" w14:textId="77777777" w:rsidR="008D5DFB" w:rsidRPr="008D5DFB" w:rsidRDefault="008D5DFB" w:rsidP="008D5DFB">
      <w:pPr>
        <w:tabs>
          <w:tab w:val="left" w:pos="851"/>
        </w:tabs>
        <w:ind w:left="851"/>
        <w:rPr>
          <w:sz w:val="24"/>
          <w:szCs w:val="24"/>
          <w:u w:val="single"/>
        </w:rPr>
      </w:pPr>
      <w:r w:rsidRPr="008D5DFB">
        <w:rPr>
          <w:sz w:val="24"/>
          <w:szCs w:val="24"/>
          <w:u w:val="single"/>
        </w:rPr>
        <w:t>Kompatibilitet med intravenøse væsker</w:t>
      </w:r>
    </w:p>
    <w:p w14:paraId="3DE2CFCD" w14:textId="77777777" w:rsidR="008D5DFB" w:rsidRPr="008D5DFB" w:rsidRDefault="008D5DFB" w:rsidP="008D5DFB">
      <w:pPr>
        <w:tabs>
          <w:tab w:val="left" w:pos="851"/>
        </w:tabs>
        <w:ind w:left="851"/>
        <w:rPr>
          <w:sz w:val="24"/>
          <w:szCs w:val="24"/>
        </w:rPr>
      </w:pPr>
    </w:p>
    <w:p w14:paraId="414AD0DA" w14:textId="3D8A8FF6" w:rsidR="008D5DFB" w:rsidRPr="008D5DFB" w:rsidRDefault="008D5DFB" w:rsidP="008D5DFB">
      <w:pPr>
        <w:tabs>
          <w:tab w:val="left" w:pos="851"/>
        </w:tabs>
        <w:ind w:left="851"/>
        <w:rPr>
          <w:sz w:val="24"/>
          <w:szCs w:val="24"/>
        </w:rPr>
      </w:pPr>
      <w:r w:rsidRPr="008D5DFB">
        <w:rPr>
          <w:sz w:val="24"/>
          <w:szCs w:val="24"/>
        </w:rPr>
        <w:t>Ondansetron-injektion må kun blandes med d</w:t>
      </w:r>
      <w:r>
        <w:rPr>
          <w:sz w:val="24"/>
          <w:szCs w:val="24"/>
        </w:rPr>
        <w:t>iss</w:t>
      </w:r>
      <w:r w:rsidRPr="008D5DFB">
        <w:rPr>
          <w:sz w:val="24"/>
          <w:szCs w:val="24"/>
        </w:rPr>
        <w:t>e anbefalede infusionsvæsker:</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3445"/>
      </w:tblGrid>
      <w:tr w:rsidR="008D5DFB" w:rsidRPr="008D5DFB" w14:paraId="63A1D576" w14:textId="77777777" w:rsidTr="008D5DFB">
        <w:tc>
          <w:tcPr>
            <w:tcW w:w="5343" w:type="dxa"/>
            <w:tcBorders>
              <w:top w:val="single" w:sz="4" w:space="0" w:color="auto"/>
              <w:left w:val="single" w:sz="4" w:space="0" w:color="auto"/>
              <w:bottom w:val="single" w:sz="4" w:space="0" w:color="auto"/>
              <w:right w:val="single" w:sz="4" w:space="0" w:color="auto"/>
            </w:tcBorders>
            <w:hideMark/>
          </w:tcPr>
          <w:p w14:paraId="6E3B0BD1" w14:textId="77777777" w:rsidR="008D5DFB" w:rsidRPr="008D5DFB" w:rsidRDefault="008D5DFB" w:rsidP="008D5DFB">
            <w:pPr>
              <w:ind w:left="33"/>
              <w:rPr>
                <w:b/>
                <w:sz w:val="24"/>
                <w:szCs w:val="24"/>
                <w:lang w:val="en-GB"/>
              </w:rPr>
            </w:pPr>
            <w:r w:rsidRPr="008D5DFB">
              <w:rPr>
                <w:b/>
                <w:sz w:val="24"/>
                <w:szCs w:val="24"/>
                <w:lang w:val="en-GB"/>
              </w:rPr>
              <w:t>Fortyndingsmiddel</w:t>
            </w:r>
          </w:p>
        </w:tc>
        <w:tc>
          <w:tcPr>
            <w:tcW w:w="3445" w:type="dxa"/>
            <w:tcBorders>
              <w:top w:val="single" w:sz="4" w:space="0" w:color="auto"/>
              <w:left w:val="single" w:sz="4" w:space="0" w:color="auto"/>
              <w:bottom w:val="single" w:sz="4" w:space="0" w:color="auto"/>
              <w:right w:val="single" w:sz="4" w:space="0" w:color="auto"/>
            </w:tcBorders>
            <w:hideMark/>
          </w:tcPr>
          <w:p w14:paraId="6A413BD9" w14:textId="77777777" w:rsidR="008D5DFB" w:rsidRPr="008D5DFB" w:rsidRDefault="008D5DFB" w:rsidP="008D5DFB">
            <w:pPr>
              <w:ind w:left="79"/>
              <w:rPr>
                <w:b/>
                <w:sz w:val="24"/>
                <w:szCs w:val="24"/>
                <w:lang w:val="en-GB"/>
              </w:rPr>
            </w:pPr>
            <w:r w:rsidRPr="008D5DFB">
              <w:rPr>
                <w:b/>
                <w:sz w:val="24"/>
                <w:szCs w:val="24"/>
                <w:lang w:val="en-GB"/>
              </w:rPr>
              <w:t>Resulterende koncentration af ondansetron</w:t>
            </w:r>
          </w:p>
        </w:tc>
      </w:tr>
      <w:tr w:rsidR="008D5DFB" w:rsidRPr="008D5DFB" w14:paraId="1CC9350D" w14:textId="77777777" w:rsidTr="008D5DFB">
        <w:tc>
          <w:tcPr>
            <w:tcW w:w="5343" w:type="dxa"/>
            <w:tcBorders>
              <w:top w:val="single" w:sz="4" w:space="0" w:color="auto"/>
              <w:left w:val="single" w:sz="4" w:space="0" w:color="auto"/>
              <w:bottom w:val="single" w:sz="4" w:space="0" w:color="auto"/>
              <w:right w:val="single" w:sz="4" w:space="0" w:color="auto"/>
            </w:tcBorders>
            <w:hideMark/>
          </w:tcPr>
          <w:p w14:paraId="528703B5" w14:textId="77777777" w:rsidR="008D5DFB" w:rsidRPr="008D5DFB" w:rsidRDefault="008D5DFB" w:rsidP="008D5DFB">
            <w:pPr>
              <w:ind w:left="33"/>
              <w:rPr>
                <w:sz w:val="24"/>
                <w:szCs w:val="24"/>
              </w:rPr>
            </w:pPr>
            <w:r w:rsidRPr="008D5DFB">
              <w:rPr>
                <w:sz w:val="24"/>
                <w:szCs w:val="24"/>
              </w:rPr>
              <w:t>Natriumchloridopløsning til infusion 0,9 % w/v</w:t>
            </w:r>
          </w:p>
        </w:tc>
        <w:tc>
          <w:tcPr>
            <w:tcW w:w="3445" w:type="dxa"/>
            <w:tcBorders>
              <w:top w:val="single" w:sz="4" w:space="0" w:color="auto"/>
              <w:left w:val="single" w:sz="4" w:space="0" w:color="auto"/>
              <w:bottom w:val="single" w:sz="4" w:space="0" w:color="auto"/>
              <w:right w:val="single" w:sz="4" w:space="0" w:color="auto"/>
            </w:tcBorders>
            <w:hideMark/>
          </w:tcPr>
          <w:p w14:paraId="20A6098D" w14:textId="77777777" w:rsidR="008D5DFB" w:rsidRPr="008D5DFB" w:rsidRDefault="008D5DFB" w:rsidP="008D5DFB">
            <w:pPr>
              <w:ind w:left="79"/>
              <w:rPr>
                <w:sz w:val="24"/>
                <w:szCs w:val="24"/>
                <w:lang w:val="en-GB"/>
              </w:rPr>
            </w:pPr>
            <w:r w:rsidRPr="008D5DFB">
              <w:rPr>
                <w:sz w:val="24"/>
                <w:szCs w:val="24"/>
                <w:lang w:val="en-GB"/>
              </w:rPr>
              <w:t>0,16 mg/ml</w:t>
            </w:r>
          </w:p>
        </w:tc>
      </w:tr>
      <w:tr w:rsidR="008D5DFB" w:rsidRPr="008D5DFB" w14:paraId="4885EE41" w14:textId="77777777" w:rsidTr="008D5DFB">
        <w:tc>
          <w:tcPr>
            <w:tcW w:w="5343" w:type="dxa"/>
            <w:tcBorders>
              <w:top w:val="single" w:sz="4" w:space="0" w:color="auto"/>
              <w:left w:val="single" w:sz="4" w:space="0" w:color="auto"/>
              <w:bottom w:val="single" w:sz="4" w:space="0" w:color="auto"/>
              <w:right w:val="single" w:sz="4" w:space="0" w:color="auto"/>
            </w:tcBorders>
            <w:hideMark/>
          </w:tcPr>
          <w:p w14:paraId="6E04EA7E" w14:textId="77777777" w:rsidR="008D5DFB" w:rsidRPr="008D5DFB" w:rsidRDefault="008D5DFB" w:rsidP="008D5DFB">
            <w:pPr>
              <w:ind w:left="33"/>
              <w:rPr>
                <w:sz w:val="24"/>
                <w:szCs w:val="24"/>
              </w:rPr>
            </w:pPr>
            <w:r w:rsidRPr="008D5DFB">
              <w:rPr>
                <w:sz w:val="24"/>
                <w:szCs w:val="24"/>
              </w:rPr>
              <w:t>Glucoseopløsning til infusion 5 % w/v</w:t>
            </w:r>
          </w:p>
        </w:tc>
        <w:tc>
          <w:tcPr>
            <w:tcW w:w="3445" w:type="dxa"/>
            <w:tcBorders>
              <w:top w:val="single" w:sz="4" w:space="0" w:color="auto"/>
              <w:left w:val="single" w:sz="4" w:space="0" w:color="auto"/>
              <w:bottom w:val="single" w:sz="4" w:space="0" w:color="auto"/>
              <w:right w:val="single" w:sz="4" w:space="0" w:color="auto"/>
            </w:tcBorders>
            <w:hideMark/>
          </w:tcPr>
          <w:p w14:paraId="4DA4DB82" w14:textId="77777777" w:rsidR="008D5DFB" w:rsidRPr="008D5DFB" w:rsidRDefault="008D5DFB" w:rsidP="008D5DFB">
            <w:pPr>
              <w:ind w:left="79"/>
              <w:rPr>
                <w:sz w:val="24"/>
                <w:szCs w:val="24"/>
                <w:lang w:val="en-GB"/>
              </w:rPr>
            </w:pPr>
            <w:r w:rsidRPr="008D5DFB">
              <w:rPr>
                <w:sz w:val="24"/>
                <w:szCs w:val="24"/>
                <w:lang w:val="en-GB"/>
              </w:rPr>
              <w:t>0,16 mg/ml</w:t>
            </w:r>
          </w:p>
        </w:tc>
      </w:tr>
      <w:tr w:rsidR="008D5DFB" w:rsidRPr="008D5DFB" w14:paraId="61859382" w14:textId="77777777" w:rsidTr="008D5DFB">
        <w:tc>
          <w:tcPr>
            <w:tcW w:w="5343" w:type="dxa"/>
            <w:tcBorders>
              <w:top w:val="single" w:sz="4" w:space="0" w:color="auto"/>
              <w:left w:val="single" w:sz="4" w:space="0" w:color="auto"/>
              <w:bottom w:val="single" w:sz="4" w:space="0" w:color="auto"/>
              <w:right w:val="single" w:sz="4" w:space="0" w:color="auto"/>
            </w:tcBorders>
            <w:hideMark/>
          </w:tcPr>
          <w:p w14:paraId="55122042" w14:textId="77777777" w:rsidR="008D5DFB" w:rsidRPr="008D5DFB" w:rsidRDefault="008D5DFB" w:rsidP="008D5DFB">
            <w:pPr>
              <w:ind w:left="33"/>
              <w:rPr>
                <w:sz w:val="24"/>
                <w:szCs w:val="24"/>
              </w:rPr>
            </w:pPr>
            <w:r w:rsidRPr="008D5DFB">
              <w:rPr>
                <w:sz w:val="24"/>
                <w:szCs w:val="24"/>
              </w:rPr>
              <w:t xml:space="preserve">Mannitolopløsning til infusion 10 % w/v </w:t>
            </w:r>
          </w:p>
        </w:tc>
        <w:tc>
          <w:tcPr>
            <w:tcW w:w="3445" w:type="dxa"/>
            <w:tcBorders>
              <w:top w:val="single" w:sz="4" w:space="0" w:color="auto"/>
              <w:left w:val="single" w:sz="4" w:space="0" w:color="auto"/>
              <w:bottom w:val="single" w:sz="4" w:space="0" w:color="auto"/>
              <w:right w:val="single" w:sz="4" w:space="0" w:color="auto"/>
            </w:tcBorders>
            <w:hideMark/>
          </w:tcPr>
          <w:p w14:paraId="336C6C5A" w14:textId="77777777" w:rsidR="008D5DFB" w:rsidRPr="008D5DFB" w:rsidRDefault="008D5DFB" w:rsidP="008D5DFB">
            <w:pPr>
              <w:ind w:left="79"/>
              <w:rPr>
                <w:sz w:val="24"/>
                <w:szCs w:val="24"/>
                <w:lang w:val="en-GB"/>
              </w:rPr>
            </w:pPr>
            <w:r w:rsidRPr="008D5DFB">
              <w:rPr>
                <w:sz w:val="24"/>
                <w:szCs w:val="24"/>
                <w:lang w:val="en-GB"/>
              </w:rPr>
              <w:t>0,16 mg/ml</w:t>
            </w:r>
          </w:p>
        </w:tc>
      </w:tr>
      <w:tr w:rsidR="008D5DFB" w:rsidRPr="008D5DFB" w14:paraId="760F32E9" w14:textId="77777777" w:rsidTr="008D5DFB">
        <w:tc>
          <w:tcPr>
            <w:tcW w:w="5343" w:type="dxa"/>
            <w:tcBorders>
              <w:top w:val="single" w:sz="4" w:space="0" w:color="auto"/>
              <w:left w:val="single" w:sz="4" w:space="0" w:color="auto"/>
              <w:bottom w:val="single" w:sz="4" w:space="0" w:color="auto"/>
              <w:right w:val="single" w:sz="4" w:space="0" w:color="auto"/>
            </w:tcBorders>
            <w:hideMark/>
          </w:tcPr>
          <w:p w14:paraId="5C78C1C2" w14:textId="77777777" w:rsidR="008D5DFB" w:rsidRPr="008D5DFB" w:rsidRDefault="008D5DFB" w:rsidP="008D5DFB">
            <w:pPr>
              <w:ind w:left="33"/>
              <w:rPr>
                <w:sz w:val="24"/>
                <w:szCs w:val="24"/>
                <w:lang w:val="en-GB"/>
              </w:rPr>
            </w:pPr>
            <w:r w:rsidRPr="008D5DFB">
              <w:rPr>
                <w:sz w:val="24"/>
                <w:szCs w:val="24"/>
                <w:lang w:val="en-GB"/>
              </w:rPr>
              <w:t xml:space="preserve">Ringer's opløsning til infusion </w:t>
            </w:r>
          </w:p>
        </w:tc>
        <w:tc>
          <w:tcPr>
            <w:tcW w:w="3445" w:type="dxa"/>
            <w:tcBorders>
              <w:top w:val="single" w:sz="4" w:space="0" w:color="auto"/>
              <w:left w:val="single" w:sz="4" w:space="0" w:color="auto"/>
              <w:bottom w:val="single" w:sz="4" w:space="0" w:color="auto"/>
              <w:right w:val="single" w:sz="4" w:space="0" w:color="auto"/>
            </w:tcBorders>
            <w:hideMark/>
          </w:tcPr>
          <w:p w14:paraId="1FAE2005" w14:textId="77777777" w:rsidR="008D5DFB" w:rsidRPr="008D5DFB" w:rsidRDefault="008D5DFB" w:rsidP="008D5DFB">
            <w:pPr>
              <w:ind w:left="79"/>
              <w:rPr>
                <w:sz w:val="24"/>
                <w:szCs w:val="24"/>
                <w:lang w:val="en-GB"/>
              </w:rPr>
            </w:pPr>
            <w:r w:rsidRPr="008D5DFB">
              <w:rPr>
                <w:sz w:val="24"/>
                <w:szCs w:val="24"/>
                <w:lang w:val="en-GB"/>
              </w:rPr>
              <w:t>0,16 mg/ml</w:t>
            </w:r>
          </w:p>
        </w:tc>
      </w:tr>
      <w:tr w:rsidR="008D5DFB" w:rsidRPr="008D5DFB" w14:paraId="462869A2" w14:textId="77777777" w:rsidTr="008D5DFB">
        <w:tc>
          <w:tcPr>
            <w:tcW w:w="5343" w:type="dxa"/>
            <w:tcBorders>
              <w:top w:val="single" w:sz="4" w:space="0" w:color="auto"/>
              <w:left w:val="single" w:sz="4" w:space="0" w:color="auto"/>
              <w:bottom w:val="single" w:sz="4" w:space="0" w:color="auto"/>
              <w:right w:val="single" w:sz="4" w:space="0" w:color="auto"/>
            </w:tcBorders>
            <w:hideMark/>
          </w:tcPr>
          <w:p w14:paraId="4020FF58" w14:textId="77777777" w:rsidR="008D5DFB" w:rsidRPr="008D5DFB" w:rsidRDefault="008D5DFB" w:rsidP="008D5DFB">
            <w:pPr>
              <w:ind w:left="33"/>
              <w:rPr>
                <w:sz w:val="24"/>
                <w:szCs w:val="24"/>
              </w:rPr>
            </w:pPr>
            <w:r w:rsidRPr="008D5DFB">
              <w:rPr>
                <w:sz w:val="24"/>
                <w:szCs w:val="24"/>
              </w:rPr>
              <w:t xml:space="preserve">Kaliumchlorid 0,3 % w/v og natriumchlorid 0,9 % w/v opløsning til infusion </w:t>
            </w:r>
          </w:p>
        </w:tc>
        <w:tc>
          <w:tcPr>
            <w:tcW w:w="3445" w:type="dxa"/>
            <w:tcBorders>
              <w:top w:val="single" w:sz="4" w:space="0" w:color="auto"/>
              <w:left w:val="single" w:sz="4" w:space="0" w:color="auto"/>
              <w:bottom w:val="single" w:sz="4" w:space="0" w:color="auto"/>
              <w:right w:val="single" w:sz="4" w:space="0" w:color="auto"/>
            </w:tcBorders>
            <w:hideMark/>
          </w:tcPr>
          <w:p w14:paraId="4CF09F9F" w14:textId="77777777" w:rsidR="008D5DFB" w:rsidRPr="008D5DFB" w:rsidRDefault="008D5DFB" w:rsidP="008D5DFB">
            <w:pPr>
              <w:ind w:left="79"/>
              <w:rPr>
                <w:sz w:val="24"/>
                <w:szCs w:val="24"/>
                <w:lang w:val="en-GB"/>
              </w:rPr>
            </w:pPr>
            <w:r w:rsidRPr="008D5DFB">
              <w:rPr>
                <w:sz w:val="24"/>
                <w:szCs w:val="24"/>
                <w:lang w:val="en-GB"/>
              </w:rPr>
              <w:t>0,16 mg/ml</w:t>
            </w:r>
          </w:p>
        </w:tc>
      </w:tr>
      <w:tr w:rsidR="008D5DFB" w:rsidRPr="008D5DFB" w14:paraId="21249BC1" w14:textId="77777777" w:rsidTr="008D5DFB">
        <w:tc>
          <w:tcPr>
            <w:tcW w:w="5343" w:type="dxa"/>
            <w:tcBorders>
              <w:top w:val="single" w:sz="4" w:space="0" w:color="auto"/>
              <w:left w:val="single" w:sz="4" w:space="0" w:color="auto"/>
              <w:bottom w:val="single" w:sz="4" w:space="0" w:color="auto"/>
              <w:right w:val="single" w:sz="4" w:space="0" w:color="auto"/>
            </w:tcBorders>
            <w:hideMark/>
          </w:tcPr>
          <w:p w14:paraId="176941A6" w14:textId="77777777" w:rsidR="008D5DFB" w:rsidRPr="008D5DFB" w:rsidRDefault="008D5DFB" w:rsidP="008D5DFB">
            <w:pPr>
              <w:ind w:left="33"/>
              <w:rPr>
                <w:sz w:val="24"/>
                <w:szCs w:val="24"/>
              </w:rPr>
            </w:pPr>
            <w:r w:rsidRPr="008D5DFB">
              <w:rPr>
                <w:sz w:val="24"/>
                <w:szCs w:val="24"/>
              </w:rPr>
              <w:t xml:space="preserve">Kaliumklorid 0,3 % w/v og glucose 5 % w/v, opløsning til infusion </w:t>
            </w:r>
          </w:p>
        </w:tc>
        <w:tc>
          <w:tcPr>
            <w:tcW w:w="3445" w:type="dxa"/>
            <w:tcBorders>
              <w:top w:val="single" w:sz="4" w:space="0" w:color="auto"/>
              <w:left w:val="single" w:sz="4" w:space="0" w:color="auto"/>
              <w:bottom w:val="single" w:sz="4" w:space="0" w:color="auto"/>
              <w:right w:val="single" w:sz="4" w:space="0" w:color="auto"/>
            </w:tcBorders>
            <w:hideMark/>
          </w:tcPr>
          <w:p w14:paraId="3C082FF5" w14:textId="77777777" w:rsidR="008D5DFB" w:rsidRPr="008D5DFB" w:rsidRDefault="008D5DFB" w:rsidP="008D5DFB">
            <w:pPr>
              <w:ind w:left="79"/>
              <w:rPr>
                <w:sz w:val="24"/>
                <w:szCs w:val="24"/>
                <w:lang w:val="en-GB"/>
              </w:rPr>
            </w:pPr>
            <w:r w:rsidRPr="008D5DFB">
              <w:rPr>
                <w:sz w:val="24"/>
                <w:szCs w:val="24"/>
                <w:lang w:val="en-GB"/>
              </w:rPr>
              <w:t>0,16 mg/ml</w:t>
            </w:r>
          </w:p>
        </w:tc>
      </w:tr>
    </w:tbl>
    <w:p w14:paraId="1477F51C" w14:textId="77777777" w:rsidR="008D5DFB" w:rsidRPr="008D5DFB" w:rsidRDefault="008D5DFB" w:rsidP="008D5DFB">
      <w:pPr>
        <w:tabs>
          <w:tab w:val="left" w:pos="851"/>
        </w:tabs>
        <w:ind w:left="851"/>
        <w:rPr>
          <w:sz w:val="24"/>
          <w:szCs w:val="24"/>
        </w:rPr>
      </w:pPr>
    </w:p>
    <w:p w14:paraId="5902FD46" w14:textId="77777777" w:rsidR="008D5DFB" w:rsidRPr="008D5DFB" w:rsidRDefault="008D5DFB" w:rsidP="008D5DFB">
      <w:pPr>
        <w:tabs>
          <w:tab w:val="left" w:pos="851"/>
        </w:tabs>
        <w:ind w:left="851"/>
        <w:rPr>
          <w:sz w:val="24"/>
          <w:szCs w:val="24"/>
        </w:rPr>
      </w:pPr>
      <w:r w:rsidRPr="008D5DFB">
        <w:rPr>
          <w:sz w:val="24"/>
          <w:szCs w:val="24"/>
        </w:rPr>
        <w:t>I overensstemmelse med god farmaceutisk praksis skal fortyndinger af ondansetron-injektion i intravenøse væsker tilberedes på infusionstidspunktet. Det er imidlertid påvist, at fortyndinger af ondansetron i polyethylenflasker med følgende intravenøse infusionsvæsker forbliver stabile i 24 timer ved stuetemperatur (25 ± 2°C) eller 36 timer i køleskab (2-8°C).</w:t>
      </w:r>
    </w:p>
    <w:p w14:paraId="62BB58EB" w14:textId="0F0F9102" w:rsidR="008D5DFB" w:rsidRDefault="008D5DFB">
      <w:pPr>
        <w:rPr>
          <w:sz w:val="24"/>
          <w:szCs w:val="24"/>
        </w:rPr>
      </w:pPr>
      <w:r>
        <w:rPr>
          <w:sz w:val="24"/>
          <w:szCs w:val="24"/>
        </w:rPr>
        <w:br w:type="page"/>
      </w:r>
    </w:p>
    <w:p w14:paraId="633ABA9D" w14:textId="77777777" w:rsidR="008D5DFB" w:rsidRPr="008D5DFB" w:rsidRDefault="008D5DFB" w:rsidP="008D5DFB">
      <w:pPr>
        <w:tabs>
          <w:tab w:val="left" w:pos="851"/>
        </w:tabs>
        <w:ind w:left="851"/>
        <w:rPr>
          <w:sz w:val="24"/>
          <w:szCs w:val="24"/>
        </w:rPr>
      </w:pPr>
    </w:p>
    <w:p w14:paraId="484F1E31" w14:textId="77777777" w:rsidR="008D5DFB" w:rsidRPr="008D5DFB" w:rsidRDefault="008D5DFB" w:rsidP="008D5DFB">
      <w:pPr>
        <w:tabs>
          <w:tab w:val="left" w:pos="851"/>
        </w:tabs>
        <w:ind w:left="851"/>
        <w:rPr>
          <w:sz w:val="24"/>
          <w:szCs w:val="24"/>
          <w:u w:val="single"/>
        </w:rPr>
      </w:pPr>
      <w:r w:rsidRPr="008D5DFB">
        <w:rPr>
          <w:sz w:val="24"/>
          <w:szCs w:val="24"/>
          <w:u w:val="single"/>
        </w:rPr>
        <w:t>Kompatibilitet med andre lægemidler</w:t>
      </w:r>
    </w:p>
    <w:p w14:paraId="7FFD77A8" w14:textId="77777777" w:rsidR="008D5DFB" w:rsidRPr="008D5DFB" w:rsidRDefault="008D5DFB" w:rsidP="008D5DFB">
      <w:pPr>
        <w:tabs>
          <w:tab w:val="left" w:pos="851"/>
        </w:tabs>
        <w:ind w:left="851"/>
        <w:rPr>
          <w:sz w:val="24"/>
          <w:szCs w:val="24"/>
        </w:rPr>
      </w:pPr>
      <w:r w:rsidRPr="008D5DFB">
        <w:rPr>
          <w:sz w:val="24"/>
          <w:szCs w:val="24"/>
        </w:rPr>
        <w:t>Ondansetron kan indgives ved intravenøs infusion med 1 mg/time, f.eks. fra en infusionspose eller sprøjtepumpe. Følgende lægemidler kan administreres via Y-stykket på et infusionssæt til ondansetronkoncentrationer på 16-160 mikrogram/ml (f.eks. henholdsvis 8 mg/500 ml og 8 mg/50 ml):</w:t>
      </w:r>
    </w:p>
    <w:p w14:paraId="39E4526E" w14:textId="77777777" w:rsidR="008D5DFB" w:rsidRPr="008D5DFB" w:rsidRDefault="008D5DFB" w:rsidP="008D5DFB">
      <w:pPr>
        <w:tabs>
          <w:tab w:val="left" w:pos="851"/>
        </w:tabs>
        <w:ind w:left="851"/>
        <w:rPr>
          <w:sz w:val="24"/>
          <w:szCs w:val="24"/>
        </w:rPr>
      </w:pPr>
    </w:p>
    <w:p w14:paraId="073B1D1B" w14:textId="04CE8DFA" w:rsidR="008D5DFB" w:rsidRPr="008D5DFB" w:rsidRDefault="008D5DFB" w:rsidP="008D5DFB">
      <w:pPr>
        <w:tabs>
          <w:tab w:val="left" w:pos="851"/>
        </w:tabs>
        <w:ind w:left="851"/>
        <w:rPr>
          <w:i/>
          <w:iCs/>
          <w:sz w:val="24"/>
          <w:szCs w:val="24"/>
        </w:rPr>
      </w:pPr>
      <w:r w:rsidRPr="008D5DFB">
        <w:rPr>
          <w:i/>
          <w:iCs/>
          <w:sz w:val="24"/>
          <w:szCs w:val="24"/>
        </w:rPr>
        <w:t>Cisplatin</w:t>
      </w:r>
    </w:p>
    <w:p w14:paraId="01D851CE" w14:textId="77777777" w:rsidR="008D5DFB" w:rsidRPr="008D5DFB" w:rsidRDefault="008D5DFB" w:rsidP="008D5DFB">
      <w:pPr>
        <w:tabs>
          <w:tab w:val="left" w:pos="851"/>
        </w:tabs>
        <w:ind w:left="851"/>
        <w:rPr>
          <w:sz w:val="24"/>
          <w:szCs w:val="24"/>
        </w:rPr>
      </w:pPr>
      <w:r w:rsidRPr="008D5DFB">
        <w:rPr>
          <w:sz w:val="24"/>
          <w:szCs w:val="24"/>
        </w:rPr>
        <w:t xml:space="preserve">Koncentrationer op til 0,48 mg/ml (f.eks. 240 mg i 500 ml) administreret over 1 til 8 timer. </w:t>
      </w:r>
    </w:p>
    <w:p w14:paraId="62C6F9C4" w14:textId="77777777" w:rsidR="008D5DFB" w:rsidRPr="008D5DFB" w:rsidRDefault="008D5DFB" w:rsidP="008D5DFB">
      <w:pPr>
        <w:tabs>
          <w:tab w:val="left" w:pos="851"/>
        </w:tabs>
        <w:ind w:left="851"/>
        <w:rPr>
          <w:sz w:val="24"/>
          <w:szCs w:val="24"/>
        </w:rPr>
      </w:pPr>
    </w:p>
    <w:p w14:paraId="0668BB50" w14:textId="03296EEA" w:rsidR="008D5DFB" w:rsidRPr="008D5DFB" w:rsidRDefault="008D5DFB" w:rsidP="008D5DFB">
      <w:pPr>
        <w:tabs>
          <w:tab w:val="left" w:pos="851"/>
        </w:tabs>
        <w:ind w:left="851"/>
        <w:rPr>
          <w:i/>
          <w:iCs/>
          <w:sz w:val="24"/>
          <w:szCs w:val="24"/>
        </w:rPr>
      </w:pPr>
      <w:r w:rsidRPr="008D5DFB">
        <w:rPr>
          <w:i/>
          <w:iCs/>
          <w:sz w:val="24"/>
          <w:szCs w:val="24"/>
        </w:rPr>
        <w:t>5-Fluorouracil</w:t>
      </w:r>
    </w:p>
    <w:p w14:paraId="7AE68DC7" w14:textId="77777777" w:rsidR="008D5DFB" w:rsidRPr="008D5DFB" w:rsidRDefault="008D5DFB" w:rsidP="008D5DFB">
      <w:pPr>
        <w:tabs>
          <w:tab w:val="left" w:pos="851"/>
        </w:tabs>
        <w:ind w:left="851"/>
        <w:rPr>
          <w:sz w:val="24"/>
          <w:szCs w:val="24"/>
        </w:rPr>
      </w:pPr>
      <w:r w:rsidRPr="008D5DFB">
        <w:rPr>
          <w:sz w:val="24"/>
          <w:szCs w:val="24"/>
        </w:rPr>
        <w:t xml:space="preserve">Koncentrationer op til 0,8 mg/ml (f.eks. 2,4 g i 3 liter eller 400 mg i 500 ml) administreret med en hastighed på mindst 20 ml pr. time (480 ml pr. 24 timer). Højere koncentrationer af 5-fluorouracil kan forårsage udfældning af ondansetron. 5-fluorouracil-infusionen kan indeholde op til 0,045 % w/v magnesiumchlorid ud over andre hjælpestoffer, der har vist sig at være kompatible. </w:t>
      </w:r>
    </w:p>
    <w:p w14:paraId="79DA0174" w14:textId="77777777" w:rsidR="008D5DFB" w:rsidRPr="008D5DFB" w:rsidRDefault="008D5DFB" w:rsidP="008D5DFB">
      <w:pPr>
        <w:tabs>
          <w:tab w:val="left" w:pos="851"/>
        </w:tabs>
        <w:ind w:left="851"/>
        <w:rPr>
          <w:sz w:val="24"/>
          <w:szCs w:val="24"/>
        </w:rPr>
      </w:pPr>
    </w:p>
    <w:p w14:paraId="3B76AA37" w14:textId="35F8BC9A" w:rsidR="008D5DFB" w:rsidRPr="008D5DFB" w:rsidRDefault="008D5DFB" w:rsidP="008D5DFB">
      <w:pPr>
        <w:tabs>
          <w:tab w:val="left" w:pos="851"/>
        </w:tabs>
        <w:ind w:left="851"/>
        <w:rPr>
          <w:i/>
          <w:iCs/>
          <w:sz w:val="24"/>
          <w:szCs w:val="24"/>
        </w:rPr>
      </w:pPr>
      <w:r w:rsidRPr="008D5DFB">
        <w:rPr>
          <w:i/>
          <w:iCs/>
          <w:sz w:val="24"/>
          <w:szCs w:val="24"/>
        </w:rPr>
        <w:t>Carboplatin</w:t>
      </w:r>
    </w:p>
    <w:p w14:paraId="526CC92F" w14:textId="77777777" w:rsidR="008D5DFB" w:rsidRPr="008D5DFB" w:rsidRDefault="008D5DFB" w:rsidP="008D5DFB">
      <w:pPr>
        <w:tabs>
          <w:tab w:val="left" w:pos="851"/>
        </w:tabs>
        <w:ind w:left="851"/>
        <w:rPr>
          <w:sz w:val="24"/>
          <w:szCs w:val="24"/>
        </w:rPr>
      </w:pPr>
      <w:r w:rsidRPr="008D5DFB">
        <w:rPr>
          <w:sz w:val="24"/>
          <w:szCs w:val="24"/>
        </w:rPr>
        <w:t xml:space="preserve">Koncentrationer i området 0,18 mg/ml til 9,9 mg/ml (f.eks. 90 mg i 500 ml til 990 mg i 100 ml), administreret over ti minutter til en time. </w:t>
      </w:r>
    </w:p>
    <w:p w14:paraId="326EFBAC" w14:textId="77777777" w:rsidR="008D5DFB" w:rsidRPr="008D5DFB" w:rsidRDefault="008D5DFB" w:rsidP="008D5DFB">
      <w:pPr>
        <w:tabs>
          <w:tab w:val="left" w:pos="851"/>
        </w:tabs>
        <w:ind w:left="851"/>
        <w:rPr>
          <w:sz w:val="24"/>
          <w:szCs w:val="24"/>
        </w:rPr>
      </w:pPr>
    </w:p>
    <w:p w14:paraId="66B9C907" w14:textId="1266D23D" w:rsidR="008D5DFB" w:rsidRPr="008D5DFB" w:rsidRDefault="008D5DFB" w:rsidP="008D5DFB">
      <w:pPr>
        <w:tabs>
          <w:tab w:val="left" w:pos="851"/>
        </w:tabs>
        <w:ind w:left="851"/>
        <w:rPr>
          <w:i/>
          <w:iCs/>
          <w:sz w:val="24"/>
          <w:szCs w:val="24"/>
        </w:rPr>
      </w:pPr>
      <w:r w:rsidRPr="008D5DFB">
        <w:rPr>
          <w:i/>
          <w:iCs/>
          <w:sz w:val="24"/>
          <w:szCs w:val="24"/>
        </w:rPr>
        <w:t>Etoposid</w:t>
      </w:r>
    </w:p>
    <w:p w14:paraId="0061FFB1" w14:textId="77777777" w:rsidR="008D5DFB" w:rsidRPr="008D5DFB" w:rsidRDefault="008D5DFB" w:rsidP="008D5DFB">
      <w:pPr>
        <w:tabs>
          <w:tab w:val="left" w:pos="851"/>
        </w:tabs>
        <w:ind w:left="851"/>
        <w:rPr>
          <w:sz w:val="24"/>
          <w:szCs w:val="24"/>
        </w:rPr>
      </w:pPr>
      <w:r w:rsidRPr="008D5DFB">
        <w:rPr>
          <w:sz w:val="24"/>
          <w:szCs w:val="24"/>
        </w:rPr>
        <w:t>Koncentrationer i området 0,14 mg/ml til 0,25 mg/ml (f.eks. 70 mg i 500 ml til 250 mg i 1 l), administreret over 30 minutter til en time.</w:t>
      </w:r>
    </w:p>
    <w:p w14:paraId="4A9ADD3A" w14:textId="77777777" w:rsidR="008D5DFB" w:rsidRPr="008D5DFB" w:rsidRDefault="008D5DFB" w:rsidP="008D5DFB">
      <w:pPr>
        <w:tabs>
          <w:tab w:val="left" w:pos="851"/>
        </w:tabs>
        <w:ind w:left="851"/>
        <w:rPr>
          <w:sz w:val="24"/>
          <w:szCs w:val="24"/>
        </w:rPr>
      </w:pPr>
    </w:p>
    <w:p w14:paraId="3225CF31" w14:textId="3C1C00DC" w:rsidR="008D5DFB" w:rsidRPr="008D5DFB" w:rsidRDefault="008D5DFB" w:rsidP="008D5DFB">
      <w:pPr>
        <w:tabs>
          <w:tab w:val="left" w:pos="851"/>
        </w:tabs>
        <w:ind w:left="851"/>
        <w:rPr>
          <w:i/>
          <w:iCs/>
          <w:sz w:val="24"/>
          <w:szCs w:val="24"/>
        </w:rPr>
      </w:pPr>
      <w:r w:rsidRPr="008D5DFB">
        <w:rPr>
          <w:i/>
          <w:iCs/>
          <w:sz w:val="24"/>
          <w:szCs w:val="24"/>
        </w:rPr>
        <w:t>Ceftazidim</w:t>
      </w:r>
    </w:p>
    <w:p w14:paraId="6F8A59D9" w14:textId="77777777" w:rsidR="008D5DFB" w:rsidRPr="008D5DFB" w:rsidRDefault="008D5DFB" w:rsidP="008D5DFB">
      <w:pPr>
        <w:tabs>
          <w:tab w:val="left" w:pos="851"/>
        </w:tabs>
        <w:ind w:left="851"/>
        <w:rPr>
          <w:sz w:val="24"/>
          <w:szCs w:val="24"/>
        </w:rPr>
      </w:pPr>
      <w:r w:rsidRPr="008D5DFB">
        <w:rPr>
          <w:sz w:val="24"/>
          <w:szCs w:val="24"/>
        </w:rPr>
        <w:t xml:space="preserve">Doser i området 250 mg til 2.000 mg rekonstitueret med vand til injektion som anbefalet af producenten (f.eks. 2,5 ml til 250 mg og 10 ml til 2 g ceftazidim) og givet som en intravenøs bolusinjektion over ca. fem minutter. </w:t>
      </w:r>
    </w:p>
    <w:p w14:paraId="29A5CBE0" w14:textId="77777777" w:rsidR="008D5DFB" w:rsidRPr="008D5DFB" w:rsidRDefault="008D5DFB" w:rsidP="008D5DFB">
      <w:pPr>
        <w:tabs>
          <w:tab w:val="left" w:pos="851"/>
        </w:tabs>
        <w:ind w:left="851"/>
        <w:rPr>
          <w:sz w:val="24"/>
          <w:szCs w:val="24"/>
        </w:rPr>
      </w:pPr>
    </w:p>
    <w:p w14:paraId="588B1588" w14:textId="2327B62A" w:rsidR="008D5DFB" w:rsidRPr="008D5DFB" w:rsidRDefault="008D5DFB" w:rsidP="008D5DFB">
      <w:pPr>
        <w:tabs>
          <w:tab w:val="left" w:pos="851"/>
        </w:tabs>
        <w:ind w:left="851"/>
        <w:rPr>
          <w:i/>
          <w:iCs/>
          <w:sz w:val="24"/>
          <w:szCs w:val="24"/>
        </w:rPr>
      </w:pPr>
      <w:r w:rsidRPr="008D5DFB">
        <w:rPr>
          <w:i/>
          <w:iCs/>
          <w:sz w:val="24"/>
          <w:szCs w:val="24"/>
        </w:rPr>
        <w:t>Cyclophosphamid</w:t>
      </w:r>
    </w:p>
    <w:p w14:paraId="6AC5F558" w14:textId="77777777" w:rsidR="008D5DFB" w:rsidRPr="008D5DFB" w:rsidRDefault="008D5DFB" w:rsidP="008D5DFB">
      <w:pPr>
        <w:tabs>
          <w:tab w:val="left" w:pos="851"/>
        </w:tabs>
        <w:ind w:left="851"/>
        <w:rPr>
          <w:sz w:val="24"/>
          <w:szCs w:val="24"/>
        </w:rPr>
      </w:pPr>
      <w:r w:rsidRPr="008D5DFB">
        <w:rPr>
          <w:sz w:val="24"/>
          <w:szCs w:val="24"/>
        </w:rPr>
        <w:t xml:space="preserve">Doser i området 100 mg til 1 g, rekonstitueret med vand til injektion, 5 ml pr. 100 mg cyclophosphamid, som anbefalet af producenten, og givet som en intravenøs bolusinjektion over ca. fem minutter. </w:t>
      </w:r>
    </w:p>
    <w:p w14:paraId="4762233C" w14:textId="77777777" w:rsidR="008D5DFB" w:rsidRPr="008D5DFB" w:rsidRDefault="008D5DFB" w:rsidP="008D5DFB">
      <w:pPr>
        <w:tabs>
          <w:tab w:val="left" w:pos="851"/>
        </w:tabs>
        <w:ind w:left="851"/>
        <w:rPr>
          <w:sz w:val="24"/>
          <w:szCs w:val="24"/>
        </w:rPr>
      </w:pPr>
    </w:p>
    <w:p w14:paraId="1AEE8ECA" w14:textId="7AE16C5A" w:rsidR="008D5DFB" w:rsidRPr="008D5DFB" w:rsidRDefault="008D5DFB" w:rsidP="008D5DFB">
      <w:pPr>
        <w:tabs>
          <w:tab w:val="left" w:pos="851"/>
        </w:tabs>
        <w:ind w:left="851"/>
        <w:rPr>
          <w:i/>
          <w:iCs/>
          <w:sz w:val="24"/>
          <w:szCs w:val="24"/>
        </w:rPr>
      </w:pPr>
      <w:r w:rsidRPr="008D5DFB">
        <w:rPr>
          <w:i/>
          <w:iCs/>
          <w:sz w:val="24"/>
          <w:szCs w:val="24"/>
        </w:rPr>
        <w:t>Doxorubicin</w:t>
      </w:r>
    </w:p>
    <w:p w14:paraId="4CE894A1" w14:textId="77777777" w:rsidR="008D5DFB" w:rsidRPr="008D5DFB" w:rsidRDefault="008D5DFB" w:rsidP="008D5DFB">
      <w:pPr>
        <w:tabs>
          <w:tab w:val="left" w:pos="851"/>
        </w:tabs>
        <w:ind w:left="851"/>
        <w:rPr>
          <w:sz w:val="24"/>
          <w:szCs w:val="24"/>
        </w:rPr>
      </w:pPr>
      <w:r w:rsidRPr="008D5DFB">
        <w:rPr>
          <w:sz w:val="24"/>
          <w:szCs w:val="24"/>
        </w:rPr>
        <w:t xml:space="preserve">Doser i området 10-100 mg rekonstitueret med vand til injektion, 5 ml pr. 10 mg doxorubicin, som anbefalet af producenten og givet som en intravenøs bolusinjektion over ca. 5 minutter. </w:t>
      </w:r>
    </w:p>
    <w:p w14:paraId="119AB5A4" w14:textId="77777777" w:rsidR="008D5DFB" w:rsidRPr="008D5DFB" w:rsidRDefault="008D5DFB" w:rsidP="008D5DFB">
      <w:pPr>
        <w:tabs>
          <w:tab w:val="left" w:pos="851"/>
        </w:tabs>
        <w:ind w:left="851"/>
        <w:rPr>
          <w:sz w:val="24"/>
          <w:szCs w:val="24"/>
        </w:rPr>
      </w:pPr>
    </w:p>
    <w:p w14:paraId="7736FD30" w14:textId="3506A172" w:rsidR="008D5DFB" w:rsidRPr="008D5DFB" w:rsidRDefault="008D5DFB" w:rsidP="008D5DFB">
      <w:pPr>
        <w:tabs>
          <w:tab w:val="left" w:pos="851"/>
        </w:tabs>
        <w:ind w:left="851"/>
        <w:rPr>
          <w:i/>
          <w:iCs/>
          <w:sz w:val="24"/>
          <w:szCs w:val="24"/>
        </w:rPr>
      </w:pPr>
      <w:r w:rsidRPr="008D5DFB">
        <w:rPr>
          <w:i/>
          <w:iCs/>
          <w:sz w:val="24"/>
          <w:szCs w:val="24"/>
        </w:rPr>
        <w:t xml:space="preserve">Dexamethason </w:t>
      </w:r>
    </w:p>
    <w:p w14:paraId="139C0583" w14:textId="77777777" w:rsidR="008D5DFB" w:rsidRPr="008D5DFB" w:rsidRDefault="008D5DFB" w:rsidP="008D5DFB">
      <w:pPr>
        <w:tabs>
          <w:tab w:val="left" w:pos="851"/>
        </w:tabs>
        <w:ind w:left="851"/>
        <w:rPr>
          <w:sz w:val="24"/>
          <w:szCs w:val="24"/>
        </w:rPr>
      </w:pPr>
      <w:r w:rsidRPr="008D5DFB">
        <w:rPr>
          <w:sz w:val="24"/>
          <w:szCs w:val="24"/>
        </w:rPr>
        <w:t>Dexamethasonnatriumphosphat 20 mg kan indgives som en langsom intravenøs injektion over 2 5 minutter via Y-stykket på et infusionssæt, der tilfører 8 eller 16 mg ondansetron fortyndet i 50 100 ml af følgende infusionsvæsker:</w:t>
      </w:r>
    </w:p>
    <w:p w14:paraId="638C3BCB" w14:textId="5DB27E98" w:rsidR="008D5DFB" w:rsidRPr="008D5DFB" w:rsidRDefault="008D5DFB" w:rsidP="00932AE6">
      <w:pPr>
        <w:tabs>
          <w:tab w:val="left" w:pos="1134"/>
        </w:tabs>
        <w:ind w:left="1134" w:hanging="283"/>
        <w:rPr>
          <w:sz w:val="24"/>
          <w:szCs w:val="24"/>
          <w:lang w:val="en-US"/>
        </w:rPr>
      </w:pPr>
      <w:r w:rsidRPr="008D5DFB">
        <w:rPr>
          <w:sz w:val="24"/>
          <w:szCs w:val="24"/>
          <w:lang w:val="en-US"/>
        </w:rPr>
        <w:t>-</w:t>
      </w:r>
      <w:r w:rsidR="00932AE6">
        <w:rPr>
          <w:sz w:val="24"/>
          <w:szCs w:val="24"/>
          <w:lang w:val="en-US"/>
        </w:rPr>
        <w:tab/>
      </w:r>
      <w:r w:rsidRPr="008D5DFB">
        <w:rPr>
          <w:sz w:val="24"/>
          <w:szCs w:val="24"/>
          <w:lang w:val="en-US"/>
        </w:rPr>
        <w:t>Natriumchlorid 0,9 % w/v</w:t>
      </w:r>
    </w:p>
    <w:p w14:paraId="15DEC659" w14:textId="1E1F58F2" w:rsidR="008D5DFB" w:rsidRPr="008D5DFB" w:rsidRDefault="008D5DFB" w:rsidP="00932AE6">
      <w:pPr>
        <w:tabs>
          <w:tab w:val="left" w:pos="1134"/>
        </w:tabs>
        <w:ind w:left="1134" w:hanging="283"/>
        <w:rPr>
          <w:sz w:val="24"/>
          <w:szCs w:val="24"/>
          <w:lang w:val="en-US"/>
        </w:rPr>
      </w:pPr>
      <w:r w:rsidRPr="008D5DFB">
        <w:rPr>
          <w:sz w:val="24"/>
          <w:szCs w:val="24"/>
          <w:lang w:val="en-US"/>
        </w:rPr>
        <w:t>-</w:t>
      </w:r>
      <w:r w:rsidR="00932AE6">
        <w:rPr>
          <w:sz w:val="24"/>
          <w:szCs w:val="24"/>
          <w:lang w:val="en-US"/>
        </w:rPr>
        <w:tab/>
      </w:r>
      <w:r w:rsidRPr="008D5DFB">
        <w:rPr>
          <w:sz w:val="24"/>
          <w:szCs w:val="24"/>
          <w:lang w:val="en-US"/>
        </w:rPr>
        <w:t>Glucose 5 % w/v</w:t>
      </w:r>
    </w:p>
    <w:p w14:paraId="1748FDCC" w14:textId="77777777" w:rsidR="00932AE6" w:rsidRDefault="008D5DFB" w:rsidP="00932AE6">
      <w:pPr>
        <w:tabs>
          <w:tab w:val="left" w:pos="1134"/>
        </w:tabs>
        <w:ind w:left="1134" w:hanging="283"/>
        <w:rPr>
          <w:sz w:val="24"/>
          <w:szCs w:val="24"/>
        </w:rPr>
      </w:pPr>
      <w:r w:rsidRPr="008D5DFB">
        <w:rPr>
          <w:sz w:val="24"/>
          <w:szCs w:val="24"/>
        </w:rPr>
        <w:t>-</w:t>
      </w:r>
      <w:r w:rsidR="00932AE6">
        <w:rPr>
          <w:sz w:val="24"/>
          <w:szCs w:val="24"/>
        </w:rPr>
        <w:tab/>
      </w:r>
      <w:r w:rsidRPr="008D5DFB">
        <w:rPr>
          <w:sz w:val="24"/>
          <w:szCs w:val="24"/>
        </w:rPr>
        <w:t>Natriumchlorid 0,9 % w/v og glucoseopløsning til infusion 5 % w/v</w:t>
      </w:r>
    </w:p>
    <w:p w14:paraId="2E1D1CBC" w14:textId="708772B8" w:rsidR="008D5DFB" w:rsidRPr="008D5DFB" w:rsidRDefault="008D5DFB" w:rsidP="00932AE6">
      <w:pPr>
        <w:tabs>
          <w:tab w:val="left" w:pos="1134"/>
        </w:tabs>
        <w:ind w:left="1134" w:hanging="283"/>
        <w:rPr>
          <w:sz w:val="24"/>
          <w:szCs w:val="24"/>
        </w:rPr>
      </w:pPr>
      <w:r w:rsidRPr="008D5DFB">
        <w:rPr>
          <w:sz w:val="24"/>
          <w:szCs w:val="24"/>
        </w:rPr>
        <w:t xml:space="preserve">over ca. 15 minutter. </w:t>
      </w:r>
    </w:p>
    <w:p w14:paraId="2DE43296" w14:textId="0DCF7364" w:rsidR="008D5DFB" w:rsidRPr="008D5DFB" w:rsidRDefault="008D5DFB" w:rsidP="008D5DFB">
      <w:pPr>
        <w:tabs>
          <w:tab w:val="left" w:pos="851"/>
        </w:tabs>
        <w:ind w:left="851"/>
        <w:rPr>
          <w:sz w:val="24"/>
          <w:szCs w:val="24"/>
        </w:rPr>
      </w:pPr>
      <w:r w:rsidRPr="008D5DFB">
        <w:rPr>
          <w:sz w:val="24"/>
          <w:szCs w:val="24"/>
        </w:rPr>
        <w:t xml:space="preserve">Kompatibilitet mellem dexamethasonnatriumphosphat og ondansetron er påvist, hvilket understøtter administration af disse lægemidler gennem samme administrationssæt, der </w:t>
      </w:r>
      <w:r w:rsidRPr="008D5DFB">
        <w:rPr>
          <w:sz w:val="24"/>
          <w:szCs w:val="24"/>
        </w:rPr>
        <w:lastRenderedPageBreak/>
        <w:t xml:space="preserve">resulterer i koncentrationer i tråd med 32 mikrogram </w:t>
      </w:r>
      <w:r w:rsidR="00932AE6">
        <w:rPr>
          <w:sz w:val="24"/>
          <w:szCs w:val="24"/>
        </w:rPr>
        <w:t>-</w:t>
      </w:r>
      <w:r w:rsidRPr="008D5DFB">
        <w:rPr>
          <w:sz w:val="24"/>
          <w:szCs w:val="24"/>
        </w:rPr>
        <w:t xml:space="preserve"> 2,5 mg/ml for dexamethasonnatriumphosphat og 8 mikrogram </w:t>
      </w:r>
      <w:r w:rsidR="00932AE6">
        <w:rPr>
          <w:sz w:val="24"/>
          <w:szCs w:val="24"/>
        </w:rPr>
        <w:t>-</w:t>
      </w:r>
      <w:r w:rsidRPr="008D5DFB">
        <w:rPr>
          <w:sz w:val="24"/>
          <w:szCs w:val="24"/>
        </w:rPr>
        <w:t xml:space="preserve"> 1 mg/ml for ondansetron. </w:t>
      </w:r>
    </w:p>
    <w:p w14:paraId="2675799D" w14:textId="77777777" w:rsidR="008D5DFB" w:rsidRPr="008D5DFB" w:rsidRDefault="008D5DFB" w:rsidP="008D5DFB">
      <w:pPr>
        <w:tabs>
          <w:tab w:val="left" w:pos="851"/>
        </w:tabs>
        <w:ind w:left="851"/>
        <w:rPr>
          <w:sz w:val="24"/>
          <w:szCs w:val="24"/>
        </w:rPr>
      </w:pPr>
    </w:p>
    <w:p w14:paraId="03C73CB4" w14:textId="77777777" w:rsidR="008D5DFB" w:rsidRPr="008D5DFB" w:rsidRDefault="008D5DFB" w:rsidP="008D5DFB">
      <w:pPr>
        <w:tabs>
          <w:tab w:val="left" w:pos="851"/>
        </w:tabs>
        <w:ind w:left="851"/>
        <w:rPr>
          <w:sz w:val="24"/>
          <w:szCs w:val="24"/>
        </w:rPr>
      </w:pPr>
      <w:r w:rsidRPr="008D5DFB">
        <w:rPr>
          <w:sz w:val="24"/>
          <w:szCs w:val="24"/>
        </w:rPr>
        <w:t>Ondansetron må ikke indgives i samme infusionssprøjte med andre lægemidler.</w:t>
      </w:r>
    </w:p>
    <w:p w14:paraId="36E20DE1" w14:textId="77777777" w:rsidR="009260DE" w:rsidRPr="00C84483" w:rsidRDefault="009260DE" w:rsidP="000730CA">
      <w:pPr>
        <w:tabs>
          <w:tab w:val="left" w:pos="851"/>
        </w:tabs>
        <w:ind w:left="851"/>
        <w:rPr>
          <w:sz w:val="24"/>
          <w:szCs w:val="24"/>
        </w:rPr>
      </w:pPr>
    </w:p>
    <w:p w14:paraId="193B409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31D7711" w14:textId="77777777" w:rsidR="00932AE6" w:rsidRPr="00D03D79" w:rsidRDefault="00932AE6" w:rsidP="00932AE6">
      <w:pPr>
        <w:tabs>
          <w:tab w:val="left" w:pos="851"/>
        </w:tabs>
        <w:ind w:left="851"/>
        <w:rPr>
          <w:sz w:val="24"/>
          <w:szCs w:val="24"/>
        </w:rPr>
      </w:pPr>
      <w:r w:rsidRPr="00D03D79">
        <w:rPr>
          <w:sz w:val="24"/>
          <w:szCs w:val="24"/>
        </w:rPr>
        <w:t>Noridem Enterprises Ltd.</w:t>
      </w:r>
    </w:p>
    <w:p w14:paraId="1C6D7675" w14:textId="77777777" w:rsidR="00932AE6" w:rsidRPr="00932AE6" w:rsidRDefault="00932AE6" w:rsidP="00932AE6">
      <w:pPr>
        <w:tabs>
          <w:tab w:val="left" w:pos="851"/>
        </w:tabs>
        <w:ind w:left="851"/>
        <w:rPr>
          <w:sz w:val="24"/>
          <w:szCs w:val="24"/>
          <w:lang w:val="en-US"/>
        </w:rPr>
      </w:pPr>
      <w:r w:rsidRPr="00932AE6">
        <w:rPr>
          <w:sz w:val="24"/>
          <w:szCs w:val="24"/>
          <w:lang w:val="en-US"/>
        </w:rPr>
        <w:t>Evagorou &amp; Markariou</w:t>
      </w:r>
    </w:p>
    <w:p w14:paraId="2E663196" w14:textId="77777777" w:rsidR="00932AE6" w:rsidRPr="00932AE6" w:rsidRDefault="00932AE6" w:rsidP="00932AE6">
      <w:pPr>
        <w:tabs>
          <w:tab w:val="left" w:pos="851"/>
        </w:tabs>
        <w:ind w:left="851"/>
        <w:rPr>
          <w:sz w:val="24"/>
          <w:szCs w:val="24"/>
          <w:lang w:val="en-US"/>
        </w:rPr>
      </w:pPr>
      <w:r w:rsidRPr="00932AE6">
        <w:rPr>
          <w:sz w:val="24"/>
          <w:szCs w:val="24"/>
          <w:lang w:val="en-US"/>
        </w:rPr>
        <w:t>Mitsi Building 3, Office 115</w:t>
      </w:r>
    </w:p>
    <w:p w14:paraId="2189121F" w14:textId="77777777" w:rsidR="00932AE6" w:rsidRPr="00932AE6" w:rsidRDefault="00932AE6" w:rsidP="00932AE6">
      <w:pPr>
        <w:tabs>
          <w:tab w:val="left" w:pos="851"/>
        </w:tabs>
        <w:ind w:left="851"/>
        <w:rPr>
          <w:sz w:val="24"/>
          <w:szCs w:val="24"/>
          <w:lang w:val="sv-SE"/>
        </w:rPr>
      </w:pPr>
      <w:r w:rsidRPr="00932AE6">
        <w:rPr>
          <w:sz w:val="24"/>
          <w:szCs w:val="24"/>
          <w:lang w:val="sv-SE"/>
        </w:rPr>
        <w:t>1065 Nicosia</w:t>
      </w:r>
    </w:p>
    <w:p w14:paraId="228905CE" w14:textId="77777777" w:rsidR="00932AE6" w:rsidRPr="00932AE6" w:rsidRDefault="00932AE6" w:rsidP="00932AE6">
      <w:pPr>
        <w:tabs>
          <w:tab w:val="left" w:pos="851"/>
        </w:tabs>
        <w:ind w:left="851"/>
        <w:rPr>
          <w:sz w:val="24"/>
          <w:szCs w:val="24"/>
          <w:lang w:val="sv-SE"/>
        </w:rPr>
      </w:pPr>
      <w:r w:rsidRPr="00932AE6">
        <w:rPr>
          <w:sz w:val="24"/>
          <w:szCs w:val="24"/>
          <w:lang w:val="sv-SE"/>
        </w:rPr>
        <w:t>Cypern</w:t>
      </w:r>
    </w:p>
    <w:p w14:paraId="29485B9F" w14:textId="77777777" w:rsidR="009260DE" w:rsidRPr="00D03D79" w:rsidRDefault="009260DE" w:rsidP="009260DE">
      <w:pPr>
        <w:tabs>
          <w:tab w:val="left" w:pos="851"/>
        </w:tabs>
        <w:ind w:left="851"/>
        <w:rPr>
          <w:sz w:val="24"/>
          <w:szCs w:val="24"/>
          <w:lang w:val="en-US"/>
        </w:rPr>
      </w:pPr>
    </w:p>
    <w:p w14:paraId="57EFA586" w14:textId="77777777" w:rsidR="00641C65" w:rsidRPr="00D03D79" w:rsidRDefault="00641C65" w:rsidP="009260DE">
      <w:pPr>
        <w:tabs>
          <w:tab w:val="left" w:pos="851"/>
        </w:tabs>
        <w:ind w:left="851"/>
        <w:rPr>
          <w:sz w:val="24"/>
          <w:szCs w:val="24"/>
          <w:lang w:val="en-US"/>
        </w:rPr>
      </w:pPr>
      <w:r w:rsidRPr="00D03D79">
        <w:rPr>
          <w:b/>
          <w:sz w:val="24"/>
          <w:szCs w:val="24"/>
          <w:lang w:val="en-US"/>
        </w:rPr>
        <w:t>Repræsentant</w:t>
      </w:r>
    </w:p>
    <w:p w14:paraId="05A823E2" w14:textId="77777777" w:rsidR="00932AE6" w:rsidRPr="00932AE6" w:rsidRDefault="00932AE6" w:rsidP="00932AE6">
      <w:pPr>
        <w:tabs>
          <w:tab w:val="left" w:pos="851"/>
        </w:tabs>
        <w:ind w:left="851"/>
        <w:rPr>
          <w:sz w:val="24"/>
          <w:szCs w:val="24"/>
          <w:lang w:val="sv-SE"/>
        </w:rPr>
      </w:pPr>
      <w:r w:rsidRPr="00932AE6">
        <w:rPr>
          <w:sz w:val="24"/>
          <w:szCs w:val="24"/>
          <w:lang w:val="sv-SE"/>
        </w:rPr>
        <w:t>FrostPharma AB</w:t>
      </w:r>
    </w:p>
    <w:p w14:paraId="1E754A4E" w14:textId="77777777" w:rsidR="00932AE6" w:rsidRPr="00932AE6" w:rsidRDefault="00932AE6" w:rsidP="00932AE6">
      <w:pPr>
        <w:tabs>
          <w:tab w:val="left" w:pos="851"/>
        </w:tabs>
        <w:ind w:left="851"/>
        <w:rPr>
          <w:sz w:val="24"/>
          <w:szCs w:val="24"/>
          <w:lang w:val="sv-SE"/>
        </w:rPr>
      </w:pPr>
      <w:r w:rsidRPr="00932AE6">
        <w:rPr>
          <w:sz w:val="24"/>
          <w:szCs w:val="24"/>
          <w:lang w:val="sv-SE"/>
        </w:rPr>
        <w:t>Berga Backe 2</w:t>
      </w:r>
    </w:p>
    <w:p w14:paraId="14B04477" w14:textId="77777777" w:rsidR="00932AE6" w:rsidRPr="00932AE6" w:rsidRDefault="00932AE6" w:rsidP="00932AE6">
      <w:pPr>
        <w:tabs>
          <w:tab w:val="left" w:pos="851"/>
        </w:tabs>
        <w:ind w:left="851"/>
        <w:rPr>
          <w:sz w:val="24"/>
          <w:szCs w:val="24"/>
        </w:rPr>
      </w:pPr>
      <w:r w:rsidRPr="00932AE6">
        <w:rPr>
          <w:sz w:val="24"/>
          <w:szCs w:val="24"/>
        </w:rPr>
        <w:t>182 53 Danderyd</w:t>
      </w:r>
    </w:p>
    <w:p w14:paraId="493F5090" w14:textId="77777777" w:rsidR="00932AE6" w:rsidRPr="00932AE6" w:rsidRDefault="00932AE6" w:rsidP="00932AE6">
      <w:pPr>
        <w:tabs>
          <w:tab w:val="left" w:pos="851"/>
        </w:tabs>
        <w:ind w:left="851"/>
        <w:rPr>
          <w:sz w:val="24"/>
          <w:szCs w:val="24"/>
        </w:rPr>
      </w:pPr>
      <w:r w:rsidRPr="00932AE6">
        <w:rPr>
          <w:sz w:val="24"/>
          <w:szCs w:val="24"/>
        </w:rPr>
        <w:t>Sverige</w:t>
      </w:r>
    </w:p>
    <w:p w14:paraId="6B7BED76" w14:textId="77777777" w:rsidR="00641C65" w:rsidRPr="00641C65" w:rsidRDefault="00641C65" w:rsidP="009260DE">
      <w:pPr>
        <w:tabs>
          <w:tab w:val="left" w:pos="851"/>
        </w:tabs>
        <w:ind w:left="851"/>
        <w:rPr>
          <w:sz w:val="24"/>
          <w:szCs w:val="24"/>
        </w:rPr>
      </w:pPr>
    </w:p>
    <w:p w14:paraId="0C51BC2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6AC20C6" w14:textId="6F44C6AE" w:rsidR="009260DE" w:rsidRPr="00C84483" w:rsidRDefault="009F695A" w:rsidP="009260DE">
      <w:pPr>
        <w:tabs>
          <w:tab w:val="left" w:pos="851"/>
        </w:tabs>
        <w:ind w:left="851"/>
        <w:rPr>
          <w:sz w:val="24"/>
          <w:szCs w:val="24"/>
        </w:rPr>
      </w:pPr>
      <w:r>
        <w:rPr>
          <w:sz w:val="24"/>
          <w:szCs w:val="24"/>
        </w:rPr>
        <w:t>72589</w:t>
      </w:r>
    </w:p>
    <w:p w14:paraId="04722865" w14:textId="77777777" w:rsidR="009260DE" w:rsidRPr="00C84483" w:rsidRDefault="009260DE" w:rsidP="009260DE">
      <w:pPr>
        <w:tabs>
          <w:tab w:val="left" w:pos="851"/>
        </w:tabs>
        <w:ind w:left="851"/>
        <w:jc w:val="both"/>
        <w:rPr>
          <w:sz w:val="24"/>
          <w:szCs w:val="24"/>
        </w:rPr>
      </w:pPr>
    </w:p>
    <w:p w14:paraId="2A8463B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3F21FB9" w14:textId="3694FA89" w:rsidR="009260DE" w:rsidRPr="00C84483" w:rsidRDefault="00D03D79" w:rsidP="009260DE">
      <w:pPr>
        <w:tabs>
          <w:tab w:val="left" w:pos="851"/>
        </w:tabs>
        <w:ind w:left="851"/>
        <w:rPr>
          <w:sz w:val="24"/>
          <w:szCs w:val="24"/>
        </w:rPr>
      </w:pPr>
      <w:r>
        <w:rPr>
          <w:sz w:val="24"/>
          <w:szCs w:val="24"/>
        </w:rPr>
        <w:t>14. juli 2025</w:t>
      </w:r>
    </w:p>
    <w:p w14:paraId="6AB7D78B" w14:textId="77777777" w:rsidR="009260DE" w:rsidRPr="00C84483" w:rsidRDefault="009260DE" w:rsidP="009260DE">
      <w:pPr>
        <w:tabs>
          <w:tab w:val="left" w:pos="851"/>
        </w:tabs>
        <w:ind w:left="851"/>
        <w:rPr>
          <w:sz w:val="24"/>
          <w:szCs w:val="24"/>
        </w:rPr>
      </w:pPr>
    </w:p>
    <w:p w14:paraId="29D4D97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5A6BE1B" w14:textId="2003B6D0" w:rsidR="009260DE" w:rsidRPr="00C84483" w:rsidRDefault="009F695A"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996FF" w14:textId="77777777" w:rsidR="00DB01E2" w:rsidRDefault="00DB01E2">
      <w:r>
        <w:separator/>
      </w:r>
    </w:p>
  </w:endnote>
  <w:endnote w:type="continuationSeparator" w:id="0">
    <w:p w14:paraId="3F526B98" w14:textId="77777777" w:rsidR="00DB01E2" w:rsidRDefault="00DB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FAE1" w14:textId="77777777" w:rsidR="00DB01E2" w:rsidRDefault="00DB01E2">
    <w:pPr>
      <w:pStyle w:val="Sidefod"/>
      <w:pBdr>
        <w:bottom w:val="single" w:sz="6" w:space="1" w:color="auto"/>
      </w:pBdr>
    </w:pPr>
  </w:p>
  <w:p w14:paraId="506A50D8" w14:textId="77777777" w:rsidR="00DB01E2" w:rsidRDefault="00DB01E2" w:rsidP="00C42586">
    <w:pPr>
      <w:pStyle w:val="Sidefod"/>
      <w:tabs>
        <w:tab w:val="clear" w:pos="4819"/>
        <w:tab w:val="left" w:pos="8505"/>
      </w:tabs>
      <w:rPr>
        <w:i/>
        <w:sz w:val="18"/>
        <w:szCs w:val="18"/>
      </w:rPr>
    </w:pPr>
  </w:p>
  <w:p w14:paraId="19AC56C6" w14:textId="5D8D4817" w:rsidR="00DB01E2" w:rsidRPr="00B373D7" w:rsidRDefault="00DB01E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Ondansetron Noridem, injektionsvæske, opløsning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CDC7" w14:textId="77777777" w:rsidR="00DB01E2" w:rsidRDefault="00DB01E2">
      <w:r>
        <w:separator/>
      </w:r>
    </w:p>
  </w:footnote>
  <w:footnote w:type="continuationSeparator" w:id="0">
    <w:p w14:paraId="60ABCCF1" w14:textId="77777777" w:rsidR="00DB01E2" w:rsidRDefault="00DB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424"/>
    <w:multiLevelType w:val="hybridMultilevel"/>
    <w:tmpl w:val="3454E47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B2A3480"/>
    <w:multiLevelType w:val="hybridMultilevel"/>
    <w:tmpl w:val="8A2EA67C"/>
    <w:lvl w:ilvl="0" w:tplc="077214DC">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B4"/>
    <w:rsid w:val="000259B9"/>
    <w:rsid w:val="00041491"/>
    <w:rsid w:val="00050D16"/>
    <w:rsid w:val="000730CA"/>
    <w:rsid w:val="00074F2A"/>
    <w:rsid w:val="000A1CA8"/>
    <w:rsid w:val="000A32B4"/>
    <w:rsid w:val="000A466B"/>
    <w:rsid w:val="000B058C"/>
    <w:rsid w:val="000D68B0"/>
    <w:rsid w:val="000E4EE6"/>
    <w:rsid w:val="001454E2"/>
    <w:rsid w:val="00145754"/>
    <w:rsid w:val="00206CE8"/>
    <w:rsid w:val="0021526C"/>
    <w:rsid w:val="00283A2B"/>
    <w:rsid w:val="002B30AD"/>
    <w:rsid w:val="002C1EC0"/>
    <w:rsid w:val="002C2C01"/>
    <w:rsid w:val="002F74F6"/>
    <w:rsid w:val="003A29AE"/>
    <w:rsid w:val="003A32D7"/>
    <w:rsid w:val="003B4074"/>
    <w:rsid w:val="003C769A"/>
    <w:rsid w:val="003D3A90"/>
    <w:rsid w:val="003F1838"/>
    <w:rsid w:val="004050C0"/>
    <w:rsid w:val="004251C1"/>
    <w:rsid w:val="0045746C"/>
    <w:rsid w:val="004679B5"/>
    <w:rsid w:val="0049104B"/>
    <w:rsid w:val="004A4996"/>
    <w:rsid w:val="004E3B12"/>
    <w:rsid w:val="00532310"/>
    <w:rsid w:val="0056079A"/>
    <w:rsid w:val="00565F0F"/>
    <w:rsid w:val="00594A86"/>
    <w:rsid w:val="00596D86"/>
    <w:rsid w:val="005D37BA"/>
    <w:rsid w:val="006259CD"/>
    <w:rsid w:val="00637F5A"/>
    <w:rsid w:val="00641C65"/>
    <w:rsid w:val="006560B1"/>
    <w:rsid w:val="006756DD"/>
    <w:rsid w:val="006C6659"/>
    <w:rsid w:val="0071241E"/>
    <w:rsid w:val="00737275"/>
    <w:rsid w:val="00740EEC"/>
    <w:rsid w:val="0078011A"/>
    <w:rsid w:val="00782AF4"/>
    <w:rsid w:val="00790EE7"/>
    <w:rsid w:val="007B6649"/>
    <w:rsid w:val="0082576E"/>
    <w:rsid w:val="0089346F"/>
    <w:rsid w:val="008B22F1"/>
    <w:rsid w:val="008D5DFB"/>
    <w:rsid w:val="00907F75"/>
    <w:rsid w:val="009260DE"/>
    <w:rsid w:val="0093258A"/>
    <w:rsid w:val="00932AE6"/>
    <w:rsid w:val="009C7BA3"/>
    <w:rsid w:val="009D1F5A"/>
    <w:rsid w:val="009F695A"/>
    <w:rsid w:val="00A10294"/>
    <w:rsid w:val="00A41138"/>
    <w:rsid w:val="00B003BF"/>
    <w:rsid w:val="00B373D7"/>
    <w:rsid w:val="00B55271"/>
    <w:rsid w:val="00BD7931"/>
    <w:rsid w:val="00BF6243"/>
    <w:rsid w:val="00C36276"/>
    <w:rsid w:val="00C42586"/>
    <w:rsid w:val="00C45F6B"/>
    <w:rsid w:val="00C6007F"/>
    <w:rsid w:val="00C60CCD"/>
    <w:rsid w:val="00C84483"/>
    <w:rsid w:val="00C95551"/>
    <w:rsid w:val="00CB20D7"/>
    <w:rsid w:val="00D020B0"/>
    <w:rsid w:val="00D03D79"/>
    <w:rsid w:val="00D11748"/>
    <w:rsid w:val="00D140C9"/>
    <w:rsid w:val="00D237F6"/>
    <w:rsid w:val="00D34D98"/>
    <w:rsid w:val="00D366CF"/>
    <w:rsid w:val="00D93992"/>
    <w:rsid w:val="00DB01E2"/>
    <w:rsid w:val="00DB062A"/>
    <w:rsid w:val="00DE2451"/>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6EEC"/>
  <w15:chartTrackingRefBased/>
  <w15:docId w15:val="{E50568AB-D435-498B-AE83-1AC6B22F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B22F1"/>
    <w:pPr>
      <w:ind w:left="720"/>
      <w:contextualSpacing/>
    </w:pPr>
    <w:rPr>
      <w:sz w:val="22"/>
    </w:rPr>
  </w:style>
  <w:style w:type="paragraph" w:styleId="NormalWeb">
    <w:name w:val="Normal (Web)"/>
    <w:basedOn w:val="Normal"/>
    <w:uiPriority w:val="99"/>
    <w:semiHidden/>
    <w:unhideWhenUsed/>
    <w:rsid w:val="004679B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336">
      <w:bodyDiv w:val="1"/>
      <w:marLeft w:val="0"/>
      <w:marRight w:val="0"/>
      <w:marTop w:val="0"/>
      <w:marBottom w:val="0"/>
      <w:divBdr>
        <w:top w:val="none" w:sz="0" w:space="0" w:color="auto"/>
        <w:left w:val="none" w:sz="0" w:space="0" w:color="auto"/>
        <w:bottom w:val="none" w:sz="0" w:space="0" w:color="auto"/>
        <w:right w:val="none" w:sz="0" w:space="0" w:color="auto"/>
      </w:divBdr>
    </w:div>
    <w:div w:id="82843694">
      <w:bodyDiv w:val="1"/>
      <w:marLeft w:val="0"/>
      <w:marRight w:val="0"/>
      <w:marTop w:val="0"/>
      <w:marBottom w:val="0"/>
      <w:divBdr>
        <w:top w:val="none" w:sz="0" w:space="0" w:color="auto"/>
        <w:left w:val="none" w:sz="0" w:space="0" w:color="auto"/>
        <w:bottom w:val="none" w:sz="0" w:space="0" w:color="auto"/>
        <w:right w:val="none" w:sz="0" w:space="0" w:color="auto"/>
      </w:divBdr>
    </w:div>
    <w:div w:id="84428345">
      <w:bodyDiv w:val="1"/>
      <w:marLeft w:val="0"/>
      <w:marRight w:val="0"/>
      <w:marTop w:val="0"/>
      <w:marBottom w:val="0"/>
      <w:divBdr>
        <w:top w:val="none" w:sz="0" w:space="0" w:color="auto"/>
        <w:left w:val="none" w:sz="0" w:space="0" w:color="auto"/>
        <w:bottom w:val="none" w:sz="0" w:space="0" w:color="auto"/>
        <w:right w:val="none" w:sz="0" w:space="0" w:color="auto"/>
      </w:divBdr>
    </w:div>
    <w:div w:id="1400769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740591">
      <w:bodyDiv w:val="1"/>
      <w:marLeft w:val="0"/>
      <w:marRight w:val="0"/>
      <w:marTop w:val="0"/>
      <w:marBottom w:val="0"/>
      <w:divBdr>
        <w:top w:val="none" w:sz="0" w:space="0" w:color="auto"/>
        <w:left w:val="none" w:sz="0" w:space="0" w:color="auto"/>
        <w:bottom w:val="none" w:sz="0" w:space="0" w:color="auto"/>
        <w:right w:val="none" w:sz="0" w:space="0" w:color="auto"/>
      </w:divBdr>
    </w:div>
    <w:div w:id="236061937">
      <w:bodyDiv w:val="1"/>
      <w:marLeft w:val="0"/>
      <w:marRight w:val="0"/>
      <w:marTop w:val="0"/>
      <w:marBottom w:val="0"/>
      <w:divBdr>
        <w:top w:val="none" w:sz="0" w:space="0" w:color="auto"/>
        <w:left w:val="none" w:sz="0" w:space="0" w:color="auto"/>
        <w:bottom w:val="none" w:sz="0" w:space="0" w:color="auto"/>
        <w:right w:val="none" w:sz="0" w:space="0" w:color="auto"/>
      </w:divBdr>
    </w:div>
    <w:div w:id="366569911">
      <w:bodyDiv w:val="1"/>
      <w:marLeft w:val="0"/>
      <w:marRight w:val="0"/>
      <w:marTop w:val="0"/>
      <w:marBottom w:val="0"/>
      <w:divBdr>
        <w:top w:val="none" w:sz="0" w:space="0" w:color="auto"/>
        <w:left w:val="none" w:sz="0" w:space="0" w:color="auto"/>
        <w:bottom w:val="none" w:sz="0" w:space="0" w:color="auto"/>
        <w:right w:val="none" w:sz="0" w:space="0" w:color="auto"/>
      </w:divBdr>
    </w:div>
    <w:div w:id="401299107">
      <w:bodyDiv w:val="1"/>
      <w:marLeft w:val="0"/>
      <w:marRight w:val="0"/>
      <w:marTop w:val="0"/>
      <w:marBottom w:val="0"/>
      <w:divBdr>
        <w:top w:val="none" w:sz="0" w:space="0" w:color="auto"/>
        <w:left w:val="none" w:sz="0" w:space="0" w:color="auto"/>
        <w:bottom w:val="none" w:sz="0" w:space="0" w:color="auto"/>
        <w:right w:val="none" w:sz="0" w:space="0" w:color="auto"/>
      </w:divBdr>
    </w:div>
    <w:div w:id="422646028">
      <w:bodyDiv w:val="1"/>
      <w:marLeft w:val="0"/>
      <w:marRight w:val="0"/>
      <w:marTop w:val="0"/>
      <w:marBottom w:val="0"/>
      <w:divBdr>
        <w:top w:val="none" w:sz="0" w:space="0" w:color="auto"/>
        <w:left w:val="none" w:sz="0" w:space="0" w:color="auto"/>
        <w:bottom w:val="none" w:sz="0" w:space="0" w:color="auto"/>
        <w:right w:val="none" w:sz="0" w:space="0" w:color="auto"/>
      </w:divBdr>
    </w:div>
    <w:div w:id="434133672">
      <w:bodyDiv w:val="1"/>
      <w:marLeft w:val="0"/>
      <w:marRight w:val="0"/>
      <w:marTop w:val="0"/>
      <w:marBottom w:val="0"/>
      <w:divBdr>
        <w:top w:val="none" w:sz="0" w:space="0" w:color="auto"/>
        <w:left w:val="none" w:sz="0" w:space="0" w:color="auto"/>
        <w:bottom w:val="none" w:sz="0" w:space="0" w:color="auto"/>
        <w:right w:val="none" w:sz="0" w:space="0" w:color="auto"/>
      </w:divBdr>
    </w:div>
    <w:div w:id="477191281">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0"/>
      <w:marBottom w:val="0"/>
      <w:divBdr>
        <w:top w:val="none" w:sz="0" w:space="0" w:color="auto"/>
        <w:left w:val="none" w:sz="0" w:space="0" w:color="auto"/>
        <w:bottom w:val="none" w:sz="0" w:space="0" w:color="auto"/>
        <w:right w:val="none" w:sz="0" w:space="0" w:color="auto"/>
      </w:divBdr>
    </w:div>
    <w:div w:id="613093161">
      <w:bodyDiv w:val="1"/>
      <w:marLeft w:val="0"/>
      <w:marRight w:val="0"/>
      <w:marTop w:val="0"/>
      <w:marBottom w:val="0"/>
      <w:divBdr>
        <w:top w:val="none" w:sz="0" w:space="0" w:color="auto"/>
        <w:left w:val="none" w:sz="0" w:space="0" w:color="auto"/>
        <w:bottom w:val="none" w:sz="0" w:space="0" w:color="auto"/>
        <w:right w:val="none" w:sz="0" w:space="0" w:color="auto"/>
      </w:divBdr>
    </w:div>
    <w:div w:id="631715056">
      <w:bodyDiv w:val="1"/>
      <w:marLeft w:val="0"/>
      <w:marRight w:val="0"/>
      <w:marTop w:val="0"/>
      <w:marBottom w:val="0"/>
      <w:divBdr>
        <w:top w:val="none" w:sz="0" w:space="0" w:color="auto"/>
        <w:left w:val="none" w:sz="0" w:space="0" w:color="auto"/>
        <w:bottom w:val="none" w:sz="0" w:space="0" w:color="auto"/>
        <w:right w:val="none" w:sz="0" w:space="0" w:color="auto"/>
      </w:divBdr>
    </w:div>
    <w:div w:id="644048134">
      <w:bodyDiv w:val="1"/>
      <w:marLeft w:val="0"/>
      <w:marRight w:val="0"/>
      <w:marTop w:val="0"/>
      <w:marBottom w:val="0"/>
      <w:divBdr>
        <w:top w:val="none" w:sz="0" w:space="0" w:color="auto"/>
        <w:left w:val="none" w:sz="0" w:space="0" w:color="auto"/>
        <w:bottom w:val="none" w:sz="0" w:space="0" w:color="auto"/>
        <w:right w:val="none" w:sz="0" w:space="0" w:color="auto"/>
      </w:divBdr>
    </w:div>
    <w:div w:id="644772743">
      <w:bodyDiv w:val="1"/>
      <w:marLeft w:val="0"/>
      <w:marRight w:val="0"/>
      <w:marTop w:val="0"/>
      <w:marBottom w:val="0"/>
      <w:divBdr>
        <w:top w:val="none" w:sz="0" w:space="0" w:color="auto"/>
        <w:left w:val="none" w:sz="0" w:space="0" w:color="auto"/>
        <w:bottom w:val="none" w:sz="0" w:space="0" w:color="auto"/>
        <w:right w:val="none" w:sz="0" w:space="0" w:color="auto"/>
      </w:divBdr>
    </w:div>
    <w:div w:id="684869760">
      <w:bodyDiv w:val="1"/>
      <w:marLeft w:val="0"/>
      <w:marRight w:val="0"/>
      <w:marTop w:val="0"/>
      <w:marBottom w:val="0"/>
      <w:divBdr>
        <w:top w:val="none" w:sz="0" w:space="0" w:color="auto"/>
        <w:left w:val="none" w:sz="0" w:space="0" w:color="auto"/>
        <w:bottom w:val="none" w:sz="0" w:space="0" w:color="auto"/>
        <w:right w:val="none" w:sz="0" w:space="0" w:color="auto"/>
      </w:divBdr>
    </w:div>
    <w:div w:id="770323958">
      <w:bodyDiv w:val="1"/>
      <w:marLeft w:val="0"/>
      <w:marRight w:val="0"/>
      <w:marTop w:val="0"/>
      <w:marBottom w:val="0"/>
      <w:divBdr>
        <w:top w:val="none" w:sz="0" w:space="0" w:color="auto"/>
        <w:left w:val="none" w:sz="0" w:space="0" w:color="auto"/>
        <w:bottom w:val="none" w:sz="0" w:space="0" w:color="auto"/>
        <w:right w:val="none" w:sz="0" w:space="0" w:color="auto"/>
      </w:divBdr>
    </w:div>
    <w:div w:id="812869676">
      <w:bodyDiv w:val="1"/>
      <w:marLeft w:val="0"/>
      <w:marRight w:val="0"/>
      <w:marTop w:val="0"/>
      <w:marBottom w:val="0"/>
      <w:divBdr>
        <w:top w:val="none" w:sz="0" w:space="0" w:color="auto"/>
        <w:left w:val="none" w:sz="0" w:space="0" w:color="auto"/>
        <w:bottom w:val="none" w:sz="0" w:space="0" w:color="auto"/>
        <w:right w:val="none" w:sz="0" w:space="0" w:color="auto"/>
      </w:divBdr>
    </w:div>
    <w:div w:id="824197824">
      <w:bodyDiv w:val="1"/>
      <w:marLeft w:val="0"/>
      <w:marRight w:val="0"/>
      <w:marTop w:val="0"/>
      <w:marBottom w:val="0"/>
      <w:divBdr>
        <w:top w:val="none" w:sz="0" w:space="0" w:color="auto"/>
        <w:left w:val="none" w:sz="0" w:space="0" w:color="auto"/>
        <w:bottom w:val="none" w:sz="0" w:space="0" w:color="auto"/>
        <w:right w:val="none" w:sz="0" w:space="0" w:color="auto"/>
      </w:divBdr>
    </w:div>
    <w:div w:id="833955778">
      <w:bodyDiv w:val="1"/>
      <w:marLeft w:val="0"/>
      <w:marRight w:val="0"/>
      <w:marTop w:val="0"/>
      <w:marBottom w:val="0"/>
      <w:divBdr>
        <w:top w:val="none" w:sz="0" w:space="0" w:color="auto"/>
        <w:left w:val="none" w:sz="0" w:space="0" w:color="auto"/>
        <w:bottom w:val="none" w:sz="0" w:space="0" w:color="auto"/>
        <w:right w:val="none" w:sz="0" w:space="0" w:color="auto"/>
      </w:divBdr>
    </w:div>
    <w:div w:id="876964770">
      <w:bodyDiv w:val="1"/>
      <w:marLeft w:val="0"/>
      <w:marRight w:val="0"/>
      <w:marTop w:val="0"/>
      <w:marBottom w:val="0"/>
      <w:divBdr>
        <w:top w:val="none" w:sz="0" w:space="0" w:color="auto"/>
        <w:left w:val="none" w:sz="0" w:space="0" w:color="auto"/>
        <w:bottom w:val="none" w:sz="0" w:space="0" w:color="auto"/>
        <w:right w:val="none" w:sz="0" w:space="0" w:color="auto"/>
      </w:divBdr>
    </w:div>
    <w:div w:id="902760766">
      <w:bodyDiv w:val="1"/>
      <w:marLeft w:val="0"/>
      <w:marRight w:val="0"/>
      <w:marTop w:val="0"/>
      <w:marBottom w:val="0"/>
      <w:divBdr>
        <w:top w:val="none" w:sz="0" w:space="0" w:color="auto"/>
        <w:left w:val="none" w:sz="0" w:space="0" w:color="auto"/>
        <w:bottom w:val="none" w:sz="0" w:space="0" w:color="auto"/>
        <w:right w:val="none" w:sz="0" w:space="0" w:color="auto"/>
      </w:divBdr>
    </w:div>
    <w:div w:id="1015569212">
      <w:bodyDiv w:val="1"/>
      <w:marLeft w:val="0"/>
      <w:marRight w:val="0"/>
      <w:marTop w:val="0"/>
      <w:marBottom w:val="0"/>
      <w:divBdr>
        <w:top w:val="none" w:sz="0" w:space="0" w:color="auto"/>
        <w:left w:val="none" w:sz="0" w:space="0" w:color="auto"/>
        <w:bottom w:val="none" w:sz="0" w:space="0" w:color="auto"/>
        <w:right w:val="none" w:sz="0" w:space="0" w:color="auto"/>
      </w:divBdr>
    </w:div>
    <w:div w:id="1039748383">
      <w:bodyDiv w:val="1"/>
      <w:marLeft w:val="0"/>
      <w:marRight w:val="0"/>
      <w:marTop w:val="0"/>
      <w:marBottom w:val="0"/>
      <w:divBdr>
        <w:top w:val="none" w:sz="0" w:space="0" w:color="auto"/>
        <w:left w:val="none" w:sz="0" w:space="0" w:color="auto"/>
        <w:bottom w:val="none" w:sz="0" w:space="0" w:color="auto"/>
        <w:right w:val="none" w:sz="0" w:space="0" w:color="auto"/>
      </w:divBdr>
    </w:div>
    <w:div w:id="1106459071">
      <w:bodyDiv w:val="1"/>
      <w:marLeft w:val="0"/>
      <w:marRight w:val="0"/>
      <w:marTop w:val="0"/>
      <w:marBottom w:val="0"/>
      <w:divBdr>
        <w:top w:val="none" w:sz="0" w:space="0" w:color="auto"/>
        <w:left w:val="none" w:sz="0" w:space="0" w:color="auto"/>
        <w:bottom w:val="none" w:sz="0" w:space="0" w:color="auto"/>
        <w:right w:val="none" w:sz="0" w:space="0" w:color="auto"/>
      </w:divBdr>
    </w:div>
    <w:div w:id="1230580444">
      <w:bodyDiv w:val="1"/>
      <w:marLeft w:val="0"/>
      <w:marRight w:val="0"/>
      <w:marTop w:val="0"/>
      <w:marBottom w:val="0"/>
      <w:divBdr>
        <w:top w:val="none" w:sz="0" w:space="0" w:color="auto"/>
        <w:left w:val="none" w:sz="0" w:space="0" w:color="auto"/>
        <w:bottom w:val="none" w:sz="0" w:space="0" w:color="auto"/>
        <w:right w:val="none" w:sz="0" w:space="0" w:color="auto"/>
      </w:divBdr>
    </w:div>
    <w:div w:id="1396585084">
      <w:bodyDiv w:val="1"/>
      <w:marLeft w:val="0"/>
      <w:marRight w:val="0"/>
      <w:marTop w:val="0"/>
      <w:marBottom w:val="0"/>
      <w:divBdr>
        <w:top w:val="none" w:sz="0" w:space="0" w:color="auto"/>
        <w:left w:val="none" w:sz="0" w:space="0" w:color="auto"/>
        <w:bottom w:val="none" w:sz="0" w:space="0" w:color="auto"/>
        <w:right w:val="none" w:sz="0" w:space="0" w:color="auto"/>
      </w:divBdr>
    </w:div>
    <w:div w:id="1427844690">
      <w:bodyDiv w:val="1"/>
      <w:marLeft w:val="0"/>
      <w:marRight w:val="0"/>
      <w:marTop w:val="0"/>
      <w:marBottom w:val="0"/>
      <w:divBdr>
        <w:top w:val="none" w:sz="0" w:space="0" w:color="auto"/>
        <w:left w:val="none" w:sz="0" w:space="0" w:color="auto"/>
        <w:bottom w:val="none" w:sz="0" w:space="0" w:color="auto"/>
        <w:right w:val="none" w:sz="0" w:space="0" w:color="auto"/>
      </w:divBdr>
    </w:div>
    <w:div w:id="1453743721">
      <w:bodyDiv w:val="1"/>
      <w:marLeft w:val="0"/>
      <w:marRight w:val="0"/>
      <w:marTop w:val="0"/>
      <w:marBottom w:val="0"/>
      <w:divBdr>
        <w:top w:val="none" w:sz="0" w:space="0" w:color="auto"/>
        <w:left w:val="none" w:sz="0" w:space="0" w:color="auto"/>
        <w:bottom w:val="none" w:sz="0" w:space="0" w:color="auto"/>
        <w:right w:val="none" w:sz="0" w:space="0" w:color="auto"/>
      </w:divBdr>
    </w:div>
    <w:div w:id="1561744342">
      <w:bodyDiv w:val="1"/>
      <w:marLeft w:val="0"/>
      <w:marRight w:val="0"/>
      <w:marTop w:val="0"/>
      <w:marBottom w:val="0"/>
      <w:divBdr>
        <w:top w:val="none" w:sz="0" w:space="0" w:color="auto"/>
        <w:left w:val="none" w:sz="0" w:space="0" w:color="auto"/>
        <w:bottom w:val="none" w:sz="0" w:space="0" w:color="auto"/>
        <w:right w:val="none" w:sz="0" w:space="0" w:color="auto"/>
      </w:divBdr>
    </w:div>
    <w:div w:id="1587612294">
      <w:bodyDiv w:val="1"/>
      <w:marLeft w:val="0"/>
      <w:marRight w:val="0"/>
      <w:marTop w:val="0"/>
      <w:marBottom w:val="0"/>
      <w:divBdr>
        <w:top w:val="none" w:sz="0" w:space="0" w:color="auto"/>
        <w:left w:val="none" w:sz="0" w:space="0" w:color="auto"/>
        <w:bottom w:val="none" w:sz="0" w:space="0" w:color="auto"/>
        <w:right w:val="none" w:sz="0" w:space="0" w:color="auto"/>
      </w:divBdr>
    </w:div>
    <w:div w:id="1651402265">
      <w:bodyDiv w:val="1"/>
      <w:marLeft w:val="0"/>
      <w:marRight w:val="0"/>
      <w:marTop w:val="0"/>
      <w:marBottom w:val="0"/>
      <w:divBdr>
        <w:top w:val="none" w:sz="0" w:space="0" w:color="auto"/>
        <w:left w:val="none" w:sz="0" w:space="0" w:color="auto"/>
        <w:bottom w:val="none" w:sz="0" w:space="0" w:color="auto"/>
        <w:right w:val="none" w:sz="0" w:space="0" w:color="auto"/>
      </w:divBdr>
    </w:div>
    <w:div w:id="1683361600">
      <w:bodyDiv w:val="1"/>
      <w:marLeft w:val="0"/>
      <w:marRight w:val="0"/>
      <w:marTop w:val="0"/>
      <w:marBottom w:val="0"/>
      <w:divBdr>
        <w:top w:val="none" w:sz="0" w:space="0" w:color="auto"/>
        <w:left w:val="none" w:sz="0" w:space="0" w:color="auto"/>
        <w:bottom w:val="none" w:sz="0" w:space="0" w:color="auto"/>
        <w:right w:val="none" w:sz="0" w:space="0" w:color="auto"/>
      </w:divBdr>
    </w:div>
    <w:div w:id="1785424869">
      <w:bodyDiv w:val="1"/>
      <w:marLeft w:val="0"/>
      <w:marRight w:val="0"/>
      <w:marTop w:val="0"/>
      <w:marBottom w:val="0"/>
      <w:divBdr>
        <w:top w:val="none" w:sz="0" w:space="0" w:color="auto"/>
        <w:left w:val="none" w:sz="0" w:space="0" w:color="auto"/>
        <w:bottom w:val="none" w:sz="0" w:space="0" w:color="auto"/>
        <w:right w:val="none" w:sz="0" w:space="0" w:color="auto"/>
      </w:divBdr>
    </w:div>
    <w:div w:id="1885169767">
      <w:bodyDiv w:val="1"/>
      <w:marLeft w:val="0"/>
      <w:marRight w:val="0"/>
      <w:marTop w:val="0"/>
      <w:marBottom w:val="0"/>
      <w:divBdr>
        <w:top w:val="none" w:sz="0" w:space="0" w:color="auto"/>
        <w:left w:val="none" w:sz="0" w:space="0" w:color="auto"/>
        <w:bottom w:val="none" w:sz="0" w:space="0" w:color="auto"/>
        <w:right w:val="none" w:sz="0" w:space="0" w:color="auto"/>
      </w:divBdr>
    </w:div>
    <w:div w:id="1919824298">
      <w:bodyDiv w:val="1"/>
      <w:marLeft w:val="0"/>
      <w:marRight w:val="0"/>
      <w:marTop w:val="0"/>
      <w:marBottom w:val="0"/>
      <w:divBdr>
        <w:top w:val="none" w:sz="0" w:space="0" w:color="auto"/>
        <w:left w:val="none" w:sz="0" w:space="0" w:color="auto"/>
        <w:bottom w:val="none" w:sz="0" w:space="0" w:color="auto"/>
        <w:right w:val="none" w:sz="0" w:space="0" w:color="auto"/>
      </w:divBdr>
    </w:div>
    <w:div w:id="1948921454">
      <w:bodyDiv w:val="1"/>
      <w:marLeft w:val="0"/>
      <w:marRight w:val="0"/>
      <w:marTop w:val="0"/>
      <w:marBottom w:val="0"/>
      <w:divBdr>
        <w:top w:val="none" w:sz="0" w:space="0" w:color="auto"/>
        <w:left w:val="none" w:sz="0" w:space="0" w:color="auto"/>
        <w:bottom w:val="none" w:sz="0" w:space="0" w:color="auto"/>
        <w:right w:val="none" w:sz="0" w:space="0" w:color="auto"/>
      </w:divBdr>
    </w:div>
    <w:div w:id="1949266925">
      <w:bodyDiv w:val="1"/>
      <w:marLeft w:val="0"/>
      <w:marRight w:val="0"/>
      <w:marTop w:val="0"/>
      <w:marBottom w:val="0"/>
      <w:divBdr>
        <w:top w:val="none" w:sz="0" w:space="0" w:color="auto"/>
        <w:left w:val="none" w:sz="0" w:space="0" w:color="auto"/>
        <w:bottom w:val="none" w:sz="0" w:space="0" w:color="auto"/>
        <w:right w:val="none" w:sz="0" w:space="0" w:color="auto"/>
      </w:divBdr>
    </w:div>
    <w:div w:id="1978729040">
      <w:bodyDiv w:val="1"/>
      <w:marLeft w:val="0"/>
      <w:marRight w:val="0"/>
      <w:marTop w:val="0"/>
      <w:marBottom w:val="0"/>
      <w:divBdr>
        <w:top w:val="none" w:sz="0" w:space="0" w:color="auto"/>
        <w:left w:val="none" w:sz="0" w:space="0" w:color="auto"/>
        <w:bottom w:val="none" w:sz="0" w:space="0" w:color="auto"/>
        <w:right w:val="none" w:sz="0" w:space="0" w:color="auto"/>
      </w:divBdr>
    </w:div>
    <w:div w:id="20324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41</TotalTime>
  <Pages>16</Pages>
  <Words>5411</Words>
  <Characters>33566</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2024094412 mt</dc:description>
  <cp:lastModifiedBy>Hanne Thy Iversen</cp:lastModifiedBy>
  <cp:revision>19</cp:revision>
  <cp:lastPrinted>2012-08-22T08:53:00Z</cp:lastPrinted>
  <dcterms:created xsi:type="dcterms:W3CDTF">2025-07-11T13:07:00Z</dcterms:created>
  <dcterms:modified xsi:type="dcterms:W3CDTF">2025-07-14T07:34:00Z</dcterms:modified>
</cp:coreProperties>
</file>