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91F" w:rsidRDefault="0096791F" w:rsidP="0096791F">
      <w:pPr>
        <w:rPr>
          <w:sz w:val="24"/>
          <w:szCs w:val="24"/>
        </w:rPr>
      </w:pPr>
      <w:bookmarkStart w:id="0" w:name="_GoBack"/>
      <w:bookmarkEnd w:id="0"/>
      <w:r>
        <w:rPr>
          <w:noProof/>
          <w:sz w:val="24"/>
          <w:szCs w:val="24"/>
          <w:lang w:eastAsia="da-DK"/>
        </w:rPr>
        <w:drawing>
          <wp:inline distT="0" distB="0" distL="0" distR="0" wp14:anchorId="03E0F026" wp14:editId="67698984">
            <wp:extent cx="2466975" cy="685800"/>
            <wp:effectExtent l="0" t="0" r="9525" b="0"/>
            <wp:docPr id="2" name="Billede 2"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96791F" w:rsidRDefault="0096791F" w:rsidP="0096791F">
      <w:pPr>
        <w:pStyle w:val="Titel"/>
        <w:tabs>
          <w:tab w:val="right" w:pos="9356"/>
        </w:tabs>
        <w:jc w:val="left"/>
        <w:rPr>
          <w:b w:val="0"/>
          <w:szCs w:val="24"/>
          <w:lang w:eastAsia="en-US"/>
        </w:rPr>
      </w:pPr>
    </w:p>
    <w:p w:rsidR="0096791F" w:rsidRDefault="00C10439" w:rsidP="0096791F">
      <w:pPr>
        <w:pStyle w:val="Titel"/>
        <w:tabs>
          <w:tab w:val="right" w:pos="9356"/>
        </w:tabs>
        <w:jc w:val="right"/>
        <w:rPr>
          <w:szCs w:val="24"/>
          <w:lang w:eastAsia="en-US"/>
        </w:rPr>
      </w:pPr>
      <w:r>
        <w:rPr>
          <w:szCs w:val="24"/>
          <w:lang w:eastAsia="en-US"/>
        </w:rPr>
        <w:t>10</w:t>
      </w:r>
      <w:r w:rsidR="00D5453A">
        <w:rPr>
          <w:szCs w:val="24"/>
          <w:lang w:eastAsia="en-US"/>
        </w:rPr>
        <w:t xml:space="preserve">. </w:t>
      </w:r>
      <w:r>
        <w:rPr>
          <w:szCs w:val="24"/>
          <w:lang w:eastAsia="en-US"/>
        </w:rPr>
        <w:t>juni</w:t>
      </w:r>
      <w:r w:rsidR="00D5453A">
        <w:rPr>
          <w:szCs w:val="24"/>
          <w:lang w:eastAsia="en-US"/>
        </w:rPr>
        <w:t xml:space="preserve"> 202</w:t>
      </w:r>
      <w:r>
        <w:rPr>
          <w:szCs w:val="24"/>
          <w:lang w:eastAsia="en-US"/>
        </w:rPr>
        <w:t>4</w:t>
      </w:r>
    </w:p>
    <w:p w:rsidR="00026457" w:rsidRPr="00026457" w:rsidRDefault="00026457" w:rsidP="009C2E05">
      <w:pPr>
        <w:pStyle w:val="Titel"/>
        <w:tabs>
          <w:tab w:val="right" w:pos="9356"/>
        </w:tabs>
        <w:jc w:val="left"/>
        <w:rPr>
          <w:szCs w:val="24"/>
        </w:rPr>
      </w:pPr>
    </w:p>
    <w:p w:rsidR="0096791F" w:rsidRPr="00CF5D64" w:rsidRDefault="0096791F" w:rsidP="0096791F">
      <w:pPr>
        <w:pStyle w:val="Titel"/>
        <w:jc w:val="left"/>
        <w:rPr>
          <w:b w:val="0"/>
          <w:szCs w:val="24"/>
        </w:rPr>
      </w:pPr>
    </w:p>
    <w:p w:rsidR="0096791F" w:rsidRPr="00CF5D64" w:rsidRDefault="0096791F" w:rsidP="0096791F">
      <w:pPr>
        <w:jc w:val="center"/>
        <w:rPr>
          <w:b/>
          <w:sz w:val="24"/>
          <w:szCs w:val="24"/>
        </w:rPr>
      </w:pPr>
      <w:r w:rsidRPr="00CF5D64">
        <w:rPr>
          <w:b/>
          <w:sz w:val="24"/>
          <w:szCs w:val="24"/>
        </w:rPr>
        <w:t>PRODUKTRESUMÉ</w:t>
      </w:r>
    </w:p>
    <w:p w:rsidR="0096791F" w:rsidRPr="00CF5D64" w:rsidRDefault="0096791F" w:rsidP="0096791F">
      <w:pPr>
        <w:jc w:val="center"/>
        <w:rPr>
          <w:b/>
          <w:sz w:val="24"/>
          <w:szCs w:val="24"/>
        </w:rPr>
      </w:pPr>
    </w:p>
    <w:p w:rsidR="0096791F" w:rsidRPr="00CF5D64" w:rsidRDefault="0096791F" w:rsidP="0096791F">
      <w:pPr>
        <w:jc w:val="center"/>
        <w:rPr>
          <w:b/>
          <w:sz w:val="24"/>
          <w:szCs w:val="24"/>
        </w:rPr>
      </w:pPr>
      <w:r w:rsidRPr="00CF5D64">
        <w:rPr>
          <w:b/>
          <w:sz w:val="24"/>
          <w:szCs w:val="24"/>
        </w:rPr>
        <w:t>for</w:t>
      </w:r>
    </w:p>
    <w:p w:rsidR="0096791F" w:rsidRPr="00CF5D64" w:rsidRDefault="0096791F" w:rsidP="0096791F">
      <w:pPr>
        <w:jc w:val="center"/>
        <w:rPr>
          <w:b/>
          <w:sz w:val="24"/>
          <w:szCs w:val="24"/>
        </w:rPr>
      </w:pPr>
    </w:p>
    <w:p w:rsidR="0096791F" w:rsidRPr="00CF5D64" w:rsidRDefault="0096791F" w:rsidP="0096791F">
      <w:pPr>
        <w:jc w:val="center"/>
        <w:rPr>
          <w:b/>
          <w:sz w:val="24"/>
          <w:szCs w:val="24"/>
        </w:rPr>
      </w:pPr>
      <w:proofErr w:type="spellStart"/>
      <w:r w:rsidRPr="00CF5D64">
        <w:rPr>
          <w:b/>
          <w:sz w:val="24"/>
          <w:szCs w:val="24"/>
        </w:rPr>
        <w:t>Onytec</w:t>
      </w:r>
      <w:proofErr w:type="spellEnd"/>
      <w:r w:rsidRPr="00CF5D64">
        <w:rPr>
          <w:b/>
          <w:sz w:val="24"/>
          <w:szCs w:val="24"/>
        </w:rPr>
        <w:t>, medicinsk neglelak</w:t>
      </w:r>
    </w:p>
    <w:p w:rsidR="0096791F" w:rsidRPr="00CF5D64" w:rsidRDefault="0096791F" w:rsidP="0096791F">
      <w:pPr>
        <w:jc w:val="both"/>
        <w:rPr>
          <w:sz w:val="24"/>
          <w:szCs w:val="24"/>
        </w:rPr>
      </w:pPr>
    </w:p>
    <w:p w:rsidR="0096791F" w:rsidRPr="00CF5D64" w:rsidRDefault="0096791F" w:rsidP="0096791F">
      <w:pPr>
        <w:jc w:val="both"/>
        <w:rPr>
          <w:sz w:val="24"/>
          <w:szCs w:val="24"/>
        </w:rPr>
      </w:pPr>
    </w:p>
    <w:p w:rsidR="0096791F" w:rsidRPr="00CF5D64" w:rsidRDefault="0096791F" w:rsidP="0096791F">
      <w:pPr>
        <w:numPr>
          <w:ilvl w:val="0"/>
          <w:numId w:val="1"/>
        </w:numPr>
        <w:tabs>
          <w:tab w:val="clear" w:pos="855"/>
          <w:tab w:val="left" w:pos="851"/>
        </w:tabs>
        <w:rPr>
          <w:b/>
          <w:sz w:val="24"/>
          <w:szCs w:val="24"/>
        </w:rPr>
      </w:pPr>
      <w:r w:rsidRPr="00CF5D64">
        <w:rPr>
          <w:b/>
          <w:sz w:val="24"/>
          <w:szCs w:val="24"/>
        </w:rPr>
        <w:t>D.SP.NR.</w:t>
      </w:r>
    </w:p>
    <w:p w:rsidR="0096791F" w:rsidRPr="00CF5D64" w:rsidRDefault="0096791F" w:rsidP="0096791F">
      <w:pPr>
        <w:tabs>
          <w:tab w:val="left" w:pos="851"/>
        </w:tabs>
        <w:rPr>
          <w:sz w:val="24"/>
          <w:szCs w:val="24"/>
        </w:rPr>
      </w:pPr>
      <w:r w:rsidRPr="00CF5D64">
        <w:rPr>
          <w:sz w:val="24"/>
          <w:szCs w:val="24"/>
        </w:rPr>
        <w:tab/>
        <w:t>27465</w:t>
      </w:r>
    </w:p>
    <w:p w:rsidR="0096791F" w:rsidRPr="00CF5D64" w:rsidRDefault="0096791F" w:rsidP="0096791F">
      <w:pPr>
        <w:tabs>
          <w:tab w:val="left" w:pos="851"/>
        </w:tabs>
        <w:rPr>
          <w:sz w:val="24"/>
          <w:szCs w:val="24"/>
        </w:rPr>
      </w:pPr>
    </w:p>
    <w:p w:rsidR="0096791F" w:rsidRPr="00CF5D64" w:rsidRDefault="0096791F" w:rsidP="0096791F">
      <w:pPr>
        <w:numPr>
          <w:ilvl w:val="0"/>
          <w:numId w:val="1"/>
        </w:numPr>
        <w:rPr>
          <w:b/>
          <w:sz w:val="24"/>
          <w:szCs w:val="24"/>
        </w:rPr>
      </w:pPr>
      <w:r w:rsidRPr="00CF5D64">
        <w:rPr>
          <w:b/>
          <w:sz w:val="24"/>
          <w:szCs w:val="24"/>
        </w:rPr>
        <w:t>LÆGEMIDLETS NAVN</w:t>
      </w:r>
    </w:p>
    <w:p w:rsidR="0096791F" w:rsidRPr="00CF5D64" w:rsidRDefault="0096791F" w:rsidP="0096791F">
      <w:pPr>
        <w:tabs>
          <w:tab w:val="left" w:pos="851"/>
        </w:tabs>
        <w:rPr>
          <w:sz w:val="24"/>
          <w:szCs w:val="24"/>
        </w:rPr>
      </w:pPr>
      <w:r w:rsidRPr="00CF5D64">
        <w:rPr>
          <w:sz w:val="24"/>
          <w:szCs w:val="24"/>
        </w:rPr>
        <w:tab/>
      </w:r>
      <w:proofErr w:type="spellStart"/>
      <w:r w:rsidRPr="00CF5D64">
        <w:rPr>
          <w:sz w:val="24"/>
          <w:szCs w:val="24"/>
        </w:rPr>
        <w:t>Onytec</w:t>
      </w:r>
      <w:proofErr w:type="spellEnd"/>
    </w:p>
    <w:p w:rsidR="0096791F" w:rsidRPr="00CF5D64" w:rsidRDefault="0096791F" w:rsidP="0096791F">
      <w:pPr>
        <w:tabs>
          <w:tab w:val="left" w:pos="851"/>
        </w:tabs>
        <w:rPr>
          <w:sz w:val="24"/>
          <w:szCs w:val="24"/>
        </w:rPr>
      </w:pPr>
      <w:r w:rsidRPr="00CF5D64">
        <w:rPr>
          <w:sz w:val="24"/>
          <w:szCs w:val="24"/>
        </w:rPr>
        <w:tab/>
      </w:r>
    </w:p>
    <w:p w:rsidR="0096791F" w:rsidRPr="00CF5D64" w:rsidRDefault="0096791F" w:rsidP="0096791F">
      <w:pPr>
        <w:numPr>
          <w:ilvl w:val="0"/>
          <w:numId w:val="1"/>
        </w:numPr>
        <w:rPr>
          <w:b/>
          <w:sz w:val="24"/>
          <w:szCs w:val="24"/>
        </w:rPr>
      </w:pPr>
      <w:r w:rsidRPr="00CF5D64">
        <w:rPr>
          <w:b/>
          <w:sz w:val="24"/>
          <w:szCs w:val="24"/>
        </w:rPr>
        <w:t>KVALITATIV OG KVANTITATIV SAMMENSÆTNING</w:t>
      </w:r>
    </w:p>
    <w:p w:rsidR="0096791F" w:rsidRPr="00CF5D64" w:rsidRDefault="0096791F" w:rsidP="0096791F">
      <w:pPr>
        <w:ind w:firstLine="851"/>
        <w:rPr>
          <w:sz w:val="24"/>
          <w:szCs w:val="24"/>
        </w:rPr>
      </w:pPr>
      <w:r w:rsidRPr="00CF5D64">
        <w:rPr>
          <w:sz w:val="24"/>
          <w:szCs w:val="24"/>
        </w:rPr>
        <w:t xml:space="preserve">Et gram medicinsk neglelak indeholder 80 mg </w:t>
      </w:r>
      <w:proofErr w:type="spellStart"/>
      <w:r w:rsidRPr="00CF5D64">
        <w:rPr>
          <w:sz w:val="24"/>
          <w:szCs w:val="24"/>
        </w:rPr>
        <w:t>ciclopirox</w:t>
      </w:r>
      <w:proofErr w:type="spellEnd"/>
      <w:r w:rsidRPr="00CF5D64">
        <w:rPr>
          <w:sz w:val="24"/>
          <w:szCs w:val="24"/>
        </w:rPr>
        <w:t>.</w:t>
      </w:r>
    </w:p>
    <w:p w:rsidR="0096791F" w:rsidRPr="00CF5D64" w:rsidRDefault="0096791F" w:rsidP="0096791F">
      <w:pPr>
        <w:pStyle w:val="EMEAEnBodyText"/>
        <w:autoSpaceDE w:val="0"/>
        <w:autoSpaceDN w:val="0"/>
        <w:adjustRightInd w:val="0"/>
        <w:spacing w:before="0" w:after="0"/>
        <w:ind w:left="851"/>
        <w:jc w:val="left"/>
        <w:rPr>
          <w:sz w:val="24"/>
          <w:szCs w:val="24"/>
          <w:lang w:val="da-DK"/>
        </w:rPr>
      </w:pPr>
    </w:p>
    <w:p w:rsidR="00D5453A" w:rsidRDefault="00D5453A" w:rsidP="00D5453A">
      <w:pPr>
        <w:pStyle w:val="EMEAEnBodyText"/>
        <w:autoSpaceDE w:val="0"/>
        <w:autoSpaceDN w:val="0"/>
        <w:adjustRightInd w:val="0"/>
        <w:spacing w:before="0" w:after="0"/>
        <w:ind w:left="851"/>
        <w:jc w:val="left"/>
        <w:rPr>
          <w:sz w:val="24"/>
          <w:szCs w:val="24"/>
          <w:lang w:val="da-DK"/>
        </w:rPr>
      </w:pPr>
      <w:r>
        <w:rPr>
          <w:sz w:val="24"/>
          <w:szCs w:val="24"/>
          <w:lang w:val="da-DK"/>
        </w:rPr>
        <w:t xml:space="preserve">Hjælpestoffer med kendt effekt: </w:t>
      </w:r>
    </w:p>
    <w:p w:rsidR="00D5453A" w:rsidRDefault="00D5453A" w:rsidP="00D5453A">
      <w:pPr>
        <w:pStyle w:val="EMEAEnBodyText"/>
        <w:autoSpaceDE w:val="0"/>
        <w:autoSpaceDN w:val="0"/>
        <w:adjustRightInd w:val="0"/>
        <w:spacing w:before="0" w:after="0"/>
        <w:ind w:left="851"/>
        <w:jc w:val="left"/>
        <w:rPr>
          <w:sz w:val="24"/>
          <w:szCs w:val="24"/>
          <w:lang w:val="da-DK"/>
        </w:rPr>
      </w:pPr>
      <w:r>
        <w:rPr>
          <w:sz w:val="24"/>
          <w:szCs w:val="24"/>
          <w:lang w:val="da-DK"/>
        </w:rPr>
        <w:t xml:space="preserve">Et gram medicinsk neglelak indeholder 10 mg </w:t>
      </w:r>
      <w:proofErr w:type="spellStart"/>
      <w:r>
        <w:rPr>
          <w:sz w:val="24"/>
          <w:szCs w:val="24"/>
          <w:lang w:val="da-DK"/>
        </w:rPr>
        <w:t>cetostearylalkohol</w:t>
      </w:r>
      <w:proofErr w:type="spellEnd"/>
      <w:r>
        <w:rPr>
          <w:sz w:val="24"/>
          <w:szCs w:val="24"/>
          <w:lang w:val="da-DK"/>
        </w:rPr>
        <w:t xml:space="preserve"> og 730 mg </w:t>
      </w:r>
      <w:proofErr w:type="spellStart"/>
      <w:r>
        <w:rPr>
          <w:sz w:val="24"/>
          <w:szCs w:val="24"/>
          <w:lang w:val="da-DK"/>
        </w:rPr>
        <w:t>ethanol</w:t>
      </w:r>
      <w:proofErr w:type="spellEnd"/>
      <w:r>
        <w:rPr>
          <w:sz w:val="24"/>
          <w:szCs w:val="24"/>
          <w:lang w:val="da-DK"/>
        </w:rPr>
        <w:t xml:space="preserve">. </w:t>
      </w:r>
    </w:p>
    <w:p w:rsidR="00D5453A" w:rsidRDefault="00D5453A" w:rsidP="00D5453A">
      <w:pPr>
        <w:tabs>
          <w:tab w:val="left" w:pos="567"/>
        </w:tabs>
        <w:spacing w:line="260" w:lineRule="exact"/>
        <w:ind w:left="851"/>
        <w:rPr>
          <w:sz w:val="24"/>
          <w:szCs w:val="24"/>
        </w:rPr>
      </w:pPr>
      <w:r>
        <w:rPr>
          <w:sz w:val="24"/>
          <w:szCs w:val="24"/>
        </w:rPr>
        <w:t>Alle hjælpestoffer er anført under pkt. 6.1.</w:t>
      </w:r>
    </w:p>
    <w:p w:rsidR="0096791F" w:rsidRPr="00CF5D64" w:rsidRDefault="0096791F" w:rsidP="0096791F">
      <w:pPr>
        <w:tabs>
          <w:tab w:val="left" w:pos="851"/>
        </w:tabs>
        <w:rPr>
          <w:sz w:val="24"/>
          <w:szCs w:val="24"/>
        </w:rPr>
      </w:pPr>
    </w:p>
    <w:p w:rsidR="0096791F" w:rsidRPr="00CF5D64" w:rsidRDefault="0096791F" w:rsidP="0096791F">
      <w:pPr>
        <w:numPr>
          <w:ilvl w:val="0"/>
          <w:numId w:val="1"/>
        </w:numPr>
        <w:rPr>
          <w:b/>
          <w:sz w:val="24"/>
          <w:szCs w:val="24"/>
        </w:rPr>
      </w:pPr>
      <w:r w:rsidRPr="00CF5D64">
        <w:rPr>
          <w:b/>
          <w:sz w:val="24"/>
          <w:szCs w:val="24"/>
        </w:rPr>
        <w:t>LÆGEMIDDELFORM</w:t>
      </w:r>
    </w:p>
    <w:p w:rsidR="0096791F" w:rsidRDefault="0096791F" w:rsidP="0096791F">
      <w:pPr>
        <w:suppressAutoHyphens/>
        <w:ind w:left="851"/>
        <w:rPr>
          <w:spacing w:val="-3"/>
          <w:sz w:val="24"/>
          <w:szCs w:val="24"/>
        </w:rPr>
      </w:pPr>
      <w:r>
        <w:rPr>
          <w:spacing w:val="-3"/>
          <w:sz w:val="24"/>
          <w:szCs w:val="24"/>
        </w:rPr>
        <w:t>Medicinsk n</w:t>
      </w:r>
      <w:r w:rsidRPr="00CF5D64">
        <w:rPr>
          <w:spacing w:val="-3"/>
          <w:sz w:val="24"/>
          <w:szCs w:val="24"/>
        </w:rPr>
        <w:t>eglelak</w:t>
      </w:r>
      <w:r>
        <w:rPr>
          <w:spacing w:val="-3"/>
          <w:sz w:val="24"/>
          <w:szCs w:val="24"/>
        </w:rPr>
        <w:t>.</w:t>
      </w:r>
    </w:p>
    <w:p w:rsidR="0096791F" w:rsidRDefault="0096791F" w:rsidP="0096791F">
      <w:pPr>
        <w:suppressAutoHyphens/>
        <w:ind w:left="851"/>
        <w:rPr>
          <w:spacing w:val="-3"/>
          <w:sz w:val="24"/>
          <w:szCs w:val="24"/>
        </w:rPr>
      </w:pPr>
    </w:p>
    <w:p w:rsidR="0096791F" w:rsidRPr="00CF5D64" w:rsidRDefault="0096791F" w:rsidP="0096791F">
      <w:pPr>
        <w:suppressAutoHyphens/>
        <w:ind w:left="851"/>
        <w:rPr>
          <w:sz w:val="24"/>
          <w:szCs w:val="24"/>
        </w:rPr>
      </w:pPr>
      <w:r w:rsidRPr="00CF5D64">
        <w:rPr>
          <w:spacing w:val="-3"/>
          <w:sz w:val="24"/>
          <w:szCs w:val="24"/>
        </w:rPr>
        <w:t>Klar, farveløs til svagt gullig opløsning.</w:t>
      </w:r>
    </w:p>
    <w:p w:rsidR="0096791F" w:rsidRPr="00CF5D64" w:rsidRDefault="0096791F" w:rsidP="0096791F">
      <w:pPr>
        <w:tabs>
          <w:tab w:val="left" w:pos="851"/>
        </w:tabs>
        <w:rPr>
          <w:sz w:val="24"/>
          <w:szCs w:val="24"/>
        </w:rPr>
      </w:pPr>
    </w:p>
    <w:p w:rsidR="0096791F" w:rsidRPr="00CF5D64" w:rsidRDefault="0096791F" w:rsidP="0096791F">
      <w:pPr>
        <w:tabs>
          <w:tab w:val="left" w:pos="851"/>
        </w:tabs>
        <w:rPr>
          <w:sz w:val="24"/>
          <w:szCs w:val="24"/>
        </w:rPr>
      </w:pPr>
    </w:p>
    <w:p w:rsidR="0096791F" w:rsidRPr="00CF5D64" w:rsidRDefault="0096791F" w:rsidP="0096791F">
      <w:pPr>
        <w:numPr>
          <w:ilvl w:val="0"/>
          <w:numId w:val="1"/>
        </w:numPr>
        <w:rPr>
          <w:b/>
          <w:sz w:val="24"/>
          <w:szCs w:val="24"/>
        </w:rPr>
      </w:pPr>
      <w:r w:rsidRPr="00CF5D64">
        <w:rPr>
          <w:b/>
          <w:sz w:val="24"/>
          <w:szCs w:val="24"/>
        </w:rPr>
        <w:t>KLINISKE OPLYSNINGER</w:t>
      </w:r>
    </w:p>
    <w:p w:rsidR="0096791F" w:rsidRPr="00CF5D64" w:rsidRDefault="0096791F" w:rsidP="0096791F">
      <w:pPr>
        <w:tabs>
          <w:tab w:val="left" w:pos="851"/>
        </w:tabs>
        <w:rPr>
          <w:b/>
          <w:sz w:val="24"/>
          <w:szCs w:val="24"/>
        </w:rPr>
      </w:pPr>
    </w:p>
    <w:p w:rsidR="0096791F" w:rsidRPr="00CF5D64" w:rsidRDefault="0096791F" w:rsidP="0096791F">
      <w:pPr>
        <w:numPr>
          <w:ilvl w:val="1"/>
          <w:numId w:val="1"/>
        </w:numPr>
        <w:rPr>
          <w:b/>
          <w:sz w:val="24"/>
          <w:szCs w:val="24"/>
          <w:u w:val="single"/>
        </w:rPr>
      </w:pPr>
      <w:r w:rsidRPr="00CF5D64">
        <w:rPr>
          <w:b/>
          <w:sz w:val="24"/>
          <w:szCs w:val="24"/>
        </w:rPr>
        <w:t>Terapeutiske indikationer</w:t>
      </w:r>
    </w:p>
    <w:p w:rsidR="0096791F" w:rsidRPr="00CF5D64" w:rsidRDefault="0096791F" w:rsidP="0096791F">
      <w:pPr>
        <w:ind w:left="851"/>
        <w:rPr>
          <w:sz w:val="24"/>
          <w:szCs w:val="24"/>
        </w:rPr>
      </w:pPr>
      <w:r w:rsidRPr="00CF5D64">
        <w:rPr>
          <w:sz w:val="24"/>
          <w:szCs w:val="24"/>
        </w:rPr>
        <w:t xml:space="preserve">Milde til moderate infektioner med neglesvamp forårsaget af </w:t>
      </w:r>
      <w:proofErr w:type="spellStart"/>
      <w:r w:rsidRPr="00CF5D64">
        <w:rPr>
          <w:sz w:val="24"/>
          <w:szCs w:val="24"/>
        </w:rPr>
        <w:t>dermatofytter</w:t>
      </w:r>
      <w:proofErr w:type="spellEnd"/>
      <w:r w:rsidRPr="00CF5D64">
        <w:rPr>
          <w:sz w:val="24"/>
          <w:szCs w:val="24"/>
        </w:rPr>
        <w:t xml:space="preserve">, gær- og </w:t>
      </w:r>
      <w:proofErr w:type="spellStart"/>
      <w:r w:rsidRPr="00CF5D64">
        <w:rPr>
          <w:sz w:val="24"/>
          <w:szCs w:val="24"/>
        </w:rPr>
        <w:t>skimmelvampe</w:t>
      </w:r>
      <w:proofErr w:type="spellEnd"/>
      <w:r w:rsidRPr="00CF5D64">
        <w:rPr>
          <w:sz w:val="24"/>
          <w:szCs w:val="24"/>
        </w:rPr>
        <w:t xml:space="preserve"> uden involvering af negleleje/</w:t>
      </w:r>
      <w:proofErr w:type="spellStart"/>
      <w:r w:rsidRPr="00CF5D64">
        <w:rPr>
          <w:sz w:val="24"/>
          <w:szCs w:val="24"/>
        </w:rPr>
        <w:t>lunula</w:t>
      </w:r>
      <w:proofErr w:type="spellEnd"/>
      <w:r w:rsidRPr="00CF5D64">
        <w:rPr>
          <w:sz w:val="24"/>
          <w:szCs w:val="24"/>
        </w:rPr>
        <w:t>.</w:t>
      </w:r>
    </w:p>
    <w:p w:rsidR="0096791F" w:rsidRPr="00CF5D64" w:rsidRDefault="0096791F" w:rsidP="0096791F">
      <w:pPr>
        <w:ind w:left="851"/>
        <w:rPr>
          <w:sz w:val="24"/>
          <w:szCs w:val="24"/>
        </w:rPr>
      </w:pPr>
    </w:p>
    <w:p w:rsidR="0096791F" w:rsidRPr="00CF5D64" w:rsidRDefault="0096791F" w:rsidP="0096791F">
      <w:pPr>
        <w:ind w:left="851"/>
        <w:rPr>
          <w:noProof/>
          <w:sz w:val="24"/>
          <w:szCs w:val="24"/>
        </w:rPr>
      </w:pPr>
      <w:proofErr w:type="spellStart"/>
      <w:r w:rsidRPr="00CF5D64">
        <w:rPr>
          <w:sz w:val="24"/>
          <w:szCs w:val="24"/>
        </w:rPr>
        <w:t>Onytec</w:t>
      </w:r>
      <w:proofErr w:type="spellEnd"/>
      <w:r w:rsidRPr="00CF5D64">
        <w:rPr>
          <w:sz w:val="24"/>
          <w:szCs w:val="24"/>
        </w:rPr>
        <w:t xml:space="preserve"> medicinsk neglelak er indi</w:t>
      </w:r>
      <w:r>
        <w:rPr>
          <w:sz w:val="24"/>
          <w:szCs w:val="24"/>
        </w:rPr>
        <w:t>k</w:t>
      </w:r>
      <w:r w:rsidRPr="00CF5D64">
        <w:rPr>
          <w:sz w:val="24"/>
          <w:szCs w:val="24"/>
        </w:rPr>
        <w:t>eret til voksne.</w:t>
      </w:r>
    </w:p>
    <w:p w:rsidR="0096791F" w:rsidRPr="00CF5D64" w:rsidRDefault="0096791F" w:rsidP="0096791F">
      <w:pPr>
        <w:ind w:left="851"/>
        <w:rPr>
          <w:sz w:val="24"/>
          <w:szCs w:val="24"/>
        </w:rPr>
      </w:pPr>
    </w:p>
    <w:p w:rsidR="0096791F" w:rsidRPr="00CF5D64" w:rsidRDefault="0096791F" w:rsidP="0096791F">
      <w:pPr>
        <w:numPr>
          <w:ilvl w:val="1"/>
          <w:numId w:val="1"/>
        </w:numPr>
        <w:rPr>
          <w:b/>
          <w:sz w:val="24"/>
          <w:szCs w:val="24"/>
        </w:rPr>
      </w:pPr>
      <w:r w:rsidRPr="00CF5D64">
        <w:rPr>
          <w:b/>
          <w:sz w:val="24"/>
          <w:szCs w:val="24"/>
        </w:rPr>
        <w:t xml:space="preserve">Dosering og </w:t>
      </w:r>
      <w:r w:rsidR="00D5453A">
        <w:rPr>
          <w:b/>
          <w:sz w:val="24"/>
          <w:szCs w:val="24"/>
        </w:rPr>
        <w:t>administration</w:t>
      </w:r>
    </w:p>
    <w:p w:rsidR="0096791F" w:rsidRPr="00CF5D64" w:rsidRDefault="0096791F" w:rsidP="0096791F">
      <w:pPr>
        <w:ind w:left="851"/>
        <w:rPr>
          <w:noProof/>
          <w:sz w:val="24"/>
          <w:szCs w:val="24"/>
          <w:u w:val="single"/>
        </w:rPr>
      </w:pPr>
      <w:r w:rsidRPr="00CF5D64">
        <w:rPr>
          <w:noProof/>
          <w:sz w:val="24"/>
          <w:szCs w:val="24"/>
          <w:u w:val="single"/>
        </w:rPr>
        <w:t>Dosering</w:t>
      </w:r>
    </w:p>
    <w:p w:rsidR="0096791F" w:rsidRPr="00CF5D64" w:rsidRDefault="0096791F" w:rsidP="0096791F">
      <w:pPr>
        <w:ind w:left="851"/>
        <w:rPr>
          <w:noProof/>
          <w:sz w:val="24"/>
          <w:szCs w:val="24"/>
        </w:rPr>
      </w:pPr>
    </w:p>
    <w:p w:rsidR="0096791F" w:rsidRPr="00CF5D64" w:rsidRDefault="0096791F" w:rsidP="0096791F">
      <w:pPr>
        <w:ind w:left="851"/>
        <w:rPr>
          <w:noProof/>
          <w:sz w:val="24"/>
          <w:szCs w:val="24"/>
        </w:rPr>
      </w:pPr>
      <w:r w:rsidRPr="00CF5D64">
        <w:rPr>
          <w:i/>
          <w:noProof/>
          <w:sz w:val="24"/>
          <w:szCs w:val="24"/>
        </w:rPr>
        <w:t>Pædiatrisk population</w:t>
      </w:r>
    </w:p>
    <w:p w:rsidR="0096791F" w:rsidRPr="00CF5D64" w:rsidRDefault="0096791F" w:rsidP="0096791F">
      <w:pPr>
        <w:ind w:left="851"/>
        <w:rPr>
          <w:sz w:val="24"/>
          <w:szCs w:val="24"/>
        </w:rPr>
      </w:pPr>
      <w:proofErr w:type="spellStart"/>
      <w:r w:rsidRPr="00CF5D64">
        <w:rPr>
          <w:sz w:val="24"/>
          <w:szCs w:val="24"/>
        </w:rPr>
        <w:t>Onytecs</w:t>
      </w:r>
      <w:proofErr w:type="spellEnd"/>
      <w:r w:rsidRPr="00CF5D64">
        <w:rPr>
          <w:sz w:val="24"/>
          <w:szCs w:val="24"/>
        </w:rPr>
        <w:t xml:space="preserve"> sikkerhed og virkning hos børn og unge under 18 år er endnu ikke klarlagt. </w:t>
      </w:r>
      <w:r>
        <w:rPr>
          <w:sz w:val="24"/>
          <w:szCs w:val="24"/>
        </w:rPr>
        <w:t>Der er i</w:t>
      </w:r>
      <w:r w:rsidRPr="00CF5D64">
        <w:rPr>
          <w:sz w:val="24"/>
          <w:szCs w:val="24"/>
        </w:rPr>
        <w:t>ngen tilgængelige</w:t>
      </w:r>
      <w:r>
        <w:rPr>
          <w:sz w:val="24"/>
          <w:szCs w:val="24"/>
        </w:rPr>
        <w:t xml:space="preserve"> data</w:t>
      </w:r>
      <w:r w:rsidRPr="00CF5D64">
        <w:rPr>
          <w:sz w:val="24"/>
          <w:szCs w:val="24"/>
        </w:rPr>
        <w:t>.</w:t>
      </w:r>
    </w:p>
    <w:p w:rsidR="0096791F" w:rsidRDefault="0096791F" w:rsidP="0096791F">
      <w:pPr>
        <w:ind w:firstLine="851"/>
        <w:rPr>
          <w:sz w:val="24"/>
          <w:szCs w:val="24"/>
          <w:u w:val="single"/>
        </w:rPr>
      </w:pPr>
    </w:p>
    <w:p w:rsidR="0096791F" w:rsidRPr="00CF5D64" w:rsidRDefault="0096791F" w:rsidP="0096791F">
      <w:pPr>
        <w:ind w:firstLine="851"/>
        <w:rPr>
          <w:sz w:val="24"/>
          <w:szCs w:val="24"/>
          <w:u w:val="single"/>
        </w:rPr>
      </w:pPr>
      <w:r w:rsidRPr="00CF5D64">
        <w:rPr>
          <w:sz w:val="24"/>
          <w:szCs w:val="24"/>
          <w:u w:val="single"/>
        </w:rPr>
        <w:t>Administration</w:t>
      </w:r>
    </w:p>
    <w:p w:rsidR="0096791F" w:rsidRDefault="0096791F" w:rsidP="0096791F">
      <w:pPr>
        <w:ind w:left="851"/>
        <w:rPr>
          <w:noProof/>
          <w:sz w:val="24"/>
          <w:szCs w:val="24"/>
        </w:rPr>
      </w:pPr>
      <w:r w:rsidRPr="00CF5D64">
        <w:rPr>
          <w:noProof/>
          <w:sz w:val="24"/>
          <w:szCs w:val="24"/>
        </w:rPr>
        <w:t xml:space="preserve">Til </w:t>
      </w:r>
      <w:r>
        <w:rPr>
          <w:noProof/>
          <w:sz w:val="24"/>
          <w:szCs w:val="24"/>
        </w:rPr>
        <w:t>kutan anvendelse.</w:t>
      </w:r>
    </w:p>
    <w:p w:rsidR="0096791F" w:rsidRPr="00CF5D64" w:rsidRDefault="0096791F" w:rsidP="0096791F">
      <w:pPr>
        <w:ind w:left="851"/>
        <w:rPr>
          <w:noProof/>
          <w:sz w:val="24"/>
          <w:szCs w:val="24"/>
        </w:rPr>
      </w:pPr>
    </w:p>
    <w:p w:rsidR="0096791F" w:rsidRPr="00CF5D64" w:rsidRDefault="0096791F" w:rsidP="0096791F">
      <w:pPr>
        <w:ind w:left="851"/>
        <w:rPr>
          <w:noProof/>
          <w:sz w:val="24"/>
          <w:szCs w:val="24"/>
        </w:rPr>
      </w:pPr>
      <w:r w:rsidRPr="00CF5D64">
        <w:rPr>
          <w:noProof/>
          <w:sz w:val="24"/>
          <w:szCs w:val="24"/>
        </w:rPr>
        <w:t>Smøres på fingernegle, tånegle og den omgivende hud (perionychium, hyponychium).</w:t>
      </w:r>
    </w:p>
    <w:p w:rsidR="0096791F" w:rsidRPr="00CF5D64" w:rsidRDefault="0096791F" w:rsidP="0096791F">
      <w:pPr>
        <w:ind w:left="851"/>
        <w:rPr>
          <w:noProof/>
          <w:sz w:val="24"/>
          <w:szCs w:val="24"/>
        </w:rPr>
      </w:pPr>
    </w:p>
    <w:p w:rsidR="0096791F" w:rsidRPr="00CF5D64" w:rsidRDefault="0096791F" w:rsidP="0096791F">
      <w:pPr>
        <w:ind w:left="851"/>
        <w:rPr>
          <w:noProof/>
          <w:sz w:val="24"/>
          <w:szCs w:val="24"/>
        </w:rPr>
      </w:pPr>
      <w:r w:rsidRPr="00CF5D64">
        <w:rPr>
          <w:noProof/>
          <w:sz w:val="24"/>
          <w:szCs w:val="24"/>
        </w:rPr>
        <w:t xml:space="preserve">Med mindre andet er foreskrevet, appliceres Onytec en gang </w:t>
      </w:r>
      <w:r>
        <w:rPr>
          <w:noProof/>
          <w:sz w:val="24"/>
          <w:szCs w:val="24"/>
        </w:rPr>
        <w:t>daglig</w:t>
      </w:r>
      <w:r w:rsidRPr="00CF5D64">
        <w:rPr>
          <w:noProof/>
          <w:sz w:val="24"/>
          <w:szCs w:val="24"/>
        </w:rPr>
        <w:t xml:space="preserve"> i et tyndt lag på den omhyggeligt vaskede  og tørrede angrebne negl eller negle. Den medicinske neglelak smøres på hele neglen og 5 mm af den omgivende hud samt under neglens frie kant, hvis det er muligt. Onytec neglelak tørrer efter ca. 30 sekunder. De behandlede negle skal ikke vaskes inden for de første seks timer, hvorfor det anbefales at smøre neglelakken på ved sengetid. Herefter kan almindelige hygiejneregler følges.</w:t>
      </w:r>
    </w:p>
    <w:p w:rsidR="0096791F" w:rsidRPr="00CF5D64" w:rsidRDefault="0096791F" w:rsidP="0096791F">
      <w:pPr>
        <w:ind w:left="851"/>
        <w:rPr>
          <w:noProof/>
          <w:sz w:val="24"/>
          <w:szCs w:val="24"/>
        </w:rPr>
      </w:pPr>
    </w:p>
    <w:p w:rsidR="0096791F" w:rsidRPr="00CF5D64" w:rsidRDefault="0096791F" w:rsidP="0096791F">
      <w:pPr>
        <w:ind w:left="851"/>
        <w:rPr>
          <w:noProof/>
          <w:sz w:val="24"/>
          <w:szCs w:val="24"/>
        </w:rPr>
      </w:pPr>
      <w:r w:rsidRPr="00CF5D64">
        <w:rPr>
          <w:noProof/>
          <w:sz w:val="24"/>
          <w:szCs w:val="24"/>
        </w:rPr>
        <w:t>Det er ikke nødvendigt at fjerne Onytec neglelak med lakfjerner eller slibemidler (dvs. neglefiling), det er tilstrækkeligt at vaske neglene. I tilfælde af uforsætlig vask, som fjerner Onytec, kan neglelakken appliceres igen.</w:t>
      </w:r>
    </w:p>
    <w:p w:rsidR="0096791F" w:rsidRPr="00CF5D64" w:rsidRDefault="0096791F" w:rsidP="0096791F">
      <w:pPr>
        <w:ind w:left="851"/>
        <w:rPr>
          <w:noProof/>
          <w:sz w:val="24"/>
          <w:szCs w:val="24"/>
        </w:rPr>
      </w:pPr>
    </w:p>
    <w:p w:rsidR="0096791F" w:rsidRPr="00CF5D64" w:rsidRDefault="0096791F" w:rsidP="0096791F">
      <w:pPr>
        <w:ind w:left="851"/>
        <w:rPr>
          <w:noProof/>
          <w:sz w:val="24"/>
          <w:szCs w:val="24"/>
        </w:rPr>
      </w:pPr>
      <w:r w:rsidRPr="00CF5D64">
        <w:rPr>
          <w:noProof/>
          <w:sz w:val="24"/>
          <w:szCs w:val="24"/>
        </w:rPr>
        <w:t>Det anbefales regelmæssigt at klippe de frie neglekanter og fjerne onykolytisk materiale.</w:t>
      </w:r>
    </w:p>
    <w:p w:rsidR="0096791F" w:rsidRPr="00CF5D64" w:rsidRDefault="0096791F" w:rsidP="0096791F">
      <w:pPr>
        <w:ind w:left="851"/>
        <w:rPr>
          <w:noProof/>
          <w:sz w:val="24"/>
          <w:szCs w:val="24"/>
        </w:rPr>
      </w:pPr>
      <w:r w:rsidRPr="00CF5D64">
        <w:rPr>
          <w:noProof/>
          <w:sz w:val="24"/>
          <w:szCs w:val="24"/>
        </w:rPr>
        <w:t>Behandlingen bør fortsætte</w:t>
      </w:r>
      <w:r>
        <w:rPr>
          <w:noProof/>
          <w:sz w:val="24"/>
          <w:szCs w:val="24"/>
        </w:rPr>
        <w:t>,</w:t>
      </w:r>
      <w:r w:rsidRPr="00CF5D64">
        <w:rPr>
          <w:noProof/>
          <w:sz w:val="24"/>
          <w:szCs w:val="24"/>
        </w:rPr>
        <w:t xml:space="preserve"> indtil fuldstændig mykologisk og klinisk helbredelse er opnået, og raske negle igen er vokset ud. Normalt er behandlingsperioden for fingernegle ca. 6 måneder, mens den for tånegle er omkring 9-12 måneder.  </w:t>
      </w:r>
    </w:p>
    <w:p w:rsidR="0096791F" w:rsidRPr="00CF5D64" w:rsidRDefault="0096791F" w:rsidP="0096791F">
      <w:pPr>
        <w:ind w:left="851"/>
        <w:rPr>
          <w:noProof/>
          <w:sz w:val="24"/>
          <w:szCs w:val="24"/>
        </w:rPr>
      </w:pPr>
    </w:p>
    <w:p w:rsidR="0096791F" w:rsidRPr="00CF5D64" w:rsidRDefault="0096791F" w:rsidP="0096791F">
      <w:pPr>
        <w:ind w:left="851"/>
        <w:rPr>
          <w:noProof/>
          <w:sz w:val="24"/>
          <w:szCs w:val="24"/>
        </w:rPr>
      </w:pPr>
      <w:r w:rsidRPr="00CF5D64">
        <w:rPr>
          <w:noProof/>
          <w:sz w:val="24"/>
          <w:szCs w:val="24"/>
        </w:rPr>
        <w:t>Der bør foretages kontrol af svampekulturen fire uger efter afslutning af behandlingen for at undgå at enventuelle levn fra den aktive substans interfererer med resultater for kulturer.</w:t>
      </w:r>
    </w:p>
    <w:p w:rsidR="0096791F" w:rsidRPr="00CF5D64" w:rsidRDefault="0096791F" w:rsidP="0096791F">
      <w:pPr>
        <w:ind w:left="851"/>
        <w:rPr>
          <w:noProof/>
          <w:sz w:val="24"/>
          <w:szCs w:val="24"/>
        </w:rPr>
      </w:pPr>
    </w:p>
    <w:p w:rsidR="0096791F" w:rsidRPr="00CF5D64" w:rsidRDefault="0096791F" w:rsidP="0096791F">
      <w:pPr>
        <w:ind w:left="851"/>
        <w:rPr>
          <w:noProof/>
          <w:sz w:val="24"/>
          <w:szCs w:val="24"/>
        </w:rPr>
      </w:pPr>
      <w:r>
        <w:rPr>
          <w:noProof/>
          <w:sz w:val="24"/>
          <w:szCs w:val="24"/>
        </w:rPr>
        <w:t>Idet dette er topikal</w:t>
      </w:r>
      <w:r w:rsidRPr="00CF5D64">
        <w:rPr>
          <w:noProof/>
          <w:sz w:val="24"/>
          <w:szCs w:val="24"/>
        </w:rPr>
        <w:t xml:space="preserve"> behandling til udvortes brug</w:t>
      </w:r>
      <w:r>
        <w:rPr>
          <w:noProof/>
          <w:sz w:val="24"/>
          <w:szCs w:val="24"/>
        </w:rPr>
        <w:t>,</w:t>
      </w:r>
      <w:r w:rsidRPr="00CF5D64">
        <w:rPr>
          <w:noProof/>
          <w:sz w:val="24"/>
          <w:szCs w:val="24"/>
        </w:rPr>
        <w:t xml:space="preserve"> er </w:t>
      </w:r>
      <w:r>
        <w:rPr>
          <w:noProof/>
          <w:sz w:val="24"/>
          <w:szCs w:val="24"/>
        </w:rPr>
        <w:t>anden</w:t>
      </w:r>
      <w:r w:rsidRPr="00CF5D64">
        <w:rPr>
          <w:noProof/>
          <w:sz w:val="24"/>
          <w:szCs w:val="24"/>
        </w:rPr>
        <w:t xml:space="preserve"> dosering til specielle populationsgrupper ikke nødvendig.</w:t>
      </w:r>
    </w:p>
    <w:p w:rsidR="0096791F" w:rsidRPr="00CF5D64" w:rsidRDefault="0096791F" w:rsidP="0096791F">
      <w:pPr>
        <w:ind w:left="851"/>
        <w:rPr>
          <w:noProof/>
          <w:sz w:val="24"/>
          <w:szCs w:val="24"/>
        </w:rPr>
      </w:pPr>
    </w:p>
    <w:p w:rsidR="0096791F" w:rsidRPr="00CF5D64" w:rsidRDefault="0096791F" w:rsidP="0096791F">
      <w:pPr>
        <w:ind w:left="851"/>
        <w:rPr>
          <w:noProof/>
          <w:sz w:val="24"/>
          <w:szCs w:val="24"/>
        </w:rPr>
      </w:pPr>
      <w:r w:rsidRPr="00CF5D64">
        <w:rPr>
          <w:noProof/>
          <w:sz w:val="24"/>
          <w:szCs w:val="24"/>
        </w:rPr>
        <w:t xml:space="preserve">Hvis </w:t>
      </w:r>
      <w:r>
        <w:rPr>
          <w:noProof/>
          <w:sz w:val="24"/>
          <w:szCs w:val="24"/>
        </w:rPr>
        <w:t>tilstanden</w:t>
      </w:r>
      <w:r w:rsidRPr="00CF5D64">
        <w:rPr>
          <w:noProof/>
          <w:sz w:val="24"/>
          <w:szCs w:val="24"/>
        </w:rPr>
        <w:t xml:space="preserve"> er behandlingsrefraktær over for Onytec, og/eller hvis der er massiv involvering af en eller flere finger- og tånegle, skal det overvejes at supplere med systemisk behandling.</w:t>
      </w:r>
    </w:p>
    <w:p w:rsidR="0096791F" w:rsidRPr="00CF5D64" w:rsidRDefault="0096791F" w:rsidP="0096791F">
      <w:pPr>
        <w:tabs>
          <w:tab w:val="left" w:pos="851"/>
        </w:tabs>
        <w:ind w:left="851"/>
        <w:rPr>
          <w:sz w:val="24"/>
          <w:szCs w:val="24"/>
        </w:rPr>
      </w:pPr>
    </w:p>
    <w:p w:rsidR="0096791F" w:rsidRPr="00CF5D64" w:rsidRDefault="0096791F" w:rsidP="0096791F">
      <w:pPr>
        <w:numPr>
          <w:ilvl w:val="1"/>
          <w:numId w:val="1"/>
        </w:numPr>
        <w:rPr>
          <w:b/>
          <w:sz w:val="24"/>
          <w:szCs w:val="24"/>
        </w:rPr>
      </w:pPr>
      <w:r w:rsidRPr="00CF5D64">
        <w:rPr>
          <w:b/>
          <w:sz w:val="24"/>
          <w:szCs w:val="24"/>
        </w:rPr>
        <w:t>Kontraindikationer</w:t>
      </w:r>
    </w:p>
    <w:p w:rsidR="0096791F" w:rsidRPr="00663FB0" w:rsidRDefault="0096791F" w:rsidP="0096791F">
      <w:pPr>
        <w:pStyle w:val="Listeafsnit"/>
        <w:ind w:left="855"/>
        <w:rPr>
          <w:sz w:val="24"/>
          <w:szCs w:val="24"/>
        </w:rPr>
      </w:pPr>
      <w:r w:rsidRPr="00663FB0">
        <w:rPr>
          <w:sz w:val="24"/>
          <w:szCs w:val="24"/>
        </w:rPr>
        <w:t>Overfølsomhed over for det aktive stof eller over for et eller flere af hjælpestofferne anført i pkt. 6.1.</w:t>
      </w:r>
    </w:p>
    <w:p w:rsidR="0096791F" w:rsidRPr="00CF5D64" w:rsidRDefault="0096791F" w:rsidP="0096791F">
      <w:pPr>
        <w:ind w:left="851"/>
        <w:rPr>
          <w:sz w:val="24"/>
          <w:szCs w:val="24"/>
        </w:rPr>
      </w:pPr>
    </w:p>
    <w:p w:rsidR="0096791F" w:rsidRPr="00CF5D64" w:rsidRDefault="0096791F" w:rsidP="0096791F">
      <w:pPr>
        <w:ind w:left="851"/>
        <w:rPr>
          <w:sz w:val="24"/>
          <w:szCs w:val="24"/>
        </w:rPr>
      </w:pPr>
      <w:r w:rsidRPr="00CF5D64">
        <w:rPr>
          <w:sz w:val="24"/>
          <w:szCs w:val="24"/>
        </w:rPr>
        <w:t xml:space="preserve">Børn og unge under 18 år på grund af utilstrækkelig erfaring med denne aldersgruppe. </w:t>
      </w:r>
    </w:p>
    <w:p w:rsidR="0096791F" w:rsidRPr="00CF5D64" w:rsidRDefault="0096791F" w:rsidP="0096791F">
      <w:pPr>
        <w:tabs>
          <w:tab w:val="left" w:pos="851"/>
        </w:tabs>
        <w:rPr>
          <w:sz w:val="24"/>
          <w:szCs w:val="24"/>
        </w:rPr>
      </w:pPr>
    </w:p>
    <w:p w:rsidR="0096791F" w:rsidRPr="00CF5D64" w:rsidRDefault="0096791F" w:rsidP="0096791F">
      <w:pPr>
        <w:numPr>
          <w:ilvl w:val="1"/>
          <w:numId w:val="1"/>
        </w:numPr>
        <w:rPr>
          <w:b/>
          <w:sz w:val="24"/>
          <w:szCs w:val="24"/>
        </w:rPr>
      </w:pPr>
      <w:r w:rsidRPr="00CF5D64">
        <w:rPr>
          <w:b/>
          <w:sz w:val="24"/>
          <w:szCs w:val="24"/>
        </w:rPr>
        <w:t>Særlige advarsler og forsigtighedsregler vedrørende brugen</w:t>
      </w:r>
    </w:p>
    <w:p w:rsidR="0096791F" w:rsidRPr="00CF5D64" w:rsidRDefault="0096791F" w:rsidP="0096791F">
      <w:pPr>
        <w:suppressAutoHyphens/>
        <w:ind w:left="851"/>
        <w:rPr>
          <w:sz w:val="24"/>
          <w:szCs w:val="24"/>
        </w:rPr>
      </w:pPr>
      <w:r w:rsidRPr="00CF5D64">
        <w:rPr>
          <w:sz w:val="24"/>
          <w:szCs w:val="24"/>
        </w:rPr>
        <w:t xml:space="preserve">Mild til moderat </w:t>
      </w:r>
      <w:proofErr w:type="spellStart"/>
      <w:r w:rsidRPr="00CF5D64">
        <w:rPr>
          <w:sz w:val="24"/>
          <w:szCs w:val="24"/>
        </w:rPr>
        <w:t>onychomycosis</w:t>
      </w:r>
      <w:proofErr w:type="spellEnd"/>
      <w:r w:rsidRPr="00CF5D64">
        <w:rPr>
          <w:sz w:val="24"/>
          <w:szCs w:val="24"/>
        </w:rPr>
        <w:t xml:space="preserve"> defineres som svampeinfektion, der angriber op til 75 % af negleoverfladen, involverer op til 5 negle uden involvering af negleleje/</w:t>
      </w:r>
      <w:proofErr w:type="spellStart"/>
      <w:r w:rsidRPr="00CF5D64">
        <w:rPr>
          <w:sz w:val="24"/>
          <w:szCs w:val="24"/>
        </w:rPr>
        <w:t>lunula</w:t>
      </w:r>
      <w:proofErr w:type="spellEnd"/>
      <w:r w:rsidRPr="00CF5D64">
        <w:rPr>
          <w:sz w:val="24"/>
          <w:szCs w:val="24"/>
        </w:rPr>
        <w:t>.</w:t>
      </w:r>
    </w:p>
    <w:p w:rsidR="0096791F" w:rsidRPr="00CF5D64" w:rsidRDefault="0096791F" w:rsidP="0096791F">
      <w:pPr>
        <w:suppressAutoHyphens/>
        <w:ind w:left="851"/>
        <w:rPr>
          <w:sz w:val="24"/>
          <w:szCs w:val="24"/>
        </w:rPr>
      </w:pPr>
    </w:p>
    <w:p w:rsidR="0096791F" w:rsidRPr="00CF5D64" w:rsidRDefault="0096791F" w:rsidP="0096791F">
      <w:pPr>
        <w:suppressAutoHyphens/>
        <w:ind w:left="851"/>
        <w:rPr>
          <w:sz w:val="24"/>
          <w:szCs w:val="24"/>
        </w:rPr>
      </w:pPr>
      <w:r w:rsidRPr="00CF5D64">
        <w:rPr>
          <w:sz w:val="24"/>
          <w:szCs w:val="24"/>
        </w:rPr>
        <w:t xml:space="preserve">I tilfælde af svær </w:t>
      </w:r>
      <w:proofErr w:type="spellStart"/>
      <w:r w:rsidRPr="00CF5D64">
        <w:rPr>
          <w:sz w:val="24"/>
          <w:szCs w:val="24"/>
        </w:rPr>
        <w:t>onychomycosis</w:t>
      </w:r>
      <w:proofErr w:type="spellEnd"/>
      <w:r w:rsidRPr="00CF5D64">
        <w:rPr>
          <w:sz w:val="24"/>
          <w:szCs w:val="24"/>
        </w:rPr>
        <w:t xml:space="preserve"> og prædisponerende faktorer som diabetes og lidelser i immunsystemet bør det overvejes at supplere med systemisk behandling.  </w:t>
      </w:r>
    </w:p>
    <w:p w:rsidR="0096791F" w:rsidRPr="00CF5D64" w:rsidRDefault="0096791F" w:rsidP="0096791F">
      <w:pPr>
        <w:suppressAutoHyphens/>
        <w:ind w:left="851"/>
        <w:rPr>
          <w:sz w:val="24"/>
          <w:szCs w:val="24"/>
        </w:rPr>
      </w:pPr>
    </w:p>
    <w:p w:rsidR="0096791F" w:rsidRPr="00CF5D64" w:rsidRDefault="0096791F" w:rsidP="0096791F">
      <w:pPr>
        <w:suppressAutoHyphens/>
        <w:ind w:left="851"/>
        <w:rPr>
          <w:sz w:val="24"/>
          <w:szCs w:val="24"/>
        </w:rPr>
      </w:pPr>
      <w:r w:rsidRPr="00CF5D64">
        <w:rPr>
          <w:sz w:val="24"/>
          <w:szCs w:val="24"/>
        </w:rPr>
        <w:t>Sygdommens varighed, omfanget af infektionen (involvering af neglen) og negletykkelsen (&gt;2 mm kan tyde på neglelejeinvolvering og keratinrester) kan påvirke behandlingsresultatet.</w:t>
      </w:r>
    </w:p>
    <w:p w:rsidR="0096791F" w:rsidRPr="00CF5D64" w:rsidRDefault="0096791F" w:rsidP="0096791F">
      <w:pPr>
        <w:suppressAutoHyphens/>
        <w:ind w:left="851" w:hanging="567"/>
        <w:rPr>
          <w:sz w:val="24"/>
          <w:szCs w:val="24"/>
        </w:rPr>
      </w:pPr>
    </w:p>
    <w:p w:rsidR="0096791F" w:rsidRPr="00CF5D64" w:rsidRDefault="0096791F" w:rsidP="0096791F">
      <w:pPr>
        <w:suppressAutoHyphens/>
        <w:ind w:left="851"/>
        <w:rPr>
          <w:noProof/>
          <w:sz w:val="24"/>
          <w:szCs w:val="24"/>
        </w:rPr>
      </w:pPr>
      <w:r w:rsidRPr="00CF5D64">
        <w:rPr>
          <w:noProof/>
          <w:sz w:val="24"/>
          <w:szCs w:val="24"/>
        </w:rPr>
        <w:t>I tilfælde af sensibilisering bør behandlingen afbrydes og relevant behandling iværksættes.</w:t>
      </w:r>
    </w:p>
    <w:p w:rsidR="0096791F" w:rsidRPr="00CF5D64" w:rsidRDefault="0096791F" w:rsidP="0096791F">
      <w:pPr>
        <w:suppressAutoHyphens/>
        <w:ind w:left="851" w:hanging="567"/>
        <w:rPr>
          <w:noProof/>
          <w:sz w:val="24"/>
          <w:szCs w:val="24"/>
        </w:rPr>
      </w:pPr>
    </w:p>
    <w:p w:rsidR="0096791F" w:rsidRPr="00CF5D64" w:rsidRDefault="0096791F" w:rsidP="0096791F">
      <w:pPr>
        <w:suppressAutoHyphens/>
        <w:ind w:left="851"/>
        <w:rPr>
          <w:noProof/>
          <w:sz w:val="24"/>
          <w:szCs w:val="24"/>
        </w:rPr>
      </w:pPr>
      <w:r w:rsidRPr="00CF5D64">
        <w:rPr>
          <w:noProof/>
          <w:sz w:val="24"/>
          <w:szCs w:val="24"/>
        </w:rPr>
        <w:t xml:space="preserve">Patienter med kendt diabetes, lidelser i immunsystemet, perifer vaskulær lidelse, skader, smertefulde eller alvorligt beskadigede negle, hudlidelser som psoriasis eller anden kronisk </w:t>
      </w:r>
      <w:r w:rsidRPr="00CF5D64">
        <w:rPr>
          <w:noProof/>
          <w:sz w:val="24"/>
          <w:szCs w:val="24"/>
        </w:rPr>
        <w:lastRenderedPageBreak/>
        <w:t>hudlidelse, ødem, respiratorisk lidelse (</w:t>
      </w:r>
      <w:r w:rsidRPr="00CF5D64">
        <w:rPr>
          <w:sz w:val="24"/>
          <w:szCs w:val="24"/>
        </w:rPr>
        <w:t>Yellow-Nail syndrom) bør søge medicinsk vejledning, før behandling indledes.</w:t>
      </w:r>
    </w:p>
    <w:p w:rsidR="0096791F" w:rsidRPr="00CF5D64" w:rsidRDefault="0096791F" w:rsidP="0096791F">
      <w:pPr>
        <w:suppressAutoHyphens/>
        <w:ind w:left="851"/>
        <w:rPr>
          <w:noProof/>
          <w:sz w:val="24"/>
          <w:szCs w:val="24"/>
        </w:rPr>
      </w:pPr>
    </w:p>
    <w:p w:rsidR="0096791F" w:rsidRPr="00CF5D64" w:rsidRDefault="0096791F" w:rsidP="0096791F">
      <w:pPr>
        <w:suppressAutoHyphens/>
        <w:ind w:left="851"/>
        <w:rPr>
          <w:noProof/>
          <w:sz w:val="24"/>
          <w:szCs w:val="24"/>
        </w:rPr>
      </w:pPr>
      <w:r w:rsidRPr="00CF5D64">
        <w:rPr>
          <w:noProof/>
          <w:sz w:val="24"/>
          <w:szCs w:val="24"/>
        </w:rPr>
        <w:t>For</w:t>
      </w:r>
      <w:r>
        <w:rPr>
          <w:noProof/>
          <w:sz w:val="24"/>
          <w:szCs w:val="24"/>
        </w:rPr>
        <w:t xml:space="preserve"> patienter med en kendt insulin</w:t>
      </w:r>
      <w:r w:rsidRPr="00CF5D64">
        <w:rPr>
          <w:noProof/>
          <w:sz w:val="24"/>
          <w:szCs w:val="24"/>
        </w:rPr>
        <w:t xml:space="preserve">afhængig diabetes mellitus eller diabetisk neuropati bør risikoen </w:t>
      </w:r>
      <w:r>
        <w:rPr>
          <w:noProof/>
          <w:sz w:val="24"/>
          <w:szCs w:val="24"/>
        </w:rPr>
        <w:t>ved at fjerne</w:t>
      </w:r>
      <w:r w:rsidRPr="00CF5D64">
        <w:rPr>
          <w:noProof/>
          <w:sz w:val="24"/>
          <w:szCs w:val="24"/>
        </w:rPr>
        <w:t xml:space="preserve"> løs</w:t>
      </w:r>
      <w:r>
        <w:rPr>
          <w:noProof/>
          <w:sz w:val="24"/>
          <w:szCs w:val="24"/>
        </w:rPr>
        <w:t>e</w:t>
      </w:r>
      <w:r w:rsidRPr="00CF5D64">
        <w:rPr>
          <w:noProof/>
          <w:sz w:val="24"/>
          <w:szCs w:val="24"/>
        </w:rPr>
        <w:t>, inficere</w:t>
      </w:r>
      <w:r>
        <w:rPr>
          <w:noProof/>
          <w:sz w:val="24"/>
          <w:szCs w:val="24"/>
        </w:rPr>
        <w:t>de</w:t>
      </w:r>
      <w:r w:rsidRPr="00CF5D64">
        <w:rPr>
          <w:noProof/>
          <w:sz w:val="24"/>
          <w:szCs w:val="24"/>
        </w:rPr>
        <w:t xml:space="preserve"> negl</w:t>
      </w:r>
      <w:r>
        <w:rPr>
          <w:noProof/>
          <w:sz w:val="24"/>
          <w:szCs w:val="24"/>
        </w:rPr>
        <w:t>e</w:t>
      </w:r>
      <w:r w:rsidRPr="00CF5D64">
        <w:rPr>
          <w:noProof/>
          <w:sz w:val="24"/>
          <w:szCs w:val="24"/>
        </w:rPr>
        <w:t xml:space="preserve"> </w:t>
      </w:r>
      <w:r>
        <w:rPr>
          <w:noProof/>
          <w:sz w:val="24"/>
          <w:szCs w:val="24"/>
        </w:rPr>
        <w:t xml:space="preserve">overvejes nøje, </w:t>
      </w:r>
      <w:r w:rsidRPr="00CF5D64">
        <w:rPr>
          <w:noProof/>
          <w:sz w:val="24"/>
          <w:szCs w:val="24"/>
        </w:rPr>
        <w:t>af sun</w:t>
      </w:r>
      <w:r>
        <w:rPr>
          <w:noProof/>
          <w:sz w:val="24"/>
          <w:szCs w:val="24"/>
        </w:rPr>
        <w:t>d</w:t>
      </w:r>
      <w:r w:rsidRPr="00CF5D64">
        <w:rPr>
          <w:noProof/>
          <w:sz w:val="24"/>
          <w:szCs w:val="24"/>
        </w:rPr>
        <w:t xml:space="preserve">hedspersonale eller af patienten selv </w:t>
      </w:r>
      <w:r>
        <w:rPr>
          <w:noProof/>
          <w:sz w:val="24"/>
          <w:szCs w:val="24"/>
        </w:rPr>
        <w:t>under rengøring.</w:t>
      </w:r>
    </w:p>
    <w:p w:rsidR="0096791F" w:rsidRPr="00CF5D64" w:rsidRDefault="0096791F" w:rsidP="0096791F">
      <w:pPr>
        <w:suppressAutoHyphens/>
        <w:ind w:left="851"/>
        <w:rPr>
          <w:noProof/>
          <w:sz w:val="24"/>
          <w:szCs w:val="24"/>
        </w:rPr>
      </w:pPr>
    </w:p>
    <w:p w:rsidR="0096791F" w:rsidRDefault="0096791F" w:rsidP="0096791F">
      <w:pPr>
        <w:suppressAutoHyphens/>
        <w:ind w:left="851"/>
        <w:rPr>
          <w:noProof/>
          <w:sz w:val="24"/>
          <w:szCs w:val="24"/>
        </w:rPr>
      </w:pPr>
      <w:r>
        <w:rPr>
          <w:noProof/>
          <w:sz w:val="24"/>
          <w:szCs w:val="24"/>
        </w:rPr>
        <w:t>Kontakt med øjne og slimhinder bør undgås.</w:t>
      </w:r>
    </w:p>
    <w:p w:rsidR="0096791F" w:rsidRDefault="0096791F" w:rsidP="0096791F">
      <w:pPr>
        <w:suppressAutoHyphens/>
        <w:ind w:left="851"/>
        <w:rPr>
          <w:noProof/>
          <w:sz w:val="24"/>
          <w:szCs w:val="24"/>
        </w:rPr>
      </w:pPr>
    </w:p>
    <w:p w:rsidR="0096791F" w:rsidRDefault="0096791F" w:rsidP="0096791F">
      <w:pPr>
        <w:suppressAutoHyphens/>
        <w:ind w:left="851"/>
        <w:rPr>
          <w:noProof/>
          <w:sz w:val="24"/>
          <w:szCs w:val="24"/>
        </w:rPr>
      </w:pPr>
      <w:r>
        <w:rPr>
          <w:noProof/>
          <w:sz w:val="24"/>
          <w:szCs w:val="24"/>
        </w:rPr>
        <w:t>Neglelakken er kun til udvortes brug.</w:t>
      </w:r>
    </w:p>
    <w:p w:rsidR="0096791F" w:rsidRDefault="0096791F" w:rsidP="0096791F">
      <w:pPr>
        <w:suppressAutoHyphens/>
        <w:ind w:left="851"/>
        <w:rPr>
          <w:noProof/>
          <w:sz w:val="24"/>
          <w:szCs w:val="24"/>
        </w:rPr>
      </w:pPr>
    </w:p>
    <w:p w:rsidR="0096791F" w:rsidRDefault="0096791F" w:rsidP="0096791F">
      <w:pPr>
        <w:suppressAutoHyphens/>
        <w:ind w:left="851"/>
        <w:rPr>
          <w:noProof/>
          <w:sz w:val="24"/>
          <w:szCs w:val="24"/>
        </w:rPr>
      </w:pPr>
      <w:r>
        <w:rPr>
          <w:noProof/>
          <w:sz w:val="24"/>
          <w:szCs w:val="24"/>
        </w:rPr>
        <w:t>Neglelak eller andre neglekosmetiske produkter bør ikke anvendes på de behandlede negle.</w:t>
      </w:r>
    </w:p>
    <w:p w:rsidR="0096791F" w:rsidRDefault="0096791F" w:rsidP="0096791F">
      <w:pPr>
        <w:suppressAutoHyphens/>
        <w:ind w:left="851"/>
        <w:rPr>
          <w:noProof/>
          <w:sz w:val="24"/>
          <w:szCs w:val="24"/>
        </w:rPr>
      </w:pPr>
    </w:p>
    <w:p w:rsidR="0096791F" w:rsidRPr="00CF5D64" w:rsidRDefault="0096791F" w:rsidP="0096791F">
      <w:pPr>
        <w:suppressAutoHyphens/>
        <w:ind w:left="851"/>
        <w:rPr>
          <w:noProof/>
          <w:sz w:val="24"/>
          <w:szCs w:val="24"/>
        </w:rPr>
      </w:pPr>
      <w:r>
        <w:rPr>
          <w:noProof/>
          <w:sz w:val="24"/>
          <w:szCs w:val="24"/>
        </w:rPr>
        <w:t>Onytec indeholder cetostearylalkohol, som kan forårsage lokale hudreaktioner (f.eks. kontaktdermatitis).</w:t>
      </w:r>
    </w:p>
    <w:p w:rsidR="0096791F" w:rsidRPr="00CF5D64" w:rsidRDefault="0096791F" w:rsidP="0096791F">
      <w:pPr>
        <w:suppressAutoHyphens/>
        <w:ind w:left="851"/>
        <w:rPr>
          <w:noProof/>
          <w:sz w:val="24"/>
          <w:szCs w:val="24"/>
        </w:rPr>
      </w:pPr>
    </w:p>
    <w:p w:rsidR="00D5453A" w:rsidRDefault="00D5453A" w:rsidP="00D5453A">
      <w:pPr>
        <w:ind w:left="851"/>
        <w:rPr>
          <w:noProof/>
          <w:sz w:val="24"/>
          <w:szCs w:val="24"/>
        </w:rPr>
      </w:pPr>
      <w:r>
        <w:rPr>
          <w:noProof/>
          <w:sz w:val="24"/>
          <w:szCs w:val="24"/>
        </w:rPr>
        <w:t xml:space="preserve">Flasken skal holdes lukket, når den ikke er i brug. </w:t>
      </w:r>
    </w:p>
    <w:p w:rsidR="00D5453A" w:rsidRDefault="00D5453A" w:rsidP="00D5453A">
      <w:pPr>
        <w:ind w:left="851"/>
        <w:rPr>
          <w:noProof/>
          <w:sz w:val="24"/>
          <w:szCs w:val="24"/>
        </w:rPr>
      </w:pPr>
      <w:r>
        <w:rPr>
          <w:noProof/>
          <w:sz w:val="24"/>
          <w:szCs w:val="24"/>
        </w:rPr>
        <w:t xml:space="preserve">Dette lægemiddel indeholder 730 mg alkohol (ethanol) pr. gram opløsning. Det kan forårsage en brændende fornemmelse på skadet hud. </w:t>
      </w:r>
    </w:p>
    <w:p w:rsidR="0096791F" w:rsidRDefault="00D5453A" w:rsidP="00D5453A">
      <w:pPr>
        <w:tabs>
          <w:tab w:val="left" w:pos="851"/>
        </w:tabs>
        <w:ind w:left="851"/>
        <w:rPr>
          <w:noProof/>
          <w:sz w:val="24"/>
          <w:szCs w:val="24"/>
        </w:rPr>
      </w:pPr>
      <w:r>
        <w:rPr>
          <w:noProof/>
          <w:sz w:val="24"/>
          <w:szCs w:val="24"/>
        </w:rPr>
        <w:t>Produktet er brændbart. Må ikke opbevares varmt eller i nærheden af åben ild.</w:t>
      </w:r>
    </w:p>
    <w:p w:rsidR="00D5453A" w:rsidRPr="00CF5D64" w:rsidRDefault="00D5453A" w:rsidP="00D5453A">
      <w:pPr>
        <w:tabs>
          <w:tab w:val="left" w:pos="851"/>
        </w:tabs>
        <w:ind w:left="851"/>
        <w:rPr>
          <w:sz w:val="24"/>
          <w:szCs w:val="24"/>
        </w:rPr>
      </w:pPr>
    </w:p>
    <w:p w:rsidR="0096791F" w:rsidRPr="00CF5D64" w:rsidRDefault="0096791F" w:rsidP="0096791F">
      <w:pPr>
        <w:numPr>
          <w:ilvl w:val="1"/>
          <w:numId w:val="1"/>
        </w:numPr>
        <w:rPr>
          <w:b/>
          <w:sz w:val="24"/>
          <w:szCs w:val="24"/>
        </w:rPr>
      </w:pPr>
      <w:r w:rsidRPr="00CF5D64">
        <w:rPr>
          <w:b/>
          <w:sz w:val="24"/>
          <w:szCs w:val="24"/>
        </w:rPr>
        <w:t>Interaktion med andre lægemidler og andre former for interaktion</w:t>
      </w:r>
    </w:p>
    <w:p w:rsidR="0096791F" w:rsidRPr="00CF5D64" w:rsidRDefault="0096791F" w:rsidP="0096791F">
      <w:pPr>
        <w:keepNext/>
        <w:keepLines/>
        <w:ind w:left="851"/>
        <w:rPr>
          <w:noProof/>
          <w:sz w:val="24"/>
          <w:szCs w:val="24"/>
        </w:rPr>
      </w:pPr>
      <w:r w:rsidRPr="00CF5D64">
        <w:rPr>
          <w:noProof/>
          <w:sz w:val="24"/>
          <w:szCs w:val="24"/>
        </w:rPr>
        <w:t xml:space="preserve">Der er ikke udført interaktionsstudier. </w:t>
      </w:r>
      <w:r>
        <w:rPr>
          <w:noProof/>
          <w:sz w:val="24"/>
          <w:szCs w:val="24"/>
        </w:rPr>
        <w:t>D</w:t>
      </w:r>
      <w:r w:rsidRPr="00CF5D64">
        <w:rPr>
          <w:noProof/>
          <w:sz w:val="24"/>
          <w:szCs w:val="24"/>
        </w:rPr>
        <w:t>en systemiske biotilgængelighed af ciclopirox er under 2 % efter anbefalet applikation, en størrelsesorden der anses som ubetydelig, hvorfor der ikke forventes interaktioner på systemisk niveau.</w:t>
      </w:r>
    </w:p>
    <w:p w:rsidR="0096791F" w:rsidRPr="00CF5D64" w:rsidRDefault="0096791F" w:rsidP="0096791F">
      <w:pPr>
        <w:tabs>
          <w:tab w:val="left" w:pos="851"/>
        </w:tabs>
        <w:ind w:left="851"/>
        <w:rPr>
          <w:sz w:val="24"/>
          <w:szCs w:val="24"/>
        </w:rPr>
      </w:pPr>
    </w:p>
    <w:p w:rsidR="0096791F" w:rsidRPr="00A205C2" w:rsidRDefault="00D5453A" w:rsidP="0096791F">
      <w:pPr>
        <w:numPr>
          <w:ilvl w:val="1"/>
          <w:numId w:val="1"/>
        </w:numPr>
        <w:rPr>
          <w:b/>
          <w:sz w:val="24"/>
          <w:szCs w:val="24"/>
        </w:rPr>
      </w:pPr>
      <w:r>
        <w:rPr>
          <w:b/>
          <w:sz w:val="24"/>
          <w:szCs w:val="24"/>
        </w:rPr>
        <w:t>Fertilitet, g</w:t>
      </w:r>
      <w:r w:rsidR="0096791F" w:rsidRPr="00CF5D64">
        <w:rPr>
          <w:b/>
          <w:sz w:val="24"/>
          <w:szCs w:val="24"/>
        </w:rPr>
        <w:t>raviditet og amning</w:t>
      </w:r>
    </w:p>
    <w:p w:rsidR="0096791F" w:rsidRPr="00373BB7" w:rsidRDefault="0096791F" w:rsidP="0096791F">
      <w:pPr>
        <w:ind w:left="851"/>
        <w:rPr>
          <w:noProof/>
          <w:sz w:val="24"/>
          <w:szCs w:val="24"/>
          <w:u w:val="single"/>
        </w:rPr>
      </w:pPr>
      <w:r w:rsidRPr="00373BB7">
        <w:rPr>
          <w:noProof/>
          <w:sz w:val="24"/>
          <w:szCs w:val="24"/>
          <w:u w:val="single"/>
        </w:rPr>
        <w:t>Fertilitet</w:t>
      </w:r>
    </w:p>
    <w:p w:rsidR="0096791F" w:rsidRPr="00CF5D64" w:rsidRDefault="0096791F" w:rsidP="0096791F">
      <w:pPr>
        <w:ind w:left="851"/>
        <w:rPr>
          <w:noProof/>
          <w:sz w:val="24"/>
          <w:szCs w:val="24"/>
        </w:rPr>
      </w:pPr>
      <w:r w:rsidRPr="00CF5D64">
        <w:rPr>
          <w:noProof/>
          <w:sz w:val="24"/>
          <w:szCs w:val="24"/>
        </w:rPr>
        <w:t>Der er ikke udført fertilitetsstudier hos mennesker. Efter oral administration hos rotter blev der observeret et reduceret fertilitetsindex (se pkt. 5.3). Disse dyredata er af ubetydelig klinisk relevans på grund af ringe systemisk eksponering af ciclopirox efter terapeutisk behandling med Onytec.</w:t>
      </w:r>
    </w:p>
    <w:p w:rsidR="0096791F" w:rsidRPr="00CF5D64" w:rsidRDefault="0096791F" w:rsidP="0096791F">
      <w:pPr>
        <w:ind w:left="851"/>
        <w:rPr>
          <w:noProof/>
          <w:sz w:val="24"/>
          <w:szCs w:val="24"/>
        </w:rPr>
      </w:pPr>
    </w:p>
    <w:p w:rsidR="0096791F" w:rsidRPr="00373BB7" w:rsidRDefault="0096791F" w:rsidP="0096791F">
      <w:pPr>
        <w:ind w:left="851"/>
        <w:rPr>
          <w:noProof/>
          <w:sz w:val="24"/>
          <w:szCs w:val="24"/>
          <w:u w:val="single"/>
        </w:rPr>
      </w:pPr>
      <w:r w:rsidRPr="00373BB7">
        <w:rPr>
          <w:noProof/>
          <w:sz w:val="24"/>
          <w:szCs w:val="24"/>
          <w:u w:val="single"/>
        </w:rPr>
        <w:t>Graviditet</w:t>
      </w:r>
    </w:p>
    <w:p w:rsidR="0096791F" w:rsidRPr="00CF5D64" w:rsidRDefault="0096791F" w:rsidP="0096791F">
      <w:pPr>
        <w:ind w:left="851"/>
        <w:rPr>
          <w:noProof/>
          <w:sz w:val="24"/>
          <w:szCs w:val="24"/>
        </w:rPr>
      </w:pPr>
      <w:r w:rsidRPr="00CF5D64">
        <w:rPr>
          <w:noProof/>
          <w:sz w:val="24"/>
          <w:szCs w:val="24"/>
        </w:rPr>
        <w:t xml:space="preserve">Der findes ingen data for gravide kvinder, som har fået ciclopirox. Dyrestudier har ikke vist direkte eller indirekte skadelig effekt på graviditet, embryonaludvikling, udvikling af fosteret og/eller fødslen. </w:t>
      </w:r>
      <w:r>
        <w:rPr>
          <w:noProof/>
          <w:sz w:val="24"/>
          <w:szCs w:val="24"/>
        </w:rPr>
        <w:t>D</w:t>
      </w:r>
      <w:r w:rsidRPr="00CF5D64">
        <w:rPr>
          <w:noProof/>
          <w:sz w:val="24"/>
          <w:szCs w:val="24"/>
        </w:rPr>
        <w:t>er er ikke tilstrækkelige data for mulig langtidspåvirkning af den postnatale udvikling (se pkt. 5.3). Da den systemiske eksponering  af ciclipirox er ubetydelig, kan brug af Onytec neglelak under graviditet overvejes, hvis det er nødvendigt.</w:t>
      </w:r>
    </w:p>
    <w:p w:rsidR="0096791F" w:rsidRPr="00CF5D64" w:rsidRDefault="0096791F" w:rsidP="0096791F">
      <w:pPr>
        <w:ind w:left="851"/>
        <w:rPr>
          <w:noProof/>
          <w:sz w:val="24"/>
          <w:szCs w:val="24"/>
        </w:rPr>
      </w:pPr>
    </w:p>
    <w:p w:rsidR="0096791F" w:rsidRPr="00373BB7" w:rsidRDefault="0096791F" w:rsidP="0096791F">
      <w:pPr>
        <w:ind w:left="851"/>
        <w:rPr>
          <w:noProof/>
          <w:sz w:val="24"/>
          <w:szCs w:val="24"/>
          <w:u w:val="single"/>
        </w:rPr>
      </w:pPr>
      <w:r w:rsidRPr="00373BB7">
        <w:rPr>
          <w:noProof/>
          <w:sz w:val="24"/>
          <w:szCs w:val="24"/>
          <w:u w:val="single"/>
        </w:rPr>
        <w:t>Amning</w:t>
      </w:r>
    </w:p>
    <w:p w:rsidR="0096791F" w:rsidRPr="00CF5D64" w:rsidRDefault="0096791F" w:rsidP="0096791F">
      <w:pPr>
        <w:ind w:left="851"/>
        <w:rPr>
          <w:noProof/>
          <w:sz w:val="24"/>
          <w:szCs w:val="24"/>
        </w:rPr>
      </w:pPr>
      <w:r w:rsidRPr="00CF5D64">
        <w:rPr>
          <w:noProof/>
          <w:sz w:val="24"/>
          <w:szCs w:val="24"/>
        </w:rPr>
        <w:t>Det er ukendt</w:t>
      </w:r>
      <w:r>
        <w:rPr>
          <w:noProof/>
          <w:sz w:val="24"/>
          <w:szCs w:val="24"/>
        </w:rPr>
        <w:t>,</w:t>
      </w:r>
      <w:r w:rsidRPr="00CF5D64">
        <w:rPr>
          <w:noProof/>
          <w:sz w:val="24"/>
          <w:szCs w:val="24"/>
        </w:rPr>
        <w:t xml:space="preserve"> om ciclopirox eller dets metabolitter udskilles i modermælk, men ved terapeutiske doser af Onytec neglelak forudses ingen påvirkning af nyfødte/spædbørn. </w:t>
      </w:r>
    </w:p>
    <w:p w:rsidR="0096791F" w:rsidRPr="00CF5D64" w:rsidRDefault="0096791F" w:rsidP="0096791F">
      <w:pPr>
        <w:tabs>
          <w:tab w:val="left" w:pos="851"/>
        </w:tabs>
        <w:ind w:left="851"/>
        <w:rPr>
          <w:sz w:val="24"/>
          <w:szCs w:val="24"/>
        </w:rPr>
      </w:pPr>
    </w:p>
    <w:p w:rsidR="0096791F" w:rsidRPr="00CF5D64" w:rsidRDefault="0096791F" w:rsidP="0096791F">
      <w:pPr>
        <w:numPr>
          <w:ilvl w:val="1"/>
          <w:numId w:val="1"/>
        </w:numPr>
        <w:rPr>
          <w:b/>
          <w:sz w:val="24"/>
          <w:szCs w:val="24"/>
        </w:rPr>
      </w:pPr>
      <w:r w:rsidRPr="00CF5D64">
        <w:rPr>
          <w:b/>
          <w:sz w:val="24"/>
          <w:szCs w:val="24"/>
        </w:rPr>
        <w:t xml:space="preserve">Virkning på evnen til at føre motorkøretøj </w:t>
      </w:r>
      <w:r w:rsidR="00D5453A">
        <w:rPr>
          <w:b/>
          <w:sz w:val="24"/>
          <w:szCs w:val="24"/>
        </w:rPr>
        <w:t xml:space="preserve">og </w:t>
      </w:r>
      <w:r w:rsidRPr="00CF5D64">
        <w:rPr>
          <w:b/>
          <w:sz w:val="24"/>
          <w:szCs w:val="24"/>
        </w:rPr>
        <w:t>betjene maskiner</w:t>
      </w:r>
    </w:p>
    <w:p w:rsidR="0096791F" w:rsidRPr="00CF5D64" w:rsidRDefault="0096791F" w:rsidP="0096791F">
      <w:pPr>
        <w:ind w:left="851"/>
        <w:rPr>
          <w:sz w:val="24"/>
          <w:szCs w:val="24"/>
        </w:rPr>
      </w:pPr>
      <w:proofErr w:type="spellStart"/>
      <w:r w:rsidRPr="00CF5D64">
        <w:rPr>
          <w:sz w:val="24"/>
          <w:szCs w:val="24"/>
        </w:rPr>
        <w:t>Onytec</w:t>
      </w:r>
      <w:proofErr w:type="spellEnd"/>
      <w:r w:rsidRPr="00CF5D64">
        <w:rPr>
          <w:sz w:val="24"/>
          <w:szCs w:val="24"/>
        </w:rPr>
        <w:t xml:space="preserve"> påvirker ikke evnen til at føre motorkøretøj eller betjene maskiner.</w:t>
      </w:r>
    </w:p>
    <w:p w:rsidR="0096791F" w:rsidRPr="00CF5D64" w:rsidRDefault="0096791F" w:rsidP="0096791F">
      <w:pPr>
        <w:tabs>
          <w:tab w:val="left" w:pos="851"/>
        </w:tabs>
        <w:ind w:left="851"/>
        <w:rPr>
          <w:sz w:val="24"/>
          <w:szCs w:val="24"/>
        </w:rPr>
      </w:pPr>
    </w:p>
    <w:p w:rsidR="0096791F" w:rsidRPr="00CF5D64" w:rsidRDefault="0096791F" w:rsidP="0096791F">
      <w:pPr>
        <w:numPr>
          <w:ilvl w:val="1"/>
          <w:numId w:val="1"/>
        </w:numPr>
        <w:rPr>
          <w:b/>
          <w:sz w:val="24"/>
          <w:szCs w:val="24"/>
        </w:rPr>
      </w:pPr>
      <w:r w:rsidRPr="00CF5D64">
        <w:rPr>
          <w:b/>
          <w:sz w:val="24"/>
          <w:szCs w:val="24"/>
        </w:rPr>
        <w:t>Bivirkninger</w:t>
      </w:r>
    </w:p>
    <w:p w:rsidR="0096791F" w:rsidRPr="00CF5D64" w:rsidRDefault="0096791F" w:rsidP="0096791F">
      <w:pPr>
        <w:ind w:left="851"/>
        <w:rPr>
          <w:sz w:val="24"/>
          <w:szCs w:val="24"/>
        </w:rPr>
      </w:pPr>
      <w:r w:rsidRPr="00CF5D64">
        <w:rPr>
          <w:sz w:val="24"/>
          <w:szCs w:val="24"/>
        </w:rPr>
        <w:t>Følgende sætninger anvendes til at beskrive hyppighed i forekomst af bivirkninger:</w:t>
      </w:r>
    </w:p>
    <w:p w:rsidR="0096791F" w:rsidRPr="00CF5D64" w:rsidRDefault="0096791F" w:rsidP="0096791F">
      <w:pPr>
        <w:ind w:left="851"/>
        <w:rPr>
          <w:sz w:val="24"/>
          <w:szCs w:val="24"/>
        </w:rPr>
      </w:pPr>
    </w:p>
    <w:p w:rsidR="0096791F" w:rsidRPr="00CF5D64" w:rsidRDefault="0096791F" w:rsidP="0096791F">
      <w:pPr>
        <w:ind w:left="851"/>
        <w:rPr>
          <w:sz w:val="24"/>
          <w:szCs w:val="24"/>
        </w:rPr>
      </w:pPr>
      <w:r w:rsidRPr="00CF5D64">
        <w:rPr>
          <w:sz w:val="24"/>
          <w:szCs w:val="24"/>
        </w:rPr>
        <w:lastRenderedPageBreak/>
        <w:t>Meget almindelig (</w:t>
      </w:r>
      <w:r w:rsidRPr="00CF5D64">
        <w:rPr>
          <w:rFonts w:ascii="Symbol" w:hAnsi="Symbol"/>
          <w:sz w:val="24"/>
          <w:szCs w:val="24"/>
        </w:rPr>
        <w:t></w:t>
      </w:r>
      <w:r w:rsidRPr="00CF5D64">
        <w:rPr>
          <w:sz w:val="24"/>
          <w:szCs w:val="24"/>
        </w:rPr>
        <w:t>1/10), almindelig (</w:t>
      </w:r>
      <w:r w:rsidRPr="00CF5D64">
        <w:rPr>
          <w:rFonts w:ascii="Symbol" w:hAnsi="Symbol"/>
          <w:sz w:val="24"/>
          <w:szCs w:val="24"/>
        </w:rPr>
        <w:t></w:t>
      </w:r>
      <w:r w:rsidRPr="00CF5D64">
        <w:rPr>
          <w:sz w:val="24"/>
          <w:szCs w:val="24"/>
        </w:rPr>
        <w:t>1/100 til &lt;1/10),</w:t>
      </w:r>
      <w:r w:rsidRPr="00CF5D64" w:rsidDel="00393489">
        <w:rPr>
          <w:i/>
          <w:sz w:val="24"/>
          <w:szCs w:val="24"/>
        </w:rPr>
        <w:t xml:space="preserve"> </w:t>
      </w:r>
      <w:r w:rsidRPr="00CF5D64">
        <w:rPr>
          <w:sz w:val="24"/>
          <w:szCs w:val="24"/>
        </w:rPr>
        <w:t>ikke almindelig (</w:t>
      </w:r>
      <w:r w:rsidRPr="00CF5D64">
        <w:rPr>
          <w:rFonts w:ascii="Symbol" w:hAnsi="Symbol"/>
          <w:sz w:val="24"/>
          <w:szCs w:val="24"/>
        </w:rPr>
        <w:t></w:t>
      </w:r>
      <w:r w:rsidRPr="00CF5D64">
        <w:rPr>
          <w:sz w:val="24"/>
          <w:szCs w:val="24"/>
        </w:rPr>
        <w:t xml:space="preserve">1/1.000 til </w:t>
      </w:r>
      <w:r w:rsidRPr="00CF5D64">
        <w:rPr>
          <w:rFonts w:ascii="Symbol" w:hAnsi="Symbol"/>
          <w:sz w:val="24"/>
          <w:szCs w:val="24"/>
        </w:rPr>
        <w:t></w:t>
      </w:r>
      <w:r w:rsidRPr="00CF5D64">
        <w:rPr>
          <w:sz w:val="24"/>
          <w:szCs w:val="24"/>
        </w:rPr>
        <w:t>1/100),</w:t>
      </w:r>
      <w:r w:rsidRPr="00CF5D64" w:rsidDel="00393489">
        <w:rPr>
          <w:i/>
          <w:sz w:val="24"/>
          <w:szCs w:val="24"/>
        </w:rPr>
        <w:t xml:space="preserve"> </w:t>
      </w:r>
      <w:r w:rsidRPr="00CF5D64">
        <w:rPr>
          <w:sz w:val="24"/>
          <w:szCs w:val="24"/>
        </w:rPr>
        <w:t>sjælden (</w:t>
      </w:r>
      <w:r w:rsidRPr="00CF5D64">
        <w:rPr>
          <w:rFonts w:ascii="Symbol" w:hAnsi="Symbol"/>
          <w:sz w:val="24"/>
          <w:szCs w:val="24"/>
        </w:rPr>
        <w:t></w:t>
      </w:r>
      <w:r w:rsidRPr="00CF5D64">
        <w:rPr>
          <w:sz w:val="24"/>
          <w:szCs w:val="24"/>
        </w:rPr>
        <w:t xml:space="preserve">1/10.000 til </w:t>
      </w:r>
      <w:r w:rsidRPr="00CF5D64">
        <w:rPr>
          <w:rFonts w:ascii="Symbol" w:hAnsi="Symbol"/>
          <w:sz w:val="24"/>
          <w:szCs w:val="24"/>
        </w:rPr>
        <w:t></w:t>
      </w:r>
      <w:r w:rsidRPr="00CF5D64">
        <w:rPr>
          <w:sz w:val="24"/>
          <w:szCs w:val="24"/>
        </w:rPr>
        <w:t>1/1.000), meget sjælden (</w:t>
      </w:r>
      <w:r w:rsidRPr="00CF5D64">
        <w:rPr>
          <w:rFonts w:ascii="Symbol" w:hAnsi="Symbol"/>
          <w:sz w:val="24"/>
          <w:szCs w:val="24"/>
        </w:rPr>
        <w:t></w:t>
      </w:r>
      <w:r w:rsidRPr="00CF5D64">
        <w:rPr>
          <w:sz w:val="24"/>
          <w:szCs w:val="24"/>
        </w:rPr>
        <w:t>1/10.000), ikke kendt (kan ikke estimeres ud fra forhåndenværende data).</w:t>
      </w:r>
    </w:p>
    <w:p w:rsidR="0096791F" w:rsidRPr="00CF5D64" w:rsidRDefault="0096791F" w:rsidP="0096791F">
      <w:pPr>
        <w:ind w:left="851"/>
        <w:rPr>
          <w:sz w:val="24"/>
          <w:szCs w:val="24"/>
        </w:rPr>
      </w:pPr>
    </w:p>
    <w:p w:rsidR="0096791F" w:rsidRPr="00A205C2" w:rsidRDefault="0096791F" w:rsidP="0096791F">
      <w:pPr>
        <w:ind w:left="851"/>
        <w:rPr>
          <w:sz w:val="24"/>
          <w:szCs w:val="24"/>
        </w:rPr>
      </w:pPr>
      <w:r w:rsidRPr="00A205C2">
        <w:rPr>
          <w:sz w:val="24"/>
          <w:szCs w:val="24"/>
        </w:rPr>
        <w:t>Alment udbredte bivirkninger og forhold på applikationsstedet:</w:t>
      </w:r>
      <w:r w:rsidRPr="00A205C2">
        <w:rPr>
          <w:i/>
          <w:sz w:val="24"/>
          <w:szCs w:val="24"/>
        </w:rPr>
        <w:t xml:space="preserve"> </w:t>
      </w:r>
    </w:p>
    <w:p w:rsidR="0096791F" w:rsidRPr="00A205C2" w:rsidRDefault="0096791F" w:rsidP="0096791F">
      <w:pPr>
        <w:ind w:left="851"/>
        <w:rPr>
          <w:noProof/>
          <w:sz w:val="24"/>
          <w:szCs w:val="24"/>
        </w:rPr>
      </w:pPr>
    </w:p>
    <w:p w:rsidR="0096791F" w:rsidRDefault="0096791F" w:rsidP="0096791F">
      <w:pPr>
        <w:ind w:left="851"/>
        <w:rPr>
          <w:noProof/>
          <w:sz w:val="24"/>
          <w:szCs w:val="24"/>
        </w:rPr>
      </w:pPr>
      <w:r w:rsidRPr="00A205C2">
        <w:rPr>
          <w:noProof/>
          <w:sz w:val="24"/>
          <w:szCs w:val="24"/>
        </w:rPr>
        <w:t>Meget sjældne: erythem, afskælning, brænden og kløen på applikationsstedet.</w:t>
      </w:r>
    </w:p>
    <w:p w:rsidR="0096791F" w:rsidRDefault="0096791F" w:rsidP="0096791F">
      <w:pPr>
        <w:ind w:left="851"/>
        <w:rPr>
          <w:noProof/>
          <w:sz w:val="24"/>
          <w:szCs w:val="24"/>
        </w:rPr>
      </w:pPr>
    </w:p>
    <w:p w:rsidR="0096791F" w:rsidRDefault="0096791F" w:rsidP="0096791F">
      <w:pPr>
        <w:ind w:left="851"/>
        <w:rPr>
          <w:noProof/>
          <w:sz w:val="24"/>
          <w:szCs w:val="24"/>
        </w:rPr>
      </w:pPr>
      <w:r>
        <w:rPr>
          <w:noProof/>
          <w:sz w:val="24"/>
          <w:szCs w:val="24"/>
        </w:rPr>
        <w:t>Ikke kendt: udslæt, eksem, allergisk dermatitis, også udover applikationsstedet.</w:t>
      </w:r>
    </w:p>
    <w:p w:rsidR="0096791F" w:rsidRDefault="0096791F" w:rsidP="0096791F">
      <w:pPr>
        <w:ind w:left="851"/>
        <w:rPr>
          <w:noProof/>
          <w:sz w:val="24"/>
          <w:szCs w:val="24"/>
        </w:rPr>
      </w:pPr>
    </w:p>
    <w:p w:rsidR="0096791F" w:rsidRPr="00A205C2" w:rsidRDefault="0096791F" w:rsidP="0096791F">
      <w:pPr>
        <w:ind w:left="851"/>
        <w:rPr>
          <w:noProof/>
          <w:sz w:val="24"/>
          <w:szCs w:val="24"/>
        </w:rPr>
      </w:pPr>
      <w:r>
        <w:rPr>
          <w:noProof/>
          <w:sz w:val="24"/>
          <w:szCs w:val="24"/>
        </w:rPr>
        <w:t xml:space="preserve">(Forbigående) misfarvning af negle (denne </w:t>
      </w:r>
      <w:r>
        <w:rPr>
          <w:sz w:val="24"/>
          <w:szCs w:val="24"/>
        </w:rPr>
        <w:t xml:space="preserve">reaktion </w:t>
      </w:r>
      <w:r>
        <w:rPr>
          <w:noProof/>
          <w:sz w:val="24"/>
          <w:szCs w:val="24"/>
        </w:rPr>
        <w:t xml:space="preserve">kan også tilskrives selve </w:t>
      </w:r>
      <w:proofErr w:type="spellStart"/>
      <w:r>
        <w:rPr>
          <w:sz w:val="24"/>
          <w:szCs w:val="24"/>
        </w:rPr>
        <w:t>onychomycosisen</w:t>
      </w:r>
      <w:proofErr w:type="spellEnd"/>
      <w:r>
        <w:rPr>
          <w:sz w:val="24"/>
          <w:szCs w:val="24"/>
        </w:rPr>
        <w:t>).</w:t>
      </w:r>
    </w:p>
    <w:p w:rsidR="0096791F" w:rsidRPr="00D5453A" w:rsidRDefault="0096791F" w:rsidP="0096791F">
      <w:pPr>
        <w:ind w:left="851"/>
        <w:rPr>
          <w:noProof/>
          <w:sz w:val="24"/>
          <w:szCs w:val="24"/>
        </w:rPr>
      </w:pPr>
    </w:p>
    <w:p w:rsidR="0096791F" w:rsidRPr="00D5453A" w:rsidRDefault="0096791F" w:rsidP="0096791F">
      <w:pPr>
        <w:autoSpaceDE w:val="0"/>
        <w:autoSpaceDN w:val="0"/>
        <w:ind w:left="851"/>
        <w:rPr>
          <w:sz w:val="24"/>
          <w:szCs w:val="24"/>
          <w:u w:val="single"/>
          <w:lang w:eastAsia="da-DK"/>
        </w:rPr>
      </w:pPr>
      <w:r w:rsidRPr="00D5453A">
        <w:rPr>
          <w:sz w:val="24"/>
          <w:szCs w:val="24"/>
          <w:u w:val="single"/>
        </w:rPr>
        <w:t>Indberetning af formodede bivirkninger</w:t>
      </w:r>
    </w:p>
    <w:p w:rsidR="0096791F" w:rsidRPr="00D5453A" w:rsidRDefault="0096791F" w:rsidP="0096791F">
      <w:pPr>
        <w:ind w:left="851"/>
        <w:rPr>
          <w:sz w:val="24"/>
          <w:szCs w:val="24"/>
        </w:rPr>
      </w:pPr>
      <w:r w:rsidRPr="00D5453A">
        <w:rPr>
          <w:sz w:val="24"/>
          <w:szCs w:val="24"/>
        </w:rPr>
        <w:t>Når lægemidlet er godkendt, er indberetning af formodede bivirkninger vigtig. Det muliggør løbende overvågning af benefit/</w:t>
      </w:r>
      <w:proofErr w:type="spellStart"/>
      <w:r w:rsidRPr="00D5453A">
        <w:rPr>
          <w:sz w:val="24"/>
          <w:szCs w:val="24"/>
        </w:rPr>
        <w:t>risk</w:t>
      </w:r>
      <w:proofErr w:type="spellEnd"/>
      <w:r w:rsidRPr="00D5453A">
        <w:rPr>
          <w:sz w:val="24"/>
          <w:szCs w:val="24"/>
        </w:rPr>
        <w:t xml:space="preserve">-forholdet for lægemidlet. </w:t>
      </w:r>
      <w:r w:rsidR="00026457" w:rsidRPr="00D5453A">
        <w:rPr>
          <w:sz w:val="24"/>
          <w:szCs w:val="24"/>
        </w:rPr>
        <w:t>S</w:t>
      </w:r>
      <w:r w:rsidRPr="00D5453A">
        <w:rPr>
          <w:sz w:val="24"/>
          <w:szCs w:val="24"/>
        </w:rPr>
        <w:t>undhedsperson</w:t>
      </w:r>
      <w:r w:rsidR="00026457" w:rsidRPr="00D5453A">
        <w:rPr>
          <w:sz w:val="24"/>
          <w:szCs w:val="24"/>
        </w:rPr>
        <w:t>er</w:t>
      </w:r>
      <w:r w:rsidRPr="00D5453A">
        <w:rPr>
          <w:sz w:val="24"/>
          <w:szCs w:val="24"/>
        </w:rPr>
        <w:t xml:space="preserve"> anmodes om at indberette alle formodede bivirkninger via:</w:t>
      </w:r>
    </w:p>
    <w:p w:rsidR="0096791F" w:rsidRPr="00D5453A" w:rsidRDefault="0096791F" w:rsidP="0096791F">
      <w:pPr>
        <w:ind w:left="851"/>
        <w:rPr>
          <w:sz w:val="24"/>
          <w:szCs w:val="24"/>
        </w:rPr>
      </w:pPr>
    </w:p>
    <w:p w:rsidR="0096791F" w:rsidRPr="00D5453A" w:rsidRDefault="0096791F" w:rsidP="0096791F">
      <w:pPr>
        <w:ind w:left="851"/>
        <w:rPr>
          <w:sz w:val="24"/>
          <w:szCs w:val="24"/>
        </w:rPr>
      </w:pPr>
      <w:r w:rsidRPr="00D5453A">
        <w:rPr>
          <w:sz w:val="24"/>
          <w:szCs w:val="24"/>
        </w:rPr>
        <w:t>Lægemiddelstyrelsen</w:t>
      </w:r>
    </w:p>
    <w:p w:rsidR="0096791F" w:rsidRPr="00D5453A" w:rsidRDefault="0096791F" w:rsidP="0096791F">
      <w:pPr>
        <w:ind w:left="851"/>
        <w:rPr>
          <w:sz w:val="24"/>
          <w:szCs w:val="24"/>
        </w:rPr>
      </w:pPr>
      <w:r w:rsidRPr="00D5453A">
        <w:rPr>
          <w:sz w:val="24"/>
          <w:szCs w:val="24"/>
        </w:rPr>
        <w:t>Axel Heides Gade 1</w:t>
      </w:r>
    </w:p>
    <w:p w:rsidR="0096791F" w:rsidRPr="00D5453A" w:rsidRDefault="0096791F" w:rsidP="0096791F">
      <w:pPr>
        <w:ind w:left="851"/>
        <w:rPr>
          <w:sz w:val="24"/>
          <w:szCs w:val="24"/>
        </w:rPr>
      </w:pPr>
      <w:r w:rsidRPr="00D5453A">
        <w:rPr>
          <w:sz w:val="24"/>
          <w:szCs w:val="24"/>
        </w:rPr>
        <w:t>DK-2300 København S</w:t>
      </w:r>
    </w:p>
    <w:p w:rsidR="0096791F" w:rsidRPr="00D5453A" w:rsidRDefault="0096791F" w:rsidP="00026457">
      <w:pPr>
        <w:ind w:left="851"/>
        <w:rPr>
          <w:sz w:val="24"/>
          <w:szCs w:val="24"/>
        </w:rPr>
      </w:pPr>
      <w:r w:rsidRPr="00D5453A">
        <w:rPr>
          <w:sz w:val="24"/>
          <w:szCs w:val="24"/>
        </w:rPr>
        <w:t xml:space="preserve">Websted: </w:t>
      </w:r>
      <w:hyperlink r:id="rId8" w:history="1">
        <w:r w:rsidRPr="00D5453A">
          <w:rPr>
            <w:rStyle w:val="Hyperlink"/>
            <w:sz w:val="24"/>
            <w:szCs w:val="24"/>
          </w:rPr>
          <w:t>www.meldenbivirkning.dk</w:t>
        </w:r>
      </w:hyperlink>
    </w:p>
    <w:p w:rsidR="0096791F" w:rsidRPr="00D5453A" w:rsidRDefault="0096791F" w:rsidP="0096791F">
      <w:pPr>
        <w:pStyle w:val="Sidehoved"/>
        <w:tabs>
          <w:tab w:val="left" w:pos="851"/>
        </w:tabs>
        <w:ind w:left="851"/>
        <w:rPr>
          <w:szCs w:val="24"/>
        </w:rPr>
      </w:pPr>
    </w:p>
    <w:p w:rsidR="0096791F" w:rsidRPr="00CF5D64" w:rsidRDefault="0096791F" w:rsidP="0096791F">
      <w:pPr>
        <w:numPr>
          <w:ilvl w:val="1"/>
          <w:numId w:val="1"/>
        </w:numPr>
        <w:rPr>
          <w:b/>
          <w:sz w:val="24"/>
          <w:szCs w:val="24"/>
        </w:rPr>
      </w:pPr>
      <w:r w:rsidRPr="00CF5D64">
        <w:rPr>
          <w:b/>
          <w:sz w:val="24"/>
          <w:szCs w:val="24"/>
        </w:rPr>
        <w:t>Overdosering</w:t>
      </w:r>
    </w:p>
    <w:p w:rsidR="0096791F" w:rsidRPr="00CF5D64" w:rsidRDefault="0096791F" w:rsidP="0096791F">
      <w:pPr>
        <w:ind w:left="851"/>
        <w:rPr>
          <w:noProof/>
          <w:sz w:val="24"/>
          <w:szCs w:val="24"/>
        </w:rPr>
      </w:pPr>
      <w:r w:rsidRPr="00CF5D64">
        <w:rPr>
          <w:noProof/>
          <w:sz w:val="24"/>
          <w:szCs w:val="24"/>
        </w:rPr>
        <w:t xml:space="preserve">Onytec er til </w:t>
      </w:r>
      <w:r>
        <w:rPr>
          <w:noProof/>
          <w:sz w:val="24"/>
          <w:szCs w:val="24"/>
        </w:rPr>
        <w:t>topikal anvendelse</w:t>
      </w:r>
      <w:r w:rsidRPr="00CF5D64">
        <w:rPr>
          <w:noProof/>
          <w:sz w:val="24"/>
          <w:szCs w:val="24"/>
        </w:rPr>
        <w:t>. Der er ikke rapporteret overdosering ved anvendelse af dette produkt. I tilfælde af utilsigtet oral indtagelse kan en egnet metode til ventrikeltømning bruges.</w:t>
      </w:r>
    </w:p>
    <w:p w:rsidR="0096791F" w:rsidRPr="00CF5D64" w:rsidRDefault="0096791F" w:rsidP="0096791F">
      <w:pPr>
        <w:tabs>
          <w:tab w:val="left" w:pos="851"/>
        </w:tabs>
        <w:rPr>
          <w:sz w:val="24"/>
          <w:szCs w:val="24"/>
        </w:rPr>
      </w:pPr>
    </w:p>
    <w:p w:rsidR="0096791F" w:rsidRPr="00CF5D64" w:rsidRDefault="0096791F" w:rsidP="0096791F">
      <w:pPr>
        <w:numPr>
          <w:ilvl w:val="1"/>
          <w:numId w:val="1"/>
        </w:numPr>
        <w:rPr>
          <w:b/>
          <w:sz w:val="24"/>
          <w:szCs w:val="24"/>
        </w:rPr>
      </w:pPr>
      <w:r w:rsidRPr="00CF5D64">
        <w:rPr>
          <w:b/>
          <w:sz w:val="24"/>
          <w:szCs w:val="24"/>
        </w:rPr>
        <w:t>Udlevering</w:t>
      </w:r>
    </w:p>
    <w:p w:rsidR="0096791F" w:rsidRDefault="0096791F" w:rsidP="0096791F">
      <w:pPr>
        <w:tabs>
          <w:tab w:val="left" w:pos="851"/>
        </w:tabs>
        <w:ind w:left="855"/>
        <w:rPr>
          <w:sz w:val="24"/>
          <w:szCs w:val="24"/>
        </w:rPr>
      </w:pPr>
      <w:r>
        <w:rPr>
          <w:sz w:val="24"/>
          <w:szCs w:val="24"/>
        </w:rPr>
        <w:t>HA: Pakningsstørrelse 3,3 ml</w:t>
      </w:r>
    </w:p>
    <w:p w:rsidR="0096791F" w:rsidRDefault="0096791F" w:rsidP="0096791F">
      <w:pPr>
        <w:tabs>
          <w:tab w:val="left" w:pos="851"/>
        </w:tabs>
        <w:ind w:left="855"/>
        <w:rPr>
          <w:sz w:val="24"/>
          <w:szCs w:val="24"/>
        </w:rPr>
      </w:pPr>
      <w:r>
        <w:rPr>
          <w:sz w:val="24"/>
          <w:szCs w:val="24"/>
        </w:rPr>
        <w:t>B: Pakningsstørrelse 6,6 ml</w:t>
      </w:r>
    </w:p>
    <w:p w:rsidR="0096791F" w:rsidRPr="00CF5D64" w:rsidRDefault="0096791F" w:rsidP="0096791F">
      <w:pPr>
        <w:tabs>
          <w:tab w:val="left" w:pos="851"/>
        </w:tabs>
        <w:ind w:left="851" w:hanging="851"/>
        <w:rPr>
          <w:sz w:val="24"/>
          <w:szCs w:val="24"/>
        </w:rPr>
      </w:pPr>
    </w:p>
    <w:p w:rsidR="0096791F" w:rsidRPr="00CF5D64" w:rsidRDefault="0096791F" w:rsidP="0096791F">
      <w:pPr>
        <w:tabs>
          <w:tab w:val="left" w:pos="851"/>
        </w:tabs>
        <w:rPr>
          <w:sz w:val="24"/>
          <w:szCs w:val="24"/>
        </w:rPr>
      </w:pPr>
    </w:p>
    <w:p w:rsidR="0096791F" w:rsidRPr="00CF5D64" w:rsidRDefault="0096791F" w:rsidP="0096791F">
      <w:pPr>
        <w:numPr>
          <w:ilvl w:val="0"/>
          <w:numId w:val="1"/>
        </w:numPr>
        <w:rPr>
          <w:b/>
          <w:sz w:val="24"/>
          <w:szCs w:val="24"/>
        </w:rPr>
      </w:pPr>
      <w:r w:rsidRPr="00CF5D64">
        <w:rPr>
          <w:b/>
          <w:sz w:val="24"/>
          <w:szCs w:val="24"/>
        </w:rPr>
        <w:t>FARMAKOLOGISKE EGENSKABER</w:t>
      </w:r>
    </w:p>
    <w:p w:rsidR="0096791F" w:rsidRPr="00CF5D64" w:rsidRDefault="0096791F" w:rsidP="0096791F">
      <w:pPr>
        <w:tabs>
          <w:tab w:val="left" w:pos="851"/>
        </w:tabs>
        <w:rPr>
          <w:sz w:val="24"/>
          <w:szCs w:val="24"/>
        </w:rPr>
      </w:pPr>
    </w:p>
    <w:p w:rsidR="0096791F" w:rsidRPr="00CF5D64" w:rsidRDefault="0096791F" w:rsidP="0096791F">
      <w:pPr>
        <w:numPr>
          <w:ilvl w:val="1"/>
          <w:numId w:val="2"/>
        </w:numPr>
        <w:tabs>
          <w:tab w:val="num" w:pos="851"/>
        </w:tabs>
        <w:ind w:left="851" w:hanging="851"/>
        <w:rPr>
          <w:b/>
          <w:sz w:val="24"/>
          <w:szCs w:val="24"/>
        </w:rPr>
      </w:pPr>
      <w:proofErr w:type="spellStart"/>
      <w:r w:rsidRPr="00CF5D64">
        <w:rPr>
          <w:b/>
          <w:sz w:val="24"/>
          <w:szCs w:val="24"/>
        </w:rPr>
        <w:t>Farmakodynamiske</w:t>
      </w:r>
      <w:proofErr w:type="spellEnd"/>
      <w:r w:rsidRPr="00CF5D64">
        <w:rPr>
          <w:b/>
          <w:sz w:val="24"/>
          <w:szCs w:val="24"/>
        </w:rPr>
        <w:t xml:space="preserve"> egenskaber</w:t>
      </w:r>
    </w:p>
    <w:p w:rsidR="00D5453A" w:rsidRDefault="00D5453A" w:rsidP="00D5453A">
      <w:pPr>
        <w:ind w:left="855"/>
        <w:rPr>
          <w:noProof/>
          <w:sz w:val="24"/>
          <w:szCs w:val="24"/>
        </w:rPr>
      </w:pPr>
      <w:proofErr w:type="spellStart"/>
      <w:r>
        <w:rPr>
          <w:sz w:val="24"/>
          <w:szCs w:val="24"/>
        </w:rPr>
        <w:t>Farmakot</w:t>
      </w:r>
      <w:r w:rsidRPr="00D5453A">
        <w:rPr>
          <w:sz w:val="24"/>
          <w:szCs w:val="24"/>
        </w:rPr>
        <w:t>erapeutisk</w:t>
      </w:r>
      <w:proofErr w:type="spellEnd"/>
      <w:r w:rsidRPr="00D5453A">
        <w:rPr>
          <w:sz w:val="24"/>
          <w:szCs w:val="24"/>
        </w:rPr>
        <w:t xml:space="preserve"> klassifikation</w:t>
      </w:r>
      <w:r>
        <w:rPr>
          <w:sz w:val="24"/>
          <w:szCs w:val="24"/>
        </w:rPr>
        <w:t xml:space="preserve">: </w:t>
      </w:r>
      <w:r w:rsidRPr="00663FB0">
        <w:rPr>
          <w:sz w:val="24"/>
          <w:szCs w:val="24"/>
        </w:rPr>
        <w:t>Fungicider til dermatologisk brug; Andre fungicider til udvortes brug.</w:t>
      </w:r>
      <w:r>
        <w:rPr>
          <w:sz w:val="24"/>
          <w:szCs w:val="24"/>
        </w:rPr>
        <w:t xml:space="preserve"> </w:t>
      </w:r>
      <w:r w:rsidRPr="00663FB0">
        <w:rPr>
          <w:sz w:val="24"/>
          <w:szCs w:val="24"/>
        </w:rPr>
        <w:t>ATC-kode: D 01 AE 14.</w:t>
      </w:r>
    </w:p>
    <w:p w:rsidR="00D5453A" w:rsidRDefault="00D5453A" w:rsidP="0096791F">
      <w:pPr>
        <w:ind w:left="851"/>
        <w:rPr>
          <w:noProof/>
          <w:sz w:val="24"/>
          <w:szCs w:val="24"/>
        </w:rPr>
      </w:pPr>
    </w:p>
    <w:p w:rsidR="0096791F" w:rsidRPr="00CF5D64" w:rsidRDefault="0096791F" w:rsidP="0096791F">
      <w:pPr>
        <w:ind w:left="851"/>
        <w:rPr>
          <w:sz w:val="24"/>
          <w:szCs w:val="24"/>
        </w:rPr>
      </w:pPr>
      <w:r w:rsidRPr="00CF5D64">
        <w:rPr>
          <w:noProof/>
          <w:sz w:val="24"/>
          <w:szCs w:val="24"/>
        </w:rPr>
        <w:t xml:space="preserve">Onytec neglelak </w:t>
      </w:r>
      <w:r w:rsidRPr="00CF5D64">
        <w:rPr>
          <w:sz w:val="24"/>
          <w:szCs w:val="24"/>
        </w:rPr>
        <w:t xml:space="preserve">er en original, patenteret formulering af </w:t>
      </w:r>
      <w:proofErr w:type="spellStart"/>
      <w:r w:rsidRPr="00CF5D64">
        <w:rPr>
          <w:sz w:val="24"/>
          <w:szCs w:val="24"/>
        </w:rPr>
        <w:t>ciclopirox</w:t>
      </w:r>
      <w:proofErr w:type="spellEnd"/>
      <w:r w:rsidRPr="00CF5D64">
        <w:rPr>
          <w:sz w:val="24"/>
          <w:szCs w:val="24"/>
        </w:rPr>
        <w:t xml:space="preserve"> baseret på </w:t>
      </w:r>
      <w:proofErr w:type="spellStart"/>
      <w:r w:rsidRPr="00CF5D64">
        <w:rPr>
          <w:sz w:val="24"/>
          <w:szCs w:val="24"/>
        </w:rPr>
        <w:t>hydroxypropyl</w:t>
      </w:r>
      <w:proofErr w:type="spellEnd"/>
      <w:r w:rsidRPr="00CF5D64">
        <w:rPr>
          <w:sz w:val="24"/>
          <w:szCs w:val="24"/>
        </w:rPr>
        <w:t xml:space="preserve"> </w:t>
      </w:r>
      <w:proofErr w:type="spellStart"/>
      <w:r w:rsidRPr="00CF5D64">
        <w:rPr>
          <w:sz w:val="24"/>
          <w:szCs w:val="24"/>
        </w:rPr>
        <w:t>chitosan</w:t>
      </w:r>
      <w:proofErr w:type="spellEnd"/>
      <w:r w:rsidRPr="00CF5D64">
        <w:rPr>
          <w:sz w:val="24"/>
          <w:szCs w:val="24"/>
        </w:rPr>
        <w:t xml:space="preserve"> til afgivelse af det aktive stof til neglene.</w:t>
      </w:r>
    </w:p>
    <w:p w:rsidR="0096791F" w:rsidRPr="00CF5D64" w:rsidRDefault="0096791F" w:rsidP="0096791F">
      <w:pPr>
        <w:ind w:left="851"/>
        <w:rPr>
          <w:sz w:val="24"/>
          <w:szCs w:val="24"/>
        </w:rPr>
      </w:pPr>
    </w:p>
    <w:p w:rsidR="0096791F" w:rsidRDefault="0096791F" w:rsidP="0096791F">
      <w:pPr>
        <w:ind w:left="851"/>
        <w:rPr>
          <w:noProof/>
          <w:sz w:val="24"/>
          <w:szCs w:val="24"/>
        </w:rPr>
      </w:pPr>
      <w:r w:rsidRPr="00CF5D64">
        <w:rPr>
          <w:noProof/>
          <w:sz w:val="24"/>
          <w:szCs w:val="24"/>
        </w:rPr>
        <w:t xml:space="preserve">Onytec neglelak har en </w:t>
      </w:r>
      <w:r>
        <w:rPr>
          <w:noProof/>
          <w:sz w:val="24"/>
          <w:szCs w:val="24"/>
        </w:rPr>
        <w:t>topikal, antimykotisk</w:t>
      </w:r>
      <w:r w:rsidRPr="00CF5D64">
        <w:rPr>
          <w:noProof/>
          <w:sz w:val="24"/>
          <w:szCs w:val="24"/>
        </w:rPr>
        <w:t xml:space="preserve"> virkning. Det aktive stof er ciclopirox (pyridonderivat). Det er påvist in vitro, at ciclopirox både har en fungicid og en fungistatisk såvel som en sporedræbende virkning. Ciclopirox er virksomt mod et bredt spektrum af dermatofytter, gær- og skimmelsvampe samt andre svampe. For de fleste dermatofytter (Trichophyton arter, Mikrosporum arter, Epidermophyton arter) og gærsvampe (candida albicans, andre candida arter) falder minimal inhiberingskoncentration (MIC) inden for et område fra 0,9 til 3,9 µg/ml.</w:t>
      </w:r>
    </w:p>
    <w:p w:rsidR="0096791F" w:rsidRDefault="0096791F" w:rsidP="0096791F">
      <w:pPr>
        <w:ind w:left="851"/>
        <w:rPr>
          <w:noProof/>
          <w:sz w:val="24"/>
          <w:szCs w:val="24"/>
        </w:rPr>
      </w:pPr>
    </w:p>
    <w:p w:rsidR="0096791F" w:rsidRPr="00CF5D64" w:rsidRDefault="0096791F" w:rsidP="006A647F">
      <w:pPr>
        <w:keepNext/>
        <w:ind w:left="851"/>
        <w:rPr>
          <w:sz w:val="24"/>
          <w:szCs w:val="24"/>
          <w:u w:val="single"/>
        </w:rPr>
      </w:pPr>
      <w:r w:rsidRPr="00CF5D64">
        <w:rPr>
          <w:sz w:val="24"/>
          <w:szCs w:val="24"/>
          <w:u w:val="single"/>
        </w:rPr>
        <w:lastRenderedPageBreak/>
        <w:t>Tabel over følsomhed (relevante stammer i forhold til sygdom)</w:t>
      </w:r>
    </w:p>
    <w:p w:rsidR="0096791F" w:rsidRPr="00CF5D64" w:rsidRDefault="0096791F" w:rsidP="006A647F">
      <w:pPr>
        <w:keepNext/>
        <w:ind w:left="851"/>
        <w:rPr>
          <w:sz w:val="24"/>
          <w:szCs w:val="24"/>
          <w:u w:val="single"/>
        </w:rPr>
      </w:pPr>
    </w:p>
    <w:tbl>
      <w:tblPr>
        <w:tblW w:w="0" w:type="auto"/>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3402"/>
      </w:tblGrid>
      <w:tr w:rsidR="0096791F" w:rsidRPr="00CF5D64" w:rsidTr="003B4BCE">
        <w:tc>
          <w:tcPr>
            <w:tcW w:w="2667" w:type="dxa"/>
            <w:shd w:val="clear" w:color="auto" w:fill="auto"/>
          </w:tcPr>
          <w:p w:rsidR="0096791F" w:rsidRPr="00CF5D64" w:rsidRDefault="0096791F" w:rsidP="003B4BCE">
            <w:pPr>
              <w:ind w:left="183"/>
              <w:rPr>
                <w:sz w:val="24"/>
                <w:szCs w:val="24"/>
              </w:rPr>
            </w:pPr>
            <w:proofErr w:type="spellStart"/>
            <w:r w:rsidRPr="00CF5D64">
              <w:rPr>
                <w:sz w:val="24"/>
                <w:szCs w:val="24"/>
              </w:rPr>
              <w:t>Dermatofytter</w:t>
            </w:r>
            <w:proofErr w:type="spellEnd"/>
          </w:p>
        </w:tc>
        <w:tc>
          <w:tcPr>
            <w:tcW w:w="3402" w:type="dxa"/>
            <w:shd w:val="clear" w:color="auto" w:fill="auto"/>
          </w:tcPr>
          <w:p w:rsidR="0096791F" w:rsidRPr="00CD3513" w:rsidRDefault="0096791F" w:rsidP="003B4BCE">
            <w:pPr>
              <w:ind w:left="210"/>
              <w:rPr>
                <w:i/>
                <w:sz w:val="24"/>
                <w:szCs w:val="24"/>
                <w:lang w:val="en-US"/>
              </w:rPr>
            </w:pPr>
            <w:r w:rsidRPr="00CD3513">
              <w:rPr>
                <w:i/>
                <w:sz w:val="24"/>
                <w:szCs w:val="24"/>
                <w:lang w:val="en-US"/>
              </w:rPr>
              <w:t>Trichophyton rubrum</w:t>
            </w:r>
          </w:p>
          <w:p w:rsidR="0096791F" w:rsidRPr="00CD3513" w:rsidRDefault="0096791F" w:rsidP="003B4BCE">
            <w:pPr>
              <w:ind w:left="210"/>
              <w:rPr>
                <w:i/>
                <w:sz w:val="24"/>
                <w:szCs w:val="24"/>
                <w:lang w:val="en-US"/>
              </w:rPr>
            </w:pPr>
            <w:r w:rsidRPr="00CD3513">
              <w:rPr>
                <w:i/>
                <w:sz w:val="24"/>
                <w:szCs w:val="24"/>
                <w:lang w:val="en-US"/>
              </w:rPr>
              <w:t>Trichophyton mentagrophytes</w:t>
            </w:r>
          </w:p>
          <w:p w:rsidR="0096791F" w:rsidRPr="00CD3513" w:rsidRDefault="0096791F" w:rsidP="003B4BCE">
            <w:pPr>
              <w:ind w:left="210"/>
              <w:rPr>
                <w:i/>
                <w:sz w:val="24"/>
                <w:szCs w:val="24"/>
                <w:lang w:val="en-US"/>
              </w:rPr>
            </w:pPr>
            <w:r w:rsidRPr="00CD3513">
              <w:rPr>
                <w:i/>
                <w:sz w:val="24"/>
                <w:szCs w:val="24"/>
                <w:lang w:val="en-US"/>
              </w:rPr>
              <w:t>Trichophyton spp</w:t>
            </w:r>
            <w:r w:rsidR="006A647F">
              <w:rPr>
                <w:i/>
                <w:sz w:val="24"/>
                <w:szCs w:val="24"/>
                <w:lang w:val="en-US"/>
              </w:rPr>
              <w:t>.</w:t>
            </w:r>
          </w:p>
          <w:p w:rsidR="0096791F" w:rsidRPr="00CF5D64" w:rsidRDefault="0096791F" w:rsidP="003B4BCE">
            <w:pPr>
              <w:ind w:left="210"/>
              <w:rPr>
                <w:i/>
                <w:sz w:val="24"/>
                <w:szCs w:val="24"/>
              </w:rPr>
            </w:pPr>
            <w:proofErr w:type="spellStart"/>
            <w:r w:rsidRPr="00CF5D64">
              <w:rPr>
                <w:i/>
                <w:sz w:val="24"/>
                <w:szCs w:val="24"/>
              </w:rPr>
              <w:t>Michrosporum</w:t>
            </w:r>
            <w:proofErr w:type="spellEnd"/>
            <w:r w:rsidRPr="00CF5D64">
              <w:rPr>
                <w:i/>
                <w:sz w:val="24"/>
                <w:szCs w:val="24"/>
              </w:rPr>
              <w:t xml:space="preserve"> </w:t>
            </w:r>
            <w:proofErr w:type="spellStart"/>
            <w:r w:rsidRPr="00CF5D64">
              <w:rPr>
                <w:i/>
                <w:sz w:val="24"/>
                <w:szCs w:val="24"/>
              </w:rPr>
              <w:t>canis</w:t>
            </w:r>
            <w:proofErr w:type="spellEnd"/>
          </w:p>
          <w:p w:rsidR="0096791F" w:rsidRPr="00CF5D64" w:rsidRDefault="0096791F" w:rsidP="003B4BCE">
            <w:pPr>
              <w:ind w:left="210"/>
              <w:rPr>
                <w:i/>
                <w:sz w:val="24"/>
                <w:szCs w:val="24"/>
              </w:rPr>
            </w:pPr>
            <w:proofErr w:type="spellStart"/>
            <w:r w:rsidRPr="00CF5D64">
              <w:rPr>
                <w:i/>
                <w:sz w:val="24"/>
                <w:szCs w:val="24"/>
              </w:rPr>
              <w:t>Epidermophyton</w:t>
            </w:r>
            <w:proofErr w:type="spellEnd"/>
            <w:r w:rsidRPr="00CF5D64">
              <w:rPr>
                <w:i/>
                <w:sz w:val="24"/>
                <w:szCs w:val="24"/>
              </w:rPr>
              <w:t xml:space="preserve"> </w:t>
            </w:r>
            <w:proofErr w:type="spellStart"/>
            <w:r w:rsidRPr="00CF5D64">
              <w:rPr>
                <w:i/>
                <w:sz w:val="24"/>
                <w:szCs w:val="24"/>
              </w:rPr>
              <w:t>floccosum</w:t>
            </w:r>
            <w:proofErr w:type="spellEnd"/>
          </w:p>
        </w:tc>
      </w:tr>
      <w:tr w:rsidR="0096791F" w:rsidRPr="00CF5D64" w:rsidTr="003B4BCE">
        <w:tc>
          <w:tcPr>
            <w:tcW w:w="2667" w:type="dxa"/>
            <w:shd w:val="clear" w:color="auto" w:fill="auto"/>
          </w:tcPr>
          <w:p w:rsidR="0096791F" w:rsidRPr="00CF5D64" w:rsidRDefault="0096791F" w:rsidP="003B4BCE">
            <w:pPr>
              <w:ind w:left="183"/>
              <w:rPr>
                <w:sz w:val="24"/>
                <w:szCs w:val="24"/>
              </w:rPr>
            </w:pPr>
            <w:r w:rsidRPr="00CF5D64">
              <w:rPr>
                <w:sz w:val="24"/>
                <w:szCs w:val="24"/>
              </w:rPr>
              <w:t>Gærsvampe</w:t>
            </w:r>
          </w:p>
        </w:tc>
        <w:tc>
          <w:tcPr>
            <w:tcW w:w="3402" w:type="dxa"/>
            <w:shd w:val="clear" w:color="auto" w:fill="auto"/>
          </w:tcPr>
          <w:p w:rsidR="0096791F" w:rsidRPr="00CF5D64" w:rsidRDefault="0096791F" w:rsidP="003B4BCE">
            <w:pPr>
              <w:ind w:left="210"/>
              <w:rPr>
                <w:i/>
                <w:sz w:val="24"/>
                <w:szCs w:val="24"/>
              </w:rPr>
            </w:pPr>
            <w:proofErr w:type="spellStart"/>
            <w:r w:rsidRPr="00CF5D64">
              <w:rPr>
                <w:i/>
                <w:sz w:val="24"/>
                <w:szCs w:val="24"/>
              </w:rPr>
              <w:t>Candida</w:t>
            </w:r>
            <w:proofErr w:type="spellEnd"/>
            <w:r w:rsidRPr="00CF5D64">
              <w:rPr>
                <w:i/>
                <w:sz w:val="24"/>
                <w:szCs w:val="24"/>
              </w:rPr>
              <w:t xml:space="preserve"> </w:t>
            </w:r>
            <w:proofErr w:type="spellStart"/>
            <w:r w:rsidRPr="00CF5D64">
              <w:rPr>
                <w:i/>
                <w:sz w:val="24"/>
                <w:szCs w:val="24"/>
              </w:rPr>
              <w:t>albicans</w:t>
            </w:r>
            <w:proofErr w:type="spellEnd"/>
          </w:p>
          <w:p w:rsidR="0096791F" w:rsidRPr="00CF5D64" w:rsidRDefault="0096791F" w:rsidP="003B4BCE">
            <w:pPr>
              <w:ind w:left="210"/>
              <w:rPr>
                <w:i/>
                <w:sz w:val="24"/>
                <w:szCs w:val="24"/>
              </w:rPr>
            </w:pPr>
            <w:proofErr w:type="spellStart"/>
            <w:r w:rsidRPr="00CF5D64">
              <w:rPr>
                <w:i/>
                <w:sz w:val="24"/>
                <w:szCs w:val="24"/>
              </w:rPr>
              <w:t>Candida</w:t>
            </w:r>
            <w:proofErr w:type="spellEnd"/>
            <w:r w:rsidRPr="00CF5D64">
              <w:rPr>
                <w:i/>
                <w:sz w:val="24"/>
                <w:szCs w:val="24"/>
              </w:rPr>
              <w:t xml:space="preserve"> </w:t>
            </w:r>
            <w:proofErr w:type="spellStart"/>
            <w:r w:rsidRPr="00CF5D64">
              <w:rPr>
                <w:i/>
                <w:sz w:val="24"/>
                <w:szCs w:val="24"/>
              </w:rPr>
              <w:t>parapsilosis</w:t>
            </w:r>
            <w:proofErr w:type="spellEnd"/>
          </w:p>
        </w:tc>
      </w:tr>
      <w:tr w:rsidR="0096791F" w:rsidRPr="00EC4EDB" w:rsidTr="003B4BCE">
        <w:tc>
          <w:tcPr>
            <w:tcW w:w="2667" w:type="dxa"/>
            <w:shd w:val="clear" w:color="auto" w:fill="auto"/>
          </w:tcPr>
          <w:p w:rsidR="0096791F" w:rsidRPr="00CF5D64" w:rsidRDefault="0096791F" w:rsidP="003B4BCE">
            <w:pPr>
              <w:ind w:left="183"/>
              <w:rPr>
                <w:sz w:val="24"/>
                <w:szCs w:val="24"/>
              </w:rPr>
            </w:pPr>
            <w:r w:rsidRPr="00CF5D64">
              <w:rPr>
                <w:sz w:val="24"/>
                <w:szCs w:val="24"/>
              </w:rPr>
              <w:t>Skimmelsvampe</w:t>
            </w:r>
          </w:p>
        </w:tc>
        <w:tc>
          <w:tcPr>
            <w:tcW w:w="3402" w:type="dxa"/>
            <w:shd w:val="clear" w:color="auto" w:fill="auto"/>
          </w:tcPr>
          <w:p w:rsidR="0096791F" w:rsidRPr="00CD3513" w:rsidRDefault="0096791F" w:rsidP="003B4BCE">
            <w:pPr>
              <w:ind w:left="210"/>
              <w:rPr>
                <w:i/>
                <w:sz w:val="24"/>
                <w:szCs w:val="24"/>
                <w:lang w:val="en-US"/>
              </w:rPr>
            </w:pPr>
            <w:proofErr w:type="spellStart"/>
            <w:r w:rsidRPr="00CD3513">
              <w:rPr>
                <w:i/>
                <w:sz w:val="24"/>
                <w:szCs w:val="24"/>
                <w:lang w:val="en-US"/>
              </w:rPr>
              <w:t>Scopolariopsis</w:t>
            </w:r>
            <w:proofErr w:type="spellEnd"/>
            <w:r w:rsidRPr="00CD3513">
              <w:rPr>
                <w:i/>
                <w:sz w:val="24"/>
                <w:szCs w:val="24"/>
                <w:lang w:val="en-US"/>
              </w:rPr>
              <w:t xml:space="preserve"> </w:t>
            </w:r>
            <w:proofErr w:type="spellStart"/>
            <w:r w:rsidRPr="00CD3513">
              <w:rPr>
                <w:i/>
                <w:sz w:val="24"/>
                <w:szCs w:val="24"/>
                <w:lang w:val="en-US"/>
              </w:rPr>
              <w:t>brevicaulis</w:t>
            </w:r>
            <w:proofErr w:type="spellEnd"/>
          </w:p>
          <w:p w:rsidR="0096791F" w:rsidRPr="00CD3513" w:rsidRDefault="0096791F" w:rsidP="003B4BCE">
            <w:pPr>
              <w:ind w:left="210"/>
              <w:rPr>
                <w:i/>
                <w:sz w:val="24"/>
                <w:szCs w:val="24"/>
                <w:lang w:val="en-US"/>
              </w:rPr>
            </w:pPr>
            <w:r w:rsidRPr="00CD3513">
              <w:rPr>
                <w:i/>
                <w:sz w:val="24"/>
                <w:szCs w:val="24"/>
                <w:lang w:val="en-US"/>
              </w:rPr>
              <w:t>Aspergillus spp</w:t>
            </w:r>
            <w:r w:rsidR="006A647F">
              <w:rPr>
                <w:i/>
                <w:sz w:val="24"/>
                <w:szCs w:val="24"/>
                <w:lang w:val="en-US"/>
              </w:rPr>
              <w:t>.</w:t>
            </w:r>
          </w:p>
          <w:p w:rsidR="0096791F" w:rsidRPr="00CD3513" w:rsidRDefault="0096791F" w:rsidP="003B4BCE">
            <w:pPr>
              <w:ind w:left="210"/>
              <w:rPr>
                <w:i/>
                <w:sz w:val="24"/>
                <w:szCs w:val="24"/>
                <w:lang w:val="en-US"/>
              </w:rPr>
            </w:pPr>
            <w:r w:rsidRPr="00CD3513">
              <w:rPr>
                <w:i/>
                <w:sz w:val="24"/>
                <w:szCs w:val="24"/>
                <w:lang w:val="en-US"/>
              </w:rPr>
              <w:t xml:space="preserve">Fusarium </w:t>
            </w:r>
            <w:proofErr w:type="spellStart"/>
            <w:r w:rsidRPr="00CD3513">
              <w:rPr>
                <w:i/>
                <w:sz w:val="24"/>
                <w:szCs w:val="24"/>
                <w:lang w:val="en-US"/>
              </w:rPr>
              <w:t>solani</w:t>
            </w:r>
            <w:proofErr w:type="spellEnd"/>
          </w:p>
        </w:tc>
      </w:tr>
    </w:tbl>
    <w:p w:rsidR="0096791F" w:rsidRPr="00CD3513" w:rsidRDefault="0096791F" w:rsidP="0096791F">
      <w:pPr>
        <w:ind w:left="851"/>
        <w:rPr>
          <w:sz w:val="24"/>
          <w:szCs w:val="24"/>
          <w:lang w:val="en-US"/>
        </w:rPr>
      </w:pPr>
    </w:p>
    <w:p w:rsidR="0096791F" w:rsidRPr="00CF5D64" w:rsidRDefault="0096791F" w:rsidP="0096791F">
      <w:pPr>
        <w:suppressAutoHyphens/>
        <w:ind w:left="851"/>
        <w:rPr>
          <w:b/>
          <w:bCs/>
          <w:noProof/>
          <w:sz w:val="24"/>
          <w:szCs w:val="24"/>
        </w:rPr>
      </w:pPr>
      <w:r w:rsidRPr="00CF5D64">
        <w:rPr>
          <w:b/>
          <w:bCs/>
          <w:noProof/>
          <w:sz w:val="24"/>
          <w:szCs w:val="24"/>
        </w:rPr>
        <w:t>Klinisk virkning og sikkerhed</w:t>
      </w:r>
    </w:p>
    <w:p w:rsidR="0096791F" w:rsidRPr="00CF5D64" w:rsidRDefault="0096791F" w:rsidP="0096791F">
      <w:pPr>
        <w:suppressAutoHyphens/>
        <w:ind w:left="851"/>
        <w:rPr>
          <w:bCs/>
          <w:noProof/>
          <w:sz w:val="24"/>
          <w:szCs w:val="24"/>
        </w:rPr>
      </w:pPr>
      <w:r w:rsidRPr="00CF5D64">
        <w:rPr>
          <w:bCs/>
          <w:noProof/>
          <w:sz w:val="24"/>
          <w:szCs w:val="24"/>
        </w:rPr>
        <w:t xml:space="preserve">Onytec neglelak er undersøgt hos 467 patienter med </w:t>
      </w:r>
      <w:r>
        <w:rPr>
          <w:bCs/>
          <w:noProof/>
          <w:sz w:val="24"/>
          <w:szCs w:val="24"/>
        </w:rPr>
        <w:t>onykomykose</w:t>
      </w:r>
      <w:r w:rsidRPr="00CF5D64">
        <w:rPr>
          <w:bCs/>
          <w:noProof/>
          <w:sz w:val="24"/>
          <w:szCs w:val="24"/>
        </w:rPr>
        <w:t xml:space="preserve"> sammenlignet med placebo og en kommercielt tilgængelig formulering af ciclopirox 8 % neglelak i et klinisk langtidsstudie. Alle behandlinger blev appliceret på de inficerede negle hver dag i 48 uger. Patienterne blev yderligere fulgt i en periode på 12 uger. Alle effektvurderingerne blev foretaget på en target storetånegl.</w:t>
      </w:r>
    </w:p>
    <w:p w:rsidR="0096791F" w:rsidRPr="00CF5D64" w:rsidRDefault="0096791F" w:rsidP="0096791F">
      <w:pPr>
        <w:suppressAutoHyphens/>
        <w:ind w:left="851"/>
        <w:rPr>
          <w:bCs/>
          <w:noProof/>
          <w:sz w:val="24"/>
          <w:szCs w:val="24"/>
        </w:rPr>
      </w:pPr>
    </w:p>
    <w:p w:rsidR="0096791F" w:rsidRPr="00CF5D64" w:rsidRDefault="0096791F" w:rsidP="0096791F">
      <w:pPr>
        <w:suppressAutoHyphens/>
        <w:ind w:left="851"/>
        <w:rPr>
          <w:bCs/>
          <w:noProof/>
          <w:sz w:val="24"/>
          <w:szCs w:val="24"/>
        </w:rPr>
      </w:pPr>
      <w:r w:rsidRPr="00CF5D64">
        <w:rPr>
          <w:bCs/>
          <w:noProof/>
          <w:sz w:val="24"/>
          <w:szCs w:val="24"/>
        </w:rPr>
        <w:t>Tabel over resultaterne</w:t>
      </w:r>
      <w:r>
        <w:rPr>
          <w:bCs/>
          <w:noProof/>
          <w:sz w:val="24"/>
          <w:szCs w:val="24"/>
        </w:rPr>
        <w:t xml:space="preserve"> </w:t>
      </w:r>
      <w:r w:rsidRPr="00CF5D64">
        <w:rPr>
          <w:bCs/>
          <w:noProof/>
          <w:sz w:val="24"/>
          <w:szCs w:val="24"/>
        </w:rPr>
        <w:t>ved af slutningen af</w:t>
      </w:r>
      <w:r>
        <w:rPr>
          <w:bCs/>
          <w:noProof/>
          <w:sz w:val="24"/>
          <w:szCs w:val="24"/>
        </w:rPr>
        <w:t xml:space="preserve"> </w:t>
      </w:r>
      <w:r w:rsidRPr="00CF5D64">
        <w:rPr>
          <w:bCs/>
          <w:noProof/>
          <w:sz w:val="24"/>
          <w:szCs w:val="24"/>
        </w:rPr>
        <w:t>opfølgningsperioden (uge 60)</w:t>
      </w:r>
      <w:r>
        <w:rPr>
          <w:bCs/>
          <w:noProof/>
          <w:sz w:val="24"/>
          <w:szCs w:val="24"/>
        </w:rPr>
        <w:t>:</w:t>
      </w:r>
    </w:p>
    <w:p w:rsidR="0096791F" w:rsidRPr="00CF5D64" w:rsidRDefault="0096791F" w:rsidP="0096791F">
      <w:pPr>
        <w:suppressAutoHyphens/>
        <w:ind w:left="851"/>
        <w:rPr>
          <w:bCs/>
          <w:noProof/>
          <w:sz w:val="24"/>
          <w:szCs w:val="24"/>
        </w:rPr>
      </w:pPr>
      <w:r w:rsidRPr="00CF5D64">
        <w:rPr>
          <w:bCs/>
          <w:noProof/>
          <w:sz w:val="24"/>
          <w:szCs w:val="24"/>
        </w:rPr>
        <w:t xml:space="preserve">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1869"/>
        <w:gridCol w:w="1819"/>
        <w:gridCol w:w="2341"/>
      </w:tblGrid>
      <w:tr w:rsidR="0096791F" w:rsidRPr="00CF5D64" w:rsidTr="003B4BCE">
        <w:tc>
          <w:tcPr>
            <w:tcW w:w="2680" w:type="dxa"/>
            <w:shd w:val="clear" w:color="auto" w:fill="auto"/>
          </w:tcPr>
          <w:p w:rsidR="0096791F" w:rsidRPr="00CF5D64" w:rsidRDefault="0096791F" w:rsidP="003B4BCE">
            <w:pPr>
              <w:suppressAutoHyphens/>
              <w:spacing w:before="60" w:after="60"/>
              <w:ind w:left="175"/>
              <w:jc w:val="center"/>
              <w:rPr>
                <w:b/>
                <w:bCs/>
                <w:noProof/>
                <w:sz w:val="24"/>
                <w:szCs w:val="24"/>
              </w:rPr>
            </w:pPr>
            <w:r w:rsidRPr="00CF5D64">
              <w:rPr>
                <w:b/>
                <w:bCs/>
                <w:noProof/>
                <w:sz w:val="24"/>
                <w:szCs w:val="24"/>
              </w:rPr>
              <w:t>End-point</w:t>
            </w:r>
          </w:p>
        </w:tc>
        <w:tc>
          <w:tcPr>
            <w:tcW w:w="1921" w:type="dxa"/>
            <w:shd w:val="clear" w:color="auto" w:fill="auto"/>
          </w:tcPr>
          <w:p w:rsidR="0096791F" w:rsidRPr="00CF5D64" w:rsidRDefault="0096791F" w:rsidP="003B4BCE">
            <w:pPr>
              <w:suppressAutoHyphens/>
              <w:spacing w:before="60" w:after="60"/>
              <w:ind w:left="47"/>
              <w:jc w:val="center"/>
              <w:rPr>
                <w:b/>
                <w:bCs/>
                <w:noProof/>
                <w:sz w:val="24"/>
                <w:szCs w:val="24"/>
              </w:rPr>
            </w:pPr>
            <w:r w:rsidRPr="00CF5D64">
              <w:rPr>
                <w:b/>
                <w:bCs/>
                <w:noProof/>
                <w:sz w:val="24"/>
                <w:szCs w:val="24"/>
              </w:rPr>
              <w:t>Onytec neglelak</w:t>
            </w:r>
          </w:p>
        </w:tc>
        <w:tc>
          <w:tcPr>
            <w:tcW w:w="1867" w:type="dxa"/>
            <w:shd w:val="clear" w:color="auto" w:fill="auto"/>
          </w:tcPr>
          <w:p w:rsidR="0096791F" w:rsidRPr="00CF5D64" w:rsidRDefault="0096791F" w:rsidP="003B4BCE">
            <w:pPr>
              <w:suppressAutoHyphens/>
              <w:spacing w:before="60" w:after="60"/>
              <w:ind w:left="110"/>
              <w:jc w:val="center"/>
              <w:rPr>
                <w:b/>
                <w:bCs/>
                <w:noProof/>
                <w:sz w:val="24"/>
                <w:szCs w:val="24"/>
              </w:rPr>
            </w:pPr>
            <w:r w:rsidRPr="00CF5D64">
              <w:rPr>
                <w:b/>
                <w:bCs/>
                <w:noProof/>
                <w:sz w:val="24"/>
                <w:szCs w:val="24"/>
              </w:rPr>
              <w:t>Placebo</w:t>
            </w:r>
          </w:p>
        </w:tc>
        <w:tc>
          <w:tcPr>
            <w:tcW w:w="2410" w:type="dxa"/>
            <w:shd w:val="clear" w:color="auto" w:fill="auto"/>
          </w:tcPr>
          <w:p w:rsidR="0096791F" w:rsidRPr="00CF5D64" w:rsidRDefault="0096791F" w:rsidP="003B4BCE">
            <w:pPr>
              <w:suppressAutoHyphens/>
              <w:spacing w:before="60" w:after="60"/>
              <w:ind w:left="86"/>
              <w:jc w:val="center"/>
              <w:rPr>
                <w:b/>
                <w:bCs/>
                <w:noProof/>
                <w:sz w:val="24"/>
                <w:szCs w:val="24"/>
              </w:rPr>
            </w:pPr>
            <w:r w:rsidRPr="00CF5D64">
              <w:rPr>
                <w:b/>
                <w:bCs/>
                <w:noProof/>
                <w:sz w:val="24"/>
                <w:szCs w:val="24"/>
              </w:rPr>
              <w:t>EU reference</w:t>
            </w:r>
            <w:r>
              <w:rPr>
                <w:b/>
                <w:bCs/>
                <w:noProof/>
                <w:sz w:val="24"/>
                <w:szCs w:val="24"/>
              </w:rPr>
              <w:t>-</w:t>
            </w:r>
            <w:r w:rsidRPr="00CF5D64">
              <w:rPr>
                <w:b/>
                <w:bCs/>
                <w:noProof/>
                <w:sz w:val="24"/>
                <w:szCs w:val="24"/>
              </w:rPr>
              <w:t xml:space="preserve"> produkt</w:t>
            </w:r>
          </w:p>
        </w:tc>
      </w:tr>
      <w:tr w:rsidR="0096791F" w:rsidRPr="00CF5D64" w:rsidTr="003B4BCE">
        <w:tc>
          <w:tcPr>
            <w:tcW w:w="2680" w:type="dxa"/>
            <w:shd w:val="clear" w:color="auto" w:fill="auto"/>
          </w:tcPr>
          <w:p w:rsidR="0096791F" w:rsidRPr="00CF5D64" w:rsidRDefault="0096791F" w:rsidP="003B4BCE">
            <w:pPr>
              <w:suppressAutoHyphens/>
              <w:spacing w:before="60" w:after="60"/>
              <w:ind w:left="175"/>
              <w:rPr>
                <w:bCs/>
                <w:noProof/>
                <w:sz w:val="24"/>
                <w:szCs w:val="24"/>
              </w:rPr>
            </w:pPr>
            <w:r w:rsidRPr="00CF5D64">
              <w:rPr>
                <w:bCs/>
                <w:noProof/>
                <w:sz w:val="24"/>
                <w:szCs w:val="24"/>
              </w:rPr>
              <w:t>Fuldstændig ”heling”</w:t>
            </w:r>
            <w:r>
              <w:rPr>
                <w:bCs/>
                <w:noProof/>
                <w:sz w:val="24"/>
                <w:szCs w:val="24"/>
                <w:vertAlign w:val="superscript"/>
              </w:rPr>
              <w:t>1)</w:t>
            </w:r>
          </w:p>
        </w:tc>
        <w:tc>
          <w:tcPr>
            <w:tcW w:w="1921" w:type="dxa"/>
            <w:shd w:val="clear" w:color="auto" w:fill="auto"/>
          </w:tcPr>
          <w:p w:rsidR="0096791F" w:rsidRPr="00CF5D64" w:rsidRDefault="0096791F" w:rsidP="003B4BCE">
            <w:pPr>
              <w:suppressAutoHyphens/>
              <w:spacing w:before="60" w:after="60"/>
              <w:ind w:left="47"/>
              <w:jc w:val="center"/>
              <w:rPr>
                <w:bCs/>
                <w:noProof/>
                <w:sz w:val="24"/>
                <w:szCs w:val="24"/>
              </w:rPr>
            </w:pPr>
            <w:r w:rsidRPr="00CF5D64">
              <w:rPr>
                <w:bCs/>
                <w:noProof/>
                <w:sz w:val="24"/>
                <w:szCs w:val="24"/>
              </w:rPr>
              <w:t>12,7 %</w:t>
            </w:r>
          </w:p>
        </w:tc>
        <w:tc>
          <w:tcPr>
            <w:tcW w:w="1867" w:type="dxa"/>
            <w:shd w:val="clear" w:color="auto" w:fill="auto"/>
          </w:tcPr>
          <w:p w:rsidR="0096791F" w:rsidRPr="00CF5D64" w:rsidRDefault="0096791F" w:rsidP="003B4BCE">
            <w:pPr>
              <w:suppressAutoHyphens/>
              <w:spacing w:before="60" w:after="60"/>
              <w:ind w:left="110"/>
              <w:jc w:val="center"/>
              <w:rPr>
                <w:bCs/>
                <w:noProof/>
                <w:sz w:val="24"/>
                <w:szCs w:val="24"/>
              </w:rPr>
            </w:pPr>
            <w:r w:rsidRPr="00CF5D64">
              <w:rPr>
                <w:bCs/>
                <w:noProof/>
                <w:sz w:val="24"/>
                <w:szCs w:val="24"/>
              </w:rPr>
              <w:t>1,3 %</w:t>
            </w:r>
          </w:p>
        </w:tc>
        <w:tc>
          <w:tcPr>
            <w:tcW w:w="2410" w:type="dxa"/>
            <w:shd w:val="clear" w:color="auto" w:fill="auto"/>
          </w:tcPr>
          <w:p w:rsidR="0096791F" w:rsidRPr="00CF5D64" w:rsidRDefault="0096791F" w:rsidP="003B4BCE">
            <w:pPr>
              <w:suppressAutoHyphens/>
              <w:spacing w:before="60" w:after="60"/>
              <w:ind w:left="86"/>
              <w:jc w:val="center"/>
              <w:rPr>
                <w:bCs/>
                <w:noProof/>
                <w:sz w:val="24"/>
                <w:szCs w:val="24"/>
              </w:rPr>
            </w:pPr>
            <w:r w:rsidRPr="00CF5D64">
              <w:rPr>
                <w:bCs/>
                <w:noProof/>
                <w:sz w:val="24"/>
                <w:szCs w:val="24"/>
              </w:rPr>
              <w:t>5,8 %</w:t>
            </w:r>
          </w:p>
        </w:tc>
      </w:tr>
      <w:tr w:rsidR="0096791F" w:rsidRPr="00CF5D64" w:rsidTr="003B4BCE">
        <w:tc>
          <w:tcPr>
            <w:tcW w:w="2680" w:type="dxa"/>
            <w:shd w:val="clear" w:color="auto" w:fill="auto"/>
          </w:tcPr>
          <w:p w:rsidR="0096791F" w:rsidRPr="00CF5D64" w:rsidRDefault="0096791F" w:rsidP="003B4BCE">
            <w:pPr>
              <w:suppressAutoHyphens/>
              <w:spacing w:before="60" w:after="60"/>
              <w:ind w:left="175"/>
              <w:rPr>
                <w:bCs/>
                <w:noProof/>
                <w:sz w:val="24"/>
                <w:szCs w:val="24"/>
              </w:rPr>
            </w:pPr>
            <w:r w:rsidRPr="00CF5D64">
              <w:rPr>
                <w:bCs/>
                <w:noProof/>
                <w:sz w:val="24"/>
                <w:szCs w:val="24"/>
              </w:rPr>
              <w:t>”Respondenter”</w:t>
            </w:r>
            <w:r>
              <w:rPr>
                <w:bCs/>
                <w:noProof/>
                <w:sz w:val="24"/>
                <w:szCs w:val="24"/>
                <w:vertAlign w:val="superscript"/>
              </w:rPr>
              <w:t>2)</w:t>
            </w:r>
          </w:p>
        </w:tc>
        <w:tc>
          <w:tcPr>
            <w:tcW w:w="1921" w:type="dxa"/>
            <w:shd w:val="clear" w:color="auto" w:fill="auto"/>
          </w:tcPr>
          <w:p w:rsidR="0096791F" w:rsidRPr="00CF5D64" w:rsidRDefault="0096791F" w:rsidP="003B4BCE">
            <w:pPr>
              <w:suppressAutoHyphens/>
              <w:spacing w:before="60" w:after="60"/>
              <w:ind w:left="47"/>
              <w:jc w:val="center"/>
              <w:rPr>
                <w:bCs/>
                <w:noProof/>
                <w:sz w:val="24"/>
                <w:szCs w:val="24"/>
              </w:rPr>
            </w:pPr>
            <w:r w:rsidRPr="00CF5D64">
              <w:rPr>
                <w:bCs/>
                <w:noProof/>
                <w:sz w:val="24"/>
                <w:szCs w:val="24"/>
              </w:rPr>
              <w:t>28,7 %</w:t>
            </w:r>
          </w:p>
        </w:tc>
        <w:tc>
          <w:tcPr>
            <w:tcW w:w="1867" w:type="dxa"/>
            <w:shd w:val="clear" w:color="auto" w:fill="auto"/>
          </w:tcPr>
          <w:p w:rsidR="0096791F" w:rsidRPr="00CF5D64" w:rsidRDefault="0096791F" w:rsidP="003B4BCE">
            <w:pPr>
              <w:suppressAutoHyphens/>
              <w:spacing w:before="60" w:after="60"/>
              <w:ind w:left="110"/>
              <w:jc w:val="center"/>
              <w:rPr>
                <w:bCs/>
                <w:noProof/>
                <w:sz w:val="24"/>
                <w:szCs w:val="24"/>
              </w:rPr>
            </w:pPr>
            <w:r w:rsidRPr="00CF5D64">
              <w:rPr>
                <w:bCs/>
                <w:noProof/>
                <w:sz w:val="24"/>
                <w:szCs w:val="24"/>
              </w:rPr>
              <w:t>14,7 %</w:t>
            </w:r>
          </w:p>
        </w:tc>
        <w:tc>
          <w:tcPr>
            <w:tcW w:w="2410" w:type="dxa"/>
            <w:shd w:val="clear" w:color="auto" w:fill="auto"/>
          </w:tcPr>
          <w:p w:rsidR="0096791F" w:rsidRPr="00CF5D64" w:rsidRDefault="0096791F" w:rsidP="003B4BCE">
            <w:pPr>
              <w:suppressAutoHyphens/>
              <w:spacing w:before="60" w:after="60"/>
              <w:ind w:left="86"/>
              <w:jc w:val="center"/>
              <w:rPr>
                <w:bCs/>
                <w:noProof/>
                <w:sz w:val="24"/>
                <w:szCs w:val="24"/>
              </w:rPr>
            </w:pPr>
            <w:r w:rsidRPr="00CF5D64">
              <w:rPr>
                <w:bCs/>
                <w:noProof/>
                <w:sz w:val="24"/>
                <w:szCs w:val="24"/>
              </w:rPr>
              <w:t>17,3 %</w:t>
            </w:r>
          </w:p>
        </w:tc>
      </w:tr>
      <w:tr w:rsidR="0096791F" w:rsidRPr="00CF5D64" w:rsidTr="003B4BCE">
        <w:tc>
          <w:tcPr>
            <w:tcW w:w="2680" w:type="dxa"/>
            <w:shd w:val="clear" w:color="auto" w:fill="auto"/>
          </w:tcPr>
          <w:p w:rsidR="0096791F" w:rsidRPr="00CF5D64" w:rsidRDefault="0096791F" w:rsidP="003B4BCE">
            <w:pPr>
              <w:suppressAutoHyphens/>
              <w:spacing w:before="60" w:after="60"/>
              <w:ind w:left="175"/>
              <w:rPr>
                <w:bCs/>
                <w:noProof/>
                <w:sz w:val="24"/>
                <w:szCs w:val="24"/>
              </w:rPr>
            </w:pPr>
            <w:r w:rsidRPr="00CF5D64">
              <w:rPr>
                <w:bCs/>
                <w:noProof/>
                <w:sz w:val="24"/>
                <w:szCs w:val="24"/>
              </w:rPr>
              <w:t>”Bedring”</w:t>
            </w:r>
            <w:r>
              <w:rPr>
                <w:bCs/>
                <w:noProof/>
                <w:sz w:val="24"/>
                <w:szCs w:val="24"/>
                <w:vertAlign w:val="superscript"/>
              </w:rPr>
              <w:t>3)</w:t>
            </w:r>
          </w:p>
        </w:tc>
        <w:tc>
          <w:tcPr>
            <w:tcW w:w="1921" w:type="dxa"/>
            <w:shd w:val="clear" w:color="auto" w:fill="auto"/>
          </w:tcPr>
          <w:p w:rsidR="0096791F" w:rsidRPr="00CF5D64" w:rsidRDefault="0096791F" w:rsidP="003B4BCE">
            <w:pPr>
              <w:suppressAutoHyphens/>
              <w:spacing w:before="60" w:after="60"/>
              <w:ind w:left="47"/>
              <w:jc w:val="center"/>
              <w:rPr>
                <w:bCs/>
                <w:noProof/>
                <w:sz w:val="24"/>
                <w:szCs w:val="24"/>
              </w:rPr>
            </w:pPr>
            <w:r w:rsidRPr="00CF5D64">
              <w:rPr>
                <w:bCs/>
                <w:noProof/>
                <w:sz w:val="24"/>
                <w:szCs w:val="24"/>
              </w:rPr>
              <w:t>46,5 %</w:t>
            </w:r>
          </w:p>
        </w:tc>
        <w:tc>
          <w:tcPr>
            <w:tcW w:w="1867" w:type="dxa"/>
            <w:shd w:val="clear" w:color="auto" w:fill="auto"/>
          </w:tcPr>
          <w:p w:rsidR="0096791F" w:rsidRPr="00CF5D64" w:rsidRDefault="0096791F" w:rsidP="003B4BCE">
            <w:pPr>
              <w:suppressAutoHyphens/>
              <w:spacing w:before="60" w:after="60"/>
              <w:ind w:left="110"/>
              <w:jc w:val="center"/>
              <w:rPr>
                <w:bCs/>
                <w:noProof/>
                <w:sz w:val="24"/>
                <w:szCs w:val="24"/>
              </w:rPr>
            </w:pPr>
            <w:r w:rsidRPr="00CF5D64">
              <w:rPr>
                <w:bCs/>
                <w:noProof/>
                <w:sz w:val="24"/>
                <w:szCs w:val="24"/>
              </w:rPr>
              <w:t>34,7 %</w:t>
            </w:r>
          </w:p>
        </w:tc>
        <w:tc>
          <w:tcPr>
            <w:tcW w:w="2410" w:type="dxa"/>
            <w:shd w:val="clear" w:color="auto" w:fill="auto"/>
          </w:tcPr>
          <w:p w:rsidR="0096791F" w:rsidRPr="00CF5D64" w:rsidRDefault="0096791F" w:rsidP="003B4BCE">
            <w:pPr>
              <w:suppressAutoHyphens/>
              <w:spacing w:before="60" w:after="60"/>
              <w:ind w:left="86"/>
              <w:jc w:val="center"/>
              <w:rPr>
                <w:bCs/>
                <w:noProof/>
                <w:sz w:val="24"/>
                <w:szCs w:val="24"/>
              </w:rPr>
            </w:pPr>
            <w:r w:rsidRPr="00CF5D64">
              <w:rPr>
                <w:bCs/>
                <w:noProof/>
                <w:sz w:val="24"/>
                <w:szCs w:val="24"/>
              </w:rPr>
              <w:t>39,7 %</w:t>
            </w:r>
          </w:p>
        </w:tc>
      </w:tr>
      <w:tr w:rsidR="0096791F" w:rsidRPr="00CF5D64" w:rsidTr="003B4BCE">
        <w:tc>
          <w:tcPr>
            <w:tcW w:w="2680" w:type="dxa"/>
            <w:shd w:val="clear" w:color="auto" w:fill="auto"/>
          </w:tcPr>
          <w:p w:rsidR="0096791F" w:rsidRPr="00CF5D64" w:rsidRDefault="0096791F" w:rsidP="003B4BCE">
            <w:pPr>
              <w:suppressAutoHyphens/>
              <w:spacing w:before="60" w:after="60"/>
              <w:ind w:left="175"/>
              <w:rPr>
                <w:bCs/>
                <w:noProof/>
                <w:sz w:val="24"/>
                <w:szCs w:val="24"/>
              </w:rPr>
            </w:pPr>
            <w:r>
              <w:rPr>
                <w:bCs/>
                <w:noProof/>
                <w:sz w:val="24"/>
                <w:szCs w:val="24"/>
              </w:rPr>
              <w:t>Reduktion af sygt negleareal</w:t>
            </w:r>
            <w:r>
              <w:rPr>
                <w:bCs/>
                <w:noProof/>
                <w:sz w:val="24"/>
                <w:szCs w:val="24"/>
                <w:vertAlign w:val="superscript"/>
              </w:rPr>
              <w:t>4)</w:t>
            </w:r>
          </w:p>
        </w:tc>
        <w:tc>
          <w:tcPr>
            <w:tcW w:w="1921" w:type="dxa"/>
            <w:shd w:val="clear" w:color="auto" w:fill="auto"/>
          </w:tcPr>
          <w:p w:rsidR="0096791F" w:rsidRPr="00CF5D64" w:rsidRDefault="0096791F" w:rsidP="003B4BCE">
            <w:pPr>
              <w:suppressAutoHyphens/>
              <w:spacing w:before="60" w:after="60"/>
              <w:ind w:left="47"/>
              <w:jc w:val="center"/>
              <w:rPr>
                <w:bCs/>
                <w:noProof/>
                <w:sz w:val="24"/>
                <w:szCs w:val="24"/>
              </w:rPr>
            </w:pPr>
            <w:r w:rsidRPr="00CF5D64">
              <w:rPr>
                <w:bCs/>
                <w:noProof/>
                <w:sz w:val="24"/>
                <w:szCs w:val="24"/>
              </w:rPr>
              <w:t>36,3 %</w:t>
            </w:r>
          </w:p>
        </w:tc>
        <w:tc>
          <w:tcPr>
            <w:tcW w:w="1867" w:type="dxa"/>
            <w:shd w:val="clear" w:color="auto" w:fill="auto"/>
          </w:tcPr>
          <w:p w:rsidR="0096791F" w:rsidRPr="00CF5D64" w:rsidRDefault="0096791F" w:rsidP="003B4BCE">
            <w:pPr>
              <w:suppressAutoHyphens/>
              <w:spacing w:before="60" w:after="60"/>
              <w:ind w:left="110"/>
              <w:jc w:val="center"/>
              <w:rPr>
                <w:bCs/>
                <w:noProof/>
                <w:sz w:val="24"/>
                <w:szCs w:val="24"/>
              </w:rPr>
            </w:pPr>
            <w:r w:rsidRPr="00CF5D64">
              <w:rPr>
                <w:bCs/>
                <w:noProof/>
                <w:sz w:val="24"/>
                <w:szCs w:val="24"/>
              </w:rPr>
              <w:t>16,2 %</w:t>
            </w:r>
          </w:p>
        </w:tc>
        <w:tc>
          <w:tcPr>
            <w:tcW w:w="2410" w:type="dxa"/>
            <w:shd w:val="clear" w:color="auto" w:fill="auto"/>
          </w:tcPr>
          <w:p w:rsidR="0096791F" w:rsidRPr="00CF5D64" w:rsidRDefault="0096791F" w:rsidP="003B4BCE">
            <w:pPr>
              <w:suppressAutoHyphens/>
              <w:spacing w:before="60" w:after="60"/>
              <w:ind w:left="86"/>
              <w:jc w:val="center"/>
              <w:rPr>
                <w:bCs/>
                <w:noProof/>
                <w:sz w:val="24"/>
                <w:szCs w:val="24"/>
              </w:rPr>
            </w:pPr>
            <w:r w:rsidRPr="00CF5D64">
              <w:rPr>
                <w:bCs/>
                <w:noProof/>
                <w:sz w:val="24"/>
                <w:szCs w:val="24"/>
              </w:rPr>
              <w:t>21,8 %</w:t>
            </w:r>
          </w:p>
        </w:tc>
      </w:tr>
    </w:tbl>
    <w:p w:rsidR="0096791F" w:rsidRPr="00CF5D64" w:rsidRDefault="0096791F" w:rsidP="0096791F">
      <w:pPr>
        <w:suppressAutoHyphens/>
        <w:ind w:left="851"/>
        <w:rPr>
          <w:bCs/>
          <w:noProof/>
          <w:sz w:val="24"/>
          <w:szCs w:val="24"/>
        </w:rPr>
      </w:pPr>
    </w:p>
    <w:p w:rsidR="0096791F" w:rsidRDefault="0096791F" w:rsidP="0096791F">
      <w:pPr>
        <w:suppressAutoHyphens/>
        <w:ind w:left="1134" w:hanging="283"/>
        <w:rPr>
          <w:bCs/>
          <w:noProof/>
          <w:sz w:val="24"/>
          <w:szCs w:val="24"/>
        </w:rPr>
      </w:pPr>
      <w:r>
        <w:rPr>
          <w:bCs/>
          <w:noProof/>
          <w:sz w:val="24"/>
          <w:szCs w:val="24"/>
          <w:vertAlign w:val="superscript"/>
        </w:rPr>
        <w:t>1)</w:t>
      </w:r>
      <w:r>
        <w:rPr>
          <w:bCs/>
          <w:noProof/>
          <w:sz w:val="24"/>
          <w:szCs w:val="24"/>
          <w:vertAlign w:val="superscript"/>
        </w:rPr>
        <w:tab/>
      </w:r>
      <w:r w:rsidRPr="00CF5D64">
        <w:rPr>
          <w:bCs/>
          <w:noProof/>
          <w:sz w:val="24"/>
          <w:szCs w:val="24"/>
        </w:rPr>
        <w:t>konvertering til negativ af både KOH mikroskopi og svampekultur og 100 % sundt</w:t>
      </w:r>
      <w:r>
        <w:rPr>
          <w:bCs/>
          <w:noProof/>
          <w:sz w:val="24"/>
          <w:szCs w:val="24"/>
        </w:rPr>
        <w:t>-</w:t>
      </w:r>
      <w:r w:rsidRPr="00CF5D64">
        <w:rPr>
          <w:bCs/>
          <w:noProof/>
          <w:sz w:val="24"/>
          <w:szCs w:val="24"/>
        </w:rPr>
        <w:t>udseende target storetånegl.</w:t>
      </w:r>
    </w:p>
    <w:p w:rsidR="0096791F" w:rsidRPr="00CF5D64" w:rsidRDefault="0096791F" w:rsidP="0096791F">
      <w:pPr>
        <w:suppressAutoHyphens/>
        <w:ind w:left="1134" w:hanging="283"/>
        <w:rPr>
          <w:bCs/>
          <w:noProof/>
          <w:sz w:val="24"/>
          <w:szCs w:val="24"/>
        </w:rPr>
      </w:pPr>
      <w:r w:rsidRPr="00644BB0">
        <w:rPr>
          <w:bCs/>
          <w:noProof/>
          <w:sz w:val="24"/>
          <w:szCs w:val="24"/>
          <w:vertAlign w:val="superscript"/>
        </w:rPr>
        <w:t>2)</w:t>
      </w:r>
      <w:r>
        <w:rPr>
          <w:bCs/>
          <w:noProof/>
          <w:sz w:val="24"/>
          <w:szCs w:val="24"/>
        </w:rPr>
        <w:tab/>
      </w:r>
      <w:r w:rsidRPr="00CF5D64">
        <w:rPr>
          <w:bCs/>
          <w:noProof/>
          <w:sz w:val="24"/>
          <w:szCs w:val="24"/>
        </w:rPr>
        <w:t>konvertering til negativ af både KOH mikroskopi og svampekultur, og reduktion af sygt negleareal</w:t>
      </w:r>
      <w:r>
        <w:rPr>
          <w:bCs/>
          <w:noProof/>
          <w:sz w:val="24"/>
          <w:szCs w:val="24"/>
        </w:rPr>
        <w:t xml:space="preserve"> </w:t>
      </w:r>
      <w:r w:rsidRPr="00435E60">
        <w:rPr>
          <w:bCs/>
          <w:noProof/>
          <w:sz w:val="24"/>
          <w:szCs w:val="24"/>
        </w:rPr>
        <w:t>til ≤ 10 %</w:t>
      </w:r>
      <w:r w:rsidRPr="00CF5D64">
        <w:rPr>
          <w:bCs/>
          <w:noProof/>
          <w:sz w:val="24"/>
          <w:szCs w:val="24"/>
        </w:rPr>
        <w:t xml:space="preserve"> (inklusiv</w:t>
      </w:r>
      <w:r>
        <w:rPr>
          <w:bCs/>
          <w:noProof/>
          <w:sz w:val="24"/>
          <w:szCs w:val="24"/>
        </w:rPr>
        <w:t xml:space="preserve">e nul)  af totalt som </w:t>
      </w:r>
      <w:r w:rsidRPr="00CF5D64">
        <w:rPr>
          <w:bCs/>
          <w:noProof/>
          <w:sz w:val="24"/>
          <w:szCs w:val="24"/>
        </w:rPr>
        <w:t>vurder</w:t>
      </w:r>
      <w:r>
        <w:rPr>
          <w:bCs/>
          <w:noProof/>
          <w:sz w:val="24"/>
          <w:szCs w:val="24"/>
        </w:rPr>
        <w:t>et</w:t>
      </w:r>
      <w:r w:rsidRPr="00CF5D64">
        <w:rPr>
          <w:bCs/>
          <w:noProof/>
          <w:sz w:val="24"/>
          <w:szCs w:val="24"/>
        </w:rPr>
        <w:t xml:space="preserve"> af den blindede bedømmer.</w:t>
      </w:r>
    </w:p>
    <w:p w:rsidR="0096791F" w:rsidRPr="00CF5D64" w:rsidRDefault="0096791F" w:rsidP="0096791F">
      <w:pPr>
        <w:suppressAutoHyphens/>
        <w:ind w:left="1134" w:hanging="283"/>
        <w:rPr>
          <w:bCs/>
          <w:noProof/>
          <w:sz w:val="24"/>
          <w:szCs w:val="24"/>
        </w:rPr>
      </w:pPr>
      <w:r>
        <w:rPr>
          <w:bCs/>
          <w:noProof/>
          <w:sz w:val="24"/>
          <w:szCs w:val="24"/>
          <w:vertAlign w:val="superscript"/>
        </w:rPr>
        <w:t>3)</w:t>
      </w:r>
      <w:r>
        <w:rPr>
          <w:bCs/>
          <w:noProof/>
          <w:sz w:val="24"/>
          <w:szCs w:val="24"/>
        </w:rPr>
        <w:tab/>
      </w:r>
      <w:r w:rsidRPr="00CF5D64">
        <w:rPr>
          <w:bCs/>
          <w:noProof/>
          <w:sz w:val="24"/>
          <w:szCs w:val="24"/>
        </w:rPr>
        <w:t xml:space="preserve">patienter med mindst 20 % reduktion af sygt negleareal vurderet af den blindede bedømmer ved afslutningen af behandlingen versus baseline </w:t>
      </w:r>
      <w:r>
        <w:rPr>
          <w:bCs/>
          <w:noProof/>
          <w:sz w:val="24"/>
          <w:szCs w:val="24"/>
        </w:rPr>
        <w:t>og</w:t>
      </w:r>
      <w:r w:rsidRPr="00CF5D64">
        <w:rPr>
          <w:bCs/>
          <w:noProof/>
          <w:sz w:val="24"/>
          <w:szCs w:val="24"/>
        </w:rPr>
        <w:t xml:space="preserve"> konvertering til negativ KOH og kultur.</w:t>
      </w:r>
    </w:p>
    <w:p w:rsidR="0096791F" w:rsidRPr="00CF5D64" w:rsidRDefault="0096791F" w:rsidP="0096791F">
      <w:pPr>
        <w:suppressAutoHyphens/>
        <w:ind w:left="1134" w:hanging="283"/>
        <w:rPr>
          <w:bCs/>
          <w:noProof/>
          <w:sz w:val="24"/>
          <w:szCs w:val="24"/>
        </w:rPr>
      </w:pPr>
      <w:r>
        <w:rPr>
          <w:bCs/>
          <w:noProof/>
          <w:sz w:val="24"/>
          <w:szCs w:val="24"/>
          <w:vertAlign w:val="superscript"/>
        </w:rPr>
        <w:t>4)</w:t>
      </w:r>
      <w:r>
        <w:rPr>
          <w:bCs/>
          <w:noProof/>
          <w:sz w:val="24"/>
          <w:szCs w:val="24"/>
        </w:rPr>
        <w:tab/>
        <w:t>r</w:t>
      </w:r>
      <w:r w:rsidRPr="00CF5D64">
        <w:rPr>
          <w:bCs/>
          <w:noProof/>
          <w:sz w:val="24"/>
          <w:szCs w:val="24"/>
        </w:rPr>
        <w:t xml:space="preserve">eduktion af sygt negleareal </w:t>
      </w:r>
      <w:r w:rsidRPr="00644BB0">
        <w:rPr>
          <w:bCs/>
          <w:noProof/>
          <w:sz w:val="24"/>
          <w:szCs w:val="24"/>
        </w:rPr>
        <w:t>til ≤ 10</w:t>
      </w:r>
      <w:r w:rsidRPr="00CF5D64">
        <w:rPr>
          <w:bCs/>
          <w:noProof/>
          <w:sz w:val="24"/>
          <w:szCs w:val="24"/>
        </w:rPr>
        <w:t xml:space="preserve"> % af det samlede </w:t>
      </w:r>
      <w:r>
        <w:rPr>
          <w:bCs/>
          <w:noProof/>
          <w:sz w:val="24"/>
          <w:szCs w:val="24"/>
        </w:rPr>
        <w:t xml:space="preserve">areal </w:t>
      </w:r>
      <w:r w:rsidRPr="00CF5D64">
        <w:rPr>
          <w:bCs/>
          <w:noProof/>
          <w:sz w:val="24"/>
          <w:szCs w:val="24"/>
        </w:rPr>
        <w:t>foretaget af den blindede bedømmer.</w:t>
      </w:r>
    </w:p>
    <w:p w:rsidR="0096791F" w:rsidRPr="00CF5D64" w:rsidRDefault="0096791F" w:rsidP="0096791F">
      <w:pPr>
        <w:suppressAutoHyphens/>
        <w:ind w:left="851"/>
        <w:rPr>
          <w:bCs/>
          <w:noProof/>
          <w:sz w:val="24"/>
          <w:szCs w:val="24"/>
        </w:rPr>
      </w:pPr>
    </w:p>
    <w:p w:rsidR="0096791F" w:rsidRPr="00CF5D64" w:rsidRDefault="0096791F" w:rsidP="0096791F">
      <w:pPr>
        <w:suppressAutoHyphens/>
        <w:ind w:left="851"/>
        <w:rPr>
          <w:bCs/>
          <w:noProof/>
          <w:sz w:val="24"/>
          <w:szCs w:val="24"/>
        </w:rPr>
      </w:pPr>
      <w:r w:rsidRPr="00CF5D64">
        <w:rPr>
          <w:bCs/>
          <w:noProof/>
          <w:sz w:val="24"/>
          <w:szCs w:val="24"/>
        </w:rPr>
        <w:t>Onytec neglelak viste bedre effekt sammenlignet med placebo og ciclopirox referencen. En bedre effekt blev påvist på det primære endepunkt, ”heling” og på det sekundære nøgleendepunkt, ”respondenter” ved at være 119 % højere end for referenceraten for heling (statistisk signifikant, p&lt;0,05) og 66 % højere for raten for respondenter (Statistisk signifikant, p&lt;0,05).</w:t>
      </w:r>
    </w:p>
    <w:p w:rsidR="0096791F" w:rsidRPr="00CF5D64" w:rsidRDefault="0096791F" w:rsidP="0096791F">
      <w:pPr>
        <w:suppressAutoHyphens/>
        <w:ind w:left="851"/>
        <w:rPr>
          <w:bCs/>
          <w:noProof/>
          <w:sz w:val="24"/>
          <w:szCs w:val="24"/>
        </w:rPr>
      </w:pPr>
    </w:p>
    <w:p w:rsidR="0096791F" w:rsidRPr="00CF5D64" w:rsidRDefault="0096791F" w:rsidP="0096791F">
      <w:pPr>
        <w:suppressAutoHyphens/>
        <w:ind w:left="851"/>
        <w:rPr>
          <w:bCs/>
          <w:noProof/>
          <w:sz w:val="24"/>
          <w:szCs w:val="24"/>
        </w:rPr>
      </w:pPr>
      <w:r w:rsidRPr="00CF5D64">
        <w:rPr>
          <w:bCs/>
          <w:noProof/>
          <w:sz w:val="24"/>
          <w:szCs w:val="24"/>
        </w:rPr>
        <w:t>Der blev ikke rapporteret om medicinrelaterede systemiske bivirkninger i det kliniske forsøg.</w:t>
      </w:r>
    </w:p>
    <w:p w:rsidR="0096791F" w:rsidRPr="00CF5D64" w:rsidRDefault="0096791F" w:rsidP="0096791F">
      <w:pPr>
        <w:suppressAutoHyphens/>
        <w:ind w:left="851"/>
        <w:rPr>
          <w:bCs/>
          <w:noProof/>
          <w:sz w:val="24"/>
          <w:szCs w:val="24"/>
        </w:rPr>
      </w:pPr>
    </w:p>
    <w:p w:rsidR="0096791F" w:rsidRDefault="0096791F" w:rsidP="0096791F">
      <w:pPr>
        <w:suppressAutoHyphens/>
        <w:ind w:left="851"/>
        <w:rPr>
          <w:bCs/>
          <w:noProof/>
          <w:sz w:val="24"/>
          <w:szCs w:val="24"/>
        </w:rPr>
      </w:pPr>
      <w:r>
        <w:rPr>
          <w:bCs/>
          <w:noProof/>
          <w:sz w:val="24"/>
          <w:szCs w:val="24"/>
        </w:rPr>
        <w:lastRenderedPageBreak/>
        <w:t xml:space="preserve">Tolerabiliteten på applikationssstedet blev kontinuerligt monitoreret i behandlingsperioden. Registrerede tegn og symptomer var henholdsvis 2,8 % og 7,8 % i Onytec-gruppen; 8,6 % tegn og 16 % symptomer blev registreret i referencegruppen og 7,2 % tegn og 12,4 % symptomer blev registreret i placebogruppen. Det hyppigst registrerede tegn var erytem (2,8 % i Onytec-gruppen og 8,6 % i referencegruppen). Det hyppigste symptom var brænden (2,8 % i Onytec-gruppen og 10, 7 % i referencegruppen. </w:t>
      </w:r>
    </w:p>
    <w:p w:rsidR="0096791F" w:rsidRDefault="0096791F" w:rsidP="0096791F">
      <w:pPr>
        <w:suppressAutoHyphens/>
        <w:ind w:left="851"/>
        <w:rPr>
          <w:bCs/>
          <w:noProof/>
          <w:sz w:val="24"/>
          <w:szCs w:val="24"/>
        </w:rPr>
      </w:pPr>
    </w:p>
    <w:p w:rsidR="0096791F" w:rsidRDefault="0096791F" w:rsidP="0096791F">
      <w:pPr>
        <w:suppressAutoHyphens/>
        <w:ind w:left="851"/>
        <w:rPr>
          <w:bCs/>
          <w:noProof/>
          <w:sz w:val="24"/>
          <w:szCs w:val="24"/>
        </w:rPr>
      </w:pPr>
      <w:r>
        <w:rPr>
          <w:bCs/>
          <w:noProof/>
          <w:sz w:val="24"/>
          <w:szCs w:val="24"/>
        </w:rPr>
        <w:t>Et andet randomiseret, langvarigt klinisk studie blev udført på 137 patienter med onykomykose. Det var et randomiseret, 48 ugers studie med 2 behandlingsarme, der sammenlignede Onytec neglelak appliceret dagligt med en markedsført formulering af 5 % amorolfin neglelak på akrylbasis påført 2 gange ugenligt.</w:t>
      </w:r>
    </w:p>
    <w:p w:rsidR="0096791F" w:rsidRDefault="0096791F" w:rsidP="0096791F">
      <w:pPr>
        <w:suppressAutoHyphens/>
        <w:ind w:left="851"/>
        <w:rPr>
          <w:bCs/>
          <w:noProof/>
          <w:sz w:val="24"/>
          <w:szCs w:val="24"/>
        </w:rPr>
      </w:pPr>
    </w:p>
    <w:p w:rsidR="0096791F" w:rsidRDefault="0096791F" w:rsidP="0096791F">
      <w:pPr>
        <w:suppressAutoHyphens/>
        <w:ind w:left="851"/>
        <w:rPr>
          <w:bCs/>
          <w:noProof/>
          <w:sz w:val="24"/>
          <w:szCs w:val="24"/>
        </w:rPr>
      </w:pPr>
      <w:r>
        <w:rPr>
          <w:bCs/>
          <w:noProof/>
          <w:sz w:val="24"/>
          <w:szCs w:val="24"/>
        </w:rPr>
        <w:t>Alle effektparametrene (study endpoints) blev evalueret ud fra en storetånegl.</w:t>
      </w:r>
    </w:p>
    <w:p w:rsidR="0096791F" w:rsidRDefault="0096791F" w:rsidP="0096791F">
      <w:pPr>
        <w:suppressAutoHyphens/>
        <w:ind w:left="851"/>
        <w:rPr>
          <w:bCs/>
          <w:noProof/>
          <w:sz w:val="24"/>
          <w:szCs w:val="24"/>
        </w:rPr>
      </w:pPr>
    </w:p>
    <w:p w:rsidR="0096791F" w:rsidRDefault="0096791F" w:rsidP="0096791F">
      <w:pPr>
        <w:suppressAutoHyphens/>
        <w:ind w:left="851"/>
        <w:rPr>
          <w:bCs/>
          <w:noProof/>
          <w:sz w:val="24"/>
          <w:szCs w:val="24"/>
        </w:rPr>
      </w:pPr>
      <w:r>
        <w:rPr>
          <w:bCs/>
          <w:noProof/>
          <w:sz w:val="24"/>
          <w:szCs w:val="24"/>
        </w:rPr>
        <w:t xml:space="preserve">Studiet opfyldte dets primære formål, nemlig at Onytec neglelak efter 12 ugers behandling var mindst lige så god som amorolfin 5 % i kultur-konverteringen til negativ: konvertering til negativ i kultur var 78,3 % for Onytec neglelak </w:t>
      </w:r>
      <w:r>
        <w:rPr>
          <w:bCs/>
          <w:i/>
          <w:noProof/>
          <w:sz w:val="24"/>
          <w:szCs w:val="24"/>
        </w:rPr>
        <w:t>versus</w:t>
      </w:r>
      <w:r>
        <w:rPr>
          <w:bCs/>
          <w:noProof/>
          <w:sz w:val="24"/>
          <w:szCs w:val="24"/>
        </w:rPr>
        <w:t xml:space="preserve"> 64,7 % amorolfin 5 % neglelak, hvilket giver en forskel på 13,6 % mellem behandlingerne (95 % CI [-1,4 ; 28,5]).</w:t>
      </w:r>
    </w:p>
    <w:p w:rsidR="0096791F" w:rsidRDefault="0096791F" w:rsidP="0096791F">
      <w:pPr>
        <w:suppressAutoHyphens/>
        <w:ind w:left="851"/>
        <w:rPr>
          <w:bCs/>
          <w:noProof/>
          <w:sz w:val="24"/>
          <w:szCs w:val="24"/>
        </w:rPr>
      </w:pPr>
    </w:p>
    <w:p w:rsidR="0096791F" w:rsidRDefault="0096791F" w:rsidP="0096791F">
      <w:pPr>
        <w:suppressAutoHyphens/>
        <w:ind w:left="851"/>
        <w:rPr>
          <w:bCs/>
          <w:noProof/>
          <w:sz w:val="24"/>
          <w:szCs w:val="24"/>
        </w:rPr>
      </w:pPr>
      <w:r>
        <w:rPr>
          <w:bCs/>
          <w:noProof/>
          <w:sz w:val="24"/>
          <w:szCs w:val="24"/>
        </w:rPr>
        <w:t>Efter 48 ugers behandling var andelen af patienter med fuldstændig heling, behandlingssuccess/respondenter og mykologisk heling i Onytec-gruppen konsekvent højere end i referencegruppen.</w:t>
      </w:r>
    </w:p>
    <w:p w:rsidR="0096791F" w:rsidRDefault="0096791F" w:rsidP="0096791F">
      <w:pPr>
        <w:suppressAutoHyphens/>
        <w:ind w:left="851"/>
        <w:rPr>
          <w:bCs/>
          <w:noProof/>
          <w:sz w:val="24"/>
          <w:szCs w:val="24"/>
        </w:rPr>
      </w:pPr>
    </w:p>
    <w:p w:rsidR="0096791F" w:rsidRDefault="0096791F" w:rsidP="0096791F">
      <w:pPr>
        <w:suppressAutoHyphens/>
        <w:ind w:left="851"/>
        <w:rPr>
          <w:bCs/>
          <w:noProof/>
          <w:sz w:val="24"/>
          <w:szCs w:val="24"/>
        </w:rPr>
      </w:pPr>
      <w:r>
        <w:rPr>
          <w:bCs/>
          <w:noProof/>
          <w:sz w:val="24"/>
          <w:szCs w:val="24"/>
        </w:rPr>
        <w:t>Tabel over resultaterne efter endt behandling (uge 48)</w:t>
      </w:r>
    </w:p>
    <w:tbl>
      <w:tblPr>
        <w:tblStyle w:val="Tabel-Gitter"/>
        <w:tblW w:w="0" w:type="auto"/>
        <w:tblInd w:w="851" w:type="dxa"/>
        <w:tblLook w:val="04A0" w:firstRow="1" w:lastRow="0" w:firstColumn="1" w:lastColumn="0" w:noHBand="0" w:noVBand="1"/>
      </w:tblPr>
      <w:tblGrid>
        <w:gridCol w:w="2216"/>
        <w:gridCol w:w="1624"/>
        <w:gridCol w:w="1670"/>
        <w:gridCol w:w="1593"/>
        <w:gridCol w:w="1674"/>
      </w:tblGrid>
      <w:tr w:rsidR="0096791F" w:rsidTr="003B4BCE">
        <w:tc>
          <w:tcPr>
            <w:tcW w:w="1925" w:type="dxa"/>
            <w:tcBorders>
              <w:top w:val="single" w:sz="4" w:space="0" w:color="auto"/>
              <w:left w:val="single" w:sz="4" w:space="0" w:color="auto"/>
              <w:bottom w:val="single" w:sz="4" w:space="0" w:color="auto"/>
              <w:right w:val="single" w:sz="4" w:space="0" w:color="auto"/>
            </w:tcBorders>
            <w:hideMark/>
          </w:tcPr>
          <w:p w:rsidR="0096791F" w:rsidRDefault="0096791F" w:rsidP="003B4BCE">
            <w:pPr>
              <w:suppressAutoHyphens/>
              <w:rPr>
                <w:bCs/>
                <w:noProof/>
                <w:sz w:val="24"/>
                <w:szCs w:val="24"/>
              </w:rPr>
            </w:pPr>
            <w:r>
              <w:rPr>
                <w:bCs/>
                <w:noProof/>
                <w:sz w:val="24"/>
                <w:szCs w:val="24"/>
              </w:rPr>
              <w:t>Effektparametre</w:t>
            </w:r>
          </w:p>
        </w:tc>
        <w:tc>
          <w:tcPr>
            <w:tcW w:w="1925" w:type="dxa"/>
            <w:tcBorders>
              <w:top w:val="single" w:sz="4" w:space="0" w:color="auto"/>
              <w:left w:val="single" w:sz="4" w:space="0" w:color="auto"/>
              <w:bottom w:val="single" w:sz="4" w:space="0" w:color="auto"/>
              <w:right w:val="single" w:sz="4" w:space="0" w:color="auto"/>
            </w:tcBorders>
            <w:hideMark/>
          </w:tcPr>
          <w:p w:rsidR="0096791F" w:rsidRDefault="0096791F" w:rsidP="003B4BCE">
            <w:pPr>
              <w:suppressAutoHyphens/>
              <w:rPr>
                <w:bCs/>
                <w:noProof/>
                <w:sz w:val="24"/>
                <w:szCs w:val="24"/>
              </w:rPr>
            </w:pPr>
            <w:r>
              <w:rPr>
                <w:bCs/>
                <w:noProof/>
                <w:sz w:val="24"/>
                <w:szCs w:val="24"/>
              </w:rPr>
              <w:t>Onytec neglelak</w:t>
            </w:r>
          </w:p>
        </w:tc>
        <w:tc>
          <w:tcPr>
            <w:tcW w:w="1926" w:type="dxa"/>
            <w:tcBorders>
              <w:top w:val="single" w:sz="4" w:space="0" w:color="auto"/>
              <w:left w:val="single" w:sz="4" w:space="0" w:color="auto"/>
              <w:bottom w:val="single" w:sz="4" w:space="0" w:color="auto"/>
              <w:right w:val="single" w:sz="4" w:space="0" w:color="auto"/>
            </w:tcBorders>
            <w:hideMark/>
          </w:tcPr>
          <w:p w:rsidR="0096791F" w:rsidRDefault="0096791F" w:rsidP="003B4BCE">
            <w:pPr>
              <w:suppressAutoHyphens/>
              <w:rPr>
                <w:bCs/>
                <w:noProof/>
                <w:sz w:val="24"/>
                <w:szCs w:val="24"/>
              </w:rPr>
            </w:pPr>
            <w:r>
              <w:rPr>
                <w:bCs/>
                <w:noProof/>
                <w:sz w:val="24"/>
                <w:szCs w:val="24"/>
              </w:rPr>
              <w:t>5 % amorolfin neglelak</w:t>
            </w:r>
          </w:p>
        </w:tc>
        <w:tc>
          <w:tcPr>
            <w:tcW w:w="1926" w:type="dxa"/>
            <w:tcBorders>
              <w:top w:val="single" w:sz="4" w:space="0" w:color="auto"/>
              <w:left w:val="single" w:sz="4" w:space="0" w:color="auto"/>
              <w:bottom w:val="single" w:sz="4" w:space="0" w:color="auto"/>
              <w:right w:val="single" w:sz="4" w:space="0" w:color="auto"/>
            </w:tcBorders>
            <w:hideMark/>
          </w:tcPr>
          <w:p w:rsidR="0096791F" w:rsidRDefault="0096791F" w:rsidP="003B4BCE">
            <w:pPr>
              <w:suppressAutoHyphens/>
              <w:rPr>
                <w:bCs/>
                <w:noProof/>
                <w:sz w:val="24"/>
                <w:szCs w:val="24"/>
              </w:rPr>
            </w:pPr>
            <w:r>
              <w:rPr>
                <w:bCs/>
                <w:noProof/>
                <w:sz w:val="24"/>
                <w:szCs w:val="24"/>
              </w:rPr>
              <w:t>Forskel (%)</w:t>
            </w:r>
          </w:p>
        </w:tc>
        <w:tc>
          <w:tcPr>
            <w:tcW w:w="1926" w:type="dxa"/>
            <w:tcBorders>
              <w:top w:val="single" w:sz="4" w:space="0" w:color="auto"/>
              <w:left w:val="single" w:sz="4" w:space="0" w:color="auto"/>
              <w:bottom w:val="single" w:sz="4" w:space="0" w:color="auto"/>
              <w:right w:val="single" w:sz="4" w:space="0" w:color="auto"/>
            </w:tcBorders>
            <w:hideMark/>
          </w:tcPr>
          <w:p w:rsidR="0096791F" w:rsidRDefault="0096791F" w:rsidP="003B4BCE">
            <w:pPr>
              <w:suppressAutoHyphens/>
              <w:rPr>
                <w:bCs/>
                <w:noProof/>
                <w:sz w:val="24"/>
                <w:szCs w:val="24"/>
              </w:rPr>
            </w:pPr>
            <w:r>
              <w:rPr>
                <w:bCs/>
                <w:noProof/>
                <w:sz w:val="24"/>
                <w:szCs w:val="24"/>
              </w:rPr>
              <w:t>95 % CI for forskellen</w:t>
            </w:r>
          </w:p>
        </w:tc>
      </w:tr>
      <w:tr w:rsidR="0096791F" w:rsidTr="003B4BCE">
        <w:tc>
          <w:tcPr>
            <w:tcW w:w="1925" w:type="dxa"/>
            <w:tcBorders>
              <w:top w:val="single" w:sz="4" w:space="0" w:color="auto"/>
              <w:left w:val="single" w:sz="4" w:space="0" w:color="auto"/>
              <w:bottom w:val="single" w:sz="4" w:space="0" w:color="auto"/>
              <w:right w:val="single" w:sz="4" w:space="0" w:color="auto"/>
            </w:tcBorders>
            <w:hideMark/>
          </w:tcPr>
          <w:p w:rsidR="0096791F" w:rsidRDefault="0096791F" w:rsidP="003B4BCE">
            <w:pPr>
              <w:suppressAutoHyphens/>
              <w:rPr>
                <w:bCs/>
                <w:noProof/>
                <w:sz w:val="24"/>
                <w:szCs w:val="24"/>
              </w:rPr>
            </w:pPr>
            <w:r>
              <w:rPr>
                <w:bCs/>
                <w:noProof/>
                <w:sz w:val="24"/>
                <w:szCs w:val="24"/>
              </w:rPr>
              <w:t>Fuldstændig heling</w:t>
            </w:r>
            <w:r>
              <w:rPr>
                <w:bCs/>
                <w:noProof/>
                <w:sz w:val="24"/>
                <w:szCs w:val="24"/>
                <w:vertAlign w:val="superscript"/>
              </w:rPr>
              <w:t>1</w:t>
            </w:r>
            <w:r>
              <w:rPr>
                <w:bCs/>
                <w:noProof/>
                <w:sz w:val="24"/>
                <w:szCs w:val="24"/>
              </w:rPr>
              <w:t xml:space="preserve"> </w:t>
            </w:r>
          </w:p>
        </w:tc>
        <w:tc>
          <w:tcPr>
            <w:tcW w:w="1925" w:type="dxa"/>
            <w:tcBorders>
              <w:top w:val="single" w:sz="4" w:space="0" w:color="auto"/>
              <w:left w:val="single" w:sz="4" w:space="0" w:color="auto"/>
              <w:bottom w:val="single" w:sz="4" w:space="0" w:color="auto"/>
              <w:right w:val="single" w:sz="4" w:space="0" w:color="auto"/>
            </w:tcBorders>
            <w:hideMark/>
          </w:tcPr>
          <w:p w:rsidR="0096791F" w:rsidRDefault="0096791F" w:rsidP="003B4BCE">
            <w:pPr>
              <w:suppressAutoHyphens/>
              <w:rPr>
                <w:bCs/>
                <w:noProof/>
                <w:sz w:val="24"/>
                <w:szCs w:val="24"/>
              </w:rPr>
            </w:pPr>
            <w:r>
              <w:rPr>
                <w:bCs/>
                <w:noProof/>
                <w:sz w:val="24"/>
                <w:szCs w:val="24"/>
              </w:rPr>
              <w:t>35,0 %</w:t>
            </w:r>
          </w:p>
        </w:tc>
        <w:tc>
          <w:tcPr>
            <w:tcW w:w="1926" w:type="dxa"/>
            <w:tcBorders>
              <w:top w:val="single" w:sz="4" w:space="0" w:color="auto"/>
              <w:left w:val="single" w:sz="4" w:space="0" w:color="auto"/>
              <w:bottom w:val="single" w:sz="4" w:space="0" w:color="auto"/>
              <w:right w:val="single" w:sz="4" w:space="0" w:color="auto"/>
            </w:tcBorders>
            <w:hideMark/>
          </w:tcPr>
          <w:p w:rsidR="0096791F" w:rsidRDefault="0096791F" w:rsidP="003B4BCE">
            <w:pPr>
              <w:suppressAutoHyphens/>
              <w:rPr>
                <w:bCs/>
                <w:noProof/>
                <w:sz w:val="24"/>
                <w:szCs w:val="24"/>
              </w:rPr>
            </w:pPr>
            <w:r>
              <w:rPr>
                <w:bCs/>
                <w:noProof/>
                <w:sz w:val="24"/>
                <w:szCs w:val="24"/>
              </w:rPr>
              <w:t>11,7 %</w:t>
            </w:r>
          </w:p>
        </w:tc>
        <w:tc>
          <w:tcPr>
            <w:tcW w:w="1926" w:type="dxa"/>
            <w:tcBorders>
              <w:top w:val="single" w:sz="4" w:space="0" w:color="auto"/>
              <w:left w:val="single" w:sz="4" w:space="0" w:color="auto"/>
              <w:bottom w:val="single" w:sz="4" w:space="0" w:color="auto"/>
              <w:right w:val="single" w:sz="4" w:space="0" w:color="auto"/>
            </w:tcBorders>
            <w:hideMark/>
          </w:tcPr>
          <w:p w:rsidR="0096791F" w:rsidRDefault="0096791F" w:rsidP="003B4BCE">
            <w:pPr>
              <w:suppressAutoHyphens/>
              <w:rPr>
                <w:bCs/>
                <w:noProof/>
                <w:sz w:val="24"/>
                <w:szCs w:val="24"/>
              </w:rPr>
            </w:pPr>
            <w:r>
              <w:rPr>
                <w:bCs/>
                <w:noProof/>
                <w:sz w:val="24"/>
                <w:szCs w:val="24"/>
              </w:rPr>
              <w:t>23,3**</w:t>
            </w:r>
          </w:p>
        </w:tc>
        <w:tc>
          <w:tcPr>
            <w:tcW w:w="1926" w:type="dxa"/>
            <w:tcBorders>
              <w:top w:val="single" w:sz="4" w:space="0" w:color="auto"/>
              <w:left w:val="single" w:sz="4" w:space="0" w:color="auto"/>
              <w:bottom w:val="single" w:sz="4" w:space="0" w:color="auto"/>
              <w:right w:val="single" w:sz="4" w:space="0" w:color="auto"/>
            </w:tcBorders>
            <w:hideMark/>
          </w:tcPr>
          <w:p w:rsidR="0096791F" w:rsidRDefault="0096791F" w:rsidP="003B4BCE">
            <w:pPr>
              <w:suppressAutoHyphens/>
              <w:rPr>
                <w:bCs/>
                <w:noProof/>
                <w:sz w:val="24"/>
                <w:szCs w:val="24"/>
              </w:rPr>
            </w:pPr>
            <w:r>
              <w:rPr>
                <w:bCs/>
                <w:noProof/>
                <w:sz w:val="24"/>
                <w:szCs w:val="24"/>
              </w:rPr>
              <w:t>8,8; 37,9</w:t>
            </w:r>
          </w:p>
        </w:tc>
      </w:tr>
      <w:tr w:rsidR="0096791F" w:rsidTr="003B4BCE">
        <w:tc>
          <w:tcPr>
            <w:tcW w:w="1925" w:type="dxa"/>
            <w:tcBorders>
              <w:top w:val="single" w:sz="4" w:space="0" w:color="auto"/>
              <w:left w:val="single" w:sz="4" w:space="0" w:color="auto"/>
              <w:bottom w:val="single" w:sz="4" w:space="0" w:color="auto"/>
              <w:right w:val="single" w:sz="4" w:space="0" w:color="auto"/>
            </w:tcBorders>
            <w:hideMark/>
          </w:tcPr>
          <w:p w:rsidR="0096791F" w:rsidRDefault="0096791F" w:rsidP="003B4BCE">
            <w:pPr>
              <w:suppressAutoHyphens/>
              <w:rPr>
                <w:bCs/>
                <w:noProof/>
                <w:sz w:val="24"/>
                <w:szCs w:val="24"/>
              </w:rPr>
            </w:pPr>
            <w:r>
              <w:rPr>
                <w:bCs/>
                <w:noProof/>
                <w:sz w:val="24"/>
                <w:szCs w:val="24"/>
              </w:rPr>
              <w:t>Behandlingssuccess</w:t>
            </w:r>
            <w:r>
              <w:rPr>
                <w:bCs/>
                <w:noProof/>
                <w:sz w:val="24"/>
                <w:szCs w:val="24"/>
                <w:vertAlign w:val="superscript"/>
              </w:rPr>
              <w:t>2</w:t>
            </w:r>
          </w:p>
        </w:tc>
        <w:tc>
          <w:tcPr>
            <w:tcW w:w="1925" w:type="dxa"/>
            <w:tcBorders>
              <w:top w:val="single" w:sz="4" w:space="0" w:color="auto"/>
              <w:left w:val="single" w:sz="4" w:space="0" w:color="auto"/>
              <w:bottom w:val="single" w:sz="4" w:space="0" w:color="auto"/>
              <w:right w:val="single" w:sz="4" w:space="0" w:color="auto"/>
            </w:tcBorders>
            <w:hideMark/>
          </w:tcPr>
          <w:p w:rsidR="0096791F" w:rsidRDefault="0096791F" w:rsidP="003B4BCE">
            <w:pPr>
              <w:suppressAutoHyphens/>
              <w:rPr>
                <w:bCs/>
                <w:noProof/>
                <w:sz w:val="24"/>
                <w:szCs w:val="24"/>
              </w:rPr>
            </w:pPr>
            <w:r>
              <w:rPr>
                <w:bCs/>
                <w:noProof/>
                <w:sz w:val="24"/>
                <w:szCs w:val="24"/>
              </w:rPr>
              <w:t>58,3 %</w:t>
            </w:r>
          </w:p>
        </w:tc>
        <w:tc>
          <w:tcPr>
            <w:tcW w:w="1926" w:type="dxa"/>
            <w:tcBorders>
              <w:top w:val="single" w:sz="4" w:space="0" w:color="auto"/>
              <w:left w:val="single" w:sz="4" w:space="0" w:color="auto"/>
              <w:bottom w:val="single" w:sz="4" w:space="0" w:color="auto"/>
              <w:right w:val="single" w:sz="4" w:space="0" w:color="auto"/>
            </w:tcBorders>
            <w:hideMark/>
          </w:tcPr>
          <w:p w:rsidR="0096791F" w:rsidRDefault="0096791F" w:rsidP="003B4BCE">
            <w:pPr>
              <w:suppressAutoHyphens/>
              <w:rPr>
                <w:bCs/>
                <w:noProof/>
                <w:sz w:val="24"/>
                <w:szCs w:val="24"/>
              </w:rPr>
            </w:pPr>
            <w:r>
              <w:rPr>
                <w:bCs/>
                <w:noProof/>
                <w:sz w:val="24"/>
                <w:szCs w:val="24"/>
              </w:rPr>
              <w:t>26,7 %</w:t>
            </w:r>
          </w:p>
        </w:tc>
        <w:tc>
          <w:tcPr>
            <w:tcW w:w="1926" w:type="dxa"/>
            <w:tcBorders>
              <w:top w:val="single" w:sz="4" w:space="0" w:color="auto"/>
              <w:left w:val="single" w:sz="4" w:space="0" w:color="auto"/>
              <w:bottom w:val="single" w:sz="4" w:space="0" w:color="auto"/>
              <w:right w:val="single" w:sz="4" w:space="0" w:color="auto"/>
            </w:tcBorders>
            <w:hideMark/>
          </w:tcPr>
          <w:p w:rsidR="0096791F" w:rsidRDefault="0096791F" w:rsidP="003B4BCE">
            <w:pPr>
              <w:suppressAutoHyphens/>
              <w:rPr>
                <w:bCs/>
                <w:noProof/>
                <w:sz w:val="24"/>
                <w:szCs w:val="24"/>
              </w:rPr>
            </w:pPr>
            <w:r>
              <w:rPr>
                <w:bCs/>
                <w:noProof/>
                <w:sz w:val="24"/>
                <w:szCs w:val="24"/>
              </w:rPr>
              <w:t>31,7**</w:t>
            </w:r>
          </w:p>
        </w:tc>
        <w:tc>
          <w:tcPr>
            <w:tcW w:w="1926" w:type="dxa"/>
            <w:tcBorders>
              <w:top w:val="single" w:sz="4" w:space="0" w:color="auto"/>
              <w:left w:val="single" w:sz="4" w:space="0" w:color="auto"/>
              <w:bottom w:val="single" w:sz="4" w:space="0" w:color="auto"/>
              <w:right w:val="single" w:sz="4" w:space="0" w:color="auto"/>
            </w:tcBorders>
            <w:hideMark/>
          </w:tcPr>
          <w:p w:rsidR="0096791F" w:rsidRDefault="0096791F" w:rsidP="003B4BCE">
            <w:pPr>
              <w:suppressAutoHyphens/>
              <w:rPr>
                <w:bCs/>
                <w:noProof/>
                <w:sz w:val="24"/>
                <w:szCs w:val="24"/>
              </w:rPr>
            </w:pPr>
            <w:r>
              <w:rPr>
                <w:bCs/>
                <w:noProof/>
                <w:sz w:val="24"/>
                <w:szCs w:val="24"/>
              </w:rPr>
              <w:t>14,9; 48,4</w:t>
            </w:r>
          </w:p>
        </w:tc>
      </w:tr>
      <w:tr w:rsidR="0096791F" w:rsidTr="003B4BCE">
        <w:tc>
          <w:tcPr>
            <w:tcW w:w="1925" w:type="dxa"/>
            <w:tcBorders>
              <w:top w:val="single" w:sz="4" w:space="0" w:color="auto"/>
              <w:left w:val="single" w:sz="4" w:space="0" w:color="auto"/>
              <w:bottom w:val="single" w:sz="4" w:space="0" w:color="auto"/>
              <w:right w:val="single" w:sz="4" w:space="0" w:color="auto"/>
            </w:tcBorders>
            <w:hideMark/>
          </w:tcPr>
          <w:p w:rsidR="0096791F" w:rsidRDefault="0096791F" w:rsidP="003B4BCE">
            <w:pPr>
              <w:suppressAutoHyphens/>
              <w:rPr>
                <w:bCs/>
                <w:noProof/>
                <w:sz w:val="24"/>
                <w:szCs w:val="24"/>
              </w:rPr>
            </w:pPr>
            <w:r>
              <w:rPr>
                <w:bCs/>
                <w:noProof/>
                <w:sz w:val="24"/>
                <w:szCs w:val="24"/>
              </w:rPr>
              <w:t>Mykologisk heling</w:t>
            </w:r>
            <w:r>
              <w:rPr>
                <w:bCs/>
                <w:noProof/>
                <w:sz w:val="24"/>
                <w:szCs w:val="24"/>
                <w:vertAlign w:val="superscript"/>
              </w:rPr>
              <w:t>3</w:t>
            </w:r>
          </w:p>
        </w:tc>
        <w:tc>
          <w:tcPr>
            <w:tcW w:w="1925" w:type="dxa"/>
            <w:tcBorders>
              <w:top w:val="single" w:sz="4" w:space="0" w:color="auto"/>
              <w:left w:val="single" w:sz="4" w:space="0" w:color="auto"/>
              <w:bottom w:val="single" w:sz="4" w:space="0" w:color="auto"/>
              <w:right w:val="single" w:sz="4" w:space="0" w:color="auto"/>
            </w:tcBorders>
            <w:hideMark/>
          </w:tcPr>
          <w:p w:rsidR="0096791F" w:rsidRDefault="0096791F" w:rsidP="003B4BCE">
            <w:pPr>
              <w:suppressAutoHyphens/>
              <w:rPr>
                <w:bCs/>
                <w:noProof/>
                <w:sz w:val="24"/>
                <w:szCs w:val="24"/>
              </w:rPr>
            </w:pPr>
            <w:r>
              <w:rPr>
                <w:bCs/>
                <w:noProof/>
                <w:sz w:val="24"/>
                <w:szCs w:val="24"/>
              </w:rPr>
              <w:t>100 %</w:t>
            </w:r>
          </w:p>
        </w:tc>
        <w:tc>
          <w:tcPr>
            <w:tcW w:w="1926" w:type="dxa"/>
            <w:tcBorders>
              <w:top w:val="single" w:sz="4" w:space="0" w:color="auto"/>
              <w:left w:val="single" w:sz="4" w:space="0" w:color="auto"/>
              <w:bottom w:val="single" w:sz="4" w:space="0" w:color="auto"/>
              <w:right w:val="single" w:sz="4" w:space="0" w:color="auto"/>
            </w:tcBorders>
            <w:hideMark/>
          </w:tcPr>
          <w:p w:rsidR="0096791F" w:rsidRDefault="0096791F" w:rsidP="003B4BCE">
            <w:pPr>
              <w:suppressAutoHyphens/>
              <w:rPr>
                <w:bCs/>
                <w:noProof/>
                <w:sz w:val="24"/>
                <w:szCs w:val="24"/>
              </w:rPr>
            </w:pPr>
            <w:r>
              <w:rPr>
                <w:bCs/>
                <w:noProof/>
                <w:sz w:val="24"/>
                <w:szCs w:val="24"/>
              </w:rPr>
              <w:t>81,7 %</w:t>
            </w:r>
          </w:p>
        </w:tc>
        <w:tc>
          <w:tcPr>
            <w:tcW w:w="1926" w:type="dxa"/>
            <w:tcBorders>
              <w:top w:val="single" w:sz="4" w:space="0" w:color="auto"/>
              <w:left w:val="single" w:sz="4" w:space="0" w:color="auto"/>
              <w:bottom w:val="single" w:sz="4" w:space="0" w:color="auto"/>
              <w:right w:val="single" w:sz="4" w:space="0" w:color="auto"/>
            </w:tcBorders>
            <w:hideMark/>
          </w:tcPr>
          <w:p w:rsidR="0096791F" w:rsidRDefault="0096791F" w:rsidP="003B4BCE">
            <w:pPr>
              <w:suppressAutoHyphens/>
              <w:rPr>
                <w:bCs/>
                <w:noProof/>
                <w:sz w:val="24"/>
                <w:szCs w:val="24"/>
              </w:rPr>
            </w:pPr>
            <w:r>
              <w:rPr>
                <w:bCs/>
                <w:noProof/>
                <w:sz w:val="24"/>
                <w:szCs w:val="24"/>
              </w:rPr>
              <w:t>18,3**</w:t>
            </w:r>
          </w:p>
        </w:tc>
        <w:tc>
          <w:tcPr>
            <w:tcW w:w="1926" w:type="dxa"/>
            <w:tcBorders>
              <w:top w:val="single" w:sz="4" w:space="0" w:color="auto"/>
              <w:left w:val="single" w:sz="4" w:space="0" w:color="auto"/>
              <w:bottom w:val="single" w:sz="4" w:space="0" w:color="auto"/>
              <w:right w:val="single" w:sz="4" w:space="0" w:color="auto"/>
            </w:tcBorders>
            <w:hideMark/>
          </w:tcPr>
          <w:p w:rsidR="0096791F" w:rsidRDefault="0096791F" w:rsidP="003B4BCE">
            <w:pPr>
              <w:suppressAutoHyphens/>
              <w:rPr>
                <w:bCs/>
                <w:noProof/>
                <w:sz w:val="24"/>
                <w:szCs w:val="24"/>
              </w:rPr>
            </w:pPr>
            <w:r>
              <w:rPr>
                <w:bCs/>
                <w:noProof/>
                <w:sz w:val="24"/>
                <w:szCs w:val="24"/>
              </w:rPr>
              <w:t>8,5; 28,1</w:t>
            </w:r>
          </w:p>
        </w:tc>
      </w:tr>
    </w:tbl>
    <w:p w:rsidR="0096791F" w:rsidRDefault="0096791F" w:rsidP="0096791F">
      <w:pPr>
        <w:pStyle w:val="Listeafsnit"/>
        <w:suppressAutoHyphens/>
        <w:ind w:left="1211"/>
        <w:rPr>
          <w:bCs/>
          <w:noProof/>
          <w:sz w:val="24"/>
          <w:szCs w:val="24"/>
        </w:rPr>
      </w:pPr>
    </w:p>
    <w:p w:rsidR="0096791F" w:rsidRDefault="0096791F" w:rsidP="0096791F">
      <w:pPr>
        <w:pStyle w:val="Listeafsnit"/>
        <w:numPr>
          <w:ilvl w:val="0"/>
          <w:numId w:val="6"/>
        </w:numPr>
        <w:suppressAutoHyphens/>
        <w:rPr>
          <w:bCs/>
          <w:noProof/>
          <w:sz w:val="24"/>
          <w:szCs w:val="24"/>
        </w:rPr>
      </w:pPr>
      <w:r>
        <w:rPr>
          <w:bCs/>
          <w:noProof/>
          <w:sz w:val="24"/>
          <w:szCs w:val="24"/>
        </w:rPr>
        <w:t>Konvertering til negativ af både KOH mikroskopi og svampekultur og 100 % sundt udseende storetånegl, vurderet af den blindede bedømmer.</w:t>
      </w:r>
    </w:p>
    <w:p w:rsidR="0096791F" w:rsidRDefault="0096791F" w:rsidP="0096791F">
      <w:pPr>
        <w:pStyle w:val="Listeafsnit"/>
        <w:numPr>
          <w:ilvl w:val="0"/>
          <w:numId w:val="6"/>
        </w:numPr>
        <w:suppressAutoHyphens/>
        <w:rPr>
          <w:bCs/>
          <w:noProof/>
          <w:sz w:val="24"/>
          <w:szCs w:val="24"/>
        </w:rPr>
      </w:pPr>
      <w:r>
        <w:rPr>
          <w:bCs/>
          <w:noProof/>
          <w:sz w:val="24"/>
          <w:szCs w:val="24"/>
        </w:rPr>
        <w:t>Konvertering til negativ for både KOH mikroskopi og svampekultur og reduktion af sygt negleområde til ≤ 10 % af totalt, vurderet af den blindede bedømmer.</w:t>
      </w:r>
    </w:p>
    <w:p w:rsidR="0096791F" w:rsidRDefault="0096791F" w:rsidP="0096791F">
      <w:pPr>
        <w:pStyle w:val="Listeafsnit"/>
        <w:numPr>
          <w:ilvl w:val="0"/>
          <w:numId w:val="6"/>
        </w:numPr>
        <w:suppressAutoHyphens/>
        <w:rPr>
          <w:bCs/>
          <w:noProof/>
          <w:sz w:val="24"/>
          <w:szCs w:val="24"/>
        </w:rPr>
      </w:pPr>
      <w:r>
        <w:rPr>
          <w:bCs/>
          <w:noProof/>
          <w:sz w:val="24"/>
          <w:szCs w:val="24"/>
        </w:rPr>
        <w:t>Konvertering til negativ for både KOH mikroskopi og svampekultur.</w:t>
      </w:r>
    </w:p>
    <w:p w:rsidR="0096791F" w:rsidRDefault="0096791F" w:rsidP="0096791F">
      <w:pPr>
        <w:suppressAutoHyphens/>
        <w:ind w:left="851"/>
        <w:rPr>
          <w:bCs/>
          <w:noProof/>
          <w:sz w:val="24"/>
          <w:szCs w:val="24"/>
        </w:rPr>
      </w:pPr>
      <w:r>
        <w:rPr>
          <w:bCs/>
          <w:noProof/>
          <w:sz w:val="24"/>
          <w:szCs w:val="24"/>
          <w:vertAlign w:val="superscript"/>
        </w:rPr>
        <w:t>**)</w:t>
      </w:r>
      <w:r>
        <w:rPr>
          <w:bCs/>
          <w:noProof/>
          <w:sz w:val="24"/>
          <w:szCs w:val="24"/>
        </w:rPr>
        <w:t xml:space="preserve">   p &lt; 0,001.</w:t>
      </w:r>
    </w:p>
    <w:p w:rsidR="0096791F" w:rsidRDefault="0096791F" w:rsidP="0096791F">
      <w:pPr>
        <w:suppressAutoHyphens/>
        <w:ind w:left="851"/>
        <w:rPr>
          <w:bCs/>
          <w:noProof/>
          <w:sz w:val="24"/>
          <w:szCs w:val="24"/>
        </w:rPr>
      </w:pPr>
    </w:p>
    <w:p w:rsidR="0096791F" w:rsidRDefault="0096791F" w:rsidP="0096791F">
      <w:pPr>
        <w:suppressAutoHyphens/>
        <w:ind w:left="851"/>
        <w:rPr>
          <w:bCs/>
          <w:noProof/>
          <w:sz w:val="24"/>
          <w:szCs w:val="24"/>
        </w:rPr>
      </w:pPr>
      <w:r>
        <w:rPr>
          <w:bCs/>
          <w:noProof/>
          <w:sz w:val="24"/>
          <w:szCs w:val="24"/>
        </w:rPr>
        <w:t>I dette kliniske studie blev der heller ikke rapporteret nogen systemiske bivirkninger relateret til lægemidlet.</w:t>
      </w:r>
    </w:p>
    <w:p w:rsidR="0096791F" w:rsidRDefault="0096791F" w:rsidP="0096791F">
      <w:pPr>
        <w:suppressAutoHyphens/>
        <w:ind w:left="851"/>
        <w:rPr>
          <w:bCs/>
          <w:noProof/>
          <w:sz w:val="24"/>
          <w:szCs w:val="24"/>
        </w:rPr>
      </w:pPr>
    </w:p>
    <w:p w:rsidR="0096791F" w:rsidRPr="00026457" w:rsidRDefault="0096791F" w:rsidP="00026457">
      <w:pPr>
        <w:suppressAutoHyphens/>
        <w:ind w:left="851"/>
        <w:rPr>
          <w:bCs/>
          <w:noProof/>
          <w:sz w:val="24"/>
          <w:szCs w:val="24"/>
        </w:rPr>
      </w:pPr>
      <w:r>
        <w:rPr>
          <w:bCs/>
          <w:noProof/>
          <w:sz w:val="24"/>
          <w:szCs w:val="24"/>
        </w:rPr>
        <w:t>Onytec neglelak var veltolereret både med hensyn til lokale og generelle bivirkninger. Irritationstegn blev kun fundet hos 2,06 % af Onytec neglelak-gruppen på huden omkring de behandlede negle.</w:t>
      </w:r>
    </w:p>
    <w:p w:rsidR="0096791F" w:rsidRPr="00CF5D64" w:rsidRDefault="0096791F" w:rsidP="0096791F">
      <w:pPr>
        <w:tabs>
          <w:tab w:val="left" w:pos="851"/>
        </w:tabs>
        <w:ind w:left="851"/>
        <w:rPr>
          <w:sz w:val="24"/>
          <w:szCs w:val="24"/>
        </w:rPr>
      </w:pPr>
    </w:p>
    <w:p w:rsidR="0096791F" w:rsidRPr="00CF5D64" w:rsidRDefault="0096791F" w:rsidP="0096791F">
      <w:pPr>
        <w:numPr>
          <w:ilvl w:val="1"/>
          <w:numId w:val="3"/>
        </w:numPr>
        <w:rPr>
          <w:b/>
          <w:sz w:val="24"/>
          <w:szCs w:val="24"/>
        </w:rPr>
      </w:pPr>
      <w:proofErr w:type="spellStart"/>
      <w:r w:rsidRPr="00CF5D64">
        <w:rPr>
          <w:b/>
          <w:sz w:val="24"/>
          <w:szCs w:val="24"/>
        </w:rPr>
        <w:t>Farmakokinetiske</w:t>
      </w:r>
      <w:proofErr w:type="spellEnd"/>
      <w:r w:rsidRPr="00CF5D64">
        <w:rPr>
          <w:b/>
          <w:sz w:val="24"/>
          <w:szCs w:val="24"/>
        </w:rPr>
        <w:t xml:space="preserve"> egenskaber</w:t>
      </w:r>
    </w:p>
    <w:p w:rsidR="0096791F" w:rsidRPr="00CF5D64" w:rsidRDefault="0096791F" w:rsidP="0096791F">
      <w:pPr>
        <w:ind w:left="851"/>
        <w:rPr>
          <w:noProof/>
          <w:sz w:val="24"/>
          <w:szCs w:val="24"/>
        </w:rPr>
      </w:pPr>
      <w:proofErr w:type="spellStart"/>
      <w:r w:rsidRPr="00CF5D64">
        <w:rPr>
          <w:sz w:val="24"/>
          <w:szCs w:val="24"/>
        </w:rPr>
        <w:t>Onytec</w:t>
      </w:r>
      <w:proofErr w:type="spellEnd"/>
      <w:r w:rsidRPr="00CF5D64">
        <w:rPr>
          <w:sz w:val="24"/>
          <w:szCs w:val="24"/>
        </w:rPr>
        <w:t xml:space="preserve"> neglelak har vist gode evner til at penetrere keratin. Ved at opnå fungicide koncentrationer på de inficerede områder fører aktivt stof til irreversibel binding til den </w:t>
      </w:r>
      <w:proofErr w:type="spellStart"/>
      <w:r w:rsidRPr="00CF5D64">
        <w:rPr>
          <w:sz w:val="24"/>
          <w:szCs w:val="24"/>
        </w:rPr>
        <w:t>fungale</w:t>
      </w:r>
      <w:proofErr w:type="spellEnd"/>
      <w:r w:rsidRPr="00CF5D64">
        <w:rPr>
          <w:sz w:val="24"/>
          <w:szCs w:val="24"/>
        </w:rPr>
        <w:t xml:space="preserve"> cellevæg, og dette forårsager hæmning af optagelse af de komponenter, der er nødvendige for den cellulære syntese og den respiratoriske proces.</w:t>
      </w:r>
    </w:p>
    <w:p w:rsidR="0096791F" w:rsidRPr="00CF5D64" w:rsidRDefault="0096791F" w:rsidP="0096791F">
      <w:pPr>
        <w:ind w:left="851"/>
        <w:rPr>
          <w:sz w:val="24"/>
          <w:szCs w:val="24"/>
        </w:rPr>
      </w:pPr>
    </w:p>
    <w:p w:rsidR="0096791F" w:rsidRPr="00CF5D64" w:rsidRDefault="0096791F" w:rsidP="0096791F">
      <w:pPr>
        <w:ind w:left="851"/>
        <w:rPr>
          <w:sz w:val="24"/>
          <w:szCs w:val="24"/>
        </w:rPr>
      </w:pPr>
      <w:r w:rsidRPr="00CF5D64">
        <w:rPr>
          <w:sz w:val="24"/>
          <w:szCs w:val="24"/>
        </w:rPr>
        <w:lastRenderedPageBreak/>
        <w:t xml:space="preserve">En meget lille del af </w:t>
      </w:r>
      <w:proofErr w:type="spellStart"/>
      <w:r w:rsidRPr="00CF5D64">
        <w:rPr>
          <w:sz w:val="24"/>
          <w:szCs w:val="24"/>
        </w:rPr>
        <w:t>ciclopirox</w:t>
      </w:r>
      <w:proofErr w:type="spellEnd"/>
      <w:r w:rsidRPr="00CF5D64">
        <w:rPr>
          <w:sz w:val="24"/>
          <w:szCs w:val="24"/>
        </w:rPr>
        <w:t xml:space="preserve"> absorberes systemisk (&lt;2 % af den applicerede dosis) og i et langtidsstudie var niveauerne i blodet 0,904 </w:t>
      </w:r>
      <w:proofErr w:type="spellStart"/>
      <w:r w:rsidRPr="00CF5D64">
        <w:rPr>
          <w:sz w:val="24"/>
          <w:szCs w:val="24"/>
        </w:rPr>
        <w:t>ng</w:t>
      </w:r>
      <w:proofErr w:type="spellEnd"/>
      <w:r w:rsidRPr="00CF5D64">
        <w:rPr>
          <w:sz w:val="24"/>
          <w:szCs w:val="24"/>
        </w:rPr>
        <w:t xml:space="preserve">/ml (n=163) og 1,144 </w:t>
      </w:r>
      <w:proofErr w:type="spellStart"/>
      <w:r w:rsidRPr="00CF5D64">
        <w:rPr>
          <w:sz w:val="24"/>
          <w:szCs w:val="24"/>
        </w:rPr>
        <w:t>ng</w:t>
      </w:r>
      <w:proofErr w:type="spellEnd"/>
      <w:r w:rsidRPr="00CF5D64">
        <w:rPr>
          <w:sz w:val="24"/>
          <w:szCs w:val="24"/>
        </w:rPr>
        <w:t>/ml (n=149) efter henholdsvis 6 og 12 måneders behandling. Dette viser, at produktet især udøver dets virkning på lokalt niveau, og risikoen for mulig interferens med kroppens normale funktioner er ubetydelig.</w:t>
      </w:r>
    </w:p>
    <w:p w:rsidR="00026457" w:rsidRPr="00CF5D64" w:rsidRDefault="00026457" w:rsidP="0096791F">
      <w:pPr>
        <w:tabs>
          <w:tab w:val="left" w:pos="851"/>
        </w:tabs>
        <w:ind w:left="851"/>
        <w:rPr>
          <w:sz w:val="24"/>
          <w:szCs w:val="24"/>
        </w:rPr>
      </w:pPr>
    </w:p>
    <w:p w:rsidR="0096791F" w:rsidRPr="00CF5D64" w:rsidRDefault="00D5453A" w:rsidP="0096791F">
      <w:pPr>
        <w:numPr>
          <w:ilvl w:val="1"/>
          <w:numId w:val="4"/>
        </w:numPr>
        <w:rPr>
          <w:b/>
          <w:sz w:val="24"/>
          <w:szCs w:val="24"/>
        </w:rPr>
      </w:pPr>
      <w:r>
        <w:rPr>
          <w:b/>
          <w:sz w:val="24"/>
          <w:szCs w:val="24"/>
        </w:rPr>
        <w:t>Non-</w:t>
      </w:r>
      <w:r w:rsidR="0096791F" w:rsidRPr="00CF5D64">
        <w:rPr>
          <w:b/>
          <w:sz w:val="24"/>
          <w:szCs w:val="24"/>
        </w:rPr>
        <w:t>kliniske sikkerhedsdata</w:t>
      </w:r>
    </w:p>
    <w:p w:rsidR="0096791F" w:rsidRPr="00CF5D64" w:rsidRDefault="0096791F" w:rsidP="0096791F">
      <w:pPr>
        <w:numPr>
          <w:ilvl w:val="12"/>
          <w:numId w:val="0"/>
        </w:numPr>
        <w:ind w:left="851" w:right="11"/>
        <w:rPr>
          <w:sz w:val="24"/>
          <w:szCs w:val="24"/>
        </w:rPr>
      </w:pPr>
      <w:r w:rsidRPr="00CF5D64">
        <w:rPr>
          <w:sz w:val="24"/>
          <w:szCs w:val="24"/>
        </w:rPr>
        <w:t xml:space="preserve">Prækliniske data </w:t>
      </w:r>
      <w:r>
        <w:rPr>
          <w:sz w:val="24"/>
          <w:szCs w:val="24"/>
        </w:rPr>
        <w:t>op til</w:t>
      </w:r>
      <w:r w:rsidRPr="00CF5D64">
        <w:rPr>
          <w:sz w:val="24"/>
          <w:szCs w:val="24"/>
        </w:rPr>
        <w:t xml:space="preserve"> en daglig, oral dosis </w:t>
      </w:r>
      <w:r>
        <w:rPr>
          <w:sz w:val="24"/>
          <w:szCs w:val="24"/>
        </w:rPr>
        <w:t>på</w:t>
      </w:r>
      <w:r w:rsidRPr="00CF5D64">
        <w:rPr>
          <w:sz w:val="24"/>
          <w:szCs w:val="24"/>
        </w:rPr>
        <w:t xml:space="preserve"> 10 mg </w:t>
      </w:r>
      <w:proofErr w:type="spellStart"/>
      <w:r w:rsidRPr="00CF5D64">
        <w:rPr>
          <w:sz w:val="24"/>
          <w:szCs w:val="24"/>
        </w:rPr>
        <w:t>ciclopirox</w:t>
      </w:r>
      <w:proofErr w:type="spellEnd"/>
      <w:r w:rsidRPr="00CF5D64">
        <w:rPr>
          <w:sz w:val="24"/>
          <w:szCs w:val="24"/>
        </w:rPr>
        <w:t xml:space="preserve">/kg viste ingen speciel risiko for mennesker vurderet ud fra konventionelle studier af toksicitet efter gentagne doser, genotoksicitet og </w:t>
      </w:r>
      <w:proofErr w:type="spellStart"/>
      <w:r w:rsidRPr="00CF5D64">
        <w:rPr>
          <w:sz w:val="24"/>
          <w:szCs w:val="24"/>
        </w:rPr>
        <w:t>karcinogenicitet</w:t>
      </w:r>
      <w:proofErr w:type="spellEnd"/>
      <w:r w:rsidRPr="00CF5D64">
        <w:rPr>
          <w:sz w:val="24"/>
          <w:szCs w:val="24"/>
        </w:rPr>
        <w:t>. I reproduktionsstudier hos rotter og kaniner blev der ikke fundet embryo-/</w:t>
      </w:r>
      <w:proofErr w:type="spellStart"/>
      <w:r w:rsidRPr="00CF5D64">
        <w:rPr>
          <w:sz w:val="24"/>
          <w:szCs w:val="24"/>
        </w:rPr>
        <w:t>foetotoxicitet</w:t>
      </w:r>
      <w:proofErr w:type="spellEnd"/>
      <w:r w:rsidRPr="00CF5D64">
        <w:rPr>
          <w:sz w:val="24"/>
          <w:szCs w:val="24"/>
        </w:rPr>
        <w:t xml:space="preserve"> eller </w:t>
      </w:r>
      <w:proofErr w:type="spellStart"/>
      <w:r w:rsidRPr="00CF5D64">
        <w:rPr>
          <w:sz w:val="24"/>
          <w:szCs w:val="24"/>
        </w:rPr>
        <w:t>teratogenicitet</w:t>
      </w:r>
      <w:proofErr w:type="spellEnd"/>
      <w:r w:rsidRPr="00CF5D64">
        <w:rPr>
          <w:sz w:val="24"/>
          <w:szCs w:val="24"/>
        </w:rPr>
        <w:t xml:space="preserve">. Med en oral dosis på 5 mg/ kg blev der hos rotter fundet reducereret </w:t>
      </w:r>
      <w:proofErr w:type="spellStart"/>
      <w:r w:rsidRPr="00CF5D64">
        <w:rPr>
          <w:sz w:val="24"/>
          <w:szCs w:val="24"/>
        </w:rPr>
        <w:t>fertilitetsindex</w:t>
      </w:r>
      <w:proofErr w:type="spellEnd"/>
      <w:r w:rsidRPr="00CF5D64">
        <w:rPr>
          <w:sz w:val="24"/>
          <w:szCs w:val="24"/>
        </w:rPr>
        <w:t xml:space="preserve">. Der var ingen evidens for peri- eller </w:t>
      </w:r>
      <w:proofErr w:type="spellStart"/>
      <w:r w:rsidRPr="00CF5D64">
        <w:rPr>
          <w:sz w:val="24"/>
          <w:szCs w:val="24"/>
        </w:rPr>
        <w:t>postnatal</w:t>
      </w:r>
      <w:proofErr w:type="spellEnd"/>
      <w:r w:rsidRPr="00CF5D64">
        <w:rPr>
          <w:sz w:val="24"/>
          <w:szCs w:val="24"/>
        </w:rPr>
        <w:t xml:space="preserve"> toksicitet, men mulig langtidsvirkning på efterkommere er ikke undersøgt. </w:t>
      </w:r>
      <w:proofErr w:type="spellStart"/>
      <w:r w:rsidRPr="00CF5D64">
        <w:rPr>
          <w:sz w:val="24"/>
          <w:szCs w:val="24"/>
        </w:rPr>
        <w:t>Onytec</w:t>
      </w:r>
      <w:proofErr w:type="spellEnd"/>
      <w:r w:rsidRPr="00CF5D64">
        <w:rPr>
          <w:sz w:val="24"/>
          <w:szCs w:val="24"/>
        </w:rPr>
        <w:t xml:space="preserve"> neglelak påviste ingen irritation i studier om lokal tolerance hos kaniner og marsvin.</w:t>
      </w:r>
    </w:p>
    <w:p w:rsidR="0096791F" w:rsidRPr="00CF5D64" w:rsidRDefault="0096791F" w:rsidP="0096791F">
      <w:pPr>
        <w:numPr>
          <w:ilvl w:val="12"/>
          <w:numId w:val="0"/>
        </w:numPr>
        <w:ind w:left="851" w:right="11"/>
        <w:rPr>
          <w:sz w:val="24"/>
          <w:szCs w:val="24"/>
        </w:rPr>
      </w:pPr>
    </w:p>
    <w:p w:rsidR="0096791F" w:rsidRPr="00CF5D64" w:rsidRDefault="0096791F" w:rsidP="0096791F">
      <w:pPr>
        <w:numPr>
          <w:ilvl w:val="12"/>
          <w:numId w:val="0"/>
        </w:numPr>
        <w:ind w:left="851" w:right="11"/>
        <w:rPr>
          <w:sz w:val="24"/>
          <w:szCs w:val="24"/>
        </w:rPr>
      </w:pPr>
      <w:proofErr w:type="spellStart"/>
      <w:r w:rsidRPr="00CF5D64">
        <w:rPr>
          <w:sz w:val="24"/>
          <w:szCs w:val="24"/>
        </w:rPr>
        <w:t>Chitosan</w:t>
      </w:r>
      <w:proofErr w:type="spellEnd"/>
      <w:r w:rsidRPr="00CF5D64">
        <w:rPr>
          <w:sz w:val="24"/>
          <w:szCs w:val="24"/>
        </w:rPr>
        <w:t xml:space="preserve"> derivatet, som er indeholdt i formuleringe</w:t>
      </w:r>
      <w:r>
        <w:rPr>
          <w:sz w:val="24"/>
          <w:szCs w:val="24"/>
        </w:rPr>
        <w:t xml:space="preserve">n, er fri for </w:t>
      </w:r>
      <w:proofErr w:type="spellStart"/>
      <w:r>
        <w:rPr>
          <w:sz w:val="24"/>
          <w:szCs w:val="24"/>
        </w:rPr>
        <w:t>tropomyosin</w:t>
      </w:r>
      <w:proofErr w:type="spellEnd"/>
      <w:r>
        <w:rPr>
          <w:sz w:val="24"/>
          <w:szCs w:val="24"/>
        </w:rPr>
        <w:t xml:space="preserve"> og ud</w:t>
      </w:r>
      <w:r w:rsidRPr="00CF5D64">
        <w:rPr>
          <w:sz w:val="24"/>
          <w:szCs w:val="24"/>
        </w:rPr>
        <w:t xml:space="preserve">viste ikke </w:t>
      </w:r>
      <w:r>
        <w:rPr>
          <w:sz w:val="24"/>
          <w:szCs w:val="24"/>
        </w:rPr>
        <w:t>allergi</w:t>
      </w:r>
      <w:r w:rsidRPr="00CF5D64">
        <w:rPr>
          <w:sz w:val="24"/>
          <w:szCs w:val="24"/>
        </w:rPr>
        <w:t>potentiale for allergener hos patienter med skaldyrsallergi.</w:t>
      </w:r>
    </w:p>
    <w:p w:rsidR="0096791F" w:rsidRPr="00CF5D64" w:rsidRDefault="0096791F" w:rsidP="0096791F">
      <w:pPr>
        <w:tabs>
          <w:tab w:val="left" w:pos="851"/>
        </w:tabs>
        <w:ind w:left="851"/>
        <w:rPr>
          <w:sz w:val="24"/>
          <w:szCs w:val="24"/>
        </w:rPr>
      </w:pPr>
    </w:p>
    <w:p w:rsidR="0096791F" w:rsidRPr="00CF5D64" w:rsidRDefault="0096791F" w:rsidP="0096791F">
      <w:pPr>
        <w:tabs>
          <w:tab w:val="left" w:pos="851"/>
        </w:tabs>
        <w:ind w:left="851"/>
        <w:rPr>
          <w:sz w:val="24"/>
          <w:szCs w:val="24"/>
        </w:rPr>
      </w:pPr>
    </w:p>
    <w:p w:rsidR="0096791F" w:rsidRPr="00CF5D64" w:rsidRDefault="0096791F" w:rsidP="0096791F">
      <w:pPr>
        <w:numPr>
          <w:ilvl w:val="0"/>
          <w:numId w:val="3"/>
        </w:numPr>
        <w:rPr>
          <w:b/>
          <w:sz w:val="24"/>
          <w:szCs w:val="24"/>
        </w:rPr>
      </w:pPr>
      <w:r w:rsidRPr="00CF5D64">
        <w:rPr>
          <w:b/>
          <w:sz w:val="24"/>
          <w:szCs w:val="24"/>
        </w:rPr>
        <w:t>FARMACEUTISKE OPLYSNINGER</w:t>
      </w:r>
    </w:p>
    <w:p w:rsidR="0096791F" w:rsidRPr="00CF5D64" w:rsidRDefault="0096791F" w:rsidP="0096791F">
      <w:pPr>
        <w:tabs>
          <w:tab w:val="left" w:pos="851"/>
        </w:tabs>
        <w:rPr>
          <w:b/>
          <w:sz w:val="24"/>
          <w:szCs w:val="24"/>
        </w:rPr>
      </w:pPr>
    </w:p>
    <w:p w:rsidR="0096791F" w:rsidRPr="00CF5D64" w:rsidRDefault="0096791F" w:rsidP="0096791F">
      <w:pPr>
        <w:numPr>
          <w:ilvl w:val="1"/>
          <w:numId w:val="5"/>
        </w:numPr>
        <w:rPr>
          <w:b/>
          <w:sz w:val="24"/>
          <w:szCs w:val="24"/>
        </w:rPr>
      </w:pPr>
      <w:r w:rsidRPr="00CF5D64">
        <w:rPr>
          <w:b/>
          <w:sz w:val="24"/>
          <w:szCs w:val="24"/>
        </w:rPr>
        <w:t>Hjælpestoffer</w:t>
      </w:r>
    </w:p>
    <w:p w:rsidR="0096791F" w:rsidRPr="00CF5D64" w:rsidRDefault="0096791F" w:rsidP="0096791F">
      <w:pPr>
        <w:ind w:left="851"/>
        <w:rPr>
          <w:sz w:val="24"/>
          <w:szCs w:val="24"/>
        </w:rPr>
      </w:pPr>
      <w:proofErr w:type="spellStart"/>
      <w:r w:rsidRPr="00CF5D64">
        <w:rPr>
          <w:sz w:val="24"/>
          <w:szCs w:val="24"/>
        </w:rPr>
        <w:t>Ethylacetat</w:t>
      </w:r>
      <w:proofErr w:type="spellEnd"/>
    </w:p>
    <w:p w:rsidR="0096791F" w:rsidRPr="00CF5D64" w:rsidRDefault="0096791F" w:rsidP="0096791F">
      <w:pPr>
        <w:ind w:left="851"/>
        <w:rPr>
          <w:sz w:val="24"/>
          <w:szCs w:val="24"/>
        </w:rPr>
      </w:pPr>
      <w:proofErr w:type="spellStart"/>
      <w:r w:rsidRPr="00CF5D64">
        <w:rPr>
          <w:sz w:val="24"/>
          <w:szCs w:val="24"/>
        </w:rPr>
        <w:t>Ethanol</w:t>
      </w:r>
      <w:proofErr w:type="spellEnd"/>
      <w:r w:rsidRPr="00CF5D64">
        <w:rPr>
          <w:sz w:val="24"/>
          <w:szCs w:val="24"/>
        </w:rPr>
        <w:t xml:space="preserve"> (96 %)</w:t>
      </w:r>
    </w:p>
    <w:p w:rsidR="0096791F" w:rsidRPr="00CF5D64" w:rsidRDefault="0096791F" w:rsidP="0096791F">
      <w:pPr>
        <w:ind w:left="851"/>
        <w:rPr>
          <w:color w:val="000000"/>
          <w:sz w:val="24"/>
          <w:szCs w:val="24"/>
        </w:rPr>
      </w:pPr>
      <w:proofErr w:type="spellStart"/>
      <w:r w:rsidRPr="00CF5D64">
        <w:rPr>
          <w:color w:val="000000"/>
          <w:sz w:val="24"/>
          <w:szCs w:val="24"/>
        </w:rPr>
        <w:t>Cetostearylalkohol</w:t>
      </w:r>
      <w:proofErr w:type="spellEnd"/>
    </w:p>
    <w:p w:rsidR="0096791F" w:rsidRPr="00CF5D64" w:rsidRDefault="0096791F" w:rsidP="0096791F">
      <w:pPr>
        <w:ind w:left="851"/>
        <w:rPr>
          <w:color w:val="000000"/>
          <w:sz w:val="24"/>
          <w:szCs w:val="24"/>
        </w:rPr>
      </w:pPr>
      <w:proofErr w:type="spellStart"/>
      <w:r w:rsidRPr="00CF5D64">
        <w:rPr>
          <w:color w:val="000000"/>
          <w:sz w:val="24"/>
          <w:szCs w:val="24"/>
        </w:rPr>
        <w:t>Hydroxypropyl-chitosan</w:t>
      </w:r>
      <w:proofErr w:type="spellEnd"/>
    </w:p>
    <w:p w:rsidR="0096791F" w:rsidRPr="00CF5D64" w:rsidRDefault="0096791F" w:rsidP="0096791F">
      <w:pPr>
        <w:ind w:left="851"/>
        <w:rPr>
          <w:sz w:val="24"/>
          <w:szCs w:val="24"/>
        </w:rPr>
      </w:pPr>
      <w:r w:rsidRPr="00CF5D64">
        <w:rPr>
          <w:color w:val="000000"/>
          <w:sz w:val="24"/>
          <w:szCs w:val="24"/>
        </w:rPr>
        <w:t>Renset vand</w:t>
      </w:r>
    </w:p>
    <w:p w:rsidR="0096791F" w:rsidRPr="00CF5D64" w:rsidRDefault="0096791F" w:rsidP="0096791F">
      <w:pPr>
        <w:tabs>
          <w:tab w:val="left" w:pos="851"/>
        </w:tabs>
        <w:ind w:left="851"/>
        <w:rPr>
          <w:sz w:val="24"/>
          <w:szCs w:val="24"/>
        </w:rPr>
      </w:pPr>
    </w:p>
    <w:p w:rsidR="0096791F" w:rsidRPr="00CF5D64" w:rsidRDefault="0096791F" w:rsidP="0096791F">
      <w:pPr>
        <w:numPr>
          <w:ilvl w:val="1"/>
          <w:numId w:val="5"/>
        </w:numPr>
        <w:rPr>
          <w:b/>
          <w:sz w:val="24"/>
          <w:szCs w:val="24"/>
        </w:rPr>
      </w:pPr>
      <w:r w:rsidRPr="00CF5D64">
        <w:rPr>
          <w:b/>
          <w:sz w:val="24"/>
          <w:szCs w:val="24"/>
        </w:rPr>
        <w:t>Uforligeligheder</w:t>
      </w:r>
    </w:p>
    <w:p w:rsidR="0096791F" w:rsidRPr="00CF5D64" w:rsidRDefault="0096791F" w:rsidP="0096791F">
      <w:pPr>
        <w:ind w:left="851"/>
        <w:rPr>
          <w:sz w:val="24"/>
          <w:szCs w:val="24"/>
        </w:rPr>
      </w:pPr>
      <w:r w:rsidRPr="00CF5D64">
        <w:rPr>
          <w:sz w:val="24"/>
          <w:szCs w:val="24"/>
        </w:rPr>
        <w:t>Ikke relevant.</w:t>
      </w:r>
    </w:p>
    <w:p w:rsidR="0096791F" w:rsidRPr="00CF5D64" w:rsidRDefault="0096791F" w:rsidP="0096791F">
      <w:pPr>
        <w:tabs>
          <w:tab w:val="left" w:pos="851"/>
        </w:tabs>
        <w:ind w:left="851"/>
        <w:rPr>
          <w:sz w:val="24"/>
          <w:szCs w:val="24"/>
        </w:rPr>
      </w:pPr>
    </w:p>
    <w:p w:rsidR="0096791F" w:rsidRPr="00CF5D64" w:rsidRDefault="0096791F" w:rsidP="0096791F">
      <w:pPr>
        <w:numPr>
          <w:ilvl w:val="1"/>
          <w:numId w:val="5"/>
        </w:numPr>
        <w:rPr>
          <w:b/>
          <w:sz w:val="24"/>
          <w:szCs w:val="24"/>
        </w:rPr>
      </w:pPr>
      <w:r w:rsidRPr="00CF5D64">
        <w:rPr>
          <w:b/>
          <w:sz w:val="24"/>
          <w:szCs w:val="24"/>
        </w:rPr>
        <w:t>Opbevaringstid</w:t>
      </w:r>
    </w:p>
    <w:p w:rsidR="0096791F" w:rsidRPr="00CF5D64" w:rsidRDefault="0096791F" w:rsidP="0096791F">
      <w:pPr>
        <w:ind w:left="851"/>
        <w:rPr>
          <w:sz w:val="24"/>
          <w:szCs w:val="24"/>
        </w:rPr>
      </w:pPr>
      <w:r w:rsidRPr="00CF5D64">
        <w:rPr>
          <w:sz w:val="24"/>
          <w:szCs w:val="24"/>
        </w:rPr>
        <w:t>3 år.</w:t>
      </w:r>
    </w:p>
    <w:p w:rsidR="0096791F" w:rsidRPr="00CF5D64" w:rsidRDefault="0096791F" w:rsidP="0096791F">
      <w:pPr>
        <w:ind w:left="851"/>
        <w:rPr>
          <w:spacing w:val="-3"/>
          <w:sz w:val="24"/>
          <w:szCs w:val="24"/>
        </w:rPr>
      </w:pPr>
    </w:p>
    <w:p w:rsidR="0096791F" w:rsidRPr="00CF5D64" w:rsidRDefault="0096791F" w:rsidP="0096791F">
      <w:pPr>
        <w:ind w:left="851"/>
        <w:rPr>
          <w:spacing w:val="-3"/>
          <w:sz w:val="24"/>
          <w:szCs w:val="24"/>
        </w:rPr>
      </w:pPr>
      <w:r w:rsidRPr="00CF5D64">
        <w:rPr>
          <w:spacing w:val="-3"/>
          <w:sz w:val="24"/>
          <w:szCs w:val="24"/>
        </w:rPr>
        <w:t>Efter anbrud af flasken: 6 måneder.</w:t>
      </w:r>
    </w:p>
    <w:p w:rsidR="0096791F" w:rsidRPr="00CF5D64" w:rsidRDefault="0096791F" w:rsidP="0096791F">
      <w:pPr>
        <w:tabs>
          <w:tab w:val="left" w:pos="851"/>
        </w:tabs>
        <w:rPr>
          <w:sz w:val="24"/>
          <w:szCs w:val="24"/>
        </w:rPr>
      </w:pPr>
    </w:p>
    <w:p w:rsidR="0096791F" w:rsidRPr="00CF5D64" w:rsidRDefault="0096791F" w:rsidP="0096791F">
      <w:pPr>
        <w:numPr>
          <w:ilvl w:val="1"/>
          <w:numId w:val="5"/>
        </w:numPr>
        <w:rPr>
          <w:b/>
          <w:sz w:val="24"/>
          <w:szCs w:val="24"/>
        </w:rPr>
      </w:pPr>
      <w:r w:rsidRPr="00CF5D64">
        <w:rPr>
          <w:b/>
          <w:sz w:val="24"/>
          <w:szCs w:val="24"/>
        </w:rPr>
        <w:t>Særlige opbevaringsforhold</w:t>
      </w:r>
    </w:p>
    <w:p w:rsidR="0096791F" w:rsidRDefault="0096791F" w:rsidP="0096791F">
      <w:pPr>
        <w:ind w:left="851"/>
        <w:rPr>
          <w:noProof/>
          <w:sz w:val="24"/>
          <w:szCs w:val="24"/>
        </w:rPr>
      </w:pPr>
      <w:r>
        <w:rPr>
          <w:noProof/>
          <w:sz w:val="24"/>
          <w:szCs w:val="24"/>
        </w:rPr>
        <w:t>Opbevar flasken i den ydre karton for at beskytte mod lys. Må ikke opbevares i køleskab eller fryse.</w:t>
      </w:r>
    </w:p>
    <w:p w:rsidR="0096791F" w:rsidRDefault="0096791F" w:rsidP="0096791F">
      <w:pPr>
        <w:ind w:left="851"/>
        <w:rPr>
          <w:noProof/>
          <w:sz w:val="24"/>
          <w:szCs w:val="24"/>
        </w:rPr>
      </w:pPr>
    </w:p>
    <w:p w:rsidR="0096791F" w:rsidRPr="00CF5D64" w:rsidRDefault="0096791F" w:rsidP="0096791F">
      <w:pPr>
        <w:ind w:left="851"/>
        <w:rPr>
          <w:noProof/>
          <w:sz w:val="24"/>
          <w:szCs w:val="24"/>
        </w:rPr>
      </w:pPr>
      <w:r w:rsidRPr="00CF5D64">
        <w:rPr>
          <w:noProof/>
          <w:sz w:val="24"/>
          <w:szCs w:val="24"/>
        </w:rPr>
        <w:t xml:space="preserve">Efter anbrud af beholderen: Hold flasken tæt tillukket for at undgå fordampning af indholdet. </w:t>
      </w:r>
    </w:p>
    <w:p w:rsidR="0096791F" w:rsidRPr="00CF5D64" w:rsidRDefault="0096791F" w:rsidP="0096791F">
      <w:pPr>
        <w:ind w:left="851"/>
        <w:rPr>
          <w:color w:val="FF0000"/>
          <w:spacing w:val="-3"/>
          <w:sz w:val="24"/>
          <w:szCs w:val="24"/>
        </w:rPr>
      </w:pPr>
      <w:r w:rsidRPr="00CF5D64">
        <w:rPr>
          <w:b/>
          <w:noProof/>
          <w:sz w:val="24"/>
          <w:szCs w:val="24"/>
        </w:rPr>
        <w:t>For opbevaringsbetingelser efter anbrud af lægemidlet, se pkt. 6.3</w:t>
      </w:r>
    </w:p>
    <w:p w:rsidR="0096791F" w:rsidRPr="00CF5D64" w:rsidRDefault="0096791F" w:rsidP="0096791F">
      <w:pPr>
        <w:ind w:left="851"/>
        <w:rPr>
          <w:b/>
          <w:spacing w:val="-3"/>
          <w:sz w:val="24"/>
          <w:szCs w:val="24"/>
        </w:rPr>
      </w:pPr>
    </w:p>
    <w:p w:rsidR="0096791F" w:rsidRPr="00CF5D64" w:rsidRDefault="0096791F" w:rsidP="0096791F">
      <w:pPr>
        <w:ind w:left="851"/>
        <w:rPr>
          <w:b/>
          <w:spacing w:val="-3"/>
          <w:sz w:val="24"/>
          <w:szCs w:val="24"/>
        </w:rPr>
      </w:pPr>
      <w:r w:rsidRPr="00CF5D64">
        <w:rPr>
          <w:b/>
          <w:spacing w:val="-3"/>
          <w:sz w:val="24"/>
          <w:szCs w:val="24"/>
        </w:rPr>
        <w:t>Produktet er brændbart. Må ikke opbevares varmt eller i nærheden af åben ild.</w:t>
      </w:r>
    </w:p>
    <w:p w:rsidR="0096791F" w:rsidRPr="00CF5D64" w:rsidRDefault="0096791F" w:rsidP="0096791F">
      <w:pPr>
        <w:ind w:left="851"/>
        <w:rPr>
          <w:b/>
          <w:spacing w:val="-3"/>
          <w:sz w:val="24"/>
          <w:szCs w:val="24"/>
        </w:rPr>
      </w:pPr>
    </w:p>
    <w:p w:rsidR="0096791F" w:rsidRPr="00CF5D64" w:rsidRDefault="0096791F" w:rsidP="0096791F">
      <w:pPr>
        <w:ind w:left="851"/>
        <w:rPr>
          <w:b/>
          <w:spacing w:val="-3"/>
          <w:sz w:val="24"/>
          <w:szCs w:val="24"/>
        </w:rPr>
      </w:pPr>
      <w:r w:rsidRPr="00CF5D64">
        <w:rPr>
          <w:spacing w:val="-3"/>
          <w:sz w:val="24"/>
          <w:szCs w:val="24"/>
        </w:rPr>
        <w:t xml:space="preserve">Ved temperaturer under </w:t>
      </w:r>
      <w:smartTag w:uri="urn:schemas-microsoft-com:office:smarttags" w:element="metricconverter">
        <w:smartTagPr>
          <w:attr w:name="ProductID" w:val="15 °C"/>
        </w:smartTagPr>
        <w:r w:rsidRPr="00CF5D64">
          <w:rPr>
            <w:spacing w:val="-3"/>
            <w:sz w:val="24"/>
            <w:szCs w:val="24"/>
          </w:rPr>
          <w:t>15 °C</w:t>
        </w:r>
      </w:smartTag>
      <w:r w:rsidRPr="00CF5D64">
        <w:rPr>
          <w:b/>
          <w:spacing w:val="-3"/>
          <w:sz w:val="24"/>
          <w:szCs w:val="24"/>
        </w:rPr>
        <w:t xml:space="preserve"> </w:t>
      </w:r>
      <w:r w:rsidRPr="00CF5D64">
        <w:rPr>
          <w:spacing w:val="-3"/>
          <w:sz w:val="24"/>
          <w:szCs w:val="24"/>
        </w:rPr>
        <w:t>kan den medicinske neglelak gelere. Let flokkulering eller let sedimentering kan også forekomme, hvilket kan modvirkes ved opvarmning til stuetemperatur (</w:t>
      </w:r>
      <w:smartTag w:uri="urn:schemas-microsoft-com:office:smarttags" w:element="metricconverter">
        <w:smartTagPr>
          <w:attr w:name="ProductID" w:val="25 °C"/>
        </w:smartTagPr>
        <w:r w:rsidRPr="00CF5D64">
          <w:rPr>
            <w:spacing w:val="-3"/>
            <w:sz w:val="24"/>
            <w:szCs w:val="24"/>
          </w:rPr>
          <w:t>25 °C</w:t>
        </w:r>
      </w:smartTag>
      <w:r w:rsidRPr="00CF5D64">
        <w:rPr>
          <w:spacing w:val="-3"/>
          <w:sz w:val="24"/>
          <w:szCs w:val="24"/>
        </w:rPr>
        <w:t>) ved at gnubbe flasken mellem hænderne, indtil opløsningen igen er klar (ca. 1 minut). Dette har ingen indflydelse på produktets kvalitet eller virkning.</w:t>
      </w:r>
      <w:r w:rsidRPr="00CF5D64">
        <w:rPr>
          <w:b/>
          <w:spacing w:val="-3"/>
          <w:sz w:val="24"/>
          <w:szCs w:val="24"/>
        </w:rPr>
        <w:t xml:space="preserve"> </w:t>
      </w:r>
    </w:p>
    <w:p w:rsidR="0096791F" w:rsidRPr="00CF5D64" w:rsidRDefault="0096791F" w:rsidP="0096791F">
      <w:pPr>
        <w:tabs>
          <w:tab w:val="left" w:pos="851"/>
        </w:tabs>
        <w:rPr>
          <w:sz w:val="24"/>
          <w:szCs w:val="24"/>
        </w:rPr>
      </w:pPr>
    </w:p>
    <w:p w:rsidR="0096791F" w:rsidRPr="00CF5D64" w:rsidRDefault="0096791F" w:rsidP="0096791F">
      <w:pPr>
        <w:numPr>
          <w:ilvl w:val="1"/>
          <w:numId w:val="5"/>
        </w:numPr>
        <w:rPr>
          <w:b/>
          <w:sz w:val="24"/>
          <w:szCs w:val="24"/>
        </w:rPr>
      </w:pPr>
      <w:r w:rsidRPr="00CF5D64">
        <w:rPr>
          <w:b/>
          <w:sz w:val="24"/>
          <w:szCs w:val="24"/>
        </w:rPr>
        <w:t>Emballagetype og pakningsstørrelser</w:t>
      </w:r>
    </w:p>
    <w:p w:rsidR="0096791F" w:rsidRPr="00CF5D64" w:rsidRDefault="0096791F" w:rsidP="0096791F">
      <w:pPr>
        <w:suppressAutoHyphens/>
        <w:ind w:left="851"/>
        <w:rPr>
          <w:sz w:val="24"/>
          <w:szCs w:val="24"/>
        </w:rPr>
      </w:pPr>
      <w:r w:rsidRPr="00CF5D64">
        <w:rPr>
          <w:sz w:val="24"/>
          <w:szCs w:val="24"/>
        </w:rPr>
        <w:t>Klare glasflasker med polypropylen skruelåg med pensel.</w:t>
      </w:r>
    </w:p>
    <w:p w:rsidR="0096791F" w:rsidRDefault="0096791F" w:rsidP="0096791F">
      <w:pPr>
        <w:suppressAutoHyphens/>
        <w:ind w:left="851"/>
        <w:rPr>
          <w:sz w:val="24"/>
          <w:szCs w:val="24"/>
        </w:rPr>
      </w:pPr>
    </w:p>
    <w:p w:rsidR="0096791F" w:rsidRPr="00CF5D64" w:rsidRDefault="0096791F" w:rsidP="0096791F">
      <w:pPr>
        <w:suppressAutoHyphens/>
        <w:ind w:left="851"/>
        <w:rPr>
          <w:sz w:val="24"/>
          <w:szCs w:val="24"/>
        </w:rPr>
      </w:pPr>
      <w:r w:rsidRPr="00CF5D64">
        <w:rPr>
          <w:sz w:val="24"/>
          <w:szCs w:val="24"/>
        </w:rPr>
        <w:t>Pakningsstørrelser: 3,3 ml</w:t>
      </w:r>
      <w:r>
        <w:rPr>
          <w:sz w:val="24"/>
          <w:szCs w:val="24"/>
        </w:rPr>
        <w:t xml:space="preserve"> og</w:t>
      </w:r>
      <w:r w:rsidRPr="00CF5D64">
        <w:rPr>
          <w:sz w:val="24"/>
          <w:szCs w:val="24"/>
        </w:rPr>
        <w:t xml:space="preserve"> 6,6 ml.</w:t>
      </w:r>
    </w:p>
    <w:p w:rsidR="0096791F" w:rsidRPr="00CF5D64" w:rsidRDefault="0096791F" w:rsidP="0096791F">
      <w:pPr>
        <w:suppressAutoHyphens/>
        <w:ind w:left="851"/>
        <w:rPr>
          <w:sz w:val="24"/>
          <w:szCs w:val="24"/>
          <w:highlight w:val="yellow"/>
        </w:rPr>
      </w:pPr>
      <w:r w:rsidRPr="00CF5D64">
        <w:rPr>
          <w:sz w:val="24"/>
          <w:szCs w:val="24"/>
        </w:rPr>
        <w:t>Ikke alle pakningsstørrelser er nødvendigvis markedsført.</w:t>
      </w:r>
      <w:r w:rsidRPr="00CF5D64" w:rsidDel="00894A5E">
        <w:rPr>
          <w:sz w:val="24"/>
          <w:szCs w:val="24"/>
        </w:rPr>
        <w:t xml:space="preserve"> </w:t>
      </w:r>
    </w:p>
    <w:p w:rsidR="0096791F" w:rsidRPr="00CF5D64" w:rsidRDefault="0096791F" w:rsidP="0096791F">
      <w:pPr>
        <w:tabs>
          <w:tab w:val="left" w:pos="851"/>
        </w:tabs>
        <w:rPr>
          <w:sz w:val="24"/>
          <w:szCs w:val="24"/>
        </w:rPr>
      </w:pPr>
    </w:p>
    <w:p w:rsidR="0096791F" w:rsidRPr="00CF5D64" w:rsidRDefault="0096791F" w:rsidP="0096791F">
      <w:pPr>
        <w:numPr>
          <w:ilvl w:val="1"/>
          <w:numId w:val="5"/>
        </w:numPr>
        <w:rPr>
          <w:b/>
          <w:sz w:val="24"/>
          <w:szCs w:val="24"/>
        </w:rPr>
      </w:pPr>
      <w:r w:rsidRPr="00CF5D64">
        <w:rPr>
          <w:b/>
          <w:sz w:val="24"/>
          <w:szCs w:val="24"/>
        </w:rPr>
        <w:t xml:space="preserve">Regler for </w:t>
      </w:r>
      <w:r w:rsidR="00D5453A">
        <w:rPr>
          <w:b/>
          <w:sz w:val="24"/>
          <w:szCs w:val="24"/>
        </w:rPr>
        <w:t>bortskaffelse</w:t>
      </w:r>
      <w:r w:rsidRPr="00CF5D64">
        <w:rPr>
          <w:b/>
          <w:sz w:val="24"/>
          <w:szCs w:val="24"/>
        </w:rPr>
        <w:t xml:space="preserve"> og anden håndtering</w:t>
      </w:r>
    </w:p>
    <w:p w:rsidR="0096791F" w:rsidRPr="00CF5D64" w:rsidRDefault="0096791F" w:rsidP="0096791F">
      <w:pPr>
        <w:ind w:left="851"/>
        <w:rPr>
          <w:sz w:val="24"/>
          <w:szCs w:val="24"/>
        </w:rPr>
      </w:pPr>
      <w:r w:rsidRPr="00CF5D64">
        <w:rPr>
          <w:sz w:val="24"/>
          <w:szCs w:val="24"/>
        </w:rPr>
        <w:t>Ingen særlige forholdsregler.</w:t>
      </w:r>
    </w:p>
    <w:p w:rsidR="0096791F" w:rsidRPr="00CF5D64" w:rsidRDefault="0096791F" w:rsidP="0096791F">
      <w:pPr>
        <w:tabs>
          <w:tab w:val="left" w:pos="851"/>
        </w:tabs>
        <w:ind w:left="851"/>
        <w:jc w:val="both"/>
        <w:rPr>
          <w:sz w:val="24"/>
          <w:szCs w:val="24"/>
        </w:rPr>
      </w:pPr>
    </w:p>
    <w:p w:rsidR="0096791F" w:rsidRPr="00CF5D64" w:rsidRDefault="0096791F" w:rsidP="0096791F">
      <w:pPr>
        <w:tabs>
          <w:tab w:val="left" w:pos="851"/>
        </w:tabs>
        <w:rPr>
          <w:b/>
          <w:sz w:val="24"/>
          <w:szCs w:val="24"/>
        </w:rPr>
      </w:pPr>
      <w:r w:rsidRPr="00CF5D64">
        <w:rPr>
          <w:b/>
          <w:sz w:val="24"/>
          <w:szCs w:val="24"/>
        </w:rPr>
        <w:t>7.</w:t>
      </w:r>
      <w:r w:rsidRPr="00CF5D64">
        <w:rPr>
          <w:b/>
          <w:sz w:val="24"/>
          <w:szCs w:val="24"/>
        </w:rPr>
        <w:tab/>
        <w:t>INDEHAVER AF MARKEDSFØRINGSTILLADELSEN</w:t>
      </w:r>
    </w:p>
    <w:p w:rsidR="0096791F" w:rsidRPr="00CD3513" w:rsidRDefault="0096791F" w:rsidP="0096791F">
      <w:pPr>
        <w:ind w:left="851"/>
        <w:rPr>
          <w:spacing w:val="-3"/>
          <w:sz w:val="24"/>
          <w:szCs w:val="24"/>
          <w:lang w:val="en-US"/>
        </w:rPr>
      </w:pPr>
      <w:proofErr w:type="spellStart"/>
      <w:r w:rsidRPr="00CD3513">
        <w:rPr>
          <w:spacing w:val="-3"/>
          <w:sz w:val="24"/>
          <w:szCs w:val="24"/>
          <w:lang w:val="en-US"/>
        </w:rPr>
        <w:t>Polichem</w:t>
      </w:r>
      <w:proofErr w:type="spellEnd"/>
      <w:r w:rsidRPr="00CD3513">
        <w:rPr>
          <w:spacing w:val="-3"/>
          <w:sz w:val="24"/>
          <w:szCs w:val="24"/>
          <w:lang w:val="en-US"/>
        </w:rPr>
        <w:t xml:space="preserve"> SA</w:t>
      </w:r>
    </w:p>
    <w:p w:rsidR="0096791F" w:rsidRPr="00CD3513" w:rsidRDefault="0096791F" w:rsidP="0096791F">
      <w:pPr>
        <w:ind w:left="851"/>
        <w:rPr>
          <w:spacing w:val="-3"/>
          <w:sz w:val="24"/>
          <w:szCs w:val="24"/>
          <w:lang w:val="en-US"/>
        </w:rPr>
      </w:pPr>
      <w:r w:rsidRPr="00CD3513">
        <w:rPr>
          <w:spacing w:val="-3"/>
          <w:sz w:val="24"/>
          <w:szCs w:val="24"/>
          <w:lang w:val="en-US"/>
        </w:rPr>
        <w:t xml:space="preserve">50, Val </w:t>
      </w:r>
      <w:proofErr w:type="spellStart"/>
      <w:r w:rsidRPr="00CD3513">
        <w:rPr>
          <w:spacing w:val="-3"/>
          <w:sz w:val="24"/>
          <w:szCs w:val="24"/>
          <w:lang w:val="en-US"/>
        </w:rPr>
        <w:t>Fleuri</w:t>
      </w:r>
      <w:proofErr w:type="spellEnd"/>
    </w:p>
    <w:p w:rsidR="0096791F" w:rsidRPr="00CD3513" w:rsidRDefault="0096791F" w:rsidP="0096791F">
      <w:pPr>
        <w:ind w:left="851"/>
        <w:rPr>
          <w:spacing w:val="-3"/>
          <w:sz w:val="24"/>
          <w:szCs w:val="24"/>
          <w:lang w:val="en-US"/>
        </w:rPr>
      </w:pPr>
      <w:r w:rsidRPr="00CD3513">
        <w:rPr>
          <w:spacing w:val="-3"/>
          <w:sz w:val="24"/>
          <w:szCs w:val="24"/>
          <w:lang w:val="en-US"/>
        </w:rPr>
        <w:t>1526 Luxembourg</w:t>
      </w:r>
    </w:p>
    <w:p w:rsidR="0096791F" w:rsidRDefault="0096791F" w:rsidP="0096791F">
      <w:pPr>
        <w:ind w:left="851"/>
        <w:rPr>
          <w:spacing w:val="-3"/>
          <w:sz w:val="24"/>
          <w:szCs w:val="24"/>
          <w:lang w:val="en-US"/>
        </w:rPr>
      </w:pPr>
      <w:r w:rsidRPr="00CD3513">
        <w:rPr>
          <w:spacing w:val="-3"/>
          <w:sz w:val="24"/>
          <w:szCs w:val="24"/>
          <w:lang w:val="en-US"/>
        </w:rPr>
        <w:t>Luxembourg</w:t>
      </w:r>
    </w:p>
    <w:p w:rsidR="0096791F" w:rsidRDefault="0096791F" w:rsidP="0096791F">
      <w:pPr>
        <w:ind w:left="851"/>
        <w:rPr>
          <w:spacing w:val="-3"/>
          <w:sz w:val="24"/>
          <w:szCs w:val="24"/>
          <w:lang w:val="en-US"/>
        </w:rPr>
      </w:pPr>
    </w:p>
    <w:p w:rsidR="0096791F" w:rsidRPr="00290793" w:rsidRDefault="0096791F" w:rsidP="0096791F">
      <w:pPr>
        <w:ind w:left="851"/>
        <w:rPr>
          <w:spacing w:val="-3"/>
          <w:sz w:val="24"/>
          <w:szCs w:val="24"/>
        </w:rPr>
      </w:pPr>
      <w:r w:rsidRPr="00290793">
        <w:rPr>
          <w:b/>
          <w:spacing w:val="-3"/>
          <w:sz w:val="24"/>
          <w:szCs w:val="24"/>
        </w:rPr>
        <w:t>Repræsentant</w:t>
      </w:r>
    </w:p>
    <w:p w:rsidR="0096791F" w:rsidRPr="00290793" w:rsidRDefault="0096791F" w:rsidP="0096791F">
      <w:pPr>
        <w:ind w:left="851"/>
        <w:rPr>
          <w:spacing w:val="-3"/>
          <w:sz w:val="24"/>
          <w:szCs w:val="24"/>
        </w:rPr>
      </w:pPr>
      <w:r w:rsidRPr="00290793">
        <w:rPr>
          <w:spacing w:val="-3"/>
          <w:sz w:val="24"/>
          <w:szCs w:val="24"/>
        </w:rPr>
        <w:t>Almirall ApS</w:t>
      </w:r>
    </w:p>
    <w:p w:rsidR="00C10439" w:rsidRPr="00B1209C" w:rsidRDefault="00C10439" w:rsidP="00C10439">
      <w:pPr>
        <w:tabs>
          <w:tab w:val="left" w:pos="851"/>
        </w:tabs>
        <w:ind w:left="851"/>
        <w:rPr>
          <w:sz w:val="24"/>
          <w:szCs w:val="24"/>
        </w:rPr>
      </w:pPr>
      <w:r w:rsidRPr="00B1209C">
        <w:rPr>
          <w:sz w:val="24"/>
          <w:szCs w:val="24"/>
        </w:rPr>
        <w:t>Vandtårnsvej 77</w:t>
      </w:r>
    </w:p>
    <w:p w:rsidR="00C10439" w:rsidRDefault="00C10439" w:rsidP="00C10439">
      <w:pPr>
        <w:tabs>
          <w:tab w:val="left" w:pos="851"/>
        </w:tabs>
        <w:ind w:left="851"/>
        <w:rPr>
          <w:sz w:val="24"/>
          <w:szCs w:val="24"/>
        </w:rPr>
      </w:pPr>
      <w:r w:rsidRPr="00B1209C">
        <w:rPr>
          <w:sz w:val="24"/>
          <w:szCs w:val="24"/>
        </w:rPr>
        <w:t>2860 Søborg</w:t>
      </w:r>
    </w:p>
    <w:p w:rsidR="00026457" w:rsidRPr="00290793" w:rsidRDefault="00026457" w:rsidP="00C10439">
      <w:pPr>
        <w:tabs>
          <w:tab w:val="left" w:pos="851"/>
        </w:tabs>
        <w:rPr>
          <w:sz w:val="24"/>
          <w:szCs w:val="24"/>
        </w:rPr>
      </w:pPr>
    </w:p>
    <w:p w:rsidR="0096791F" w:rsidRPr="00CF5D64" w:rsidRDefault="0096791F" w:rsidP="0096791F">
      <w:pPr>
        <w:tabs>
          <w:tab w:val="left" w:pos="851"/>
        </w:tabs>
        <w:rPr>
          <w:b/>
          <w:sz w:val="24"/>
          <w:szCs w:val="24"/>
        </w:rPr>
      </w:pPr>
      <w:r w:rsidRPr="00CF5D64">
        <w:rPr>
          <w:b/>
          <w:sz w:val="24"/>
          <w:szCs w:val="24"/>
        </w:rPr>
        <w:t>8.</w:t>
      </w:r>
      <w:r w:rsidRPr="00CF5D64">
        <w:rPr>
          <w:b/>
          <w:sz w:val="24"/>
          <w:szCs w:val="24"/>
        </w:rPr>
        <w:tab/>
        <w:t>MARKEDSFØRINGSTILLADELSESNUMMER (</w:t>
      </w:r>
      <w:r w:rsidR="00D5453A">
        <w:rPr>
          <w:b/>
          <w:sz w:val="24"/>
          <w:szCs w:val="24"/>
        </w:rPr>
        <w:t>-</w:t>
      </w:r>
      <w:r w:rsidRPr="00CF5D64">
        <w:rPr>
          <w:b/>
          <w:sz w:val="24"/>
          <w:szCs w:val="24"/>
        </w:rPr>
        <w:t>NUMRE)</w:t>
      </w:r>
    </w:p>
    <w:p w:rsidR="0096791F" w:rsidRPr="00CF5D64" w:rsidRDefault="0096791F" w:rsidP="0096791F">
      <w:pPr>
        <w:tabs>
          <w:tab w:val="left" w:pos="851"/>
        </w:tabs>
        <w:ind w:left="851" w:hanging="851"/>
        <w:rPr>
          <w:sz w:val="24"/>
          <w:szCs w:val="24"/>
        </w:rPr>
      </w:pPr>
      <w:r w:rsidRPr="00CF5D64">
        <w:rPr>
          <w:sz w:val="24"/>
          <w:szCs w:val="24"/>
        </w:rPr>
        <w:tab/>
      </w:r>
      <w:r>
        <w:rPr>
          <w:sz w:val="24"/>
          <w:szCs w:val="24"/>
        </w:rPr>
        <w:t>47539</w:t>
      </w:r>
    </w:p>
    <w:p w:rsidR="0096791F" w:rsidRPr="00CF5D64" w:rsidRDefault="0096791F" w:rsidP="0096791F">
      <w:pPr>
        <w:tabs>
          <w:tab w:val="left" w:pos="851"/>
        </w:tabs>
        <w:jc w:val="both"/>
        <w:rPr>
          <w:sz w:val="24"/>
          <w:szCs w:val="24"/>
        </w:rPr>
      </w:pPr>
    </w:p>
    <w:p w:rsidR="0096791F" w:rsidRPr="00CF5D64" w:rsidRDefault="0096791F" w:rsidP="0096791F">
      <w:pPr>
        <w:tabs>
          <w:tab w:val="left" w:pos="851"/>
        </w:tabs>
        <w:rPr>
          <w:b/>
          <w:sz w:val="24"/>
          <w:szCs w:val="24"/>
        </w:rPr>
      </w:pPr>
      <w:r w:rsidRPr="00CF5D64">
        <w:rPr>
          <w:b/>
          <w:sz w:val="24"/>
          <w:szCs w:val="24"/>
        </w:rPr>
        <w:t>9.</w:t>
      </w:r>
      <w:r w:rsidRPr="00CF5D64">
        <w:rPr>
          <w:b/>
          <w:sz w:val="24"/>
          <w:szCs w:val="24"/>
        </w:rPr>
        <w:tab/>
        <w:t>DATO FOR FØRSTE MARKEDSFØRINGSTILLADELSE</w:t>
      </w:r>
    </w:p>
    <w:p w:rsidR="0096791F" w:rsidRPr="00CF5D64" w:rsidRDefault="0096791F" w:rsidP="0096791F">
      <w:pPr>
        <w:tabs>
          <w:tab w:val="left" w:pos="851"/>
        </w:tabs>
        <w:rPr>
          <w:sz w:val="24"/>
          <w:szCs w:val="24"/>
        </w:rPr>
      </w:pPr>
      <w:r w:rsidRPr="00CF5D64">
        <w:rPr>
          <w:sz w:val="24"/>
          <w:szCs w:val="24"/>
        </w:rPr>
        <w:tab/>
      </w:r>
      <w:r>
        <w:rPr>
          <w:sz w:val="24"/>
          <w:szCs w:val="24"/>
        </w:rPr>
        <w:t>24</w:t>
      </w:r>
      <w:r w:rsidRPr="00CF5D64">
        <w:rPr>
          <w:sz w:val="24"/>
          <w:szCs w:val="24"/>
        </w:rPr>
        <w:t>. april 2012</w:t>
      </w:r>
    </w:p>
    <w:p w:rsidR="0096791F" w:rsidRPr="00CF5D64" w:rsidRDefault="0096791F" w:rsidP="0096791F">
      <w:pPr>
        <w:tabs>
          <w:tab w:val="left" w:pos="851"/>
        </w:tabs>
        <w:rPr>
          <w:sz w:val="24"/>
          <w:szCs w:val="24"/>
        </w:rPr>
      </w:pPr>
    </w:p>
    <w:p w:rsidR="0096791F" w:rsidRPr="00CF5D64" w:rsidRDefault="0096791F" w:rsidP="0096791F">
      <w:pPr>
        <w:tabs>
          <w:tab w:val="left" w:pos="851"/>
        </w:tabs>
        <w:rPr>
          <w:b/>
          <w:sz w:val="24"/>
          <w:szCs w:val="24"/>
        </w:rPr>
      </w:pPr>
      <w:r w:rsidRPr="00CF5D64">
        <w:rPr>
          <w:b/>
          <w:sz w:val="24"/>
          <w:szCs w:val="24"/>
        </w:rPr>
        <w:t>10.</w:t>
      </w:r>
      <w:r w:rsidRPr="00CF5D64">
        <w:rPr>
          <w:b/>
          <w:sz w:val="24"/>
          <w:szCs w:val="24"/>
        </w:rPr>
        <w:tab/>
        <w:t>DATO FOR ÆNDRING AF TEKSTEN</w:t>
      </w:r>
    </w:p>
    <w:p w:rsidR="0096791F" w:rsidRPr="00CF5D64" w:rsidRDefault="0096791F" w:rsidP="0096791F">
      <w:pPr>
        <w:tabs>
          <w:tab w:val="left" w:pos="851"/>
        </w:tabs>
        <w:rPr>
          <w:sz w:val="24"/>
          <w:szCs w:val="24"/>
        </w:rPr>
      </w:pPr>
      <w:r w:rsidRPr="00CF5D64">
        <w:rPr>
          <w:sz w:val="24"/>
          <w:szCs w:val="24"/>
        </w:rPr>
        <w:tab/>
      </w:r>
      <w:r w:rsidR="00C10439">
        <w:rPr>
          <w:sz w:val="24"/>
          <w:szCs w:val="24"/>
        </w:rPr>
        <w:t>10. juni 2024</w:t>
      </w:r>
    </w:p>
    <w:p w:rsidR="0096791F" w:rsidRPr="00BD48DD" w:rsidRDefault="0096791F" w:rsidP="0096791F"/>
    <w:p w:rsidR="0096791F" w:rsidRPr="006A757E" w:rsidRDefault="0096791F" w:rsidP="0096791F"/>
    <w:p w:rsidR="009260DE" w:rsidRPr="0096791F" w:rsidRDefault="009260DE" w:rsidP="0096791F"/>
    <w:sectPr w:rsidR="009260DE" w:rsidRPr="0096791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91F" w:rsidRDefault="0096791F">
      <w:r>
        <w:separator/>
      </w:r>
    </w:p>
  </w:endnote>
  <w:endnote w:type="continuationSeparator" w:id="0">
    <w:p w:rsidR="0096791F" w:rsidRDefault="00967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00472E" w:rsidP="00C42586">
    <w:pPr>
      <w:pStyle w:val="Sidefod"/>
      <w:tabs>
        <w:tab w:val="clear" w:pos="4819"/>
        <w:tab w:val="left" w:pos="8505"/>
      </w:tabs>
      <w:rPr>
        <w:i/>
        <w:sz w:val="18"/>
        <w:szCs w:val="18"/>
      </w:rPr>
    </w:pPr>
    <w:proofErr w:type="spellStart"/>
    <w:r w:rsidRPr="0000472E">
      <w:rPr>
        <w:i/>
        <w:sz w:val="18"/>
        <w:szCs w:val="18"/>
      </w:rPr>
      <w:t>Onytec</w:t>
    </w:r>
    <w:proofErr w:type="spellEnd"/>
    <w:r w:rsidRPr="0000472E">
      <w:rPr>
        <w:i/>
        <w:sz w:val="18"/>
        <w:szCs w:val="18"/>
      </w:rPr>
      <w:t>, medicinsk neglelak 80 mg-g</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91F" w:rsidRDefault="0096791F">
      <w:r>
        <w:separator/>
      </w:r>
    </w:p>
  </w:footnote>
  <w:footnote w:type="continuationSeparator" w:id="0">
    <w:p w:rsidR="0096791F" w:rsidRDefault="00967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D3458DA"/>
    <w:multiLevelType w:val="hybridMultilevel"/>
    <w:tmpl w:val="298EA8F2"/>
    <w:lvl w:ilvl="0" w:tplc="FFEA5F76">
      <w:start w:val="1"/>
      <w:numFmt w:val="decimal"/>
      <w:lvlText w:val="%1)"/>
      <w:lvlJc w:val="left"/>
      <w:pPr>
        <w:ind w:left="1211" w:hanging="360"/>
      </w:pPr>
      <w:rPr>
        <w:vertAlign w:val="superscript"/>
      </w:rPr>
    </w:lvl>
    <w:lvl w:ilvl="1" w:tplc="04060019">
      <w:start w:val="1"/>
      <w:numFmt w:val="lowerLetter"/>
      <w:lvlText w:val="%2."/>
      <w:lvlJc w:val="left"/>
      <w:pPr>
        <w:ind w:left="1931" w:hanging="360"/>
      </w:pPr>
    </w:lvl>
    <w:lvl w:ilvl="2" w:tplc="0406001B">
      <w:start w:val="1"/>
      <w:numFmt w:val="lowerRoman"/>
      <w:lvlText w:val="%3."/>
      <w:lvlJc w:val="right"/>
      <w:pPr>
        <w:ind w:left="2651" w:hanging="180"/>
      </w:pPr>
    </w:lvl>
    <w:lvl w:ilvl="3" w:tplc="0406000F">
      <w:start w:val="1"/>
      <w:numFmt w:val="decimal"/>
      <w:lvlText w:val="%4."/>
      <w:lvlJc w:val="left"/>
      <w:pPr>
        <w:ind w:left="3371" w:hanging="360"/>
      </w:pPr>
    </w:lvl>
    <w:lvl w:ilvl="4" w:tplc="04060019">
      <w:start w:val="1"/>
      <w:numFmt w:val="lowerLetter"/>
      <w:lvlText w:val="%5."/>
      <w:lvlJc w:val="left"/>
      <w:pPr>
        <w:ind w:left="4091" w:hanging="360"/>
      </w:pPr>
    </w:lvl>
    <w:lvl w:ilvl="5" w:tplc="0406001B">
      <w:start w:val="1"/>
      <w:numFmt w:val="lowerRoman"/>
      <w:lvlText w:val="%6."/>
      <w:lvlJc w:val="right"/>
      <w:pPr>
        <w:ind w:left="4811" w:hanging="180"/>
      </w:pPr>
    </w:lvl>
    <w:lvl w:ilvl="6" w:tplc="0406000F">
      <w:start w:val="1"/>
      <w:numFmt w:val="decimal"/>
      <w:lvlText w:val="%7."/>
      <w:lvlJc w:val="left"/>
      <w:pPr>
        <w:ind w:left="5531" w:hanging="360"/>
      </w:pPr>
    </w:lvl>
    <w:lvl w:ilvl="7" w:tplc="04060019">
      <w:start w:val="1"/>
      <w:numFmt w:val="lowerLetter"/>
      <w:lvlText w:val="%8."/>
      <w:lvlJc w:val="left"/>
      <w:pPr>
        <w:ind w:left="6251" w:hanging="360"/>
      </w:pPr>
    </w:lvl>
    <w:lvl w:ilvl="8" w:tplc="0406001B">
      <w:start w:val="1"/>
      <w:numFmt w:val="lowerRoman"/>
      <w:lvlText w:val="%9."/>
      <w:lvlJc w:val="right"/>
      <w:pPr>
        <w:ind w:left="6971" w:hanging="18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91F"/>
    <w:rsid w:val="0000472E"/>
    <w:rsid w:val="000259B9"/>
    <w:rsid w:val="00026457"/>
    <w:rsid w:val="00041491"/>
    <w:rsid w:val="00050D16"/>
    <w:rsid w:val="00074F2A"/>
    <w:rsid w:val="00082A55"/>
    <w:rsid w:val="000A1CA8"/>
    <w:rsid w:val="000A466B"/>
    <w:rsid w:val="000B058C"/>
    <w:rsid w:val="000E4EE6"/>
    <w:rsid w:val="001454E2"/>
    <w:rsid w:val="00206CE8"/>
    <w:rsid w:val="0021526C"/>
    <w:rsid w:val="002375E9"/>
    <w:rsid w:val="002501D7"/>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1131A"/>
    <w:rsid w:val="00637F5A"/>
    <w:rsid w:val="006560B1"/>
    <w:rsid w:val="006756DD"/>
    <w:rsid w:val="006A647F"/>
    <w:rsid w:val="00737275"/>
    <w:rsid w:val="00740EEC"/>
    <w:rsid w:val="0078011A"/>
    <w:rsid w:val="00782AF4"/>
    <w:rsid w:val="00790EE7"/>
    <w:rsid w:val="007B6649"/>
    <w:rsid w:val="0081546F"/>
    <w:rsid w:val="0082576E"/>
    <w:rsid w:val="00907F75"/>
    <w:rsid w:val="009260DE"/>
    <w:rsid w:val="0093258A"/>
    <w:rsid w:val="00963F7D"/>
    <w:rsid w:val="0096791F"/>
    <w:rsid w:val="009C2E05"/>
    <w:rsid w:val="009C7BA3"/>
    <w:rsid w:val="009D1F5A"/>
    <w:rsid w:val="00AB2797"/>
    <w:rsid w:val="00B003BF"/>
    <w:rsid w:val="00B373D7"/>
    <w:rsid w:val="00C10439"/>
    <w:rsid w:val="00C36276"/>
    <w:rsid w:val="00C42586"/>
    <w:rsid w:val="00C60CCD"/>
    <w:rsid w:val="00C8142A"/>
    <w:rsid w:val="00C84483"/>
    <w:rsid w:val="00C95551"/>
    <w:rsid w:val="00CB20D7"/>
    <w:rsid w:val="00D020B0"/>
    <w:rsid w:val="00D11748"/>
    <w:rsid w:val="00D366CF"/>
    <w:rsid w:val="00D5453A"/>
    <w:rsid w:val="00E108AA"/>
    <w:rsid w:val="00E31812"/>
    <w:rsid w:val="00E3749A"/>
    <w:rsid w:val="00E7437F"/>
    <w:rsid w:val="00E865B8"/>
    <w:rsid w:val="00EC0B9B"/>
    <w:rsid w:val="00EC4EDB"/>
    <w:rsid w:val="00ED5E9F"/>
    <w:rsid w:val="00F66D4F"/>
    <w:rsid w:val="00F85DFC"/>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11F639B"/>
  <w15:chartTrackingRefBased/>
  <w15:docId w15:val="{3428D582-8C87-4D1E-AF2C-57AB3971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96791F"/>
    <w:pPr>
      <w:spacing w:before="120" w:after="120"/>
      <w:jc w:val="both"/>
    </w:pPr>
    <w:rPr>
      <w:sz w:val="22"/>
      <w:lang w:val="en-US"/>
    </w:rPr>
  </w:style>
  <w:style w:type="character" w:styleId="Hyperlink">
    <w:name w:val="Hyperlink"/>
    <w:semiHidden/>
    <w:unhideWhenUsed/>
    <w:rsid w:val="0096791F"/>
    <w:rPr>
      <w:color w:val="0000FF"/>
      <w:u w:val="single"/>
    </w:rPr>
  </w:style>
  <w:style w:type="paragraph" w:styleId="Listeafsnit">
    <w:name w:val="List Paragraph"/>
    <w:basedOn w:val="Normal"/>
    <w:uiPriority w:val="34"/>
    <w:qFormat/>
    <w:rsid w:val="0096791F"/>
    <w:pPr>
      <w:ind w:left="720"/>
      <w:contextualSpacing/>
    </w:pPr>
  </w:style>
  <w:style w:type="table" w:styleId="Tabel-Gitter">
    <w:name w:val="Table Grid"/>
    <w:basedOn w:val="Tabel-Normal"/>
    <w:uiPriority w:val="59"/>
    <w:rsid w:val="009679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81139727">
      <w:bodyDiv w:val="1"/>
      <w:marLeft w:val="0"/>
      <w:marRight w:val="0"/>
      <w:marTop w:val="0"/>
      <w:marBottom w:val="0"/>
      <w:divBdr>
        <w:top w:val="none" w:sz="0" w:space="0" w:color="auto"/>
        <w:left w:val="none" w:sz="0" w:space="0" w:color="auto"/>
        <w:bottom w:val="none" w:sz="0" w:space="0" w:color="auto"/>
        <w:right w:val="none" w:sz="0" w:space="0" w:color="auto"/>
      </w:divBdr>
    </w:div>
    <w:div w:id="95875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2185</Words>
  <Characters>13488</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2024012399_x000d_
Ændring af repræsentant adresse</dc:description>
  <cp:lastModifiedBy>Marianne Ott Jensen</cp:lastModifiedBy>
  <cp:revision>3</cp:revision>
  <cp:lastPrinted>2012-08-22T08:53:00Z</cp:lastPrinted>
  <dcterms:created xsi:type="dcterms:W3CDTF">2024-06-10T10:46:00Z</dcterms:created>
  <dcterms:modified xsi:type="dcterms:W3CDTF">2024-06-10T10:47:00Z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