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41815" w:rsidRPr="00841815">
        <w:rPr>
          <w:szCs w:val="24"/>
          <w:lang w:eastAsia="en-US"/>
        </w:rPr>
        <w:t>15</w:t>
      </w:r>
      <w:r w:rsidR="00071551">
        <w:rPr>
          <w:szCs w:val="24"/>
        </w:rPr>
        <w:t xml:space="preserve">. </w:t>
      </w:r>
      <w:r w:rsidR="003569AF">
        <w:rPr>
          <w:szCs w:val="24"/>
        </w:rPr>
        <w:t>november</w:t>
      </w:r>
      <w:r w:rsidR="00071551">
        <w:rPr>
          <w:szCs w:val="24"/>
        </w:rPr>
        <w:t xml:space="preserve"> 202</w:t>
      </w:r>
      <w:r w:rsidR="006F4D55">
        <w:rPr>
          <w:szCs w:val="24"/>
        </w:rPr>
        <w:t>3</w:t>
      </w: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097340" w:rsidP="009260DE">
      <w:pPr>
        <w:jc w:val="center"/>
        <w:rPr>
          <w:b/>
          <w:sz w:val="24"/>
          <w:szCs w:val="24"/>
        </w:rPr>
      </w:pPr>
      <w:proofErr w:type="spellStart"/>
      <w:r>
        <w:rPr>
          <w:b/>
          <w:sz w:val="24"/>
          <w:szCs w:val="24"/>
        </w:rPr>
        <w:t>Ophtesic</w:t>
      </w:r>
      <w:proofErr w:type="spellEnd"/>
      <w:r>
        <w:rPr>
          <w:b/>
          <w:sz w:val="24"/>
          <w:szCs w:val="24"/>
        </w:rPr>
        <w:t>, øjengel i enkeltdosisbeholder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446CEF" w:rsidP="009260DE">
      <w:pPr>
        <w:tabs>
          <w:tab w:val="left" w:pos="851"/>
        </w:tabs>
        <w:ind w:left="851"/>
        <w:rPr>
          <w:sz w:val="24"/>
          <w:szCs w:val="24"/>
        </w:rPr>
      </w:pPr>
      <w:r>
        <w:rPr>
          <w:sz w:val="24"/>
          <w:szCs w:val="24"/>
        </w:rPr>
        <w:t>32856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446CEF" w:rsidP="009260DE">
      <w:pPr>
        <w:tabs>
          <w:tab w:val="left" w:pos="851"/>
        </w:tabs>
        <w:ind w:left="851"/>
        <w:rPr>
          <w:sz w:val="24"/>
          <w:szCs w:val="24"/>
        </w:rPr>
      </w:pPr>
      <w:proofErr w:type="spellStart"/>
      <w:r>
        <w:rPr>
          <w:sz w:val="24"/>
          <w:szCs w:val="24"/>
        </w:rPr>
        <w:t>Ophte</w:t>
      </w:r>
      <w:r w:rsidR="008906DE">
        <w:rPr>
          <w:sz w:val="24"/>
          <w:szCs w:val="24"/>
        </w:rPr>
        <w:t>sic</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461773" w:rsidRPr="00461773" w:rsidRDefault="00461773" w:rsidP="00461773">
      <w:pPr>
        <w:tabs>
          <w:tab w:val="left" w:pos="851"/>
        </w:tabs>
        <w:ind w:left="851"/>
        <w:rPr>
          <w:sz w:val="24"/>
          <w:szCs w:val="24"/>
        </w:rPr>
      </w:pPr>
      <w:r w:rsidRPr="00461773">
        <w:rPr>
          <w:sz w:val="24"/>
          <w:szCs w:val="24"/>
        </w:rPr>
        <w:t xml:space="preserve">1 g gel indeholder </w:t>
      </w:r>
      <w:proofErr w:type="spellStart"/>
      <w:r w:rsidR="003569AF" w:rsidRPr="00461773">
        <w:rPr>
          <w:sz w:val="24"/>
          <w:szCs w:val="24"/>
        </w:rPr>
        <w:t>lidocainhydrochlorid</w:t>
      </w:r>
      <w:proofErr w:type="spellEnd"/>
      <w:r w:rsidR="003569AF" w:rsidRPr="00B843F8">
        <w:rPr>
          <w:sz w:val="24"/>
          <w:szCs w:val="24"/>
        </w:rPr>
        <w:t>-monohydrat</w:t>
      </w:r>
      <w:r w:rsidR="003569AF" w:rsidRPr="00461773">
        <w:rPr>
          <w:sz w:val="24"/>
          <w:szCs w:val="24"/>
        </w:rPr>
        <w:t xml:space="preserve"> svarende</w:t>
      </w:r>
      <w:r w:rsidRPr="00461773">
        <w:rPr>
          <w:sz w:val="24"/>
          <w:szCs w:val="24"/>
        </w:rPr>
        <w:t xml:space="preserve"> til 20 mg </w:t>
      </w:r>
      <w:proofErr w:type="spellStart"/>
      <w:r w:rsidRPr="00461773">
        <w:rPr>
          <w:sz w:val="24"/>
          <w:szCs w:val="24"/>
        </w:rPr>
        <w:t>lidocainhydrochlorid</w:t>
      </w:r>
      <w:proofErr w:type="spellEnd"/>
      <w:r w:rsidRPr="00461773">
        <w:rPr>
          <w:sz w:val="24"/>
          <w:szCs w:val="24"/>
        </w:rPr>
        <w:t xml:space="preserve"> vandfrit. </w:t>
      </w:r>
    </w:p>
    <w:p w:rsidR="00461773" w:rsidRPr="00461773" w:rsidRDefault="00461773" w:rsidP="00461773">
      <w:pPr>
        <w:tabs>
          <w:tab w:val="left" w:pos="851"/>
        </w:tabs>
        <w:ind w:left="851"/>
        <w:rPr>
          <w:sz w:val="24"/>
          <w:szCs w:val="24"/>
        </w:rPr>
      </w:pPr>
    </w:p>
    <w:p w:rsidR="00461773" w:rsidRPr="00461773" w:rsidRDefault="00461773" w:rsidP="00461773">
      <w:pPr>
        <w:tabs>
          <w:tab w:val="left" w:pos="851"/>
        </w:tabs>
        <w:ind w:left="851"/>
        <w:rPr>
          <w:sz w:val="24"/>
          <w:szCs w:val="24"/>
        </w:rPr>
      </w:pPr>
      <w:r w:rsidRPr="00461773">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461773" w:rsidRDefault="00461773" w:rsidP="00461773">
      <w:pPr>
        <w:tabs>
          <w:tab w:val="left" w:pos="851"/>
        </w:tabs>
        <w:ind w:left="851"/>
        <w:rPr>
          <w:sz w:val="24"/>
          <w:szCs w:val="24"/>
        </w:rPr>
      </w:pPr>
      <w:r w:rsidRPr="00461773">
        <w:rPr>
          <w:sz w:val="24"/>
          <w:szCs w:val="24"/>
        </w:rPr>
        <w:t>Øjengel i enkeltdosisbeholder</w:t>
      </w:r>
    </w:p>
    <w:p w:rsidR="00461773" w:rsidRPr="00461773" w:rsidRDefault="00461773" w:rsidP="00461773">
      <w:pPr>
        <w:tabs>
          <w:tab w:val="left" w:pos="851"/>
        </w:tabs>
        <w:ind w:left="851"/>
        <w:rPr>
          <w:sz w:val="24"/>
          <w:szCs w:val="24"/>
        </w:rPr>
      </w:pPr>
    </w:p>
    <w:p w:rsidR="00461773" w:rsidRPr="00461773" w:rsidRDefault="00461773" w:rsidP="00461773">
      <w:pPr>
        <w:tabs>
          <w:tab w:val="left" w:pos="851"/>
        </w:tabs>
        <w:ind w:left="851"/>
        <w:rPr>
          <w:sz w:val="24"/>
          <w:szCs w:val="24"/>
        </w:rPr>
      </w:pPr>
      <w:r w:rsidRPr="00461773">
        <w:rPr>
          <w:sz w:val="24"/>
          <w:szCs w:val="24"/>
        </w:rPr>
        <w:t>Homogen, klar transparent gel.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351BC" w:rsidRPr="006351BC" w:rsidRDefault="006351BC" w:rsidP="006351BC">
      <w:pPr>
        <w:tabs>
          <w:tab w:val="left" w:pos="851"/>
        </w:tabs>
        <w:ind w:left="851"/>
        <w:rPr>
          <w:sz w:val="24"/>
          <w:szCs w:val="24"/>
        </w:rPr>
      </w:pPr>
      <w:r w:rsidRPr="006351BC">
        <w:rPr>
          <w:sz w:val="24"/>
          <w:szCs w:val="24"/>
        </w:rPr>
        <w:t xml:space="preserve">Topisk anæstesi under </w:t>
      </w:r>
      <w:proofErr w:type="spellStart"/>
      <w:r w:rsidRPr="006351BC">
        <w:rPr>
          <w:sz w:val="24"/>
          <w:szCs w:val="24"/>
        </w:rPr>
        <w:t>oftalmiske</w:t>
      </w:r>
      <w:proofErr w:type="spellEnd"/>
      <w:r w:rsidRPr="006351BC">
        <w:rPr>
          <w:sz w:val="24"/>
          <w:szCs w:val="24"/>
        </w:rPr>
        <w:t xml:space="preserve"> procedurer.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6F4D55">
        <w:rPr>
          <w:b/>
          <w:sz w:val="24"/>
          <w:szCs w:val="24"/>
        </w:rPr>
        <w:t>administration</w:t>
      </w:r>
    </w:p>
    <w:p w:rsidR="00D46FF5" w:rsidRPr="00D46FF5" w:rsidRDefault="00D46FF5" w:rsidP="00D46FF5">
      <w:pPr>
        <w:tabs>
          <w:tab w:val="left" w:pos="851"/>
        </w:tabs>
        <w:ind w:left="851"/>
        <w:rPr>
          <w:sz w:val="24"/>
          <w:szCs w:val="24"/>
          <w:u w:val="single"/>
        </w:rPr>
      </w:pPr>
    </w:p>
    <w:p w:rsidR="003569AF" w:rsidRPr="00D46FF5" w:rsidRDefault="003569AF" w:rsidP="003569AF">
      <w:pPr>
        <w:tabs>
          <w:tab w:val="left" w:pos="851"/>
        </w:tabs>
        <w:ind w:left="851"/>
        <w:rPr>
          <w:sz w:val="24"/>
          <w:szCs w:val="24"/>
          <w:u w:val="single"/>
        </w:rPr>
      </w:pPr>
      <w:r w:rsidRPr="00D46FF5">
        <w:rPr>
          <w:sz w:val="24"/>
          <w:szCs w:val="24"/>
          <w:u w:val="single"/>
        </w:rPr>
        <w:t>Dosering</w:t>
      </w:r>
    </w:p>
    <w:p w:rsidR="003569AF" w:rsidRPr="00D46FF5" w:rsidRDefault="003569AF" w:rsidP="003569AF">
      <w:pPr>
        <w:tabs>
          <w:tab w:val="left" w:pos="851"/>
        </w:tabs>
        <w:ind w:left="851"/>
        <w:rPr>
          <w:sz w:val="24"/>
          <w:szCs w:val="24"/>
        </w:rPr>
      </w:pPr>
      <w:proofErr w:type="spellStart"/>
      <w:r>
        <w:rPr>
          <w:sz w:val="24"/>
          <w:szCs w:val="24"/>
        </w:rPr>
        <w:t>Ophtesic</w:t>
      </w:r>
      <w:proofErr w:type="spellEnd"/>
      <w:r>
        <w:rPr>
          <w:sz w:val="24"/>
          <w:szCs w:val="24"/>
        </w:rPr>
        <w:t xml:space="preserve"> </w:t>
      </w:r>
      <w:r w:rsidRPr="00B843F8">
        <w:rPr>
          <w:sz w:val="24"/>
          <w:szCs w:val="24"/>
        </w:rPr>
        <w:t xml:space="preserve">gel skal påføres, så det </w:t>
      </w:r>
      <w:r w:rsidRPr="00D46FF5">
        <w:rPr>
          <w:sz w:val="24"/>
          <w:szCs w:val="24"/>
        </w:rPr>
        <w:t>dæk</w:t>
      </w:r>
      <w:r>
        <w:rPr>
          <w:sz w:val="24"/>
          <w:szCs w:val="24"/>
        </w:rPr>
        <w:t>ker</w:t>
      </w:r>
      <w:r w:rsidRPr="00D46FF5">
        <w:rPr>
          <w:sz w:val="24"/>
          <w:szCs w:val="24"/>
        </w:rPr>
        <w:t xml:space="preserve"> den </w:t>
      </w:r>
      <w:proofErr w:type="spellStart"/>
      <w:r w:rsidRPr="00D46FF5">
        <w:rPr>
          <w:sz w:val="24"/>
          <w:szCs w:val="24"/>
        </w:rPr>
        <w:t>okulære</w:t>
      </w:r>
      <w:proofErr w:type="spellEnd"/>
      <w:r w:rsidRPr="00D46FF5">
        <w:rPr>
          <w:sz w:val="24"/>
          <w:szCs w:val="24"/>
        </w:rPr>
        <w:t xml:space="preserve"> overflade, og om nødvendigt øjets </w:t>
      </w:r>
      <w:proofErr w:type="spellStart"/>
      <w:r w:rsidRPr="00D46FF5">
        <w:rPr>
          <w:sz w:val="24"/>
          <w:szCs w:val="24"/>
        </w:rPr>
        <w:t>adnexa</w:t>
      </w:r>
      <w:proofErr w:type="spellEnd"/>
      <w:r w:rsidRPr="00D46FF5">
        <w:rPr>
          <w:sz w:val="24"/>
          <w:szCs w:val="24"/>
        </w:rPr>
        <w:t xml:space="preserve">, med gelen på området for den planlagte </w:t>
      </w:r>
      <w:proofErr w:type="spellStart"/>
      <w:r w:rsidRPr="00D46FF5">
        <w:rPr>
          <w:sz w:val="24"/>
          <w:szCs w:val="24"/>
        </w:rPr>
        <w:t>oftalmiske</w:t>
      </w:r>
      <w:proofErr w:type="spellEnd"/>
      <w:r w:rsidRPr="00D46FF5">
        <w:rPr>
          <w:sz w:val="24"/>
          <w:szCs w:val="24"/>
        </w:rPr>
        <w:t xml:space="preserve"> procedure 5 minutter før proceduren efter desinficering.</w:t>
      </w:r>
    </w:p>
    <w:p w:rsidR="003569AF" w:rsidRPr="00D46FF5" w:rsidRDefault="003569AF" w:rsidP="003569AF">
      <w:pPr>
        <w:tabs>
          <w:tab w:val="left" w:pos="851"/>
        </w:tabs>
        <w:ind w:left="851"/>
        <w:rPr>
          <w:sz w:val="24"/>
          <w:szCs w:val="24"/>
        </w:rPr>
      </w:pPr>
    </w:p>
    <w:p w:rsidR="003569AF" w:rsidRPr="00D46FF5" w:rsidRDefault="003569AF" w:rsidP="003569AF">
      <w:pPr>
        <w:tabs>
          <w:tab w:val="left" w:pos="851"/>
        </w:tabs>
        <w:ind w:left="851"/>
        <w:rPr>
          <w:sz w:val="24"/>
          <w:szCs w:val="24"/>
        </w:rPr>
      </w:pPr>
      <w:r w:rsidRPr="00B843F8">
        <w:rPr>
          <w:sz w:val="24"/>
          <w:szCs w:val="24"/>
        </w:rPr>
        <w:t xml:space="preserve">Den anbefalede dosis er </w:t>
      </w:r>
      <w:r w:rsidRPr="00D46FF5">
        <w:rPr>
          <w:sz w:val="24"/>
          <w:szCs w:val="24"/>
        </w:rPr>
        <w:t>1 g smurt ud over øjets overflade</w:t>
      </w:r>
      <w:r w:rsidRPr="00B843F8">
        <w:rPr>
          <w:sz w:val="24"/>
          <w:szCs w:val="24"/>
        </w:rPr>
        <w:t>. Denne dosis</w:t>
      </w:r>
      <w:r w:rsidRPr="00D46FF5">
        <w:rPr>
          <w:sz w:val="24"/>
          <w:szCs w:val="24"/>
        </w:rPr>
        <w:t xml:space="preserve"> er som regel nok til at opnå en indledende bedøvelse. En yderligere mængde kan bruges om nødvendigt, afhængigt af øjets størrelse eller procedurens varighed.</w:t>
      </w:r>
    </w:p>
    <w:p w:rsidR="003569AF" w:rsidRPr="00D46FF5" w:rsidRDefault="003569AF" w:rsidP="003569AF">
      <w:pPr>
        <w:tabs>
          <w:tab w:val="left" w:pos="851"/>
        </w:tabs>
        <w:ind w:left="851"/>
        <w:rPr>
          <w:sz w:val="24"/>
          <w:szCs w:val="24"/>
        </w:rPr>
      </w:pPr>
    </w:p>
    <w:p w:rsidR="003569AF" w:rsidRPr="00D46FF5" w:rsidRDefault="003569AF" w:rsidP="003569AF">
      <w:pPr>
        <w:tabs>
          <w:tab w:val="left" w:pos="851"/>
        </w:tabs>
        <w:ind w:left="851"/>
        <w:rPr>
          <w:sz w:val="24"/>
          <w:szCs w:val="24"/>
        </w:rPr>
      </w:pPr>
      <w:r w:rsidRPr="00D46FF5">
        <w:rPr>
          <w:sz w:val="24"/>
          <w:szCs w:val="24"/>
        </w:rPr>
        <w:t>1 gram svarer nogenlunde til en tredjedel af en tube.</w:t>
      </w:r>
    </w:p>
    <w:p w:rsidR="003569AF" w:rsidRPr="00D46FF5" w:rsidRDefault="003569AF" w:rsidP="003569AF">
      <w:pPr>
        <w:tabs>
          <w:tab w:val="left" w:pos="851"/>
        </w:tabs>
        <w:ind w:left="851"/>
        <w:rPr>
          <w:sz w:val="24"/>
          <w:szCs w:val="24"/>
        </w:rPr>
      </w:pPr>
    </w:p>
    <w:p w:rsidR="003569AF" w:rsidRPr="00D46FF5" w:rsidRDefault="003569AF" w:rsidP="003569AF">
      <w:pPr>
        <w:tabs>
          <w:tab w:val="left" w:pos="851"/>
        </w:tabs>
        <w:ind w:left="851"/>
        <w:rPr>
          <w:sz w:val="24"/>
          <w:szCs w:val="24"/>
        </w:rPr>
      </w:pPr>
      <w:r w:rsidRPr="00B843F8">
        <w:rPr>
          <w:sz w:val="24"/>
          <w:szCs w:val="24"/>
        </w:rPr>
        <w:lastRenderedPageBreak/>
        <w:t xml:space="preserve">Den anvendte mængde må ikke </w:t>
      </w:r>
      <w:r>
        <w:rPr>
          <w:sz w:val="24"/>
          <w:szCs w:val="24"/>
        </w:rPr>
        <w:t>o</w:t>
      </w:r>
      <w:r w:rsidRPr="00D46FF5">
        <w:rPr>
          <w:sz w:val="24"/>
          <w:szCs w:val="24"/>
        </w:rPr>
        <w:t>verskrid</w:t>
      </w:r>
      <w:r>
        <w:rPr>
          <w:sz w:val="24"/>
          <w:szCs w:val="24"/>
        </w:rPr>
        <w:t>e</w:t>
      </w:r>
      <w:r w:rsidRPr="00D46FF5">
        <w:rPr>
          <w:sz w:val="24"/>
          <w:szCs w:val="24"/>
        </w:rPr>
        <w:t xml:space="preserve"> én tube pr. øje eller pr. enkelt procedure. </w:t>
      </w:r>
    </w:p>
    <w:p w:rsidR="003569AF" w:rsidRPr="00D46FF5" w:rsidRDefault="003569AF" w:rsidP="003569AF">
      <w:pPr>
        <w:tabs>
          <w:tab w:val="left" w:pos="851"/>
        </w:tabs>
        <w:ind w:left="851"/>
        <w:rPr>
          <w:sz w:val="24"/>
          <w:szCs w:val="24"/>
          <w:u w:val="single"/>
        </w:rPr>
      </w:pPr>
    </w:p>
    <w:p w:rsidR="003569AF" w:rsidRPr="00D46FF5" w:rsidRDefault="003569AF" w:rsidP="003569AF">
      <w:pPr>
        <w:tabs>
          <w:tab w:val="left" w:pos="851"/>
        </w:tabs>
        <w:ind w:left="851"/>
        <w:rPr>
          <w:sz w:val="24"/>
          <w:szCs w:val="24"/>
        </w:rPr>
      </w:pPr>
      <w:r w:rsidRPr="00D46FF5">
        <w:rPr>
          <w:sz w:val="24"/>
          <w:szCs w:val="24"/>
        </w:rPr>
        <w:t>Gelen kan påføres igen for at opretholde den bedøvende virkning.</w:t>
      </w:r>
    </w:p>
    <w:p w:rsidR="003569AF" w:rsidRPr="00D46FF5" w:rsidRDefault="003569AF" w:rsidP="003569AF">
      <w:pPr>
        <w:tabs>
          <w:tab w:val="left" w:pos="851"/>
        </w:tabs>
        <w:ind w:left="851"/>
        <w:rPr>
          <w:sz w:val="24"/>
          <w:szCs w:val="24"/>
          <w:u w:val="single"/>
        </w:rPr>
      </w:pPr>
    </w:p>
    <w:p w:rsidR="003569AF" w:rsidRPr="00D46FF5" w:rsidRDefault="003569AF" w:rsidP="003569AF">
      <w:pPr>
        <w:tabs>
          <w:tab w:val="left" w:pos="851"/>
        </w:tabs>
        <w:ind w:left="851"/>
        <w:rPr>
          <w:i/>
          <w:iCs/>
          <w:sz w:val="24"/>
          <w:szCs w:val="24"/>
        </w:rPr>
      </w:pPr>
      <w:r w:rsidRPr="00D46FF5">
        <w:rPr>
          <w:i/>
          <w:iCs/>
          <w:sz w:val="24"/>
          <w:szCs w:val="24"/>
        </w:rPr>
        <w:t>Pædiatrisk population</w:t>
      </w:r>
    </w:p>
    <w:p w:rsidR="003569AF" w:rsidRPr="00D46FF5" w:rsidRDefault="003569AF" w:rsidP="003569AF">
      <w:pPr>
        <w:tabs>
          <w:tab w:val="left" w:pos="851"/>
        </w:tabs>
        <w:ind w:left="851"/>
        <w:rPr>
          <w:sz w:val="24"/>
          <w:szCs w:val="24"/>
        </w:rPr>
      </w:pPr>
      <w:r w:rsidRPr="00D46FF5">
        <w:rPr>
          <w:sz w:val="24"/>
          <w:szCs w:val="24"/>
        </w:rPr>
        <w:t xml:space="preserve">Denne medicins sikkerhed og virkning er ikke påvist hos børn. </w:t>
      </w:r>
    </w:p>
    <w:p w:rsidR="003569AF" w:rsidRPr="00D46FF5" w:rsidRDefault="003569AF" w:rsidP="003569AF">
      <w:pPr>
        <w:tabs>
          <w:tab w:val="left" w:pos="851"/>
        </w:tabs>
        <w:ind w:left="851"/>
        <w:rPr>
          <w:sz w:val="24"/>
          <w:szCs w:val="24"/>
          <w:u w:val="single"/>
        </w:rPr>
      </w:pPr>
    </w:p>
    <w:p w:rsidR="003569AF" w:rsidRPr="00D46FF5" w:rsidRDefault="003569AF" w:rsidP="003569AF">
      <w:pPr>
        <w:tabs>
          <w:tab w:val="left" w:pos="851"/>
        </w:tabs>
        <w:ind w:left="851"/>
        <w:rPr>
          <w:sz w:val="24"/>
          <w:szCs w:val="24"/>
          <w:u w:val="single"/>
        </w:rPr>
      </w:pPr>
      <w:r w:rsidRPr="00D46FF5">
        <w:rPr>
          <w:sz w:val="24"/>
          <w:szCs w:val="24"/>
          <w:u w:val="single"/>
        </w:rPr>
        <w:t>Administration</w:t>
      </w:r>
    </w:p>
    <w:p w:rsidR="003569AF" w:rsidRPr="00B843F8" w:rsidRDefault="003569AF" w:rsidP="003569AF">
      <w:pPr>
        <w:tabs>
          <w:tab w:val="left" w:pos="851"/>
        </w:tabs>
        <w:ind w:left="851"/>
        <w:rPr>
          <w:sz w:val="24"/>
          <w:szCs w:val="24"/>
        </w:rPr>
      </w:pPr>
    </w:p>
    <w:p w:rsidR="003569AF" w:rsidRPr="00B843F8" w:rsidRDefault="003569AF" w:rsidP="003569AF">
      <w:pPr>
        <w:tabs>
          <w:tab w:val="left" w:pos="851"/>
        </w:tabs>
        <w:ind w:left="851"/>
        <w:rPr>
          <w:sz w:val="24"/>
          <w:szCs w:val="24"/>
        </w:rPr>
      </w:pPr>
      <w:proofErr w:type="spellStart"/>
      <w:r w:rsidRPr="00B843F8">
        <w:rPr>
          <w:sz w:val="24"/>
          <w:szCs w:val="24"/>
        </w:rPr>
        <w:t>Okulær</w:t>
      </w:r>
      <w:proofErr w:type="spellEnd"/>
      <w:r w:rsidRPr="00B843F8">
        <w:rPr>
          <w:sz w:val="24"/>
          <w:szCs w:val="24"/>
        </w:rPr>
        <w:t xml:space="preserve"> anvendelse.</w:t>
      </w:r>
    </w:p>
    <w:p w:rsidR="003569AF" w:rsidRPr="00B843F8" w:rsidRDefault="003569AF" w:rsidP="003569AF">
      <w:pPr>
        <w:tabs>
          <w:tab w:val="left" w:pos="851"/>
        </w:tabs>
        <w:ind w:left="851"/>
        <w:rPr>
          <w:sz w:val="24"/>
          <w:szCs w:val="24"/>
        </w:rPr>
      </w:pPr>
    </w:p>
    <w:p w:rsidR="003569AF" w:rsidRPr="00D46FF5" w:rsidRDefault="003569AF" w:rsidP="003569AF">
      <w:pPr>
        <w:tabs>
          <w:tab w:val="left" w:pos="851"/>
        </w:tabs>
        <w:ind w:left="851"/>
        <w:rPr>
          <w:sz w:val="24"/>
          <w:szCs w:val="24"/>
        </w:rPr>
      </w:pPr>
      <w:r w:rsidRPr="00D46FF5">
        <w:rPr>
          <w:sz w:val="24"/>
          <w:szCs w:val="24"/>
        </w:rPr>
        <w:t xml:space="preserve">I tilfælde af operation skal der foretages omhyggelig desinficering, før </w:t>
      </w:r>
      <w:proofErr w:type="spellStart"/>
      <w:r w:rsidRPr="00D46FF5">
        <w:rPr>
          <w:sz w:val="24"/>
          <w:szCs w:val="24"/>
        </w:rPr>
        <w:t>lidocain</w:t>
      </w:r>
      <w:proofErr w:type="spellEnd"/>
      <w:r w:rsidRPr="00D46FF5">
        <w:rPr>
          <w:sz w:val="24"/>
          <w:szCs w:val="24"/>
        </w:rPr>
        <w:t>-gelen påsmøres. Om nødvendigt kan gelen skylles af efter 5 minutters kontakt med øjets overflade.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385220" w:rsidRPr="00385220" w:rsidRDefault="00385220" w:rsidP="00385220">
      <w:pPr>
        <w:tabs>
          <w:tab w:val="left" w:pos="851"/>
        </w:tabs>
        <w:ind w:left="851"/>
        <w:rPr>
          <w:sz w:val="24"/>
          <w:szCs w:val="24"/>
        </w:rPr>
      </w:pPr>
      <w:r w:rsidRPr="00385220">
        <w:rPr>
          <w:sz w:val="24"/>
          <w:szCs w:val="24"/>
        </w:rPr>
        <w:t>Overfølsomhed over for det aktive stof, over for et andet lokalbedøvelsesmiddel af amidtypen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248D3" w:rsidRPr="003248D3" w:rsidRDefault="003248D3" w:rsidP="003248D3">
      <w:pPr>
        <w:tabs>
          <w:tab w:val="left" w:pos="851"/>
        </w:tabs>
        <w:ind w:left="851"/>
        <w:rPr>
          <w:sz w:val="24"/>
          <w:szCs w:val="24"/>
        </w:rPr>
      </w:pPr>
      <w:r w:rsidRPr="003248D3">
        <w:rPr>
          <w:sz w:val="24"/>
          <w:szCs w:val="24"/>
        </w:rPr>
        <w:t>Uklarhed i hornhinden: Længere tids brug af et topisk øjenbedøvelsesmiddel kan forårsage permanent uklarhed i hornhinden og sårdannelse med deraf følgende synstab.</w:t>
      </w:r>
    </w:p>
    <w:p w:rsidR="003248D3" w:rsidRPr="003248D3" w:rsidRDefault="003248D3" w:rsidP="003248D3">
      <w:pPr>
        <w:tabs>
          <w:tab w:val="left" w:pos="851"/>
        </w:tabs>
        <w:ind w:left="851"/>
        <w:rPr>
          <w:sz w:val="24"/>
          <w:szCs w:val="24"/>
        </w:rPr>
      </w:pPr>
    </w:p>
    <w:p w:rsidR="003248D3" w:rsidRPr="003248D3" w:rsidRDefault="003248D3" w:rsidP="003248D3">
      <w:pPr>
        <w:tabs>
          <w:tab w:val="left" w:pos="851"/>
        </w:tabs>
        <w:ind w:left="851"/>
        <w:rPr>
          <w:sz w:val="24"/>
          <w:szCs w:val="24"/>
        </w:rPr>
      </w:pPr>
      <w:proofErr w:type="spellStart"/>
      <w:r w:rsidRPr="003248D3">
        <w:rPr>
          <w:sz w:val="24"/>
          <w:szCs w:val="24"/>
        </w:rPr>
        <w:t>Ophtesic</w:t>
      </w:r>
      <w:proofErr w:type="spellEnd"/>
      <w:r w:rsidRPr="003248D3">
        <w:rPr>
          <w:sz w:val="24"/>
          <w:szCs w:val="24"/>
        </w:rPr>
        <w:t xml:space="preserve"> er beregnet til engangsbrug og bør bortskaffes umiddelbart efter brug.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F4112" w:rsidRPr="00CF4112" w:rsidRDefault="00CF4112" w:rsidP="00CF4112">
      <w:pPr>
        <w:tabs>
          <w:tab w:val="left" w:pos="851"/>
        </w:tabs>
        <w:ind w:left="851"/>
        <w:rPr>
          <w:sz w:val="24"/>
          <w:szCs w:val="24"/>
        </w:rPr>
      </w:pPr>
      <w:r w:rsidRPr="00CF4112">
        <w:rPr>
          <w:sz w:val="24"/>
          <w:szCs w:val="24"/>
        </w:rPr>
        <w:t>Der er ikke udført interaktionsstudier</w:t>
      </w:r>
      <w:r w:rsidRPr="00CF4112">
        <w:rPr>
          <w:sz w:val="24"/>
          <w:szCs w:val="24"/>
          <w:lang w:bidi="da-DK"/>
        </w:rPr>
        <w:t xml:space="preserve"> med andre lægemidler</w:t>
      </w:r>
      <w:r w:rsidRPr="00CF4112">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6F4D55">
        <w:rPr>
          <w:b/>
          <w:sz w:val="24"/>
          <w:szCs w:val="24"/>
        </w:rPr>
        <w:t>Fertilitet, g</w:t>
      </w:r>
      <w:r w:rsidRPr="00C84483">
        <w:rPr>
          <w:b/>
          <w:sz w:val="24"/>
          <w:szCs w:val="24"/>
        </w:rPr>
        <w:t>raviditet og amning</w:t>
      </w:r>
    </w:p>
    <w:p w:rsidR="00DB1D25" w:rsidRPr="00DB1D25" w:rsidRDefault="00DB1D25" w:rsidP="00DB1D25">
      <w:pPr>
        <w:tabs>
          <w:tab w:val="left" w:pos="851"/>
        </w:tabs>
        <w:ind w:left="851"/>
        <w:rPr>
          <w:sz w:val="24"/>
          <w:szCs w:val="24"/>
        </w:rPr>
      </w:pPr>
    </w:p>
    <w:p w:rsidR="00DB1D25" w:rsidRPr="00DB1D25" w:rsidRDefault="00DB1D25" w:rsidP="00DB1D25">
      <w:pPr>
        <w:tabs>
          <w:tab w:val="left" w:pos="851"/>
        </w:tabs>
        <w:ind w:left="851"/>
        <w:rPr>
          <w:sz w:val="24"/>
          <w:szCs w:val="24"/>
          <w:u w:val="single"/>
        </w:rPr>
      </w:pPr>
      <w:r w:rsidRPr="00DB1D25">
        <w:rPr>
          <w:sz w:val="24"/>
          <w:szCs w:val="24"/>
          <w:u w:val="single"/>
        </w:rPr>
        <w:t>Graviditet</w:t>
      </w:r>
    </w:p>
    <w:p w:rsidR="00DB1D25" w:rsidRPr="00DB1D25" w:rsidRDefault="00DB1D25" w:rsidP="00DB1D25">
      <w:pPr>
        <w:tabs>
          <w:tab w:val="left" w:pos="851"/>
        </w:tabs>
        <w:ind w:left="851"/>
        <w:rPr>
          <w:sz w:val="24"/>
          <w:szCs w:val="24"/>
        </w:rPr>
      </w:pPr>
      <w:r w:rsidRPr="00DB1D25">
        <w:rPr>
          <w:sz w:val="24"/>
          <w:szCs w:val="24"/>
        </w:rPr>
        <w:t xml:space="preserve">Der er en begrænset mængde data (under 300 graviditetsudfald) om topisk brug af </w:t>
      </w:r>
      <w:proofErr w:type="spellStart"/>
      <w:r w:rsidRPr="00DB1D25">
        <w:rPr>
          <w:sz w:val="24"/>
          <w:szCs w:val="24"/>
        </w:rPr>
        <w:t>lidocain</w:t>
      </w:r>
      <w:proofErr w:type="spellEnd"/>
      <w:r w:rsidRPr="00DB1D25">
        <w:rPr>
          <w:sz w:val="24"/>
          <w:szCs w:val="24"/>
        </w:rPr>
        <w:t xml:space="preserve">-gel 2 % hos gravide kvinder. Dyreforsøg tyder ikke på direkte eller indirekte skadelige virkninger med hensyn til reproduktionstoksicitet (se pkt. 5.3). Der forventes ikke at være nogen påvirkning under graviditet, da systemisk eksponering for </w:t>
      </w:r>
      <w:proofErr w:type="spellStart"/>
      <w:r w:rsidRPr="00DB1D25">
        <w:rPr>
          <w:sz w:val="24"/>
          <w:szCs w:val="24"/>
        </w:rPr>
        <w:t>lidocain</w:t>
      </w:r>
      <w:proofErr w:type="spellEnd"/>
      <w:r w:rsidRPr="00DB1D25">
        <w:rPr>
          <w:sz w:val="24"/>
          <w:szCs w:val="24"/>
        </w:rPr>
        <w:t xml:space="preserve"> er ubetydelig. </w:t>
      </w:r>
      <w:proofErr w:type="spellStart"/>
      <w:r w:rsidRPr="00DB1D25">
        <w:rPr>
          <w:sz w:val="24"/>
          <w:szCs w:val="24"/>
        </w:rPr>
        <w:t>Ophtesic</w:t>
      </w:r>
      <w:proofErr w:type="spellEnd"/>
      <w:r w:rsidRPr="00DB1D25">
        <w:rPr>
          <w:sz w:val="24"/>
          <w:szCs w:val="24"/>
        </w:rPr>
        <w:t xml:space="preserve"> kan bruges under graviditet.</w:t>
      </w:r>
    </w:p>
    <w:p w:rsidR="00DB1D25" w:rsidRPr="00DB1D25" w:rsidRDefault="00DB1D25" w:rsidP="00DB1D25">
      <w:pPr>
        <w:tabs>
          <w:tab w:val="left" w:pos="851"/>
        </w:tabs>
        <w:ind w:left="851"/>
        <w:rPr>
          <w:sz w:val="24"/>
          <w:szCs w:val="24"/>
          <w:u w:val="single"/>
        </w:rPr>
      </w:pPr>
    </w:p>
    <w:p w:rsidR="00DB1D25" w:rsidRPr="00DB1D25" w:rsidRDefault="00DB1D25" w:rsidP="00DB1D25">
      <w:pPr>
        <w:tabs>
          <w:tab w:val="left" w:pos="851"/>
        </w:tabs>
        <w:ind w:left="851"/>
        <w:rPr>
          <w:sz w:val="24"/>
          <w:szCs w:val="24"/>
          <w:u w:val="single"/>
        </w:rPr>
      </w:pPr>
      <w:r w:rsidRPr="00DB1D25">
        <w:rPr>
          <w:sz w:val="24"/>
          <w:szCs w:val="24"/>
          <w:u w:val="single"/>
        </w:rPr>
        <w:t>Amning</w:t>
      </w:r>
    </w:p>
    <w:p w:rsidR="00DB1D25" w:rsidRPr="00DB1D25" w:rsidRDefault="00DB1D25" w:rsidP="00DB1D25">
      <w:pPr>
        <w:tabs>
          <w:tab w:val="left" w:pos="851"/>
        </w:tabs>
        <w:ind w:left="851"/>
        <w:rPr>
          <w:sz w:val="24"/>
          <w:szCs w:val="24"/>
        </w:rPr>
      </w:pPr>
      <w:proofErr w:type="spellStart"/>
      <w:r w:rsidRPr="00DB1D25">
        <w:rPr>
          <w:sz w:val="24"/>
          <w:szCs w:val="24"/>
        </w:rPr>
        <w:t>Lidocain</w:t>
      </w:r>
      <w:proofErr w:type="spellEnd"/>
      <w:r w:rsidRPr="00DB1D25">
        <w:rPr>
          <w:sz w:val="24"/>
          <w:szCs w:val="24"/>
        </w:rPr>
        <w:t xml:space="preserve"> udskilles i modermælk. Der forventes ingen indvirkning hos diende nyfødte/spædbørn, da den ammende kvindes systemiske eksponering for </w:t>
      </w:r>
      <w:proofErr w:type="spellStart"/>
      <w:r w:rsidRPr="00DB1D25">
        <w:rPr>
          <w:sz w:val="24"/>
          <w:szCs w:val="24"/>
        </w:rPr>
        <w:t>lidocain</w:t>
      </w:r>
      <w:proofErr w:type="spellEnd"/>
      <w:r w:rsidRPr="00DB1D25">
        <w:rPr>
          <w:sz w:val="24"/>
          <w:szCs w:val="24"/>
        </w:rPr>
        <w:t xml:space="preserve"> er ubetydelig.</w:t>
      </w:r>
    </w:p>
    <w:p w:rsidR="00DB1D25" w:rsidRPr="00DB1D25" w:rsidRDefault="00DB1D25" w:rsidP="00DB1D25">
      <w:pPr>
        <w:tabs>
          <w:tab w:val="left" w:pos="851"/>
        </w:tabs>
        <w:ind w:left="851"/>
        <w:rPr>
          <w:sz w:val="24"/>
          <w:szCs w:val="24"/>
          <w:u w:val="single"/>
        </w:rPr>
      </w:pPr>
    </w:p>
    <w:p w:rsidR="00DB1D25" w:rsidRPr="00DB1D25" w:rsidRDefault="00DB1D25" w:rsidP="00DB1D25">
      <w:pPr>
        <w:tabs>
          <w:tab w:val="left" w:pos="851"/>
        </w:tabs>
        <w:ind w:left="851"/>
        <w:rPr>
          <w:sz w:val="24"/>
          <w:szCs w:val="24"/>
          <w:u w:val="single"/>
        </w:rPr>
      </w:pPr>
      <w:r w:rsidRPr="00DB1D25">
        <w:rPr>
          <w:sz w:val="24"/>
          <w:szCs w:val="24"/>
          <w:u w:val="single"/>
        </w:rPr>
        <w:t>Fertilitet</w:t>
      </w:r>
    </w:p>
    <w:p w:rsidR="00DB1D25" w:rsidRPr="00DB1D25" w:rsidRDefault="00DB1D25" w:rsidP="00DB1D25">
      <w:pPr>
        <w:tabs>
          <w:tab w:val="left" w:pos="851"/>
        </w:tabs>
        <w:ind w:left="851"/>
        <w:rPr>
          <w:sz w:val="24"/>
          <w:szCs w:val="24"/>
        </w:rPr>
      </w:pPr>
      <w:r w:rsidRPr="00DB1D25">
        <w:rPr>
          <w:sz w:val="24"/>
          <w:szCs w:val="24"/>
        </w:rPr>
        <w:t xml:space="preserve">Der er ikke udført studier for at vurdere virkningen af topisk </w:t>
      </w:r>
      <w:proofErr w:type="spellStart"/>
      <w:r w:rsidRPr="00DB1D25">
        <w:rPr>
          <w:sz w:val="24"/>
          <w:szCs w:val="24"/>
        </w:rPr>
        <w:t>okulær</w:t>
      </w:r>
      <w:proofErr w:type="spellEnd"/>
      <w:r w:rsidRPr="00DB1D25">
        <w:rPr>
          <w:sz w:val="24"/>
          <w:szCs w:val="24"/>
        </w:rPr>
        <w:t xml:space="preserve"> administration af </w:t>
      </w:r>
      <w:proofErr w:type="spellStart"/>
      <w:r w:rsidRPr="00DB1D25">
        <w:rPr>
          <w:sz w:val="24"/>
          <w:szCs w:val="24"/>
        </w:rPr>
        <w:t>lidocain</w:t>
      </w:r>
      <w:proofErr w:type="spellEnd"/>
      <w:r w:rsidRPr="00DB1D25">
        <w:rPr>
          <w:sz w:val="24"/>
          <w:szCs w:val="24"/>
        </w:rPr>
        <w:t xml:space="preserve"> på menneskelig fertilitet.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 på evnen til at føre motorkøretøj</w:t>
      </w:r>
      <w:r w:rsidR="006F4D55">
        <w:rPr>
          <w:b/>
          <w:sz w:val="24"/>
          <w:szCs w:val="24"/>
        </w:rPr>
        <w:t xml:space="preserve"> og</w:t>
      </w:r>
      <w:r w:rsidRPr="00C84483">
        <w:rPr>
          <w:b/>
          <w:sz w:val="24"/>
          <w:szCs w:val="24"/>
        </w:rPr>
        <w:t xml:space="preserve"> betjene maskiner</w:t>
      </w:r>
    </w:p>
    <w:p w:rsidR="001C7FB3" w:rsidRPr="001C7FB3" w:rsidRDefault="001C7FB3" w:rsidP="001C7FB3">
      <w:pPr>
        <w:tabs>
          <w:tab w:val="left" w:pos="851"/>
        </w:tabs>
        <w:ind w:left="851"/>
        <w:rPr>
          <w:sz w:val="24"/>
          <w:szCs w:val="24"/>
        </w:rPr>
      </w:pPr>
      <w:r w:rsidRPr="001C7FB3">
        <w:rPr>
          <w:sz w:val="24"/>
          <w:szCs w:val="24"/>
        </w:rPr>
        <w:t>Ikke mærkning.</w:t>
      </w:r>
    </w:p>
    <w:p w:rsidR="001C7FB3" w:rsidRPr="001C7FB3" w:rsidRDefault="001C7FB3" w:rsidP="001C7FB3">
      <w:pPr>
        <w:tabs>
          <w:tab w:val="left" w:pos="851"/>
        </w:tabs>
        <w:ind w:left="851"/>
        <w:rPr>
          <w:sz w:val="24"/>
          <w:szCs w:val="24"/>
        </w:rPr>
      </w:pPr>
      <w:r w:rsidRPr="001C7FB3">
        <w:rPr>
          <w:sz w:val="24"/>
          <w:szCs w:val="24"/>
        </w:rPr>
        <w:t>Patienterne bør tilrådes ikke at føre motorkøretøj eller betjene farligt maskineri, før normalt syn er genoprettet.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rsidR="003569AF" w:rsidRDefault="003569AF" w:rsidP="003569AF">
      <w:pPr>
        <w:autoSpaceDE w:val="0"/>
        <w:autoSpaceDN w:val="0"/>
        <w:adjustRightInd w:val="0"/>
        <w:ind w:left="851"/>
        <w:jc w:val="both"/>
        <w:rPr>
          <w:i/>
          <w:iCs/>
          <w:szCs w:val="22"/>
          <w:u w:val="single"/>
        </w:rPr>
      </w:pPr>
    </w:p>
    <w:p w:rsidR="003569AF" w:rsidRPr="00B843F8" w:rsidRDefault="003569AF" w:rsidP="003569AF">
      <w:pPr>
        <w:autoSpaceDE w:val="0"/>
        <w:autoSpaceDN w:val="0"/>
        <w:adjustRightInd w:val="0"/>
        <w:ind w:left="851"/>
        <w:jc w:val="both"/>
        <w:rPr>
          <w:i/>
          <w:iCs/>
          <w:szCs w:val="22"/>
          <w:u w:val="single"/>
        </w:rPr>
      </w:pPr>
      <w:r w:rsidRPr="00B843F8">
        <w:rPr>
          <w:i/>
          <w:iCs/>
          <w:szCs w:val="22"/>
          <w:u w:val="single"/>
        </w:rPr>
        <w:t xml:space="preserve">a. Oversigt over sikkerhedsprofilen </w:t>
      </w:r>
    </w:p>
    <w:p w:rsidR="003569AF" w:rsidRPr="00B843F8" w:rsidRDefault="003569AF" w:rsidP="003569AF">
      <w:pPr>
        <w:autoSpaceDE w:val="0"/>
        <w:autoSpaceDN w:val="0"/>
        <w:adjustRightInd w:val="0"/>
        <w:ind w:left="851"/>
        <w:jc w:val="both"/>
        <w:rPr>
          <w:szCs w:val="22"/>
        </w:rPr>
      </w:pPr>
    </w:p>
    <w:p w:rsidR="003569AF" w:rsidRPr="00B843F8" w:rsidRDefault="003569AF" w:rsidP="003569AF">
      <w:pPr>
        <w:autoSpaceDE w:val="0"/>
        <w:autoSpaceDN w:val="0"/>
        <w:adjustRightInd w:val="0"/>
        <w:ind w:left="851"/>
        <w:jc w:val="both"/>
        <w:rPr>
          <w:szCs w:val="22"/>
        </w:rPr>
      </w:pPr>
      <w:r w:rsidRPr="00B843F8">
        <w:rPr>
          <w:szCs w:val="22"/>
        </w:rPr>
        <w:t xml:space="preserve">De mest rapporterede bivirkninger er </w:t>
      </w:r>
      <w:proofErr w:type="spellStart"/>
      <w:r w:rsidRPr="00B843F8">
        <w:rPr>
          <w:sz w:val="24"/>
          <w:szCs w:val="24"/>
          <w:lang w:bidi="da-DK"/>
        </w:rPr>
        <w:t>konjunktival</w:t>
      </w:r>
      <w:proofErr w:type="spellEnd"/>
      <w:r w:rsidRPr="00B843F8">
        <w:rPr>
          <w:sz w:val="24"/>
          <w:szCs w:val="24"/>
          <w:lang w:bidi="da-DK"/>
        </w:rPr>
        <w:t xml:space="preserve"> </w:t>
      </w:r>
      <w:proofErr w:type="spellStart"/>
      <w:r w:rsidRPr="00B843F8">
        <w:rPr>
          <w:sz w:val="24"/>
          <w:szCs w:val="24"/>
          <w:lang w:bidi="da-DK"/>
        </w:rPr>
        <w:t>hyperæmi</w:t>
      </w:r>
      <w:proofErr w:type="spellEnd"/>
      <w:r w:rsidRPr="00B843F8">
        <w:rPr>
          <w:szCs w:val="22"/>
        </w:rPr>
        <w:t xml:space="preserve">, </w:t>
      </w:r>
      <w:r w:rsidRPr="00B843F8">
        <w:rPr>
          <w:sz w:val="24"/>
          <w:szCs w:val="24"/>
          <w:lang w:bidi="da-DK"/>
        </w:rPr>
        <w:t>forandringer i hornhindens epitel</w:t>
      </w:r>
      <w:r w:rsidRPr="00B843F8">
        <w:rPr>
          <w:szCs w:val="22"/>
        </w:rPr>
        <w:t xml:space="preserve">, hovedpine og brændende fornemmelse efter </w:t>
      </w:r>
      <w:proofErr w:type="spellStart"/>
      <w:r w:rsidRPr="00B843F8">
        <w:rPr>
          <w:szCs w:val="22"/>
        </w:rPr>
        <w:t>inddrypning</w:t>
      </w:r>
      <w:proofErr w:type="spellEnd"/>
      <w:r w:rsidRPr="00B843F8">
        <w:rPr>
          <w:szCs w:val="22"/>
        </w:rPr>
        <w:t>.</w:t>
      </w:r>
    </w:p>
    <w:p w:rsidR="003569AF" w:rsidRPr="00B843F8" w:rsidRDefault="003569AF" w:rsidP="003569AF">
      <w:pPr>
        <w:autoSpaceDE w:val="0"/>
        <w:autoSpaceDN w:val="0"/>
        <w:adjustRightInd w:val="0"/>
        <w:ind w:left="851"/>
        <w:jc w:val="both"/>
        <w:rPr>
          <w:szCs w:val="22"/>
        </w:rPr>
      </w:pPr>
      <w:r w:rsidRPr="00B843F8">
        <w:rPr>
          <w:szCs w:val="22"/>
        </w:rPr>
        <w:t xml:space="preserve">Baseret på </w:t>
      </w:r>
      <w:r>
        <w:rPr>
          <w:szCs w:val="22"/>
        </w:rPr>
        <w:t>resultaterne efter</w:t>
      </w:r>
      <w:r w:rsidRPr="00B843F8">
        <w:rPr>
          <w:szCs w:val="22"/>
        </w:rPr>
        <w:t xml:space="preserve"> </w:t>
      </w:r>
      <w:proofErr w:type="spellStart"/>
      <w:r w:rsidRPr="00B843F8">
        <w:rPr>
          <w:szCs w:val="22"/>
        </w:rPr>
        <w:t>okulær</w:t>
      </w:r>
      <w:proofErr w:type="spellEnd"/>
      <w:r w:rsidRPr="00B843F8">
        <w:rPr>
          <w:szCs w:val="22"/>
        </w:rPr>
        <w:t xml:space="preserve"> administration af </w:t>
      </w:r>
      <w:proofErr w:type="spellStart"/>
      <w:r w:rsidRPr="00B843F8">
        <w:rPr>
          <w:szCs w:val="22"/>
        </w:rPr>
        <w:t>uretra</w:t>
      </w:r>
      <w:r>
        <w:rPr>
          <w:szCs w:val="22"/>
        </w:rPr>
        <w:t>l</w:t>
      </w:r>
      <w:r w:rsidRPr="00B843F8">
        <w:rPr>
          <w:szCs w:val="22"/>
        </w:rPr>
        <w:t>gel</w:t>
      </w:r>
      <w:proofErr w:type="spellEnd"/>
      <w:r w:rsidRPr="00B843F8">
        <w:rPr>
          <w:szCs w:val="22"/>
        </w:rPr>
        <w:t xml:space="preserve"> med </w:t>
      </w:r>
      <w:proofErr w:type="spellStart"/>
      <w:r w:rsidRPr="00B843F8">
        <w:rPr>
          <w:szCs w:val="22"/>
        </w:rPr>
        <w:t>lidocain</w:t>
      </w:r>
      <w:proofErr w:type="spellEnd"/>
      <w:r w:rsidRPr="00B843F8">
        <w:rPr>
          <w:szCs w:val="22"/>
        </w:rPr>
        <w:t xml:space="preserve"> 2 %, forventes der ingen systemiske bivirkninger.</w:t>
      </w:r>
    </w:p>
    <w:p w:rsidR="003569AF" w:rsidRPr="00B843F8" w:rsidRDefault="003569AF" w:rsidP="003569AF">
      <w:pPr>
        <w:autoSpaceDE w:val="0"/>
        <w:autoSpaceDN w:val="0"/>
        <w:adjustRightInd w:val="0"/>
        <w:ind w:left="851"/>
        <w:jc w:val="both"/>
        <w:rPr>
          <w:szCs w:val="22"/>
        </w:rPr>
      </w:pPr>
    </w:p>
    <w:p w:rsidR="003569AF" w:rsidRPr="00B843F8" w:rsidRDefault="003569AF" w:rsidP="003569AF">
      <w:pPr>
        <w:autoSpaceDE w:val="0"/>
        <w:autoSpaceDN w:val="0"/>
        <w:adjustRightInd w:val="0"/>
        <w:ind w:left="851"/>
        <w:jc w:val="both"/>
        <w:rPr>
          <w:i/>
          <w:iCs/>
          <w:szCs w:val="22"/>
          <w:u w:val="single"/>
        </w:rPr>
      </w:pPr>
      <w:r w:rsidRPr="00B843F8">
        <w:rPr>
          <w:i/>
          <w:iCs/>
          <w:szCs w:val="22"/>
          <w:u w:val="single"/>
        </w:rPr>
        <w:t xml:space="preserve">b. Oversigt over bivirkninger i tabelform </w:t>
      </w:r>
    </w:p>
    <w:p w:rsidR="003569AF" w:rsidRDefault="003569AF" w:rsidP="00732808">
      <w:pPr>
        <w:tabs>
          <w:tab w:val="left" w:pos="851"/>
        </w:tabs>
        <w:ind w:left="851"/>
        <w:rPr>
          <w:sz w:val="24"/>
          <w:szCs w:val="24"/>
        </w:rPr>
      </w:pPr>
    </w:p>
    <w:p w:rsidR="003569AF" w:rsidRDefault="003569AF" w:rsidP="00732808">
      <w:pPr>
        <w:tabs>
          <w:tab w:val="left" w:pos="851"/>
        </w:tabs>
        <w:ind w:left="851"/>
        <w:rPr>
          <w:sz w:val="24"/>
          <w:szCs w:val="24"/>
        </w:rPr>
      </w:pPr>
    </w:p>
    <w:p w:rsidR="00732808" w:rsidRDefault="00732808" w:rsidP="00732808">
      <w:pPr>
        <w:tabs>
          <w:tab w:val="left" w:pos="851"/>
        </w:tabs>
        <w:ind w:left="851"/>
        <w:rPr>
          <w:sz w:val="24"/>
          <w:szCs w:val="24"/>
        </w:rPr>
      </w:pPr>
      <w:r w:rsidRPr="00732808">
        <w:rPr>
          <w:sz w:val="24"/>
          <w:szCs w:val="24"/>
        </w:rPr>
        <w:t xml:space="preserve">Bivirkningerne er anført efter </w:t>
      </w:r>
      <w:proofErr w:type="spellStart"/>
      <w:r w:rsidRPr="00732808">
        <w:rPr>
          <w:sz w:val="24"/>
          <w:szCs w:val="24"/>
        </w:rPr>
        <w:t>MedDRA</w:t>
      </w:r>
      <w:proofErr w:type="spellEnd"/>
      <w:r w:rsidRPr="00732808">
        <w:rPr>
          <w:sz w:val="24"/>
          <w:szCs w:val="24"/>
        </w:rPr>
        <w:t>-systemorganklasser.</w:t>
      </w:r>
    </w:p>
    <w:p w:rsidR="00732808" w:rsidRPr="00732808" w:rsidRDefault="00732808" w:rsidP="00732808">
      <w:pPr>
        <w:tabs>
          <w:tab w:val="left" w:pos="851"/>
        </w:tabs>
        <w:ind w:left="851"/>
        <w:rPr>
          <w:sz w:val="24"/>
          <w:szCs w:val="24"/>
        </w:rPr>
      </w:pPr>
      <w:r w:rsidRPr="00732808">
        <w:rPr>
          <w:sz w:val="24"/>
          <w:szCs w:val="24"/>
        </w:rPr>
        <w:t xml:space="preserve">Vurderingen af bivirkninger er baseret på følgende hyppighedsgrupperinger: </w:t>
      </w:r>
    </w:p>
    <w:p w:rsidR="00732808" w:rsidRPr="00732808" w:rsidRDefault="00732808" w:rsidP="00732808">
      <w:pPr>
        <w:tabs>
          <w:tab w:val="left" w:pos="851"/>
        </w:tabs>
        <w:ind w:left="851"/>
        <w:rPr>
          <w:sz w:val="24"/>
          <w:szCs w:val="24"/>
        </w:rPr>
      </w:pPr>
      <w:r w:rsidRPr="00732808">
        <w:rPr>
          <w:sz w:val="24"/>
          <w:szCs w:val="24"/>
        </w:rPr>
        <w:t>Meget almindelig: ≥1/10</w:t>
      </w:r>
    </w:p>
    <w:p w:rsidR="00732808" w:rsidRPr="00732808" w:rsidRDefault="00732808" w:rsidP="00732808">
      <w:pPr>
        <w:tabs>
          <w:tab w:val="left" w:pos="851"/>
        </w:tabs>
        <w:ind w:left="851"/>
        <w:rPr>
          <w:sz w:val="24"/>
          <w:szCs w:val="24"/>
        </w:rPr>
      </w:pPr>
      <w:r w:rsidRPr="00732808">
        <w:rPr>
          <w:sz w:val="24"/>
          <w:szCs w:val="24"/>
        </w:rPr>
        <w:t>Almindelig: ≥1/100 til &lt;1/10</w:t>
      </w:r>
    </w:p>
    <w:p w:rsidR="00732808" w:rsidRPr="00732808" w:rsidRDefault="00732808" w:rsidP="00732808">
      <w:pPr>
        <w:tabs>
          <w:tab w:val="left" w:pos="851"/>
        </w:tabs>
        <w:ind w:left="851"/>
        <w:rPr>
          <w:sz w:val="24"/>
          <w:szCs w:val="24"/>
        </w:rPr>
      </w:pPr>
      <w:r w:rsidRPr="00732808">
        <w:rPr>
          <w:sz w:val="24"/>
          <w:szCs w:val="24"/>
        </w:rPr>
        <w:t>Ikke almindelig: ≥1/1 000 til &lt;1/100</w:t>
      </w:r>
    </w:p>
    <w:p w:rsidR="00732808" w:rsidRPr="00732808" w:rsidRDefault="00732808" w:rsidP="00732808">
      <w:pPr>
        <w:tabs>
          <w:tab w:val="left" w:pos="851"/>
        </w:tabs>
        <w:ind w:left="851"/>
        <w:rPr>
          <w:sz w:val="24"/>
          <w:szCs w:val="24"/>
        </w:rPr>
      </w:pPr>
      <w:r w:rsidRPr="00732808">
        <w:rPr>
          <w:sz w:val="24"/>
          <w:szCs w:val="24"/>
        </w:rPr>
        <w:t>Sjælden: ≥1/10 000 til &lt;1/1 000</w:t>
      </w:r>
    </w:p>
    <w:p w:rsidR="00732808" w:rsidRPr="00732808" w:rsidRDefault="00732808" w:rsidP="00732808">
      <w:pPr>
        <w:tabs>
          <w:tab w:val="left" w:pos="851"/>
        </w:tabs>
        <w:ind w:left="851"/>
        <w:rPr>
          <w:sz w:val="24"/>
          <w:szCs w:val="24"/>
        </w:rPr>
      </w:pPr>
      <w:r w:rsidRPr="00732808">
        <w:rPr>
          <w:sz w:val="24"/>
          <w:szCs w:val="24"/>
        </w:rPr>
        <w:t>Meget sjælden: &lt;1/10 000</w:t>
      </w:r>
    </w:p>
    <w:p w:rsidR="00732808" w:rsidRPr="00732808" w:rsidRDefault="00732808" w:rsidP="00732808">
      <w:pPr>
        <w:tabs>
          <w:tab w:val="left" w:pos="851"/>
        </w:tabs>
        <w:ind w:left="851"/>
        <w:rPr>
          <w:sz w:val="24"/>
          <w:szCs w:val="24"/>
        </w:rPr>
      </w:pPr>
      <w:r w:rsidRPr="00732808">
        <w:rPr>
          <w:sz w:val="24"/>
          <w:szCs w:val="24"/>
        </w:rPr>
        <w:t>Ikke kendt: kan ikke estimeres ud fra forhåndenværende data</w:t>
      </w:r>
    </w:p>
    <w:p w:rsidR="00732808" w:rsidRPr="00732808" w:rsidRDefault="00732808" w:rsidP="00732808">
      <w:pPr>
        <w:tabs>
          <w:tab w:val="left" w:pos="851"/>
        </w:tabs>
        <w:ind w:left="851"/>
        <w:rPr>
          <w:sz w:val="24"/>
          <w:szCs w:val="24"/>
          <w:lang w:val="nb-NO"/>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4"/>
        <w:gridCol w:w="3636"/>
        <w:gridCol w:w="1892"/>
      </w:tblGrid>
      <w:tr w:rsidR="00732808" w:rsidRPr="00732808" w:rsidTr="00067E13">
        <w:trPr>
          <w:trHeight w:val="457"/>
        </w:trPr>
        <w:tc>
          <w:tcPr>
            <w:tcW w:w="2154" w:type="dxa"/>
            <w:tcBorders>
              <w:top w:val="single" w:sz="4" w:space="0" w:color="000000"/>
              <w:left w:val="single" w:sz="4" w:space="0" w:color="000000"/>
              <w:bottom w:val="single" w:sz="4" w:space="0" w:color="000000"/>
              <w:right w:val="single" w:sz="4" w:space="0" w:color="000000"/>
            </w:tcBorders>
            <w:hideMark/>
          </w:tcPr>
          <w:p w:rsidR="00732808" w:rsidRPr="00732808" w:rsidRDefault="00732808" w:rsidP="00732808">
            <w:pPr>
              <w:ind w:left="67"/>
              <w:rPr>
                <w:b/>
                <w:sz w:val="24"/>
                <w:szCs w:val="24"/>
                <w:lang w:val="en-US"/>
              </w:rPr>
            </w:pPr>
            <w:r w:rsidRPr="00732808">
              <w:rPr>
                <w:b/>
                <w:sz w:val="24"/>
                <w:szCs w:val="24"/>
                <w:lang w:bidi="da-DK"/>
              </w:rPr>
              <w:t>Systemorganklasse</w:t>
            </w:r>
          </w:p>
        </w:tc>
        <w:tc>
          <w:tcPr>
            <w:tcW w:w="3636" w:type="dxa"/>
            <w:tcBorders>
              <w:top w:val="single" w:sz="4" w:space="0" w:color="000000"/>
              <w:left w:val="single" w:sz="4" w:space="0" w:color="000000"/>
              <w:bottom w:val="single" w:sz="4" w:space="0" w:color="000000"/>
              <w:right w:val="single" w:sz="4" w:space="0" w:color="000000"/>
            </w:tcBorders>
            <w:hideMark/>
          </w:tcPr>
          <w:p w:rsidR="00732808" w:rsidRPr="00732808" w:rsidRDefault="00732808" w:rsidP="00067E13">
            <w:pPr>
              <w:ind w:left="109"/>
              <w:rPr>
                <w:b/>
                <w:sz w:val="24"/>
                <w:szCs w:val="24"/>
                <w:lang w:val="en-US"/>
              </w:rPr>
            </w:pPr>
            <w:r w:rsidRPr="00732808">
              <w:rPr>
                <w:b/>
                <w:sz w:val="24"/>
                <w:szCs w:val="24"/>
                <w:lang w:bidi="da-DK"/>
              </w:rPr>
              <w:t>Bivirkning</w:t>
            </w:r>
          </w:p>
        </w:tc>
        <w:tc>
          <w:tcPr>
            <w:tcW w:w="1892" w:type="dxa"/>
            <w:tcBorders>
              <w:top w:val="single" w:sz="4" w:space="0" w:color="000000"/>
              <w:left w:val="single" w:sz="4" w:space="0" w:color="000000"/>
              <w:bottom w:val="single" w:sz="4" w:space="0" w:color="000000"/>
              <w:right w:val="single" w:sz="4" w:space="0" w:color="000000"/>
            </w:tcBorders>
            <w:hideMark/>
          </w:tcPr>
          <w:p w:rsidR="00732808" w:rsidRPr="00732808" w:rsidRDefault="00732808" w:rsidP="00067E13">
            <w:pPr>
              <w:ind w:left="164"/>
              <w:rPr>
                <w:b/>
                <w:sz w:val="24"/>
                <w:szCs w:val="24"/>
                <w:lang w:val="en-US"/>
              </w:rPr>
            </w:pPr>
            <w:r w:rsidRPr="00732808">
              <w:rPr>
                <w:b/>
                <w:sz w:val="24"/>
                <w:szCs w:val="24"/>
                <w:lang w:bidi="da-DK"/>
              </w:rPr>
              <w:t>Hyppighed</w:t>
            </w:r>
          </w:p>
        </w:tc>
      </w:tr>
      <w:tr w:rsidR="00732808" w:rsidRPr="00732808" w:rsidTr="00067E13">
        <w:trPr>
          <w:trHeight w:val="422"/>
        </w:trPr>
        <w:tc>
          <w:tcPr>
            <w:tcW w:w="2154" w:type="dxa"/>
            <w:vMerge w:val="restart"/>
            <w:tcBorders>
              <w:top w:val="single" w:sz="4" w:space="0" w:color="000000"/>
              <w:left w:val="single" w:sz="4" w:space="0" w:color="000000"/>
              <w:bottom w:val="single" w:sz="4" w:space="0" w:color="000000"/>
              <w:right w:val="single" w:sz="4" w:space="0" w:color="000000"/>
            </w:tcBorders>
            <w:hideMark/>
          </w:tcPr>
          <w:p w:rsidR="00732808" w:rsidRPr="00732808" w:rsidRDefault="00732808" w:rsidP="00732808">
            <w:pPr>
              <w:ind w:left="67"/>
              <w:rPr>
                <w:i/>
                <w:sz w:val="24"/>
                <w:szCs w:val="24"/>
                <w:lang w:val="en-US"/>
              </w:rPr>
            </w:pPr>
            <w:r w:rsidRPr="00732808">
              <w:rPr>
                <w:i/>
                <w:sz w:val="24"/>
                <w:szCs w:val="24"/>
                <w:lang w:bidi="da-DK"/>
              </w:rPr>
              <w:t>Øjne</w:t>
            </w:r>
          </w:p>
        </w:tc>
        <w:tc>
          <w:tcPr>
            <w:tcW w:w="3636" w:type="dxa"/>
            <w:tcBorders>
              <w:top w:val="single" w:sz="4" w:space="0" w:color="000000"/>
              <w:left w:val="single" w:sz="4" w:space="0" w:color="000000"/>
              <w:bottom w:val="single" w:sz="4" w:space="0" w:color="000000"/>
              <w:right w:val="single" w:sz="4" w:space="0" w:color="000000"/>
            </w:tcBorders>
            <w:hideMark/>
          </w:tcPr>
          <w:p w:rsidR="00732808" w:rsidRPr="00732808" w:rsidRDefault="00732808" w:rsidP="00067E13">
            <w:pPr>
              <w:ind w:left="109"/>
              <w:rPr>
                <w:sz w:val="24"/>
                <w:szCs w:val="24"/>
                <w:lang w:val="en-US"/>
              </w:rPr>
            </w:pPr>
            <w:proofErr w:type="spellStart"/>
            <w:r w:rsidRPr="00732808">
              <w:rPr>
                <w:sz w:val="24"/>
                <w:szCs w:val="24"/>
                <w:lang w:bidi="da-DK"/>
              </w:rPr>
              <w:t>konjunktival</w:t>
            </w:r>
            <w:proofErr w:type="spellEnd"/>
            <w:r w:rsidRPr="00732808">
              <w:rPr>
                <w:sz w:val="24"/>
                <w:szCs w:val="24"/>
                <w:lang w:bidi="da-DK"/>
              </w:rPr>
              <w:t xml:space="preserve"> </w:t>
            </w:r>
            <w:proofErr w:type="spellStart"/>
            <w:r w:rsidRPr="00732808">
              <w:rPr>
                <w:sz w:val="24"/>
                <w:szCs w:val="24"/>
                <w:lang w:bidi="da-DK"/>
              </w:rPr>
              <w:t>hyperæmi</w:t>
            </w:r>
            <w:proofErr w:type="spellEnd"/>
          </w:p>
        </w:tc>
        <w:tc>
          <w:tcPr>
            <w:tcW w:w="1892" w:type="dxa"/>
            <w:tcBorders>
              <w:top w:val="single" w:sz="4" w:space="0" w:color="000000"/>
              <w:left w:val="single" w:sz="4" w:space="0" w:color="000000"/>
              <w:bottom w:val="single" w:sz="4" w:space="0" w:color="000000"/>
              <w:right w:val="single" w:sz="4" w:space="0" w:color="000000"/>
            </w:tcBorders>
            <w:hideMark/>
          </w:tcPr>
          <w:p w:rsidR="00732808" w:rsidRPr="00732808" w:rsidRDefault="00732808" w:rsidP="00067E13">
            <w:pPr>
              <w:ind w:left="164"/>
              <w:rPr>
                <w:sz w:val="24"/>
                <w:szCs w:val="24"/>
                <w:lang w:val="en-US"/>
              </w:rPr>
            </w:pPr>
            <w:r w:rsidRPr="00732808">
              <w:rPr>
                <w:sz w:val="24"/>
                <w:szCs w:val="24"/>
                <w:lang w:bidi="da-DK"/>
              </w:rPr>
              <w:t>Ikke kendt</w:t>
            </w:r>
          </w:p>
        </w:tc>
      </w:tr>
      <w:tr w:rsidR="00732808" w:rsidRPr="00732808" w:rsidTr="00067E13">
        <w:trPr>
          <w:trHeight w:val="412"/>
        </w:trPr>
        <w:tc>
          <w:tcPr>
            <w:tcW w:w="2154" w:type="dxa"/>
            <w:vMerge/>
            <w:tcBorders>
              <w:top w:val="single" w:sz="4" w:space="0" w:color="000000"/>
              <w:left w:val="single" w:sz="4" w:space="0" w:color="000000"/>
              <w:bottom w:val="single" w:sz="4" w:space="0" w:color="000000"/>
              <w:right w:val="single" w:sz="4" w:space="0" w:color="000000"/>
            </w:tcBorders>
            <w:vAlign w:val="center"/>
            <w:hideMark/>
          </w:tcPr>
          <w:p w:rsidR="00732808" w:rsidRPr="00732808" w:rsidRDefault="00732808" w:rsidP="00732808">
            <w:pPr>
              <w:ind w:left="67"/>
              <w:rPr>
                <w:i/>
                <w:sz w:val="24"/>
                <w:szCs w:val="24"/>
                <w:lang w:val="en-US"/>
              </w:rPr>
            </w:pPr>
          </w:p>
        </w:tc>
        <w:tc>
          <w:tcPr>
            <w:tcW w:w="3636" w:type="dxa"/>
            <w:tcBorders>
              <w:top w:val="single" w:sz="4" w:space="0" w:color="000000"/>
              <w:left w:val="single" w:sz="4" w:space="0" w:color="000000"/>
              <w:bottom w:val="single" w:sz="4" w:space="0" w:color="000000"/>
              <w:right w:val="single" w:sz="4" w:space="0" w:color="000000"/>
            </w:tcBorders>
            <w:hideMark/>
          </w:tcPr>
          <w:p w:rsidR="00732808" w:rsidRPr="00732808" w:rsidRDefault="00732808" w:rsidP="00067E13">
            <w:pPr>
              <w:ind w:left="109"/>
              <w:rPr>
                <w:sz w:val="24"/>
                <w:szCs w:val="24"/>
                <w:lang w:val="en-US"/>
              </w:rPr>
            </w:pPr>
            <w:r w:rsidRPr="00732808">
              <w:rPr>
                <w:sz w:val="24"/>
                <w:szCs w:val="24"/>
                <w:lang w:bidi="da-DK"/>
              </w:rPr>
              <w:t>forandringer i hornhindens epitel</w:t>
            </w:r>
          </w:p>
        </w:tc>
        <w:tc>
          <w:tcPr>
            <w:tcW w:w="1892" w:type="dxa"/>
            <w:tcBorders>
              <w:top w:val="single" w:sz="4" w:space="0" w:color="000000"/>
              <w:left w:val="single" w:sz="4" w:space="0" w:color="000000"/>
              <w:bottom w:val="single" w:sz="4" w:space="0" w:color="000000"/>
              <w:right w:val="single" w:sz="4" w:space="0" w:color="000000"/>
            </w:tcBorders>
            <w:hideMark/>
          </w:tcPr>
          <w:p w:rsidR="00732808" w:rsidRPr="00732808" w:rsidRDefault="00732808" w:rsidP="00067E13">
            <w:pPr>
              <w:ind w:left="164"/>
              <w:rPr>
                <w:sz w:val="24"/>
                <w:szCs w:val="24"/>
                <w:lang w:val="en-US"/>
              </w:rPr>
            </w:pPr>
            <w:r w:rsidRPr="00732808">
              <w:rPr>
                <w:sz w:val="24"/>
                <w:szCs w:val="24"/>
                <w:lang w:bidi="da-DK"/>
              </w:rPr>
              <w:t>Ikke kendt</w:t>
            </w:r>
          </w:p>
        </w:tc>
      </w:tr>
      <w:tr w:rsidR="00732808" w:rsidRPr="00732808" w:rsidTr="00067E13">
        <w:trPr>
          <w:trHeight w:val="419"/>
        </w:trPr>
        <w:tc>
          <w:tcPr>
            <w:tcW w:w="2154" w:type="dxa"/>
            <w:vMerge/>
            <w:tcBorders>
              <w:top w:val="single" w:sz="4" w:space="0" w:color="000000"/>
              <w:left w:val="single" w:sz="4" w:space="0" w:color="000000"/>
              <w:bottom w:val="single" w:sz="4" w:space="0" w:color="000000"/>
              <w:right w:val="single" w:sz="4" w:space="0" w:color="000000"/>
            </w:tcBorders>
            <w:vAlign w:val="center"/>
            <w:hideMark/>
          </w:tcPr>
          <w:p w:rsidR="00732808" w:rsidRPr="00732808" w:rsidRDefault="00732808" w:rsidP="00732808">
            <w:pPr>
              <w:ind w:left="67"/>
              <w:rPr>
                <w:i/>
                <w:sz w:val="24"/>
                <w:szCs w:val="24"/>
                <w:lang w:val="en-US"/>
              </w:rPr>
            </w:pPr>
          </w:p>
        </w:tc>
        <w:tc>
          <w:tcPr>
            <w:tcW w:w="3636" w:type="dxa"/>
            <w:tcBorders>
              <w:top w:val="single" w:sz="4" w:space="0" w:color="000000"/>
              <w:left w:val="single" w:sz="4" w:space="0" w:color="000000"/>
              <w:bottom w:val="single" w:sz="4" w:space="0" w:color="000000"/>
              <w:right w:val="single" w:sz="4" w:space="0" w:color="000000"/>
            </w:tcBorders>
            <w:hideMark/>
          </w:tcPr>
          <w:p w:rsidR="00732808" w:rsidRPr="00732808" w:rsidRDefault="00732808" w:rsidP="00067E13">
            <w:pPr>
              <w:ind w:left="109"/>
              <w:rPr>
                <w:sz w:val="24"/>
                <w:szCs w:val="24"/>
                <w:lang w:val="en-US"/>
              </w:rPr>
            </w:pPr>
            <w:r w:rsidRPr="00732808">
              <w:rPr>
                <w:sz w:val="24"/>
                <w:szCs w:val="24"/>
                <w:lang w:bidi="da-DK"/>
              </w:rPr>
              <w:t>brændende fornemmelse i øjet</w:t>
            </w:r>
          </w:p>
        </w:tc>
        <w:tc>
          <w:tcPr>
            <w:tcW w:w="1892" w:type="dxa"/>
            <w:tcBorders>
              <w:top w:val="single" w:sz="4" w:space="0" w:color="000000"/>
              <w:left w:val="single" w:sz="4" w:space="0" w:color="000000"/>
              <w:bottom w:val="single" w:sz="4" w:space="0" w:color="000000"/>
              <w:right w:val="single" w:sz="4" w:space="0" w:color="000000"/>
            </w:tcBorders>
            <w:hideMark/>
          </w:tcPr>
          <w:p w:rsidR="00732808" w:rsidRPr="00732808" w:rsidRDefault="00732808" w:rsidP="00067E13">
            <w:pPr>
              <w:ind w:left="164"/>
              <w:rPr>
                <w:sz w:val="24"/>
                <w:szCs w:val="24"/>
                <w:lang w:val="en-US"/>
              </w:rPr>
            </w:pPr>
            <w:r w:rsidRPr="00732808">
              <w:rPr>
                <w:sz w:val="24"/>
                <w:szCs w:val="24"/>
                <w:lang w:bidi="da-DK"/>
              </w:rPr>
              <w:t>Ikke kendt</w:t>
            </w:r>
          </w:p>
        </w:tc>
      </w:tr>
      <w:tr w:rsidR="00732808" w:rsidRPr="00732808" w:rsidTr="00067E13">
        <w:trPr>
          <w:trHeight w:val="412"/>
        </w:trPr>
        <w:tc>
          <w:tcPr>
            <w:tcW w:w="2154" w:type="dxa"/>
            <w:vMerge/>
            <w:tcBorders>
              <w:top w:val="single" w:sz="4" w:space="0" w:color="000000"/>
              <w:left w:val="single" w:sz="4" w:space="0" w:color="000000"/>
              <w:bottom w:val="single" w:sz="4" w:space="0" w:color="000000"/>
              <w:right w:val="single" w:sz="4" w:space="0" w:color="000000"/>
            </w:tcBorders>
            <w:vAlign w:val="center"/>
            <w:hideMark/>
          </w:tcPr>
          <w:p w:rsidR="00732808" w:rsidRPr="00732808" w:rsidRDefault="00732808" w:rsidP="00732808">
            <w:pPr>
              <w:ind w:left="67"/>
              <w:rPr>
                <w:i/>
                <w:sz w:val="24"/>
                <w:szCs w:val="24"/>
                <w:lang w:val="en-US"/>
              </w:rPr>
            </w:pPr>
          </w:p>
        </w:tc>
        <w:tc>
          <w:tcPr>
            <w:tcW w:w="3636" w:type="dxa"/>
            <w:tcBorders>
              <w:top w:val="single" w:sz="4" w:space="0" w:color="000000"/>
              <w:left w:val="single" w:sz="4" w:space="0" w:color="000000"/>
              <w:bottom w:val="single" w:sz="4" w:space="0" w:color="000000"/>
              <w:right w:val="single" w:sz="4" w:space="0" w:color="000000"/>
            </w:tcBorders>
            <w:hideMark/>
          </w:tcPr>
          <w:p w:rsidR="00732808" w:rsidRPr="00732808" w:rsidRDefault="00732808" w:rsidP="00067E13">
            <w:pPr>
              <w:ind w:left="109"/>
              <w:rPr>
                <w:sz w:val="24"/>
                <w:szCs w:val="24"/>
                <w:lang w:val="en-US"/>
              </w:rPr>
            </w:pPr>
            <w:proofErr w:type="spellStart"/>
            <w:r w:rsidRPr="00732808">
              <w:rPr>
                <w:sz w:val="24"/>
                <w:szCs w:val="24"/>
                <w:lang w:bidi="da-DK"/>
              </w:rPr>
              <w:t>punktformig</w:t>
            </w:r>
            <w:proofErr w:type="spellEnd"/>
            <w:r w:rsidRPr="00732808">
              <w:rPr>
                <w:sz w:val="24"/>
                <w:szCs w:val="24"/>
                <w:lang w:bidi="da-DK"/>
              </w:rPr>
              <w:t xml:space="preserve"> </w:t>
            </w:r>
            <w:proofErr w:type="spellStart"/>
            <w:r w:rsidRPr="00732808">
              <w:rPr>
                <w:sz w:val="24"/>
                <w:szCs w:val="24"/>
                <w:lang w:bidi="da-DK"/>
              </w:rPr>
              <w:t>keratitis</w:t>
            </w:r>
            <w:proofErr w:type="spellEnd"/>
          </w:p>
        </w:tc>
        <w:tc>
          <w:tcPr>
            <w:tcW w:w="1892" w:type="dxa"/>
            <w:tcBorders>
              <w:top w:val="single" w:sz="4" w:space="0" w:color="000000"/>
              <w:left w:val="single" w:sz="4" w:space="0" w:color="000000"/>
              <w:bottom w:val="single" w:sz="4" w:space="0" w:color="000000"/>
              <w:right w:val="single" w:sz="4" w:space="0" w:color="000000"/>
            </w:tcBorders>
            <w:hideMark/>
          </w:tcPr>
          <w:p w:rsidR="00732808" w:rsidRPr="00732808" w:rsidRDefault="00732808" w:rsidP="00067E13">
            <w:pPr>
              <w:ind w:left="164"/>
              <w:rPr>
                <w:sz w:val="24"/>
                <w:szCs w:val="24"/>
                <w:lang w:val="en-US"/>
              </w:rPr>
            </w:pPr>
            <w:r w:rsidRPr="00732808">
              <w:rPr>
                <w:sz w:val="24"/>
                <w:szCs w:val="24"/>
                <w:lang w:bidi="da-DK"/>
              </w:rPr>
              <w:t>Ikke kendt</w:t>
            </w:r>
          </w:p>
        </w:tc>
      </w:tr>
      <w:tr w:rsidR="00732808" w:rsidRPr="00732808" w:rsidTr="00067E13">
        <w:trPr>
          <w:trHeight w:val="417"/>
        </w:trPr>
        <w:tc>
          <w:tcPr>
            <w:tcW w:w="2154" w:type="dxa"/>
            <w:vMerge/>
            <w:tcBorders>
              <w:top w:val="single" w:sz="4" w:space="0" w:color="000000"/>
              <w:left w:val="single" w:sz="4" w:space="0" w:color="000000"/>
              <w:bottom w:val="single" w:sz="4" w:space="0" w:color="000000"/>
              <w:right w:val="single" w:sz="4" w:space="0" w:color="000000"/>
            </w:tcBorders>
            <w:vAlign w:val="center"/>
            <w:hideMark/>
          </w:tcPr>
          <w:p w:rsidR="00732808" w:rsidRPr="00732808" w:rsidRDefault="00732808" w:rsidP="00732808">
            <w:pPr>
              <w:ind w:left="67"/>
              <w:rPr>
                <w:i/>
                <w:sz w:val="24"/>
                <w:szCs w:val="24"/>
                <w:lang w:val="en-US"/>
              </w:rPr>
            </w:pPr>
          </w:p>
        </w:tc>
        <w:tc>
          <w:tcPr>
            <w:tcW w:w="3636" w:type="dxa"/>
            <w:tcBorders>
              <w:top w:val="single" w:sz="4" w:space="0" w:color="000000"/>
              <w:left w:val="single" w:sz="4" w:space="0" w:color="000000"/>
              <w:bottom w:val="single" w:sz="4" w:space="0" w:color="000000"/>
              <w:right w:val="single" w:sz="4" w:space="0" w:color="000000"/>
            </w:tcBorders>
            <w:hideMark/>
          </w:tcPr>
          <w:p w:rsidR="00732808" w:rsidRPr="00732808" w:rsidRDefault="00732808" w:rsidP="00067E13">
            <w:pPr>
              <w:ind w:left="109"/>
              <w:rPr>
                <w:sz w:val="24"/>
                <w:szCs w:val="24"/>
                <w:lang w:val="en-US"/>
              </w:rPr>
            </w:pPr>
            <w:r w:rsidRPr="00732808">
              <w:rPr>
                <w:sz w:val="24"/>
                <w:szCs w:val="24"/>
                <w:lang w:bidi="da-DK"/>
              </w:rPr>
              <w:t>hornhindeødem</w:t>
            </w:r>
          </w:p>
        </w:tc>
        <w:tc>
          <w:tcPr>
            <w:tcW w:w="1892" w:type="dxa"/>
            <w:tcBorders>
              <w:top w:val="single" w:sz="4" w:space="0" w:color="000000"/>
              <w:left w:val="single" w:sz="4" w:space="0" w:color="000000"/>
              <w:bottom w:val="single" w:sz="4" w:space="0" w:color="000000"/>
              <w:right w:val="single" w:sz="4" w:space="0" w:color="000000"/>
            </w:tcBorders>
            <w:hideMark/>
          </w:tcPr>
          <w:p w:rsidR="00732808" w:rsidRPr="00732808" w:rsidRDefault="00732808" w:rsidP="00067E13">
            <w:pPr>
              <w:ind w:left="164"/>
              <w:rPr>
                <w:sz w:val="24"/>
                <w:szCs w:val="24"/>
                <w:lang w:val="en-US"/>
              </w:rPr>
            </w:pPr>
            <w:r w:rsidRPr="00732808">
              <w:rPr>
                <w:sz w:val="24"/>
                <w:szCs w:val="24"/>
                <w:lang w:bidi="da-DK"/>
              </w:rPr>
              <w:t>Ikke kendt</w:t>
            </w:r>
          </w:p>
        </w:tc>
      </w:tr>
      <w:tr w:rsidR="00732808" w:rsidRPr="00732808" w:rsidTr="00067E13">
        <w:trPr>
          <w:trHeight w:val="416"/>
        </w:trPr>
        <w:tc>
          <w:tcPr>
            <w:tcW w:w="2154" w:type="dxa"/>
            <w:tcBorders>
              <w:top w:val="single" w:sz="4" w:space="0" w:color="000000"/>
              <w:left w:val="single" w:sz="4" w:space="0" w:color="000000"/>
              <w:bottom w:val="single" w:sz="4" w:space="0" w:color="000000"/>
              <w:right w:val="single" w:sz="4" w:space="0" w:color="000000"/>
            </w:tcBorders>
            <w:hideMark/>
          </w:tcPr>
          <w:p w:rsidR="00732808" w:rsidRPr="00732808" w:rsidRDefault="00732808" w:rsidP="00732808">
            <w:pPr>
              <w:ind w:left="67"/>
              <w:rPr>
                <w:i/>
                <w:sz w:val="24"/>
                <w:szCs w:val="24"/>
                <w:lang w:val="en-US"/>
              </w:rPr>
            </w:pPr>
            <w:r w:rsidRPr="00732808">
              <w:rPr>
                <w:i/>
                <w:sz w:val="24"/>
                <w:szCs w:val="24"/>
                <w:lang w:bidi="da-DK"/>
              </w:rPr>
              <w:t>Nervesystemet</w:t>
            </w:r>
          </w:p>
        </w:tc>
        <w:tc>
          <w:tcPr>
            <w:tcW w:w="3636" w:type="dxa"/>
            <w:tcBorders>
              <w:top w:val="single" w:sz="4" w:space="0" w:color="000000"/>
              <w:left w:val="single" w:sz="4" w:space="0" w:color="000000"/>
              <w:bottom w:val="single" w:sz="4" w:space="0" w:color="000000"/>
              <w:right w:val="single" w:sz="4" w:space="0" w:color="000000"/>
            </w:tcBorders>
            <w:hideMark/>
          </w:tcPr>
          <w:p w:rsidR="00732808" w:rsidRPr="00732808" w:rsidRDefault="00732808" w:rsidP="00067E13">
            <w:pPr>
              <w:ind w:left="109"/>
              <w:rPr>
                <w:sz w:val="24"/>
                <w:szCs w:val="24"/>
                <w:lang w:val="en-US"/>
              </w:rPr>
            </w:pPr>
            <w:r w:rsidRPr="00732808">
              <w:rPr>
                <w:sz w:val="24"/>
                <w:szCs w:val="24"/>
                <w:lang w:bidi="da-DK"/>
              </w:rPr>
              <w:t>hovedpine</w:t>
            </w:r>
          </w:p>
        </w:tc>
        <w:tc>
          <w:tcPr>
            <w:tcW w:w="1892" w:type="dxa"/>
            <w:tcBorders>
              <w:top w:val="single" w:sz="4" w:space="0" w:color="000000"/>
              <w:left w:val="single" w:sz="4" w:space="0" w:color="000000"/>
              <w:bottom w:val="single" w:sz="4" w:space="0" w:color="000000"/>
              <w:right w:val="single" w:sz="4" w:space="0" w:color="000000"/>
            </w:tcBorders>
            <w:hideMark/>
          </w:tcPr>
          <w:p w:rsidR="00732808" w:rsidRPr="00732808" w:rsidRDefault="00732808" w:rsidP="00067E13">
            <w:pPr>
              <w:ind w:left="164"/>
              <w:rPr>
                <w:sz w:val="24"/>
                <w:szCs w:val="24"/>
                <w:lang w:val="en-US"/>
              </w:rPr>
            </w:pPr>
            <w:r w:rsidRPr="00732808">
              <w:rPr>
                <w:sz w:val="24"/>
                <w:szCs w:val="24"/>
                <w:lang w:bidi="da-DK"/>
              </w:rPr>
              <w:t>Ikke kendt</w:t>
            </w:r>
          </w:p>
        </w:tc>
      </w:tr>
    </w:tbl>
    <w:p w:rsidR="00732808" w:rsidRPr="00732808" w:rsidRDefault="00732808" w:rsidP="00732808">
      <w:pPr>
        <w:tabs>
          <w:tab w:val="left" w:pos="851"/>
        </w:tabs>
        <w:ind w:left="851"/>
        <w:rPr>
          <w:sz w:val="24"/>
          <w:szCs w:val="24"/>
        </w:rPr>
      </w:pPr>
    </w:p>
    <w:p w:rsidR="003569AF" w:rsidRPr="00B843F8" w:rsidRDefault="003569AF" w:rsidP="003569AF">
      <w:pPr>
        <w:tabs>
          <w:tab w:val="left" w:pos="851"/>
        </w:tabs>
        <w:ind w:left="851"/>
        <w:rPr>
          <w:i/>
          <w:sz w:val="24"/>
          <w:szCs w:val="24"/>
          <w:u w:val="single"/>
        </w:rPr>
      </w:pPr>
      <w:r w:rsidRPr="00B843F8">
        <w:rPr>
          <w:i/>
          <w:sz w:val="24"/>
          <w:szCs w:val="24"/>
          <w:u w:val="single"/>
        </w:rPr>
        <w:t>c. Beskrivelse af udvalgte bivirkninger</w:t>
      </w:r>
    </w:p>
    <w:p w:rsidR="003569AF" w:rsidRPr="00B843F8" w:rsidRDefault="003569AF" w:rsidP="003569AF">
      <w:pPr>
        <w:tabs>
          <w:tab w:val="left" w:pos="851"/>
        </w:tabs>
        <w:ind w:left="851"/>
        <w:rPr>
          <w:iCs/>
          <w:sz w:val="24"/>
          <w:szCs w:val="24"/>
        </w:rPr>
      </w:pPr>
    </w:p>
    <w:p w:rsidR="003569AF" w:rsidRPr="00B843F8" w:rsidRDefault="003569AF" w:rsidP="003569AF">
      <w:pPr>
        <w:tabs>
          <w:tab w:val="left" w:pos="851"/>
        </w:tabs>
        <w:ind w:left="851"/>
        <w:rPr>
          <w:i/>
          <w:sz w:val="24"/>
          <w:szCs w:val="24"/>
        </w:rPr>
      </w:pPr>
      <w:r w:rsidRPr="00B843F8">
        <w:rPr>
          <w:i/>
          <w:sz w:val="24"/>
          <w:szCs w:val="24"/>
        </w:rPr>
        <w:t>Hornhindelidelser</w:t>
      </w:r>
    </w:p>
    <w:p w:rsidR="003569AF" w:rsidRPr="00732808" w:rsidRDefault="003569AF" w:rsidP="003569AF">
      <w:pPr>
        <w:tabs>
          <w:tab w:val="left" w:pos="851"/>
        </w:tabs>
        <w:ind w:left="851"/>
        <w:rPr>
          <w:iCs/>
          <w:sz w:val="24"/>
          <w:szCs w:val="24"/>
        </w:rPr>
      </w:pPr>
      <w:r w:rsidRPr="00732808">
        <w:rPr>
          <w:iCs/>
          <w:sz w:val="24"/>
          <w:szCs w:val="24"/>
        </w:rPr>
        <w:t xml:space="preserve">Hornhindelidelser såsom overfladisk </w:t>
      </w:r>
      <w:proofErr w:type="spellStart"/>
      <w:r w:rsidRPr="00732808">
        <w:rPr>
          <w:iCs/>
          <w:sz w:val="24"/>
          <w:szCs w:val="24"/>
        </w:rPr>
        <w:t>punktformig</w:t>
      </w:r>
      <w:proofErr w:type="spellEnd"/>
      <w:r w:rsidRPr="00732808">
        <w:rPr>
          <w:iCs/>
          <w:sz w:val="24"/>
          <w:szCs w:val="24"/>
        </w:rPr>
        <w:t xml:space="preserve"> </w:t>
      </w:r>
      <w:proofErr w:type="spellStart"/>
      <w:r w:rsidRPr="00732808">
        <w:rPr>
          <w:iCs/>
          <w:sz w:val="24"/>
          <w:szCs w:val="24"/>
        </w:rPr>
        <w:t>keratitis</w:t>
      </w:r>
      <w:proofErr w:type="spellEnd"/>
      <w:r w:rsidRPr="00732808">
        <w:rPr>
          <w:iCs/>
          <w:sz w:val="24"/>
          <w:szCs w:val="24"/>
        </w:rPr>
        <w:t xml:space="preserve"> eller ødem kan observeres efter kort tids anvendelse af </w:t>
      </w:r>
      <w:proofErr w:type="spellStart"/>
      <w:r w:rsidRPr="00732808">
        <w:rPr>
          <w:iCs/>
          <w:sz w:val="24"/>
          <w:szCs w:val="24"/>
        </w:rPr>
        <w:t>oftalmisk</w:t>
      </w:r>
      <w:proofErr w:type="spellEnd"/>
      <w:r w:rsidRPr="00732808">
        <w:rPr>
          <w:iCs/>
          <w:sz w:val="24"/>
          <w:szCs w:val="24"/>
        </w:rPr>
        <w:t xml:space="preserve"> gel til topisk bedøvelse.</w:t>
      </w:r>
    </w:p>
    <w:p w:rsidR="003569AF" w:rsidRPr="00732808" w:rsidRDefault="003569AF" w:rsidP="003569AF">
      <w:pPr>
        <w:tabs>
          <w:tab w:val="left" w:pos="851"/>
        </w:tabs>
        <w:ind w:left="851"/>
        <w:rPr>
          <w:iCs/>
          <w:sz w:val="24"/>
          <w:szCs w:val="24"/>
        </w:rPr>
      </w:pPr>
      <w:r w:rsidRPr="00732808">
        <w:rPr>
          <w:iCs/>
          <w:sz w:val="24"/>
          <w:szCs w:val="24"/>
        </w:rPr>
        <w:t>Hornhinden kan beskadiges af længere tids brug af bedøvende øjengel.</w:t>
      </w:r>
    </w:p>
    <w:p w:rsidR="00732808" w:rsidRPr="00732808" w:rsidRDefault="00732808" w:rsidP="00732808">
      <w:pPr>
        <w:tabs>
          <w:tab w:val="left" w:pos="851"/>
        </w:tabs>
        <w:ind w:left="851"/>
        <w:rPr>
          <w:iCs/>
          <w:sz w:val="24"/>
          <w:szCs w:val="24"/>
        </w:rPr>
      </w:pPr>
    </w:p>
    <w:p w:rsidR="00732808" w:rsidRPr="00732808" w:rsidRDefault="00732808" w:rsidP="00732808">
      <w:pPr>
        <w:tabs>
          <w:tab w:val="left" w:pos="851"/>
        </w:tabs>
        <w:ind w:left="851"/>
        <w:rPr>
          <w:sz w:val="24"/>
          <w:szCs w:val="24"/>
          <w:u w:val="single"/>
        </w:rPr>
      </w:pPr>
      <w:r w:rsidRPr="00732808">
        <w:rPr>
          <w:sz w:val="24"/>
          <w:szCs w:val="24"/>
          <w:u w:val="single"/>
        </w:rPr>
        <w:t>Indberetning af formodede bivirkninger</w:t>
      </w:r>
    </w:p>
    <w:p w:rsidR="00732808" w:rsidRPr="00732808" w:rsidRDefault="00732808" w:rsidP="00732808">
      <w:pPr>
        <w:tabs>
          <w:tab w:val="left" w:pos="851"/>
        </w:tabs>
        <w:ind w:left="851"/>
        <w:rPr>
          <w:sz w:val="24"/>
          <w:szCs w:val="24"/>
        </w:rPr>
      </w:pPr>
      <w:r w:rsidRPr="00732808">
        <w:rPr>
          <w:sz w:val="24"/>
          <w:szCs w:val="24"/>
        </w:rPr>
        <w:t>Når lægemidlet er godkendt, er indberetning af formodede bivirkninger vigtig. Det muliggør løbende overvågning af benefit/</w:t>
      </w:r>
      <w:proofErr w:type="spellStart"/>
      <w:r w:rsidRPr="00732808">
        <w:rPr>
          <w:sz w:val="24"/>
          <w:szCs w:val="24"/>
        </w:rPr>
        <w:t>risk</w:t>
      </w:r>
      <w:proofErr w:type="spellEnd"/>
      <w:r w:rsidRPr="00732808">
        <w:rPr>
          <w:sz w:val="24"/>
          <w:szCs w:val="24"/>
        </w:rPr>
        <w:t>-forholdet for lægemidlet. Sundhedspersoner anmodes om at indberette alle formodede bivirkninger via</w:t>
      </w:r>
      <w:r>
        <w:rPr>
          <w:sz w:val="24"/>
          <w:szCs w:val="24"/>
        </w:rPr>
        <w:t>:</w:t>
      </w:r>
    </w:p>
    <w:p w:rsidR="00732808" w:rsidRPr="00732808" w:rsidRDefault="00732808" w:rsidP="00732808">
      <w:pPr>
        <w:tabs>
          <w:tab w:val="left" w:pos="851"/>
        </w:tabs>
        <w:ind w:left="851"/>
        <w:rPr>
          <w:sz w:val="24"/>
          <w:szCs w:val="24"/>
        </w:rPr>
      </w:pPr>
    </w:p>
    <w:p w:rsidR="00732808" w:rsidRPr="00732808" w:rsidRDefault="00732808" w:rsidP="00732808">
      <w:pPr>
        <w:tabs>
          <w:tab w:val="left" w:pos="851"/>
        </w:tabs>
        <w:ind w:left="851"/>
        <w:rPr>
          <w:sz w:val="24"/>
          <w:szCs w:val="24"/>
        </w:rPr>
      </w:pPr>
      <w:r w:rsidRPr="00732808">
        <w:rPr>
          <w:sz w:val="24"/>
          <w:szCs w:val="24"/>
        </w:rPr>
        <w:t>Lægemiddelstyrelsen</w:t>
      </w:r>
    </w:p>
    <w:p w:rsidR="00732808" w:rsidRPr="00732808" w:rsidRDefault="00732808" w:rsidP="00732808">
      <w:pPr>
        <w:tabs>
          <w:tab w:val="left" w:pos="851"/>
        </w:tabs>
        <w:ind w:left="851"/>
        <w:rPr>
          <w:sz w:val="24"/>
          <w:szCs w:val="24"/>
        </w:rPr>
      </w:pPr>
      <w:r w:rsidRPr="00732808">
        <w:rPr>
          <w:sz w:val="24"/>
          <w:szCs w:val="24"/>
        </w:rPr>
        <w:t>Axel Heides Gade 1</w:t>
      </w:r>
    </w:p>
    <w:p w:rsidR="00732808" w:rsidRPr="00732808" w:rsidRDefault="00732808" w:rsidP="00732808">
      <w:pPr>
        <w:tabs>
          <w:tab w:val="left" w:pos="851"/>
        </w:tabs>
        <w:ind w:left="851"/>
        <w:rPr>
          <w:sz w:val="24"/>
          <w:szCs w:val="24"/>
        </w:rPr>
      </w:pPr>
      <w:r w:rsidRPr="00732808">
        <w:rPr>
          <w:sz w:val="24"/>
          <w:szCs w:val="24"/>
        </w:rPr>
        <w:t>DK-2300 København S</w:t>
      </w:r>
    </w:p>
    <w:p w:rsidR="00732808" w:rsidRPr="00732808" w:rsidRDefault="00732808" w:rsidP="00732808">
      <w:pPr>
        <w:tabs>
          <w:tab w:val="left" w:pos="851"/>
        </w:tabs>
        <w:ind w:left="851"/>
        <w:rPr>
          <w:sz w:val="24"/>
          <w:szCs w:val="24"/>
        </w:rPr>
      </w:pPr>
      <w:r w:rsidRPr="00732808">
        <w:rPr>
          <w:sz w:val="24"/>
          <w:szCs w:val="24"/>
        </w:rPr>
        <w:t xml:space="preserve">Websted: </w:t>
      </w:r>
      <w:hyperlink r:id="rId8" w:history="1">
        <w:r w:rsidR="003569AF" w:rsidRPr="001C6D1B">
          <w:rPr>
            <w:rStyle w:val="Hyperlink"/>
            <w:sz w:val="24"/>
            <w:szCs w:val="24"/>
          </w:rPr>
          <w:t>www.meldenbivirkning.dk</w:t>
        </w:r>
      </w:hyperlink>
      <w:r w:rsidR="003569AF">
        <w:rPr>
          <w:sz w:val="24"/>
          <w:szCs w:val="24"/>
        </w:rPr>
        <w:t xml:space="preserve"> </w:t>
      </w:r>
      <w:r w:rsidRPr="00732808">
        <w:rPr>
          <w:sz w:val="24"/>
          <w:szCs w:val="24"/>
        </w:rPr>
        <w:t xml:space="preserve"> </w:t>
      </w:r>
    </w:p>
    <w:p w:rsidR="009260DE" w:rsidRDefault="009260DE" w:rsidP="00A10294">
      <w:pPr>
        <w:tabs>
          <w:tab w:val="left" w:pos="851"/>
        </w:tabs>
        <w:ind w:left="851"/>
        <w:rPr>
          <w:sz w:val="24"/>
          <w:szCs w:val="24"/>
        </w:rPr>
      </w:pPr>
    </w:p>
    <w:p w:rsidR="003569AF" w:rsidRDefault="003569AF" w:rsidP="00A10294">
      <w:pPr>
        <w:tabs>
          <w:tab w:val="left" w:pos="851"/>
        </w:tabs>
        <w:ind w:left="851"/>
        <w:rPr>
          <w:sz w:val="24"/>
          <w:szCs w:val="24"/>
        </w:rPr>
      </w:pPr>
    </w:p>
    <w:p w:rsidR="003569AF" w:rsidRPr="00A10294" w:rsidRDefault="003569AF"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4.9</w:t>
      </w:r>
      <w:r w:rsidRPr="00C84483">
        <w:rPr>
          <w:b/>
          <w:sz w:val="24"/>
          <w:szCs w:val="24"/>
        </w:rPr>
        <w:tab/>
        <w:t>Overdosering</w:t>
      </w:r>
    </w:p>
    <w:p w:rsidR="00FC2EF5" w:rsidRPr="00FC2EF5" w:rsidRDefault="00FC2EF5" w:rsidP="00FC2EF5">
      <w:pPr>
        <w:tabs>
          <w:tab w:val="left" w:pos="851"/>
        </w:tabs>
        <w:ind w:left="851"/>
        <w:rPr>
          <w:sz w:val="24"/>
          <w:szCs w:val="24"/>
        </w:rPr>
      </w:pPr>
      <w:r w:rsidRPr="00FC2EF5">
        <w:rPr>
          <w:sz w:val="24"/>
          <w:szCs w:val="24"/>
        </w:rPr>
        <w:t>Længere tids brug af en topisk øjenbedøvelse kan forårsage permanent uklarhed i hornhinden og sårdannelse med deraf følgende synstab.</w:t>
      </w:r>
    </w:p>
    <w:p w:rsidR="00FC2EF5" w:rsidRPr="00FC2EF5" w:rsidRDefault="00FC2EF5" w:rsidP="00FC2EF5">
      <w:pPr>
        <w:tabs>
          <w:tab w:val="left" w:pos="851"/>
        </w:tabs>
        <w:ind w:left="851"/>
        <w:rPr>
          <w:sz w:val="24"/>
          <w:szCs w:val="24"/>
        </w:rPr>
      </w:pPr>
    </w:p>
    <w:p w:rsidR="00FC2EF5" w:rsidRPr="00FC2EF5" w:rsidRDefault="00FC2EF5" w:rsidP="00FC2EF5">
      <w:pPr>
        <w:tabs>
          <w:tab w:val="left" w:pos="851"/>
        </w:tabs>
        <w:ind w:left="851"/>
        <w:rPr>
          <w:sz w:val="24"/>
          <w:szCs w:val="24"/>
        </w:rPr>
      </w:pPr>
      <w:r w:rsidRPr="00FC2EF5">
        <w:rPr>
          <w:sz w:val="24"/>
          <w:szCs w:val="24"/>
        </w:rPr>
        <w:t xml:space="preserve">Akutte nødsituationer forårsaget af lokalbedøvelse forbindes generelt med høje plasmaniveauer, som opstår under terapeutisk brug af lokalbedøvelse, eller med utilsigtet </w:t>
      </w:r>
      <w:proofErr w:type="spellStart"/>
      <w:r w:rsidRPr="00FC2EF5">
        <w:rPr>
          <w:sz w:val="24"/>
          <w:szCs w:val="24"/>
        </w:rPr>
        <w:t>subaraknoidal</w:t>
      </w:r>
      <w:proofErr w:type="spellEnd"/>
      <w:r w:rsidRPr="00FC2EF5">
        <w:rPr>
          <w:sz w:val="24"/>
          <w:szCs w:val="24"/>
        </w:rPr>
        <w:t xml:space="preserve"> injektion af en lokalbedøvende opløsning.</w:t>
      </w:r>
    </w:p>
    <w:p w:rsidR="00FC2EF5" w:rsidRPr="00FC2EF5" w:rsidRDefault="00FC2EF5" w:rsidP="00FC2EF5">
      <w:pPr>
        <w:tabs>
          <w:tab w:val="left" w:pos="851"/>
        </w:tabs>
        <w:ind w:left="851"/>
        <w:rPr>
          <w:sz w:val="24"/>
          <w:szCs w:val="24"/>
        </w:rPr>
      </w:pPr>
    </w:p>
    <w:p w:rsidR="00FC2EF5" w:rsidRPr="00FC2EF5" w:rsidRDefault="00FC2EF5" w:rsidP="00FC2EF5">
      <w:pPr>
        <w:tabs>
          <w:tab w:val="left" w:pos="851"/>
        </w:tabs>
        <w:ind w:left="851"/>
        <w:rPr>
          <w:sz w:val="24"/>
          <w:szCs w:val="24"/>
        </w:rPr>
      </w:pPr>
      <w:r w:rsidRPr="00FC2EF5">
        <w:rPr>
          <w:sz w:val="24"/>
          <w:szCs w:val="24"/>
        </w:rPr>
        <w:t xml:space="preserve">Topisk anvendelse af </w:t>
      </w:r>
      <w:proofErr w:type="spellStart"/>
      <w:r w:rsidRPr="00FC2EF5">
        <w:rPr>
          <w:sz w:val="24"/>
          <w:szCs w:val="24"/>
        </w:rPr>
        <w:t>Ophtesic</w:t>
      </w:r>
      <w:proofErr w:type="spellEnd"/>
      <w:r w:rsidRPr="00FC2EF5">
        <w:rPr>
          <w:sz w:val="24"/>
          <w:szCs w:val="24"/>
        </w:rPr>
        <w:t xml:space="preserve"> forventes dog ikke at medføre systemisk eksponering.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FC2EF5" w:rsidP="009260DE">
      <w:pPr>
        <w:tabs>
          <w:tab w:val="left" w:pos="851"/>
        </w:tabs>
        <w:ind w:left="851"/>
        <w:rPr>
          <w:sz w:val="24"/>
          <w:szCs w:val="24"/>
        </w:rPr>
      </w:pPr>
      <w:r>
        <w:rPr>
          <w:sz w:val="24"/>
          <w:szCs w:val="24"/>
        </w:rPr>
        <w:t>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F4D55" w:rsidRDefault="006F4D55" w:rsidP="00907743">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r w:rsidRPr="004F719C">
        <w:rPr>
          <w:sz w:val="24"/>
          <w:szCs w:val="24"/>
        </w:rPr>
        <w:t>Oftalmologiske lægemidler, lokalbedøvelsesmidler.</w:t>
      </w:r>
    </w:p>
    <w:p w:rsidR="006F4D55" w:rsidRDefault="006F4D55" w:rsidP="00907743">
      <w:pPr>
        <w:tabs>
          <w:tab w:val="left" w:pos="851"/>
        </w:tabs>
        <w:ind w:left="851"/>
        <w:rPr>
          <w:sz w:val="24"/>
          <w:szCs w:val="24"/>
        </w:rPr>
      </w:pPr>
      <w:r w:rsidRPr="004F719C">
        <w:rPr>
          <w:sz w:val="24"/>
          <w:szCs w:val="24"/>
        </w:rPr>
        <w:t>ATC</w:t>
      </w:r>
      <w:r w:rsidRPr="004F719C">
        <w:rPr>
          <w:sz w:val="24"/>
          <w:szCs w:val="24"/>
        </w:rPr>
        <w:noBreakHyphen/>
        <w:t>kode: S</w:t>
      </w:r>
      <w:r>
        <w:rPr>
          <w:sz w:val="24"/>
          <w:szCs w:val="24"/>
        </w:rPr>
        <w:t xml:space="preserve"> </w:t>
      </w:r>
      <w:r w:rsidRPr="004F719C">
        <w:rPr>
          <w:sz w:val="24"/>
          <w:szCs w:val="24"/>
        </w:rPr>
        <w:t>01</w:t>
      </w:r>
      <w:r>
        <w:rPr>
          <w:sz w:val="24"/>
          <w:szCs w:val="24"/>
        </w:rPr>
        <w:t xml:space="preserve"> </w:t>
      </w:r>
      <w:r w:rsidRPr="004F719C">
        <w:rPr>
          <w:sz w:val="24"/>
          <w:szCs w:val="24"/>
        </w:rPr>
        <w:t>HA</w:t>
      </w:r>
      <w:r>
        <w:rPr>
          <w:sz w:val="24"/>
          <w:szCs w:val="24"/>
        </w:rPr>
        <w:t xml:space="preserve"> </w:t>
      </w:r>
      <w:r w:rsidRPr="004F719C">
        <w:rPr>
          <w:sz w:val="24"/>
          <w:szCs w:val="24"/>
        </w:rPr>
        <w:t>07.</w:t>
      </w:r>
    </w:p>
    <w:p w:rsidR="006F4D55" w:rsidRDefault="006F4D55" w:rsidP="00907743">
      <w:pPr>
        <w:tabs>
          <w:tab w:val="left" w:pos="851"/>
        </w:tabs>
        <w:ind w:left="851"/>
        <w:rPr>
          <w:sz w:val="24"/>
          <w:szCs w:val="24"/>
        </w:rPr>
      </w:pPr>
    </w:p>
    <w:p w:rsidR="00907743" w:rsidRPr="00907743" w:rsidRDefault="00907743" w:rsidP="00907743">
      <w:pPr>
        <w:tabs>
          <w:tab w:val="left" w:pos="851"/>
        </w:tabs>
        <w:ind w:left="851"/>
        <w:rPr>
          <w:sz w:val="24"/>
          <w:szCs w:val="24"/>
        </w:rPr>
      </w:pPr>
      <w:proofErr w:type="spellStart"/>
      <w:r w:rsidRPr="00907743">
        <w:rPr>
          <w:sz w:val="24"/>
          <w:szCs w:val="24"/>
        </w:rPr>
        <w:t>Lidocain</w:t>
      </w:r>
      <w:proofErr w:type="spellEnd"/>
      <w:r w:rsidRPr="00907743">
        <w:rPr>
          <w:sz w:val="24"/>
          <w:szCs w:val="24"/>
        </w:rPr>
        <w:t xml:space="preserve"> er et veletableret topisk bedøvelsesmiddel fra amidgruppen, der stabiliserer den neuronale membran ved at hæmme de ionstrømme, der kræves for initiering og ledning af impulser, der fremkalder den lokalbedøvende virkning. Bedøvelsen indtræffer normalt efter mellem 20 sekunder og 1 minut, når sit højdepunkt efter mellem 3 til 5 minutter og vedvarer i 5 til 30 minutter.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07743" w:rsidRPr="00907743" w:rsidRDefault="00907743" w:rsidP="00907743">
      <w:pPr>
        <w:tabs>
          <w:tab w:val="left" w:pos="851"/>
        </w:tabs>
        <w:ind w:left="851"/>
        <w:rPr>
          <w:sz w:val="24"/>
          <w:szCs w:val="24"/>
        </w:rPr>
      </w:pPr>
    </w:p>
    <w:p w:rsidR="00907743" w:rsidRPr="00907743" w:rsidRDefault="00907743" w:rsidP="00907743">
      <w:pPr>
        <w:tabs>
          <w:tab w:val="left" w:pos="851"/>
        </w:tabs>
        <w:ind w:left="851"/>
        <w:rPr>
          <w:sz w:val="24"/>
          <w:szCs w:val="24"/>
          <w:u w:val="single"/>
        </w:rPr>
      </w:pPr>
      <w:r w:rsidRPr="00907743">
        <w:rPr>
          <w:sz w:val="24"/>
          <w:szCs w:val="24"/>
          <w:u w:val="single"/>
        </w:rPr>
        <w:t>Absorption</w:t>
      </w:r>
    </w:p>
    <w:p w:rsidR="00907743" w:rsidRPr="00907743" w:rsidRDefault="00907743" w:rsidP="00907743">
      <w:pPr>
        <w:tabs>
          <w:tab w:val="left" w:pos="851"/>
        </w:tabs>
        <w:ind w:left="851"/>
        <w:rPr>
          <w:sz w:val="24"/>
          <w:szCs w:val="24"/>
        </w:rPr>
      </w:pPr>
      <w:proofErr w:type="spellStart"/>
      <w:r w:rsidRPr="00907743">
        <w:rPr>
          <w:sz w:val="24"/>
          <w:szCs w:val="24"/>
        </w:rPr>
        <w:t>Lidocain</w:t>
      </w:r>
      <w:proofErr w:type="spellEnd"/>
      <w:r w:rsidRPr="00907743">
        <w:rPr>
          <w:sz w:val="24"/>
          <w:szCs w:val="24"/>
        </w:rPr>
        <w:t xml:space="preserve"> kan absorberes efter topisk administration til slimhinderne. Stoffets hastighed og absorptionsomfang afhænger af koncentrationen og den samlede administrerede dosis, det specifikke administrationssted og eksponeringens varighed.</w:t>
      </w:r>
    </w:p>
    <w:p w:rsidR="00907743" w:rsidRPr="00907743" w:rsidRDefault="00907743" w:rsidP="00907743">
      <w:pPr>
        <w:tabs>
          <w:tab w:val="left" w:pos="851"/>
        </w:tabs>
        <w:ind w:left="851"/>
        <w:rPr>
          <w:sz w:val="24"/>
          <w:szCs w:val="24"/>
        </w:rPr>
      </w:pPr>
      <w:r w:rsidRPr="00907743">
        <w:rPr>
          <w:sz w:val="24"/>
          <w:szCs w:val="24"/>
        </w:rPr>
        <w:t xml:space="preserve">Efter </w:t>
      </w:r>
      <w:proofErr w:type="spellStart"/>
      <w:r w:rsidRPr="00907743">
        <w:rPr>
          <w:sz w:val="24"/>
          <w:szCs w:val="24"/>
        </w:rPr>
        <w:t>okulær</w:t>
      </w:r>
      <w:proofErr w:type="spellEnd"/>
      <w:r w:rsidRPr="00907743">
        <w:rPr>
          <w:sz w:val="24"/>
          <w:szCs w:val="24"/>
        </w:rPr>
        <w:t xml:space="preserve"> administration af </w:t>
      </w:r>
      <w:proofErr w:type="spellStart"/>
      <w:r w:rsidRPr="00907743">
        <w:rPr>
          <w:sz w:val="24"/>
          <w:szCs w:val="24"/>
        </w:rPr>
        <w:t>lidocain</w:t>
      </w:r>
      <w:proofErr w:type="spellEnd"/>
      <w:r w:rsidRPr="00907743">
        <w:rPr>
          <w:sz w:val="24"/>
          <w:szCs w:val="24"/>
        </w:rPr>
        <w:t xml:space="preserve"> er den systemiske eksponering meget lav.</w:t>
      </w:r>
    </w:p>
    <w:p w:rsidR="00907743" w:rsidRPr="00907743" w:rsidRDefault="00907743" w:rsidP="00907743">
      <w:pPr>
        <w:tabs>
          <w:tab w:val="left" w:pos="851"/>
        </w:tabs>
        <w:ind w:left="851"/>
        <w:rPr>
          <w:sz w:val="24"/>
          <w:szCs w:val="24"/>
        </w:rPr>
      </w:pPr>
    </w:p>
    <w:p w:rsidR="00907743" w:rsidRPr="00907743" w:rsidRDefault="00907743" w:rsidP="00907743">
      <w:pPr>
        <w:tabs>
          <w:tab w:val="left" w:pos="851"/>
        </w:tabs>
        <w:ind w:left="851"/>
        <w:rPr>
          <w:sz w:val="24"/>
          <w:szCs w:val="24"/>
          <w:u w:val="single"/>
        </w:rPr>
      </w:pPr>
      <w:r w:rsidRPr="00907743">
        <w:rPr>
          <w:sz w:val="24"/>
          <w:szCs w:val="24"/>
          <w:u w:val="single"/>
        </w:rPr>
        <w:t>Fordeling</w:t>
      </w:r>
    </w:p>
    <w:p w:rsidR="00907743" w:rsidRPr="00907743" w:rsidRDefault="00907743" w:rsidP="00907743">
      <w:pPr>
        <w:tabs>
          <w:tab w:val="left" w:pos="851"/>
        </w:tabs>
        <w:ind w:left="851"/>
        <w:rPr>
          <w:sz w:val="24"/>
          <w:szCs w:val="24"/>
        </w:rPr>
      </w:pPr>
      <w:r w:rsidRPr="00907743">
        <w:rPr>
          <w:sz w:val="24"/>
          <w:szCs w:val="24"/>
        </w:rPr>
        <w:t xml:space="preserve">Plasmaproteinbindingen af </w:t>
      </w:r>
      <w:proofErr w:type="spellStart"/>
      <w:r w:rsidRPr="00907743">
        <w:rPr>
          <w:sz w:val="24"/>
          <w:szCs w:val="24"/>
        </w:rPr>
        <w:t>lidocain</w:t>
      </w:r>
      <w:proofErr w:type="spellEnd"/>
      <w:r w:rsidRPr="00907743">
        <w:rPr>
          <w:sz w:val="24"/>
          <w:szCs w:val="24"/>
        </w:rPr>
        <w:t xml:space="preserve"> afhænger af lægemiddelkoncentrationen, og den bundne fraktion falder med stigende koncentration. Ved koncentrationer på 1 til 4 mikrogram fri base pr. ml er 60 til 80 procent </w:t>
      </w:r>
      <w:proofErr w:type="spellStart"/>
      <w:r w:rsidRPr="00907743">
        <w:rPr>
          <w:sz w:val="24"/>
          <w:szCs w:val="24"/>
        </w:rPr>
        <w:t>lidocain</w:t>
      </w:r>
      <w:proofErr w:type="spellEnd"/>
      <w:r w:rsidRPr="00907743">
        <w:rPr>
          <w:sz w:val="24"/>
          <w:szCs w:val="24"/>
        </w:rPr>
        <w:t xml:space="preserve"> proteinbundet. Bindingen afhænger også af plasmakoncentrationen af alfa</w:t>
      </w:r>
      <w:r w:rsidRPr="00907743">
        <w:rPr>
          <w:sz w:val="24"/>
          <w:szCs w:val="24"/>
        </w:rPr>
        <w:noBreakHyphen/>
        <w:t>1</w:t>
      </w:r>
      <w:r w:rsidRPr="00907743">
        <w:rPr>
          <w:sz w:val="24"/>
          <w:szCs w:val="24"/>
        </w:rPr>
        <w:noBreakHyphen/>
        <w:t>syreglycoproteinet.</w:t>
      </w:r>
    </w:p>
    <w:p w:rsidR="00907743" w:rsidRPr="00907743" w:rsidRDefault="00907743" w:rsidP="00907743">
      <w:pPr>
        <w:tabs>
          <w:tab w:val="left" w:pos="851"/>
        </w:tabs>
        <w:ind w:left="851"/>
        <w:rPr>
          <w:sz w:val="24"/>
          <w:szCs w:val="24"/>
        </w:rPr>
      </w:pPr>
    </w:p>
    <w:p w:rsidR="00907743" w:rsidRPr="00907743" w:rsidRDefault="00907743" w:rsidP="00907743">
      <w:pPr>
        <w:tabs>
          <w:tab w:val="left" w:pos="851"/>
        </w:tabs>
        <w:ind w:left="851"/>
        <w:rPr>
          <w:sz w:val="24"/>
          <w:szCs w:val="24"/>
          <w:u w:val="single"/>
        </w:rPr>
      </w:pPr>
      <w:r w:rsidRPr="00907743">
        <w:rPr>
          <w:sz w:val="24"/>
          <w:szCs w:val="24"/>
          <w:u w:val="single"/>
        </w:rPr>
        <w:t>Biotransformation</w:t>
      </w:r>
    </w:p>
    <w:p w:rsidR="00907743" w:rsidRPr="00907743" w:rsidRDefault="00907743" w:rsidP="00907743">
      <w:pPr>
        <w:tabs>
          <w:tab w:val="left" w:pos="851"/>
        </w:tabs>
        <w:ind w:left="851"/>
        <w:rPr>
          <w:sz w:val="24"/>
          <w:szCs w:val="24"/>
        </w:rPr>
      </w:pPr>
      <w:proofErr w:type="spellStart"/>
      <w:r w:rsidRPr="00907743">
        <w:rPr>
          <w:sz w:val="24"/>
          <w:szCs w:val="24"/>
        </w:rPr>
        <w:t>Lidocain</w:t>
      </w:r>
      <w:proofErr w:type="spellEnd"/>
      <w:r w:rsidRPr="00907743">
        <w:rPr>
          <w:sz w:val="24"/>
          <w:szCs w:val="24"/>
        </w:rPr>
        <w:t xml:space="preserve"> </w:t>
      </w:r>
      <w:proofErr w:type="spellStart"/>
      <w:r w:rsidRPr="00907743">
        <w:rPr>
          <w:sz w:val="24"/>
          <w:szCs w:val="24"/>
        </w:rPr>
        <w:t>metaboliseres</w:t>
      </w:r>
      <w:proofErr w:type="spellEnd"/>
      <w:r w:rsidRPr="00907743">
        <w:rPr>
          <w:sz w:val="24"/>
          <w:szCs w:val="24"/>
        </w:rPr>
        <w:t xml:space="preserve"> hurtigt af leveren, og metabolitter og uændret lægemiddel udskilles af nyrerne. Biotransformationen omfatter </w:t>
      </w:r>
      <w:proofErr w:type="spellStart"/>
      <w:r w:rsidRPr="00907743">
        <w:rPr>
          <w:sz w:val="24"/>
          <w:szCs w:val="24"/>
        </w:rPr>
        <w:t>oxidativ</w:t>
      </w:r>
      <w:proofErr w:type="spellEnd"/>
      <w:r w:rsidRPr="00907743">
        <w:rPr>
          <w:sz w:val="24"/>
          <w:szCs w:val="24"/>
        </w:rPr>
        <w:t xml:space="preserve"> N-</w:t>
      </w:r>
      <w:proofErr w:type="spellStart"/>
      <w:r w:rsidRPr="00907743">
        <w:rPr>
          <w:sz w:val="24"/>
          <w:szCs w:val="24"/>
        </w:rPr>
        <w:t>dealkylering</w:t>
      </w:r>
      <w:proofErr w:type="spellEnd"/>
      <w:r w:rsidRPr="00907743">
        <w:rPr>
          <w:sz w:val="24"/>
          <w:szCs w:val="24"/>
        </w:rPr>
        <w:t xml:space="preserve">, </w:t>
      </w:r>
      <w:proofErr w:type="spellStart"/>
      <w:r w:rsidRPr="00907743">
        <w:rPr>
          <w:sz w:val="24"/>
          <w:szCs w:val="24"/>
        </w:rPr>
        <w:t>ringhydroxylering</w:t>
      </w:r>
      <w:proofErr w:type="spellEnd"/>
      <w:r w:rsidRPr="00907743">
        <w:rPr>
          <w:sz w:val="24"/>
          <w:szCs w:val="24"/>
        </w:rPr>
        <w:t>, spaltning af amidbindingen og konjugation.</w:t>
      </w:r>
    </w:p>
    <w:p w:rsidR="00907743" w:rsidRPr="00907743" w:rsidRDefault="00907743" w:rsidP="00907743">
      <w:pPr>
        <w:tabs>
          <w:tab w:val="left" w:pos="851"/>
        </w:tabs>
        <w:ind w:left="851"/>
        <w:rPr>
          <w:sz w:val="24"/>
          <w:szCs w:val="24"/>
        </w:rPr>
      </w:pPr>
      <w:r w:rsidRPr="00907743">
        <w:rPr>
          <w:sz w:val="24"/>
          <w:szCs w:val="24"/>
        </w:rPr>
        <w:t>N-</w:t>
      </w:r>
      <w:proofErr w:type="spellStart"/>
      <w:r w:rsidRPr="00907743">
        <w:rPr>
          <w:sz w:val="24"/>
          <w:szCs w:val="24"/>
        </w:rPr>
        <w:t>dealkylering</w:t>
      </w:r>
      <w:proofErr w:type="spellEnd"/>
      <w:r w:rsidRPr="00907743">
        <w:rPr>
          <w:sz w:val="24"/>
          <w:szCs w:val="24"/>
        </w:rPr>
        <w:t xml:space="preserve">, en hovedvej for biotransformation, giver metabolitterne </w:t>
      </w:r>
      <w:proofErr w:type="spellStart"/>
      <w:r w:rsidRPr="00907743">
        <w:rPr>
          <w:sz w:val="24"/>
          <w:szCs w:val="24"/>
        </w:rPr>
        <w:t>monoethylglycinxylidid</w:t>
      </w:r>
      <w:proofErr w:type="spellEnd"/>
      <w:r w:rsidRPr="00907743">
        <w:rPr>
          <w:sz w:val="24"/>
          <w:szCs w:val="24"/>
        </w:rPr>
        <w:t xml:space="preserve"> og </w:t>
      </w:r>
      <w:proofErr w:type="spellStart"/>
      <w:r w:rsidRPr="00907743">
        <w:rPr>
          <w:sz w:val="24"/>
          <w:szCs w:val="24"/>
        </w:rPr>
        <w:t>glycinxylidid</w:t>
      </w:r>
      <w:proofErr w:type="spellEnd"/>
      <w:r w:rsidRPr="00907743">
        <w:rPr>
          <w:sz w:val="24"/>
          <w:szCs w:val="24"/>
        </w:rPr>
        <w:t xml:space="preserve">. Disse metabolitters farmakologiske/toksikologiske virkninger ligner, men er svagere end </w:t>
      </w:r>
      <w:proofErr w:type="spellStart"/>
      <w:r w:rsidRPr="00907743">
        <w:rPr>
          <w:sz w:val="24"/>
          <w:szCs w:val="24"/>
        </w:rPr>
        <w:t>lidocains</w:t>
      </w:r>
      <w:proofErr w:type="spellEnd"/>
      <w:r w:rsidRPr="00907743">
        <w:rPr>
          <w:sz w:val="24"/>
          <w:szCs w:val="24"/>
        </w:rPr>
        <w:t xml:space="preserve"> virkninger. Ca. 90 % af det </w:t>
      </w:r>
      <w:proofErr w:type="spellStart"/>
      <w:r w:rsidRPr="00907743">
        <w:rPr>
          <w:sz w:val="24"/>
          <w:szCs w:val="24"/>
        </w:rPr>
        <w:t>lidocain</w:t>
      </w:r>
      <w:proofErr w:type="spellEnd"/>
      <w:r w:rsidRPr="00907743">
        <w:rPr>
          <w:sz w:val="24"/>
          <w:szCs w:val="24"/>
        </w:rPr>
        <w:t xml:space="preserve">, der administreres, udskilles i form af forskellige metabolitter, og under 10 % udskilles uændret. Den primære metabolit i urin er et </w:t>
      </w:r>
      <w:proofErr w:type="spellStart"/>
      <w:r w:rsidRPr="00907743">
        <w:rPr>
          <w:sz w:val="24"/>
          <w:szCs w:val="24"/>
        </w:rPr>
        <w:t>konjugat</w:t>
      </w:r>
      <w:proofErr w:type="spellEnd"/>
      <w:r w:rsidRPr="00907743">
        <w:rPr>
          <w:sz w:val="24"/>
          <w:szCs w:val="24"/>
        </w:rPr>
        <w:t xml:space="preserve"> af 4</w:t>
      </w:r>
      <w:r w:rsidRPr="00907743">
        <w:rPr>
          <w:sz w:val="24"/>
          <w:szCs w:val="24"/>
        </w:rPr>
        <w:noBreakHyphen/>
        <w:t>hydroxy</w:t>
      </w:r>
      <w:r w:rsidRPr="00907743">
        <w:rPr>
          <w:sz w:val="24"/>
          <w:szCs w:val="24"/>
        </w:rPr>
        <w:noBreakHyphen/>
        <w:t>2,6</w:t>
      </w:r>
      <w:r w:rsidRPr="00907743">
        <w:rPr>
          <w:sz w:val="24"/>
          <w:szCs w:val="24"/>
        </w:rPr>
        <w:noBreakHyphen/>
        <w:t>dimethylanilin.</w:t>
      </w:r>
    </w:p>
    <w:p w:rsidR="00907743" w:rsidRDefault="00907743" w:rsidP="00907743">
      <w:pPr>
        <w:tabs>
          <w:tab w:val="left" w:pos="851"/>
        </w:tabs>
        <w:ind w:left="851"/>
        <w:rPr>
          <w:sz w:val="24"/>
          <w:szCs w:val="24"/>
        </w:rPr>
      </w:pPr>
    </w:p>
    <w:p w:rsidR="003569AF" w:rsidRPr="00907743" w:rsidRDefault="003569AF" w:rsidP="00907743">
      <w:pPr>
        <w:tabs>
          <w:tab w:val="left" w:pos="851"/>
        </w:tabs>
        <w:ind w:left="851"/>
        <w:rPr>
          <w:sz w:val="24"/>
          <w:szCs w:val="24"/>
        </w:rPr>
      </w:pPr>
    </w:p>
    <w:p w:rsidR="00907743" w:rsidRPr="00907743" w:rsidRDefault="00907743" w:rsidP="00907743">
      <w:pPr>
        <w:tabs>
          <w:tab w:val="left" w:pos="851"/>
        </w:tabs>
        <w:ind w:left="851"/>
        <w:rPr>
          <w:sz w:val="24"/>
          <w:szCs w:val="24"/>
          <w:u w:val="single"/>
        </w:rPr>
      </w:pPr>
      <w:r w:rsidRPr="00907743">
        <w:rPr>
          <w:sz w:val="24"/>
          <w:szCs w:val="24"/>
          <w:u w:val="single"/>
        </w:rPr>
        <w:t>Elimination</w:t>
      </w:r>
    </w:p>
    <w:p w:rsidR="00907743" w:rsidRPr="00907743" w:rsidRDefault="00907743" w:rsidP="00907743">
      <w:pPr>
        <w:tabs>
          <w:tab w:val="left" w:pos="851"/>
        </w:tabs>
        <w:ind w:left="851"/>
        <w:rPr>
          <w:sz w:val="24"/>
          <w:szCs w:val="24"/>
        </w:rPr>
      </w:pPr>
      <w:r w:rsidRPr="00907743">
        <w:rPr>
          <w:sz w:val="24"/>
          <w:szCs w:val="24"/>
        </w:rPr>
        <w:t xml:space="preserve">Eliminationshalveringstiden for </w:t>
      </w:r>
      <w:proofErr w:type="spellStart"/>
      <w:r w:rsidRPr="00907743">
        <w:rPr>
          <w:sz w:val="24"/>
          <w:szCs w:val="24"/>
        </w:rPr>
        <w:t>lidocain</w:t>
      </w:r>
      <w:proofErr w:type="spellEnd"/>
      <w:r w:rsidRPr="00907743">
        <w:rPr>
          <w:sz w:val="24"/>
          <w:szCs w:val="24"/>
        </w:rPr>
        <w:t xml:space="preserve"> efter en intravenøs </w:t>
      </w:r>
      <w:proofErr w:type="spellStart"/>
      <w:r w:rsidRPr="00907743">
        <w:rPr>
          <w:sz w:val="24"/>
          <w:szCs w:val="24"/>
        </w:rPr>
        <w:t>bolusinjektion</w:t>
      </w:r>
      <w:proofErr w:type="spellEnd"/>
      <w:r w:rsidRPr="00907743">
        <w:rPr>
          <w:sz w:val="24"/>
          <w:szCs w:val="24"/>
        </w:rPr>
        <w:t xml:space="preserve"> er typisk 1,5 til 2,0 timer. På grund af den hastighed, hvormed </w:t>
      </w:r>
      <w:proofErr w:type="spellStart"/>
      <w:r w:rsidRPr="00907743">
        <w:rPr>
          <w:sz w:val="24"/>
          <w:szCs w:val="24"/>
        </w:rPr>
        <w:t>lidocain</w:t>
      </w:r>
      <w:proofErr w:type="spellEnd"/>
      <w:r w:rsidRPr="00907743">
        <w:rPr>
          <w:sz w:val="24"/>
          <w:szCs w:val="24"/>
        </w:rPr>
        <w:t xml:space="preserve"> </w:t>
      </w:r>
      <w:proofErr w:type="spellStart"/>
      <w:r w:rsidRPr="00907743">
        <w:rPr>
          <w:sz w:val="24"/>
          <w:szCs w:val="24"/>
        </w:rPr>
        <w:t>metaboliseres</w:t>
      </w:r>
      <w:proofErr w:type="spellEnd"/>
      <w:r w:rsidRPr="00907743">
        <w:rPr>
          <w:sz w:val="24"/>
          <w:szCs w:val="24"/>
        </w:rPr>
        <w:t xml:space="preserve">, kan enhver tilstand, der påvirker leverfunktionen, ændre </w:t>
      </w:r>
      <w:proofErr w:type="spellStart"/>
      <w:r w:rsidRPr="00907743">
        <w:rPr>
          <w:sz w:val="24"/>
          <w:szCs w:val="24"/>
        </w:rPr>
        <w:t>lidocains</w:t>
      </w:r>
      <w:proofErr w:type="spellEnd"/>
      <w:r w:rsidRPr="00907743">
        <w:rPr>
          <w:sz w:val="24"/>
          <w:szCs w:val="24"/>
        </w:rPr>
        <w:t xml:space="preserve"> kinetik. Halveringstiden kan forlænges til det dobbelte eller mere hos patienter med leverdysfunktion. Nyredysfunktion påvirker ikke </w:t>
      </w:r>
      <w:proofErr w:type="spellStart"/>
      <w:r w:rsidRPr="00907743">
        <w:rPr>
          <w:sz w:val="24"/>
          <w:szCs w:val="24"/>
        </w:rPr>
        <w:t>lidocains</w:t>
      </w:r>
      <w:proofErr w:type="spellEnd"/>
      <w:r w:rsidRPr="00907743">
        <w:rPr>
          <w:sz w:val="24"/>
          <w:szCs w:val="24"/>
        </w:rPr>
        <w:t xml:space="preserve"> kinetik, men kan øge ophobningen af metabolitter.</w:t>
      </w:r>
    </w:p>
    <w:p w:rsidR="00907743" w:rsidRPr="00907743" w:rsidRDefault="00907743" w:rsidP="0090774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6F4D55">
        <w:rPr>
          <w:b/>
          <w:sz w:val="24"/>
          <w:szCs w:val="24"/>
        </w:rPr>
        <w:t>Non-</w:t>
      </w:r>
      <w:r w:rsidRPr="00C84483">
        <w:rPr>
          <w:b/>
          <w:sz w:val="24"/>
          <w:szCs w:val="24"/>
        </w:rPr>
        <w:t>kliniske sikkerhedsdata</w:t>
      </w:r>
    </w:p>
    <w:p w:rsidR="00EF7A43" w:rsidRPr="00EF7A43" w:rsidRDefault="00EF7A43" w:rsidP="00EF7A43">
      <w:pPr>
        <w:tabs>
          <w:tab w:val="left" w:pos="851"/>
        </w:tabs>
        <w:ind w:left="851"/>
        <w:rPr>
          <w:sz w:val="24"/>
          <w:szCs w:val="24"/>
        </w:rPr>
      </w:pPr>
      <w:r w:rsidRPr="00EF7A43">
        <w:rPr>
          <w:sz w:val="24"/>
          <w:szCs w:val="24"/>
        </w:rPr>
        <w:t xml:space="preserve">I konventionelle dyreforsøg blev toksicitet i centralnervesystemet (CNS) og i det </w:t>
      </w:r>
      <w:proofErr w:type="spellStart"/>
      <w:r w:rsidRPr="00EF7A43">
        <w:rPr>
          <w:sz w:val="24"/>
          <w:szCs w:val="24"/>
        </w:rPr>
        <w:t>kardiovaskulære</w:t>
      </w:r>
      <w:proofErr w:type="spellEnd"/>
      <w:r w:rsidRPr="00EF7A43">
        <w:rPr>
          <w:sz w:val="24"/>
          <w:szCs w:val="24"/>
        </w:rPr>
        <w:t xml:space="preserve"> system kun iagttaget efter høje doser </w:t>
      </w:r>
      <w:proofErr w:type="spellStart"/>
      <w:r w:rsidRPr="00EF7A43">
        <w:rPr>
          <w:sz w:val="24"/>
          <w:szCs w:val="24"/>
        </w:rPr>
        <w:t>lidocain</w:t>
      </w:r>
      <w:proofErr w:type="spellEnd"/>
      <w:r w:rsidRPr="00EF7A43">
        <w:rPr>
          <w:sz w:val="24"/>
          <w:szCs w:val="24"/>
        </w:rPr>
        <w:t xml:space="preserve">. Ingen lægemiddelrelaterede bivirkninger blev iagttaget i forsøg vedrørende reproduktionstoksicitet. Forsøg vedrørende </w:t>
      </w:r>
      <w:proofErr w:type="spellStart"/>
      <w:r w:rsidRPr="00EF7A43">
        <w:rPr>
          <w:sz w:val="24"/>
          <w:szCs w:val="24"/>
        </w:rPr>
        <w:t>karcinogenicitet</w:t>
      </w:r>
      <w:proofErr w:type="spellEnd"/>
      <w:r w:rsidRPr="00EF7A43">
        <w:rPr>
          <w:sz w:val="24"/>
          <w:szCs w:val="24"/>
        </w:rPr>
        <w:t xml:space="preserve"> er ikke blevet udført med </w:t>
      </w:r>
      <w:proofErr w:type="spellStart"/>
      <w:r w:rsidRPr="00EF7A43">
        <w:rPr>
          <w:sz w:val="24"/>
          <w:szCs w:val="24"/>
        </w:rPr>
        <w:t>lidocain</w:t>
      </w:r>
      <w:proofErr w:type="spellEnd"/>
      <w:r w:rsidRPr="00EF7A43">
        <w:rPr>
          <w:sz w:val="24"/>
          <w:szCs w:val="24"/>
        </w:rPr>
        <w:t xml:space="preserve"> på grund af den begrænsede varighed af terapeutisk anvendelse.</w:t>
      </w:r>
    </w:p>
    <w:p w:rsidR="00EF7A43" w:rsidRPr="00EF7A43" w:rsidRDefault="00EF7A43" w:rsidP="00EF7A43">
      <w:pPr>
        <w:tabs>
          <w:tab w:val="left" w:pos="851"/>
        </w:tabs>
        <w:ind w:left="851"/>
        <w:rPr>
          <w:sz w:val="24"/>
          <w:szCs w:val="24"/>
        </w:rPr>
      </w:pPr>
    </w:p>
    <w:p w:rsidR="00EF7A43" w:rsidRPr="00EF7A43" w:rsidRDefault="00EF7A43" w:rsidP="00EF7A43">
      <w:pPr>
        <w:tabs>
          <w:tab w:val="left" w:pos="851"/>
        </w:tabs>
        <w:ind w:left="851"/>
        <w:rPr>
          <w:sz w:val="24"/>
          <w:szCs w:val="24"/>
        </w:rPr>
      </w:pPr>
      <w:proofErr w:type="spellStart"/>
      <w:r w:rsidRPr="00EF7A43">
        <w:rPr>
          <w:sz w:val="24"/>
          <w:szCs w:val="24"/>
        </w:rPr>
        <w:t>Genotoksicitetstest</w:t>
      </w:r>
      <w:proofErr w:type="spellEnd"/>
      <w:r w:rsidRPr="00EF7A43">
        <w:rPr>
          <w:sz w:val="24"/>
          <w:szCs w:val="24"/>
        </w:rPr>
        <w:t xml:space="preserve"> med </w:t>
      </w:r>
      <w:proofErr w:type="spellStart"/>
      <w:r w:rsidRPr="00EF7A43">
        <w:rPr>
          <w:sz w:val="24"/>
          <w:szCs w:val="24"/>
        </w:rPr>
        <w:t>lidocain</w:t>
      </w:r>
      <w:proofErr w:type="spellEnd"/>
      <w:r w:rsidRPr="00EF7A43">
        <w:rPr>
          <w:sz w:val="24"/>
          <w:szCs w:val="24"/>
        </w:rPr>
        <w:t xml:space="preserve"> viste ingen tegn på mutagent potentiale. En metabolit af </w:t>
      </w:r>
      <w:proofErr w:type="spellStart"/>
      <w:r w:rsidRPr="00EF7A43">
        <w:rPr>
          <w:sz w:val="24"/>
          <w:szCs w:val="24"/>
        </w:rPr>
        <w:t>lidocain</w:t>
      </w:r>
      <w:proofErr w:type="spellEnd"/>
      <w:r w:rsidRPr="00EF7A43">
        <w:rPr>
          <w:sz w:val="24"/>
          <w:szCs w:val="24"/>
        </w:rPr>
        <w:t>, 2,6</w:t>
      </w:r>
      <w:r w:rsidRPr="00EF7A43">
        <w:rPr>
          <w:sz w:val="24"/>
          <w:szCs w:val="24"/>
        </w:rPr>
        <w:noBreakHyphen/>
        <w:t xml:space="preserve">dimethylanilin, viste svage tegn på aktivitet i nogle </w:t>
      </w:r>
      <w:proofErr w:type="spellStart"/>
      <w:r w:rsidRPr="00EF7A43">
        <w:rPr>
          <w:sz w:val="24"/>
          <w:szCs w:val="24"/>
        </w:rPr>
        <w:t>genotoksicitetstest</w:t>
      </w:r>
      <w:proofErr w:type="spellEnd"/>
      <w:r w:rsidRPr="00EF7A43">
        <w:rPr>
          <w:sz w:val="24"/>
          <w:szCs w:val="24"/>
        </w:rPr>
        <w:t>.</w:t>
      </w:r>
    </w:p>
    <w:p w:rsidR="00EF7A43" w:rsidRPr="00EF7A43" w:rsidRDefault="00EF7A43" w:rsidP="00EF7A43">
      <w:pPr>
        <w:tabs>
          <w:tab w:val="left" w:pos="851"/>
        </w:tabs>
        <w:ind w:left="851"/>
        <w:rPr>
          <w:sz w:val="24"/>
          <w:szCs w:val="24"/>
        </w:rPr>
      </w:pPr>
      <w:r w:rsidRPr="00EF7A43">
        <w:rPr>
          <w:sz w:val="24"/>
          <w:szCs w:val="24"/>
        </w:rPr>
        <w:t>Metabolitten 2,6</w:t>
      </w:r>
      <w:r w:rsidRPr="00EF7A43">
        <w:rPr>
          <w:sz w:val="24"/>
          <w:szCs w:val="24"/>
        </w:rPr>
        <w:noBreakHyphen/>
        <w:t xml:space="preserve">dimethylanilin har vist sig at have </w:t>
      </w:r>
      <w:proofErr w:type="spellStart"/>
      <w:r w:rsidRPr="00EF7A43">
        <w:rPr>
          <w:sz w:val="24"/>
          <w:szCs w:val="24"/>
        </w:rPr>
        <w:t>karcinogenicitetspotentiale</w:t>
      </w:r>
      <w:proofErr w:type="spellEnd"/>
      <w:r w:rsidRPr="00EF7A43">
        <w:rPr>
          <w:sz w:val="24"/>
          <w:szCs w:val="24"/>
        </w:rPr>
        <w:t xml:space="preserve"> i non-kliniske toksikologiske studier til vurdering af kronisk eksponering. Risikovurderinger til sammenligning af den beregnede maksimale humane eksponering fra periodisk brug af </w:t>
      </w:r>
      <w:proofErr w:type="spellStart"/>
      <w:r w:rsidRPr="00EF7A43">
        <w:rPr>
          <w:sz w:val="24"/>
          <w:szCs w:val="24"/>
        </w:rPr>
        <w:t>lidocain</w:t>
      </w:r>
      <w:proofErr w:type="spellEnd"/>
      <w:r w:rsidRPr="00EF7A43">
        <w:rPr>
          <w:sz w:val="24"/>
          <w:szCs w:val="24"/>
        </w:rPr>
        <w:t xml:space="preserve"> med den eksponering, der bruges i non-kliniske studier, indikerer, at der er en bred sikkerhedsmargen for klinisk anvendelse.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83590C" w:rsidRPr="0083590C" w:rsidRDefault="0083590C" w:rsidP="0083590C">
      <w:pPr>
        <w:tabs>
          <w:tab w:val="left" w:pos="851"/>
        </w:tabs>
        <w:ind w:left="851"/>
        <w:rPr>
          <w:sz w:val="24"/>
          <w:szCs w:val="24"/>
        </w:rPr>
      </w:pPr>
      <w:proofErr w:type="spellStart"/>
      <w:r w:rsidRPr="0083590C">
        <w:rPr>
          <w:sz w:val="24"/>
          <w:szCs w:val="24"/>
        </w:rPr>
        <w:t>Hypromellose</w:t>
      </w:r>
      <w:proofErr w:type="spellEnd"/>
      <w:r w:rsidRPr="0083590C">
        <w:rPr>
          <w:sz w:val="24"/>
          <w:szCs w:val="24"/>
        </w:rPr>
        <w:t xml:space="preserve"> (E464)</w:t>
      </w:r>
    </w:p>
    <w:p w:rsidR="003569AF" w:rsidRPr="0083590C" w:rsidRDefault="003569AF" w:rsidP="003569AF">
      <w:pPr>
        <w:tabs>
          <w:tab w:val="left" w:pos="851"/>
        </w:tabs>
        <w:ind w:left="851"/>
        <w:rPr>
          <w:sz w:val="24"/>
          <w:szCs w:val="24"/>
        </w:rPr>
      </w:pPr>
      <w:r w:rsidRPr="0083590C">
        <w:rPr>
          <w:sz w:val="24"/>
          <w:szCs w:val="24"/>
        </w:rPr>
        <w:t>Natriumhydroxid (E524) (til pH-justering)</w:t>
      </w:r>
    </w:p>
    <w:p w:rsidR="0083590C" w:rsidRPr="0083590C" w:rsidRDefault="0083590C" w:rsidP="0083590C">
      <w:pPr>
        <w:tabs>
          <w:tab w:val="left" w:pos="851"/>
        </w:tabs>
        <w:ind w:left="851"/>
        <w:rPr>
          <w:sz w:val="24"/>
          <w:szCs w:val="24"/>
        </w:rPr>
      </w:pPr>
      <w:r w:rsidRPr="0083590C">
        <w:rPr>
          <w:sz w:val="24"/>
          <w:szCs w:val="24"/>
        </w:rPr>
        <w:t xml:space="preserve">Saltsyre (E507) (til pH-justering) </w:t>
      </w:r>
    </w:p>
    <w:p w:rsidR="0083590C" w:rsidRPr="0083590C" w:rsidRDefault="0083590C" w:rsidP="0083590C">
      <w:pPr>
        <w:tabs>
          <w:tab w:val="left" w:pos="851"/>
        </w:tabs>
        <w:ind w:left="851"/>
        <w:rPr>
          <w:sz w:val="24"/>
          <w:szCs w:val="24"/>
        </w:rPr>
      </w:pPr>
      <w:r w:rsidRPr="0083590C">
        <w:rPr>
          <w:sz w:val="24"/>
          <w:szCs w:val="24"/>
        </w:rPr>
        <w:t>Vand til injektionsvæsker</w:t>
      </w:r>
    </w:p>
    <w:p w:rsidR="0083590C" w:rsidRPr="0083590C" w:rsidRDefault="0083590C" w:rsidP="0083590C">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83590C" w:rsidRPr="0083590C" w:rsidRDefault="0083590C" w:rsidP="0083590C">
      <w:pPr>
        <w:tabs>
          <w:tab w:val="left" w:pos="851"/>
        </w:tabs>
        <w:ind w:left="851"/>
        <w:rPr>
          <w:sz w:val="24"/>
          <w:szCs w:val="24"/>
        </w:rPr>
      </w:pPr>
      <w:r w:rsidRPr="0083590C">
        <w:rPr>
          <w:sz w:val="24"/>
          <w:szCs w:val="24"/>
        </w:rPr>
        <w:t>Da der ikke foreligger studier af eventuelle uforligeligheder, må dette lægemiddel ikke blandes med andre lægemidler.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83590C" w:rsidRDefault="0083590C" w:rsidP="0083590C">
      <w:pPr>
        <w:tabs>
          <w:tab w:val="left" w:pos="851"/>
        </w:tabs>
        <w:ind w:left="851"/>
        <w:rPr>
          <w:sz w:val="24"/>
          <w:szCs w:val="24"/>
        </w:rPr>
      </w:pPr>
      <w:r w:rsidRPr="0083590C">
        <w:rPr>
          <w:sz w:val="24"/>
          <w:szCs w:val="24"/>
        </w:rPr>
        <w:t>3 år</w:t>
      </w:r>
      <w:r>
        <w:rPr>
          <w:sz w:val="24"/>
          <w:szCs w:val="24"/>
        </w:rPr>
        <w:t>.</w:t>
      </w:r>
    </w:p>
    <w:p w:rsidR="0083590C" w:rsidRPr="0083590C" w:rsidRDefault="0083590C" w:rsidP="0083590C">
      <w:pPr>
        <w:tabs>
          <w:tab w:val="left" w:pos="851"/>
        </w:tabs>
        <w:ind w:left="851"/>
        <w:rPr>
          <w:sz w:val="24"/>
          <w:szCs w:val="24"/>
        </w:rPr>
      </w:pPr>
    </w:p>
    <w:p w:rsidR="0083590C" w:rsidRPr="0083590C" w:rsidRDefault="0083590C" w:rsidP="0083590C">
      <w:pPr>
        <w:tabs>
          <w:tab w:val="left" w:pos="851"/>
        </w:tabs>
        <w:ind w:left="851"/>
        <w:rPr>
          <w:sz w:val="24"/>
          <w:szCs w:val="24"/>
        </w:rPr>
      </w:pPr>
      <w:r>
        <w:rPr>
          <w:sz w:val="24"/>
          <w:szCs w:val="24"/>
        </w:rPr>
        <w:t>E</w:t>
      </w:r>
      <w:r w:rsidRPr="0083590C">
        <w:rPr>
          <w:sz w:val="24"/>
          <w:szCs w:val="24"/>
        </w:rPr>
        <w:t xml:space="preserve">fter første anbrud: </w:t>
      </w:r>
      <w:r w:rsidR="00660715">
        <w:rPr>
          <w:sz w:val="24"/>
          <w:szCs w:val="24"/>
        </w:rPr>
        <w:t>B</w:t>
      </w:r>
      <w:r w:rsidRPr="0083590C">
        <w:rPr>
          <w:sz w:val="24"/>
          <w:szCs w:val="24"/>
        </w:rPr>
        <w:t>ortskaffes umiddelbart efter brug.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945FC" w:rsidRPr="003945FC" w:rsidRDefault="003945FC" w:rsidP="003945FC">
      <w:pPr>
        <w:tabs>
          <w:tab w:val="left" w:pos="851"/>
        </w:tabs>
        <w:ind w:left="851"/>
        <w:rPr>
          <w:sz w:val="24"/>
          <w:szCs w:val="24"/>
        </w:rPr>
      </w:pPr>
      <w:r w:rsidRPr="003945FC">
        <w:rPr>
          <w:sz w:val="24"/>
          <w:szCs w:val="24"/>
        </w:rPr>
        <w:t>Må ikke opbevares over 25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3569AF" w:rsidRPr="003945FC" w:rsidRDefault="003569AF" w:rsidP="003569AF">
      <w:pPr>
        <w:tabs>
          <w:tab w:val="left" w:pos="851"/>
        </w:tabs>
        <w:ind w:left="851"/>
        <w:rPr>
          <w:sz w:val="24"/>
          <w:szCs w:val="24"/>
        </w:rPr>
      </w:pPr>
      <w:r w:rsidRPr="003945FC">
        <w:rPr>
          <w:sz w:val="24"/>
          <w:szCs w:val="24"/>
        </w:rPr>
        <w:t xml:space="preserve">Gel i aluminiumstube </w:t>
      </w:r>
      <w:r w:rsidRPr="00B843F8">
        <w:rPr>
          <w:sz w:val="24"/>
          <w:szCs w:val="24"/>
        </w:rPr>
        <w:t xml:space="preserve">med et indvendigt </w:t>
      </w:r>
      <w:proofErr w:type="spellStart"/>
      <w:r w:rsidRPr="00B843F8">
        <w:rPr>
          <w:sz w:val="24"/>
          <w:szCs w:val="24"/>
        </w:rPr>
        <w:t>epoxyphenolbelagt</w:t>
      </w:r>
      <w:proofErr w:type="spellEnd"/>
      <w:r w:rsidRPr="00B843F8">
        <w:rPr>
          <w:sz w:val="24"/>
          <w:szCs w:val="24"/>
        </w:rPr>
        <w:t xml:space="preserve"> lag </w:t>
      </w:r>
      <w:r w:rsidRPr="003945FC">
        <w:rPr>
          <w:sz w:val="24"/>
          <w:szCs w:val="24"/>
        </w:rPr>
        <w:t>og polypropylen</w:t>
      </w:r>
      <w:r>
        <w:rPr>
          <w:sz w:val="24"/>
          <w:szCs w:val="24"/>
        </w:rPr>
        <w:t>dys</w:t>
      </w:r>
      <w:r w:rsidRPr="003945FC">
        <w:rPr>
          <w:sz w:val="24"/>
          <w:szCs w:val="24"/>
        </w:rPr>
        <w:t>e, indpakket i en blisterpakning af polypropylen-/kraftpapir.</w:t>
      </w:r>
    </w:p>
    <w:p w:rsidR="003569AF" w:rsidRDefault="003569AF" w:rsidP="003569AF">
      <w:pPr>
        <w:tabs>
          <w:tab w:val="left" w:pos="851"/>
        </w:tabs>
        <w:ind w:left="851"/>
        <w:rPr>
          <w:sz w:val="24"/>
          <w:szCs w:val="24"/>
        </w:rPr>
      </w:pPr>
    </w:p>
    <w:p w:rsidR="003569AF" w:rsidRPr="003945FC" w:rsidRDefault="003569AF" w:rsidP="003569AF">
      <w:pPr>
        <w:tabs>
          <w:tab w:val="left" w:pos="851"/>
        </w:tabs>
        <w:ind w:left="851"/>
        <w:rPr>
          <w:sz w:val="24"/>
          <w:szCs w:val="24"/>
        </w:rPr>
      </w:pPr>
      <w:r>
        <w:rPr>
          <w:sz w:val="24"/>
          <w:szCs w:val="24"/>
        </w:rPr>
        <w:t>D</w:t>
      </w:r>
      <w:r w:rsidRPr="003945FC">
        <w:rPr>
          <w:sz w:val="24"/>
          <w:szCs w:val="24"/>
        </w:rPr>
        <w:t xml:space="preserve">ysen er inde i blisterpakningen og </w:t>
      </w:r>
      <w:r>
        <w:rPr>
          <w:sz w:val="24"/>
          <w:szCs w:val="24"/>
        </w:rPr>
        <w:t>skal</w:t>
      </w:r>
      <w:r w:rsidRPr="003945FC">
        <w:rPr>
          <w:sz w:val="24"/>
          <w:szCs w:val="24"/>
        </w:rPr>
        <w:t xml:space="preserve"> fastgøres på tuben</w:t>
      </w:r>
      <w:r w:rsidRPr="00B843F8">
        <w:rPr>
          <w:sz w:val="24"/>
          <w:szCs w:val="24"/>
        </w:rPr>
        <w:t xml:space="preserve"> for at prikke hul på aluminiumsmembranen.</w:t>
      </w:r>
    </w:p>
    <w:p w:rsidR="003569AF" w:rsidRPr="003945FC" w:rsidRDefault="003569AF" w:rsidP="003569AF">
      <w:pPr>
        <w:tabs>
          <w:tab w:val="left" w:pos="851"/>
        </w:tabs>
        <w:ind w:left="851"/>
        <w:rPr>
          <w:sz w:val="24"/>
          <w:szCs w:val="24"/>
        </w:rPr>
      </w:pPr>
      <w:r w:rsidRPr="003945FC">
        <w:rPr>
          <w:sz w:val="24"/>
          <w:szCs w:val="24"/>
        </w:rPr>
        <w:t xml:space="preserve">Indersiden af blisterpakningen er steril, indtil den åbnes. </w:t>
      </w:r>
    </w:p>
    <w:p w:rsidR="003569AF" w:rsidRPr="003945FC" w:rsidRDefault="003569AF" w:rsidP="003569AF">
      <w:pPr>
        <w:tabs>
          <w:tab w:val="left" w:pos="851"/>
        </w:tabs>
        <w:ind w:left="851"/>
        <w:rPr>
          <w:sz w:val="24"/>
          <w:szCs w:val="24"/>
        </w:rPr>
      </w:pPr>
      <w:r w:rsidRPr="003945FC">
        <w:rPr>
          <w:sz w:val="24"/>
          <w:szCs w:val="24"/>
        </w:rPr>
        <w:lastRenderedPageBreak/>
        <w:t>En tube indeholder 3,5 g</w:t>
      </w:r>
    </w:p>
    <w:p w:rsidR="003945FC" w:rsidRPr="003945FC" w:rsidRDefault="003945FC" w:rsidP="003945FC">
      <w:pPr>
        <w:tabs>
          <w:tab w:val="left" w:pos="851"/>
        </w:tabs>
        <w:ind w:left="851"/>
        <w:rPr>
          <w:sz w:val="24"/>
          <w:szCs w:val="24"/>
        </w:rPr>
      </w:pPr>
    </w:p>
    <w:p w:rsidR="003945FC" w:rsidRPr="003945FC" w:rsidRDefault="003945FC" w:rsidP="003945FC">
      <w:pPr>
        <w:tabs>
          <w:tab w:val="left" w:pos="851"/>
        </w:tabs>
        <w:ind w:left="851"/>
        <w:rPr>
          <w:sz w:val="24"/>
          <w:szCs w:val="24"/>
        </w:rPr>
      </w:pPr>
      <w:r w:rsidRPr="003945FC">
        <w:rPr>
          <w:sz w:val="24"/>
          <w:szCs w:val="24"/>
        </w:rPr>
        <w:t xml:space="preserve">Pakningsstørrelser: 1, 20 </w:t>
      </w:r>
      <w:r w:rsidR="00E90F6E">
        <w:rPr>
          <w:sz w:val="24"/>
          <w:szCs w:val="24"/>
        </w:rPr>
        <w:t>og</w:t>
      </w:r>
      <w:r w:rsidRPr="003945FC">
        <w:rPr>
          <w:sz w:val="24"/>
          <w:szCs w:val="24"/>
        </w:rPr>
        <w:t xml:space="preserve"> 100 tuber</w:t>
      </w:r>
      <w:r w:rsidR="00E90F6E">
        <w:rPr>
          <w:sz w:val="24"/>
          <w:szCs w:val="24"/>
        </w:rPr>
        <w:t>, i æske.</w:t>
      </w:r>
    </w:p>
    <w:p w:rsidR="003945FC" w:rsidRPr="003945FC" w:rsidRDefault="003945FC" w:rsidP="003945FC">
      <w:pPr>
        <w:tabs>
          <w:tab w:val="left" w:pos="851"/>
        </w:tabs>
        <w:ind w:left="851"/>
        <w:rPr>
          <w:sz w:val="24"/>
          <w:szCs w:val="24"/>
        </w:rPr>
      </w:pPr>
    </w:p>
    <w:p w:rsidR="003945FC" w:rsidRPr="003945FC" w:rsidRDefault="003945FC" w:rsidP="003945FC">
      <w:pPr>
        <w:tabs>
          <w:tab w:val="left" w:pos="851"/>
        </w:tabs>
        <w:ind w:left="851"/>
        <w:rPr>
          <w:sz w:val="24"/>
          <w:szCs w:val="24"/>
        </w:rPr>
      </w:pPr>
      <w:r w:rsidRPr="003945FC">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6F4D55">
        <w:rPr>
          <w:b/>
          <w:sz w:val="24"/>
          <w:szCs w:val="24"/>
        </w:rPr>
        <w:t>bortskaffelse</w:t>
      </w:r>
      <w:r w:rsidRPr="00C84483">
        <w:rPr>
          <w:b/>
          <w:sz w:val="24"/>
          <w:szCs w:val="24"/>
        </w:rPr>
        <w:t xml:space="preserve"> og anden håndtering</w:t>
      </w:r>
    </w:p>
    <w:p w:rsidR="00254CEE" w:rsidRDefault="00254CEE" w:rsidP="00254CEE">
      <w:pPr>
        <w:tabs>
          <w:tab w:val="left" w:pos="851"/>
        </w:tabs>
        <w:ind w:left="851"/>
        <w:rPr>
          <w:sz w:val="24"/>
          <w:szCs w:val="24"/>
        </w:rPr>
      </w:pPr>
      <w:r w:rsidRPr="00254CEE">
        <w:rPr>
          <w:sz w:val="24"/>
          <w:szCs w:val="24"/>
        </w:rPr>
        <w:t>Ingen særlige forholdsregler.</w:t>
      </w:r>
    </w:p>
    <w:p w:rsidR="00254CEE" w:rsidRPr="00254CEE" w:rsidRDefault="00254CEE" w:rsidP="00254CEE">
      <w:pPr>
        <w:tabs>
          <w:tab w:val="left" w:pos="851"/>
        </w:tabs>
        <w:ind w:left="851"/>
        <w:rPr>
          <w:sz w:val="24"/>
          <w:szCs w:val="24"/>
        </w:rPr>
      </w:pPr>
    </w:p>
    <w:p w:rsidR="00254CEE" w:rsidRDefault="00254CEE" w:rsidP="003569AF">
      <w:pPr>
        <w:tabs>
          <w:tab w:val="left" w:pos="851"/>
        </w:tabs>
        <w:ind w:left="851"/>
        <w:rPr>
          <w:sz w:val="24"/>
          <w:szCs w:val="24"/>
        </w:rPr>
      </w:pPr>
      <w:r w:rsidRPr="00254CEE">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F21B1" w:rsidRPr="00071551" w:rsidRDefault="00FF21B1" w:rsidP="00FF21B1">
      <w:pPr>
        <w:tabs>
          <w:tab w:val="left" w:pos="851"/>
        </w:tabs>
        <w:ind w:left="851"/>
        <w:rPr>
          <w:sz w:val="24"/>
          <w:szCs w:val="24"/>
        </w:rPr>
      </w:pPr>
      <w:bookmarkStart w:id="0" w:name="_Hlk114228270"/>
      <w:proofErr w:type="spellStart"/>
      <w:r w:rsidRPr="00071551">
        <w:rPr>
          <w:sz w:val="24"/>
          <w:szCs w:val="24"/>
        </w:rPr>
        <w:t>Laboratoires</w:t>
      </w:r>
      <w:proofErr w:type="spellEnd"/>
      <w:r w:rsidRPr="00071551">
        <w:rPr>
          <w:sz w:val="24"/>
          <w:szCs w:val="24"/>
        </w:rPr>
        <w:t xml:space="preserve"> </w:t>
      </w:r>
      <w:proofErr w:type="spellStart"/>
      <w:r w:rsidRPr="00071551">
        <w:rPr>
          <w:sz w:val="24"/>
          <w:szCs w:val="24"/>
        </w:rPr>
        <w:t>Doliage</w:t>
      </w:r>
      <w:proofErr w:type="spellEnd"/>
      <w:r w:rsidRPr="00071551">
        <w:rPr>
          <w:sz w:val="24"/>
          <w:szCs w:val="24"/>
        </w:rPr>
        <w:t xml:space="preserve"> </w:t>
      </w:r>
      <w:proofErr w:type="spellStart"/>
      <w:r w:rsidRPr="00071551">
        <w:rPr>
          <w:sz w:val="24"/>
          <w:szCs w:val="24"/>
        </w:rPr>
        <w:t>Developpement</w:t>
      </w:r>
      <w:proofErr w:type="spellEnd"/>
    </w:p>
    <w:p w:rsidR="00FF21B1" w:rsidRPr="00071551" w:rsidRDefault="00FF21B1" w:rsidP="00FF21B1">
      <w:pPr>
        <w:tabs>
          <w:tab w:val="left" w:pos="851"/>
        </w:tabs>
        <w:ind w:left="851"/>
        <w:rPr>
          <w:sz w:val="24"/>
          <w:szCs w:val="24"/>
        </w:rPr>
      </w:pPr>
      <w:r w:rsidRPr="00071551">
        <w:rPr>
          <w:sz w:val="24"/>
          <w:szCs w:val="24"/>
        </w:rPr>
        <w:t xml:space="preserve">93 Rue Jean </w:t>
      </w:r>
      <w:proofErr w:type="spellStart"/>
      <w:r w:rsidR="00360050" w:rsidRPr="00360050">
        <w:rPr>
          <w:sz w:val="24"/>
          <w:szCs w:val="24"/>
        </w:rPr>
        <w:t>Jaurès</w:t>
      </w:r>
      <w:proofErr w:type="spellEnd"/>
    </w:p>
    <w:p w:rsidR="00FF21B1" w:rsidRPr="00FF21B1" w:rsidRDefault="00FF21B1" w:rsidP="00FF21B1">
      <w:pPr>
        <w:tabs>
          <w:tab w:val="left" w:pos="851"/>
        </w:tabs>
        <w:ind w:left="851"/>
        <w:rPr>
          <w:sz w:val="24"/>
          <w:szCs w:val="24"/>
        </w:rPr>
      </w:pPr>
      <w:r w:rsidRPr="00FF21B1">
        <w:rPr>
          <w:sz w:val="24"/>
          <w:szCs w:val="24"/>
        </w:rPr>
        <w:t xml:space="preserve">92800 </w:t>
      </w:r>
      <w:proofErr w:type="spellStart"/>
      <w:r w:rsidRPr="00FF21B1">
        <w:rPr>
          <w:sz w:val="24"/>
          <w:szCs w:val="24"/>
        </w:rPr>
        <w:t>Puteaux</w:t>
      </w:r>
      <w:proofErr w:type="spellEnd"/>
    </w:p>
    <w:bookmarkEnd w:id="0"/>
    <w:p w:rsidR="00B06729" w:rsidRPr="00B06729" w:rsidRDefault="00B06729" w:rsidP="00B06729">
      <w:pPr>
        <w:tabs>
          <w:tab w:val="left" w:pos="851"/>
        </w:tabs>
        <w:ind w:left="851"/>
        <w:rPr>
          <w:sz w:val="24"/>
          <w:szCs w:val="24"/>
        </w:rPr>
      </w:pPr>
      <w:r w:rsidRPr="00B06729">
        <w:rPr>
          <w:sz w:val="24"/>
          <w:szCs w:val="24"/>
        </w:rPr>
        <w:t>Frankrig</w:t>
      </w:r>
    </w:p>
    <w:p w:rsidR="00B06729" w:rsidRPr="00B06729" w:rsidRDefault="00B06729" w:rsidP="00B06729">
      <w:pPr>
        <w:tabs>
          <w:tab w:val="left" w:pos="851"/>
        </w:tabs>
        <w:ind w:left="851"/>
        <w:rPr>
          <w:sz w:val="24"/>
          <w:szCs w:val="24"/>
        </w:rPr>
      </w:pPr>
    </w:p>
    <w:p w:rsidR="00B06729" w:rsidRPr="00B06729" w:rsidRDefault="00B06729" w:rsidP="00B06729">
      <w:pPr>
        <w:tabs>
          <w:tab w:val="left" w:pos="851"/>
        </w:tabs>
        <w:ind w:left="851"/>
        <w:rPr>
          <w:sz w:val="24"/>
          <w:szCs w:val="24"/>
          <w:lang w:val="sv-SE"/>
        </w:rPr>
      </w:pPr>
      <w:proofErr w:type="spellStart"/>
      <w:r w:rsidRPr="00B06729">
        <w:rPr>
          <w:b/>
          <w:bCs/>
          <w:sz w:val="24"/>
          <w:szCs w:val="24"/>
          <w:lang w:val="sv-SE"/>
        </w:rPr>
        <w:t>Repræsentan</w:t>
      </w:r>
      <w:r w:rsidRPr="00B06729">
        <w:rPr>
          <w:sz w:val="24"/>
          <w:szCs w:val="24"/>
          <w:lang w:val="sv-SE"/>
        </w:rPr>
        <w:t>t</w:t>
      </w:r>
      <w:proofErr w:type="spellEnd"/>
    </w:p>
    <w:p w:rsidR="00B06729" w:rsidRPr="00B06729" w:rsidRDefault="00B06729" w:rsidP="00B06729">
      <w:pPr>
        <w:tabs>
          <w:tab w:val="left" w:pos="851"/>
        </w:tabs>
        <w:ind w:left="851"/>
        <w:rPr>
          <w:sz w:val="24"/>
          <w:szCs w:val="24"/>
        </w:rPr>
      </w:pPr>
      <w:proofErr w:type="spellStart"/>
      <w:r w:rsidRPr="00B06729">
        <w:rPr>
          <w:sz w:val="24"/>
          <w:szCs w:val="24"/>
        </w:rPr>
        <w:t>Horus</w:t>
      </w:r>
      <w:proofErr w:type="spellEnd"/>
      <w:r w:rsidRPr="00B06729">
        <w:rPr>
          <w:sz w:val="24"/>
          <w:szCs w:val="24"/>
        </w:rPr>
        <w:t xml:space="preserve"> Pharma Nordic AB</w:t>
      </w:r>
    </w:p>
    <w:p w:rsidR="00B06729" w:rsidRPr="00B06729" w:rsidRDefault="00B06729" w:rsidP="00B06729">
      <w:pPr>
        <w:tabs>
          <w:tab w:val="left" w:pos="851"/>
        </w:tabs>
        <w:ind w:left="851"/>
        <w:rPr>
          <w:sz w:val="24"/>
          <w:szCs w:val="24"/>
        </w:rPr>
      </w:pPr>
      <w:r w:rsidRPr="00B06729">
        <w:rPr>
          <w:sz w:val="24"/>
          <w:szCs w:val="24"/>
        </w:rPr>
        <w:t xml:space="preserve">c/o </w:t>
      </w:r>
      <w:proofErr w:type="spellStart"/>
      <w:r w:rsidRPr="00B06729">
        <w:rPr>
          <w:sz w:val="24"/>
          <w:szCs w:val="24"/>
        </w:rPr>
        <w:t>Franska</w:t>
      </w:r>
      <w:proofErr w:type="spellEnd"/>
      <w:r w:rsidRPr="00B06729">
        <w:rPr>
          <w:sz w:val="24"/>
          <w:szCs w:val="24"/>
        </w:rPr>
        <w:t xml:space="preserve"> </w:t>
      </w:r>
      <w:proofErr w:type="spellStart"/>
      <w:r w:rsidRPr="00B06729">
        <w:rPr>
          <w:sz w:val="24"/>
          <w:szCs w:val="24"/>
        </w:rPr>
        <w:t>Handelskammaren</w:t>
      </w:r>
      <w:proofErr w:type="spellEnd"/>
    </w:p>
    <w:p w:rsidR="00B06729" w:rsidRPr="00B06729" w:rsidRDefault="00B06729" w:rsidP="00B06729">
      <w:pPr>
        <w:tabs>
          <w:tab w:val="left" w:pos="851"/>
        </w:tabs>
        <w:ind w:left="851"/>
        <w:rPr>
          <w:sz w:val="24"/>
          <w:szCs w:val="24"/>
        </w:rPr>
      </w:pPr>
      <w:r w:rsidRPr="00B06729">
        <w:rPr>
          <w:sz w:val="24"/>
          <w:szCs w:val="24"/>
        </w:rPr>
        <w:t>Waterfront Building, Box 190</w:t>
      </w:r>
    </w:p>
    <w:p w:rsidR="00B06729" w:rsidRPr="00B06729" w:rsidRDefault="00B06729" w:rsidP="00B06729">
      <w:pPr>
        <w:tabs>
          <w:tab w:val="left" w:pos="851"/>
        </w:tabs>
        <w:ind w:left="851"/>
        <w:rPr>
          <w:sz w:val="24"/>
          <w:szCs w:val="24"/>
        </w:rPr>
      </w:pPr>
      <w:r w:rsidRPr="00B06729">
        <w:rPr>
          <w:sz w:val="24"/>
          <w:szCs w:val="24"/>
        </w:rPr>
        <w:t>101 23 Stockholm</w:t>
      </w:r>
    </w:p>
    <w:p w:rsidR="00B06729" w:rsidRPr="00B06729" w:rsidRDefault="00B06729" w:rsidP="00B06729">
      <w:pPr>
        <w:tabs>
          <w:tab w:val="left" w:pos="851"/>
        </w:tabs>
        <w:ind w:left="851"/>
        <w:rPr>
          <w:sz w:val="24"/>
          <w:szCs w:val="24"/>
        </w:rPr>
      </w:pPr>
      <w:r w:rsidRPr="00B06729">
        <w:rPr>
          <w:sz w:val="24"/>
          <w:szCs w:val="24"/>
        </w:rPr>
        <w:t>Sverige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6F4D55">
        <w:rPr>
          <w:b/>
          <w:sz w:val="24"/>
          <w:szCs w:val="24"/>
        </w:rPr>
        <w:t>-</w:t>
      </w:r>
      <w:r w:rsidRPr="00C84483">
        <w:rPr>
          <w:b/>
          <w:sz w:val="24"/>
          <w:szCs w:val="24"/>
        </w:rPr>
        <w:t>NUMRE)</w:t>
      </w:r>
    </w:p>
    <w:p w:rsidR="009260DE" w:rsidRPr="00C84483" w:rsidRDefault="00B06729" w:rsidP="009260DE">
      <w:pPr>
        <w:tabs>
          <w:tab w:val="left" w:pos="851"/>
        </w:tabs>
        <w:ind w:left="851"/>
        <w:rPr>
          <w:sz w:val="24"/>
          <w:szCs w:val="24"/>
        </w:rPr>
      </w:pPr>
      <w:r>
        <w:rPr>
          <w:sz w:val="24"/>
          <w:szCs w:val="24"/>
        </w:rPr>
        <w:t>67299</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071551" w:rsidP="009260DE">
      <w:pPr>
        <w:tabs>
          <w:tab w:val="left" w:pos="851"/>
        </w:tabs>
        <w:ind w:left="851"/>
        <w:rPr>
          <w:sz w:val="24"/>
          <w:szCs w:val="24"/>
        </w:rPr>
      </w:pPr>
      <w:r>
        <w:rPr>
          <w:sz w:val="24"/>
          <w:szCs w:val="24"/>
        </w:rPr>
        <w:t>21. september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841815" w:rsidP="009260DE">
      <w:pPr>
        <w:tabs>
          <w:tab w:val="left" w:pos="851"/>
        </w:tabs>
        <w:ind w:left="851"/>
        <w:rPr>
          <w:sz w:val="24"/>
          <w:szCs w:val="24"/>
        </w:rPr>
      </w:pPr>
      <w:r>
        <w:rPr>
          <w:sz w:val="24"/>
          <w:szCs w:val="24"/>
        </w:rPr>
        <w:t>15</w:t>
      </w:r>
      <w:bookmarkStart w:id="1" w:name="_GoBack"/>
      <w:bookmarkEnd w:id="1"/>
      <w:r w:rsidR="003569AF">
        <w:rPr>
          <w:sz w:val="24"/>
          <w:szCs w:val="24"/>
        </w:rPr>
        <w:t xml:space="preserve">. november </w:t>
      </w:r>
      <w:r w:rsidR="006F4D55">
        <w:rPr>
          <w:sz w:val="24"/>
          <w:szCs w:val="24"/>
        </w:rPr>
        <w:t>2023</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340" w:rsidRDefault="00097340">
      <w:r>
        <w:separator/>
      </w:r>
    </w:p>
  </w:endnote>
  <w:endnote w:type="continuationSeparator" w:id="0">
    <w:p w:rsidR="00097340" w:rsidRDefault="0009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629EB">
      <w:rPr>
        <w:i/>
        <w:noProof/>
        <w:sz w:val="18"/>
        <w:szCs w:val="18"/>
      </w:rPr>
      <w:t>Ophtesic, øjengel i enkeltdosisbeholder 20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340" w:rsidRDefault="00097340">
      <w:r>
        <w:separator/>
      </w:r>
    </w:p>
  </w:footnote>
  <w:footnote w:type="continuationSeparator" w:id="0">
    <w:p w:rsidR="00097340" w:rsidRDefault="00097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40"/>
    <w:rsid w:val="000259B9"/>
    <w:rsid w:val="00041491"/>
    <w:rsid w:val="00050D16"/>
    <w:rsid w:val="00067E13"/>
    <w:rsid w:val="00071551"/>
    <w:rsid w:val="000730CA"/>
    <w:rsid w:val="00074F2A"/>
    <w:rsid w:val="00097340"/>
    <w:rsid w:val="000A1CA8"/>
    <w:rsid w:val="000A466B"/>
    <w:rsid w:val="000B058C"/>
    <w:rsid w:val="000E4EE6"/>
    <w:rsid w:val="001005D8"/>
    <w:rsid w:val="001454E2"/>
    <w:rsid w:val="00190131"/>
    <w:rsid w:val="001C7FB3"/>
    <w:rsid w:val="00206CE8"/>
    <w:rsid w:val="0021526C"/>
    <w:rsid w:val="0023302B"/>
    <w:rsid w:val="00254CEE"/>
    <w:rsid w:val="00283A2B"/>
    <w:rsid w:val="002B30AD"/>
    <w:rsid w:val="002C2C01"/>
    <w:rsid w:val="002E5925"/>
    <w:rsid w:val="003248D3"/>
    <w:rsid w:val="003569AF"/>
    <w:rsid w:val="00360050"/>
    <w:rsid w:val="00383A19"/>
    <w:rsid w:val="00385220"/>
    <w:rsid w:val="003945FC"/>
    <w:rsid w:val="003A29AE"/>
    <w:rsid w:val="003A32D7"/>
    <w:rsid w:val="003B4074"/>
    <w:rsid w:val="003C769A"/>
    <w:rsid w:val="003E493A"/>
    <w:rsid w:val="003F1838"/>
    <w:rsid w:val="00446CEF"/>
    <w:rsid w:val="0045746C"/>
    <w:rsid w:val="00461773"/>
    <w:rsid w:val="0049104B"/>
    <w:rsid w:val="004E3B12"/>
    <w:rsid w:val="004F719C"/>
    <w:rsid w:val="00532310"/>
    <w:rsid w:val="00565F0F"/>
    <w:rsid w:val="00594A86"/>
    <w:rsid w:val="00596D86"/>
    <w:rsid w:val="006351BC"/>
    <w:rsid w:val="00637F5A"/>
    <w:rsid w:val="006560B1"/>
    <w:rsid w:val="00660715"/>
    <w:rsid w:val="006630A3"/>
    <w:rsid w:val="006756DD"/>
    <w:rsid w:val="006F4D55"/>
    <w:rsid w:val="00732808"/>
    <w:rsid w:val="00737275"/>
    <w:rsid w:val="00740EEC"/>
    <w:rsid w:val="0078011A"/>
    <w:rsid w:val="00782AF4"/>
    <w:rsid w:val="00790EE7"/>
    <w:rsid w:val="007B6649"/>
    <w:rsid w:val="0082576E"/>
    <w:rsid w:val="0083590C"/>
    <w:rsid w:val="00841815"/>
    <w:rsid w:val="008906DE"/>
    <w:rsid w:val="00907743"/>
    <w:rsid w:val="00907F75"/>
    <w:rsid w:val="009260DE"/>
    <w:rsid w:val="0093258A"/>
    <w:rsid w:val="00946291"/>
    <w:rsid w:val="00953E46"/>
    <w:rsid w:val="009629EB"/>
    <w:rsid w:val="009C7BA3"/>
    <w:rsid w:val="009D1F5A"/>
    <w:rsid w:val="00A10294"/>
    <w:rsid w:val="00B003BF"/>
    <w:rsid w:val="00B06729"/>
    <w:rsid w:val="00B373D7"/>
    <w:rsid w:val="00C36276"/>
    <w:rsid w:val="00C42586"/>
    <w:rsid w:val="00C60CCD"/>
    <w:rsid w:val="00C63620"/>
    <w:rsid w:val="00C84483"/>
    <w:rsid w:val="00C95551"/>
    <w:rsid w:val="00CB20D7"/>
    <w:rsid w:val="00CF4112"/>
    <w:rsid w:val="00D020B0"/>
    <w:rsid w:val="00D11748"/>
    <w:rsid w:val="00D366CF"/>
    <w:rsid w:val="00D46FF5"/>
    <w:rsid w:val="00D67457"/>
    <w:rsid w:val="00DB1D25"/>
    <w:rsid w:val="00DF2015"/>
    <w:rsid w:val="00E108AA"/>
    <w:rsid w:val="00E3749A"/>
    <w:rsid w:val="00E7437F"/>
    <w:rsid w:val="00E865B8"/>
    <w:rsid w:val="00E90F6E"/>
    <w:rsid w:val="00EC0B9B"/>
    <w:rsid w:val="00ED5E9F"/>
    <w:rsid w:val="00ED61D3"/>
    <w:rsid w:val="00EF7A43"/>
    <w:rsid w:val="00F66D4F"/>
    <w:rsid w:val="00FB6D01"/>
    <w:rsid w:val="00FC2EF5"/>
    <w:rsid w:val="00FF21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6A1AC"/>
  <w15:chartTrackingRefBased/>
  <w15:docId w15:val="{B7C46A24-401C-45DF-A21F-6C52FE1B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732808"/>
    <w:rPr>
      <w:color w:val="0563C1" w:themeColor="hyperlink"/>
      <w:u w:val="single"/>
    </w:rPr>
  </w:style>
  <w:style w:type="character" w:styleId="Ulstomtale">
    <w:name w:val="Unresolved Mention"/>
    <w:basedOn w:val="Standardskrifttypeiafsnit"/>
    <w:uiPriority w:val="99"/>
    <w:semiHidden/>
    <w:unhideWhenUsed/>
    <w:rsid w:val="0073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1929">
      <w:bodyDiv w:val="1"/>
      <w:marLeft w:val="0"/>
      <w:marRight w:val="0"/>
      <w:marTop w:val="0"/>
      <w:marBottom w:val="0"/>
      <w:divBdr>
        <w:top w:val="none" w:sz="0" w:space="0" w:color="auto"/>
        <w:left w:val="none" w:sz="0" w:space="0" w:color="auto"/>
        <w:bottom w:val="none" w:sz="0" w:space="0" w:color="auto"/>
        <w:right w:val="none" w:sz="0" w:space="0" w:color="auto"/>
      </w:divBdr>
    </w:div>
    <w:div w:id="14139226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0164331">
      <w:bodyDiv w:val="1"/>
      <w:marLeft w:val="0"/>
      <w:marRight w:val="0"/>
      <w:marTop w:val="0"/>
      <w:marBottom w:val="0"/>
      <w:divBdr>
        <w:top w:val="none" w:sz="0" w:space="0" w:color="auto"/>
        <w:left w:val="none" w:sz="0" w:space="0" w:color="auto"/>
        <w:bottom w:val="none" w:sz="0" w:space="0" w:color="auto"/>
        <w:right w:val="none" w:sz="0" w:space="0" w:color="auto"/>
      </w:divBdr>
    </w:div>
    <w:div w:id="266013081">
      <w:bodyDiv w:val="1"/>
      <w:marLeft w:val="0"/>
      <w:marRight w:val="0"/>
      <w:marTop w:val="0"/>
      <w:marBottom w:val="0"/>
      <w:divBdr>
        <w:top w:val="none" w:sz="0" w:space="0" w:color="auto"/>
        <w:left w:val="none" w:sz="0" w:space="0" w:color="auto"/>
        <w:bottom w:val="none" w:sz="0" w:space="0" w:color="auto"/>
        <w:right w:val="none" w:sz="0" w:space="0" w:color="auto"/>
      </w:divBdr>
    </w:div>
    <w:div w:id="441463135">
      <w:bodyDiv w:val="1"/>
      <w:marLeft w:val="0"/>
      <w:marRight w:val="0"/>
      <w:marTop w:val="0"/>
      <w:marBottom w:val="0"/>
      <w:divBdr>
        <w:top w:val="none" w:sz="0" w:space="0" w:color="auto"/>
        <w:left w:val="none" w:sz="0" w:space="0" w:color="auto"/>
        <w:bottom w:val="none" w:sz="0" w:space="0" w:color="auto"/>
        <w:right w:val="none" w:sz="0" w:space="0" w:color="auto"/>
      </w:divBdr>
    </w:div>
    <w:div w:id="455685357">
      <w:bodyDiv w:val="1"/>
      <w:marLeft w:val="0"/>
      <w:marRight w:val="0"/>
      <w:marTop w:val="0"/>
      <w:marBottom w:val="0"/>
      <w:divBdr>
        <w:top w:val="none" w:sz="0" w:space="0" w:color="auto"/>
        <w:left w:val="none" w:sz="0" w:space="0" w:color="auto"/>
        <w:bottom w:val="none" w:sz="0" w:space="0" w:color="auto"/>
        <w:right w:val="none" w:sz="0" w:space="0" w:color="auto"/>
      </w:divBdr>
    </w:div>
    <w:div w:id="459886425">
      <w:bodyDiv w:val="1"/>
      <w:marLeft w:val="0"/>
      <w:marRight w:val="0"/>
      <w:marTop w:val="0"/>
      <w:marBottom w:val="0"/>
      <w:divBdr>
        <w:top w:val="none" w:sz="0" w:space="0" w:color="auto"/>
        <w:left w:val="none" w:sz="0" w:space="0" w:color="auto"/>
        <w:bottom w:val="none" w:sz="0" w:space="0" w:color="auto"/>
        <w:right w:val="none" w:sz="0" w:space="0" w:color="auto"/>
      </w:divBdr>
    </w:div>
    <w:div w:id="483788424">
      <w:bodyDiv w:val="1"/>
      <w:marLeft w:val="0"/>
      <w:marRight w:val="0"/>
      <w:marTop w:val="0"/>
      <w:marBottom w:val="0"/>
      <w:divBdr>
        <w:top w:val="none" w:sz="0" w:space="0" w:color="auto"/>
        <w:left w:val="none" w:sz="0" w:space="0" w:color="auto"/>
        <w:bottom w:val="none" w:sz="0" w:space="0" w:color="auto"/>
        <w:right w:val="none" w:sz="0" w:space="0" w:color="auto"/>
      </w:divBdr>
    </w:div>
    <w:div w:id="515656327">
      <w:bodyDiv w:val="1"/>
      <w:marLeft w:val="0"/>
      <w:marRight w:val="0"/>
      <w:marTop w:val="0"/>
      <w:marBottom w:val="0"/>
      <w:divBdr>
        <w:top w:val="none" w:sz="0" w:space="0" w:color="auto"/>
        <w:left w:val="none" w:sz="0" w:space="0" w:color="auto"/>
        <w:bottom w:val="none" w:sz="0" w:space="0" w:color="auto"/>
        <w:right w:val="none" w:sz="0" w:space="0" w:color="auto"/>
      </w:divBdr>
    </w:div>
    <w:div w:id="621574431">
      <w:bodyDiv w:val="1"/>
      <w:marLeft w:val="0"/>
      <w:marRight w:val="0"/>
      <w:marTop w:val="0"/>
      <w:marBottom w:val="0"/>
      <w:divBdr>
        <w:top w:val="none" w:sz="0" w:space="0" w:color="auto"/>
        <w:left w:val="none" w:sz="0" w:space="0" w:color="auto"/>
        <w:bottom w:val="none" w:sz="0" w:space="0" w:color="auto"/>
        <w:right w:val="none" w:sz="0" w:space="0" w:color="auto"/>
      </w:divBdr>
    </w:div>
    <w:div w:id="639573694">
      <w:bodyDiv w:val="1"/>
      <w:marLeft w:val="0"/>
      <w:marRight w:val="0"/>
      <w:marTop w:val="0"/>
      <w:marBottom w:val="0"/>
      <w:divBdr>
        <w:top w:val="none" w:sz="0" w:space="0" w:color="auto"/>
        <w:left w:val="none" w:sz="0" w:space="0" w:color="auto"/>
        <w:bottom w:val="none" w:sz="0" w:space="0" w:color="auto"/>
        <w:right w:val="none" w:sz="0" w:space="0" w:color="auto"/>
      </w:divBdr>
    </w:div>
    <w:div w:id="648435901">
      <w:bodyDiv w:val="1"/>
      <w:marLeft w:val="0"/>
      <w:marRight w:val="0"/>
      <w:marTop w:val="0"/>
      <w:marBottom w:val="0"/>
      <w:divBdr>
        <w:top w:val="none" w:sz="0" w:space="0" w:color="auto"/>
        <w:left w:val="none" w:sz="0" w:space="0" w:color="auto"/>
        <w:bottom w:val="none" w:sz="0" w:space="0" w:color="auto"/>
        <w:right w:val="none" w:sz="0" w:space="0" w:color="auto"/>
      </w:divBdr>
    </w:div>
    <w:div w:id="667712869">
      <w:bodyDiv w:val="1"/>
      <w:marLeft w:val="0"/>
      <w:marRight w:val="0"/>
      <w:marTop w:val="0"/>
      <w:marBottom w:val="0"/>
      <w:divBdr>
        <w:top w:val="none" w:sz="0" w:space="0" w:color="auto"/>
        <w:left w:val="none" w:sz="0" w:space="0" w:color="auto"/>
        <w:bottom w:val="none" w:sz="0" w:space="0" w:color="auto"/>
        <w:right w:val="none" w:sz="0" w:space="0" w:color="auto"/>
      </w:divBdr>
    </w:div>
    <w:div w:id="686055869">
      <w:bodyDiv w:val="1"/>
      <w:marLeft w:val="0"/>
      <w:marRight w:val="0"/>
      <w:marTop w:val="0"/>
      <w:marBottom w:val="0"/>
      <w:divBdr>
        <w:top w:val="none" w:sz="0" w:space="0" w:color="auto"/>
        <w:left w:val="none" w:sz="0" w:space="0" w:color="auto"/>
        <w:bottom w:val="none" w:sz="0" w:space="0" w:color="auto"/>
        <w:right w:val="none" w:sz="0" w:space="0" w:color="auto"/>
      </w:divBdr>
    </w:div>
    <w:div w:id="840900192">
      <w:bodyDiv w:val="1"/>
      <w:marLeft w:val="0"/>
      <w:marRight w:val="0"/>
      <w:marTop w:val="0"/>
      <w:marBottom w:val="0"/>
      <w:divBdr>
        <w:top w:val="none" w:sz="0" w:space="0" w:color="auto"/>
        <w:left w:val="none" w:sz="0" w:space="0" w:color="auto"/>
        <w:bottom w:val="none" w:sz="0" w:space="0" w:color="auto"/>
        <w:right w:val="none" w:sz="0" w:space="0" w:color="auto"/>
      </w:divBdr>
    </w:div>
    <w:div w:id="866869442">
      <w:bodyDiv w:val="1"/>
      <w:marLeft w:val="0"/>
      <w:marRight w:val="0"/>
      <w:marTop w:val="0"/>
      <w:marBottom w:val="0"/>
      <w:divBdr>
        <w:top w:val="none" w:sz="0" w:space="0" w:color="auto"/>
        <w:left w:val="none" w:sz="0" w:space="0" w:color="auto"/>
        <w:bottom w:val="none" w:sz="0" w:space="0" w:color="auto"/>
        <w:right w:val="none" w:sz="0" w:space="0" w:color="auto"/>
      </w:divBdr>
    </w:div>
    <w:div w:id="886138943">
      <w:bodyDiv w:val="1"/>
      <w:marLeft w:val="0"/>
      <w:marRight w:val="0"/>
      <w:marTop w:val="0"/>
      <w:marBottom w:val="0"/>
      <w:divBdr>
        <w:top w:val="none" w:sz="0" w:space="0" w:color="auto"/>
        <w:left w:val="none" w:sz="0" w:space="0" w:color="auto"/>
        <w:bottom w:val="none" w:sz="0" w:space="0" w:color="auto"/>
        <w:right w:val="none" w:sz="0" w:space="0" w:color="auto"/>
      </w:divBdr>
    </w:div>
    <w:div w:id="901401626">
      <w:bodyDiv w:val="1"/>
      <w:marLeft w:val="0"/>
      <w:marRight w:val="0"/>
      <w:marTop w:val="0"/>
      <w:marBottom w:val="0"/>
      <w:divBdr>
        <w:top w:val="none" w:sz="0" w:space="0" w:color="auto"/>
        <w:left w:val="none" w:sz="0" w:space="0" w:color="auto"/>
        <w:bottom w:val="none" w:sz="0" w:space="0" w:color="auto"/>
        <w:right w:val="none" w:sz="0" w:space="0" w:color="auto"/>
      </w:divBdr>
    </w:div>
    <w:div w:id="973558933">
      <w:bodyDiv w:val="1"/>
      <w:marLeft w:val="0"/>
      <w:marRight w:val="0"/>
      <w:marTop w:val="0"/>
      <w:marBottom w:val="0"/>
      <w:divBdr>
        <w:top w:val="none" w:sz="0" w:space="0" w:color="auto"/>
        <w:left w:val="none" w:sz="0" w:space="0" w:color="auto"/>
        <w:bottom w:val="none" w:sz="0" w:space="0" w:color="auto"/>
        <w:right w:val="none" w:sz="0" w:space="0" w:color="auto"/>
      </w:divBdr>
    </w:div>
    <w:div w:id="1002469703">
      <w:bodyDiv w:val="1"/>
      <w:marLeft w:val="0"/>
      <w:marRight w:val="0"/>
      <w:marTop w:val="0"/>
      <w:marBottom w:val="0"/>
      <w:divBdr>
        <w:top w:val="none" w:sz="0" w:space="0" w:color="auto"/>
        <w:left w:val="none" w:sz="0" w:space="0" w:color="auto"/>
        <w:bottom w:val="none" w:sz="0" w:space="0" w:color="auto"/>
        <w:right w:val="none" w:sz="0" w:space="0" w:color="auto"/>
      </w:divBdr>
    </w:div>
    <w:div w:id="1057751378">
      <w:bodyDiv w:val="1"/>
      <w:marLeft w:val="0"/>
      <w:marRight w:val="0"/>
      <w:marTop w:val="0"/>
      <w:marBottom w:val="0"/>
      <w:divBdr>
        <w:top w:val="none" w:sz="0" w:space="0" w:color="auto"/>
        <w:left w:val="none" w:sz="0" w:space="0" w:color="auto"/>
        <w:bottom w:val="none" w:sz="0" w:space="0" w:color="auto"/>
        <w:right w:val="none" w:sz="0" w:space="0" w:color="auto"/>
      </w:divBdr>
    </w:div>
    <w:div w:id="1069378520">
      <w:bodyDiv w:val="1"/>
      <w:marLeft w:val="0"/>
      <w:marRight w:val="0"/>
      <w:marTop w:val="0"/>
      <w:marBottom w:val="0"/>
      <w:divBdr>
        <w:top w:val="none" w:sz="0" w:space="0" w:color="auto"/>
        <w:left w:val="none" w:sz="0" w:space="0" w:color="auto"/>
        <w:bottom w:val="none" w:sz="0" w:space="0" w:color="auto"/>
        <w:right w:val="none" w:sz="0" w:space="0" w:color="auto"/>
      </w:divBdr>
    </w:div>
    <w:div w:id="1071079406">
      <w:bodyDiv w:val="1"/>
      <w:marLeft w:val="0"/>
      <w:marRight w:val="0"/>
      <w:marTop w:val="0"/>
      <w:marBottom w:val="0"/>
      <w:divBdr>
        <w:top w:val="none" w:sz="0" w:space="0" w:color="auto"/>
        <w:left w:val="none" w:sz="0" w:space="0" w:color="auto"/>
        <w:bottom w:val="none" w:sz="0" w:space="0" w:color="auto"/>
        <w:right w:val="none" w:sz="0" w:space="0" w:color="auto"/>
      </w:divBdr>
    </w:div>
    <w:div w:id="1100637812">
      <w:bodyDiv w:val="1"/>
      <w:marLeft w:val="0"/>
      <w:marRight w:val="0"/>
      <w:marTop w:val="0"/>
      <w:marBottom w:val="0"/>
      <w:divBdr>
        <w:top w:val="none" w:sz="0" w:space="0" w:color="auto"/>
        <w:left w:val="none" w:sz="0" w:space="0" w:color="auto"/>
        <w:bottom w:val="none" w:sz="0" w:space="0" w:color="auto"/>
        <w:right w:val="none" w:sz="0" w:space="0" w:color="auto"/>
      </w:divBdr>
    </w:div>
    <w:div w:id="1139033759">
      <w:bodyDiv w:val="1"/>
      <w:marLeft w:val="0"/>
      <w:marRight w:val="0"/>
      <w:marTop w:val="0"/>
      <w:marBottom w:val="0"/>
      <w:divBdr>
        <w:top w:val="none" w:sz="0" w:space="0" w:color="auto"/>
        <w:left w:val="none" w:sz="0" w:space="0" w:color="auto"/>
        <w:bottom w:val="none" w:sz="0" w:space="0" w:color="auto"/>
        <w:right w:val="none" w:sz="0" w:space="0" w:color="auto"/>
      </w:divBdr>
    </w:div>
    <w:div w:id="1153449248">
      <w:bodyDiv w:val="1"/>
      <w:marLeft w:val="0"/>
      <w:marRight w:val="0"/>
      <w:marTop w:val="0"/>
      <w:marBottom w:val="0"/>
      <w:divBdr>
        <w:top w:val="none" w:sz="0" w:space="0" w:color="auto"/>
        <w:left w:val="none" w:sz="0" w:space="0" w:color="auto"/>
        <w:bottom w:val="none" w:sz="0" w:space="0" w:color="auto"/>
        <w:right w:val="none" w:sz="0" w:space="0" w:color="auto"/>
      </w:divBdr>
    </w:div>
    <w:div w:id="1181627691">
      <w:bodyDiv w:val="1"/>
      <w:marLeft w:val="0"/>
      <w:marRight w:val="0"/>
      <w:marTop w:val="0"/>
      <w:marBottom w:val="0"/>
      <w:divBdr>
        <w:top w:val="none" w:sz="0" w:space="0" w:color="auto"/>
        <w:left w:val="none" w:sz="0" w:space="0" w:color="auto"/>
        <w:bottom w:val="none" w:sz="0" w:space="0" w:color="auto"/>
        <w:right w:val="none" w:sz="0" w:space="0" w:color="auto"/>
      </w:divBdr>
    </w:div>
    <w:div w:id="1267276388">
      <w:bodyDiv w:val="1"/>
      <w:marLeft w:val="0"/>
      <w:marRight w:val="0"/>
      <w:marTop w:val="0"/>
      <w:marBottom w:val="0"/>
      <w:divBdr>
        <w:top w:val="none" w:sz="0" w:space="0" w:color="auto"/>
        <w:left w:val="none" w:sz="0" w:space="0" w:color="auto"/>
        <w:bottom w:val="none" w:sz="0" w:space="0" w:color="auto"/>
        <w:right w:val="none" w:sz="0" w:space="0" w:color="auto"/>
      </w:divBdr>
    </w:div>
    <w:div w:id="1453091993">
      <w:bodyDiv w:val="1"/>
      <w:marLeft w:val="0"/>
      <w:marRight w:val="0"/>
      <w:marTop w:val="0"/>
      <w:marBottom w:val="0"/>
      <w:divBdr>
        <w:top w:val="none" w:sz="0" w:space="0" w:color="auto"/>
        <w:left w:val="none" w:sz="0" w:space="0" w:color="auto"/>
        <w:bottom w:val="none" w:sz="0" w:space="0" w:color="auto"/>
        <w:right w:val="none" w:sz="0" w:space="0" w:color="auto"/>
      </w:divBdr>
    </w:div>
    <w:div w:id="1529836310">
      <w:bodyDiv w:val="1"/>
      <w:marLeft w:val="0"/>
      <w:marRight w:val="0"/>
      <w:marTop w:val="0"/>
      <w:marBottom w:val="0"/>
      <w:divBdr>
        <w:top w:val="none" w:sz="0" w:space="0" w:color="auto"/>
        <w:left w:val="none" w:sz="0" w:space="0" w:color="auto"/>
        <w:bottom w:val="none" w:sz="0" w:space="0" w:color="auto"/>
        <w:right w:val="none" w:sz="0" w:space="0" w:color="auto"/>
      </w:divBdr>
    </w:div>
    <w:div w:id="1531407817">
      <w:bodyDiv w:val="1"/>
      <w:marLeft w:val="0"/>
      <w:marRight w:val="0"/>
      <w:marTop w:val="0"/>
      <w:marBottom w:val="0"/>
      <w:divBdr>
        <w:top w:val="none" w:sz="0" w:space="0" w:color="auto"/>
        <w:left w:val="none" w:sz="0" w:space="0" w:color="auto"/>
        <w:bottom w:val="none" w:sz="0" w:space="0" w:color="auto"/>
        <w:right w:val="none" w:sz="0" w:space="0" w:color="auto"/>
      </w:divBdr>
    </w:div>
    <w:div w:id="1547835300">
      <w:bodyDiv w:val="1"/>
      <w:marLeft w:val="0"/>
      <w:marRight w:val="0"/>
      <w:marTop w:val="0"/>
      <w:marBottom w:val="0"/>
      <w:divBdr>
        <w:top w:val="none" w:sz="0" w:space="0" w:color="auto"/>
        <w:left w:val="none" w:sz="0" w:space="0" w:color="auto"/>
        <w:bottom w:val="none" w:sz="0" w:space="0" w:color="auto"/>
        <w:right w:val="none" w:sz="0" w:space="0" w:color="auto"/>
      </w:divBdr>
    </w:div>
    <w:div w:id="1575816158">
      <w:bodyDiv w:val="1"/>
      <w:marLeft w:val="0"/>
      <w:marRight w:val="0"/>
      <w:marTop w:val="0"/>
      <w:marBottom w:val="0"/>
      <w:divBdr>
        <w:top w:val="none" w:sz="0" w:space="0" w:color="auto"/>
        <w:left w:val="none" w:sz="0" w:space="0" w:color="auto"/>
        <w:bottom w:val="none" w:sz="0" w:space="0" w:color="auto"/>
        <w:right w:val="none" w:sz="0" w:space="0" w:color="auto"/>
      </w:divBdr>
    </w:div>
    <w:div w:id="1695307442">
      <w:bodyDiv w:val="1"/>
      <w:marLeft w:val="0"/>
      <w:marRight w:val="0"/>
      <w:marTop w:val="0"/>
      <w:marBottom w:val="0"/>
      <w:divBdr>
        <w:top w:val="none" w:sz="0" w:space="0" w:color="auto"/>
        <w:left w:val="none" w:sz="0" w:space="0" w:color="auto"/>
        <w:bottom w:val="none" w:sz="0" w:space="0" w:color="auto"/>
        <w:right w:val="none" w:sz="0" w:space="0" w:color="auto"/>
      </w:divBdr>
    </w:div>
    <w:div w:id="1717659685">
      <w:bodyDiv w:val="1"/>
      <w:marLeft w:val="0"/>
      <w:marRight w:val="0"/>
      <w:marTop w:val="0"/>
      <w:marBottom w:val="0"/>
      <w:divBdr>
        <w:top w:val="none" w:sz="0" w:space="0" w:color="auto"/>
        <w:left w:val="none" w:sz="0" w:space="0" w:color="auto"/>
        <w:bottom w:val="none" w:sz="0" w:space="0" w:color="auto"/>
        <w:right w:val="none" w:sz="0" w:space="0" w:color="auto"/>
      </w:divBdr>
    </w:div>
    <w:div w:id="1720401086">
      <w:bodyDiv w:val="1"/>
      <w:marLeft w:val="0"/>
      <w:marRight w:val="0"/>
      <w:marTop w:val="0"/>
      <w:marBottom w:val="0"/>
      <w:divBdr>
        <w:top w:val="none" w:sz="0" w:space="0" w:color="auto"/>
        <w:left w:val="none" w:sz="0" w:space="0" w:color="auto"/>
        <w:bottom w:val="none" w:sz="0" w:space="0" w:color="auto"/>
        <w:right w:val="none" w:sz="0" w:space="0" w:color="auto"/>
      </w:divBdr>
    </w:div>
    <w:div w:id="1750424472">
      <w:bodyDiv w:val="1"/>
      <w:marLeft w:val="0"/>
      <w:marRight w:val="0"/>
      <w:marTop w:val="0"/>
      <w:marBottom w:val="0"/>
      <w:divBdr>
        <w:top w:val="none" w:sz="0" w:space="0" w:color="auto"/>
        <w:left w:val="none" w:sz="0" w:space="0" w:color="auto"/>
        <w:bottom w:val="none" w:sz="0" w:space="0" w:color="auto"/>
        <w:right w:val="none" w:sz="0" w:space="0" w:color="auto"/>
      </w:divBdr>
    </w:div>
    <w:div w:id="1795441343">
      <w:bodyDiv w:val="1"/>
      <w:marLeft w:val="0"/>
      <w:marRight w:val="0"/>
      <w:marTop w:val="0"/>
      <w:marBottom w:val="0"/>
      <w:divBdr>
        <w:top w:val="none" w:sz="0" w:space="0" w:color="auto"/>
        <w:left w:val="none" w:sz="0" w:space="0" w:color="auto"/>
        <w:bottom w:val="none" w:sz="0" w:space="0" w:color="auto"/>
        <w:right w:val="none" w:sz="0" w:space="0" w:color="auto"/>
      </w:divBdr>
    </w:div>
    <w:div w:id="1796295173">
      <w:bodyDiv w:val="1"/>
      <w:marLeft w:val="0"/>
      <w:marRight w:val="0"/>
      <w:marTop w:val="0"/>
      <w:marBottom w:val="0"/>
      <w:divBdr>
        <w:top w:val="none" w:sz="0" w:space="0" w:color="auto"/>
        <w:left w:val="none" w:sz="0" w:space="0" w:color="auto"/>
        <w:bottom w:val="none" w:sz="0" w:space="0" w:color="auto"/>
        <w:right w:val="none" w:sz="0" w:space="0" w:color="auto"/>
      </w:divBdr>
    </w:div>
    <w:div w:id="1797986565">
      <w:bodyDiv w:val="1"/>
      <w:marLeft w:val="0"/>
      <w:marRight w:val="0"/>
      <w:marTop w:val="0"/>
      <w:marBottom w:val="0"/>
      <w:divBdr>
        <w:top w:val="none" w:sz="0" w:space="0" w:color="auto"/>
        <w:left w:val="none" w:sz="0" w:space="0" w:color="auto"/>
        <w:bottom w:val="none" w:sz="0" w:space="0" w:color="auto"/>
        <w:right w:val="none" w:sz="0" w:space="0" w:color="auto"/>
      </w:divBdr>
    </w:div>
    <w:div w:id="1888953274">
      <w:bodyDiv w:val="1"/>
      <w:marLeft w:val="0"/>
      <w:marRight w:val="0"/>
      <w:marTop w:val="0"/>
      <w:marBottom w:val="0"/>
      <w:divBdr>
        <w:top w:val="none" w:sz="0" w:space="0" w:color="auto"/>
        <w:left w:val="none" w:sz="0" w:space="0" w:color="auto"/>
        <w:bottom w:val="none" w:sz="0" w:space="0" w:color="auto"/>
        <w:right w:val="none" w:sz="0" w:space="0" w:color="auto"/>
      </w:divBdr>
    </w:div>
    <w:div w:id="1939871395">
      <w:bodyDiv w:val="1"/>
      <w:marLeft w:val="0"/>
      <w:marRight w:val="0"/>
      <w:marTop w:val="0"/>
      <w:marBottom w:val="0"/>
      <w:divBdr>
        <w:top w:val="none" w:sz="0" w:space="0" w:color="auto"/>
        <w:left w:val="none" w:sz="0" w:space="0" w:color="auto"/>
        <w:bottom w:val="none" w:sz="0" w:space="0" w:color="auto"/>
        <w:right w:val="none" w:sz="0" w:space="0" w:color="auto"/>
      </w:divBdr>
    </w:div>
    <w:div w:id="1970815712">
      <w:bodyDiv w:val="1"/>
      <w:marLeft w:val="0"/>
      <w:marRight w:val="0"/>
      <w:marTop w:val="0"/>
      <w:marBottom w:val="0"/>
      <w:divBdr>
        <w:top w:val="none" w:sz="0" w:space="0" w:color="auto"/>
        <w:left w:val="none" w:sz="0" w:space="0" w:color="auto"/>
        <w:bottom w:val="none" w:sz="0" w:space="0" w:color="auto"/>
        <w:right w:val="none" w:sz="0" w:space="0" w:color="auto"/>
      </w:divBdr>
    </w:div>
    <w:div w:id="2008173108">
      <w:bodyDiv w:val="1"/>
      <w:marLeft w:val="0"/>
      <w:marRight w:val="0"/>
      <w:marTop w:val="0"/>
      <w:marBottom w:val="0"/>
      <w:divBdr>
        <w:top w:val="none" w:sz="0" w:space="0" w:color="auto"/>
        <w:left w:val="none" w:sz="0" w:space="0" w:color="auto"/>
        <w:bottom w:val="none" w:sz="0" w:space="0" w:color="auto"/>
        <w:right w:val="none" w:sz="0" w:space="0" w:color="auto"/>
      </w:divBdr>
    </w:div>
    <w:div w:id="2018801870">
      <w:bodyDiv w:val="1"/>
      <w:marLeft w:val="0"/>
      <w:marRight w:val="0"/>
      <w:marTop w:val="0"/>
      <w:marBottom w:val="0"/>
      <w:divBdr>
        <w:top w:val="none" w:sz="0" w:space="0" w:color="auto"/>
        <w:left w:val="none" w:sz="0" w:space="0" w:color="auto"/>
        <w:bottom w:val="none" w:sz="0" w:space="0" w:color="auto"/>
        <w:right w:val="none" w:sz="0" w:space="0" w:color="auto"/>
      </w:divBdr>
    </w:div>
    <w:div w:id="20236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1277</Words>
  <Characters>8803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2022094142_x000d_
SPC opdat. pkt. 2., 4.2, 4.4, 4.8, 6.1, 6.5</dc:description>
  <cp:lastModifiedBy>Marianne Ott Jensen</cp:lastModifiedBy>
  <cp:revision>4</cp:revision>
  <cp:lastPrinted>2012-08-22T08:53:00Z</cp:lastPrinted>
  <dcterms:created xsi:type="dcterms:W3CDTF">2023-11-02T09:43:00Z</dcterms:created>
  <dcterms:modified xsi:type="dcterms:W3CDTF">2023-11-15T14:03:00Z</dcterms:modified>
</cp:coreProperties>
</file>