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4485F" w14:textId="77777777" w:rsidR="009260DE" w:rsidRPr="00E74A4E" w:rsidRDefault="0021526C" w:rsidP="009260DE">
      <w:pPr>
        <w:rPr>
          <w:sz w:val="24"/>
          <w:szCs w:val="24"/>
        </w:rPr>
      </w:pPr>
      <w:bookmarkStart w:id="0" w:name="_GoBack"/>
      <w:bookmarkEnd w:id="0"/>
      <w:r w:rsidRPr="00E74A4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410ED4B" wp14:editId="186C00C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74A4E">
        <w:rPr>
          <w:sz w:val="24"/>
          <w:szCs w:val="24"/>
        </w:rPr>
        <w:br w:type="textWrapping" w:clear="all"/>
      </w:r>
    </w:p>
    <w:p w14:paraId="5CD25305" w14:textId="03B22B76" w:rsidR="009260DE" w:rsidRPr="00E74A4E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74A4E">
        <w:rPr>
          <w:b w:val="0"/>
          <w:szCs w:val="24"/>
          <w:lang w:eastAsia="en-US"/>
        </w:rPr>
        <w:tab/>
      </w:r>
      <w:r w:rsidR="00ED295B">
        <w:rPr>
          <w:szCs w:val="24"/>
        </w:rPr>
        <w:t>14</w:t>
      </w:r>
      <w:r w:rsidR="00A374B0">
        <w:rPr>
          <w:szCs w:val="24"/>
        </w:rPr>
        <w:t xml:space="preserve">. </w:t>
      </w:r>
      <w:r w:rsidR="00ED295B">
        <w:rPr>
          <w:szCs w:val="24"/>
        </w:rPr>
        <w:t>oktober</w:t>
      </w:r>
      <w:r w:rsidR="00A374B0">
        <w:rPr>
          <w:szCs w:val="24"/>
        </w:rPr>
        <w:t xml:space="preserve"> 202</w:t>
      </w:r>
      <w:r w:rsidR="00ED295B">
        <w:rPr>
          <w:szCs w:val="24"/>
        </w:rPr>
        <w:t>4</w:t>
      </w:r>
    </w:p>
    <w:p w14:paraId="0BC7D4F7" w14:textId="77777777" w:rsidR="009260DE" w:rsidRPr="00E74A4E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D2B21CD" w14:textId="03CAC750" w:rsidR="008A7BE2" w:rsidRPr="00E74A4E" w:rsidRDefault="008A7BE2" w:rsidP="009260DE">
      <w:pPr>
        <w:pStyle w:val="Titel"/>
        <w:jc w:val="left"/>
        <w:rPr>
          <w:b w:val="0"/>
          <w:szCs w:val="24"/>
        </w:rPr>
      </w:pPr>
    </w:p>
    <w:p w14:paraId="50C8F126" w14:textId="77777777" w:rsidR="009260DE" w:rsidRPr="00E74A4E" w:rsidRDefault="009260DE" w:rsidP="009260DE">
      <w:pPr>
        <w:pStyle w:val="Titel"/>
        <w:jc w:val="left"/>
        <w:rPr>
          <w:b w:val="0"/>
          <w:szCs w:val="24"/>
        </w:rPr>
      </w:pPr>
    </w:p>
    <w:p w14:paraId="47D825D5" w14:textId="77777777" w:rsidR="009260DE" w:rsidRPr="00E74A4E" w:rsidRDefault="009260DE" w:rsidP="009260DE">
      <w:pPr>
        <w:jc w:val="center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PRODUKTRESUMÉ</w:t>
      </w:r>
    </w:p>
    <w:p w14:paraId="4A302CDA" w14:textId="77777777" w:rsidR="009260DE" w:rsidRPr="00E74A4E" w:rsidRDefault="009260DE" w:rsidP="009260DE">
      <w:pPr>
        <w:jc w:val="center"/>
        <w:rPr>
          <w:b/>
          <w:sz w:val="24"/>
          <w:szCs w:val="24"/>
        </w:rPr>
      </w:pPr>
    </w:p>
    <w:p w14:paraId="3535842F" w14:textId="77777777" w:rsidR="009260DE" w:rsidRPr="00E74A4E" w:rsidRDefault="009260DE" w:rsidP="009260DE">
      <w:pPr>
        <w:jc w:val="center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for</w:t>
      </w:r>
    </w:p>
    <w:p w14:paraId="611CC282" w14:textId="77777777" w:rsidR="000B058C" w:rsidRPr="00E74A4E" w:rsidRDefault="000B058C" w:rsidP="009260DE">
      <w:pPr>
        <w:jc w:val="center"/>
        <w:rPr>
          <w:b/>
          <w:sz w:val="24"/>
          <w:szCs w:val="24"/>
        </w:rPr>
      </w:pPr>
    </w:p>
    <w:p w14:paraId="275EE15A" w14:textId="7B6E605E" w:rsidR="009260DE" w:rsidRPr="00E74A4E" w:rsidRDefault="00A374B0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Ophthajod</w:t>
      </w:r>
      <w:proofErr w:type="spellEnd"/>
      <w:r w:rsidR="004C5A02" w:rsidRPr="00E74A4E">
        <w:rPr>
          <w:b/>
          <w:sz w:val="24"/>
          <w:szCs w:val="24"/>
        </w:rPr>
        <w:t>, øjendråber, opløsning</w:t>
      </w:r>
    </w:p>
    <w:p w14:paraId="7DF7F14A" w14:textId="77777777" w:rsidR="009260DE" w:rsidRPr="00E74A4E" w:rsidRDefault="009260DE" w:rsidP="009260DE">
      <w:pPr>
        <w:jc w:val="both"/>
        <w:rPr>
          <w:sz w:val="24"/>
          <w:szCs w:val="24"/>
        </w:rPr>
      </w:pPr>
    </w:p>
    <w:p w14:paraId="2BF09B8B" w14:textId="77777777" w:rsidR="009260DE" w:rsidRPr="00E74A4E" w:rsidRDefault="009260DE" w:rsidP="009260DE">
      <w:pPr>
        <w:jc w:val="both"/>
        <w:rPr>
          <w:sz w:val="24"/>
          <w:szCs w:val="24"/>
        </w:rPr>
      </w:pPr>
    </w:p>
    <w:p w14:paraId="488C007B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0.</w:t>
      </w:r>
      <w:r w:rsidRPr="00E74A4E">
        <w:rPr>
          <w:b/>
          <w:sz w:val="24"/>
          <w:szCs w:val="24"/>
        </w:rPr>
        <w:tab/>
        <w:t>D.SP.NR.</w:t>
      </w:r>
    </w:p>
    <w:p w14:paraId="3DFB587C" w14:textId="1DD29718" w:rsidR="009260DE" w:rsidRPr="00E74A4E" w:rsidRDefault="000B74F1" w:rsidP="009260DE">
      <w:pPr>
        <w:tabs>
          <w:tab w:val="left" w:pos="851"/>
        </w:tabs>
        <w:ind w:left="851"/>
        <w:rPr>
          <w:sz w:val="24"/>
          <w:szCs w:val="24"/>
        </w:rPr>
      </w:pPr>
      <w:r w:rsidRPr="00E74A4E">
        <w:rPr>
          <w:sz w:val="24"/>
          <w:szCs w:val="24"/>
        </w:rPr>
        <w:t>32401</w:t>
      </w:r>
    </w:p>
    <w:p w14:paraId="6E7E52CD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3B86CB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1.</w:t>
      </w:r>
      <w:r w:rsidRPr="00E74A4E">
        <w:rPr>
          <w:b/>
          <w:sz w:val="24"/>
          <w:szCs w:val="24"/>
        </w:rPr>
        <w:tab/>
        <w:t>LÆGEMIDLETS NAVN</w:t>
      </w:r>
    </w:p>
    <w:p w14:paraId="29AF118F" w14:textId="7FBEAC70" w:rsidR="009260DE" w:rsidRPr="00E74A4E" w:rsidRDefault="00A374B0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Ophthajod</w:t>
      </w:r>
      <w:proofErr w:type="spellEnd"/>
    </w:p>
    <w:p w14:paraId="3C415F82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F9DFC9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2.</w:t>
      </w:r>
      <w:r w:rsidRPr="00E74A4E">
        <w:rPr>
          <w:b/>
          <w:sz w:val="24"/>
          <w:szCs w:val="24"/>
        </w:rPr>
        <w:tab/>
        <w:t>KVALITATIV OG KVANTITATIV SAMMENSÆTNING</w:t>
      </w:r>
    </w:p>
    <w:p w14:paraId="0E5D3107" w14:textId="77777777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Hver dråbebeholder indeholder 200 mg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 xml:space="preserve"> i 4,0 ml opløsning. En milliliter af opløsningen indeholder 50 mg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>.</w:t>
      </w:r>
    </w:p>
    <w:p w14:paraId="282E8F6B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1D40C65A" w14:textId="77777777" w:rsidR="005C5437" w:rsidRPr="00E74A4E" w:rsidRDefault="005C5437" w:rsidP="00793AB7">
      <w:pPr>
        <w:ind w:left="851"/>
        <w:rPr>
          <w:sz w:val="24"/>
          <w:szCs w:val="24"/>
          <w:u w:val="single"/>
        </w:rPr>
      </w:pPr>
      <w:r w:rsidRPr="00E74A4E">
        <w:rPr>
          <w:sz w:val="24"/>
          <w:szCs w:val="24"/>
          <w:u w:val="single"/>
          <w:lang w:bidi="da-DK"/>
        </w:rPr>
        <w:t>Hjælpestof, som behandleren skal være opmærksom på</w:t>
      </w:r>
    </w:p>
    <w:p w14:paraId="5906334D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1 ml indeholder 1,5 mg </w:t>
      </w:r>
      <w:proofErr w:type="spellStart"/>
      <w:r w:rsidRPr="00E74A4E">
        <w:rPr>
          <w:sz w:val="24"/>
          <w:szCs w:val="24"/>
          <w:lang w:bidi="da-DK"/>
        </w:rPr>
        <w:t>dinatriumphosphatdodecahydrat</w:t>
      </w:r>
      <w:proofErr w:type="spellEnd"/>
      <w:r w:rsidRPr="00E74A4E">
        <w:rPr>
          <w:sz w:val="24"/>
          <w:szCs w:val="24"/>
          <w:lang w:bidi="da-DK"/>
        </w:rPr>
        <w:t xml:space="preserve">; således indeholder hver dråbebeholder på 4 ml 6 mg </w:t>
      </w:r>
      <w:proofErr w:type="spellStart"/>
      <w:r w:rsidRPr="00E74A4E">
        <w:rPr>
          <w:sz w:val="24"/>
          <w:szCs w:val="24"/>
          <w:lang w:bidi="da-DK"/>
        </w:rPr>
        <w:t>dinatriumphosphatdodecahydrat</w:t>
      </w:r>
      <w:proofErr w:type="spellEnd"/>
      <w:r w:rsidRPr="00E74A4E">
        <w:rPr>
          <w:sz w:val="24"/>
          <w:szCs w:val="24"/>
          <w:lang w:bidi="da-DK"/>
        </w:rPr>
        <w:t xml:space="preserve"> (se pkt. 4.8).</w:t>
      </w:r>
    </w:p>
    <w:p w14:paraId="5DEAEB2F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184D5E97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Alle hjælpestoffer er anført under pkt. 6.1.</w:t>
      </w:r>
    </w:p>
    <w:p w14:paraId="388759F6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9300D1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3.</w:t>
      </w:r>
      <w:r w:rsidRPr="00E74A4E">
        <w:rPr>
          <w:b/>
          <w:sz w:val="24"/>
          <w:szCs w:val="24"/>
        </w:rPr>
        <w:tab/>
        <w:t>LÆGEMIDDELFORM</w:t>
      </w:r>
    </w:p>
    <w:p w14:paraId="1332B6ED" w14:textId="631F582B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>Øjen</w:t>
      </w:r>
      <w:r w:rsidR="00793AB7" w:rsidRPr="00E74A4E">
        <w:rPr>
          <w:sz w:val="24"/>
          <w:szCs w:val="24"/>
          <w:lang w:bidi="da-DK"/>
        </w:rPr>
        <w:t>d</w:t>
      </w:r>
      <w:r w:rsidRPr="00E74A4E">
        <w:rPr>
          <w:sz w:val="24"/>
          <w:szCs w:val="24"/>
          <w:lang w:bidi="da-DK"/>
        </w:rPr>
        <w:t>råber, opløsning</w:t>
      </w:r>
    </w:p>
    <w:p w14:paraId="1BA05CEB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Klar, rødbrun opløsning.</w:t>
      </w:r>
    </w:p>
    <w:p w14:paraId="5708641B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F541D0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EAB8E2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</w:t>
      </w:r>
      <w:r w:rsidRPr="00E74A4E">
        <w:rPr>
          <w:b/>
          <w:sz w:val="24"/>
          <w:szCs w:val="24"/>
        </w:rPr>
        <w:tab/>
        <w:t>KLINISKE OPLYSNINGER</w:t>
      </w:r>
    </w:p>
    <w:p w14:paraId="45C3745E" w14:textId="77777777" w:rsidR="009260DE" w:rsidRPr="00E74A4E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65411D0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74A4E">
        <w:rPr>
          <w:b/>
          <w:sz w:val="24"/>
          <w:szCs w:val="24"/>
        </w:rPr>
        <w:t>4.1</w:t>
      </w:r>
      <w:r w:rsidRPr="00E74A4E">
        <w:rPr>
          <w:b/>
          <w:sz w:val="24"/>
          <w:szCs w:val="24"/>
        </w:rPr>
        <w:tab/>
        <w:t>Terapeutiske indikationer</w:t>
      </w:r>
    </w:p>
    <w:p w14:paraId="2D6C42DC" w14:textId="77777777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Forberedelse af det kirurgiske område (øjenlåg, vipper og kinder) og skylning af øjets overflade (hornhinde, bindehinde og </w:t>
      </w:r>
      <w:proofErr w:type="spellStart"/>
      <w:r w:rsidRPr="00E74A4E">
        <w:rPr>
          <w:sz w:val="24"/>
          <w:szCs w:val="24"/>
          <w:lang w:bidi="da-DK"/>
        </w:rPr>
        <w:t>fornix</w:t>
      </w:r>
      <w:proofErr w:type="spellEnd"/>
      <w:r w:rsidRPr="00E74A4E">
        <w:rPr>
          <w:sz w:val="24"/>
          <w:szCs w:val="24"/>
          <w:lang w:bidi="da-DK"/>
        </w:rPr>
        <w:t xml:space="preserve"> </w:t>
      </w:r>
      <w:proofErr w:type="spellStart"/>
      <w:r w:rsidRPr="00E74A4E">
        <w:rPr>
          <w:sz w:val="24"/>
          <w:szCs w:val="24"/>
          <w:lang w:bidi="da-DK"/>
        </w:rPr>
        <w:t>palpebralis</w:t>
      </w:r>
      <w:proofErr w:type="spellEnd"/>
      <w:r w:rsidRPr="00E74A4E">
        <w:rPr>
          <w:sz w:val="24"/>
          <w:szCs w:val="24"/>
          <w:lang w:bidi="da-DK"/>
        </w:rPr>
        <w:t>).</w:t>
      </w:r>
    </w:p>
    <w:p w14:paraId="2D6308C4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541188" w14:textId="37B41EED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4.2</w:t>
      </w:r>
      <w:r w:rsidRPr="00E74A4E">
        <w:rPr>
          <w:b/>
          <w:sz w:val="24"/>
          <w:szCs w:val="24"/>
        </w:rPr>
        <w:tab/>
        <w:t xml:space="preserve">Dosering og </w:t>
      </w:r>
      <w:r w:rsidR="00ED295B">
        <w:rPr>
          <w:b/>
          <w:sz w:val="24"/>
          <w:szCs w:val="24"/>
        </w:rPr>
        <w:t>administration</w:t>
      </w:r>
    </w:p>
    <w:p w14:paraId="3DE2C75F" w14:textId="77777777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>Gennemvæd den sterile vattering med opløsningen, som er indeholdt i dråbebeholderen, og begynd at forberede øjenvipper og øjenlågskanter.</w:t>
      </w:r>
    </w:p>
    <w:p w14:paraId="40076074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Gentag for øjenlåg, kinder og pande med en cirkulær bevægelse, indtil hele det kirurgiske område er renset. Gentag tre gange.</w:t>
      </w:r>
    </w:p>
    <w:p w14:paraId="760C0CEB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Anbring </w:t>
      </w:r>
      <w:proofErr w:type="spellStart"/>
      <w:r w:rsidRPr="00E74A4E">
        <w:rPr>
          <w:sz w:val="24"/>
          <w:szCs w:val="24"/>
          <w:lang w:bidi="da-DK"/>
        </w:rPr>
        <w:t>blefarostaten</w:t>
      </w:r>
      <w:proofErr w:type="spellEnd"/>
      <w:r w:rsidRPr="00E74A4E">
        <w:rPr>
          <w:sz w:val="24"/>
          <w:szCs w:val="24"/>
          <w:lang w:bidi="da-DK"/>
        </w:rPr>
        <w:t xml:space="preserve"> (øjenspærren), og skyl hornhinden, bindehinden og </w:t>
      </w:r>
      <w:proofErr w:type="spellStart"/>
      <w:r w:rsidRPr="00E74A4E">
        <w:rPr>
          <w:sz w:val="24"/>
          <w:szCs w:val="24"/>
          <w:lang w:bidi="da-DK"/>
        </w:rPr>
        <w:t>fornix</w:t>
      </w:r>
      <w:proofErr w:type="spellEnd"/>
      <w:r w:rsidRPr="00E74A4E">
        <w:rPr>
          <w:sz w:val="24"/>
          <w:szCs w:val="24"/>
          <w:lang w:bidi="da-DK"/>
        </w:rPr>
        <w:t xml:space="preserve"> </w:t>
      </w:r>
      <w:proofErr w:type="spellStart"/>
      <w:r w:rsidRPr="00E74A4E">
        <w:rPr>
          <w:sz w:val="24"/>
          <w:szCs w:val="24"/>
          <w:lang w:bidi="da-DK"/>
        </w:rPr>
        <w:t>palpebralis</w:t>
      </w:r>
      <w:proofErr w:type="spellEnd"/>
      <w:r w:rsidRPr="00E74A4E">
        <w:rPr>
          <w:sz w:val="24"/>
          <w:szCs w:val="24"/>
          <w:lang w:bidi="da-DK"/>
        </w:rPr>
        <w:t xml:space="preserve"> med produktet. Vent i tre minutter, og fjern derefter </w:t>
      </w: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 xml:space="preserve"> fra øjets </w:t>
      </w:r>
      <w:r w:rsidRPr="00E74A4E">
        <w:rPr>
          <w:sz w:val="24"/>
          <w:szCs w:val="24"/>
          <w:lang w:bidi="da-DK"/>
        </w:rPr>
        <w:lastRenderedPageBreak/>
        <w:t xml:space="preserve">overflade ved at skylle hornhinden, bindehinden og </w:t>
      </w:r>
      <w:proofErr w:type="spellStart"/>
      <w:r w:rsidRPr="00E74A4E">
        <w:rPr>
          <w:sz w:val="24"/>
          <w:szCs w:val="24"/>
          <w:lang w:bidi="da-DK"/>
        </w:rPr>
        <w:t>fornix</w:t>
      </w:r>
      <w:proofErr w:type="spellEnd"/>
      <w:r w:rsidRPr="00E74A4E">
        <w:rPr>
          <w:sz w:val="24"/>
          <w:szCs w:val="24"/>
          <w:lang w:bidi="da-DK"/>
        </w:rPr>
        <w:t xml:space="preserve"> </w:t>
      </w:r>
      <w:proofErr w:type="spellStart"/>
      <w:r w:rsidRPr="00E74A4E">
        <w:rPr>
          <w:sz w:val="24"/>
          <w:szCs w:val="24"/>
          <w:lang w:bidi="da-DK"/>
        </w:rPr>
        <w:t>palpebralis</w:t>
      </w:r>
      <w:proofErr w:type="spellEnd"/>
      <w:r w:rsidRPr="00E74A4E">
        <w:rPr>
          <w:sz w:val="24"/>
          <w:szCs w:val="24"/>
          <w:lang w:bidi="da-DK"/>
        </w:rPr>
        <w:t xml:space="preserve"> med steril fysiologisk saltvandsopløsning.</w:t>
      </w:r>
    </w:p>
    <w:p w14:paraId="475877DA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27FAB000" w14:textId="77777777" w:rsidR="005C5437" w:rsidRPr="00E74A4E" w:rsidRDefault="005C5437" w:rsidP="00793AB7">
      <w:pPr>
        <w:ind w:left="851"/>
        <w:rPr>
          <w:sz w:val="24"/>
          <w:szCs w:val="24"/>
          <w:u w:val="single"/>
        </w:rPr>
      </w:pPr>
      <w:r w:rsidRPr="00E74A4E">
        <w:rPr>
          <w:sz w:val="24"/>
          <w:szCs w:val="24"/>
          <w:u w:val="single"/>
          <w:lang w:bidi="da-DK"/>
        </w:rPr>
        <w:t>Ældre</w:t>
      </w:r>
    </w:p>
    <w:p w14:paraId="573EC69E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Ingen dosisjustering påkrævet.</w:t>
      </w:r>
    </w:p>
    <w:p w14:paraId="1E567457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75B9F862" w14:textId="77777777" w:rsidR="005C5437" w:rsidRPr="00E74A4E" w:rsidRDefault="005C5437" w:rsidP="00793AB7">
      <w:pPr>
        <w:ind w:left="851"/>
        <w:rPr>
          <w:sz w:val="24"/>
          <w:szCs w:val="24"/>
          <w:u w:val="single"/>
        </w:rPr>
      </w:pPr>
      <w:r w:rsidRPr="00E74A4E">
        <w:rPr>
          <w:sz w:val="24"/>
          <w:szCs w:val="24"/>
          <w:u w:val="single"/>
          <w:lang w:bidi="da-DK"/>
        </w:rPr>
        <w:t>Nedsat nyrefunktion</w:t>
      </w:r>
    </w:p>
    <w:p w14:paraId="7A7AAC14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Udvis forsigtighed, når der er mulighed for systemisk optagelse af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>, se pkt. 4.4.</w:t>
      </w:r>
    </w:p>
    <w:p w14:paraId="4A8CFE25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FE9EFF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4.3</w:t>
      </w:r>
      <w:r w:rsidRPr="00E74A4E">
        <w:rPr>
          <w:b/>
          <w:sz w:val="24"/>
          <w:szCs w:val="24"/>
        </w:rPr>
        <w:tab/>
        <w:t>Kontraindikationer</w:t>
      </w:r>
    </w:p>
    <w:p w14:paraId="20462689" w14:textId="77777777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Overfølsomhed over for det aktive stof eller over for et eller flere af hjælpestofferne anført i pkt. 6.1. </w:t>
      </w:r>
    </w:p>
    <w:p w14:paraId="3E411396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Produktet er kontraindiceret til spædbørn op til tre måneder. (se pkt. 4.4).</w:t>
      </w:r>
    </w:p>
    <w:p w14:paraId="619935B6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Må ikke administreres til øjenskylning (udskylning af partikler eller kemikalier) og </w:t>
      </w:r>
      <w:proofErr w:type="spellStart"/>
      <w:r w:rsidRPr="00E74A4E">
        <w:rPr>
          <w:sz w:val="24"/>
          <w:szCs w:val="24"/>
          <w:lang w:bidi="da-DK"/>
        </w:rPr>
        <w:t>intraokulær</w:t>
      </w:r>
      <w:proofErr w:type="spellEnd"/>
      <w:r w:rsidRPr="00E74A4E">
        <w:rPr>
          <w:sz w:val="24"/>
          <w:szCs w:val="24"/>
          <w:lang w:bidi="da-DK"/>
        </w:rPr>
        <w:t xml:space="preserve"> eller </w:t>
      </w:r>
      <w:proofErr w:type="spellStart"/>
      <w:r w:rsidRPr="00E74A4E">
        <w:rPr>
          <w:sz w:val="24"/>
          <w:szCs w:val="24"/>
          <w:lang w:bidi="da-DK"/>
        </w:rPr>
        <w:t>periokulær</w:t>
      </w:r>
      <w:proofErr w:type="spellEnd"/>
      <w:r w:rsidRPr="00E74A4E">
        <w:rPr>
          <w:sz w:val="24"/>
          <w:szCs w:val="24"/>
          <w:lang w:bidi="da-DK"/>
        </w:rPr>
        <w:t xml:space="preserve"> injektion.</w:t>
      </w:r>
    </w:p>
    <w:p w14:paraId="4DAE6740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Må ikke administreres samtidig med øjendråber, der indeholder konserveringsmidler med kviksølv.</w:t>
      </w:r>
    </w:p>
    <w:p w14:paraId="74D95A55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6B72C1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4.4</w:t>
      </w:r>
      <w:r w:rsidRPr="00E74A4E">
        <w:rPr>
          <w:b/>
          <w:sz w:val="24"/>
          <w:szCs w:val="24"/>
        </w:rPr>
        <w:tab/>
        <w:t>Særlige advarsler og forsigtighedsregler vedrørende brugen</w:t>
      </w:r>
    </w:p>
    <w:p w14:paraId="03271137" w14:textId="77777777" w:rsidR="005C5437" w:rsidRPr="00E74A4E" w:rsidRDefault="005C5437" w:rsidP="00793AB7">
      <w:pPr>
        <w:ind w:left="851"/>
        <w:rPr>
          <w:sz w:val="24"/>
          <w:szCs w:val="24"/>
          <w:lang w:eastAsia="it-IT" w:bidi="da-DK"/>
        </w:rPr>
      </w:pPr>
      <w:r w:rsidRPr="00E74A4E">
        <w:rPr>
          <w:sz w:val="24"/>
          <w:szCs w:val="24"/>
          <w:lang w:bidi="da-DK"/>
        </w:rPr>
        <w:t xml:space="preserve">Kun til </w:t>
      </w:r>
      <w:proofErr w:type="spellStart"/>
      <w:r w:rsidRPr="00E74A4E">
        <w:rPr>
          <w:sz w:val="24"/>
          <w:szCs w:val="24"/>
          <w:lang w:bidi="da-DK"/>
        </w:rPr>
        <w:t>okulær</w:t>
      </w:r>
      <w:proofErr w:type="spellEnd"/>
      <w:r w:rsidRPr="00E74A4E">
        <w:rPr>
          <w:sz w:val="24"/>
          <w:szCs w:val="24"/>
          <w:lang w:bidi="da-DK"/>
        </w:rPr>
        <w:t xml:space="preserve"> og </w:t>
      </w:r>
      <w:proofErr w:type="spellStart"/>
      <w:r w:rsidRPr="00E74A4E">
        <w:rPr>
          <w:sz w:val="24"/>
          <w:szCs w:val="24"/>
          <w:lang w:bidi="da-DK"/>
        </w:rPr>
        <w:t>kutan</w:t>
      </w:r>
      <w:proofErr w:type="spellEnd"/>
      <w:r w:rsidRPr="00E74A4E">
        <w:rPr>
          <w:sz w:val="24"/>
          <w:szCs w:val="24"/>
          <w:lang w:bidi="da-DK"/>
        </w:rPr>
        <w:t xml:space="preserve"> anvendelse.</w:t>
      </w:r>
    </w:p>
    <w:p w14:paraId="0CCC2FD8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1054222D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Bruges med forsigtighed ved alle øjentilstande, der kan fremme den systemiske optagelse af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. Produktet må ikke bruges til spædbørn under 3 måneder på grund af den øgede risiko for </w:t>
      </w:r>
      <w:proofErr w:type="spellStart"/>
      <w:r w:rsidRPr="00E74A4E">
        <w:rPr>
          <w:sz w:val="24"/>
          <w:szCs w:val="24"/>
          <w:lang w:bidi="da-DK"/>
        </w:rPr>
        <w:t>iodoptagelse</w:t>
      </w:r>
      <w:proofErr w:type="spellEnd"/>
      <w:r w:rsidRPr="00E74A4E">
        <w:rPr>
          <w:sz w:val="24"/>
          <w:szCs w:val="24"/>
          <w:lang w:bidi="da-DK"/>
        </w:rPr>
        <w:t xml:space="preserve"> (se pkt. 4.3). Der skal udvises forsigtighed for at undgå apnø hos børn under 6 år, som gennemgår en øjenoperation med anvendelse af generel anæstesi.</w:t>
      </w:r>
    </w:p>
    <w:p w14:paraId="06AFE55E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24FF0740" w14:textId="77777777" w:rsidR="005C5437" w:rsidRPr="00E74A4E" w:rsidRDefault="005C5437" w:rsidP="00793AB7">
      <w:pPr>
        <w:ind w:left="851"/>
        <w:rPr>
          <w:sz w:val="24"/>
          <w:szCs w:val="24"/>
        </w:rPr>
      </w:pP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>-emballagen forbliver steril på den udvendige side, indtil brevene åbnes. Dråbebeholderen er ikke steril på den udvendige side, hvis det brev, den leveres i, er åben eller beskadiget.</w:t>
      </w:r>
    </w:p>
    <w:p w14:paraId="66C5F801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53C82713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Produktet bør bortskaffes efter brug, selv om det kun er delvist brugt.</w:t>
      </w:r>
    </w:p>
    <w:p w14:paraId="408FEADB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6C319D10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Bruges med forsigtighed til patienter med </w:t>
      </w:r>
      <w:proofErr w:type="spellStart"/>
      <w:r w:rsidRPr="00E74A4E">
        <w:rPr>
          <w:sz w:val="24"/>
          <w:szCs w:val="24"/>
          <w:lang w:bidi="da-DK"/>
        </w:rPr>
        <w:t>thyreoidealidelser</w:t>
      </w:r>
      <w:proofErr w:type="spellEnd"/>
      <w:r w:rsidRPr="00E74A4E">
        <w:rPr>
          <w:b/>
          <w:sz w:val="24"/>
          <w:szCs w:val="24"/>
          <w:lang w:bidi="da-DK"/>
        </w:rPr>
        <w:t xml:space="preserve"> </w:t>
      </w:r>
      <w:r w:rsidRPr="00E74A4E">
        <w:rPr>
          <w:sz w:val="24"/>
          <w:szCs w:val="24"/>
          <w:lang w:bidi="da-DK"/>
        </w:rPr>
        <w:t xml:space="preserve">på grund af risikoen for </w:t>
      </w:r>
      <w:proofErr w:type="spellStart"/>
      <w:r w:rsidRPr="00E74A4E">
        <w:rPr>
          <w:sz w:val="24"/>
          <w:szCs w:val="24"/>
          <w:lang w:bidi="da-DK"/>
        </w:rPr>
        <w:t>iobabsorption</w:t>
      </w:r>
      <w:proofErr w:type="spellEnd"/>
      <w:r w:rsidRPr="00E74A4E">
        <w:rPr>
          <w:sz w:val="24"/>
          <w:szCs w:val="24"/>
          <w:lang w:bidi="da-DK"/>
        </w:rPr>
        <w:t xml:space="preserve">. </w:t>
      </w:r>
      <w:proofErr w:type="spellStart"/>
      <w:r w:rsidRPr="00E74A4E">
        <w:rPr>
          <w:sz w:val="24"/>
          <w:szCs w:val="24"/>
          <w:lang w:bidi="da-DK"/>
        </w:rPr>
        <w:t>Iodabsorption</w:t>
      </w:r>
      <w:proofErr w:type="spellEnd"/>
      <w:r w:rsidRPr="00E74A4E">
        <w:rPr>
          <w:sz w:val="24"/>
          <w:szCs w:val="24"/>
          <w:lang w:bidi="da-DK"/>
        </w:rPr>
        <w:t xml:space="preserve"> kan påvirke skjoldbruskkirtlens funktion, hvilket kan forårsage </w:t>
      </w:r>
      <w:proofErr w:type="spellStart"/>
      <w:r w:rsidRPr="00E74A4E">
        <w:rPr>
          <w:sz w:val="24"/>
          <w:szCs w:val="24"/>
          <w:lang w:bidi="da-DK"/>
        </w:rPr>
        <w:t>hypothyroidisme</w:t>
      </w:r>
      <w:proofErr w:type="spellEnd"/>
      <w:r w:rsidRPr="00E74A4E">
        <w:rPr>
          <w:sz w:val="24"/>
          <w:szCs w:val="24"/>
          <w:lang w:bidi="da-DK"/>
        </w:rPr>
        <w:t xml:space="preserve">, i mere sjældne tilfælde </w:t>
      </w:r>
      <w:proofErr w:type="spellStart"/>
      <w:r w:rsidRPr="00E74A4E">
        <w:rPr>
          <w:sz w:val="24"/>
          <w:szCs w:val="24"/>
          <w:lang w:bidi="da-DK"/>
        </w:rPr>
        <w:t>hyperthyroidisme</w:t>
      </w:r>
      <w:proofErr w:type="spellEnd"/>
      <w:r w:rsidRPr="00E74A4E">
        <w:rPr>
          <w:sz w:val="24"/>
          <w:szCs w:val="24"/>
          <w:lang w:bidi="da-DK"/>
        </w:rPr>
        <w:t xml:space="preserve"> eller </w:t>
      </w:r>
      <w:proofErr w:type="spellStart"/>
      <w:r w:rsidRPr="00E74A4E">
        <w:rPr>
          <w:sz w:val="24"/>
          <w:szCs w:val="24"/>
          <w:lang w:bidi="da-DK"/>
        </w:rPr>
        <w:t>thyrotoksisk</w:t>
      </w:r>
      <w:proofErr w:type="spellEnd"/>
      <w:r w:rsidRPr="00E74A4E">
        <w:rPr>
          <w:sz w:val="24"/>
          <w:szCs w:val="24"/>
          <w:lang w:bidi="da-DK"/>
        </w:rPr>
        <w:t xml:space="preserve"> krise hos modtagelige patienter, f.eks. forbrændte patienter med beskadiget hud, spædbørn, patienter med latent </w:t>
      </w:r>
      <w:proofErr w:type="spellStart"/>
      <w:r w:rsidRPr="00E74A4E">
        <w:rPr>
          <w:sz w:val="24"/>
          <w:szCs w:val="24"/>
          <w:lang w:bidi="da-DK"/>
        </w:rPr>
        <w:t>hypothyroidisme</w:t>
      </w:r>
      <w:proofErr w:type="spellEnd"/>
      <w:r w:rsidRPr="00E74A4E">
        <w:rPr>
          <w:sz w:val="24"/>
          <w:szCs w:val="24"/>
          <w:lang w:bidi="da-DK"/>
        </w:rPr>
        <w:t xml:space="preserve">, patienter med et autonomt </w:t>
      </w:r>
      <w:proofErr w:type="spellStart"/>
      <w:r w:rsidRPr="00E74A4E">
        <w:rPr>
          <w:sz w:val="24"/>
          <w:szCs w:val="24"/>
          <w:lang w:bidi="da-DK"/>
        </w:rPr>
        <w:t>adenom</w:t>
      </w:r>
      <w:proofErr w:type="spellEnd"/>
      <w:r w:rsidRPr="00E74A4E">
        <w:rPr>
          <w:sz w:val="24"/>
          <w:szCs w:val="24"/>
          <w:lang w:bidi="da-DK"/>
        </w:rPr>
        <w:t xml:space="preserve">, lokaliseret diffus autonomi af skjoldbruskkirtlen, </w:t>
      </w:r>
      <w:proofErr w:type="spellStart"/>
      <w:r w:rsidRPr="00E74A4E">
        <w:rPr>
          <w:sz w:val="24"/>
          <w:szCs w:val="24"/>
          <w:lang w:bidi="da-DK"/>
        </w:rPr>
        <w:t>nodulær</w:t>
      </w:r>
      <w:proofErr w:type="spellEnd"/>
      <w:r w:rsidRPr="00E74A4E">
        <w:rPr>
          <w:sz w:val="24"/>
          <w:szCs w:val="24"/>
          <w:lang w:bidi="da-DK"/>
        </w:rPr>
        <w:t xml:space="preserve"> struma, latent </w:t>
      </w:r>
      <w:proofErr w:type="spellStart"/>
      <w:r w:rsidRPr="00E74A4E">
        <w:rPr>
          <w:sz w:val="24"/>
          <w:szCs w:val="24"/>
          <w:lang w:bidi="da-DK"/>
        </w:rPr>
        <w:t>hyperthyroidisme</w:t>
      </w:r>
      <w:proofErr w:type="spellEnd"/>
      <w:r w:rsidRPr="00E74A4E">
        <w:rPr>
          <w:sz w:val="24"/>
          <w:szCs w:val="24"/>
          <w:lang w:bidi="da-DK"/>
        </w:rPr>
        <w:t xml:space="preserve"> af autoimmun oprindelse eller endemisk </w:t>
      </w:r>
      <w:proofErr w:type="spellStart"/>
      <w:r w:rsidRPr="00E74A4E">
        <w:rPr>
          <w:sz w:val="24"/>
          <w:szCs w:val="24"/>
          <w:lang w:bidi="da-DK"/>
        </w:rPr>
        <w:t>iodmangel</w:t>
      </w:r>
      <w:proofErr w:type="spellEnd"/>
      <w:r w:rsidRPr="00E74A4E">
        <w:rPr>
          <w:sz w:val="24"/>
          <w:szCs w:val="24"/>
          <w:lang w:bidi="da-DK"/>
        </w:rPr>
        <w:t>, gravide og ammende kvinder.</w:t>
      </w:r>
    </w:p>
    <w:p w14:paraId="46634FEB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6AFDD3CB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Patienter med eksisterende nyreinsufficiens skal behandles med forsigtighed, når der er risiko for systemisk optagelse af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, da forsinket eliminering kan føre til forhøjede serumniveauer af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>.</w:t>
      </w:r>
    </w:p>
    <w:p w14:paraId="79568A00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F928F3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4.5</w:t>
      </w:r>
      <w:r w:rsidRPr="00E74A4E">
        <w:rPr>
          <w:b/>
          <w:sz w:val="24"/>
          <w:szCs w:val="24"/>
        </w:rPr>
        <w:tab/>
        <w:t>Interaktion med andre lægemidler og andre former for interaktion</w:t>
      </w:r>
    </w:p>
    <w:p w14:paraId="605333BC" w14:textId="77777777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 xml:space="preserve"> bør ikke administreres samtidig med konserveringsmidler, der indeholder kviksølv og natriumthiosulfat (sidstnævnte er en modgift mod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>).</w:t>
      </w:r>
    </w:p>
    <w:p w14:paraId="72F4A08A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2DBFC7E5" w14:textId="7E04CB3F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Der er </w:t>
      </w:r>
      <w:proofErr w:type="spellStart"/>
      <w:r w:rsidRPr="00E74A4E">
        <w:rPr>
          <w:sz w:val="24"/>
          <w:szCs w:val="24"/>
          <w:lang w:bidi="da-DK"/>
        </w:rPr>
        <w:t>farmakodynamiske</w:t>
      </w:r>
      <w:proofErr w:type="spellEnd"/>
      <w:r w:rsidRPr="00E74A4E">
        <w:rPr>
          <w:sz w:val="24"/>
          <w:szCs w:val="24"/>
          <w:lang w:bidi="da-DK"/>
        </w:rPr>
        <w:t xml:space="preserve"> interaktioner af </w:t>
      </w:r>
      <w:r w:rsidR="00B94254">
        <w:rPr>
          <w:sz w:val="24"/>
          <w:szCs w:val="24"/>
          <w:lang w:bidi="da-DK"/>
        </w:rPr>
        <w:t>j</w:t>
      </w:r>
      <w:r w:rsidRPr="00E74A4E">
        <w:rPr>
          <w:sz w:val="24"/>
          <w:szCs w:val="24"/>
          <w:lang w:bidi="da-DK"/>
        </w:rPr>
        <w:t>od med:</w:t>
      </w:r>
    </w:p>
    <w:p w14:paraId="3164561D" w14:textId="77777777" w:rsidR="005C5437" w:rsidRPr="00E74A4E" w:rsidRDefault="005C5437" w:rsidP="00793AB7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spellStart"/>
      <w:r w:rsidRPr="00E74A4E">
        <w:rPr>
          <w:sz w:val="24"/>
          <w:szCs w:val="24"/>
          <w:lang w:bidi="da-DK"/>
        </w:rPr>
        <w:t>amiodaron</w:t>
      </w:r>
      <w:proofErr w:type="spellEnd"/>
      <w:r w:rsidRPr="00E74A4E">
        <w:rPr>
          <w:sz w:val="24"/>
          <w:szCs w:val="24"/>
          <w:lang w:bidi="da-DK"/>
        </w:rPr>
        <w:t xml:space="preserve"> på grund af risikoen for at forstærke de </w:t>
      </w:r>
      <w:proofErr w:type="spellStart"/>
      <w:r w:rsidRPr="00E74A4E">
        <w:rPr>
          <w:sz w:val="24"/>
          <w:szCs w:val="24"/>
          <w:lang w:bidi="da-DK"/>
        </w:rPr>
        <w:t>iodrelaterede</w:t>
      </w:r>
      <w:proofErr w:type="spellEnd"/>
      <w:r w:rsidRPr="00E74A4E">
        <w:rPr>
          <w:sz w:val="24"/>
          <w:szCs w:val="24"/>
          <w:lang w:bidi="da-DK"/>
        </w:rPr>
        <w:t xml:space="preserve"> virkninger på skjoldbruskkirtlens funktion;</w:t>
      </w:r>
    </w:p>
    <w:p w14:paraId="714859AB" w14:textId="77777777" w:rsidR="005C5437" w:rsidRPr="00E74A4E" w:rsidRDefault="005C5437" w:rsidP="00793AB7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spellStart"/>
      <w:r w:rsidRPr="00E74A4E">
        <w:rPr>
          <w:sz w:val="24"/>
          <w:szCs w:val="24"/>
          <w:lang w:bidi="da-DK"/>
        </w:rPr>
        <w:lastRenderedPageBreak/>
        <w:t>lithium</w:t>
      </w:r>
      <w:proofErr w:type="spellEnd"/>
      <w:r w:rsidRPr="00E74A4E">
        <w:rPr>
          <w:sz w:val="24"/>
          <w:szCs w:val="24"/>
          <w:lang w:bidi="da-DK"/>
        </w:rPr>
        <w:t xml:space="preserve"> på grund af risikoen for at forstærke den hæmmende virkning på skjoldbruskkirtlen og den skjoldbruskkirtelforstørrende virkning;</w:t>
      </w:r>
    </w:p>
    <w:p w14:paraId="7FA4EBBB" w14:textId="77777777" w:rsidR="005C5437" w:rsidRPr="00E74A4E" w:rsidRDefault="005C5437" w:rsidP="00793AB7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kviksølv på grund af risikoen for dannelse af ætsende forbindelser, der kan forårsage skade på hornhinden;</w:t>
      </w:r>
    </w:p>
    <w:p w14:paraId="74F45373" w14:textId="77777777" w:rsidR="005C5437" w:rsidRPr="00E74A4E" w:rsidRDefault="005C5437" w:rsidP="00793AB7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diagnostiske tests af skjoldbruskkirtlen og behandling med radioaktivt jod (</w:t>
      </w:r>
      <w:r w:rsidRPr="00E74A4E">
        <w:rPr>
          <w:sz w:val="24"/>
          <w:szCs w:val="24"/>
          <w:vertAlign w:val="superscript"/>
          <w:lang w:bidi="da-DK"/>
        </w:rPr>
        <w:t>131</w:t>
      </w:r>
      <w:r w:rsidRPr="00E74A4E">
        <w:rPr>
          <w:sz w:val="24"/>
          <w:szCs w:val="24"/>
          <w:lang w:bidi="da-DK"/>
        </w:rPr>
        <w:t xml:space="preserve">I) på grund af risikoen for at hæmme optagelsen af radioaktivt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 i skjoldbruskkirtlen. </w:t>
      </w:r>
    </w:p>
    <w:p w14:paraId="5C325FFB" w14:textId="77777777" w:rsidR="005C5437" w:rsidRPr="00E74A4E" w:rsidRDefault="005C5437" w:rsidP="007C1630">
      <w:pPr>
        <w:pStyle w:val="Brdtekstindrykning"/>
        <w:spacing w:after="0"/>
        <w:ind w:left="851"/>
        <w:rPr>
          <w:rFonts w:ascii="Times New Roman" w:hAnsi="Times New Roman"/>
          <w:sz w:val="24"/>
          <w:szCs w:val="24"/>
        </w:rPr>
      </w:pPr>
    </w:p>
    <w:p w14:paraId="13990E1B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Derudover reagerer natriumthiosulfat med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, hvorved det neutraliserer dets virkning. Natriumthiosulfat kan anvendes som modgift ved cyanidafgiftning og som et neutraliserende middel til </w:t>
      </w:r>
      <w:proofErr w:type="spellStart"/>
      <w:r w:rsidRPr="00E74A4E">
        <w:rPr>
          <w:sz w:val="24"/>
          <w:szCs w:val="24"/>
          <w:lang w:bidi="da-DK"/>
        </w:rPr>
        <w:t>cisplatin</w:t>
      </w:r>
      <w:proofErr w:type="spellEnd"/>
      <w:r w:rsidRPr="00E74A4E">
        <w:rPr>
          <w:sz w:val="24"/>
          <w:szCs w:val="24"/>
          <w:lang w:bidi="da-DK"/>
        </w:rPr>
        <w:t xml:space="preserve"> for at reducere sidstnævntes </w:t>
      </w:r>
      <w:proofErr w:type="spellStart"/>
      <w:r w:rsidRPr="00E74A4E">
        <w:rPr>
          <w:sz w:val="24"/>
          <w:szCs w:val="24"/>
          <w:lang w:bidi="da-DK"/>
        </w:rPr>
        <w:t>nefrotoksicitet</w:t>
      </w:r>
      <w:proofErr w:type="spellEnd"/>
      <w:r w:rsidRPr="00E74A4E">
        <w:rPr>
          <w:sz w:val="24"/>
          <w:szCs w:val="24"/>
          <w:lang w:bidi="da-DK"/>
        </w:rPr>
        <w:t>.</w:t>
      </w:r>
    </w:p>
    <w:p w14:paraId="71BEE731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43B82448" w14:textId="77777777" w:rsidR="005C5437" w:rsidRPr="00E74A4E" w:rsidRDefault="005C5437" w:rsidP="00793AB7">
      <w:pPr>
        <w:ind w:left="851"/>
        <w:rPr>
          <w:sz w:val="24"/>
          <w:szCs w:val="24"/>
        </w:rPr>
      </w:pPr>
      <w:proofErr w:type="spellStart"/>
      <w:r w:rsidRPr="00E74A4E">
        <w:rPr>
          <w:sz w:val="24"/>
          <w:szCs w:val="24"/>
          <w:lang w:bidi="da-DK"/>
        </w:rPr>
        <w:t>Povidon-iodprodukter</w:t>
      </w:r>
      <w:proofErr w:type="spellEnd"/>
      <w:r w:rsidRPr="00E74A4E">
        <w:rPr>
          <w:sz w:val="24"/>
          <w:szCs w:val="24"/>
          <w:lang w:bidi="da-DK"/>
        </w:rPr>
        <w:t xml:space="preserve"> kan også give interaktioner med:</w:t>
      </w:r>
    </w:p>
    <w:p w14:paraId="0A54C423" w14:textId="77777777" w:rsidR="005C5437" w:rsidRPr="00E74A4E" w:rsidRDefault="005C5437" w:rsidP="00793AB7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proteiner, blod, enzymer, puskomponenter, hvilket kan forringe virkningsgraden;</w:t>
      </w:r>
    </w:p>
    <w:p w14:paraId="70F52E5B" w14:textId="77777777" w:rsidR="005C5437" w:rsidRPr="00E74A4E" w:rsidRDefault="005C5437" w:rsidP="00793AB7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andre desinfektionsmidler såsom brintoverilte (produktion af ilt), </w:t>
      </w:r>
      <w:proofErr w:type="spellStart"/>
      <w:r w:rsidRPr="00E74A4E">
        <w:rPr>
          <w:sz w:val="24"/>
          <w:szCs w:val="24"/>
          <w:lang w:bidi="da-DK"/>
        </w:rPr>
        <w:t>taurolidin</w:t>
      </w:r>
      <w:proofErr w:type="spellEnd"/>
      <w:r w:rsidRPr="00E74A4E">
        <w:rPr>
          <w:sz w:val="24"/>
          <w:szCs w:val="24"/>
          <w:lang w:bidi="da-DK"/>
        </w:rPr>
        <w:t xml:space="preserve"> (nedbrydning på grund af </w:t>
      </w:r>
      <w:proofErr w:type="spellStart"/>
      <w:r w:rsidRPr="00E74A4E">
        <w:rPr>
          <w:sz w:val="24"/>
          <w:szCs w:val="24"/>
          <w:lang w:bidi="da-DK"/>
        </w:rPr>
        <w:t>povidon-iod</w:t>
      </w:r>
      <w:proofErr w:type="spellEnd"/>
      <w:r w:rsidRPr="00E74A4E">
        <w:rPr>
          <w:sz w:val="24"/>
          <w:szCs w:val="24"/>
          <w:lang w:bidi="da-DK"/>
        </w:rPr>
        <w:t>, der virker som et oxidationsmiddel) og produkter, der indeholder sølv (sølv-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-produktion); </w:t>
      </w:r>
    </w:p>
    <w:p w14:paraId="09004961" w14:textId="77777777" w:rsidR="005C5437" w:rsidRPr="00E74A4E" w:rsidRDefault="005C5437" w:rsidP="00793AB7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E74A4E">
        <w:rPr>
          <w:sz w:val="24"/>
          <w:szCs w:val="24"/>
          <w:lang w:bidi="da-DK"/>
        </w:rPr>
        <w:t>octenidin</w:t>
      </w:r>
      <w:proofErr w:type="spellEnd"/>
      <w:r w:rsidRPr="00E74A4E">
        <w:rPr>
          <w:sz w:val="24"/>
          <w:szCs w:val="24"/>
          <w:lang w:bidi="da-DK"/>
        </w:rPr>
        <w:t xml:space="preserve">-baserede antiseptiske midler på grund af misfarvning. </w:t>
      </w:r>
    </w:p>
    <w:p w14:paraId="5440E5BB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BA22C1" w14:textId="357D32A3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4.6</w:t>
      </w:r>
      <w:r w:rsidRPr="00E74A4E">
        <w:rPr>
          <w:b/>
          <w:sz w:val="24"/>
          <w:szCs w:val="24"/>
        </w:rPr>
        <w:tab/>
      </w:r>
      <w:r w:rsidR="00ED295B">
        <w:rPr>
          <w:b/>
          <w:sz w:val="24"/>
          <w:szCs w:val="24"/>
        </w:rPr>
        <w:t>Fertilitet, g</w:t>
      </w:r>
      <w:r w:rsidRPr="00E74A4E">
        <w:rPr>
          <w:b/>
          <w:sz w:val="24"/>
          <w:szCs w:val="24"/>
        </w:rPr>
        <w:t>raviditet og amning</w:t>
      </w:r>
    </w:p>
    <w:p w14:paraId="722D0A77" w14:textId="77777777" w:rsidR="005C5437" w:rsidRPr="00E74A4E" w:rsidRDefault="005C5437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Den systemiske eksponering ved engangsbrug i den søgte indikation forventes at være lav. Produktet kan bruges ved denne indikation til gravide og ammende kvinder, hvis fordelen anses for at opveje risikoen. </w:t>
      </w:r>
    </w:p>
    <w:p w14:paraId="44F77616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6479F166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Hvis antiseptisk behandling er påkrævet sammen med gentagne </w:t>
      </w:r>
      <w:proofErr w:type="spellStart"/>
      <w:r w:rsidRPr="00E74A4E">
        <w:rPr>
          <w:sz w:val="24"/>
          <w:szCs w:val="24"/>
          <w:lang w:bidi="da-DK"/>
        </w:rPr>
        <w:t>intravitreale</w:t>
      </w:r>
      <w:proofErr w:type="spellEnd"/>
      <w:r w:rsidRPr="00E74A4E">
        <w:rPr>
          <w:sz w:val="24"/>
          <w:szCs w:val="24"/>
          <w:lang w:bidi="da-DK"/>
        </w:rPr>
        <w:t xml:space="preserve"> injektioner til gravide eller ammende kvinder, bør brug af et andet antiseptisk middel overvejes. </w:t>
      </w:r>
    </w:p>
    <w:p w14:paraId="352EB3DE" w14:textId="77777777" w:rsidR="005C5437" w:rsidRPr="00E74A4E" w:rsidRDefault="005C5437" w:rsidP="00793AB7">
      <w:pPr>
        <w:ind w:left="851"/>
        <w:rPr>
          <w:sz w:val="24"/>
          <w:szCs w:val="24"/>
        </w:rPr>
      </w:pPr>
    </w:p>
    <w:p w14:paraId="5BB70F02" w14:textId="77777777" w:rsidR="005C5437" w:rsidRPr="00E74A4E" w:rsidRDefault="005C5437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Dyreforsøg er utilstrækkelige med hensyn til reproduktionstoksicitet (se pkt. 5.3).</w:t>
      </w:r>
    </w:p>
    <w:p w14:paraId="220B2C19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A77035" w14:textId="5F65EB9E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4.7</w:t>
      </w:r>
      <w:r w:rsidRPr="00E74A4E">
        <w:rPr>
          <w:b/>
          <w:sz w:val="24"/>
          <w:szCs w:val="24"/>
        </w:rPr>
        <w:tab/>
        <w:t xml:space="preserve">Virkning på evnen til at føre motorkøretøj </w:t>
      </w:r>
      <w:r w:rsidR="00ED295B">
        <w:rPr>
          <w:b/>
          <w:sz w:val="24"/>
          <w:szCs w:val="24"/>
        </w:rPr>
        <w:t>og</w:t>
      </w:r>
      <w:r w:rsidRPr="00E74A4E">
        <w:rPr>
          <w:b/>
          <w:sz w:val="24"/>
          <w:szCs w:val="24"/>
        </w:rPr>
        <w:t xml:space="preserve"> betjene maskiner</w:t>
      </w:r>
    </w:p>
    <w:p w14:paraId="0C2EDE6E" w14:textId="77777777" w:rsidR="00883407" w:rsidRDefault="00883407" w:rsidP="00793AB7">
      <w:pPr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>Ikke mærkning.</w:t>
      </w:r>
    </w:p>
    <w:p w14:paraId="43734678" w14:textId="7CE58511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 xml:space="preserve"> påvirker ikke eller kun i ubetydelig grad evnen til at føre motorkøretøj og betjene maskiner.</w:t>
      </w:r>
    </w:p>
    <w:p w14:paraId="20A807BF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3E00DA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4.8</w:t>
      </w:r>
      <w:r w:rsidRPr="00E74A4E">
        <w:rPr>
          <w:b/>
          <w:sz w:val="24"/>
          <w:szCs w:val="24"/>
        </w:rPr>
        <w:tab/>
        <w:t>Bivirkninger</w:t>
      </w:r>
    </w:p>
    <w:p w14:paraId="3247C1CF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Den mest alvorlige bivirkning, som kan forekomme med </w:t>
      </w: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 xml:space="preserve"> 5% w/v øjendråber, opløsning, er en overfølsomhedsreaktion.</w:t>
      </w:r>
    </w:p>
    <w:p w14:paraId="05E2FB11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6FC67EFC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Bivirkninger kategoriseres efter hyppighed som følger:</w:t>
      </w:r>
    </w:p>
    <w:p w14:paraId="2D027226" w14:textId="77777777" w:rsidR="00AE3C1B" w:rsidRPr="00E74A4E" w:rsidRDefault="00AE3C1B" w:rsidP="00793AB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Meget almindelig (≥ 1/10)</w:t>
      </w:r>
    </w:p>
    <w:p w14:paraId="51E1E529" w14:textId="77777777" w:rsidR="00AE3C1B" w:rsidRPr="00E74A4E" w:rsidRDefault="00AE3C1B" w:rsidP="00793AB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Almindelig (≥ 1/100 til &lt; 1/10)</w:t>
      </w:r>
    </w:p>
    <w:p w14:paraId="62212910" w14:textId="77777777" w:rsidR="00AE3C1B" w:rsidRPr="00E74A4E" w:rsidRDefault="00AE3C1B" w:rsidP="00793AB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Ikke almindelig (≥ 1/1.000 til &lt; 1/100)</w:t>
      </w:r>
    </w:p>
    <w:p w14:paraId="2D313C7B" w14:textId="77777777" w:rsidR="00AE3C1B" w:rsidRPr="00E74A4E" w:rsidRDefault="00AE3C1B" w:rsidP="00793AB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Sjælden (≥ 1/10.000 til &lt; 1/1.000)</w:t>
      </w:r>
    </w:p>
    <w:p w14:paraId="54EA0337" w14:textId="77777777" w:rsidR="00AE3C1B" w:rsidRPr="00E74A4E" w:rsidRDefault="00AE3C1B" w:rsidP="00793AB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Meget sjælden (&lt; 1/10.000)</w:t>
      </w:r>
    </w:p>
    <w:p w14:paraId="308A283A" w14:textId="77777777" w:rsidR="00AE3C1B" w:rsidRPr="00E74A4E" w:rsidRDefault="00AE3C1B" w:rsidP="00793AB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Ikke kendte (kan ikke estimeres ud fra forhåndenværende data)</w:t>
      </w:r>
    </w:p>
    <w:p w14:paraId="3F360B58" w14:textId="77777777" w:rsidR="00AE3C1B" w:rsidRPr="00E74A4E" w:rsidRDefault="00AE3C1B" w:rsidP="00AE3C1B">
      <w:pPr>
        <w:pStyle w:val="Brdtekstindrykning"/>
        <w:tabs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175DF362" w14:textId="77777777" w:rsidR="00AE3C1B" w:rsidRPr="00465AFB" w:rsidRDefault="00AE3C1B" w:rsidP="00793AB7">
      <w:pPr>
        <w:ind w:left="851"/>
        <w:rPr>
          <w:sz w:val="24"/>
          <w:szCs w:val="24"/>
          <w:u w:val="single"/>
        </w:rPr>
      </w:pPr>
      <w:r w:rsidRPr="00465AFB">
        <w:rPr>
          <w:sz w:val="24"/>
          <w:szCs w:val="24"/>
          <w:u w:val="single"/>
          <w:lang w:bidi="da-DK"/>
        </w:rPr>
        <w:t>Immunsystemet</w:t>
      </w:r>
    </w:p>
    <w:p w14:paraId="0A4EA3DD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i/>
          <w:sz w:val="24"/>
          <w:szCs w:val="24"/>
          <w:lang w:bidi="da-DK"/>
        </w:rPr>
        <w:t>Ikke kendt:</w:t>
      </w:r>
      <w:r w:rsidRPr="00E74A4E">
        <w:rPr>
          <w:sz w:val="24"/>
          <w:szCs w:val="24"/>
          <w:lang w:bidi="da-DK"/>
        </w:rPr>
        <w:t xml:space="preserve"> Overfølsomhed, </w:t>
      </w:r>
      <w:proofErr w:type="spellStart"/>
      <w:r w:rsidRPr="00E74A4E">
        <w:rPr>
          <w:sz w:val="24"/>
          <w:szCs w:val="24"/>
          <w:lang w:bidi="da-DK"/>
        </w:rPr>
        <w:t>anafylaktiske</w:t>
      </w:r>
      <w:proofErr w:type="spellEnd"/>
      <w:r w:rsidRPr="00E74A4E">
        <w:rPr>
          <w:sz w:val="24"/>
          <w:szCs w:val="24"/>
          <w:lang w:bidi="da-DK"/>
        </w:rPr>
        <w:t xml:space="preserve"> reaktioner (</w:t>
      </w:r>
      <w:proofErr w:type="spellStart"/>
      <w:r w:rsidRPr="00E74A4E">
        <w:rPr>
          <w:sz w:val="24"/>
          <w:szCs w:val="24"/>
          <w:lang w:bidi="da-DK"/>
        </w:rPr>
        <w:t>urticaria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Quinckes</w:t>
      </w:r>
      <w:proofErr w:type="spellEnd"/>
      <w:r w:rsidRPr="00E74A4E">
        <w:rPr>
          <w:sz w:val="24"/>
          <w:szCs w:val="24"/>
          <w:lang w:bidi="da-DK"/>
        </w:rPr>
        <w:t xml:space="preserve"> ødem, </w:t>
      </w:r>
      <w:proofErr w:type="spellStart"/>
      <w:r w:rsidRPr="00E74A4E">
        <w:rPr>
          <w:sz w:val="24"/>
          <w:szCs w:val="24"/>
          <w:lang w:bidi="da-DK"/>
        </w:rPr>
        <w:t>anafylaktisk</w:t>
      </w:r>
      <w:proofErr w:type="spellEnd"/>
      <w:r w:rsidRPr="00E74A4E">
        <w:rPr>
          <w:sz w:val="24"/>
          <w:szCs w:val="24"/>
          <w:lang w:bidi="da-DK"/>
        </w:rPr>
        <w:t xml:space="preserve"> chok og </w:t>
      </w:r>
      <w:proofErr w:type="spellStart"/>
      <w:r w:rsidRPr="00E74A4E">
        <w:rPr>
          <w:sz w:val="24"/>
          <w:szCs w:val="24"/>
          <w:lang w:bidi="da-DK"/>
        </w:rPr>
        <w:t>anafylaktoid</w:t>
      </w:r>
      <w:proofErr w:type="spellEnd"/>
      <w:r w:rsidRPr="00E74A4E">
        <w:rPr>
          <w:sz w:val="24"/>
          <w:szCs w:val="24"/>
          <w:lang w:bidi="da-DK"/>
        </w:rPr>
        <w:t xml:space="preserve"> reaktion).</w:t>
      </w:r>
    </w:p>
    <w:p w14:paraId="05F0FDAD" w14:textId="354EE93D" w:rsidR="00EC65BF" w:rsidRDefault="00EC65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56A2C7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094085A8" w14:textId="77777777" w:rsidR="00AE3C1B" w:rsidRPr="00465AFB" w:rsidRDefault="00AE3C1B" w:rsidP="00793AB7">
      <w:pPr>
        <w:ind w:left="851"/>
        <w:rPr>
          <w:sz w:val="24"/>
          <w:szCs w:val="24"/>
          <w:u w:val="single"/>
        </w:rPr>
      </w:pPr>
      <w:r w:rsidRPr="00465AFB">
        <w:rPr>
          <w:sz w:val="24"/>
          <w:szCs w:val="24"/>
          <w:u w:val="single"/>
          <w:lang w:bidi="da-DK"/>
        </w:rPr>
        <w:t>Det endokrine system</w:t>
      </w:r>
    </w:p>
    <w:p w14:paraId="0B542D2A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i/>
          <w:sz w:val="24"/>
          <w:szCs w:val="24"/>
          <w:lang w:bidi="da-DK"/>
        </w:rPr>
        <w:t>Ikke kendt:</w:t>
      </w:r>
      <w:r w:rsidRPr="00E74A4E">
        <w:rPr>
          <w:sz w:val="24"/>
          <w:szCs w:val="24"/>
          <w:lang w:bidi="da-DK"/>
        </w:rPr>
        <w:t xml:space="preserve"> Regelmæssig og langvarig anvendelse kan føre til toksiske </w:t>
      </w:r>
      <w:proofErr w:type="spellStart"/>
      <w:r w:rsidRPr="00E74A4E">
        <w:rPr>
          <w:sz w:val="24"/>
          <w:szCs w:val="24"/>
          <w:lang w:bidi="da-DK"/>
        </w:rPr>
        <w:t>iodniveauer</w:t>
      </w:r>
      <w:proofErr w:type="spellEnd"/>
      <w:r w:rsidRPr="00E74A4E">
        <w:rPr>
          <w:sz w:val="24"/>
          <w:szCs w:val="24"/>
          <w:lang w:bidi="da-DK"/>
        </w:rPr>
        <w:t xml:space="preserve"> med risiko for at udvikle unormal skjoldbruskkirtelfunktion, især hos for tidligt fødte spædbørn og nyfødte. Sjældne tilfælde af </w:t>
      </w:r>
      <w:proofErr w:type="spellStart"/>
      <w:r w:rsidRPr="00E74A4E">
        <w:rPr>
          <w:sz w:val="24"/>
          <w:szCs w:val="24"/>
          <w:lang w:bidi="da-DK"/>
        </w:rPr>
        <w:t>hypothyroidisme</w:t>
      </w:r>
      <w:proofErr w:type="spellEnd"/>
      <w:r w:rsidRPr="00E74A4E">
        <w:rPr>
          <w:sz w:val="24"/>
          <w:szCs w:val="24"/>
          <w:lang w:bidi="da-DK"/>
        </w:rPr>
        <w:t xml:space="preserve"> og </w:t>
      </w:r>
      <w:proofErr w:type="spellStart"/>
      <w:r w:rsidRPr="00E74A4E">
        <w:rPr>
          <w:sz w:val="24"/>
          <w:szCs w:val="24"/>
          <w:lang w:bidi="da-DK"/>
        </w:rPr>
        <w:t>thyrotoksisk</w:t>
      </w:r>
      <w:proofErr w:type="spellEnd"/>
      <w:r w:rsidRPr="00E74A4E">
        <w:rPr>
          <w:sz w:val="24"/>
          <w:szCs w:val="24"/>
          <w:lang w:bidi="da-DK"/>
        </w:rPr>
        <w:t xml:space="preserve"> krise er blevet rapporteret specielt hos modtagelige patienter, f.eks. forbrændte patienter med beskadiget hud, patienter med latent </w:t>
      </w:r>
      <w:proofErr w:type="spellStart"/>
      <w:r w:rsidRPr="00E74A4E">
        <w:rPr>
          <w:sz w:val="24"/>
          <w:szCs w:val="24"/>
          <w:lang w:bidi="da-DK"/>
        </w:rPr>
        <w:t>hypothyroidisme</w:t>
      </w:r>
      <w:proofErr w:type="spellEnd"/>
      <w:r w:rsidRPr="00E74A4E">
        <w:rPr>
          <w:sz w:val="24"/>
          <w:szCs w:val="24"/>
          <w:lang w:bidi="da-DK"/>
        </w:rPr>
        <w:t xml:space="preserve">, patienter med et autonomt </w:t>
      </w:r>
      <w:proofErr w:type="spellStart"/>
      <w:r w:rsidRPr="00E74A4E">
        <w:rPr>
          <w:sz w:val="24"/>
          <w:szCs w:val="24"/>
          <w:lang w:bidi="da-DK"/>
        </w:rPr>
        <w:t>adenom</w:t>
      </w:r>
      <w:proofErr w:type="spellEnd"/>
      <w:r w:rsidRPr="00E74A4E">
        <w:rPr>
          <w:sz w:val="24"/>
          <w:szCs w:val="24"/>
          <w:lang w:bidi="da-DK"/>
        </w:rPr>
        <w:t xml:space="preserve">, lokaliseret diffus autonomi af skjoldbruskkirtlen, </w:t>
      </w:r>
      <w:proofErr w:type="spellStart"/>
      <w:r w:rsidRPr="00E74A4E">
        <w:rPr>
          <w:sz w:val="24"/>
          <w:szCs w:val="24"/>
          <w:lang w:bidi="da-DK"/>
        </w:rPr>
        <w:t>nodulær</w:t>
      </w:r>
      <w:proofErr w:type="spellEnd"/>
      <w:r w:rsidRPr="00E74A4E">
        <w:rPr>
          <w:sz w:val="24"/>
          <w:szCs w:val="24"/>
          <w:lang w:bidi="da-DK"/>
        </w:rPr>
        <w:t xml:space="preserve"> struma, latent </w:t>
      </w:r>
      <w:proofErr w:type="spellStart"/>
      <w:r w:rsidRPr="00E74A4E">
        <w:rPr>
          <w:sz w:val="24"/>
          <w:szCs w:val="24"/>
          <w:lang w:bidi="da-DK"/>
        </w:rPr>
        <w:t>hyperthyroidisme</w:t>
      </w:r>
      <w:proofErr w:type="spellEnd"/>
      <w:r w:rsidRPr="00E74A4E">
        <w:rPr>
          <w:sz w:val="24"/>
          <w:szCs w:val="24"/>
          <w:lang w:bidi="da-DK"/>
        </w:rPr>
        <w:t xml:space="preserve"> af autoimmun oprindelse eller endemisk </w:t>
      </w:r>
      <w:proofErr w:type="spellStart"/>
      <w:r w:rsidRPr="00E74A4E">
        <w:rPr>
          <w:sz w:val="24"/>
          <w:szCs w:val="24"/>
          <w:lang w:bidi="da-DK"/>
        </w:rPr>
        <w:t>iodmangel</w:t>
      </w:r>
      <w:proofErr w:type="spellEnd"/>
      <w:r w:rsidRPr="00E74A4E">
        <w:rPr>
          <w:sz w:val="24"/>
          <w:szCs w:val="24"/>
          <w:lang w:bidi="da-DK"/>
        </w:rPr>
        <w:t>, gravide og ammende kvinder.</w:t>
      </w:r>
    </w:p>
    <w:p w14:paraId="37556166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61866849" w14:textId="77777777" w:rsidR="00AE3C1B" w:rsidRPr="00465AFB" w:rsidRDefault="00AE3C1B" w:rsidP="00793AB7">
      <w:pPr>
        <w:ind w:left="851"/>
        <w:rPr>
          <w:sz w:val="24"/>
          <w:szCs w:val="24"/>
          <w:u w:val="single"/>
        </w:rPr>
      </w:pPr>
      <w:r w:rsidRPr="00465AFB">
        <w:rPr>
          <w:sz w:val="24"/>
          <w:szCs w:val="24"/>
          <w:u w:val="single"/>
          <w:lang w:bidi="da-DK"/>
        </w:rPr>
        <w:t>Øjne</w:t>
      </w:r>
    </w:p>
    <w:p w14:paraId="7C5B9760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i/>
          <w:sz w:val="24"/>
          <w:szCs w:val="24"/>
          <w:lang w:bidi="da-DK"/>
        </w:rPr>
        <w:t xml:space="preserve">Ikke kendt: </w:t>
      </w:r>
      <w:r w:rsidRPr="00E74A4E">
        <w:rPr>
          <w:sz w:val="24"/>
          <w:szCs w:val="24"/>
          <w:lang w:bidi="da-DK"/>
        </w:rPr>
        <w:t xml:space="preserve">Dosisafhængig </w:t>
      </w:r>
      <w:proofErr w:type="spellStart"/>
      <w:r w:rsidRPr="00E74A4E">
        <w:rPr>
          <w:sz w:val="24"/>
          <w:szCs w:val="24"/>
          <w:lang w:bidi="da-DK"/>
        </w:rPr>
        <w:t>konjunktival</w:t>
      </w:r>
      <w:proofErr w:type="spellEnd"/>
      <w:r w:rsidRPr="00E74A4E">
        <w:rPr>
          <w:sz w:val="24"/>
          <w:szCs w:val="24"/>
          <w:lang w:bidi="da-DK"/>
        </w:rPr>
        <w:t xml:space="preserve"> </w:t>
      </w:r>
      <w:proofErr w:type="spellStart"/>
      <w:r w:rsidRPr="00E74A4E">
        <w:rPr>
          <w:sz w:val="24"/>
          <w:szCs w:val="24"/>
          <w:lang w:bidi="da-DK"/>
        </w:rPr>
        <w:t>hyperæmi</w:t>
      </w:r>
      <w:proofErr w:type="spellEnd"/>
      <w:r w:rsidRPr="00E74A4E">
        <w:rPr>
          <w:sz w:val="24"/>
          <w:szCs w:val="24"/>
          <w:lang w:bidi="da-DK"/>
        </w:rPr>
        <w:t xml:space="preserve">, overfladisk punkformet </w:t>
      </w:r>
      <w:proofErr w:type="spellStart"/>
      <w:r w:rsidRPr="00E74A4E">
        <w:rPr>
          <w:sz w:val="24"/>
          <w:szCs w:val="24"/>
          <w:lang w:bidi="da-DK"/>
        </w:rPr>
        <w:t>keratitis</w:t>
      </w:r>
      <w:proofErr w:type="spellEnd"/>
      <w:r w:rsidRPr="00E74A4E">
        <w:rPr>
          <w:sz w:val="24"/>
          <w:szCs w:val="24"/>
          <w:lang w:bidi="da-DK"/>
        </w:rPr>
        <w:t xml:space="preserve">, øjenirritation, overfladisk punktformet </w:t>
      </w:r>
      <w:proofErr w:type="spellStart"/>
      <w:r w:rsidRPr="00E74A4E">
        <w:rPr>
          <w:sz w:val="24"/>
          <w:szCs w:val="24"/>
          <w:lang w:bidi="da-DK"/>
        </w:rPr>
        <w:t>epiteliopati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keratoconjunctivitis</w:t>
      </w:r>
      <w:proofErr w:type="spellEnd"/>
      <w:r w:rsidRPr="00E74A4E">
        <w:rPr>
          <w:sz w:val="24"/>
          <w:szCs w:val="24"/>
          <w:lang w:bidi="da-DK"/>
        </w:rPr>
        <w:t xml:space="preserve"> </w:t>
      </w:r>
      <w:proofErr w:type="spellStart"/>
      <w:r w:rsidRPr="00E74A4E">
        <w:rPr>
          <w:sz w:val="24"/>
          <w:szCs w:val="24"/>
          <w:lang w:bidi="da-DK"/>
        </w:rPr>
        <w:t>sicca</w:t>
      </w:r>
      <w:proofErr w:type="spellEnd"/>
      <w:r w:rsidRPr="00E74A4E">
        <w:rPr>
          <w:sz w:val="24"/>
          <w:szCs w:val="24"/>
          <w:lang w:bidi="da-DK"/>
        </w:rPr>
        <w:t>, resterende gulfarvning af bindehinden.</w:t>
      </w:r>
    </w:p>
    <w:p w14:paraId="60CB3C6D" w14:textId="77777777" w:rsidR="00AE3C1B" w:rsidRPr="00E74A4E" w:rsidRDefault="00AE3C1B" w:rsidP="00793AB7">
      <w:pPr>
        <w:ind w:left="851"/>
        <w:rPr>
          <w:i/>
          <w:sz w:val="24"/>
          <w:szCs w:val="24"/>
          <w:lang w:bidi="da-DK"/>
        </w:rPr>
      </w:pPr>
    </w:p>
    <w:p w14:paraId="6FDA19DB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i/>
          <w:sz w:val="24"/>
          <w:szCs w:val="24"/>
          <w:lang w:bidi="da-DK"/>
        </w:rPr>
        <w:t xml:space="preserve">Meget sjælden: </w:t>
      </w:r>
      <w:r w:rsidRPr="00E74A4E">
        <w:rPr>
          <w:sz w:val="24"/>
          <w:szCs w:val="24"/>
          <w:lang w:bidi="da-DK"/>
        </w:rPr>
        <w:t xml:space="preserve">Meget sjældne tilfælde af hornhindeforkalkning er blevet rapporteret i forbindelse med anvendelsen af </w:t>
      </w:r>
      <w:proofErr w:type="spellStart"/>
      <w:r w:rsidRPr="00E74A4E">
        <w:rPr>
          <w:sz w:val="24"/>
          <w:szCs w:val="24"/>
          <w:lang w:bidi="da-DK"/>
        </w:rPr>
        <w:t>phosphatholdige</w:t>
      </w:r>
      <w:proofErr w:type="spellEnd"/>
      <w:r w:rsidRPr="00E74A4E">
        <w:rPr>
          <w:sz w:val="24"/>
          <w:szCs w:val="24"/>
          <w:lang w:bidi="da-DK"/>
        </w:rPr>
        <w:t xml:space="preserve"> øjendråber hos nogle patienter med signifikant beskadigede hornhinder.</w:t>
      </w:r>
    </w:p>
    <w:p w14:paraId="1D1ED4DB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42D8976C" w14:textId="77777777" w:rsidR="00AE3C1B" w:rsidRPr="00465AFB" w:rsidRDefault="00AE3C1B" w:rsidP="00793AB7">
      <w:pPr>
        <w:ind w:left="851"/>
        <w:rPr>
          <w:sz w:val="24"/>
          <w:szCs w:val="24"/>
          <w:u w:val="single"/>
        </w:rPr>
      </w:pPr>
      <w:r w:rsidRPr="00465AFB">
        <w:rPr>
          <w:sz w:val="24"/>
          <w:szCs w:val="24"/>
          <w:u w:val="single"/>
          <w:lang w:bidi="da-DK"/>
        </w:rPr>
        <w:t>Hud- og subkutane væv</w:t>
      </w:r>
    </w:p>
    <w:p w14:paraId="0A35D71D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i/>
          <w:sz w:val="24"/>
          <w:szCs w:val="24"/>
          <w:lang w:bidi="da-DK"/>
        </w:rPr>
        <w:t xml:space="preserve">Ikke kendt: </w:t>
      </w:r>
      <w:proofErr w:type="spellStart"/>
      <w:r w:rsidRPr="00E74A4E">
        <w:rPr>
          <w:sz w:val="24"/>
          <w:szCs w:val="24"/>
          <w:lang w:bidi="da-DK"/>
        </w:rPr>
        <w:t>Kontaktdermatitis</w:t>
      </w:r>
      <w:proofErr w:type="spellEnd"/>
      <w:r w:rsidRPr="00E74A4E">
        <w:rPr>
          <w:sz w:val="24"/>
          <w:szCs w:val="24"/>
          <w:lang w:bidi="da-DK"/>
        </w:rPr>
        <w:t xml:space="preserve"> (med symptomer som f.eks. </w:t>
      </w:r>
      <w:proofErr w:type="spellStart"/>
      <w:r w:rsidRPr="00E74A4E">
        <w:rPr>
          <w:sz w:val="24"/>
          <w:szCs w:val="24"/>
          <w:lang w:bidi="da-DK"/>
        </w:rPr>
        <w:t>erytem</w:t>
      </w:r>
      <w:proofErr w:type="spellEnd"/>
      <w:r w:rsidRPr="00E74A4E">
        <w:rPr>
          <w:sz w:val="24"/>
          <w:szCs w:val="24"/>
          <w:lang w:bidi="da-DK"/>
        </w:rPr>
        <w:t xml:space="preserve">, blærer, kløe), </w:t>
      </w:r>
      <w:proofErr w:type="spellStart"/>
      <w:r w:rsidRPr="00E74A4E">
        <w:rPr>
          <w:sz w:val="24"/>
          <w:szCs w:val="24"/>
          <w:lang w:bidi="da-DK"/>
        </w:rPr>
        <w:t>angioødem</w:t>
      </w:r>
      <w:proofErr w:type="spellEnd"/>
      <w:r w:rsidRPr="00E74A4E">
        <w:rPr>
          <w:sz w:val="24"/>
          <w:szCs w:val="24"/>
          <w:lang w:bidi="da-DK"/>
        </w:rPr>
        <w:t>, tilfælde af reversibel, forbigående brunfarvning af huden er blevet rapporteret.</w:t>
      </w:r>
    </w:p>
    <w:p w14:paraId="4E8A34F2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271E17B5" w14:textId="77777777" w:rsidR="00AE3C1B" w:rsidRPr="00A97B2A" w:rsidRDefault="00AE3C1B" w:rsidP="00793AB7">
      <w:pPr>
        <w:ind w:left="851"/>
        <w:rPr>
          <w:sz w:val="24"/>
          <w:szCs w:val="24"/>
          <w:u w:val="single"/>
        </w:rPr>
      </w:pPr>
      <w:r w:rsidRPr="00A97B2A">
        <w:rPr>
          <w:sz w:val="24"/>
          <w:szCs w:val="24"/>
          <w:u w:val="single"/>
          <w:lang w:bidi="da-DK"/>
        </w:rPr>
        <w:t>Indberetning af formodede bivirkninger</w:t>
      </w:r>
    </w:p>
    <w:p w14:paraId="488054E4" w14:textId="77777777" w:rsidR="00AE3C1B" w:rsidRPr="00E74A4E" w:rsidRDefault="00AE3C1B" w:rsidP="00793AB7">
      <w:pPr>
        <w:ind w:left="851"/>
        <w:rPr>
          <w:sz w:val="24"/>
          <w:szCs w:val="24"/>
          <w:lang w:bidi="da-DK"/>
        </w:rPr>
      </w:pPr>
      <w:r w:rsidRPr="00E74A4E">
        <w:rPr>
          <w:sz w:val="24"/>
          <w:szCs w:val="24"/>
          <w:lang w:bidi="da-DK"/>
        </w:rPr>
        <w:t>Når lægemidlet er godkendt, er indberetning af formodede bivirkninger vigtig. Det muliggør løbende overvågning af benefit/</w:t>
      </w:r>
      <w:proofErr w:type="spellStart"/>
      <w:r w:rsidRPr="00E74A4E">
        <w:rPr>
          <w:sz w:val="24"/>
          <w:szCs w:val="24"/>
          <w:lang w:bidi="da-DK"/>
        </w:rPr>
        <w:t>risk</w:t>
      </w:r>
      <w:proofErr w:type="spellEnd"/>
      <w:r w:rsidRPr="00E74A4E">
        <w:rPr>
          <w:sz w:val="24"/>
          <w:szCs w:val="24"/>
          <w:lang w:bidi="da-DK"/>
        </w:rPr>
        <w:t>-forholdet for lægemidlet. Sundhedspersoner anmodes om at indberette alle formodede bivirkninger via:</w:t>
      </w:r>
    </w:p>
    <w:p w14:paraId="7E459C5F" w14:textId="77777777" w:rsidR="00AE3C1B" w:rsidRPr="00E74A4E" w:rsidRDefault="00AE3C1B" w:rsidP="00793AB7">
      <w:pPr>
        <w:ind w:left="851"/>
        <w:rPr>
          <w:sz w:val="24"/>
          <w:szCs w:val="24"/>
          <w:lang w:bidi="da-DK"/>
        </w:rPr>
      </w:pPr>
    </w:p>
    <w:p w14:paraId="4F8CD7C8" w14:textId="77777777" w:rsidR="00AE3C1B" w:rsidRPr="00A97B2A" w:rsidRDefault="00AE3C1B" w:rsidP="00793AB7">
      <w:pPr>
        <w:ind w:left="851"/>
        <w:rPr>
          <w:sz w:val="24"/>
          <w:szCs w:val="24"/>
          <w:lang w:bidi="da-DK"/>
        </w:rPr>
      </w:pPr>
      <w:r w:rsidRPr="00A97B2A">
        <w:rPr>
          <w:sz w:val="24"/>
          <w:szCs w:val="24"/>
          <w:lang w:bidi="da-DK"/>
        </w:rPr>
        <w:t>Lægemiddelstyrelsen</w:t>
      </w:r>
    </w:p>
    <w:p w14:paraId="693EE374" w14:textId="77777777" w:rsidR="00AE3C1B" w:rsidRPr="00E74A4E" w:rsidRDefault="00AE3C1B" w:rsidP="00793AB7">
      <w:pPr>
        <w:ind w:left="851"/>
        <w:rPr>
          <w:sz w:val="24"/>
          <w:szCs w:val="24"/>
          <w:lang w:bidi="da-DK"/>
        </w:rPr>
      </w:pPr>
      <w:r w:rsidRPr="00E74A4E">
        <w:rPr>
          <w:sz w:val="24"/>
          <w:szCs w:val="24"/>
          <w:lang w:bidi="da-DK"/>
        </w:rPr>
        <w:t>Axel Heides Gade 1</w:t>
      </w:r>
    </w:p>
    <w:p w14:paraId="2CA8C424" w14:textId="77777777" w:rsidR="00AE3C1B" w:rsidRPr="00E74A4E" w:rsidRDefault="00AE3C1B" w:rsidP="00793AB7">
      <w:pPr>
        <w:ind w:left="851"/>
        <w:rPr>
          <w:sz w:val="24"/>
          <w:szCs w:val="24"/>
          <w:lang w:bidi="da-DK"/>
        </w:rPr>
      </w:pPr>
      <w:r w:rsidRPr="00E74A4E">
        <w:rPr>
          <w:sz w:val="24"/>
          <w:szCs w:val="24"/>
          <w:lang w:bidi="da-DK"/>
        </w:rPr>
        <w:t>DK-2300 København S</w:t>
      </w:r>
    </w:p>
    <w:p w14:paraId="61795B3D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Websted: </w:t>
      </w:r>
      <w:hyperlink r:id="rId8" w:history="1">
        <w:r w:rsidRPr="00E74A4E">
          <w:rPr>
            <w:rStyle w:val="Hyperlink"/>
            <w:sz w:val="24"/>
            <w:szCs w:val="24"/>
            <w:lang w:bidi="da-DK"/>
          </w:rPr>
          <w:t>www.meldenbivirkning.dk</w:t>
        </w:r>
      </w:hyperlink>
    </w:p>
    <w:p w14:paraId="278A1356" w14:textId="77777777" w:rsidR="009260DE" w:rsidRPr="00E74A4E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714879B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4.9</w:t>
      </w:r>
      <w:r w:rsidRPr="00E74A4E">
        <w:rPr>
          <w:b/>
          <w:sz w:val="24"/>
          <w:szCs w:val="24"/>
        </w:rPr>
        <w:tab/>
        <w:t>Overdosering</w:t>
      </w:r>
    </w:p>
    <w:p w14:paraId="74AEA048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I tilfælde af overdosering i øjet vaskes omhyggeligt med steril </w:t>
      </w:r>
      <w:proofErr w:type="spellStart"/>
      <w:r w:rsidRPr="00E74A4E">
        <w:rPr>
          <w:sz w:val="24"/>
          <w:szCs w:val="24"/>
          <w:lang w:bidi="da-DK"/>
        </w:rPr>
        <w:t>poly</w:t>
      </w:r>
      <w:proofErr w:type="spellEnd"/>
      <w:r w:rsidRPr="00E74A4E">
        <w:rPr>
          <w:sz w:val="24"/>
          <w:szCs w:val="24"/>
          <w:lang w:bidi="da-DK"/>
        </w:rPr>
        <w:t>-saltvandsopløsning.</w:t>
      </w:r>
    </w:p>
    <w:p w14:paraId="6A47D00E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Utilsigtet indtagelse eller indånding af visse desinfektionsmidler kan have alvorlige, somme tider dødelige konsekvenser.</w:t>
      </w:r>
    </w:p>
    <w:p w14:paraId="6005AA7C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I tilfælde af nylig utilsigtet indtagelse af en betydelig mængde </w:t>
      </w: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 xml:space="preserve">, bør der foretages udpumpning, ellers bør der foretages understøttende behandlinger. </w:t>
      </w:r>
    </w:p>
    <w:p w14:paraId="3652B410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D28AB4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4.10</w:t>
      </w:r>
      <w:r w:rsidRPr="00E74A4E">
        <w:rPr>
          <w:b/>
          <w:sz w:val="24"/>
          <w:szCs w:val="24"/>
        </w:rPr>
        <w:tab/>
        <w:t>Udlevering</w:t>
      </w:r>
    </w:p>
    <w:p w14:paraId="311FDA68" w14:textId="639E1D30" w:rsidR="009260DE" w:rsidRPr="00E74A4E" w:rsidRDefault="00F35A28" w:rsidP="009260DE">
      <w:pPr>
        <w:tabs>
          <w:tab w:val="left" w:pos="851"/>
        </w:tabs>
        <w:ind w:left="851"/>
        <w:rPr>
          <w:sz w:val="24"/>
          <w:szCs w:val="24"/>
        </w:rPr>
      </w:pPr>
      <w:r w:rsidRPr="00E74A4E">
        <w:rPr>
          <w:sz w:val="24"/>
          <w:szCs w:val="24"/>
        </w:rPr>
        <w:t>NBS – kun til sygehuse og efter ordina</w:t>
      </w:r>
      <w:r w:rsidR="0039707A" w:rsidRPr="00E74A4E">
        <w:rPr>
          <w:sz w:val="24"/>
          <w:szCs w:val="24"/>
        </w:rPr>
        <w:t>t</w:t>
      </w:r>
      <w:r w:rsidRPr="00E74A4E">
        <w:rPr>
          <w:sz w:val="24"/>
          <w:szCs w:val="24"/>
        </w:rPr>
        <w:t xml:space="preserve">ion af speciallæger i </w:t>
      </w:r>
      <w:proofErr w:type="spellStart"/>
      <w:r w:rsidRPr="00E74A4E">
        <w:rPr>
          <w:sz w:val="24"/>
          <w:szCs w:val="24"/>
        </w:rPr>
        <w:t>ofta</w:t>
      </w:r>
      <w:r w:rsidR="0039707A" w:rsidRPr="00E74A4E">
        <w:rPr>
          <w:sz w:val="24"/>
          <w:szCs w:val="24"/>
        </w:rPr>
        <w:t>mologi</w:t>
      </w:r>
      <w:proofErr w:type="spellEnd"/>
    </w:p>
    <w:p w14:paraId="2E0A9868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859257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4BF52A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5.</w:t>
      </w:r>
      <w:r w:rsidRPr="00E74A4E">
        <w:rPr>
          <w:b/>
          <w:sz w:val="24"/>
          <w:szCs w:val="24"/>
        </w:rPr>
        <w:tab/>
        <w:t>FARMAKOLOGISKE EGENSKABER</w:t>
      </w:r>
    </w:p>
    <w:p w14:paraId="495E4A34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A76AE9" w14:textId="77777777" w:rsidR="009260DE" w:rsidRPr="00E74A4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5.1</w:t>
      </w:r>
      <w:r w:rsidRPr="00E74A4E">
        <w:rPr>
          <w:b/>
          <w:sz w:val="24"/>
          <w:szCs w:val="24"/>
        </w:rPr>
        <w:tab/>
      </w:r>
      <w:proofErr w:type="spellStart"/>
      <w:r w:rsidRPr="00E74A4E">
        <w:rPr>
          <w:b/>
          <w:sz w:val="24"/>
          <w:szCs w:val="24"/>
        </w:rPr>
        <w:t>Farmakodynamiske</w:t>
      </w:r>
      <w:proofErr w:type="spellEnd"/>
      <w:r w:rsidRPr="00E74A4E">
        <w:rPr>
          <w:b/>
          <w:sz w:val="24"/>
          <w:szCs w:val="24"/>
        </w:rPr>
        <w:t xml:space="preserve"> egenskaber</w:t>
      </w:r>
    </w:p>
    <w:p w14:paraId="6039A930" w14:textId="4560F324" w:rsidR="00ED295B" w:rsidRDefault="00ED295B" w:rsidP="00793AB7">
      <w:pPr>
        <w:ind w:left="851"/>
        <w:rPr>
          <w:sz w:val="24"/>
          <w:szCs w:val="24"/>
          <w:lang w:bidi="da-DK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E74A4E">
        <w:rPr>
          <w:sz w:val="24"/>
          <w:szCs w:val="24"/>
          <w:lang w:bidi="da-DK"/>
        </w:rPr>
        <w:t xml:space="preserve">Oftalmologiske lægemidler, andre </w:t>
      </w:r>
      <w:proofErr w:type="spellStart"/>
      <w:r w:rsidRPr="00E74A4E">
        <w:rPr>
          <w:sz w:val="24"/>
          <w:szCs w:val="24"/>
          <w:lang w:bidi="da-DK"/>
        </w:rPr>
        <w:t>antiinfektionsmidler</w:t>
      </w:r>
      <w:proofErr w:type="spellEnd"/>
      <w:r w:rsidRPr="00E74A4E">
        <w:rPr>
          <w:sz w:val="24"/>
          <w:szCs w:val="24"/>
          <w:lang w:bidi="da-DK"/>
        </w:rPr>
        <w:t>.</w:t>
      </w:r>
    </w:p>
    <w:p w14:paraId="335C8266" w14:textId="1EDD0EBF" w:rsidR="00ED295B" w:rsidRDefault="00ED295B" w:rsidP="00793AB7">
      <w:pPr>
        <w:ind w:left="851"/>
        <w:rPr>
          <w:sz w:val="24"/>
          <w:szCs w:val="24"/>
          <w:lang w:bidi="da-DK"/>
        </w:rPr>
      </w:pPr>
      <w:r w:rsidRPr="00E74A4E">
        <w:rPr>
          <w:sz w:val="24"/>
          <w:szCs w:val="24"/>
          <w:lang w:bidi="da-DK"/>
        </w:rPr>
        <w:t>ATC-kode: S</w:t>
      </w:r>
      <w:r>
        <w:rPr>
          <w:sz w:val="24"/>
          <w:szCs w:val="24"/>
          <w:lang w:bidi="da-DK"/>
        </w:rPr>
        <w:t xml:space="preserve"> </w:t>
      </w:r>
      <w:r w:rsidRPr="00E74A4E">
        <w:rPr>
          <w:sz w:val="24"/>
          <w:szCs w:val="24"/>
          <w:lang w:bidi="da-DK"/>
        </w:rPr>
        <w:t>01</w:t>
      </w:r>
      <w:r>
        <w:rPr>
          <w:sz w:val="24"/>
          <w:szCs w:val="24"/>
          <w:lang w:bidi="da-DK"/>
        </w:rPr>
        <w:t xml:space="preserve"> </w:t>
      </w:r>
      <w:r w:rsidRPr="00E74A4E">
        <w:rPr>
          <w:sz w:val="24"/>
          <w:szCs w:val="24"/>
          <w:lang w:bidi="da-DK"/>
        </w:rPr>
        <w:t>AX</w:t>
      </w:r>
      <w:r>
        <w:rPr>
          <w:sz w:val="24"/>
          <w:szCs w:val="24"/>
          <w:lang w:bidi="da-DK"/>
        </w:rPr>
        <w:t xml:space="preserve"> </w:t>
      </w:r>
      <w:r w:rsidRPr="00E74A4E">
        <w:rPr>
          <w:sz w:val="24"/>
          <w:szCs w:val="24"/>
          <w:lang w:bidi="da-DK"/>
        </w:rPr>
        <w:t>18</w:t>
      </w:r>
      <w:r>
        <w:rPr>
          <w:sz w:val="24"/>
          <w:szCs w:val="24"/>
          <w:lang w:bidi="da-DK"/>
        </w:rPr>
        <w:t>.</w:t>
      </w:r>
    </w:p>
    <w:p w14:paraId="218B6558" w14:textId="77777777" w:rsidR="00ED295B" w:rsidRDefault="00ED295B" w:rsidP="00793AB7">
      <w:pPr>
        <w:ind w:left="851"/>
        <w:rPr>
          <w:sz w:val="24"/>
          <w:szCs w:val="24"/>
          <w:lang w:bidi="da-DK"/>
        </w:rPr>
      </w:pPr>
    </w:p>
    <w:p w14:paraId="723C6412" w14:textId="640CF5AC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lastRenderedPageBreak/>
        <w:t xml:space="preserve">Det aktive stof i </w:t>
      </w: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 xml:space="preserve">, fremstilles ved at reagere ca. 85 dele </w:t>
      </w:r>
      <w:proofErr w:type="spellStart"/>
      <w:r w:rsidRPr="00E74A4E">
        <w:rPr>
          <w:sz w:val="24"/>
          <w:szCs w:val="24"/>
          <w:lang w:bidi="da-DK"/>
        </w:rPr>
        <w:t>polyvinylpyrrolidon</w:t>
      </w:r>
      <w:proofErr w:type="spellEnd"/>
      <w:r w:rsidRPr="00E74A4E">
        <w:rPr>
          <w:sz w:val="24"/>
          <w:szCs w:val="24"/>
          <w:lang w:bidi="da-DK"/>
        </w:rPr>
        <w:t xml:space="preserve"> med 15 dele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. To tredjedele af </w:t>
      </w:r>
      <w:proofErr w:type="spellStart"/>
      <w:r w:rsidRPr="00E74A4E">
        <w:rPr>
          <w:sz w:val="24"/>
          <w:szCs w:val="24"/>
          <w:lang w:bidi="da-DK"/>
        </w:rPr>
        <w:t>ioden</w:t>
      </w:r>
      <w:proofErr w:type="spellEnd"/>
      <w:r w:rsidRPr="00E74A4E">
        <w:rPr>
          <w:sz w:val="24"/>
          <w:szCs w:val="24"/>
          <w:lang w:bidi="da-DK"/>
        </w:rPr>
        <w:t xml:space="preserve"> binder til </w:t>
      </w:r>
      <w:proofErr w:type="spellStart"/>
      <w:r w:rsidRPr="00E74A4E">
        <w:rPr>
          <w:sz w:val="24"/>
          <w:szCs w:val="24"/>
          <w:lang w:bidi="da-DK"/>
        </w:rPr>
        <w:t>polyvinylpyrrolidon</w:t>
      </w:r>
      <w:proofErr w:type="spellEnd"/>
      <w:r w:rsidRPr="00E74A4E">
        <w:rPr>
          <w:sz w:val="24"/>
          <w:szCs w:val="24"/>
          <w:lang w:bidi="da-DK"/>
        </w:rPr>
        <w:t xml:space="preserve"> og udgør dets aktive del. PVP</w:t>
      </w:r>
      <w:r w:rsidRPr="00E74A4E">
        <w:rPr>
          <w:sz w:val="24"/>
          <w:szCs w:val="24"/>
          <w:lang w:bidi="da-DK"/>
        </w:rPr>
        <w:noBreakHyphen/>
        <w:t>I</w:t>
      </w:r>
      <w:r w:rsidRPr="00E74A4E">
        <w:rPr>
          <w:sz w:val="24"/>
          <w:szCs w:val="24"/>
          <w:lang w:bidi="da-DK"/>
        </w:rPr>
        <w:noBreakHyphen/>
        <w:t>forbindelsen (</w:t>
      </w:r>
      <w:proofErr w:type="spellStart"/>
      <w:r w:rsidRPr="00E74A4E">
        <w:rPr>
          <w:sz w:val="24"/>
          <w:szCs w:val="24"/>
          <w:lang w:bidi="da-DK"/>
        </w:rPr>
        <w:t>polyvinylpyrrolidon-iod</w:t>
      </w:r>
      <w:proofErr w:type="spellEnd"/>
      <w:r w:rsidRPr="00E74A4E">
        <w:rPr>
          <w:sz w:val="24"/>
          <w:szCs w:val="24"/>
          <w:lang w:bidi="da-DK"/>
        </w:rPr>
        <w:t xml:space="preserve"> eller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 xml:space="preserve">) fungerer som et reservoir for det aktive stof: det tilgængelige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, som frigives fra forbindelsen under oxidations-reduktionsreaktionerne med aminosyregrupperne i mikroorganismernes proteiner. Den har en bredspektret aktivitet mod bakterier, sporer, svampe og vira.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 xml:space="preserve">, den aktive bestanddel af </w:t>
      </w:r>
      <w:proofErr w:type="spellStart"/>
      <w:r w:rsidRPr="00E74A4E">
        <w:rPr>
          <w:sz w:val="24"/>
          <w:szCs w:val="24"/>
          <w:lang w:bidi="da-DK"/>
        </w:rPr>
        <w:t>Ophthajod</w:t>
      </w:r>
      <w:proofErr w:type="spellEnd"/>
      <w:r w:rsidRPr="00E74A4E">
        <w:rPr>
          <w:sz w:val="24"/>
          <w:szCs w:val="24"/>
          <w:lang w:bidi="da-DK"/>
        </w:rPr>
        <w:t>, har en øjeblikkelig mikrobiocid effekt, der varer i mindst 45 minutter.</w:t>
      </w:r>
    </w:p>
    <w:p w14:paraId="11D80D1D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287BCDB4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Frigivelsen af aktivt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, med en feedback-mekanisme, er ansvarlig for PVP-I’s </w:t>
      </w:r>
      <w:proofErr w:type="spellStart"/>
      <w:r w:rsidRPr="00E74A4E">
        <w:rPr>
          <w:sz w:val="24"/>
          <w:szCs w:val="24"/>
          <w:lang w:bidi="da-DK"/>
        </w:rPr>
        <w:t>mikrobiocide</w:t>
      </w:r>
      <w:proofErr w:type="spellEnd"/>
      <w:r w:rsidRPr="00E74A4E">
        <w:rPr>
          <w:sz w:val="24"/>
          <w:szCs w:val="24"/>
          <w:lang w:bidi="da-DK"/>
        </w:rPr>
        <w:t xml:space="preserve"> aktivitet.</w:t>
      </w:r>
    </w:p>
    <w:p w14:paraId="4EBF68D6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25BE4C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5.2</w:t>
      </w:r>
      <w:r w:rsidRPr="00E74A4E">
        <w:rPr>
          <w:b/>
          <w:sz w:val="24"/>
          <w:szCs w:val="24"/>
        </w:rPr>
        <w:tab/>
      </w:r>
      <w:proofErr w:type="spellStart"/>
      <w:r w:rsidRPr="00E74A4E">
        <w:rPr>
          <w:b/>
          <w:sz w:val="24"/>
          <w:szCs w:val="24"/>
        </w:rPr>
        <w:t>Farmakokinetiske</w:t>
      </w:r>
      <w:proofErr w:type="spellEnd"/>
      <w:r w:rsidRPr="00E74A4E">
        <w:rPr>
          <w:b/>
          <w:sz w:val="24"/>
          <w:szCs w:val="24"/>
        </w:rPr>
        <w:t xml:space="preserve"> egenskaber</w:t>
      </w:r>
    </w:p>
    <w:p w14:paraId="373F53DC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Den tilgængelige </w:t>
      </w:r>
      <w:proofErr w:type="spellStart"/>
      <w:r w:rsidRPr="00E74A4E">
        <w:rPr>
          <w:sz w:val="24"/>
          <w:szCs w:val="24"/>
          <w:lang w:bidi="da-DK"/>
        </w:rPr>
        <w:t>iod</w:t>
      </w:r>
      <w:proofErr w:type="spellEnd"/>
      <w:r w:rsidRPr="00E74A4E">
        <w:rPr>
          <w:sz w:val="24"/>
          <w:szCs w:val="24"/>
          <w:lang w:bidi="da-DK"/>
        </w:rPr>
        <w:t xml:space="preserve"> i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 xml:space="preserve">, kan krydse </w:t>
      </w:r>
      <w:proofErr w:type="spellStart"/>
      <w:r w:rsidRPr="00E74A4E">
        <w:rPr>
          <w:sz w:val="24"/>
          <w:szCs w:val="24"/>
          <w:lang w:bidi="da-DK"/>
        </w:rPr>
        <w:t>konjunktivalbarrieren</w:t>
      </w:r>
      <w:proofErr w:type="spellEnd"/>
      <w:r w:rsidRPr="00E74A4E">
        <w:rPr>
          <w:sz w:val="24"/>
          <w:szCs w:val="24"/>
          <w:lang w:bidi="da-DK"/>
        </w:rPr>
        <w:t xml:space="preserve">. Udskillelsen sker hovedsageligt gennem urinen. </w:t>
      </w: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 alene kan under ingen omstændigheder absorberes på et systemisk niveau.</w:t>
      </w:r>
    </w:p>
    <w:p w14:paraId="6783B43A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A5F282" w14:textId="76C584B9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5.3</w:t>
      </w:r>
      <w:r w:rsidRPr="00E74A4E">
        <w:rPr>
          <w:b/>
          <w:sz w:val="24"/>
          <w:szCs w:val="24"/>
        </w:rPr>
        <w:tab/>
      </w:r>
      <w:r w:rsidR="00ED295B">
        <w:rPr>
          <w:b/>
          <w:sz w:val="24"/>
          <w:szCs w:val="24"/>
        </w:rPr>
        <w:t>Non-</w:t>
      </w:r>
      <w:r w:rsidRPr="00E74A4E">
        <w:rPr>
          <w:b/>
          <w:sz w:val="24"/>
          <w:szCs w:val="24"/>
        </w:rPr>
        <w:t>kliniske sikkerhedsdata</w:t>
      </w:r>
    </w:p>
    <w:p w14:paraId="212BFE32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proofErr w:type="spellStart"/>
      <w:r w:rsidRPr="00E74A4E">
        <w:rPr>
          <w:sz w:val="24"/>
          <w:szCs w:val="24"/>
          <w:lang w:bidi="da-DK"/>
        </w:rPr>
        <w:t>Povidon</w:t>
      </w:r>
      <w:proofErr w:type="spellEnd"/>
      <w:r w:rsidRPr="00E74A4E">
        <w:rPr>
          <w:sz w:val="24"/>
          <w:szCs w:val="24"/>
          <w:lang w:bidi="da-DK"/>
        </w:rPr>
        <w:t xml:space="preserve">, </w:t>
      </w:r>
      <w:proofErr w:type="spellStart"/>
      <w:r w:rsidRPr="00E74A4E">
        <w:rPr>
          <w:sz w:val="24"/>
          <w:szCs w:val="24"/>
          <w:lang w:bidi="da-DK"/>
        </w:rPr>
        <w:t>ioderet</w:t>
      </w:r>
      <w:proofErr w:type="spellEnd"/>
      <w:r w:rsidRPr="00E74A4E">
        <w:rPr>
          <w:sz w:val="24"/>
          <w:szCs w:val="24"/>
          <w:lang w:bidi="da-DK"/>
        </w:rPr>
        <w:t>, præsenterer LD</w:t>
      </w:r>
      <w:r w:rsidRPr="00E74A4E">
        <w:rPr>
          <w:sz w:val="24"/>
          <w:szCs w:val="24"/>
          <w:vertAlign w:val="subscript"/>
          <w:lang w:bidi="da-DK"/>
        </w:rPr>
        <w:t>50</w:t>
      </w:r>
      <w:r w:rsidRPr="00E74A4E">
        <w:rPr>
          <w:sz w:val="24"/>
          <w:szCs w:val="24"/>
          <w:lang w:bidi="da-DK"/>
        </w:rPr>
        <w:t xml:space="preserve"> mellem 400 og 4.000 mg/kg.</w:t>
      </w:r>
    </w:p>
    <w:p w14:paraId="258A0192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6AF7F6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B75B81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</w:t>
      </w:r>
      <w:r w:rsidRPr="00E74A4E">
        <w:rPr>
          <w:b/>
          <w:sz w:val="24"/>
          <w:szCs w:val="24"/>
        </w:rPr>
        <w:tab/>
        <w:t>FARMACEUTISKE OPLYSNINGER</w:t>
      </w:r>
    </w:p>
    <w:p w14:paraId="793E341C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62049D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6.1</w:t>
      </w:r>
      <w:r w:rsidRPr="00E74A4E">
        <w:rPr>
          <w:b/>
          <w:sz w:val="24"/>
          <w:szCs w:val="24"/>
        </w:rPr>
        <w:tab/>
        <w:t>Hjælpestoffer</w:t>
      </w:r>
    </w:p>
    <w:p w14:paraId="28B96945" w14:textId="752E4AAA" w:rsidR="00AE3C1B" w:rsidRPr="00E74A4E" w:rsidRDefault="00A97B2A" w:rsidP="00793AB7">
      <w:pPr>
        <w:ind w:left="851"/>
        <w:rPr>
          <w:sz w:val="24"/>
          <w:szCs w:val="24"/>
          <w:lang w:eastAsia="it-IT"/>
        </w:rPr>
      </w:pPr>
      <w:r>
        <w:rPr>
          <w:sz w:val="24"/>
          <w:szCs w:val="24"/>
          <w:lang w:bidi="da-DK"/>
        </w:rPr>
        <w:t>G</w:t>
      </w:r>
      <w:r w:rsidR="00AE3C1B" w:rsidRPr="00E74A4E">
        <w:rPr>
          <w:sz w:val="24"/>
          <w:szCs w:val="24"/>
          <w:lang w:bidi="da-DK"/>
        </w:rPr>
        <w:t>lycerol</w:t>
      </w:r>
    </w:p>
    <w:p w14:paraId="6C0844F8" w14:textId="0E028D65" w:rsidR="00AE3C1B" w:rsidRPr="00E74A4E" w:rsidRDefault="00A97B2A" w:rsidP="00793AB7">
      <w:pPr>
        <w:ind w:left="851"/>
        <w:rPr>
          <w:sz w:val="24"/>
          <w:szCs w:val="24"/>
        </w:rPr>
      </w:pPr>
      <w:r>
        <w:rPr>
          <w:sz w:val="24"/>
          <w:szCs w:val="24"/>
          <w:lang w:bidi="da-DK"/>
        </w:rPr>
        <w:t>C</w:t>
      </w:r>
      <w:r w:rsidR="00AE3C1B" w:rsidRPr="00E74A4E">
        <w:rPr>
          <w:sz w:val="24"/>
          <w:szCs w:val="24"/>
          <w:lang w:bidi="da-DK"/>
        </w:rPr>
        <w:t>itronsyremonohydrat</w:t>
      </w:r>
    </w:p>
    <w:p w14:paraId="144AD42F" w14:textId="2E46B12E" w:rsidR="00AE3C1B" w:rsidRPr="00E74A4E" w:rsidRDefault="00A97B2A" w:rsidP="00793AB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bidi="da-DK"/>
        </w:rPr>
        <w:t>P</w:t>
      </w:r>
      <w:r w:rsidR="00AE3C1B" w:rsidRPr="00E74A4E">
        <w:rPr>
          <w:sz w:val="24"/>
          <w:szCs w:val="24"/>
          <w:lang w:bidi="da-DK"/>
        </w:rPr>
        <w:t>olysorbat</w:t>
      </w:r>
      <w:proofErr w:type="spellEnd"/>
      <w:r w:rsidR="00AE3C1B" w:rsidRPr="00E74A4E">
        <w:rPr>
          <w:sz w:val="24"/>
          <w:szCs w:val="24"/>
          <w:lang w:bidi="da-DK"/>
        </w:rPr>
        <w:t xml:space="preserve"> 20</w:t>
      </w:r>
    </w:p>
    <w:p w14:paraId="15BACCBE" w14:textId="6FD909A2" w:rsidR="00AE3C1B" w:rsidRPr="00E74A4E" w:rsidRDefault="00A97B2A" w:rsidP="00793AB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bidi="da-DK"/>
        </w:rPr>
        <w:t>D</w:t>
      </w:r>
      <w:r w:rsidR="00AE3C1B" w:rsidRPr="00E74A4E">
        <w:rPr>
          <w:sz w:val="24"/>
          <w:szCs w:val="24"/>
          <w:lang w:bidi="da-DK"/>
        </w:rPr>
        <w:t>inatriumphosphatdodecahydrat</w:t>
      </w:r>
      <w:proofErr w:type="spellEnd"/>
    </w:p>
    <w:p w14:paraId="3A4D5B4F" w14:textId="4017961D" w:rsidR="00AE3C1B" w:rsidRPr="00E74A4E" w:rsidRDefault="00A97B2A" w:rsidP="00793AB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bidi="da-DK"/>
        </w:rPr>
        <w:t>N</w:t>
      </w:r>
      <w:r w:rsidR="00AE3C1B" w:rsidRPr="00E74A4E">
        <w:rPr>
          <w:sz w:val="24"/>
          <w:szCs w:val="24"/>
          <w:lang w:bidi="da-DK"/>
        </w:rPr>
        <w:t>atriumchlorid</w:t>
      </w:r>
      <w:proofErr w:type="spellEnd"/>
    </w:p>
    <w:p w14:paraId="44B4A7B6" w14:textId="21854185" w:rsidR="00AE3C1B" w:rsidRPr="00E74A4E" w:rsidRDefault="00A97B2A" w:rsidP="00793AB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bidi="da-DK"/>
        </w:rPr>
        <w:t>K</w:t>
      </w:r>
      <w:r w:rsidR="00AE3C1B" w:rsidRPr="00E74A4E">
        <w:rPr>
          <w:sz w:val="24"/>
          <w:szCs w:val="24"/>
          <w:lang w:bidi="da-DK"/>
        </w:rPr>
        <w:t>aliumiodat</w:t>
      </w:r>
      <w:proofErr w:type="spellEnd"/>
    </w:p>
    <w:p w14:paraId="6192CBEE" w14:textId="7FD3800D" w:rsidR="00AE3C1B" w:rsidRPr="00E74A4E" w:rsidRDefault="00A97B2A" w:rsidP="00793AB7">
      <w:pPr>
        <w:ind w:left="851"/>
        <w:rPr>
          <w:sz w:val="24"/>
          <w:szCs w:val="24"/>
        </w:rPr>
      </w:pPr>
      <w:r>
        <w:rPr>
          <w:sz w:val="24"/>
          <w:szCs w:val="24"/>
          <w:lang w:bidi="da-DK"/>
        </w:rPr>
        <w:t>N</w:t>
      </w:r>
      <w:r w:rsidR="00AE3C1B" w:rsidRPr="00E74A4E">
        <w:rPr>
          <w:sz w:val="24"/>
          <w:szCs w:val="24"/>
          <w:lang w:bidi="da-DK"/>
        </w:rPr>
        <w:t>atriumhydroxid</w:t>
      </w:r>
    </w:p>
    <w:p w14:paraId="57A648FE" w14:textId="2B3932EA" w:rsidR="00AE3C1B" w:rsidRPr="00E74A4E" w:rsidRDefault="00A97B2A" w:rsidP="00793AB7">
      <w:pPr>
        <w:ind w:left="851"/>
        <w:rPr>
          <w:sz w:val="24"/>
          <w:szCs w:val="24"/>
        </w:rPr>
      </w:pPr>
      <w:r>
        <w:rPr>
          <w:sz w:val="24"/>
          <w:szCs w:val="24"/>
          <w:lang w:bidi="da-DK"/>
        </w:rPr>
        <w:t>R</w:t>
      </w:r>
      <w:r w:rsidR="00AE3C1B" w:rsidRPr="00E74A4E">
        <w:rPr>
          <w:sz w:val="24"/>
          <w:szCs w:val="24"/>
          <w:lang w:bidi="da-DK"/>
        </w:rPr>
        <w:t>enset vand</w:t>
      </w:r>
    </w:p>
    <w:p w14:paraId="79D2B5E6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993F34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6.2</w:t>
      </w:r>
      <w:r w:rsidRPr="00E74A4E">
        <w:rPr>
          <w:b/>
          <w:sz w:val="24"/>
          <w:szCs w:val="24"/>
        </w:rPr>
        <w:tab/>
        <w:t>Uforligeligheder</w:t>
      </w:r>
    </w:p>
    <w:p w14:paraId="7CDBFDE1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>Dette lægemiddel må ikke blandes med andre lægemidler.</w:t>
      </w:r>
    </w:p>
    <w:p w14:paraId="1EA7ACB5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21995AEC" w14:textId="5A288E56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På grund af risikoen for dannelse af ætsende forbindelser, må dette lægemiddel ikke anvendes sammen med </w:t>
      </w:r>
      <w:proofErr w:type="spellStart"/>
      <w:r w:rsidRPr="00E74A4E">
        <w:rPr>
          <w:sz w:val="24"/>
          <w:szCs w:val="24"/>
          <w:lang w:bidi="da-DK"/>
        </w:rPr>
        <w:t>oftalmiske</w:t>
      </w:r>
      <w:proofErr w:type="spellEnd"/>
      <w:r w:rsidRPr="00E74A4E">
        <w:rPr>
          <w:sz w:val="24"/>
          <w:szCs w:val="24"/>
          <w:lang w:bidi="da-DK"/>
        </w:rPr>
        <w:t xml:space="preserve"> præparater, der indeholder kviksølvbaserede konserveringsmidler, for eksempel </w:t>
      </w:r>
      <w:proofErr w:type="spellStart"/>
      <w:r w:rsidRPr="00E74A4E">
        <w:rPr>
          <w:sz w:val="24"/>
          <w:szCs w:val="24"/>
          <w:lang w:bidi="da-DK"/>
        </w:rPr>
        <w:t>thimerosal</w:t>
      </w:r>
      <w:proofErr w:type="spellEnd"/>
      <w:r w:rsidRPr="00E74A4E">
        <w:rPr>
          <w:sz w:val="24"/>
          <w:szCs w:val="24"/>
          <w:lang w:bidi="da-DK"/>
        </w:rPr>
        <w:t xml:space="preserve">. Se afsnittet </w:t>
      </w:r>
      <w:r w:rsidR="00846B77">
        <w:rPr>
          <w:sz w:val="24"/>
          <w:szCs w:val="24"/>
          <w:lang w:bidi="da-DK"/>
        </w:rPr>
        <w:t>"</w:t>
      </w:r>
      <w:r w:rsidRPr="00E74A4E">
        <w:rPr>
          <w:sz w:val="24"/>
          <w:szCs w:val="24"/>
          <w:lang w:bidi="da-DK"/>
        </w:rPr>
        <w:t>Interaktion</w:t>
      </w:r>
      <w:r w:rsidR="00846B77">
        <w:rPr>
          <w:sz w:val="24"/>
          <w:szCs w:val="24"/>
          <w:lang w:bidi="da-DK"/>
        </w:rPr>
        <w:t>"</w:t>
      </w:r>
      <w:r w:rsidRPr="00E74A4E">
        <w:rPr>
          <w:sz w:val="24"/>
          <w:szCs w:val="24"/>
          <w:lang w:bidi="da-DK"/>
        </w:rPr>
        <w:t>.</w:t>
      </w:r>
    </w:p>
    <w:p w14:paraId="1341C7EF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5D9FD824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 xml:space="preserve">Jod er en </w:t>
      </w:r>
      <w:proofErr w:type="spellStart"/>
      <w:r w:rsidRPr="00E74A4E">
        <w:rPr>
          <w:sz w:val="24"/>
          <w:szCs w:val="24"/>
          <w:lang w:bidi="da-DK"/>
        </w:rPr>
        <w:t>oxidant</w:t>
      </w:r>
      <w:proofErr w:type="spellEnd"/>
      <w:r w:rsidRPr="00E74A4E">
        <w:rPr>
          <w:sz w:val="24"/>
          <w:szCs w:val="24"/>
          <w:lang w:bidi="da-DK"/>
        </w:rPr>
        <w:t>, der kan føre til kemiske uforligeligheder med andre stoffer.</w:t>
      </w:r>
    </w:p>
    <w:p w14:paraId="5833BF62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5441F86E" w14:textId="77777777" w:rsidR="00AE3C1B" w:rsidRPr="00E74A4E" w:rsidRDefault="00AE3C1B" w:rsidP="00793AB7">
      <w:pPr>
        <w:ind w:left="851"/>
        <w:rPr>
          <w:sz w:val="24"/>
          <w:szCs w:val="24"/>
        </w:rPr>
      </w:pPr>
      <w:proofErr w:type="spellStart"/>
      <w:r w:rsidRPr="00E74A4E">
        <w:rPr>
          <w:sz w:val="24"/>
          <w:szCs w:val="24"/>
          <w:lang w:bidi="da-DK"/>
        </w:rPr>
        <w:t>Povidon-iod</w:t>
      </w:r>
      <w:proofErr w:type="spellEnd"/>
      <w:r w:rsidRPr="00E74A4E">
        <w:rPr>
          <w:sz w:val="24"/>
          <w:szCs w:val="24"/>
          <w:lang w:bidi="da-DK"/>
        </w:rPr>
        <w:t xml:space="preserve"> inaktiveres eller bliver ustabil i nærvær af natriumthiosulfat, varme, lys eller alkalisk pH.</w:t>
      </w:r>
    </w:p>
    <w:p w14:paraId="1671C9AA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5242B8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6.3</w:t>
      </w:r>
      <w:r w:rsidRPr="00E74A4E">
        <w:rPr>
          <w:b/>
          <w:sz w:val="24"/>
          <w:szCs w:val="24"/>
        </w:rPr>
        <w:tab/>
        <w:t>Opbevaringstid</w:t>
      </w:r>
    </w:p>
    <w:p w14:paraId="0883FF31" w14:textId="281BD4A3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>18 måneder.</w:t>
      </w:r>
    </w:p>
    <w:p w14:paraId="4AE1A24A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Kassér dråbebeholderen efter brug, også selv om den kun er delvist opbrugt.</w:t>
      </w:r>
    </w:p>
    <w:p w14:paraId="06BB49EF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100361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6.4</w:t>
      </w:r>
      <w:r w:rsidRPr="00E74A4E">
        <w:rPr>
          <w:b/>
          <w:sz w:val="24"/>
          <w:szCs w:val="24"/>
        </w:rPr>
        <w:tab/>
        <w:t>Særlige opbevaringsforhold</w:t>
      </w:r>
    </w:p>
    <w:p w14:paraId="3BF50E47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Må ikke opbevares ved temperaturer over 25 °C. </w:t>
      </w:r>
    </w:p>
    <w:p w14:paraId="4D0205F8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ABD215" w14:textId="1281B68E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6.5</w:t>
      </w:r>
      <w:r w:rsidRPr="00E74A4E">
        <w:rPr>
          <w:b/>
          <w:sz w:val="24"/>
          <w:szCs w:val="24"/>
        </w:rPr>
        <w:tab/>
        <w:t>Emballagetype og pakningsstørrelser</w:t>
      </w:r>
    </w:p>
    <w:p w14:paraId="44E35C86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 xml:space="preserve">Én steril dråbebeholder af </w:t>
      </w:r>
      <w:proofErr w:type="spellStart"/>
      <w:r w:rsidRPr="00E74A4E">
        <w:rPr>
          <w:sz w:val="24"/>
          <w:szCs w:val="24"/>
          <w:lang w:bidi="da-DK"/>
        </w:rPr>
        <w:t>polyethylen</w:t>
      </w:r>
      <w:proofErr w:type="spellEnd"/>
      <w:r w:rsidRPr="00E74A4E">
        <w:rPr>
          <w:sz w:val="24"/>
          <w:szCs w:val="24"/>
          <w:lang w:bidi="da-DK"/>
        </w:rPr>
        <w:t xml:space="preserve"> indeholdende 4,0 ml øjendråber. Dråbebeholderen er opbevaret i et dobbelt sterilt brev.</w:t>
      </w:r>
    </w:p>
    <w:p w14:paraId="0CD077AF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8C3490" w14:textId="27DF28AE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6.6</w:t>
      </w:r>
      <w:r w:rsidRPr="00E74A4E">
        <w:rPr>
          <w:b/>
          <w:sz w:val="24"/>
          <w:szCs w:val="24"/>
        </w:rPr>
        <w:tab/>
        <w:t xml:space="preserve">Regler for </w:t>
      </w:r>
      <w:r w:rsidR="00ED295B">
        <w:rPr>
          <w:b/>
          <w:sz w:val="24"/>
          <w:szCs w:val="24"/>
        </w:rPr>
        <w:t>bortskaffelse</w:t>
      </w:r>
      <w:r w:rsidRPr="00E74A4E">
        <w:rPr>
          <w:b/>
          <w:sz w:val="24"/>
          <w:szCs w:val="24"/>
        </w:rPr>
        <w:t xml:space="preserve"> og anden håndtering</w:t>
      </w:r>
    </w:p>
    <w:p w14:paraId="70221802" w14:textId="77777777" w:rsidR="00AE3C1B" w:rsidRPr="00E74A4E" w:rsidRDefault="00AE3C1B" w:rsidP="00793AB7">
      <w:pPr>
        <w:ind w:left="851"/>
        <w:rPr>
          <w:sz w:val="24"/>
          <w:szCs w:val="24"/>
          <w:lang w:eastAsia="it-IT"/>
        </w:rPr>
      </w:pPr>
      <w:r w:rsidRPr="00E74A4E">
        <w:rPr>
          <w:sz w:val="24"/>
          <w:szCs w:val="24"/>
          <w:lang w:bidi="da-DK"/>
        </w:rPr>
        <w:t>Udnyt det dobbelte brev til at overføre produktet til operationsstuen ved hjælp af aseptiske teknikker og brug som beskrevet i pkt. 4.2.</w:t>
      </w:r>
    </w:p>
    <w:p w14:paraId="67000899" w14:textId="77777777" w:rsidR="00AE3C1B" w:rsidRPr="00E74A4E" w:rsidRDefault="00AE3C1B" w:rsidP="00793AB7">
      <w:pPr>
        <w:ind w:left="851"/>
        <w:rPr>
          <w:sz w:val="24"/>
          <w:szCs w:val="24"/>
        </w:rPr>
      </w:pPr>
    </w:p>
    <w:p w14:paraId="0756C9CD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Ingen særlige forholdsregler ved bortskaffelse.</w:t>
      </w:r>
    </w:p>
    <w:p w14:paraId="2413ABD3" w14:textId="77777777" w:rsidR="009260DE" w:rsidRPr="00E74A4E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21B37DB8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7.</w:t>
      </w:r>
      <w:r w:rsidRPr="00E74A4E">
        <w:rPr>
          <w:b/>
          <w:sz w:val="24"/>
          <w:szCs w:val="24"/>
        </w:rPr>
        <w:tab/>
        <w:t>INDEHAVER AF MARKEDSFØRINGSTILLADELSEN</w:t>
      </w:r>
    </w:p>
    <w:p w14:paraId="32758FBE" w14:textId="77777777" w:rsidR="00ED295B" w:rsidRPr="00ED295B" w:rsidRDefault="00ED295B" w:rsidP="00793AB7">
      <w:pPr>
        <w:ind w:left="851"/>
        <w:rPr>
          <w:sz w:val="24"/>
          <w:szCs w:val="24"/>
          <w:lang w:val="en-US" w:bidi="da-DK"/>
        </w:rPr>
      </w:pPr>
      <w:r w:rsidRPr="00ED295B">
        <w:rPr>
          <w:sz w:val="24"/>
          <w:szCs w:val="24"/>
          <w:lang w:val="en-US" w:bidi="da-DK"/>
        </w:rPr>
        <w:t xml:space="preserve">XGX Pharma </w:t>
      </w:r>
      <w:proofErr w:type="spellStart"/>
      <w:r w:rsidRPr="00ED295B">
        <w:rPr>
          <w:sz w:val="24"/>
          <w:szCs w:val="24"/>
          <w:lang w:val="en-US" w:bidi="da-DK"/>
        </w:rPr>
        <w:t>ApS</w:t>
      </w:r>
      <w:proofErr w:type="spellEnd"/>
    </w:p>
    <w:p w14:paraId="6A72042A" w14:textId="5F99C482" w:rsidR="00AE3C1B" w:rsidRPr="00ED295B" w:rsidRDefault="00AE3C1B" w:rsidP="00793AB7">
      <w:pPr>
        <w:ind w:left="851"/>
        <w:rPr>
          <w:sz w:val="24"/>
          <w:szCs w:val="24"/>
          <w:lang w:val="en-US"/>
        </w:rPr>
      </w:pPr>
      <w:proofErr w:type="spellStart"/>
      <w:r w:rsidRPr="00ED295B">
        <w:rPr>
          <w:sz w:val="24"/>
          <w:szCs w:val="24"/>
          <w:lang w:val="en-US" w:bidi="da-DK"/>
        </w:rPr>
        <w:t>Frederiksgade</w:t>
      </w:r>
      <w:proofErr w:type="spellEnd"/>
      <w:r w:rsidRPr="00ED295B">
        <w:rPr>
          <w:sz w:val="24"/>
          <w:szCs w:val="24"/>
          <w:lang w:val="en-US" w:bidi="da-DK"/>
        </w:rPr>
        <w:t xml:space="preserve"> 11, St, Th</w:t>
      </w:r>
      <w:r w:rsidR="00ED295B" w:rsidRPr="00ED295B">
        <w:rPr>
          <w:sz w:val="24"/>
          <w:szCs w:val="24"/>
          <w:lang w:val="en-US" w:bidi="da-DK"/>
        </w:rPr>
        <w:t>.</w:t>
      </w:r>
    </w:p>
    <w:p w14:paraId="3316AB88" w14:textId="77777777" w:rsidR="00AE3C1B" w:rsidRPr="00E74A4E" w:rsidRDefault="00AE3C1B" w:rsidP="00793AB7">
      <w:pPr>
        <w:ind w:left="851"/>
        <w:rPr>
          <w:sz w:val="24"/>
          <w:szCs w:val="24"/>
        </w:rPr>
      </w:pPr>
      <w:r w:rsidRPr="00E74A4E">
        <w:rPr>
          <w:sz w:val="24"/>
          <w:szCs w:val="24"/>
          <w:lang w:bidi="da-DK"/>
        </w:rPr>
        <w:t>1265 København K</w:t>
      </w:r>
    </w:p>
    <w:p w14:paraId="3484B2B7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C8D7BE" w14:textId="37286E15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8.</w:t>
      </w:r>
      <w:r w:rsidRPr="00E74A4E">
        <w:rPr>
          <w:b/>
          <w:sz w:val="24"/>
          <w:szCs w:val="24"/>
        </w:rPr>
        <w:tab/>
        <w:t>MARKEDSFØRINGSTILLADELSESNUMMER (</w:t>
      </w:r>
      <w:r w:rsidR="00ED295B">
        <w:rPr>
          <w:b/>
          <w:sz w:val="24"/>
          <w:szCs w:val="24"/>
        </w:rPr>
        <w:t>-</w:t>
      </w:r>
      <w:r w:rsidRPr="00E74A4E">
        <w:rPr>
          <w:b/>
          <w:sz w:val="24"/>
          <w:szCs w:val="24"/>
        </w:rPr>
        <w:t>NUMRE)</w:t>
      </w:r>
    </w:p>
    <w:p w14:paraId="710975E1" w14:textId="43AFF4FB" w:rsidR="009260DE" w:rsidRPr="00E74A4E" w:rsidRDefault="005D1CEB" w:rsidP="009260DE">
      <w:pPr>
        <w:tabs>
          <w:tab w:val="left" w:pos="851"/>
        </w:tabs>
        <w:ind w:left="851"/>
        <w:rPr>
          <w:sz w:val="24"/>
          <w:szCs w:val="24"/>
        </w:rPr>
      </w:pPr>
      <w:r w:rsidRPr="00E74A4E">
        <w:rPr>
          <w:sz w:val="24"/>
          <w:szCs w:val="24"/>
        </w:rPr>
        <w:t>65789</w:t>
      </w:r>
    </w:p>
    <w:p w14:paraId="12FC1B1F" w14:textId="77777777" w:rsidR="009260DE" w:rsidRPr="00E74A4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CA93AC4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9.</w:t>
      </w:r>
      <w:r w:rsidRPr="00E74A4E">
        <w:rPr>
          <w:b/>
          <w:sz w:val="24"/>
          <w:szCs w:val="24"/>
        </w:rPr>
        <w:tab/>
        <w:t>DATO FOR FØRSTE MARKEDSFØRINGSTILLADELSE</w:t>
      </w:r>
    </w:p>
    <w:p w14:paraId="33406E7C" w14:textId="45497D05" w:rsidR="009260DE" w:rsidRPr="00E74A4E" w:rsidRDefault="00EC65B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april 2022</w:t>
      </w:r>
    </w:p>
    <w:p w14:paraId="49DB597F" w14:textId="77777777" w:rsidR="009260DE" w:rsidRPr="00E74A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053DCA" w14:textId="77777777" w:rsidR="009260DE" w:rsidRPr="00E74A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74A4E">
        <w:rPr>
          <w:b/>
          <w:sz w:val="24"/>
          <w:szCs w:val="24"/>
        </w:rPr>
        <w:t>10.</w:t>
      </w:r>
      <w:r w:rsidRPr="00E74A4E">
        <w:rPr>
          <w:b/>
          <w:sz w:val="24"/>
          <w:szCs w:val="24"/>
        </w:rPr>
        <w:tab/>
        <w:t>DATO FOR ÆNDRING AF TEKSTEN</w:t>
      </w:r>
    </w:p>
    <w:p w14:paraId="07207ABA" w14:textId="602BAF70" w:rsidR="009260DE" w:rsidRPr="00E74A4E" w:rsidRDefault="00ED295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</w:t>
      </w:r>
      <w:r w:rsidR="00BF6457">
        <w:rPr>
          <w:sz w:val="24"/>
          <w:szCs w:val="24"/>
        </w:rPr>
        <w:t xml:space="preserve">. </w:t>
      </w:r>
      <w:r>
        <w:rPr>
          <w:sz w:val="24"/>
          <w:szCs w:val="24"/>
        </w:rPr>
        <w:t>oktober</w:t>
      </w:r>
      <w:r w:rsidR="00BF6457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sectPr w:rsidR="009260DE" w:rsidRPr="00E74A4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F267" w14:textId="77777777" w:rsidR="0052377A" w:rsidRDefault="0052377A">
      <w:r>
        <w:separator/>
      </w:r>
    </w:p>
  </w:endnote>
  <w:endnote w:type="continuationSeparator" w:id="0">
    <w:p w14:paraId="097E1336" w14:textId="77777777" w:rsidR="0052377A" w:rsidRDefault="0052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AAB1" w14:textId="77777777" w:rsidR="000259B9" w:rsidRDefault="000259B9">
    <w:pPr>
      <w:pStyle w:val="Sidefod"/>
      <w:pBdr>
        <w:bottom w:val="single" w:sz="6" w:space="1" w:color="auto"/>
      </w:pBdr>
    </w:pPr>
  </w:p>
  <w:p w14:paraId="17F01F85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1F5F546" w14:textId="320331F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1400B">
      <w:rPr>
        <w:i/>
        <w:noProof/>
        <w:sz w:val="18"/>
        <w:szCs w:val="18"/>
      </w:rPr>
      <w:t>Ophthajod, øjendråber, opløsning 50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F55D" w14:textId="77777777" w:rsidR="0052377A" w:rsidRDefault="0052377A">
      <w:r>
        <w:separator/>
      </w:r>
    </w:p>
  </w:footnote>
  <w:footnote w:type="continuationSeparator" w:id="0">
    <w:p w14:paraId="5A356E1C" w14:textId="77777777" w:rsidR="0052377A" w:rsidRDefault="0052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E7F7640"/>
    <w:multiLevelType w:val="hybridMultilevel"/>
    <w:tmpl w:val="9662AB48"/>
    <w:lvl w:ilvl="0" w:tplc="EAF698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73534ED"/>
    <w:multiLevelType w:val="hybridMultilevel"/>
    <w:tmpl w:val="4E4A0080"/>
    <w:lvl w:ilvl="0" w:tplc="1F3CBD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AFE197E"/>
    <w:multiLevelType w:val="hybridMultilevel"/>
    <w:tmpl w:val="6F384634"/>
    <w:lvl w:ilvl="0" w:tplc="EAF698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5262"/>
    <w:multiLevelType w:val="hybridMultilevel"/>
    <w:tmpl w:val="63C4EC7C"/>
    <w:lvl w:ilvl="0" w:tplc="EAF698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E24F2"/>
    <w:multiLevelType w:val="hybridMultilevel"/>
    <w:tmpl w:val="36F49278"/>
    <w:lvl w:ilvl="0" w:tplc="F4840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E36F0"/>
    <w:multiLevelType w:val="hybridMultilevel"/>
    <w:tmpl w:val="E7344C72"/>
    <w:lvl w:ilvl="0" w:tplc="EAF698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7A"/>
    <w:rsid w:val="000259B9"/>
    <w:rsid w:val="00041491"/>
    <w:rsid w:val="00050D16"/>
    <w:rsid w:val="00070E2B"/>
    <w:rsid w:val="000730CA"/>
    <w:rsid w:val="00074F2A"/>
    <w:rsid w:val="000A1CA8"/>
    <w:rsid w:val="000A466B"/>
    <w:rsid w:val="000B058C"/>
    <w:rsid w:val="000B74F1"/>
    <w:rsid w:val="000E4EE6"/>
    <w:rsid w:val="001454E2"/>
    <w:rsid w:val="00206CE8"/>
    <w:rsid w:val="0021526C"/>
    <w:rsid w:val="00283A2B"/>
    <w:rsid w:val="002B30AD"/>
    <w:rsid w:val="002C2C01"/>
    <w:rsid w:val="0039707A"/>
    <w:rsid w:val="003A29AE"/>
    <w:rsid w:val="003A32D7"/>
    <w:rsid w:val="003B4074"/>
    <w:rsid w:val="003C769A"/>
    <w:rsid w:val="003F1838"/>
    <w:rsid w:val="0045746C"/>
    <w:rsid w:val="00465AFB"/>
    <w:rsid w:val="0049104B"/>
    <w:rsid w:val="004C5A02"/>
    <w:rsid w:val="004E3B12"/>
    <w:rsid w:val="0052377A"/>
    <w:rsid w:val="00532310"/>
    <w:rsid w:val="00565F0F"/>
    <w:rsid w:val="00594A86"/>
    <w:rsid w:val="00596D86"/>
    <w:rsid w:val="005C5437"/>
    <w:rsid w:val="005D1CEB"/>
    <w:rsid w:val="00637F5A"/>
    <w:rsid w:val="006560B1"/>
    <w:rsid w:val="006756DD"/>
    <w:rsid w:val="00737275"/>
    <w:rsid w:val="00740EEC"/>
    <w:rsid w:val="0078011A"/>
    <w:rsid w:val="00782AF4"/>
    <w:rsid w:val="00790EE7"/>
    <w:rsid w:val="00793AB7"/>
    <w:rsid w:val="007B6649"/>
    <w:rsid w:val="007C1630"/>
    <w:rsid w:val="0082576E"/>
    <w:rsid w:val="00846B77"/>
    <w:rsid w:val="00883407"/>
    <w:rsid w:val="008A7BE2"/>
    <w:rsid w:val="008B65BC"/>
    <w:rsid w:val="00907F75"/>
    <w:rsid w:val="009260DE"/>
    <w:rsid w:val="0093258A"/>
    <w:rsid w:val="009A25C9"/>
    <w:rsid w:val="009C7BA3"/>
    <w:rsid w:val="009D1F5A"/>
    <w:rsid w:val="00A10294"/>
    <w:rsid w:val="00A374B0"/>
    <w:rsid w:val="00A97B2A"/>
    <w:rsid w:val="00AE3C1B"/>
    <w:rsid w:val="00B003BF"/>
    <w:rsid w:val="00B373D7"/>
    <w:rsid w:val="00B94254"/>
    <w:rsid w:val="00BF6457"/>
    <w:rsid w:val="00C36276"/>
    <w:rsid w:val="00C42586"/>
    <w:rsid w:val="00C60CCD"/>
    <w:rsid w:val="00C84483"/>
    <w:rsid w:val="00C911EC"/>
    <w:rsid w:val="00C95551"/>
    <w:rsid w:val="00CB20D7"/>
    <w:rsid w:val="00D020B0"/>
    <w:rsid w:val="00D11748"/>
    <w:rsid w:val="00D1400B"/>
    <w:rsid w:val="00D366CF"/>
    <w:rsid w:val="00E108AA"/>
    <w:rsid w:val="00E3749A"/>
    <w:rsid w:val="00E7437F"/>
    <w:rsid w:val="00E74A4E"/>
    <w:rsid w:val="00E865B8"/>
    <w:rsid w:val="00EC0B9B"/>
    <w:rsid w:val="00EC65BF"/>
    <w:rsid w:val="00ED295B"/>
    <w:rsid w:val="00ED5E9F"/>
    <w:rsid w:val="00F35A28"/>
    <w:rsid w:val="00F66D4F"/>
    <w:rsid w:val="00FA4899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7AE64"/>
  <w15:chartTrackingRefBased/>
  <w15:docId w15:val="{9382741E-9F10-4EAA-BFC0-2373244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">
    <w:name w:val="Body Text Indent"/>
    <w:basedOn w:val="Normal"/>
    <w:link w:val="BrdtekstindrykningTegn"/>
    <w:semiHidden/>
    <w:unhideWhenUsed/>
    <w:rsid w:val="005C5437"/>
    <w:pPr>
      <w:spacing w:after="120"/>
      <w:ind w:left="283"/>
    </w:pPr>
    <w:rPr>
      <w:rFonts w:ascii="CG Times" w:hAnsi="CG Times"/>
      <w:sz w:val="20"/>
      <w:lang w:eastAsia="it-IT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5C5437"/>
    <w:rPr>
      <w:rFonts w:ascii="CG Times" w:hAnsi="CG Times"/>
      <w:lang w:eastAsia="it-I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C543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C5437"/>
    <w:rPr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AE3C1B"/>
    <w:rPr>
      <w:color w:val="0563C1"/>
      <w:u w:val="single"/>
    </w:rPr>
  </w:style>
  <w:style w:type="paragraph" w:styleId="Brdtekst">
    <w:name w:val="Body Text"/>
    <w:basedOn w:val="Normal"/>
    <w:link w:val="BrdtekstTegn"/>
    <w:uiPriority w:val="99"/>
    <w:semiHidden/>
    <w:unhideWhenUsed/>
    <w:rsid w:val="00AE3C1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E3C1B"/>
    <w:rPr>
      <w:sz w:val="23"/>
      <w:lang w:eastAsia="en-US"/>
    </w:rPr>
  </w:style>
  <w:style w:type="paragraph" w:styleId="Opstilling-forts2">
    <w:name w:val="List Continue 2"/>
    <w:basedOn w:val="Normal"/>
    <w:semiHidden/>
    <w:unhideWhenUsed/>
    <w:rsid w:val="00AE3C1B"/>
    <w:pPr>
      <w:spacing w:after="120"/>
    </w:pPr>
    <w:rPr>
      <w:sz w:val="18"/>
      <w:lang w:eastAsia="it-IT"/>
    </w:rPr>
  </w:style>
  <w:style w:type="paragraph" w:styleId="Opstilling-forts3">
    <w:name w:val="List Continue 3"/>
    <w:basedOn w:val="Normal"/>
    <w:uiPriority w:val="99"/>
    <w:semiHidden/>
    <w:unhideWhenUsed/>
    <w:rsid w:val="00AE3C1B"/>
    <w:pPr>
      <w:spacing w:after="120"/>
      <w:ind w:left="849"/>
      <w:contextualSpacing/>
    </w:pPr>
  </w:style>
  <w:style w:type="paragraph" w:styleId="Liste3">
    <w:name w:val="List 3"/>
    <w:basedOn w:val="Normal"/>
    <w:uiPriority w:val="99"/>
    <w:semiHidden/>
    <w:unhideWhenUsed/>
    <w:rsid w:val="00AE3C1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E3C1B"/>
    <w:pPr>
      <w:ind w:left="1132" w:hanging="283"/>
      <w:contextualSpacing/>
    </w:pPr>
  </w:style>
  <w:style w:type="paragraph" w:styleId="Listeafsnit">
    <w:name w:val="List Paragraph"/>
    <w:basedOn w:val="Normal"/>
    <w:uiPriority w:val="34"/>
    <w:qFormat/>
    <w:rsid w:val="0079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1429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2024084167_x000d_
Ændring af MAH navn fra Vital Pharma Nordic ApS</dc:description>
  <cp:lastModifiedBy>Marianne Ott Jensen</cp:lastModifiedBy>
  <cp:revision>4</cp:revision>
  <cp:lastPrinted>2012-08-22T08:53:00Z</cp:lastPrinted>
  <dcterms:created xsi:type="dcterms:W3CDTF">2024-10-10T08:46:00Z</dcterms:created>
  <dcterms:modified xsi:type="dcterms:W3CDTF">2024-10-10T08:49:00Z</dcterms:modified>
</cp:coreProperties>
</file>