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C594" w14:textId="77777777" w:rsidR="004873ED" w:rsidRPr="00482170" w:rsidRDefault="004873ED" w:rsidP="004873ED">
      <w:pPr>
        <w:tabs>
          <w:tab w:val="right" w:pos="9072"/>
        </w:tabs>
        <w:jc w:val="both"/>
        <w:rPr>
          <w:spacing w:val="-3"/>
          <w:sz w:val="24"/>
          <w:szCs w:val="24"/>
        </w:rPr>
      </w:pPr>
      <w:r w:rsidRPr="00482170">
        <w:rPr>
          <w:noProof/>
          <w:spacing w:val="-3"/>
          <w:sz w:val="24"/>
          <w:szCs w:val="24"/>
        </w:rPr>
        <w:drawing>
          <wp:inline distT="0" distB="0" distL="0" distR="0" wp14:anchorId="4A418F01" wp14:editId="0076AF11">
            <wp:extent cx="2466975" cy="685800"/>
            <wp:effectExtent l="0" t="0" r="9525" b="0"/>
            <wp:docPr id="2" name="Billede 2" descr="C:\Users\AMM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14:paraId="42592874" w14:textId="1A9D2A44" w:rsidR="00D617BD" w:rsidRPr="007653D9" w:rsidRDefault="00D617BD" w:rsidP="00D617BD">
      <w:pPr>
        <w:tabs>
          <w:tab w:val="right" w:pos="9072"/>
        </w:tabs>
        <w:jc w:val="both"/>
        <w:rPr>
          <w:bCs/>
          <w:spacing w:val="-3"/>
          <w:sz w:val="24"/>
          <w:szCs w:val="24"/>
        </w:rPr>
      </w:pPr>
    </w:p>
    <w:p w14:paraId="727E1F9B" w14:textId="7DF488CE" w:rsidR="00CC0B42" w:rsidRPr="00D617BD" w:rsidRDefault="00CC0B42" w:rsidP="007653D9">
      <w:pPr>
        <w:tabs>
          <w:tab w:val="right" w:pos="9072"/>
        </w:tabs>
        <w:jc w:val="right"/>
        <w:rPr>
          <w:b/>
          <w:spacing w:val="-3"/>
          <w:sz w:val="24"/>
          <w:szCs w:val="24"/>
        </w:rPr>
      </w:pPr>
      <w:r>
        <w:rPr>
          <w:b/>
          <w:spacing w:val="-3"/>
          <w:sz w:val="24"/>
          <w:szCs w:val="24"/>
        </w:rPr>
        <w:t>8. juni 2026</w:t>
      </w:r>
    </w:p>
    <w:p w14:paraId="7171B66A" w14:textId="77777777" w:rsidR="004873ED"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6BBD3EB1" w14:textId="77777777" w:rsidR="007653D9" w:rsidRDefault="007653D9"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662EA905" w14:textId="77777777" w:rsidR="007653D9" w:rsidRPr="00482170" w:rsidRDefault="007653D9"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326FFD44" w14:textId="1A6B3E9C" w:rsidR="004873ED" w:rsidRPr="004C0B3B" w:rsidRDefault="004873ED" w:rsidP="007653D9">
      <w:pPr>
        <w:tabs>
          <w:tab w:val="center" w:pos="4536"/>
        </w:tabs>
        <w:jc w:val="center"/>
        <w:rPr>
          <w:b/>
          <w:spacing w:val="-3"/>
          <w:sz w:val="24"/>
          <w:szCs w:val="24"/>
        </w:rPr>
      </w:pPr>
      <w:r w:rsidRPr="004C0B3B">
        <w:rPr>
          <w:b/>
          <w:spacing w:val="-3"/>
          <w:sz w:val="24"/>
          <w:szCs w:val="24"/>
        </w:rPr>
        <w:t>PRODUKTRESUMÉ</w:t>
      </w:r>
    </w:p>
    <w:p w14:paraId="0D53DDD1" w14:textId="77777777" w:rsidR="004873ED" w:rsidRPr="004C0B3B" w:rsidRDefault="004873ED"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rPr>
      </w:pPr>
    </w:p>
    <w:p w14:paraId="657152AC" w14:textId="1F4D9A3A" w:rsidR="004873ED" w:rsidRPr="004C0B3B" w:rsidRDefault="004873ED" w:rsidP="007653D9">
      <w:pPr>
        <w:tabs>
          <w:tab w:val="center" w:pos="4536"/>
        </w:tabs>
        <w:jc w:val="center"/>
        <w:rPr>
          <w:b/>
          <w:spacing w:val="-3"/>
          <w:sz w:val="24"/>
          <w:szCs w:val="24"/>
        </w:rPr>
      </w:pPr>
      <w:r w:rsidRPr="004C0B3B">
        <w:rPr>
          <w:b/>
          <w:spacing w:val="-3"/>
          <w:sz w:val="24"/>
          <w:szCs w:val="24"/>
        </w:rPr>
        <w:t>for</w:t>
      </w:r>
    </w:p>
    <w:p w14:paraId="477D6FB8" w14:textId="77777777" w:rsidR="004873ED" w:rsidRPr="004C0B3B" w:rsidRDefault="004873ED"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rPr>
      </w:pPr>
    </w:p>
    <w:p w14:paraId="3233BA84" w14:textId="16DE31C0" w:rsidR="004873ED" w:rsidRPr="004C0B3B" w:rsidRDefault="004873ED" w:rsidP="007653D9">
      <w:pPr>
        <w:tabs>
          <w:tab w:val="center" w:pos="4536"/>
        </w:tabs>
        <w:jc w:val="center"/>
        <w:rPr>
          <w:spacing w:val="-3"/>
          <w:sz w:val="24"/>
          <w:szCs w:val="24"/>
        </w:rPr>
      </w:pPr>
      <w:proofErr w:type="spellStart"/>
      <w:r w:rsidRPr="004C0B3B">
        <w:rPr>
          <w:b/>
          <w:spacing w:val="-3"/>
          <w:sz w:val="24"/>
          <w:szCs w:val="24"/>
        </w:rPr>
        <w:t>Orfiril</w:t>
      </w:r>
      <w:proofErr w:type="spellEnd"/>
      <w:r w:rsidRPr="004C0B3B">
        <w:rPr>
          <w:b/>
          <w:spacing w:val="-3"/>
          <w:sz w:val="24"/>
          <w:szCs w:val="24"/>
        </w:rPr>
        <w:t xml:space="preserve"> Long, </w:t>
      </w:r>
      <w:r w:rsidR="00B33DDB">
        <w:rPr>
          <w:b/>
          <w:spacing w:val="-3"/>
          <w:sz w:val="24"/>
          <w:szCs w:val="24"/>
        </w:rPr>
        <w:t xml:space="preserve">hårde </w:t>
      </w:r>
      <w:r w:rsidRPr="004C0B3B">
        <w:rPr>
          <w:b/>
          <w:spacing w:val="-3"/>
          <w:sz w:val="24"/>
          <w:szCs w:val="24"/>
        </w:rPr>
        <w:t>depotkapsler</w:t>
      </w:r>
    </w:p>
    <w:p w14:paraId="0587172C" w14:textId="77777777" w:rsidR="004873ED" w:rsidRPr="004C0B3B" w:rsidRDefault="004873ED" w:rsidP="00904809">
      <w:pPr>
        <w:tabs>
          <w:tab w:val="left" w:pos="0"/>
          <w:tab w:val="left" w:pos="851"/>
          <w:tab w:val="left" w:pos="1701"/>
          <w:tab w:val="left" w:pos="2552"/>
          <w:tab w:val="left" w:pos="3403"/>
          <w:tab w:val="left" w:pos="4254"/>
          <w:tab w:val="left" w:pos="5105"/>
          <w:tab w:val="left" w:pos="5955"/>
          <w:tab w:val="left" w:pos="6806"/>
          <w:tab w:val="left" w:pos="7657"/>
          <w:tab w:val="left" w:pos="8508"/>
        </w:tabs>
        <w:rPr>
          <w:spacing w:val="-3"/>
          <w:sz w:val="24"/>
          <w:szCs w:val="24"/>
        </w:rPr>
      </w:pPr>
    </w:p>
    <w:p w14:paraId="2A90B5D2" w14:textId="33A9314C" w:rsidR="004873ED" w:rsidRPr="004C0B3B" w:rsidRDefault="004873ED" w:rsidP="007653D9">
      <w:pPr>
        <w:ind w:left="851"/>
        <w:rPr>
          <w:spacing w:val="-3"/>
          <w:sz w:val="24"/>
          <w:szCs w:val="24"/>
        </w:rPr>
      </w:pPr>
      <w:r w:rsidRPr="004C0B3B">
        <w:rPr>
          <w:spacing w:val="-3"/>
          <w:sz w:val="24"/>
          <w:szCs w:val="24"/>
        </w:rPr>
        <w:t>▼ Dette lægemiddel er underlagt supplerende overvågning. Dermed kan nye sikkerhedsoplysninger hurtigt tilvejebringes. Læger og sundhedspersonale anmodes om at indberette alle formodede bivirkninger. Se i pkt. 4.8, hvordan bivirkninger indberettes.</w:t>
      </w:r>
    </w:p>
    <w:p w14:paraId="0C9C1408" w14:textId="77777777" w:rsidR="004873ED"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jc w:val="both"/>
        <w:rPr>
          <w:spacing w:val="-3"/>
          <w:sz w:val="24"/>
          <w:szCs w:val="24"/>
        </w:rPr>
      </w:pPr>
    </w:p>
    <w:p w14:paraId="3BBDBBF7" w14:textId="77777777" w:rsidR="007653D9" w:rsidRPr="004C0B3B" w:rsidRDefault="007653D9"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jc w:val="both"/>
        <w:rPr>
          <w:spacing w:val="-3"/>
          <w:sz w:val="24"/>
          <w:szCs w:val="24"/>
        </w:rPr>
      </w:pPr>
    </w:p>
    <w:p w14:paraId="49C1D12F"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0.</w:t>
      </w:r>
      <w:r w:rsidRPr="007653D9">
        <w:rPr>
          <w:b/>
          <w:spacing w:val="-3"/>
          <w:sz w:val="24"/>
          <w:szCs w:val="24"/>
        </w:rPr>
        <w:tab/>
        <w:t>D.SP.NR.</w:t>
      </w:r>
    </w:p>
    <w:p w14:paraId="0C6AE57A" w14:textId="7CD4F7CA"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r>
      <w:r w:rsidR="007653D9">
        <w:rPr>
          <w:spacing w:val="-3"/>
          <w:sz w:val="24"/>
          <w:szCs w:val="24"/>
        </w:rPr>
        <w:t>0</w:t>
      </w:r>
      <w:r w:rsidRPr="004C0B3B">
        <w:rPr>
          <w:spacing w:val="-3"/>
          <w:sz w:val="24"/>
          <w:szCs w:val="24"/>
        </w:rPr>
        <w:t>3790</w:t>
      </w:r>
    </w:p>
    <w:p w14:paraId="7BF225AD"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51788643"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1.</w:t>
      </w:r>
      <w:r w:rsidRPr="007653D9">
        <w:rPr>
          <w:b/>
          <w:spacing w:val="-3"/>
          <w:sz w:val="24"/>
          <w:szCs w:val="24"/>
        </w:rPr>
        <w:tab/>
        <w:t>LÆGEMIDLETS NAVN</w:t>
      </w:r>
    </w:p>
    <w:p w14:paraId="6E1F0981"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r>
      <w:proofErr w:type="spellStart"/>
      <w:r w:rsidRPr="004C0B3B">
        <w:rPr>
          <w:spacing w:val="-3"/>
          <w:sz w:val="24"/>
          <w:szCs w:val="24"/>
        </w:rPr>
        <w:t>Orfiril</w:t>
      </w:r>
      <w:proofErr w:type="spellEnd"/>
      <w:r w:rsidRPr="004C0B3B">
        <w:rPr>
          <w:spacing w:val="-3"/>
          <w:sz w:val="24"/>
          <w:szCs w:val="24"/>
        </w:rPr>
        <w:t xml:space="preserve"> Long</w:t>
      </w:r>
    </w:p>
    <w:p w14:paraId="37BC9831"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0182853D"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2.</w:t>
      </w:r>
      <w:r w:rsidRPr="007653D9">
        <w:rPr>
          <w:b/>
          <w:spacing w:val="-3"/>
          <w:sz w:val="24"/>
          <w:szCs w:val="24"/>
        </w:rPr>
        <w:tab/>
        <w:t>KVALITATIV OG KVANTITATIV SAMMENSÆTNING</w:t>
      </w:r>
    </w:p>
    <w:p w14:paraId="597C79B2"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r>
      <w:proofErr w:type="spellStart"/>
      <w:r w:rsidRPr="004C0B3B">
        <w:rPr>
          <w:spacing w:val="-3"/>
          <w:sz w:val="24"/>
          <w:szCs w:val="24"/>
        </w:rPr>
        <w:t>Natriumvalproat</w:t>
      </w:r>
      <w:proofErr w:type="spellEnd"/>
      <w:r w:rsidRPr="004C0B3B">
        <w:rPr>
          <w:spacing w:val="-3"/>
          <w:sz w:val="24"/>
          <w:szCs w:val="24"/>
        </w:rPr>
        <w:t xml:space="preserve"> 150 mg og 300 mg.</w:t>
      </w:r>
    </w:p>
    <w:p w14:paraId="175584A6"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46CE85C2" w14:textId="77777777" w:rsidR="00B746D6" w:rsidRPr="004C0B3B" w:rsidRDefault="00B746D6" w:rsidP="00B746D6">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jc w:val="both"/>
        <w:rPr>
          <w:spacing w:val="-3"/>
          <w:sz w:val="24"/>
          <w:szCs w:val="24"/>
          <w:u w:val="single"/>
          <w:lang w:eastAsia="da-DK"/>
        </w:rPr>
      </w:pPr>
      <w:r w:rsidRPr="004C0B3B">
        <w:rPr>
          <w:spacing w:val="-3"/>
          <w:sz w:val="24"/>
          <w:szCs w:val="24"/>
          <w:u w:val="single"/>
        </w:rPr>
        <w:tab/>
        <w:t>Hjælpestof(fer), som behandleren skal være opmærksom på</w:t>
      </w:r>
    </w:p>
    <w:p w14:paraId="7BEE38D1" w14:textId="77777777" w:rsidR="00B746D6" w:rsidRPr="004C0B3B" w:rsidRDefault="00B746D6" w:rsidP="00B746D6">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jc w:val="both"/>
        <w:rPr>
          <w:spacing w:val="-3"/>
          <w:sz w:val="24"/>
          <w:szCs w:val="24"/>
        </w:rPr>
      </w:pPr>
      <w:proofErr w:type="spellStart"/>
      <w:r w:rsidRPr="004C0B3B">
        <w:rPr>
          <w:spacing w:val="-3"/>
          <w:sz w:val="24"/>
          <w:szCs w:val="24"/>
        </w:rPr>
        <w:t>Orfiril</w:t>
      </w:r>
      <w:proofErr w:type="spellEnd"/>
      <w:r w:rsidRPr="004C0B3B">
        <w:rPr>
          <w:spacing w:val="-3"/>
          <w:sz w:val="24"/>
          <w:szCs w:val="24"/>
        </w:rPr>
        <w:t xml:space="preserve"> Long 150 mg indeholder mindre end 1 mmol (23 mg) natrium pr. kapsel.</w:t>
      </w:r>
    </w:p>
    <w:p w14:paraId="7D06A5DB" w14:textId="77777777" w:rsidR="00B746D6" w:rsidRPr="004C0B3B" w:rsidRDefault="00B746D6" w:rsidP="00B746D6">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jc w:val="both"/>
        <w:rPr>
          <w:spacing w:val="-3"/>
          <w:sz w:val="24"/>
          <w:szCs w:val="24"/>
        </w:rPr>
      </w:pPr>
      <w:proofErr w:type="spellStart"/>
      <w:r w:rsidRPr="004C0B3B">
        <w:rPr>
          <w:spacing w:val="-3"/>
          <w:sz w:val="24"/>
          <w:szCs w:val="24"/>
        </w:rPr>
        <w:t>Orfiril</w:t>
      </w:r>
      <w:proofErr w:type="spellEnd"/>
      <w:r w:rsidRPr="004C0B3B">
        <w:rPr>
          <w:spacing w:val="-3"/>
          <w:sz w:val="24"/>
          <w:szCs w:val="24"/>
        </w:rPr>
        <w:t xml:space="preserve"> Long 300 mg indeholder mindre end 1,8 mmol (41,4 mg) natrium pr. kapsel.</w:t>
      </w:r>
    </w:p>
    <w:p w14:paraId="0315AD30" w14:textId="77777777" w:rsidR="00B746D6" w:rsidRPr="004C0B3B" w:rsidRDefault="00B746D6"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71A1A9D4"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r w:rsidRPr="004C0B3B">
        <w:rPr>
          <w:spacing w:val="-3"/>
          <w:sz w:val="24"/>
          <w:szCs w:val="24"/>
        </w:rPr>
        <w:tab/>
        <w:t>Alle hjælpestoffer er anført under pkt. 6.1.</w:t>
      </w:r>
    </w:p>
    <w:p w14:paraId="61FD2E57"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21515282" w14:textId="77777777" w:rsidR="007653D9" w:rsidRPr="007653D9" w:rsidRDefault="007653D9" w:rsidP="007653D9">
      <w:pPr>
        <w:tabs>
          <w:tab w:val="left" w:pos="851"/>
        </w:tabs>
        <w:ind w:left="851" w:hanging="851"/>
        <w:rPr>
          <w:b/>
          <w:spacing w:val="-3"/>
          <w:sz w:val="24"/>
          <w:szCs w:val="24"/>
        </w:rPr>
      </w:pPr>
      <w:r w:rsidRPr="007653D9">
        <w:rPr>
          <w:b/>
          <w:spacing w:val="-3"/>
          <w:sz w:val="24"/>
          <w:szCs w:val="24"/>
        </w:rPr>
        <w:t>3.</w:t>
      </w:r>
      <w:r w:rsidRPr="007653D9">
        <w:rPr>
          <w:b/>
          <w:spacing w:val="-3"/>
          <w:sz w:val="24"/>
          <w:szCs w:val="24"/>
        </w:rPr>
        <w:tab/>
        <w:t>LÆGEMIDDELFORM</w:t>
      </w:r>
    </w:p>
    <w:p w14:paraId="7A2422FE" w14:textId="63076309" w:rsidR="004873ED" w:rsidRPr="004C0B3B" w:rsidRDefault="007653D9" w:rsidP="007653D9">
      <w:pPr>
        <w:ind w:left="851"/>
        <w:rPr>
          <w:sz w:val="24"/>
          <w:szCs w:val="24"/>
        </w:rPr>
      </w:pPr>
      <w:r>
        <w:rPr>
          <w:sz w:val="24"/>
          <w:szCs w:val="24"/>
        </w:rPr>
        <w:t>Hårde d</w:t>
      </w:r>
      <w:r w:rsidR="004873ED" w:rsidRPr="004C0B3B">
        <w:rPr>
          <w:sz w:val="24"/>
          <w:szCs w:val="24"/>
        </w:rPr>
        <w:t>epotkapsler</w:t>
      </w:r>
    </w:p>
    <w:p w14:paraId="575F702B" w14:textId="77777777" w:rsidR="004873ED" w:rsidRPr="004C0B3B" w:rsidRDefault="004873ED" w:rsidP="007653D9">
      <w:pPr>
        <w:ind w:left="851"/>
        <w:rPr>
          <w:sz w:val="24"/>
          <w:szCs w:val="24"/>
        </w:rPr>
      </w:pPr>
    </w:p>
    <w:p w14:paraId="035F123E" w14:textId="2D6F2B02" w:rsidR="004873ED" w:rsidRPr="004C0B3B" w:rsidRDefault="004873ED" w:rsidP="007653D9">
      <w:pPr>
        <w:ind w:left="851"/>
        <w:rPr>
          <w:sz w:val="24"/>
          <w:szCs w:val="24"/>
        </w:rPr>
      </w:pPr>
      <w:r w:rsidRPr="004C0B3B">
        <w:rPr>
          <w:sz w:val="24"/>
          <w:szCs w:val="24"/>
        </w:rPr>
        <w:t>1 depotkapsel indeholder ca. 50 (</w:t>
      </w:r>
      <w:proofErr w:type="spellStart"/>
      <w:r w:rsidRPr="004C0B3B">
        <w:rPr>
          <w:sz w:val="24"/>
          <w:szCs w:val="24"/>
        </w:rPr>
        <w:t>Orfiril</w:t>
      </w:r>
      <w:proofErr w:type="spellEnd"/>
      <w:r w:rsidRPr="004C0B3B">
        <w:rPr>
          <w:sz w:val="24"/>
          <w:szCs w:val="24"/>
        </w:rPr>
        <w:t xml:space="preserve"> Long 150 mg) eller 100 (</w:t>
      </w:r>
      <w:proofErr w:type="spellStart"/>
      <w:r w:rsidRPr="004C0B3B">
        <w:rPr>
          <w:sz w:val="24"/>
          <w:szCs w:val="24"/>
        </w:rPr>
        <w:t>Orfiril</w:t>
      </w:r>
      <w:proofErr w:type="spellEnd"/>
      <w:r w:rsidRPr="004C0B3B">
        <w:rPr>
          <w:sz w:val="24"/>
          <w:szCs w:val="24"/>
        </w:rPr>
        <w:t xml:space="preserve"> Long 300 mg) filmovertrukne, hvide eller offwhite, runde minitabletter i hver hård kapselskal (underdel naturfarvet, overdel lyseblå/grøn, begge gennemsigtige).</w:t>
      </w:r>
    </w:p>
    <w:p w14:paraId="714B8839" w14:textId="77777777" w:rsidR="004873ED" w:rsidRPr="004C0B3B" w:rsidRDefault="004873ED" w:rsidP="004873ED">
      <w:pPr>
        <w:tabs>
          <w:tab w:val="left" w:pos="851"/>
        </w:tabs>
        <w:rPr>
          <w:sz w:val="24"/>
          <w:szCs w:val="24"/>
        </w:rPr>
      </w:pPr>
    </w:p>
    <w:p w14:paraId="79B5D948" w14:textId="77777777" w:rsidR="004873ED" w:rsidRPr="004C0B3B" w:rsidRDefault="004873ED" w:rsidP="004873ED">
      <w:pPr>
        <w:tabs>
          <w:tab w:val="left" w:pos="851"/>
        </w:tabs>
        <w:rPr>
          <w:sz w:val="24"/>
          <w:szCs w:val="24"/>
        </w:rPr>
      </w:pPr>
    </w:p>
    <w:p w14:paraId="3E0D404C" w14:textId="77777777" w:rsidR="007653D9" w:rsidRPr="007653D9" w:rsidRDefault="007653D9" w:rsidP="007653D9">
      <w:pPr>
        <w:tabs>
          <w:tab w:val="left" w:pos="851"/>
        </w:tabs>
        <w:ind w:left="851" w:hanging="851"/>
        <w:rPr>
          <w:b/>
          <w:sz w:val="24"/>
          <w:szCs w:val="24"/>
        </w:rPr>
      </w:pPr>
      <w:r w:rsidRPr="007653D9">
        <w:rPr>
          <w:b/>
          <w:sz w:val="24"/>
          <w:szCs w:val="24"/>
        </w:rPr>
        <w:t>4.</w:t>
      </w:r>
      <w:r w:rsidRPr="007653D9">
        <w:rPr>
          <w:b/>
          <w:sz w:val="24"/>
          <w:szCs w:val="24"/>
        </w:rPr>
        <w:tab/>
        <w:t>KLINISKE OPLYSNINGER</w:t>
      </w:r>
    </w:p>
    <w:p w14:paraId="1D686B65" w14:textId="77777777" w:rsidR="007653D9" w:rsidRPr="007653D9" w:rsidRDefault="007653D9" w:rsidP="007653D9">
      <w:pPr>
        <w:tabs>
          <w:tab w:val="left" w:pos="851"/>
        </w:tabs>
        <w:ind w:left="851" w:hanging="851"/>
        <w:rPr>
          <w:b/>
          <w:sz w:val="24"/>
          <w:szCs w:val="24"/>
        </w:rPr>
      </w:pPr>
    </w:p>
    <w:p w14:paraId="49ECB59E" w14:textId="77777777" w:rsidR="007653D9" w:rsidRPr="007653D9" w:rsidRDefault="007653D9" w:rsidP="007653D9">
      <w:pPr>
        <w:tabs>
          <w:tab w:val="left" w:pos="851"/>
        </w:tabs>
        <w:ind w:left="851" w:hanging="851"/>
        <w:rPr>
          <w:b/>
          <w:sz w:val="24"/>
          <w:szCs w:val="24"/>
          <w:u w:val="single"/>
        </w:rPr>
      </w:pPr>
      <w:r w:rsidRPr="007653D9">
        <w:rPr>
          <w:b/>
          <w:sz w:val="24"/>
          <w:szCs w:val="24"/>
        </w:rPr>
        <w:t>4.1</w:t>
      </w:r>
      <w:r w:rsidRPr="007653D9">
        <w:rPr>
          <w:b/>
          <w:sz w:val="24"/>
          <w:szCs w:val="24"/>
        </w:rPr>
        <w:tab/>
        <w:t>Terapeutiske indikationer</w:t>
      </w:r>
    </w:p>
    <w:p w14:paraId="72EE5FD1" w14:textId="77777777" w:rsidR="004873ED" w:rsidRPr="004C0B3B" w:rsidRDefault="004873ED" w:rsidP="004873ED">
      <w:pPr>
        <w:tabs>
          <w:tab w:val="left" w:pos="851"/>
        </w:tabs>
        <w:ind w:left="851" w:hanging="851"/>
        <w:rPr>
          <w:sz w:val="24"/>
          <w:szCs w:val="24"/>
        </w:rPr>
      </w:pPr>
      <w:r w:rsidRPr="004C0B3B">
        <w:rPr>
          <w:sz w:val="24"/>
          <w:szCs w:val="24"/>
        </w:rPr>
        <w:tab/>
        <w:t xml:space="preserve">Epilepsi. Generaliseret epilepsi i form af tonisk-kloniske anfald (grand mal), </w:t>
      </w:r>
      <w:proofErr w:type="spellStart"/>
      <w:r w:rsidRPr="004C0B3B">
        <w:rPr>
          <w:sz w:val="24"/>
          <w:szCs w:val="24"/>
        </w:rPr>
        <w:t>myoklonier</w:t>
      </w:r>
      <w:proofErr w:type="spellEnd"/>
      <w:r w:rsidRPr="004C0B3B">
        <w:rPr>
          <w:sz w:val="24"/>
          <w:szCs w:val="24"/>
        </w:rPr>
        <w:t xml:space="preserve"> og absencer (petit mal). Partielle anfald og sekundært generaliserede anfald.</w:t>
      </w:r>
    </w:p>
    <w:p w14:paraId="3DDEB848" w14:textId="77777777" w:rsidR="004873ED" w:rsidRPr="004C0B3B" w:rsidRDefault="004873ED" w:rsidP="004873ED">
      <w:pPr>
        <w:tabs>
          <w:tab w:val="left" w:pos="851"/>
        </w:tabs>
        <w:rPr>
          <w:sz w:val="24"/>
          <w:szCs w:val="24"/>
        </w:rPr>
      </w:pPr>
    </w:p>
    <w:p w14:paraId="2450769A" w14:textId="77777777" w:rsidR="004873ED" w:rsidRPr="004C0B3B" w:rsidRDefault="004873ED" w:rsidP="004873ED">
      <w:pPr>
        <w:tabs>
          <w:tab w:val="left" w:pos="851"/>
        </w:tabs>
        <w:ind w:left="851" w:hanging="851"/>
        <w:rPr>
          <w:sz w:val="24"/>
          <w:szCs w:val="24"/>
        </w:rPr>
      </w:pPr>
      <w:r w:rsidRPr="004C0B3B">
        <w:rPr>
          <w:sz w:val="24"/>
          <w:szCs w:val="24"/>
        </w:rPr>
        <w:lastRenderedPageBreak/>
        <w:tab/>
        <w:t xml:space="preserve">Behandling af maniske episoder ved bipolar lidelse, når </w:t>
      </w:r>
      <w:proofErr w:type="spellStart"/>
      <w:r w:rsidRPr="004C0B3B">
        <w:rPr>
          <w:sz w:val="24"/>
          <w:szCs w:val="24"/>
        </w:rPr>
        <w:t>lithium</w:t>
      </w:r>
      <w:proofErr w:type="spellEnd"/>
      <w:r w:rsidRPr="004C0B3B">
        <w:rPr>
          <w:sz w:val="24"/>
          <w:szCs w:val="24"/>
        </w:rPr>
        <w:t xml:space="preserve"> er kontraindiceret eller ikke tolereres. Fortsættelse af behandling efter en manisk episode kan overvejes hos patienter, som har responderet på </w:t>
      </w:r>
      <w:proofErr w:type="spellStart"/>
      <w:r w:rsidRPr="004C0B3B">
        <w:rPr>
          <w:sz w:val="24"/>
          <w:szCs w:val="24"/>
        </w:rPr>
        <w:t>Orfiril</w:t>
      </w:r>
      <w:proofErr w:type="spellEnd"/>
      <w:r w:rsidRPr="004C0B3B">
        <w:rPr>
          <w:sz w:val="24"/>
          <w:szCs w:val="24"/>
        </w:rPr>
        <w:t xml:space="preserve"> Long ved akut mani.</w:t>
      </w:r>
    </w:p>
    <w:p w14:paraId="3DE2C09F" w14:textId="77777777" w:rsidR="004873ED" w:rsidRPr="004C0B3B" w:rsidRDefault="004873ED" w:rsidP="004873ED">
      <w:pPr>
        <w:tabs>
          <w:tab w:val="left" w:pos="851"/>
        </w:tabs>
        <w:rPr>
          <w:sz w:val="24"/>
          <w:szCs w:val="24"/>
        </w:rPr>
      </w:pPr>
      <w:r w:rsidRPr="004C0B3B">
        <w:rPr>
          <w:sz w:val="24"/>
          <w:szCs w:val="24"/>
        </w:rPr>
        <w:tab/>
      </w:r>
    </w:p>
    <w:p w14:paraId="5EBF2464" w14:textId="77777777" w:rsidR="007653D9" w:rsidRPr="00C84483" w:rsidRDefault="007653D9" w:rsidP="007653D9">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14:paraId="4D69DF6E" w14:textId="77777777" w:rsidR="007653D9" w:rsidRDefault="007653D9" w:rsidP="007653D9">
      <w:pPr>
        <w:ind w:left="851"/>
        <w:rPr>
          <w:sz w:val="24"/>
          <w:szCs w:val="24"/>
        </w:rPr>
      </w:pPr>
    </w:p>
    <w:p w14:paraId="265550FC" w14:textId="5E06FECD" w:rsidR="004873ED" w:rsidRPr="007653D9" w:rsidRDefault="004873ED" w:rsidP="007653D9">
      <w:pPr>
        <w:ind w:left="851"/>
        <w:rPr>
          <w:sz w:val="24"/>
          <w:szCs w:val="24"/>
          <w:u w:val="single"/>
        </w:rPr>
      </w:pPr>
      <w:r w:rsidRPr="007653D9">
        <w:rPr>
          <w:sz w:val="24"/>
          <w:szCs w:val="24"/>
          <w:u w:val="single"/>
        </w:rPr>
        <w:t>Piger og fertile kvinder</w:t>
      </w:r>
    </w:p>
    <w:p w14:paraId="32109051" w14:textId="77777777" w:rsidR="004873ED" w:rsidRPr="007653D9" w:rsidRDefault="004873ED" w:rsidP="007653D9">
      <w:pPr>
        <w:ind w:left="851"/>
        <w:rPr>
          <w:sz w:val="24"/>
          <w:szCs w:val="24"/>
        </w:rPr>
      </w:pPr>
      <w:r w:rsidRPr="007653D9">
        <w:rPr>
          <w:sz w:val="24"/>
          <w:szCs w:val="24"/>
        </w:rPr>
        <w:t xml:space="preserve">Behandling med </w:t>
      </w:r>
      <w:proofErr w:type="spellStart"/>
      <w:r w:rsidRPr="007653D9">
        <w:rPr>
          <w:sz w:val="24"/>
          <w:szCs w:val="24"/>
        </w:rPr>
        <w:t>valproat</w:t>
      </w:r>
      <w:proofErr w:type="spellEnd"/>
      <w:r w:rsidRPr="007653D9">
        <w:rPr>
          <w:sz w:val="24"/>
          <w:szCs w:val="24"/>
        </w:rPr>
        <w:t xml:space="preserve"> skal initieres og overvåges af en specialist, der har erfaring med behandling af epilepsi eller bipolar lidelse. </w:t>
      </w:r>
      <w:proofErr w:type="spellStart"/>
      <w:r w:rsidRPr="007653D9">
        <w:rPr>
          <w:sz w:val="24"/>
          <w:szCs w:val="24"/>
        </w:rPr>
        <w:t>Valproat</w:t>
      </w:r>
      <w:proofErr w:type="spellEnd"/>
      <w:r w:rsidRPr="007653D9">
        <w:rPr>
          <w:sz w:val="24"/>
          <w:szCs w:val="24"/>
        </w:rPr>
        <w:t xml:space="preserve"> bør ikke anvendes til piger og fertile kvinder, medmindre andre behandlinger er ineffektive eller ikke tolereres.</w:t>
      </w:r>
    </w:p>
    <w:p w14:paraId="407D32D1" w14:textId="77777777" w:rsidR="004873ED" w:rsidRPr="007653D9" w:rsidRDefault="004873ED" w:rsidP="007653D9">
      <w:pPr>
        <w:ind w:left="851"/>
        <w:rPr>
          <w:sz w:val="24"/>
          <w:szCs w:val="24"/>
        </w:rPr>
      </w:pPr>
      <w:proofErr w:type="spellStart"/>
      <w:r w:rsidRPr="007653D9">
        <w:rPr>
          <w:sz w:val="24"/>
          <w:szCs w:val="24"/>
        </w:rPr>
        <w:t>Valproat</w:t>
      </w:r>
      <w:proofErr w:type="spellEnd"/>
      <w:r w:rsidRPr="007653D9">
        <w:rPr>
          <w:sz w:val="24"/>
          <w:szCs w:val="24"/>
        </w:rPr>
        <w:t xml:space="preserve"> skal ordineres og dispenseres ifølge </w:t>
      </w:r>
      <w:proofErr w:type="spellStart"/>
      <w:r w:rsidRPr="007653D9">
        <w:rPr>
          <w:sz w:val="24"/>
          <w:szCs w:val="24"/>
        </w:rPr>
        <w:t>Valproat</w:t>
      </w:r>
      <w:proofErr w:type="spellEnd"/>
      <w:r w:rsidRPr="007653D9">
        <w:rPr>
          <w:sz w:val="24"/>
          <w:szCs w:val="24"/>
        </w:rPr>
        <w:t xml:space="preserve"> præventionsprogrammet (pkt. 4.3 og 4.4).</w:t>
      </w:r>
    </w:p>
    <w:p w14:paraId="1E134908" w14:textId="77777777" w:rsidR="004873ED" w:rsidRPr="007653D9" w:rsidRDefault="004873ED" w:rsidP="007653D9">
      <w:pPr>
        <w:ind w:left="851"/>
        <w:rPr>
          <w:sz w:val="24"/>
          <w:szCs w:val="24"/>
        </w:rPr>
      </w:pPr>
      <w:proofErr w:type="spellStart"/>
      <w:r w:rsidRPr="007653D9">
        <w:rPr>
          <w:sz w:val="24"/>
          <w:szCs w:val="24"/>
        </w:rPr>
        <w:t>Valproat</w:t>
      </w:r>
      <w:proofErr w:type="spellEnd"/>
      <w:r w:rsidRPr="007653D9">
        <w:rPr>
          <w:sz w:val="24"/>
          <w:szCs w:val="24"/>
        </w:rPr>
        <w:t xml:space="preserve"> bør fortrinsvis ordineres som monoterapi og ved den laveste effektive dosis, om muligt som en depotformulering. Den daglige dosis bør opdeles i mindst to enkeltdoser (se pkt. 4.6).</w:t>
      </w:r>
    </w:p>
    <w:p w14:paraId="64E567DC" w14:textId="77777777" w:rsidR="00613335" w:rsidRPr="007653D9" w:rsidRDefault="00613335" w:rsidP="007653D9">
      <w:pPr>
        <w:ind w:left="851"/>
        <w:rPr>
          <w:sz w:val="24"/>
          <w:szCs w:val="24"/>
        </w:rPr>
      </w:pPr>
    </w:p>
    <w:p w14:paraId="4FCE465A" w14:textId="77777777" w:rsidR="00613335" w:rsidRPr="007653D9" w:rsidRDefault="00613335" w:rsidP="007653D9">
      <w:pPr>
        <w:ind w:left="851"/>
        <w:rPr>
          <w:sz w:val="24"/>
          <w:szCs w:val="24"/>
          <w:u w:val="single"/>
        </w:rPr>
      </w:pPr>
      <w:r w:rsidRPr="007653D9">
        <w:rPr>
          <w:sz w:val="24"/>
          <w:szCs w:val="24"/>
          <w:u w:val="single"/>
        </w:rPr>
        <w:t>Mænd</w:t>
      </w:r>
    </w:p>
    <w:p w14:paraId="376DC5F5" w14:textId="77777777" w:rsidR="00613335" w:rsidRPr="007653D9" w:rsidRDefault="00613335" w:rsidP="007653D9">
      <w:pPr>
        <w:ind w:left="851"/>
        <w:rPr>
          <w:sz w:val="24"/>
          <w:szCs w:val="24"/>
        </w:rPr>
      </w:pPr>
      <w:r w:rsidRPr="007653D9">
        <w:rPr>
          <w:sz w:val="24"/>
          <w:szCs w:val="24"/>
        </w:rPr>
        <w:t xml:space="preserve">Det anbefales, at behandling med </w:t>
      </w:r>
      <w:proofErr w:type="spellStart"/>
      <w:r w:rsidRPr="007653D9">
        <w:rPr>
          <w:sz w:val="24"/>
          <w:szCs w:val="24"/>
        </w:rPr>
        <w:t>Orfiril</w:t>
      </w:r>
      <w:proofErr w:type="spellEnd"/>
      <w:r w:rsidRPr="007653D9">
        <w:rPr>
          <w:sz w:val="24"/>
          <w:szCs w:val="24"/>
        </w:rPr>
        <w:t xml:space="preserve"> long påbegyndes og overvåges af en specialist med erfaring i behandling af epilepsi eller bipolar lidelse (se pkt. 4.4 og 4.6).</w:t>
      </w:r>
    </w:p>
    <w:p w14:paraId="09502AFD" w14:textId="77777777" w:rsidR="004873ED" w:rsidRPr="007653D9" w:rsidRDefault="004873ED" w:rsidP="007653D9">
      <w:pPr>
        <w:ind w:left="851"/>
        <w:rPr>
          <w:sz w:val="24"/>
          <w:szCs w:val="24"/>
        </w:rPr>
      </w:pPr>
    </w:p>
    <w:p w14:paraId="638DDD5C" w14:textId="77777777" w:rsidR="004873ED" w:rsidRPr="007653D9" w:rsidRDefault="004873ED" w:rsidP="007653D9">
      <w:pPr>
        <w:ind w:left="851"/>
        <w:rPr>
          <w:sz w:val="24"/>
          <w:szCs w:val="24"/>
        </w:rPr>
      </w:pPr>
      <w:r w:rsidRPr="007653D9">
        <w:rPr>
          <w:sz w:val="24"/>
          <w:szCs w:val="24"/>
        </w:rPr>
        <w:t xml:space="preserve">Det anbefales at titrere gradvist op til den mest virksomme dosis. Effekten af behandlingen bør vurderes klinisk og kan støttes af bestemmelse af plasmakoncentrationen af </w:t>
      </w:r>
      <w:proofErr w:type="spellStart"/>
      <w:r w:rsidRPr="007653D9">
        <w:rPr>
          <w:sz w:val="24"/>
          <w:szCs w:val="24"/>
        </w:rPr>
        <w:t>valproat</w:t>
      </w:r>
      <w:proofErr w:type="spellEnd"/>
      <w:r w:rsidRPr="007653D9">
        <w:rPr>
          <w:sz w:val="24"/>
          <w:szCs w:val="24"/>
        </w:rPr>
        <w:t xml:space="preserve">. </w:t>
      </w:r>
    </w:p>
    <w:p w14:paraId="54720E21" w14:textId="77777777" w:rsidR="004873ED" w:rsidRPr="007653D9" w:rsidRDefault="004873ED" w:rsidP="007653D9">
      <w:pPr>
        <w:ind w:left="851"/>
        <w:rPr>
          <w:i/>
          <w:sz w:val="24"/>
          <w:szCs w:val="24"/>
        </w:rPr>
      </w:pPr>
    </w:p>
    <w:p w14:paraId="3694DD8F" w14:textId="77777777" w:rsidR="004873ED" w:rsidRPr="007653D9" w:rsidRDefault="004873ED" w:rsidP="007653D9">
      <w:pPr>
        <w:ind w:left="851"/>
        <w:rPr>
          <w:sz w:val="24"/>
          <w:szCs w:val="24"/>
        </w:rPr>
      </w:pPr>
      <w:r w:rsidRPr="007653D9">
        <w:rPr>
          <w:i/>
          <w:sz w:val="24"/>
          <w:szCs w:val="24"/>
        </w:rPr>
        <w:t>Epilepsi</w:t>
      </w:r>
      <w:r w:rsidRPr="007653D9">
        <w:rPr>
          <w:sz w:val="24"/>
          <w:szCs w:val="24"/>
        </w:rPr>
        <w:t>:</w:t>
      </w:r>
    </w:p>
    <w:p w14:paraId="08047B10" w14:textId="77777777" w:rsidR="004873ED" w:rsidRPr="007653D9" w:rsidRDefault="004873ED" w:rsidP="007653D9">
      <w:pPr>
        <w:ind w:left="851"/>
        <w:rPr>
          <w:color w:val="000000"/>
          <w:sz w:val="24"/>
          <w:szCs w:val="24"/>
        </w:rPr>
      </w:pPr>
      <w:r w:rsidRPr="007653D9">
        <w:rPr>
          <w:sz w:val="24"/>
          <w:szCs w:val="24"/>
        </w:rPr>
        <w:t xml:space="preserve">Den laveste dosis, der giver optimal </w:t>
      </w:r>
      <w:proofErr w:type="spellStart"/>
      <w:r w:rsidRPr="007653D9">
        <w:rPr>
          <w:sz w:val="24"/>
          <w:szCs w:val="24"/>
        </w:rPr>
        <w:t>anfaldskontrol</w:t>
      </w:r>
      <w:proofErr w:type="spellEnd"/>
      <w:r w:rsidRPr="007653D9">
        <w:rPr>
          <w:sz w:val="24"/>
          <w:szCs w:val="24"/>
        </w:rPr>
        <w:t>, bør anvendes. Terapeutisk virkning opnås normalt ved plasmakoncentrationer på 340-700 mikromol/l.</w:t>
      </w:r>
    </w:p>
    <w:p w14:paraId="2EF1CC8F" w14:textId="77777777" w:rsidR="004873ED" w:rsidRPr="007653D9" w:rsidRDefault="004873ED" w:rsidP="007653D9">
      <w:pPr>
        <w:ind w:left="851"/>
        <w:rPr>
          <w:sz w:val="24"/>
          <w:szCs w:val="24"/>
        </w:rPr>
      </w:pPr>
      <w:r w:rsidRPr="007653D9">
        <w:rPr>
          <w:sz w:val="24"/>
          <w:szCs w:val="24"/>
        </w:rPr>
        <w:t>Den anbefalede initialdosis til voksne og børn er 5-10 mg/kg legemsvægt fordelt på 1-2 doser. Derefter øges dosis med 5 mg/kg ad gangen efter behov med 4</w:t>
      </w:r>
      <w:r w:rsidRPr="007653D9">
        <w:rPr>
          <w:sz w:val="24"/>
          <w:szCs w:val="24"/>
        </w:rPr>
        <w:noBreakHyphen/>
        <w:t xml:space="preserve">7 dages interval. Ved brug af andre </w:t>
      </w:r>
      <w:proofErr w:type="spellStart"/>
      <w:r w:rsidRPr="007653D9">
        <w:rPr>
          <w:sz w:val="24"/>
          <w:szCs w:val="24"/>
        </w:rPr>
        <w:t>antiepileptika</w:t>
      </w:r>
      <w:proofErr w:type="spellEnd"/>
      <w:r w:rsidRPr="007653D9">
        <w:rPr>
          <w:sz w:val="24"/>
          <w:szCs w:val="24"/>
        </w:rPr>
        <w:t xml:space="preserve"> bør patienten monitoreres for symptomer på forgiftning og plasmakoncentrationen af disse lægemidler (se pkt. 4.5).</w:t>
      </w:r>
    </w:p>
    <w:p w14:paraId="0D416930" w14:textId="77777777" w:rsidR="004873ED" w:rsidRPr="007653D9" w:rsidRDefault="004873ED" w:rsidP="007653D9">
      <w:pPr>
        <w:ind w:left="851"/>
        <w:rPr>
          <w:sz w:val="24"/>
          <w:szCs w:val="24"/>
        </w:rPr>
      </w:pPr>
    </w:p>
    <w:p w14:paraId="216D04BF" w14:textId="77777777" w:rsidR="004873ED" w:rsidRPr="007653D9" w:rsidRDefault="004873ED" w:rsidP="007653D9">
      <w:pPr>
        <w:ind w:left="851"/>
        <w:rPr>
          <w:sz w:val="24"/>
          <w:szCs w:val="24"/>
        </w:rPr>
      </w:pPr>
      <w:r w:rsidRPr="007653D9">
        <w:rPr>
          <w:sz w:val="24"/>
          <w:szCs w:val="24"/>
        </w:rPr>
        <w:t xml:space="preserve">For at opnå en lav startdosis til mindre børn anbefales </w:t>
      </w:r>
      <w:proofErr w:type="spellStart"/>
      <w:r w:rsidRPr="007653D9">
        <w:rPr>
          <w:sz w:val="24"/>
          <w:szCs w:val="24"/>
        </w:rPr>
        <w:t>Orfiril</w:t>
      </w:r>
      <w:proofErr w:type="spellEnd"/>
      <w:r w:rsidRPr="007653D9">
        <w:rPr>
          <w:sz w:val="24"/>
          <w:szCs w:val="24"/>
        </w:rPr>
        <w:t xml:space="preserve"> oral opløsning (</w:t>
      </w:r>
      <w:proofErr w:type="spellStart"/>
      <w:r w:rsidRPr="007653D9">
        <w:rPr>
          <w:sz w:val="24"/>
          <w:szCs w:val="24"/>
        </w:rPr>
        <w:t>natriumvalproat</w:t>
      </w:r>
      <w:proofErr w:type="spellEnd"/>
      <w:r w:rsidRPr="007653D9">
        <w:rPr>
          <w:sz w:val="24"/>
          <w:szCs w:val="24"/>
        </w:rPr>
        <w:t xml:space="preserve"> med en koncentration på 60 mg/ml).</w:t>
      </w:r>
    </w:p>
    <w:p w14:paraId="6E5BD09A" w14:textId="77777777" w:rsidR="004873ED" w:rsidRPr="007653D9" w:rsidRDefault="004873ED" w:rsidP="007653D9">
      <w:pPr>
        <w:ind w:left="851"/>
        <w:rPr>
          <w:sz w:val="24"/>
          <w:szCs w:val="24"/>
        </w:rPr>
      </w:pPr>
    </w:p>
    <w:p w14:paraId="535E8D25" w14:textId="77777777" w:rsidR="004873ED" w:rsidRPr="007653D9" w:rsidRDefault="004873ED" w:rsidP="007653D9">
      <w:pPr>
        <w:ind w:left="851"/>
        <w:rPr>
          <w:sz w:val="24"/>
          <w:szCs w:val="24"/>
        </w:rPr>
      </w:pPr>
      <w:r w:rsidRPr="007653D9">
        <w:rPr>
          <w:sz w:val="24"/>
          <w:szCs w:val="24"/>
        </w:rPr>
        <w:t>Den anbefalede gennemsnitlige døgndosis under langtidsbehandling er:</w:t>
      </w:r>
    </w:p>
    <w:p w14:paraId="6D599F2D" w14:textId="77777777" w:rsidR="004873ED" w:rsidRPr="007653D9" w:rsidRDefault="004873ED" w:rsidP="007653D9">
      <w:pPr>
        <w:ind w:left="851"/>
        <w:rPr>
          <w:sz w:val="24"/>
          <w:szCs w:val="24"/>
        </w:rPr>
      </w:pPr>
      <w:r w:rsidRPr="007653D9">
        <w:rPr>
          <w:sz w:val="24"/>
          <w:szCs w:val="24"/>
        </w:rPr>
        <w:t>Børn (under 13 år)</w:t>
      </w:r>
      <w:r w:rsidRPr="007653D9">
        <w:rPr>
          <w:sz w:val="24"/>
          <w:szCs w:val="24"/>
        </w:rPr>
        <w:tab/>
        <w:t xml:space="preserve">30 mg </w:t>
      </w:r>
      <w:proofErr w:type="spellStart"/>
      <w:r w:rsidRPr="007653D9">
        <w:rPr>
          <w:sz w:val="24"/>
          <w:szCs w:val="24"/>
        </w:rPr>
        <w:t>natriumvalproat</w:t>
      </w:r>
      <w:proofErr w:type="spellEnd"/>
      <w:r w:rsidRPr="007653D9">
        <w:rPr>
          <w:sz w:val="24"/>
          <w:szCs w:val="24"/>
        </w:rPr>
        <w:t xml:space="preserve"> pr. kg legemsvægt</w:t>
      </w:r>
    </w:p>
    <w:p w14:paraId="223C8047" w14:textId="71AD5A72" w:rsidR="004873ED" w:rsidRPr="007653D9" w:rsidRDefault="004873ED" w:rsidP="007653D9">
      <w:pPr>
        <w:ind w:left="851"/>
        <w:rPr>
          <w:sz w:val="24"/>
          <w:szCs w:val="24"/>
        </w:rPr>
      </w:pPr>
      <w:r w:rsidRPr="007653D9">
        <w:rPr>
          <w:sz w:val="24"/>
          <w:szCs w:val="24"/>
        </w:rPr>
        <w:t>Unge (14</w:t>
      </w:r>
      <w:r w:rsidRPr="007653D9">
        <w:rPr>
          <w:sz w:val="24"/>
          <w:szCs w:val="24"/>
        </w:rPr>
        <w:noBreakHyphen/>
        <w:t>17 år)</w:t>
      </w:r>
      <w:r w:rsidRPr="007653D9">
        <w:rPr>
          <w:sz w:val="24"/>
          <w:szCs w:val="24"/>
        </w:rPr>
        <w:tab/>
      </w:r>
      <w:r w:rsidR="007653D9">
        <w:rPr>
          <w:sz w:val="24"/>
          <w:szCs w:val="24"/>
        </w:rPr>
        <w:tab/>
      </w:r>
      <w:r w:rsidRPr="007653D9">
        <w:rPr>
          <w:sz w:val="24"/>
          <w:szCs w:val="24"/>
        </w:rPr>
        <w:t xml:space="preserve">25 mg </w:t>
      </w:r>
      <w:proofErr w:type="spellStart"/>
      <w:r w:rsidRPr="007653D9">
        <w:rPr>
          <w:sz w:val="24"/>
          <w:szCs w:val="24"/>
        </w:rPr>
        <w:t>natriumvalproat</w:t>
      </w:r>
      <w:proofErr w:type="spellEnd"/>
      <w:r w:rsidRPr="007653D9">
        <w:rPr>
          <w:sz w:val="24"/>
          <w:szCs w:val="24"/>
        </w:rPr>
        <w:t xml:space="preserve"> pr. kg legemsvægt</w:t>
      </w:r>
    </w:p>
    <w:p w14:paraId="0611F23F" w14:textId="2273BF4D" w:rsidR="004873ED" w:rsidRPr="007653D9" w:rsidRDefault="004873ED" w:rsidP="007653D9">
      <w:pPr>
        <w:ind w:left="851"/>
        <w:rPr>
          <w:sz w:val="24"/>
          <w:szCs w:val="24"/>
        </w:rPr>
      </w:pPr>
      <w:r w:rsidRPr="007653D9">
        <w:rPr>
          <w:sz w:val="24"/>
          <w:szCs w:val="24"/>
        </w:rPr>
        <w:t>Voksne</w:t>
      </w:r>
      <w:r w:rsidRPr="007653D9">
        <w:rPr>
          <w:sz w:val="24"/>
          <w:szCs w:val="24"/>
        </w:rPr>
        <w:tab/>
      </w:r>
      <w:r w:rsidR="007653D9">
        <w:rPr>
          <w:sz w:val="24"/>
          <w:szCs w:val="24"/>
        </w:rPr>
        <w:tab/>
      </w:r>
      <w:r w:rsidRPr="007653D9">
        <w:rPr>
          <w:sz w:val="24"/>
          <w:szCs w:val="24"/>
        </w:rPr>
        <w:t xml:space="preserve">20 mg </w:t>
      </w:r>
      <w:proofErr w:type="spellStart"/>
      <w:r w:rsidRPr="007653D9">
        <w:rPr>
          <w:sz w:val="24"/>
          <w:szCs w:val="24"/>
        </w:rPr>
        <w:t>natriumvalproat</w:t>
      </w:r>
      <w:proofErr w:type="spellEnd"/>
      <w:r w:rsidRPr="007653D9">
        <w:rPr>
          <w:sz w:val="24"/>
          <w:szCs w:val="24"/>
        </w:rPr>
        <w:t xml:space="preserve"> pr. kg legemsvægt</w:t>
      </w:r>
    </w:p>
    <w:p w14:paraId="7987152E" w14:textId="77777777" w:rsidR="004873ED" w:rsidRPr="007653D9" w:rsidRDefault="004873ED" w:rsidP="007653D9">
      <w:pPr>
        <w:ind w:left="851"/>
        <w:rPr>
          <w:sz w:val="24"/>
          <w:szCs w:val="24"/>
        </w:rPr>
      </w:pPr>
    </w:p>
    <w:p w14:paraId="4E446BB0" w14:textId="77777777" w:rsidR="004873ED" w:rsidRPr="007653D9" w:rsidRDefault="004873ED" w:rsidP="007653D9">
      <w:pPr>
        <w:ind w:left="851"/>
        <w:rPr>
          <w:sz w:val="24"/>
          <w:szCs w:val="24"/>
        </w:rPr>
      </w:pPr>
      <w:r w:rsidRPr="007653D9">
        <w:rPr>
          <w:sz w:val="24"/>
          <w:szCs w:val="24"/>
        </w:rPr>
        <w:t xml:space="preserve">Behovet for højere vedligeholdelsesdoser til børn og unge skyldes højere </w:t>
      </w:r>
      <w:proofErr w:type="spellStart"/>
      <w:r w:rsidRPr="007653D9">
        <w:rPr>
          <w:sz w:val="24"/>
          <w:szCs w:val="24"/>
        </w:rPr>
        <w:t>clearance</w:t>
      </w:r>
      <w:proofErr w:type="spellEnd"/>
      <w:r w:rsidRPr="007653D9">
        <w:rPr>
          <w:sz w:val="24"/>
          <w:szCs w:val="24"/>
        </w:rPr>
        <w:t xml:space="preserve"> af </w:t>
      </w:r>
      <w:proofErr w:type="spellStart"/>
      <w:r w:rsidRPr="007653D9">
        <w:rPr>
          <w:sz w:val="24"/>
          <w:szCs w:val="24"/>
        </w:rPr>
        <w:t>valproat</w:t>
      </w:r>
      <w:proofErr w:type="spellEnd"/>
      <w:r w:rsidRPr="007653D9">
        <w:rPr>
          <w:sz w:val="24"/>
          <w:szCs w:val="24"/>
        </w:rPr>
        <w:t xml:space="preserve"> hos disse patient</w:t>
      </w:r>
      <w:r w:rsidRPr="007653D9">
        <w:rPr>
          <w:sz w:val="24"/>
          <w:szCs w:val="24"/>
        </w:rPr>
        <w:softHyphen/>
        <w:t xml:space="preserve">grupper. Det bemærkes, at hos børn under 2 måneder kan </w:t>
      </w:r>
      <w:proofErr w:type="spellStart"/>
      <w:r w:rsidRPr="007653D9">
        <w:rPr>
          <w:sz w:val="24"/>
          <w:szCs w:val="24"/>
        </w:rPr>
        <w:t>valproats</w:t>
      </w:r>
      <w:proofErr w:type="spellEnd"/>
      <w:r w:rsidRPr="007653D9">
        <w:rPr>
          <w:sz w:val="24"/>
          <w:szCs w:val="24"/>
        </w:rPr>
        <w:t xml:space="preserve"> eliminationshalveringstid være op til 67 timer, og der bør tages højde for dette, når doseringen øges med henblik på vedligeholdelsesbehandling.</w:t>
      </w:r>
    </w:p>
    <w:p w14:paraId="31E42105" w14:textId="77777777" w:rsidR="004873ED" w:rsidRPr="007653D9" w:rsidRDefault="004873ED" w:rsidP="007653D9">
      <w:pPr>
        <w:ind w:left="851"/>
        <w:rPr>
          <w:sz w:val="24"/>
          <w:szCs w:val="24"/>
        </w:rPr>
      </w:pPr>
    </w:p>
    <w:p w14:paraId="17D38DBE" w14:textId="77777777" w:rsidR="004873ED" w:rsidRPr="007653D9" w:rsidRDefault="004873ED" w:rsidP="007653D9">
      <w:pPr>
        <w:ind w:left="851"/>
        <w:rPr>
          <w:sz w:val="24"/>
          <w:szCs w:val="24"/>
        </w:rPr>
      </w:pPr>
      <w:r w:rsidRPr="007653D9">
        <w:rPr>
          <w:sz w:val="24"/>
          <w:szCs w:val="24"/>
        </w:rPr>
        <w:t>Den maksimale dosis anbefalet til voksne er 2400 mg/døgn. Der vil sjældent være behov for større doser end de ovenfor nævnte.</w:t>
      </w:r>
    </w:p>
    <w:p w14:paraId="29F16C18" w14:textId="77777777" w:rsidR="004873ED" w:rsidRPr="007653D9" w:rsidRDefault="004873ED" w:rsidP="007653D9">
      <w:pPr>
        <w:ind w:left="851"/>
        <w:rPr>
          <w:sz w:val="24"/>
          <w:szCs w:val="24"/>
        </w:rPr>
      </w:pPr>
    </w:p>
    <w:p w14:paraId="2DCCA5CB" w14:textId="77777777" w:rsidR="001D5C9E" w:rsidRPr="007653D9" w:rsidRDefault="001D5C9E" w:rsidP="007653D9">
      <w:pPr>
        <w:ind w:left="851"/>
        <w:rPr>
          <w:sz w:val="24"/>
          <w:szCs w:val="24"/>
          <w:u w:val="single"/>
        </w:rPr>
      </w:pPr>
      <w:r w:rsidRPr="007653D9">
        <w:rPr>
          <w:sz w:val="24"/>
          <w:szCs w:val="24"/>
          <w:u w:val="single"/>
        </w:rPr>
        <w:t>Patienter med nedsat nyrefunktion</w:t>
      </w:r>
    </w:p>
    <w:p w14:paraId="1F0124C1" w14:textId="77777777" w:rsidR="004873ED" w:rsidRPr="007653D9" w:rsidRDefault="001D5C9E" w:rsidP="007653D9">
      <w:pPr>
        <w:ind w:left="851"/>
        <w:rPr>
          <w:sz w:val="24"/>
          <w:szCs w:val="24"/>
        </w:rPr>
      </w:pPr>
      <w:r w:rsidRPr="007653D9">
        <w:rPr>
          <w:sz w:val="24"/>
          <w:szCs w:val="24"/>
        </w:rPr>
        <w:t xml:space="preserve">Hos patienter med nedsat nyrefunktion kan det være nødvendigt at reducere dosis eller at øge dosis hos patienter, der er i hæmodialyse. </w:t>
      </w:r>
      <w:proofErr w:type="spellStart"/>
      <w:r w:rsidRPr="007653D9">
        <w:rPr>
          <w:sz w:val="24"/>
          <w:szCs w:val="24"/>
        </w:rPr>
        <w:t>Valproat</w:t>
      </w:r>
      <w:proofErr w:type="spellEnd"/>
      <w:r w:rsidRPr="007653D9">
        <w:rPr>
          <w:sz w:val="24"/>
          <w:szCs w:val="24"/>
        </w:rPr>
        <w:t xml:space="preserve"> er </w:t>
      </w:r>
      <w:proofErr w:type="spellStart"/>
      <w:r w:rsidRPr="007653D9">
        <w:rPr>
          <w:sz w:val="24"/>
          <w:szCs w:val="24"/>
        </w:rPr>
        <w:t>dialyserbart</w:t>
      </w:r>
      <w:proofErr w:type="spellEnd"/>
      <w:r w:rsidRPr="007653D9">
        <w:rPr>
          <w:sz w:val="24"/>
          <w:szCs w:val="24"/>
        </w:rPr>
        <w:t xml:space="preserve"> (se pkt. 4.9). Dosering bør justeres i henhold til klinisk monitorering af patienten (se pkt. 4.4).</w:t>
      </w:r>
    </w:p>
    <w:p w14:paraId="09EBC8F2" w14:textId="77777777" w:rsidR="004873ED" w:rsidRPr="007653D9" w:rsidRDefault="004873ED" w:rsidP="007653D9">
      <w:pPr>
        <w:ind w:left="851"/>
        <w:rPr>
          <w:sz w:val="24"/>
          <w:szCs w:val="24"/>
        </w:rPr>
      </w:pPr>
    </w:p>
    <w:p w14:paraId="3588B4AC" w14:textId="77777777" w:rsidR="004873ED" w:rsidRPr="007653D9" w:rsidRDefault="004873ED" w:rsidP="007653D9">
      <w:pPr>
        <w:ind w:left="851"/>
        <w:rPr>
          <w:sz w:val="24"/>
          <w:szCs w:val="24"/>
        </w:rPr>
      </w:pPr>
      <w:r w:rsidRPr="007653D9">
        <w:rPr>
          <w:sz w:val="24"/>
          <w:szCs w:val="24"/>
        </w:rPr>
        <w:t>Anvendelse til patienter med nedsat leverfunktion er kontraindiceret (se pkt. 4.3).</w:t>
      </w:r>
    </w:p>
    <w:p w14:paraId="5887EC45" w14:textId="77777777" w:rsidR="004873ED" w:rsidRPr="007653D9" w:rsidRDefault="004873ED" w:rsidP="007653D9">
      <w:pPr>
        <w:ind w:left="851"/>
        <w:rPr>
          <w:sz w:val="24"/>
          <w:szCs w:val="24"/>
        </w:rPr>
      </w:pPr>
    </w:p>
    <w:p w14:paraId="717FFF56" w14:textId="77777777" w:rsidR="004873ED" w:rsidRPr="007653D9" w:rsidRDefault="004873ED" w:rsidP="007653D9">
      <w:pPr>
        <w:ind w:left="851"/>
        <w:rPr>
          <w:sz w:val="24"/>
          <w:szCs w:val="24"/>
        </w:rPr>
      </w:pPr>
      <w:r w:rsidRPr="007653D9">
        <w:rPr>
          <w:sz w:val="24"/>
          <w:szCs w:val="24"/>
        </w:rPr>
        <w:t>Maniske episoder ved bipolar lidelse:</w:t>
      </w:r>
    </w:p>
    <w:p w14:paraId="56737223" w14:textId="77777777" w:rsidR="004873ED" w:rsidRPr="007653D9" w:rsidRDefault="004873ED" w:rsidP="007653D9">
      <w:pPr>
        <w:ind w:left="851"/>
        <w:rPr>
          <w:sz w:val="24"/>
          <w:szCs w:val="24"/>
        </w:rPr>
      </w:pPr>
    </w:p>
    <w:p w14:paraId="25EE9823" w14:textId="77777777" w:rsidR="004873ED" w:rsidRPr="007653D9" w:rsidRDefault="004873ED" w:rsidP="007653D9">
      <w:pPr>
        <w:ind w:left="851"/>
        <w:rPr>
          <w:i/>
          <w:sz w:val="24"/>
          <w:szCs w:val="24"/>
        </w:rPr>
      </w:pPr>
      <w:r w:rsidRPr="007653D9">
        <w:rPr>
          <w:i/>
          <w:sz w:val="24"/>
          <w:szCs w:val="24"/>
        </w:rPr>
        <w:t>Voksne:</w:t>
      </w:r>
    </w:p>
    <w:p w14:paraId="4D4F2E03" w14:textId="77777777" w:rsidR="004873ED" w:rsidRPr="007653D9" w:rsidRDefault="004873ED" w:rsidP="007653D9">
      <w:pPr>
        <w:ind w:left="851"/>
        <w:rPr>
          <w:sz w:val="24"/>
          <w:szCs w:val="24"/>
        </w:rPr>
      </w:pPr>
      <w:r w:rsidRPr="007653D9">
        <w:rPr>
          <w:sz w:val="24"/>
          <w:szCs w:val="24"/>
        </w:rPr>
        <w:t xml:space="preserve">Den daglige dosis skal fastsættes og kontrolleres individuelt af den behandlende læge. Den anbefalede initiale døgndosis er 750 mg daglig. Derudover har en initialdosis på 20 mg </w:t>
      </w:r>
      <w:proofErr w:type="spellStart"/>
      <w:r w:rsidRPr="007653D9">
        <w:rPr>
          <w:sz w:val="24"/>
          <w:szCs w:val="24"/>
        </w:rPr>
        <w:t>natriumvalproat</w:t>
      </w:r>
      <w:proofErr w:type="spellEnd"/>
      <w:r w:rsidRPr="007653D9">
        <w:rPr>
          <w:sz w:val="24"/>
          <w:szCs w:val="24"/>
        </w:rPr>
        <w:t>/kg legemsvægt også vist en acceptabel sikkerhedsprofil i kliniske studier. Depotformuleringer kan gives en eller to gange daglig. Dosis skal øges så hurtigt som muligt til den laveste terapeutiske dosis, som giver den ønskede kliniske effekt. Den daglige dosis skal tilpasses det kliniske respons for at fastlægge den laveste, effektive dosis til den enkelte patient.</w:t>
      </w:r>
    </w:p>
    <w:p w14:paraId="71A504E0" w14:textId="77777777" w:rsidR="004873ED" w:rsidRPr="007653D9" w:rsidRDefault="004873ED" w:rsidP="007653D9">
      <w:pPr>
        <w:ind w:left="851"/>
        <w:rPr>
          <w:sz w:val="24"/>
          <w:szCs w:val="24"/>
        </w:rPr>
      </w:pPr>
    </w:p>
    <w:p w14:paraId="62B8F2C5" w14:textId="77777777" w:rsidR="004873ED" w:rsidRPr="007653D9" w:rsidRDefault="004873ED" w:rsidP="007653D9">
      <w:pPr>
        <w:ind w:left="851"/>
        <w:rPr>
          <w:sz w:val="24"/>
          <w:szCs w:val="24"/>
        </w:rPr>
      </w:pPr>
      <w:r w:rsidRPr="007653D9">
        <w:rPr>
          <w:sz w:val="24"/>
          <w:szCs w:val="24"/>
        </w:rPr>
        <w:t xml:space="preserve">Den gennemsnitlige døgndosis er sædvanligvis mellem 1.000 og 2.000 mg </w:t>
      </w:r>
      <w:proofErr w:type="spellStart"/>
      <w:r w:rsidRPr="007653D9">
        <w:rPr>
          <w:sz w:val="24"/>
          <w:szCs w:val="24"/>
        </w:rPr>
        <w:t>natriumvalproat</w:t>
      </w:r>
      <w:proofErr w:type="spellEnd"/>
      <w:r w:rsidRPr="007653D9">
        <w:rPr>
          <w:sz w:val="24"/>
          <w:szCs w:val="24"/>
        </w:rPr>
        <w:t xml:space="preserve">. Patienter, der får døgndoser over 45 mg/kg legemsvægt, bør monitoreres nøje. </w:t>
      </w:r>
    </w:p>
    <w:p w14:paraId="6C4650E5" w14:textId="77777777" w:rsidR="004873ED" w:rsidRPr="007653D9" w:rsidRDefault="004873ED" w:rsidP="007653D9">
      <w:pPr>
        <w:ind w:left="851"/>
        <w:rPr>
          <w:sz w:val="24"/>
          <w:szCs w:val="24"/>
        </w:rPr>
      </w:pPr>
    </w:p>
    <w:p w14:paraId="609A5F85" w14:textId="77777777" w:rsidR="004873ED" w:rsidRPr="007653D9" w:rsidRDefault="004873ED" w:rsidP="007653D9">
      <w:pPr>
        <w:ind w:left="851"/>
        <w:rPr>
          <w:sz w:val="24"/>
          <w:szCs w:val="24"/>
        </w:rPr>
      </w:pPr>
      <w:r w:rsidRPr="007653D9">
        <w:rPr>
          <w:sz w:val="24"/>
          <w:szCs w:val="24"/>
        </w:rPr>
        <w:t>Fortsættelse af behandling for maniske episoder ved bipolar lidelse skal tilpasses individuelt med anvendelse af den laveste effektive dosis.</w:t>
      </w:r>
    </w:p>
    <w:p w14:paraId="1D4F54C0" w14:textId="77777777" w:rsidR="004873ED" w:rsidRPr="007653D9" w:rsidRDefault="004873ED" w:rsidP="007653D9">
      <w:pPr>
        <w:ind w:left="851"/>
        <w:rPr>
          <w:i/>
          <w:sz w:val="24"/>
          <w:szCs w:val="24"/>
        </w:rPr>
      </w:pPr>
    </w:p>
    <w:p w14:paraId="0772FEA7" w14:textId="77777777" w:rsidR="004873ED" w:rsidRPr="007653D9" w:rsidRDefault="004873ED" w:rsidP="007653D9">
      <w:pPr>
        <w:ind w:left="851"/>
        <w:rPr>
          <w:i/>
          <w:sz w:val="24"/>
          <w:szCs w:val="24"/>
        </w:rPr>
      </w:pPr>
      <w:r w:rsidRPr="007653D9">
        <w:rPr>
          <w:i/>
          <w:sz w:val="24"/>
          <w:szCs w:val="24"/>
        </w:rPr>
        <w:t>Pædiatrisk population</w:t>
      </w:r>
    </w:p>
    <w:p w14:paraId="61A00949" w14:textId="77777777" w:rsidR="004873ED" w:rsidRPr="007653D9" w:rsidRDefault="004873ED" w:rsidP="007653D9">
      <w:pPr>
        <w:ind w:left="851"/>
        <w:rPr>
          <w:sz w:val="24"/>
          <w:szCs w:val="24"/>
        </w:rPr>
      </w:pPr>
      <w:r w:rsidRPr="007653D9">
        <w:rPr>
          <w:sz w:val="24"/>
          <w:szCs w:val="24"/>
        </w:rPr>
        <w:t xml:space="preserve">Sikkerhed og virkning af </w:t>
      </w:r>
      <w:proofErr w:type="spellStart"/>
      <w:r w:rsidRPr="007653D9">
        <w:rPr>
          <w:sz w:val="24"/>
          <w:szCs w:val="24"/>
        </w:rPr>
        <w:t>Orfiril</w:t>
      </w:r>
      <w:proofErr w:type="spellEnd"/>
      <w:r w:rsidRPr="007653D9">
        <w:rPr>
          <w:sz w:val="24"/>
          <w:szCs w:val="24"/>
        </w:rPr>
        <w:t xml:space="preserve"> long til behandling af maniske episoder ved bipolar lidelse er ikke blevet evalueret hos patienter under 18 år.</w:t>
      </w:r>
    </w:p>
    <w:p w14:paraId="53910D56" w14:textId="77777777" w:rsidR="004873ED" w:rsidRPr="007653D9" w:rsidRDefault="004873ED" w:rsidP="007653D9">
      <w:pPr>
        <w:ind w:left="851"/>
        <w:rPr>
          <w:i/>
          <w:sz w:val="24"/>
          <w:szCs w:val="24"/>
        </w:rPr>
      </w:pPr>
    </w:p>
    <w:p w14:paraId="7EB97195" w14:textId="77777777" w:rsidR="004873ED" w:rsidRPr="007653D9" w:rsidRDefault="004873ED" w:rsidP="007653D9">
      <w:pPr>
        <w:ind w:left="851"/>
        <w:rPr>
          <w:sz w:val="24"/>
          <w:szCs w:val="24"/>
        </w:rPr>
      </w:pPr>
      <w:r w:rsidRPr="007653D9">
        <w:rPr>
          <w:i/>
          <w:sz w:val="24"/>
          <w:szCs w:val="24"/>
        </w:rPr>
        <w:t>Administration:</w:t>
      </w:r>
    </w:p>
    <w:p w14:paraId="2B475D10" w14:textId="77777777" w:rsidR="004873ED" w:rsidRPr="007653D9" w:rsidRDefault="004873ED" w:rsidP="007653D9">
      <w:pPr>
        <w:ind w:left="851"/>
        <w:rPr>
          <w:sz w:val="24"/>
          <w:szCs w:val="24"/>
        </w:rPr>
      </w:pPr>
      <w:r w:rsidRPr="007653D9">
        <w:rPr>
          <w:spacing w:val="-3"/>
          <w:sz w:val="24"/>
          <w:szCs w:val="24"/>
        </w:rPr>
        <w:t xml:space="preserve">Døgndosis kan fordeles på 1-2 doser. </w:t>
      </w:r>
      <w:proofErr w:type="spellStart"/>
      <w:r w:rsidRPr="007653D9">
        <w:rPr>
          <w:spacing w:val="-3"/>
          <w:sz w:val="24"/>
          <w:szCs w:val="24"/>
        </w:rPr>
        <w:t>Orfiril</w:t>
      </w:r>
      <w:proofErr w:type="spellEnd"/>
      <w:r w:rsidRPr="007653D9">
        <w:rPr>
          <w:spacing w:val="-3"/>
          <w:sz w:val="24"/>
          <w:szCs w:val="24"/>
        </w:rPr>
        <w:t xml:space="preserve"> depotkapsel </w:t>
      </w:r>
      <w:r w:rsidRPr="007653D9">
        <w:rPr>
          <w:sz w:val="24"/>
          <w:szCs w:val="24"/>
        </w:rPr>
        <w:t xml:space="preserve">skal synkes hel med rigeligt væske (for eksempel et glas vand). Depotkapslerne kan også skilles ad, hvorefter minitabletterne indeni udrøres i mad eller drikke. Dette anbefales især til patienter med synkebesvær (f.eks. spædbørn). </w:t>
      </w:r>
    </w:p>
    <w:p w14:paraId="6BC9F312" w14:textId="77777777" w:rsidR="004873ED" w:rsidRPr="007653D9" w:rsidRDefault="004873ED" w:rsidP="007653D9">
      <w:pPr>
        <w:ind w:left="851"/>
        <w:rPr>
          <w:sz w:val="24"/>
          <w:szCs w:val="24"/>
        </w:rPr>
      </w:pPr>
    </w:p>
    <w:p w14:paraId="3D7EE596" w14:textId="77777777" w:rsidR="004873ED" w:rsidRPr="007653D9" w:rsidRDefault="004873ED" w:rsidP="007653D9">
      <w:pPr>
        <w:ind w:left="851"/>
        <w:rPr>
          <w:sz w:val="24"/>
          <w:szCs w:val="24"/>
        </w:rPr>
      </w:pPr>
      <w:r w:rsidRPr="007653D9">
        <w:rPr>
          <w:sz w:val="24"/>
          <w:szCs w:val="24"/>
        </w:rPr>
        <w:t xml:space="preserve">Medicinen må under ingen omstændigheder tygges, da det kan skade den modificerede frigivelse af lægemiddelstoffet (se pkt. 4.4). </w:t>
      </w:r>
    </w:p>
    <w:p w14:paraId="483A82A2" w14:textId="77777777" w:rsidR="004873ED" w:rsidRPr="007653D9" w:rsidRDefault="004873ED" w:rsidP="007653D9">
      <w:pPr>
        <w:ind w:left="851"/>
        <w:rPr>
          <w:sz w:val="24"/>
          <w:szCs w:val="24"/>
        </w:rPr>
      </w:pPr>
    </w:p>
    <w:p w14:paraId="07B26436" w14:textId="4D7EB86D" w:rsidR="004873ED" w:rsidRPr="007653D9" w:rsidRDefault="004873ED" w:rsidP="007653D9">
      <w:pPr>
        <w:ind w:left="851"/>
        <w:rPr>
          <w:sz w:val="24"/>
          <w:szCs w:val="24"/>
        </w:rPr>
      </w:pPr>
      <w:r w:rsidRPr="007653D9">
        <w:rPr>
          <w:sz w:val="24"/>
          <w:szCs w:val="24"/>
        </w:rPr>
        <w:t xml:space="preserve">Depottabletten kan af og til genfindes næsten uforandret i afføringen. Det påvirker dog ikke effekten af </w:t>
      </w:r>
      <w:proofErr w:type="spellStart"/>
      <w:r w:rsidRPr="007653D9">
        <w:rPr>
          <w:sz w:val="24"/>
          <w:szCs w:val="24"/>
        </w:rPr>
        <w:t>Orfiril</w:t>
      </w:r>
      <w:proofErr w:type="spellEnd"/>
      <w:r w:rsidRPr="007653D9">
        <w:rPr>
          <w:sz w:val="24"/>
          <w:szCs w:val="24"/>
        </w:rPr>
        <w:t xml:space="preserve"> Long.</w:t>
      </w:r>
    </w:p>
    <w:p w14:paraId="61BB198C" w14:textId="77777777" w:rsidR="004873ED" w:rsidRPr="004C0B3B" w:rsidRDefault="004873ED" w:rsidP="004873ED">
      <w:pPr>
        <w:tabs>
          <w:tab w:val="left" w:pos="851"/>
        </w:tabs>
        <w:rPr>
          <w:sz w:val="24"/>
          <w:szCs w:val="24"/>
        </w:rPr>
      </w:pPr>
    </w:p>
    <w:p w14:paraId="7A87D99D" w14:textId="77777777" w:rsidR="007653D9" w:rsidRPr="00C84483" w:rsidRDefault="007653D9" w:rsidP="007653D9">
      <w:pPr>
        <w:tabs>
          <w:tab w:val="left" w:pos="851"/>
        </w:tabs>
        <w:ind w:left="851" w:hanging="851"/>
        <w:rPr>
          <w:b/>
          <w:sz w:val="24"/>
          <w:szCs w:val="24"/>
        </w:rPr>
      </w:pPr>
      <w:r w:rsidRPr="00C84483">
        <w:rPr>
          <w:b/>
          <w:sz w:val="24"/>
          <w:szCs w:val="24"/>
        </w:rPr>
        <w:t>4.3</w:t>
      </w:r>
      <w:r w:rsidRPr="00C84483">
        <w:rPr>
          <w:b/>
          <w:sz w:val="24"/>
          <w:szCs w:val="24"/>
        </w:rPr>
        <w:tab/>
        <w:t>Kontraindikationer</w:t>
      </w:r>
    </w:p>
    <w:p w14:paraId="024212D0" w14:textId="77777777" w:rsidR="001B1C1A" w:rsidRDefault="001B1C1A" w:rsidP="007653D9">
      <w:pPr>
        <w:ind w:left="851"/>
        <w:rPr>
          <w:sz w:val="24"/>
          <w:szCs w:val="24"/>
        </w:rPr>
      </w:pPr>
      <w:proofErr w:type="spellStart"/>
      <w:r>
        <w:rPr>
          <w:spacing w:val="-3"/>
          <w:sz w:val="24"/>
          <w:szCs w:val="24"/>
        </w:rPr>
        <w:t>Orfiril</w:t>
      </w:r>
      <w:proofErr w:type="spellEnd"/>
      <w:r>
        <w:rPr>
          <w:spacing w:val="-3"/>
          <w:sz w:val="24"/>
          <w:szCs w:val="24"/>
        </w:rPr>
        <w:t xml:space="preserve"> Long er kontraindiceret i følgende situationer:</w:t>
      </w:r>
    </w:p>
    <w:p w14:paraId="3BD86811" w14:textId="77777777" w:rsidR="001B1C1A" w:rsidRDefault="001B1C1A" w:rsidP="007653D9">
      <w:pPr>
        <w:numPr>
          <w:ilvl w:val="0"/>
          <w:numId w:val="16"/>
        </w:numPr>
        <w:tabs>
          <w:tab w:val="clear" w:pos="2062"/>
        </w:tabs>
        <w:ind w:left="1276" w:hanging="425"/>
        <w:rPr>
          <w:sz w:val="24"/>
          <w:szCs w:val="24"/>
        </w:rPr>
      </w:pPr>
      <w:r>
        <w:rPr>
          <w:sz w:val="24"/>
          <w:szCs w:val="24"/>
        </w:rPr>
        <w:t xml:space="preserve">Overfølsomhed over for </w:t>
      </w:r>
      <w:proofErr w:type="spellStart"/>
      <w:r>
        <w:rPr>
          <w:sz w:val="24"/>
          <w:szCs w:val="24"/>
        </w:rPr>
        <w:t>natriumvalproat</w:t>
      </w:r>
      <w:proofErr w:type="spellEnd"/>
      <w:r>
        <w:rPr>
          <w:sz w:val="24"/>
          <w:szCs w:val="24"/>
        </w:rPr>
        <w:t xml:space="preserve"> eller over for et eller flere af hjælpestofferne anført i pkt. 6.1.</w:t>
      </w:r>
    </w:p>
    <w:p w14:paraId="781D17FC" w14:textId="77777777" w:rsidR="001B1C1A" w:rsidRDefault="001B1C1A" w:rsidP="007653D9">
      <w:pPr>
        <w:numPr>
          <w:ilvl w:val="0"/>
          <w:numId w:val="16"/>
        </w:numPr>
        <w:tabs>
          <w:tab w:val="clear" w:pos="2062"/>
        </w:tabs>
        <w:ind w:left="1276" w:hanging="425"/>
        <w:rPr>
          <w:sz w:val="24"/>
          <w:szCs w:val="24"/>
        </w:rPr>
      </w:pPr>
      <w:r>
        <w:rPr>
          <w:sz w:val="24"/>
          <w:szCs w:val="24"/>
        </w:rPr>
        <w:t xml:space="preserve">Nedsat lever- og/eller </w:t>
      </w:r>
      <w:proofErr w:type="spellStart"/>
      <w:r>
        <w:rPr>
          <w:sz w:val="24"/>
          <w:szCs w:val="24"/>
        </w:rPr>
        <w:t>pankreasfunktion</w:t>
      </w:r>
      <w:proofErr w:type="spellEnd"/>
      <w:r>
        <w:rPr>
          <w:sz w:val="24"/>
          <w:szCs w:val="24"/>
        </w:rPr>
        <w:t>.</w:t>
      </w:r>
    </w:p>
    <w:p w14:paraId="0F2E1E27" w14:textId="77777777" w:rsidR="001B1C1A" w:rsidRDefault="001B1C1A" w:rsidP="007653D9">
      <w:pPr>
        <w:numPr>
          <w:ilvl w:val="0"/>
          <w:numId w:val="16"/>
        </w:numPr>
        <w:tabs>
          <w:tab w:val="clear" w:pos="2062"/>
        </w:tabs>
        <w:ind w:left="1276" w:hanging="425"/>
        <w:rPr>
          <w:sz w:val="24"/>
          <w:szCs w:val="24"/>
        </w:rPr>
      </w:pPr>
      <w:r>
        <w:rPr>
          <w:sz w:val="24"/>
          <w:szCs w:val="24"/>
        </w:rPr>
        <w:t>Tidligere alvorlige, personlige eller familiære leverskader, især lægemiddelrelaterede.</w:t>
      </w:r>
    </w:p>
    <w:p w14:paraId="77477E87" w14:textId="77777777" w:rsidR="001B1C1A" w:rsidRDefault="001B1C1A" w:rsidP="007653D9">
      <w:pPr>
        <w:numPr>
          <w:ilvl w:val="0"/>
          <w:numId w:val="16"/>
        </w:numPr>
        <w:tabs>
          <w:tab w:val="clear" w:pos="2062"/>
        </w:tabs>
        <w:ind w:left="1276" w:hanging="425"/>
        <w:rPr>
          <w:sz w:val="24"/>
          <w:szCs w:val="24"/>
        </w:rPr>
      </w:pPr>
      <w:proofErr w:type="spellStart"/>
      <w:r>
        <w:rPr>
          <w:sz w:val="24"/>
          <w:szCs w:val="24"/>
        </w:rPr>
        <w:t>Hepatisk</w:t>
      </w:r>
      <w:proofErr w:type="spellEnd"/>
      <w:r>
        <w:rPr>
          <w:sz w:val="24"/>
          <w:szCs w:val="24"/>
        </w:rPr>
        <w:t xml:space="preserve"> </w:t>
      </w:r>
      <w:proofErr w:type="spellStart"/>
      <w:r>
        <w:rPr>
          <w:sz w:val="24"/>
          <w:szCs w:val="24"/>
        </w:rPr>
        <w:t>porfyri</w:t>
      </w:r>
      <w:proofErr w:type="spellEnd"/>
      <w:r>
        <w:rPr>
          <w:sz w:val="24"/>
          <w:szCs w:val="24"/>
        </w:rPr>
        <w:t>.</w:t>
      </w:r>
    </w:p>
    <w:p w14:paraId="0CCE025F" w14:textId="77777777" w:rsidR="001B1C1A" w:rsidRDefault="001B1C1A" w:rsidP="007653D9">
      <w:pPr>
        <w:numPr>
          <w:ilvl w:val="0"/>
          <w:numId w:val="16"/>
        </w:numPr>
        <w:tabs>
          <w:tab w:val="clear" w:pos="2062"/>
        </w:tabs>
        <w:ind w:left="1276" w:hanging="425"/>
        <w:rPr>
          <w:sz w:val="24"/>
          <w:szCs w:val="24"/>
        </w:rPr>
      </w:pPr>
      <w:proofErr w:type="spellStart"/>
      <w:r>
        <w:rPr>
          <w:sz w:val="24"/>
          <w:szCs w:val="24"/>
        </w:rPr>
        <w:t>Hæmoragisk</w:t>
      </w:r>
      <w:proofErr w:type="spellEnd"/>
      <w:r>
        <w:rPr>
          <w:sz w:val="24"/>
          <w:szCs w:val="24"/>
        </w:rPr>
        <w:t xml:space="preserve"> diatese.</w:t>
      </w:r>
    </w:p>
    <w:p w14:paraId="563DBDC4" w14:textId="77777777" w:rsidR="001B1C1A" w:rsidRDefault="001B1C1A" w:rsidP="007653D9">
      <w:pPr>
        <w:numPr>
          <w:ilvl w:val="0"/>
          <w:numId w:val="16"/>
        </w:numPr>
        <w:tabs>
          <w:tab w:val="clear" w:pos="2062"/>
        </w:tabs>
        <w:ind w:left="1276" w:hanging="425"/>
        <w:rPr>
          <w:sz w:val="24"/>
          <w:szCs w:val="24"/>
        </w:rPr>
      </w:pPr>
      <w:proofErr w:type="spellStart"/>
      <w:r>
        <w:rPr>
          <w:sz w:val="24"/>
          <w:szCs w:val="24"/>
        </w:rPr>
        <w:t>Trombocytopeni</w:t>
      </w:r>
      <w:proofErr w:type="spellEnd"/>
      <w:r>
        <w:rPr>
          <w:sz w:val="24"/>
          <w:szCs w:val="24"/>
        </w:rPr>
        <w:t>.</w:t>
      </w:r>
    </w:p>
    <w:p w14:paraId="19A5FE71" w14:textId="77777777" w:rsidR="001B1C1A" w:rsidRDefault="001B1C1A" w:rsidP="007653D9">
      <w:pPr>
        <w:numPr>
          <w:ilvl w:val="0"/>
          <w:numId w:val="16"/>
        </w:numPr>
        <w:tabs>
          <w:tab w:val="clear" w:pos="2062"/>
        </w:tabs>
        <w:ind w:left="1276" w:hanging="425"/>
        <w:rPr>
          <w:sz w:val="24"/>
          <w:szCs w:val="24"/>
        </w:rPr>
      </w:pPr>
      <w:r>
        <w:rPr>
          <w:sz w:val="24"/>
          <w:szCs w:val="24"/>
        </w:rPr>
        <w:t>Urinstofcyklusdefekter (se pkt. 4.4).</w:t>
      </w:r>
    </w:p>
    <w:p w14:paraId="101F00A8" w14:textId="77777777" w:rsidR="001B1C1A" w:rsidRPr="001B1C1A" w:rsidRDefault="001B1C1A" w:rsidP="007653D9">
      <w:pPr>
        <w:numPr>
          <w:ilvl w:val="0"/>
          <w:numId w:val="16"/>
        </w:numPr>
        <w:tabs>
          <w:tab w:val="clear" w:pos="2062"/>
        </w:tabs>
        <w:ind w:left="1276" w:hanging="425"/>
        <w:rPr>
          <w:sz w:val="24"/>
          <w:szCs w:val="24"/>
        </w:rPr>
      </w:pPr>
      <w:r w:rsidRPr="001B1C1A">
        <w:rPr>
          <w:sz w:val="24"/>
          <w:szCs w:val="24"/>
        </w:rPr>
        <w:t xml:space="preserve">Patienter med </w:t>
      </w:r>
      <w:proofErr w:type="spellStart"/>
      <w:r w:rsidRPr="001B1C1A">
        <w:rPr>
          <w:sz w:val="24"/>
          <w:szCs w:val="24"/>
        </w:rPr>
        <w:t>ukorrigeret</w:t>
      </w:r>
      <w:proofErr w:type="spellEnd"/>
      <w:r w:rsidRPr="001B1C1A">
        <w:rPr>
          <w:sz w:val="24"/>
          <w:szCs w:val="24"/>
        </w:rPr>
        <w:t xml:space="preserve"> systemisk primær </w:t>
      </w:r>
      <w:proofErr w:type="spellStart"/>
      <w:r w:rsidRPr="001B1C1A">
        <w:rPr>
          <w:sz w:val="24"/>
          <w:szCs w:val="24"/>
        </w:rPr>
        <w:t>carnitinmangel</w:t>
      </w:r>
      <w:proofErr w:type="spellEnd"/>
      <w:r w:rsidRPr="001B1C1A">
        <w:rPr>
          <w:sz w:val="24"/>
          <w:szCs w:val="24"/>
        </w:rPr>
        <w:t xml:space="preserve"> (se pkt. 4.4 Patienter med risiko for </w:t>
      </w:r>
      <w:proofErr w:type="spellStart"/>
      <w:r w:rsidRPr="001B1C1A">
        <w:rPr>
          <w:sz w:val="24"/>
          <w:szCs w:val="24"/>
        </w:rPr>
        <w:t>hypokarnitinæmi</w:t>
      </w:r>
      <w:proofErr w:type="spellEnd"/>
      <w:r w:rsidRPr="001B1C1A">
        <w:rPr>
          <w:sz w:val="24"/>
          <w:szCs w:val="24"/>
        </w:rPr>
        <w:t>).</w:t>
      </w:r>
    </w:p>
    <w:p w14:paraId="1FF04920" w14:textId="652751EA" w:rsidR="00B33DDB" w:rsidRDefault="00B33DDB">
      <w:pPr>
        <w:rPr>
          <w:sz w:val="24"/>
          <w:szCs w:val="24"/>
          <w:u w:val="single"/>
        </w:rPr>
      </w:pPr>
      <w:r>
        <w:rPr>
          <w:sz w:val="24"/>
          <w:szCs w:val="24"/>
          <w:u w:val="single"/>
        </w:rPr>
        <w:br w:type="page"/>
      </w:r>
    </w:p>
    <w:p w14:paraId="307E5C92" w14:textId="77777777" w:rsidR="007653D9" w:rsidRDefault="007653D9" w:rsidP="007653D9">
      <w:pPr>
        <w:tabs>
          <w:tab w:val="left" w:pos="1418"/>
        </w:tabs>
        <w:ind w:left="851"/>
        <w:rPr>
          <w:sz w:val="24"/>
          <w:szCs w:val="24"/>
          <w:u w:val="single"/>
        </w:rPr>
      </w:pPr>
    </w:p>
    <w:p w14:paraId="1068EB13" w14:textId="4B01D25E" w:rsidR="001B1C1A" w:rsidRDefault="001B1C1A" w:rsidP="007653D9">
      <w:pPr>
        <w:tabs>
          <w:tab w:val="left" w:pos="1418"/>
        </w:tabs>
        <w:ind w:left="851"/>
        <w:rPr>
          <w:sz w:val="24"/>
          <w:szCs w:val="24"/>
          <w:u w:val="single"/>
        </w:rPr>
      </w:pPr>
      <w:r>
        <w:rPr>
          <w:sz w:val="24"/>
          <w:szCs w:val="24"/>
          <w:u w:val="single"/>
        </w:rPr>
        <w:t>Behandling af epilepsi</w:t>
      </w:r>
    </w:p>
    <w:p w14:paraId="240EFAAA" w14:textId="77777777" w:rsidR="001B1C1A" w:rsidRDefault="001B1C1A" w:rsidP="007653D9">
      <w:pPr>
        <w:widowControl w:val="0"/>
        <w:numPr>
          <w:ilvl w:val="0"/>
          <w:numId w:val="16"/>
        </w:numPr>
        <w:tabs>
          <w:tab w:val="clear" w:pos="2062"/>
        </w:tabs>
        <w:ind w:left="1276" w:hanging="425"/>
        <w:rPr>
          <w:sz w:val="24"/>
          <w:szCs w:val="24"/>
        </w:rPr>
      </w:pPr>
      <w:r>
        <w:rPr>
          <w:sz w:val="24"/>
          <w:szCs w:val="24"/>
        </w:rPr>
        <w:t xml:space="preserve">ved graviditet </w:t>
      </w:r>
      <w:proofErr w:type="gramStart"/>
      <w:r>
        <w:rPr>
          <w:sz w:val="24"/>
          <w:szCs w:val="24"/>
        </w:rPr>
        <w:t>med mindre</w:t>
      </w:r>
      <w:proofErr w:type="gramEnd"/>
      <w:r>
        <w:rPr>
          <w:sz w:val="24"/>
          <w:szCs w:val="24"/>
        </w:rPr>
        <w:t xml:space="preserve"> der ikke findes en anden passende behandling (se pkt. 4.4 og 4.6).</w:t>
      </w:r>
    </w:p>
    <w:p w14:paraId="6DB31F86" w14:textId="77777777" w:rsidR="001B1C1A" w:rsidRDefault="001B1C1A" w:rsidP="007653D9">
      <w:pPr>
        <w:widowControl w:val="0"/>
        <w:numPr>
          <w:ilvl w:val="0"/>
          <w:numId w:val="16"/>
        </w:numPr>
        <w:tabs>
          <w:tab w:val="clear" w:pos="2062"/>
        </w:tabs>
        <w:ind w:left="1276" w:hanging="425"/>
        <w:rPr>
          <w:sz w:val="24"/>
          <w:szCs w:val="24"/>
        </w:rPr>
      </w:pPr>
      <w:r>
        <w:rPr>
          <w:sz w:val="24"/>
          <w:szCs w:val="24"/>
        </w:rPr>
        <w:t>hos fertile kvinder med mindre betingelserne i præventionsprogrammet er opfyldt (se pkt. 4.4 og 4.6).</w:t>
      </w:r>
    </w:p>
    <w:p w14:paraId="4D6BC121" w14:textId="77777777" w:rsidR="007653D9" w:rsidRDefault="007653D9" w:rsidP="007653D9">
      <w:pPr>
        <w:tabs>
          <w:tab w:val="left" w:pos="1418"/>
        </w:tabs>
        <w:ind w:left="851"/>
        <w:rPr>
          <w:sz w:val="24"/>
          <w:szCs w:val="24"/>
          <w:u w:val="single"/>
        </w:rPr>
      </w:pPr>
    </w:p>
    <w:p w14:paraId="0BCD5ABC" w14:textId="045F0C69" w:rsidR="001B1C1A" w:rsidRDefault="001B1C1A" w:rsidP="007653D9">
      <w:pPr>
        <w:tabs>
          <w:tab w:val="left" w:pos="1418"/>
        </w:tabs>
        <w:ind w:left="851"/>
        <w:rPr>
          <w:sz w:val="24"/>
          <w:szCs w:val="24"/>
          <w:u w:val="single"/>
        </w:rPr>
      </w:pPr>
      <w:r>
        <w:rPr>
          <w:sz w:val="24"/>
          <w:szCs w:val="24"/>
          <w:u w:val="single"/>
        </w:rPr>
        <w:t>Behandling af bipolar lidelse</w:t>
      </w:r>
    </w:p>
    <w:p w14:paraId="601E85EF" w14:textId="77777777" w:rsidR="001B1C1A" w:rsidRDefault="001B1C1A" w:rsidP="007653D9">
      <w:pPr>
        <w:widowControl w:val="0"/>
        <w:numPr>
          <w:ilvl w:val="0"/>
          <w:numId w:val="16"/>
        </w:numPr>
        <w:tabs>
          <w:tab w:val="clear" w:pos="2062"/>
        </w:tabs>
        <w:ind w:left="1276" w:hanging="425"/>
        <w:rPr>
          <w:sz w:val="24"/>
          <w:szCs w:val="24"/>
        </w:rPr>
      </w:pPr>
      <w:r>
        <w:rPr>
          <w:sz w:val="24"/>
          <w:szCs w:val="24"/>
        </w:rPr>
        <w:t>ved graviditet (se pkt. 4.4 og 4.6).</w:t>
      </w:r>
    </w:p>
    <w:p w14:paraId="0E04FF0A" w14:textId="77777777" w:rsidR="001B1C1A" w:rsidRDefault="001B1C1A" w:rsidP="007653D9">
      <w:pPr>
        <w:widowControl w:val="0"/>
        <w:numPr>
          <w:ilvl w:val="0"/>
          <w:numId w:val="16"/>
        </w:numPr>
        <w:tabs>
          <w:tab w:val="clear" w:pos="2062"/>
        </w:tabs>
        <w:ind w:left="1276" w:hanging="425"/>
        <w:rPr>
          <w:sz w:val="24"/>
          <w:szCs w:val="24"/>
        </w:rPr>
      </w:pPr>
      <w:r>
        <w:rPr>
          <w:sz w:val="24"/>
          <w:szCs w:val="24"/>
        </w:rPr>
        <w:t>hos fertile kvinder med mindre betingelserne i præventionsprogrammet er opfyldt (se pkt. 4.4 og 4.6).</w:t>
      </w:r>
    </w:p>
    <w:p w14:paraId="70B8D49B" w14:textId="77777777" w:rsidR="004873ED" w:rsidRPr="004C0B3B" w:rsidRDefault="004873ED" w:rsidP="007653D9">
      <w:pPr>
        <w:tabs>
          <w:tab w:val="left" w:pos="851"/>
        </w:tabs>
        <w:ind w:left="851"/>
        <w:rPr>
          <w:sz w:val="24"/>
          <w:szCs w:val="24"/>
        </w:rPr>
      </w:pPr>
    </w:p>
    <w:p w14:paraId="7DC1446D" w14:textId="77777777" w:rsidR="004873ED" w:rsidRPr="004C0B3B" w:rsidRDefault="004873ED" w:rsidP="007653D9">
      <w:pPr>
        <w:tabs>
          <w:tab w:val="left" w:pos="851"/>
        </w:tabs>
        <w:ind w:left="851"/>
        <w:rPr>
          <w:sz w:val="24"/>
          <w:szCs w:val="24"/>
        </w:rPr>
      </w:pPr>
      <w:proofErr w:type="spellStart"/>
      <w:r w:rsidRPr="004C0B3B">
        <w:rPr>
          <w:sz w:val="24"/>
          <w:szCs w:val="24"/>
        </w:rPr>
        <w:t>Valproat</w:t>
      </w:r>
      <w:proofErr w:type="spellEnd"/>
      <w:r w:rsidRPr="004C0B3B">
        <w:rPr>
          <w:sz w:val="24"/>
          <w:szCs w:val="24"/>
        </w:rPr>
        <w:t xml:space="preserve"> er kontraindiceret hos patienter med </w:t>
      </w:r>
      <w:proofErr w:type="spellStart"/>
      <w:r w:rsidRPr="004C0B3B">
        <w:rPr>
          <w:sz w:val="24"/>
          <w:szCs w:val="24"/>
        </w:rPr>
        <w:t>mitokondrielle</w:t>
      </w:r>
      <w:proofErr w:type="spellEnd"/>
      <w:r w:rsidRPr="004C0B3B">
        <w:rPr>
          <w:sz w:val="24"/>
          <w:szCs w:val="24"/>
        </w:rPr>
        <w:t xml:space="preserve"> sygdomme forårsaget af mutationer i det kernegen, der koder for det </w:t>
      </w:r>
      <w:proofErr w:type="spellStart"/>
      <w:r w:rsidRPr="004C0B3B">
        <w:rPr>
          <w:sz w:val="24"/>
          <w:szCs w:val="24"/>
        </w:rPr>
        <w:t>mitokondrielle</w:t>
      </w:r>
      <w:proofErr w:type="spellEnd"/>
      <w:r w:rsidRPr="004C0B3B">
        <w:rPr>
          <w:sz w:val="24"/>
          <w:szCs w:val="24"/>
        </w:rPr>
        <w:t xml:space="preserve"> enzym polymerase γ (POLG), f.eks. Alpers-</w:t>
      </w:r>
      <w:proofErr w:type="spellStart"/>
      <w:r w:rsidRPr="004C0B3B">
        <w:rPr>
          <w:sz w:val="24"/>
          <w:szCs w:val="24"/>
        </w:rPr>
        <w:t>Huttenlocher</w:t>
      </w:r>
      <w:proofErr w:type="spellEnd"/>
      <w:r w:rsidRPr="004C0B3B">
        <w:rPr>
          <w:sz w:val="24"/>
          <w:szCs w:val="24"/>
        </w:rPr>
        <w:t xml:space="preserve"> syndrom, og hos børn under 2 år, som formodes at have en POLG-relateret sygdom (se pkt. 4.4).</w:t>
      </w:r>
    </w:p>
    <w:p w14:paraId="7A6B0F31" w14:textId="77777777" w:rsidR="004873ED" w:rsidRPr="004C0B3B" w:rsidRDefault="004873ED" w:rsidP="007653D9">
      <w:pPr>
        <w:tabs>
          <w:tab w:val="left" w:pos="851"/>
        </w:tabs>
        <w:ind w:left="851"/>
        <w:rPr>
          <w:sz w:val="24"/>
          <w:szCs w:val="24"/>
        </w:rPr>
      </w:pPr>
    </w:p>
    <w:p w14:paraId="2D43CDE0" w14:textId="77777777" w:rsidR="007653D9" w:rsidRPr="00C84483" w:rsidRDefault="007653D9" w:rsidP="007653D9">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EDF3FE7" w14:textId="77777777" w:rsidR="004873ED" w:rsidRPr="004C0B3B" w:rsidRDefault="004873ED" w:rsidP="007653D9">
      <w:pPr>
        <w:ind w:left="851"/>
        <w:rPr>
          <w:sz w:val="24"/>
          <w:szCs w:val="24"/>
        </w:rPr>
      </w:pPr>
      <w:r w:rsidRPr="004C0B3B">
        <w:rPr>
          <w:sz w:val="24"/>
          <w:szCs w:val="24"/>
        </w:rPr>
        <w:t xml:space="preserve">Medicinen må under ingen omstændigheder tygges, da det kan skade den modificerede frigivelse af lægemiddelstoffet. </w:t>
      </w:r>
    </w:p>
    <w:p w14:paraId="65A36D0A" w14:textId="77777777" w:rsidR="004873ED" w:rsidRPr="004C0B3B" w:rsidRDefault="004873ED" w:rsidP="007653D9">
      <w:pPr>
        <w:ind w:left="851"/>
        <w:rPr>
          <w:sz w:val="24"/>
          <w:szCs w:val="24"/>
        </w:rPr>
      </w:pPr>
    </w:p>
    <w:p w14:paraId="499AF698" w14:textId="77777777" w:rsidR="004873ED" w:rsidRPr="004C0B3B" w:rsidRDefault="004873ED" w:rsidP="007653D9">
      <w:pPr>
        <w:ind w:left="851"/>
        <w:rPr>
          <w:sz w:val="24"/>
          <w:szCs w:val="24"/>
          <w:u w:val="single"/>
        </w:rPr>
      </w:pPr>
      <w:r w:rsidRPr="004C0B3B">
        <w:rPr>
          <w:sz w:val="24"/>
          <w:szCs w:val="24"/>
          <w:u w:val="single"/>
        </w:rPr>
        <w:t>Hæmatologisk</w:t>
      </w:r>
    </w:p>
    <w:p w14:paraId="58F2F684" w14:textId="77777777" w:rsidR="004873ED" w:rsidRPr="004C0B3B" w:rsidRDefault="004873ED" w:rsidP="007653D9">
      <w:pPr>
        <w:ind w:left="851"/>
        <w:rPr>
          <w:sz w:val="24"/>
          <w:szCs w:val="24"/>
        </w:rPr>
      </w:pPr>
      <w:r w:rsidRPr="004C0B3B">
        <w:rPr>
          <w:sz w:val="24"/>
          <w:szCs w:val="24"/>
        </w:rPr>
        <w:t xml:space="preserve">Det anbefales at monitorere de hæmatologiske parametre, herunder </w:t>
      </w:r>
      <w:proofErr w:type="spellStart"/>
      <w:r w:rsidRPr="004C0B3B">
        <w:rPr>
          <w:sz w:val="24"/>
          <w:szCs w:val="24"/>
        </w:rPr>
        <w:t>trombocytter</w:t>
      </w:r>
      <w:proofErr w:type="spellEnd"/>
      <w:r w:rsidRPr="004C0B3B">
        <w:rPr>
          <w:sz w:val="24"/>
          <w:szCs w:val="24"/>
        </w:rPr>
        <w:t xml:space="preserve">, blødningstid og koagulationsprøver, før iværksættelse af behandling og før kirurgiske og dentale indgreb samt i tilfælde af spontane </w:t>
      </w:r>
      <w:proofErr w:type="spellStart"/>
      <w:r w:rsidRPr="004C0B3B">
        <w:rPr>
          <w:sz w:val="24"/>
          <w:szCs w:val="24"/>
        </w:rPr>
        <w:t>hæmatomer</w:t>
      </w:r>
      <w:proofErr w:type="spellEnd"/>
      <w:r w:rsidRPr="004C0B3B">
        <w:rPr>
          <w:sz w:val="24"/>
          <w:szCs w:val="24"/>
        </w:rPr>
        <w:t xml:space="preserve"> eller blødninger (se pkt. 4.8).</w:t>
      </w:r>
    </w:p>
    <w:p w14:paraId="7BE802DC" w14:textId="77777777" w:rsidR="004873ED" w:rsidRPr="004C0B3B" w:rsidRDefault="004873ED" w:rsidP="007653D9">
      <w:pPr>
        <w:ind w:left="851"/>
        <w:rPr>
          <w:sz w:val="24"/>
          <w:szCs w:val="24"/>
        </w:rPr>
      </w:pPr>
    </w:p>
    <w:p w14:paraId="0EC2BB1E" w14:textId="77777777" w:rsidR="004873ED" w:rsidRPr="004C0B3B" w:rsidRDefault="004873ED" w:rsidP="007653D9">
      <w:pPr>
        <w:ind w:left="851"/>
        <w:rPr>
          <w:sz w:val="24"/>
          <w:szCs w:val="24"/>
          <w:u w:val="single"/>
        </w:rPr>
      </w:pPr>
      <w:r w:rsidRPr="004C0B3B">
        <w:rPr>
          <w:sz w:val="24"/>
          <w:szCs w:val="24"/>
          <w:u w:val="single"/>
        </w:rPr>
        <w:t>Knoglemarvsskader</w:t>
      </w:r>
    </w:p>
    <w:p w14:paraId="5F9137DA" w14:textId="77777777" w:rsidR="004873ED" w:rsidRPr="004C0B3B" w:rsidRDefault="004873ED" w:rsidP="007653D9">
      <w:pPr>
        <w:ind w:left="851"/>
        <w:rPr>
          <w:sz w:val="24"/>
          <w:szCs w:val="24"/>
        </w:rPr>
      </w:pPr>
      <w:r w:rsidRPr="004C0B3B">
        <w:rPr>
          <w:sz w:val="24"/>
          <w:szCs w:val="24"/>
        </w:rPr>
        <w:t>Patienter med tidligere knoglemarvsskader skal følges nøje.</w:t>
      </w:r>
    </w:p>
    <w:p w14:paraId="61188ABF" w14:textId="77777777" w:rsidR="004873ED" w:rsidRPr="004C0B3B" w:rsidRDefault="004873ED" w:rsidP="007653D9">
      <w:pPr>
        <w:ind w:left="851"/>
        <w:rPr>
          <w:sz w:val="24"/>
          <w:szCs w:val="24"/>
        </w:rPr>
      </w:pPr>
    </w:p>
    <w:p w14:paraId="058FB874" w14:textId="77777777" w:rsidR="00522563" w:rsidRPr="004C0B3B" w:rsidRDefault="00522563" w:rsidP="007653D9">
      <w:pPr>
        <w:ind w:left="851"/>
        <w:rPr>
          <w:sz w:val="24"/>
          <w:szCs w:val="24"/>
          <w:u w:val="single"/>
        </w:rPr>
      </w:pPr>
      <w:r w:rsidRPr="004C0B3B">
        <w:rPr>
          <w:sz w:val="24"/>
          <w:szCs w:val="24"/>
          <w:u w:val="single"/>
        </w:rPr>
        <w:t>Svær leverskade</w:t>
      </w:r>
    </w:p>
    <w:p w14:paraId="75A3DF4D" w14:textId="77777777" w:rsidR="00522563" w:rsidRPr="004C0B3B" w:rsidRDefault="00522563" w:rsidP="007653D9">
      <w:pPr>
        <w:ind w:left="851"/>
        <w:rPr>
          <w:sz w:val="24"/>
          <w:szCs w:val="24"/>
        </w:rPr>
      </w:pPr>
      <w:r w:rsidRPr="004C0B3B">
        <w:rPr>
          <w:sz w:val="24"/>
          <w:szCs w:val="24"/>
        </w:rPr>
        <w:t xml:space="preserve">Der er rapporteret om sjældne tilfælde af svære leverskader efter indtagelse af </w:t>
      </w:r>
      <w:proofErr w:type="spellStart"/>
      <w:r w:rsidRPr="004C0B3B">
        <w:rPr>
          <w:sz w:val="24"/>
          <w:szCs w:val="24"/>
        </w:rPr>
        <w:t>natriumvalproat</w:t>
      </w:r>
      <w:proofErr w:type="spellEnd"/>
      <w:r w:rsidRPr="004C0B3B">
        <w:rPr>
          <w:sz w:val="24"/>
          <w:szCs w:val="24"/>
        </w:rPr>
        <w:t>, i nogle tilfælde med dødelig udgang.</w:t>
      </w:r>
    </w:p>
    <w:p w14:paraId="2ABA90C6" w14:textId="77777777" w:rsidR="00522563" w:rsidRPr="004C0B3B" w:rsidRDefault="00522563" w:rsidP="007653D9">
      <w:pPr>
        <w:ind w:left="851"/>
        <w:rPr>
          <w:sz w:val="24"/>
          <w:szCs w:val="24"/>
        </w:rPr>
      </w:pPr>
    </w:p>
    <w:p w14:paraId="5250C2E3" w14:textId="77777777" w:rsidR="00522563" w:rsidRPr="004C0B3B" w:rsidRDefault="00522563" w:rsidP="007653D9">
      <w:pPr>
        <w:ind w:left="851"/>
        <w:rPr>
          <w:sz w:val="24"/>
          <w:szCs w:val="24"/>
          <w:u w:val="single"/>
        </w:rPr>
      </w:pPr>
      <w:r w:rsidRPr="004C0B3B">
        <w:rPr>
          <w:sz w:val="24"/>
          <w:szCs w:val="24"/>
          <w:u w:val="single"/>
        </w:rPr>
        <w:t>Pædiatrisk population</w:t>
      </w:r>
    </w:p>
    <w:p w14:paraId="7F5158D3" w14:textId="77777777" w:rsidR="00522563" w:rsidRPr="004C0B3B" w:rsidRDefault="00522563" w:rsidP="007653D9">
      <w:pPr>
        <w:ind w:left="851"/>
        <w:rPr>
          <w:sz w:val="24"/>
          <w:szCs w:val="24"/>
        </w:rPr>
      </w:pPr>
      <w:r w:rsidRPr="004C0B3B">
        <w:rPr>
          <w:sz w:val="24"/>
          <w:szCs w:val="24"/>
        </w:rPr>
        <w:t>Spædbørn og børn under 3 år med svær epilepsi og særligt epilepsi kombineret med cere</w:t>
      </w:r>
      <w:r w:rsidRPr="004C0B3B">
        <w:rPr>
          <w:sz w:val="24"/>
          <w:szCs w:val="24"/>
        </w:rPr>
        <w:softHyphen/>
        <w:t xml:space="preserve">brale abnormiteter, mental retardering, genetisk degenerative lidelser og/eller kendte stofskiftesygdomme, herunder </w:t>
      </w:r>
      <w:proofErr w:type="spellStart"/>
      <w:r w:rsidRPr="004C0B3B">
        <w:rPr>
          <w:sz w:val="24"/>
          <w:szCs w:val="24"/>
        </w:rPr>
        <w:t>mitokondrielle</w:t>
      </w:r>
      <w:proofErr w:type="spellEnd"/>
      <w:r w:rsidRPr="004C0B3B">
        <w:rPr>
          <w:sz w:val="24"/>
          <w:szCs w:val="24"/>
        </w:rPr>
        <w:t xml:space="preserve"> sygdomme som </w:t>
      </w:r>
      <w:proofErr w:type="spellStart"/>
      <w:r w:rsidRPr="004C0B3B">
        <w:rPr>
          <w:sz w:val="24"/>
          <w:szCs w:val="24"/>
        </w:rPr>
        <w:t>karnitinmangel</w:t>
      </w:r>
      <w:proofErr w:type="spellEnd"/>
      <w:r w:rsidRPr="004C0B3B">
        <w:rPr>
          <w:sz w:val="24"/>
          <w:szCs w:val="24"/>
        </w:rPr>
        <w:t xml:space="preserve">, enzymmangel i urinstofcyklus, POLG-mutationer (se pkt. 4.3 og 4.4) og/eller nedsat leverfunktion i anamnesen, har den største risiko for </w:t>
      </w:r>
      <w:proofErr w:type="spellStart"/>
      <w:r w:rsidRPr="004C0B3B">
        <w:rPr>
          <w:sz w:val="24"/>
          <w:szCs w:val="24"/>
        </w:rPr>
        <w:t>hepatotoksicitet</w:t>
      </w:r>
      <w:proofErr w:type="spellEnd"/>
      <w:r w:rsidRPr="004C0B3B">
        <w:rPr>
          <w:sz w:val="24"/>
          <w:szCs w:val="24"/>
        </w:rPr>
        <w:t xml:space="preserve"> - især i behandlingens første 6 måneder. Når børn er over 3 år, nedsættes risikoen i takt med, at børnene bliver ældre. Risikoen for </w:t>
      </w:r>
      <w:proofErr w:type="spellStart"/>
      <w:r w:rsidRPr="004C0B3B">
        <w:rPr>
          <w:sz w:val="24"/>
          <w:szCs w:val="24"/>
        </w:rPr>
        <w:t>hepatotoksicitet</w:t>
      </w:r>
      <w:proofErr w:type="spellEnd"/>
      <w:r w:rsidRPr="004C0B3B">
        <w:rPr>
          <w:sz w:val="24"/>
          <w:szCs w:val="24"/>
        </w:rPr>
        <w:t xml:space="preserve"> er større ved kombinationsbehandling med andre </w:t>
      </w:r>
      <w:proofErr w:type="spellStart"/>
      <w:r w:rsidRPr="004C0B3B">
        <w:rPr>
          <w:sz w:val="24"/>
          <w:szCs w:val="24"/>
        </w:rPr>
        <w:t>antiepileptika</w:t>
      </w:r>
      <w:proofErr w:type="spellEnd"/>
      <w:r w:rsidRPr="004C0B3B">
        <w:rPr>
          <w:sz w:val="24"/>
          <w:szCs w:val="24"/>
        </w:rPr>
        <w:t>, især hos meget små børn.</w:t>
      </w:r>
    </w:p>
    <w:p w14:paraId="6EC9991A" w14:textId="77777777" w:rsidR="00522563" w:rsidRPr="004C0B3B" w:rsidRDefault="00522563" w:rsidP="007653D9">
      <w:pPr>
        <w:ind w:left="851"/>
        <w:rPr>
          <w:sz w:val="24"/>
          <w:szCs w:val="24"/>
        </w:rPr>
      </w:pPr>
      <w:r w:rsidRPr="004C0B3B">
        <w:rPr>
          <w:sz w:val="24"/>
          <w:szCs w:val="24"/>
        </w:rPr>
        <w:t xml:space="preserve">Samtidig brug af </w:t>
      </w:r>
      <w:proofErr w:type="spellStart"/>
      <w:r w:rsidRPr="004C0B3B">
        <w:rPr>
          <w:sz w:val="24"/>
          <w:szCs w:val="24"/>
        </w:rPr>
        <w:t>salicylater</w:t>
      </w:r>
      <w:proofErr w:type="spellEnd"/>
      <w:r w:rsidRPr="004C0B3B">
        <w:rPr>
          <w:sz w:val="24"/>
          <w:szCs w:val="24"/>
        </w:rPr>
        <w:t xml:space="preserve"> anbefales ikke til børn under 3 år på grund af risikoen for </w:t>
      </w:r>
      <w:r w:rsidRPr="004C0B3B">
        <w:rPr>
          <w:sz w:val="24"/>
          <w:szCs w:val="24"/>
        </w:rPr>
        <w:br/>
      </w:r>
      <w:proofErr w:type="spellStart"/>
      <w:r w:rsidRPr="004C0B3B">
        <w:rPr>
          <w:sz w:val="24"/>
          <w:szCs w:val="24"/>
        </w:rPr>
        <w:t>hepatotoksicitet</w:t>
      </w:r>
      <w:proofErr w:type="spellEnd"/>
      <w:r w:rsidRPr="004C0B3B">
        <w:rPr>
          <w:sz w:val="24"/>
          <w:szCs w:val="24"/>
        </w:rPr>
        <w:t xml:space="preserve"> (se pkt. 4.5).</w:t>
      </w:r>
    </w:p>
    <w:p w14:paraId="47035D6D" w14:textId="77777777" w:rsidR="004873ED" w:rsidRPr="004C0B3B" w:rsidRDefault="004873ED" w:rsidP="007653D9">
      <w:pPr>
        <w:ind w:left="851"/>
        <w:rPr>
          <w:sz w:val="24"/>
          <w:szCs w:val="24"/>
        </w:rPr>
      </w:pPr>
    </w:p>
    <w:p w14:paraId="6723F67D" w14:textId="77777777" w:rsidR="004873ED" w:rsidRPr="004C0B3B" w:rsidRDefault="004873ED" w:rsidP="007653D9">
      <w:pPr>
        <w:ind w:left="851"/>
        <w:rPr>
          <w:sz w:val="24"/>
          <w:szCs w:val="24"/>
        </w:rPr>
      </w:pPr>
      <w:proofErr w:type="spellStart"/>
      <w:r w:rsidRPr="004C0B3B">
        <w:rPr>
          <w:sz w:val="24"/>
          <w:szCs w:val="24"/>
        </w:rPr>
        <w:t>Orfiril</w:t>
      </w:r>
      <w:proofErr w:type="spellEnd"/>
      <w:r w:rsidRPr="004C0B3B">
        <w:rPr>
          <w:sz w:val="24"/>
          <w:szCs w:val="24"/>
        </w:rPr>
        <w:t xml:space="preserve"> Long bør normalt ikke anvendes som førstevalgsbehandling til små børn. Hvis det overvejes at ordinere </w:t>
      </w:r>
      <w:proofErr w:type="spellStart"/>
      <w:r w:rsidRPr="004C0B3B">
        <w:rPr>
          <w:sz w:val="24"/>
          <w:szCs w:val="24"/>
        </w:rPr>
        <w:t>Orfiril</w:t>
      </w:r>
      <w:proofErr w:type="spellEnd"/>
      <w:r w:rsidRPr="004C0B3B">
        <w:rPr>
          <w:sz w:val="24"/>
          <w:szCs w:val="24"/>
        </w:rPr>
        <w:t xml:space="preserve"> Long til børn under 3 år, bør det være som monoterapi. De mulige fordele skal imidlertid vejes op mod risikoen for leverskader og </w:t>
      </w:r>
      <w:proofErr w:type="spellStart"/>
      <w:r w:rsidRPr="004C0B3B">
        <w:rPr>
          <w:sz w:val="24"/>
          <w:szCs w:val="24"/>
        </w:rPr>
        <w:t>pankreatitis</w:t>
      </w:r>
      <w:proofErr w:type="spellEnd"/>
      <w:r w:rsidRPr="004C0B3B">
        <w:rPr>
          <w:sz w:val="24"/>
          <w:szCs w:val="24"/>
        </w:rPr>
        <w:t xml:space="preserve"> hos disse patienter, før behandlingen iværksættes.</w:t>
      </w:r>
    </w:p>
    <w:p w14:paraId="69B3F5B8" w14:textId="7AB2095A" w:rsidR="00B33DDB" w:rsidRDefault="00B33DDB">
      <w:pPr>
        <w:rPr>
          <w:sz w:val="24"/>
          <w:szCs w:val="24"/>
        </w:rPr>
      </w:pPr>
      <w:r>
        <w:rPr>
          <w:sz w:val="24"/>
          <w:szCs w:val="24"/>
        </w:rPr>
        <w:br w:type="page"/>
      </w:r>
    </w:p>
    <w:p w14:paraId="1B1DCA5E" w14:textId="77777777" w:rsidR="004873ED" w:rsidRPr="004C0B3B" w:rsidRDefault="004873ED" w:rsidP="007653D9">
      <w:pPr>
        <w:ind w:left="851"/>
        <w:rPr>
          <w:sz w:val="24"/>
          <w:szCs w:val="24"/>
        </w:rPr>
      </w:pPr>
    </w:p>
    <w:p w14:paraId="37E68BA8" w14:textId="77777777" w:rsidR="004873ED" w:rsidRPr="004C0B3B" w:rsidRDefault="004873ED" w:rsidP="007653D9">
      <w:pPr>
        <w:ind w:left="851"/>
        <w:rPr>
          <w:i/>
          <w:sz w:val="24"/>
          <w:szCs w:val="24"/>
        </w:rPr>
      </w:pPr>
      <w:r w:rsidRPr="004C0B3B">
        <w:rPr>
          <w:i/>
          <w:sz w:val="24"/>
          <w:szCs w:val="24"/>
        </w:rPr>
        <w:t>Kliniske symptomer</w:t>
      </w:r>
    </w:p>
    <w:p w14:paraId="22887085" w14:textId="77777777" w:rsidR="004873ED" w:rsidRPr="004C0B3B" w:rsidRDefault="004873ED" w:rsidP="007653D9">
      <w:pPr>
        <w:ind w:left="851"/>
        <w:rPr>
          <w:sz w:val="24"/>
          <w:szCs w:val="24"/>
        </w:rPr>
      </w:pPr>
      <w:r w:rsidRPr="004C0B3B">
        <w:rPr>
          <w:sz w:val="24"/>
          <w:szCs w:val="24"/>
        </w:rPr>
        <w:t>De kliniske symptomer på leverskader er afgørende for en tidlig diagnose. Der skal især tages højde for følgende lidelser, som kan være forløbere for gulsot:</w:t>
      </w:r>
    </w:p>
    <w:p w14:paraId="6751528A" w14:textId="77777777" w:rsidR="004873ED" w:rsidRPr="004C0B3B" w:rsidRDefault="004873ED" w:rsidP="004873ED">
      <w:pPr>
        <w:numPr>
          <w:ilvl w:val="0"/>
          <w:numId w:val="10"/>
        </w:numPr>
        <w:tabs>
          <w:tab w:val="left" w:pos="497"/>
          <w:tab w:val="num" w:pos="1276"/>
        </w:tabs>
        <w:ind w:left="1276" w:hanging="425"/>
        <w:rPr>
          <w:sz w:val="24"/>
          <w:szCs w:val="24"/>
        </w:rPr>
      </w:pPr>
      <w:r w:rsidRPr="004C0B3B">
        <w:rPr>
          <w:sz w:val="24"/>
          <w:szCs w:val="24"/>
        </w:rPr>
        <w:t xml:space="preserve">Ikke-specifikke symptomer som asteni, anoreksi, apati og døsighed, nogle gange ledsaget af gentagen opkastning og </w:t>
      </w:r>
      <w:proofErr w:type="spellStart"/>
      <w:r w:rsidRPr="004C0B3B">
        <w:rPr>
          <w:sz w:val="24"/>
          <w:szCs w:val="24"/>
        </w:rPr>
        <w:t>abdominalsmerter</w:t>
      </w:r>
      <w:proofErr w:type="spellEnd"/>
      <w:r w:rsidRPr="004C0B3B">
        <w:rPr>
          <w:sz w:val="24"/>
          <w:szCs w:val="24"/>
        </w:rPr>
        <w:t>.</w:t>
      </w:r>
    </w:p>
    <w:p w14:paraId="35D86920" w14:textId="77777777" w:rsidR="004873ED" w:rsidRPr="004C0B3B" w:rsidRDefault="004873ED" w:rsidP="004873ED">
      <w:pPr>
        <w:numPr>
          <w:ilvl w:val="0"/>
          <w:numId w:val="10"/>
        </w:numPr>
        <w:tabs>
          <w:tab w:val="left" w:pos="497"/>
          <w:tab w:val="num" w:pos="1276"/>
        </w:tabs>
        <w:ind w:left="1276" w:hanging="425"/>
        <w:rPr>
          <w:sz w:val="24"/>
          <w:szCs w:val="24"/>
        </w:rPr>
      </w:pPr>
      <w:r w:rsidRPr="004C0B3B">
        <w:rPr>
          <w:sz w:val="24"/>
          <w:szCs w:val="24"/>
        </w:rPr>
        <w:t>Tilbagevenden eller forværring af kramper.</w:t>
      </w:r>
    </w:p>
    <w:p w14:paraId="4A45C72B" w14:textId="77777777" w:rsidR="004873ED" w:rsidRPr="004C0B3B" w:rsidRDefault="004873ED" w:rsidP="004873ED">
      <w:pPr>
        <w:numPr>
          <w:ilvl w:val="0"/>
          <w:numId w:val="10"/>
        </w:numPr>
        <w:tabs>
          <w:tab w:val="left" w:pos="497"/>
          <w:tab w:val="num" w:pos="1276"/>
        </w:tabs>
        <w:ind w:left="1276" w:hanging="425"/>
        <w:rPr>
          <w:sz w:val="24"/>
          <w:szCs w:val="24"/>
        </w:rPr>
      </w:pPr>
      <w:r w:rsidRPr="004C0B3B">
        <w:rPr>
          <w:sz w:val="24"/>
          <w:szCs w:val="24"/>
        </w:rPr>
        <w:t>Forlænget blødningstid.</w:t>
      </w:r>
    </w:p>
    <w:p w14:paraId="71F68E97" w14:textId="77777777" w:rsidR="004873ED" w:rsidRPr="004C0B3B" w:rsidRDefault="004873ED" w:rsidP="004873ED">
      <w:pPr>
        <w:tabs>
          <w:tab w:val="left" w:pos="214"/>
        </w:tabs>
        <w:ind w:left="851"/>
        <w:rPr>
          <w:sz w:val="24"/>
          <w:szCs w:val="24"/>
        </w:rPr>
      </w:pPr>
    </w:p>
    <w:p w14:paraId="1AC92C1F" w14:textId="77777777" w:rsidR="004873ED" w:rsidRPr="004C0B3B" w:rsidRDefault="004873ED" w:rsidP="007653D9">
      <w:pPr>
        <w:ind w:left="851"/>
        <w:rPr>
          <w:sz w:val="24"/>
          <w:szCs w:val="24"/>
        </w:rPr>
      </w:pPr>
      <w:r w:rsidRPr="004C0B3B">
        <w:rPr>
          <w:sz w:val="24"/>
          <w:szCs w:val="24"/>
        </w:rPr>
        <w:t>Det tilrådes desuden at informere patienten eller forældrene om disse symptomer og anmode dem om at kontakte den behandlende læge øjeblikkeligt, hvis disse symptomer forekommer.</w:t>
      </w:r>
    </w:p>
    <w:p w14:paraId="32AE5F14" w14:textId="77777777" w:rsidR="004873ED" w:rsidRPr="004C0B3B" w:rsidRDefault="004873ED" w:rsidP="007653D9">
      <w:pPr>
        <w:ind w:left="851"/>
        <w:rPr>
          <w:sz w:val="24"/>
          <w:szCs w:val="24"/>
        </w:rPr>
      </w:pPr>
    </w:p>
    <w:p w14:paraId="6682567C" w14:textId="77777777" w:rsidR="004873ED" w:rsidRPr="004C0B3B" w:rsidRDefault="004873ED" w:rsidP="007653D9">
      <w:pPr>
        <w:ind w:left="851"/>
        <w:rPr>
          <w:sz w:val="24"/>
          <w:szCs w:val="24"/>
        </w:rPr>
      </w:pPr>
      <w:r w:rsidRPr="004C0B3B">
        <w:rPr>
          <w:i/>
          <w:sz w:val="24"/>
          <w:szCs w:val="24"/>
        </w:rPr>
        <w:t xml:space="preserve">Monitorering af leverfunktionen i forbindelse med </w:t>
      </w:r>
      <w:proofErr w:type="spellStart"/>
      <w:r w:rsidRPr="004C0B3B">
        <w:rPr>
          <w:i/>
          <w:sz w:val="24"/>
          <w:szCs w:val="24"/>
        </w:rPr>
        <w:t>hepatotoksicitet</w:t>
      </w:r>
      <w:proofErr w:type="spellEnd"/>
    </w:p>
    <w:p w14:paraId="313CB32E" w14:textId="77777777" w:rsidR="00522563" w:rsidRPr="004C0B3B" w:rsidRDefault="00522563" w:rsidP="007653D9">
      <w:pPr>
        <w:widowControl w:val="0"/>
        <w:ind w:left="851"/>
        <w:rPr>
          <w:sz w:val="24"/>
          <w:szCs w:val="24"/>
        </w:rPr>
      </w:pPr>
      <w:r w:rsidRPr="004C0B3B">
        <w:rPr>
          <w:sz w:val="24"/>
          <w:szCs w:val="24"/>
        </w:rPr>
        <w:t xml:space="preserve">Leverfunktionen skal monitoreres før behandlingsstart og derefter med jævne mellemrum i det første halve år af behandlingen. Ved ændringer i lægemidler, der bruges samtidig (dosisforøgelse eller tilføjelser), og som vides at påvirke leveren, bør levermonitorering genoptages efter behov (se også pkt. 4.5 om risiko for leverskade med </w:t>
      </w:r>
      <w:proofErr w:type="spellStart"/>
      <w:r w:rsidRPr="004C0B3B">
        <w:rPr>
          <w:sz w:val="24"/>
          <w:szCs w:val="24"/>
        </w:rPr>
        <w:t>salicylater</w:t>
      </w:r>
      <w:proofErr w:type="spellEnd"/>
      <w:r w:rsidRPr="004C0B3B">
        <w:rPr>
          <w:sz w:val="24"/>
          <w:szCs w:val="24"/>
        </w:rPr>
        <w:t xml:space="preserve">, andre </w:t>
      </w:r>
      <w:proofErr w:type="spellStart"/>
      <w:r w:rsidRPr="004C0B3B">
        <w:rPr>
          <w:sz w:val="24"/>
          <w:szCs w:val="24"/>
        </w:rPr>
        <w:t>antikonvulsiva</w:t>
      </w:r>
      <w:proofErr w:type="spellEnd"/>
      <w:r w:rsidRPr="004C0B3B">
        <w:rPr>
          <w:sz w:val="24"/>
          <w:szCs w:val="24"/>
        </w:rPr>
        <w:t xml:space="preserve">, herunder </w:t>
      </w:r>
      <w:proofErr w:type="spellStart"/>
      <w:r w:rsidRPr="004C0B3B">
        <w:rPr>
          <w:sz w:val="24"/>
          <w:szCs w:val="24"/>
        </w:rPr>
        <w:t>cannabidiol</w:t>
      </w:r>
      <w:proofErr w:type="spellEnd"/>
      <w:r w:rsidRPr="004C0B3B">
        <w:rPr>
          <w:sz w:val="24"/>
          <w:szCs w:val="24"/>
        </w:rPr>
        <w:t xml:space="preserve">). Især er det vigtigt at opdage abnormt høje </w:t>
      </w:r>
      <w:proofErr w:type="spellStart"/>
      <w:r w:rsidRPr="004C0B3B">
        <w:rPr>
          <w:sz w:val="24"/>
          <w:szCs w:val="24"/>
        </w:rPr>
        <w:t>tromboplastintider</w:t>
      </w:r>
      <w:proofErr w:type="spellEnd"/>
      <w:r w:rsidRPr="004C0B3B">
        <w:rPr>
          <w:sz w:val="24"/>
          <w:szCs w:val="24"/>
        </w:rPr>
        <w:t xml:space="preserve">, da de er tegn på en forstyrret proteinsyntese. I tilfælde af svært abnorme leverfunktionsprøver (forhøjede </w:t>
      </w:r>
      <w:proofErr w:type="spellStart"/>
      <w:r w:rsidRPr="004C0B3B">
        <w:rPr>
          <w:sz w:val="24"/>
          <w:szCs w:val="24"/>
        </w:rPr>
        <w:t>aminotransferaser</w:t>
      </w:r>
      <w:proofErr w:type="spellEnd"/>
      <w:r w:rsidRPr="004C0B3B">
        <w:rPr>
          <w:sz w:val="24"/>
          <w:szCs w:val="24"/>
        </w:rPr>
        <w:t xml:space="preserve"> og/eller bilirubin og/eller </w:t>
      </w:r>
      <w:proofErr w:type="spellStart"/>
      <w:r w:rsidRPr="004C0B3B">
        <w:rPr>
          <w:sz w:val="24"/>
          <w:szCs w:val="24"/>
        </w:rPr>
        <w:t>fibrinogenkoagulationsfaktorer</w:t>
      </w:r>
      <w:proofErr w:type="spellEnd"/>
      <w:r w:rsidRPr="004C0B3B">
        <w:rPr>
          <w:sz w:val="24"/>
          <w:szCs w:val="24"/>
        </w:rPr>
        <w:t xml:space="preserve">) skal behandlingen seponeres. Hvis der samtidig anvendes </w:t>
      </w:r>
      <w:proofErr w:type="spellStart"/>
      <w:r w:rsidRPr="004C0B3B">
        <w:rPr>
          <w:sz w:val="24"/>
          <w:szCs w:val="24"/>
        </w:rPr>
        <w:t>salicylater</w:t>
      </w:r>
      <w:proofErr w:type="spellEnd"/>
      <w:r w:rsidRPr="004C0B3B">
        <w:rPr>
          <w:sz w:val="24"/>
          <w:szCs w:val="24"/>
        </w:rPr>
        <w:t xml:space="preserve">, skal disse for en sikkerheds skyld også seponeres, eftersom det er svært at skelne mellem </w:t>
      </w:r>
      <w:proofErr w:type="spellStart"/>
      <w:r w:rsidRPr="004C0B3B">
        <w:rPr>
          <w:sz w:val="24"/>
          <w:szCs w:val="24"/>
        </w:rPr>
        <w:t>hepatotoksicitet</w:t>
      </w:r>
      <w:proofErr w:type="spellEnd"/>
      <w:r w:rsidRPr="004C0B3B">
        <w:rPr>
          <w:sz w:val="24"/>
          <w:szCs w:val="24"/>
        </w:rPr>
        <w:t xml:space="preserve"> der er forårsaget af </w:t>
      </w:r>
      <w:proofErr w:type="spellStart"/>
      <w:r w:rsidRPr="004C0B3B">
        <w:rPr>
          <w:sz w:val="24"/>
          <w:szCs w:val="24"/>
        </w:rPr>
        <w:t>valproat</w:t>
      </w:r>
      <w:proofErr w:type="spellEnd"/>
      <w:r w:rsidRPr="004C0B3B">
        <w:rPr>
          <w:sz w:val="24"/>
          <w:szCs w:val="24"/>
        </w:rPr>
        <w:t>, og Reyes syndrom.</w:t>
      </w:r>
    </w:p>
    <w:p w14:paraId="00B2C747" w14:textId="77777777" w:rsidR="004873ED" w:rsidRPr="004C0B3B" w:rsidRDefault="004873ED" w:rsidP="007653D9">
      <w:pPr>
        <w:ind w:left="851"/>
        <w:rPr>
          <w:sz w:val="24"/>
          <w:szCs w:val="24"/>
        </w:rPr>
      </w:pPr>
    </w:p>
    <w:p w14:paraId="6593A0EB" w14:textId="77777777" w:rsidR="004873ED" w:rsidRPr="004C0B3B" w:rsidRDefault="004873ED" w:rsidP="007653D9">
      <w:pPr>
        <w:widowControl w:val="0"/>
        <w:ind w:left="851"/>
        <w:rPr>
          <w:sz w:val="24"/>
          <w:szCs w:val="24"/>
        </w:rPr>
      </w:pPr>
      <w:r w:rsidRPr="004C0B3B">
        <w:rPr>
          <w:sz w:val="24"/>
          <w:szCs w:val="24"/>
        </w:rPr>
        <w:t xml:space="preserve">Ligesom med andre </w:t>
      </w:r>
      <w:proofErr w:type="spellStart"/>
      <w:r w:rsidRPr="004C0B3B">
        <w:rPr>
          <w:sz w:val="24"/>
          <w:szCs w:val="24"/>
        </w:rPr>
        <w:t>antiepileptika</w:t>
      </w:r>
      <w:proofErr w:type="spellEnd"/>
      <w:r w:rsidRPr="004C0B3B">
        <w:rPr>
          <w:sz w:val="24"/>
          <w:szCs w:val="24"/>
        </w:rPr>
        <w:t xml:space="preserve"> kan der i starten af behandlingen forekomme en isoleret forbigående stigning i </w:t>
      </w:r>
      <w:proofErr w:type="spellStart"/>
      <w:r w:rsidRPr="004C0B3B">
        <w:rPr>
          <w:sz w:val="24"/>
          <w:szCs w:val="24"/>
        </w:rPr>
        <w:t>aminotransferaserne</w:t>
      </w:r>
      <w:proofErr w:type="spellEnd"/>
      <w:r w:rsidRPr="004C0B3B">
        <w:rPr>
          <w:sz w:val="24"/>
          <w:szCs w:val="24"/>
        </w:rPr>
        <w:t xml:space="preserve"> uden kliniske symptomer.</w:t>
      </w:r>
    </w:p>
    <w:p w14:paraId="6B914511" w14:textId="77777777" w:rsidR="004873ED" w:rsidRPr="004C0B3B" w:rsidRDefault="004873ED" w:rsidP="007653D9">
      <w:pPr>
        <w:ind w:left="851"/>
        <w:rPr>
          <w:sz w:val="24"/>
          <w:szCs w:val="24"/>
        </w:rPr>
      </w:pPr>
      <w:r w:rsidRPr="004C0B3B">
        <w:rPr>
          <w:sz w:val="24"/>
          <w:szCs w:val="24"/>
        </w:rPr>
        <w:t xml:space="preserve">Hvis dette forekommer, anbefales det at foretage yderligere omfattende undersøgelser (herunder bestemmelse af PTT (partiel </w:t>
      </w:r>
      <w:proofErr w:type="spellStart"/>
      <w:r w:rsidRPr="004C0B3B">
        <w:rPr>
          <w:sz w:val="24"/>
          <w:szCs w:val="24"/>
        </w:rPr>
        <w:t>tromboplastintid</w:t>
      </w:r>
      <w:proofErr w:type="spellEnd"/>
      <w:r w:rsidRPr="004C0B3B">
        <w:rPr>
          <w:sz w:val="24"/>
          <w:szCs w:val="24"/>
        </w:rPr>
        <w:t>)). Det kan overvejes at foretage en dosisjustering, og undersøgelserne bør gentages.</w:t>
      </w:r>
    </w:p>
    <w:p w14:paraId="3F137F7B" w14:textId="77777777" w:rsidR="004873ED" w:rsidRPr="004C0B3B" w:rsidRDefault="004873ED" w:rsidP="007653D9">
      <w:pPr>
        <w:ind w:left="851"/>
        <w:rPr>
          <w:sz w:val="24"/>
          <w:szCs w:val="24"/>
        </w:rPr>
      </w:pPr>
    </w:p>
    <w:p w14:paraId="6A0E7782" w14:textId="77777777" w:rsidR="004873ED" w:rsidRPr="004C0B3B" w:rsidRDefault="004873ED" w:rsidP="007653D9">
      <w:pPr>
        <w:ind w:left="851"/>
        <w:rPr>
          <w:sz w:val="24"/>
          <w:szCs w:val="24"/>
          <w:u w:val="single"/>
        </w:rPr>
      </w:pPr>
      <w:proofErr w:type="spellStart"/>
      <w:r w:rsidRPr="004C0B3B">
        <w:rPr>
          <w:sz w:val="24"/>
          <w:szCs w:val="24"/>
          <w:u w:val="single"/>
        </w:rPr>
        <w:t>Pankreatitis</w:t>
      </w:r>
      <w:proofErr w:type="spellEnd"/>
    </w:p>
    <w:p w14:paraId="480BB0A9" w14:textId="77777777" w:rsidR="004873ED" w:rsidRPr="004C0B3B" w:rsidRDefault="004873ED" w:rsidP="007653D9">
      <w:pPr>
        <w:ind w:left="851"/>
        <w:rPr>
          <w:sz w:val="24"/>
          <w:szCs w:val="24"/>
        </w:rPr>
      </w:pPr>
      <w:r w:rsidRPr="004C0B3B">
        <w:rPr>
          <w:sz w:val="24"/>
          <w:szCs w:val="24"/>
        </w:rPr>
        <w:t xml:space="preserve">Der er i sjældne tilfælde rapporteret om svær </w:t>
      </w:r>
      <w:proofErr w:type="spellStart"/>
      <w:r w:rsidRPr="004C0B3B">
        <w:rPr>
          <w:sz w:val="24"/>
          <w:szCs w:val="24"/>
        </w:rPr>
        <w:t>pankreatitis</w:t>
      </w:r>
      <w:proofErr w:type="spellEnd"/>
      <w:r w:rsidRPr="004C0B3B">
        <w:rPr>
          <w:sz w:val="24"/>
          <w:szCs w:val="24"/>
        </w:rPr>
        <w:t xml:space="preserve">, som kan være fatal. Dette er særligt en risiko for mindre børn. Risikoen falder i takt med, at alderen stiger. Risikofaktorerne kan være svære epilepsianfald og neurologiske abnormiteter ved kombination med andre </w:t>
      </w:r>
      <w:proofErr w:type="spellStart"/>
      <w:r w:rsidRPr="004C0B3B">
        <w:rPr>
          <w:sz w:val="24"/>
          <w:szCs w:val="24"/>
        </w:rPr>
        <w:t>antiepileptika</w:t>
      </w:r>
      <w:proofErr w:type="spellEnd"/>
      <w:r w:rsidRPr="004C0B3B">
        <w:rPr>
          <w:sz w:val="24"/>
          <w:szCs w:val="24"/>
        </w:rPr>
        <w:t xml:space="preserve">. Leversvigt samtidig med </w:t>
      </w:r>
      <w:proofErr w:type="spellStart"/>
      <w:r w:rsidRPr="004C0B3B">
        <w:rPr>
          <w:sz w:val="24"/>
          <w:szCs w:val="24"/>
        </w:rPr>
        <w:t>pankreatitis</w:t>
      </w:r>
      <w:proofErr w:type="spellEnd"/>
      <w:r w:rsidRPr="004C0B3B">
        <w:rPr>
          <w:sz w:val="24"/>
          <w:szCs w:val="24"/>
        </w:rPr>
        <w:t xml:space="preserve"> øger risikoen for dødelig udgang.</w:t>
      </w:r>
    </w:p>
    <w:p w14:paraId="03851598" w14:textId="77777777" w:rsidR="004873ED" w:rsidRPr="004C0B3B" w:rsidRDefault="004873ED" w:rsidP="007653D9">
      <w:pPr>
        <w:ind w:left="851"/>
        <w:rPr>
          <w:sz w:val="24"/>
          <w:szCs w:val="24"/>
        </w:rPr>
      </w:pPr>
      <w:r w:rsidRPr="004C0B3B">
        <w:rPr>
          <w:sz w:val="24"/>
          <w:szCs w:val="24"/>
        </w:rPr>
        <w:t xml:space="preserve">Patienter, der oplever akutte </w:t>
      </w:r>
      <w:proofErr w:type="spellStart"/>
      <w:r w:rsidRPr="004C0B3B">
        <w:rPr>
          <w:sz w:val="24"/>
          <w:szCs w:val="24"/>
        </w:rPr>
        <w:t>abdominalsmerter</w:t>
      </w:r>
      <w:proofErr w:type="spellEnd"/>
      <w:r w:rsidRPr="004C0B3B">
        <w:rPr>
          <w:sz w:val="24"/>
          <w:szCs w:val="24"/>
        </w:rPr>
        <w:t xml:space="preserve">, mens de behandles med </w:t>
      </w:r>
      <w:proofErr w:type="spellStart"/>
      <w:r w:rsidRPr="004C0B3B">
        <w:rPr>
          <w:sz w:val="24"/>
          <w:szCs w:val="24"/>
        </w:rPr>
        <w:t>valproat</w:t>
      </w:r>
      <w:proofErr w:type="spellEnd"/>
      <w:r w:rsidRPr="004C0B3B">
        <w:rPr>
          <w:sz w:val="24"/>
          <w:szCs w:val="24"/>
        </w:rPr>
        <w:t xml:space="preserve">, skal derfor undersøges akut, og hvis der konstateres </w:t>
      </w:r>
      <w:proofErr w:type="spellStart"/>
      <w:r w:rsidRPr="004C0B3B">
        <w:rPr>
          <w:sz w:val="24"/>
          <w:szCs w:val="24"/>
        </w:rPr>
        <w:t>pankreatitis</w:t>
      </w:r>
      <w:proofErr w:type="spellEnd"/>
      <w:r w:rsidRPr="004C0B3B">
        <w:rPr>
          <w:sz w:val="24"/>
          <w:szCs w:val="24"/>
        </w:rPr>
        <w:t xml:space="preserve">, skal </w:t>
      </w:r>
      <w:proofErr w:type="spellStart"/>
      <w:r w:rsidRPr="004C0B3B">
        <w:rPr>
          <w:sz w:val="24"/>
          <w:szCs w:val="24"/>
        </w:rPr>
        <w:t>Orfiril</w:t>
      </w:r>
      <w:proofErr w:type="spellEnd"/>
      <w:r w:rsidRPr="004C0B3B">
        <w:rPr>
          <w:sz w:val="24"/>
          <w:szCs w:val="24"/>
        </w:rPr>
        <w:t xml:space="preserve"> Long omgående seponeres.</w:t>
      </w:r>
    </w:p>
    <w:p w14:paraId="239A25A9" w14:textId="77777777" w:rsidR="004873ED" w:rsidRPr="004C0B3B" w:rsidRDefault="004873ED" w:rsidP="007653D9">
      <w:pPr>
        <w:ind w:left="851"/>
        <w:rPr>
          <w:i/>
          <w:sz w:val="24"/>
          <w:szCs w:val="24"/>
          <w:u w:val="single"/>
        </w:rPr>
      </w:pPr>
    </w:p>
    <w:p w14:paraId="6BA39C22" w14:textId="77777777" w:rsidR="004873ED" w:rsidRPr="004C0B3B" w:rsidRDefault="004873ED" w:rsidP="007653D9">
      <w:pPr>
        <w:ind w:left="851"/>
        <w:rPr>
          <w:sz w:val="24"/>
          <w:szCs w:val="24"/>
          <w:u w:val="single"/>
        </w:rPr>
      </w:pPr>
      <w:r w:rsidRPr="004C0B3B">
        <w:rPr>
          <w:sz w:val="24"/>
          <w:szCs w:val="24"/>
          <w:u w:val="single"/>
        </w:rPr>
        <w:t>Øjeblikkeligt ophør af behandling bør overvejes, hvis nogen af de følgende symptomer opstår:</w:t>
      </w:r>
    </w:p>
    <w:p w14:paraId="7EA9B916" w14:textId="77777777" w:rsidR="004873ED" w:rsidRPr="004C0B3B" w:rsidRDefault="004873ED" w:rsidP="007653D9">
      <w:pPr>
        <w:widowControl w:val="0"/>
        <w:numPr>
          <w:ilvl w:val="0"/>
          <w:numId w:val="10"/>
        </w:numPr>
        <w:tabs>
          <w:tab w:val="clear" w:pos="2062"/>
        </w:tabs>
        <w:ind w:left="1276" w:hanging="425"/>
        <w:rPr>
          <w:sz w:val="24"/>
          <w:szCs w:val="24"/>
        </w:rPr>
      </w:pPr>
      <w:r w:rsidRPr="004C0B3B">
        <w:rPr>
          <w:sz w:val="24"/>
          <w:szCs w:val="24"/>
        </w:rPr>
        <w:t>Uforklarlig svækkelse af almentilstanden,</w:t>
      </w:r>
    </w:p>
    <w:p w14:paraId="502E8132" w14:textId="77777777" w:rsidR="004873ED" w:rsidRPr="004C0B3B" w:rsidRDefault="004873ED" w:rsidP="007653D9">
      <w:pPr>
        <w:widowControl w:val="0"/>
        <w:numPr>
          <w:ilvl w:val="0"/>
          <w:numId w:val="10"/>
        </w:numPr>
        <w:tabs>
          <w:tab w:val="clear" w:pos="2062"/>
        </w:tabs>
        <w:ind w:left="1276" w:hanging="425"/>
        <w:rPr>
          <w:sz w:val="24"/>
          <w:szCs w:val="24"/>
        </w:rPr>
      </w:pPr>
      <w:r w:rsidRPr="004C0B3B">
        <w:rPr>
          <w:sz w:val="24"/>
          <w:szCs w:val="24"/>
        </w:rPr>
        <w:t xml:space="preserve">kliniske tegn på skader på lever og/eller pankreas, </w:t>
      </w:r>
    </w:p>
    <w:p w14:paraId="231F2CEA" w14:textId="77777777" w:rsidR="004873ED" w:rsidRPr="004C0B3B" w:rsidRDefault="004873ED" w:rsidP="007653D9">
      <w:pPr>
        <w:widowControl w:val="0"/>
        <w:numPr>
          <w:ilvl w:val="0"/>
          <w:numId w:val="10"/>
        </w:numPr>
        <w:tabs>
          <w:tab w:val="clear" w:pos="2062"/>
        </w:tabs>
        <w:ind w:left="1276" w:hanging="425"/>
        <w:rPr>
          <w:sz w:val="24"/>
          <w:szCs w:val="24"/>
        </w:rPr>
      </w:pPr>
      <w:r w:rsidRPr="004C0B3B">
        <w:rPr>
          <w:sz w:val="24"/>
          <w:szCs w:val="24"/>
        </w:rPr>
        <w:t xml:space="preserve">koagulationsforstyrrelser, </w:t>
      </w:r>
    </w:p>
    <w:p w14:paraId="7E0AC700" w14:textId="77777777" w:rsidR="004873ED" w:rsidRPr="004C0B3B" w:rsidRDefault="004873ED" w:rsidP="007653D9">
      <w:pPr>
        <w:widowControl w:val="0"/>
        <w:numPr>
          <w:ilvl w:val="0"/>
          <w:numId w:val="10"/>
        </w:numPr>
        <w:tabs>
          <w:tab w:val="clear" w:pos="2062"/>
        </w:tabs>
        <w:ind w:left="1276" w:hanging="425"/>
        <w:rPr>
          <w:sz w:val="24"/>
          <w:szCs w:val="24"/>
        </w:rPr>
      </w:pPr>
      <w:r w:rsidRPr="004C0B3B">
        <w:rPr>
          <w:sz w:val="24"/>
          <w:szCs w:val="24"/>
        </w:rPr>
        <w:t>betydelig forringelse af koagulationsparametre,</w:t>
      </w:r>
    </w:p>
    <w:p w14:paraId="7E813B77" w14:textId="77777777" w:rsidR="004873ED" w:rsidRPr="004C0B3B" w:rsidRDefault="004873ED" w:rsidP="007653D9">
      <w:pPr>
        <w:widowControl w:val="0"/>
        <w:numPr>
          <w:ilvl w:val="0"/>
          <w:numId w:val="10"/>
        </w:numPr>
        <w:tabs>
          <w:tab w:val="clear" w:pos="2062"/>
        </w:tabs>
        <w:ind w:left="1276" w:hanging="425"/>
        <w:rPr>
          <w:sz w:val="24"/>
          <w:szCs w:val="24"/>
        </w:rPr>
      </w:pPr>
      <w:r w:rsidRPr="004C0B3B">
        <w:rPr>
          <w:sz w:val="24"/>
          <w:szCs w:val="24"/>
        </w:rPr>
        <w:t>forøgelse på mere end 2 til 3 gange af ALAT eller ASAT selv uden kliniske tegn (induktion af leverenzymer og samtidig indtagelse af lægemidler skal overvejes),</w:t>
      </w:r>
    </w:p>
    <w:p w14:paraId="3ED336CC" w14:textId="77777777" w:rsidR="004873ED" w:rsidRPr="004C0B3B" w:rsidRDefault="004873ED" w:rsidP="007653D9">
      <w:pPr>
        <w:widowControl w:val="0"/>
        <w:numPr>
          <w:ilvl w:val="0"/>
          <w:numId w:val="10"/>
        </w:numPr>
        <w:tabs>
          <w:tab w:val="clear" w:pos="2062"/>
        </w:tabs>
        <w:ind w:left="1276" w:hanging="425"/>
        <w:rPr>
          <w:sz w:val="24"/>
          <w:szCs w:val="24"/>
        </w:rPr>
      </w:pPr>
      <w:r w:rsidRPr="004C0B3B">
        <w:rPr>
          <w:sz w:val="24"/>
          <w:szCs w:val="24"/>
        </w:rPr>
        <w:t xml:space="preserve">moderat (1-1,5 gang) forøgelse af ALAT eller ASAT ledsaget af en akut infektion med feber, </w:t>
      </w:r>
    </w:p>
    <w:p w14:paraId="47E9FF9C" w14:textId="77777777" w:rsidR="004873ED" w:rsidRPr="004C0B3B" w:rsidRDefault="004873ED" w:rsidP="007653D9">
      <w:pPr>
        <w:widowControl w:val="0"/>
        <w:numPr>
          <w:ilvl w:val="0"/>
          <w:numId w:val="10"/>
        </w:numPr>
        <w:tabs>
          <w:tab w:val="clear" w:pos="2062"/>
        </w:tabs>
        <w:ind w:left="1276" w:hanging="425"/>
        <w:rPr>
          <w:sz w:val="24"/>
          <w:szCs w:val="24"/>
        </w:rPr>
      </w:pPr>
      <w:r w:rsidRPr="004C0B3B">
        <w:rPr>
          <w:sz w:val="24"/>
          <w:szCs w:val="24"/>
        </w:rPr>
        <w:t xml:space="preserve">forekomst af dosis-uafhængige bivirkninger. </w:t>
      </w:r>
    </w:p>
    <w:p w14:paraId="76FFD2CB" w14:textId="77777777" w:rsidR="004873ED" w:rsidRPr="004C0B3B" w:rsidRDefault="004873ED" w:rsidP="004873ED">
      <w:pPr>
        <w:tabs>
          <w:tab w:val="left" w:pos="214"/>
        </w:tabs>
        <w:ind w:left="851"/>
        <w:rPr>
          <w:i/>
          <w:sz w:val="24"/>
          <w:szCs w:val="24"/>
          <w:u w:val="single"/>
        </w:rPr>
      </w:pPr>
    </w:p>
    <w:p w14:paraId="4F46AEC1" w14:textId="77777777" w:rsidR="00522563" w:rsidRPr="004C0B3B" w:rsidRDefault="00522563" w:rsidP="007653D9">
      <w:pPr>
        <w:ind w:left="851"/>
        <w:rPr>
          <w:sz w:val="24"/>
          <w:szCs w:val="24"/>
          <w:u w:val="single"/>
        </w:rPr>
      </w:pPr>
      <w:r w:rsidRPr="004C0B3B">
        <w:rPr>
          <w:sz w:val="24"/>
          <w:szCs w:val="24"/>
          <w:u w:val="single"/>
        </w:rPr>
        <w:t xml:space="preserve">Urinstofcyklusdefekter og risiko for </w:t>
      </w:r>
      <w:proofErr w:type="spellStart"/>
      <w:r w:rsidRPr="004C0B3B">
        <w:rPr>
          <w:sz w:val="24"/>
          <w:szCs w:val="24"/>
          <w:u w:val="single"/>
        </w:rPr>
        <w:t>hyperammoniæmi</w:t>
      </w:r>
      <w:proofErr w:type="spellEnd"/>
    </w:p>
    <w:p w14:paraId="65AB0970" w14:textId="77777777" w:rsidR="00522563" w:rsidRPr="004C0B3B" w:rsidRDefault="00522563" w:rsidP="007653D9">
      <w:pPr>
        <w:ind w:left="851"/>
        <w:rPr>
          <w:sz w:val="24"/>
          <w:szCs w:val="24"/>
        </w:rPr>
      </w:pPr>
      <w:r w:rsidRPr="004C0B3B">
        <w:rPr>
          <w:sz w:val="24"/>
          <w:szCs w:val="24"/>
        </w:rPr>
        <w:t xml:space="preserve">Hvis der er mistanke om en enzymforstyrrelse i urinstofcyklussen, skal der foretages metaboliske undersøgelser før behandlingsstart på grund af risikoen for </w:t>
      </w:r>
      <w:proofErr w:type="spellStart"/>
      <w:r w:rsidRPr="004C0B3B">
        <w:rPr>
          <w:sz w:val="24"/>
          <w:szCs w:val="24"/>
        </w:rPr>
        <w:t>hyperammoniæmi</w:t>
      </w:r>
      <w:proofErr w:type="spellEnd"/>
      <w:r w:rsidRPr="004C0B3B">
        <w:rPr>
          <w:sz w:val="24"/>
          <w:szCs w:val="24"/>
        </w:rPr>
        <w:t xml:space="preserve"> forårsaget af </w:t>
      </w:r>
      <w:proofErr w:type="spellStart"/>
      <w:r w:rsidRPr="004C0B3B">
        <w:rPr>
          <w:sz w:val="24"/>
          <w:szCs w:val="24"/>
        </w:rPr>
        <w:t>valproat</w:t>
      </w:r>
      <w:proofErr w:type="spellEnd"/>
      <w:r w:rsidRPr="004C0B3B">
        <w:rPr>
          <w:sz w:val="24"/>
          <w:szCs w:val="24"/>
        </w:rPr>
        <w:t xml:space="preserve"> (se pkt. 4.3 Patienter med risiko for </w:t>
      </w:r>
      <w:proofErr w:type="spellStart"/>
      <w:r w:rsidRPr="004C0B3B">
        <w:rPr>
          <w:sz w:val="24"/>
          <w:szCs w:val="24"/>
        </w:rPr>
        <w:t>hypokarnitinæmi</w:t>
      </w:r>
      <w:proofErr w:type="spellEnd"/>
      <w:r w:rsidRPr="004C0B3B">
        <w:rPr>
          <w:sz w:val="24"/>
          <w:szCs w:val="24"/>
        </w:rPr>
        <w:t xml:space="preserve"> og pkt. 4.4 Svær leverskade).</w:t>
      </w:r>
    </w:p>
    <w:p w14:paraId="6D95FA08" w14:textId="77777777" w:rsidR="004873ED" w:rsidRPr="004C0B3B" w:rsidRDefault="004873ED" w:rsidP="007653D9">
      <w:pPr>
        <w:ind w:left="851"/>
        <w:rPr>
          <w:sz w:val="24"/>
          <w:szCs w:val="24"/>
        </w:rPr>
      </w:pPr>
    </w:p>
    <w:p w14:paraId="2DA5F7C6" w14:textId="77777777" w:rsidR="00522563" w:rsidRPr="004C0B3B" w:rsidRDefault="00522563" w:rsidP="007653D9">
      <w:pPr>
        <w:autoSpaceDE w:val="0"/>
        <w:autoSpaceDN w:val="0"/>
        <w:adjustRightInd w:val="0"/>
        <w:ind w:left="851"/>
        <w:rPr>
          <w:sz w:val="24"/>
          <w:szCs w:val="24"/>
          <w:u w:val="single"/>
        </w:rPr>
      </w:pPr>
      <w:r w:rsidRPr="004C0B3B">
        <w:rPr>
          <w:sz w:val="24"/>
          <w:szCs w:val="24"/>
          <w:u w:val="single"/>
        </w:rPr>
        <w:t xml:space="preserve">Patienter med risiko for </w:t>
      </w:r>
      <w:proofErr w:type="spellStart"/>
      <w:r w:rsidRPr="004C0B3B">
        <w:rPr>
          <w:sz w:val="24"/>
          <w:szCs w:val="24"/>
          <w:u w:val="single"/>
        </w:rPr>
        <w:t>hypokarnitinæmi</w:t>
      </w:r>
      <w:proofErr w:type="spellEnd"/>
    </w:p>
    <w:p w14:paraId="531F2BF0" w14:textId="77777777" w:rsidR="00522563" w:rsidRPr="004C0B3B" w:rsidRDefault="00522563" w:rsidP="007653D9">
      <w:pPr>
        <w:autoSpaceDE w:val="0"/>
        <w:autoSpaceDN w:val="0"/>
        <w:adjustRightInd w:val="0"/>
        <w:ind w:left="851"/>
        <w:rPr>
          <w:sz w:val="24"/>
          <w:szCs w:val="24"/>
        </w:rPr>
      </w:pPr>
      <w:r w:rsidRPr="004C0B3B">
        <w:rPr>
          <w:sz w:val="24"/>
          <w:szCs w:val="24"/>
        </w:rPr>
        <w:t xml:space="preserve">Administration af </w:t>
      </w:r>
      <w:proofErr w:type="spellStart"/>
      <w:r w:rsidRPr="004C0B3B">
        <w:rPr>
          <w:sz w:val="24"/>
          <w:szCs w:val="24"/>
        </w:rPr>
        <w:t>valproat</w:t>
      </w:r>
      <w:proofErr w:type="spellEnd"/>
      <w:r w:rsidRPr="004C0B3B">
        <w:rPr>
          <w:sz w:val="24"/>
          <w:szCs w:val="24"/>
        </w:rPr>
        <w:t xml:space="preserve"> kan udløse forekomst eller forværring af </w:t>
      </w:r>
      <w:proofErr w:type="spellStart"/>
      <w:r w:rsidRPr="004C0B3B">
        <w:rPr>
          <w:sz w:val="24"/>
          <w:szCs w:val="24"/>
        </w:rPr>
        <w:t>hypokarnitinæmi</w:t>
      </w:r>
      <w:proofErr w:type="spellEnd"/>
      <w:r w:rsidRPr="004C0B3B">
        <w:rPr>
          <w:sz w:val="24"/>
          <w:szCs w:val="24"/>
        </w:rPr>
        <w:t xml:space="preserve">, der kan medføre </w:t>
      </w:r>
      <w:proofErr w:type="spellStart"/>
      <w:r w:rsidRPr="004C0B3B">
        <w:rPr>
          <w:sz w:val="24"/>
          <w:szCs w:val="24"/>
        </w:rPr>
        <w:t>hyperammoniæmi</w:t>
      </w:r>
      <w:proofErr w:type="spellEnd"/>
      <w:r w:rsidRPr="004C0B3B">
        <w:rPr>
          <w:sz w:val="24"/>
          <w:szCs w:val="24"/>
        </w:rPr>
        <w:t xml:space="preserve"> (der kan føre til </w:t>
      </w:r>
      <w:proofErr w:type="spellStart"/>
      <w:r w:rsidRPr="004C0B3B">
        <w:rPr>
          <w:sz w:val="24"/>
          <w:szCs w:val="24"/>
        </w:rPr>
        <w:t>hyperammoniæmisk</w:t>
      </w:r>
      <w:proofErr w:type="spellEnd"/>
      <w:r w:rsidRPr="004C0B3B">
        <w:rPr>
          <w:sz w:val="24"/>
          <w:szCs w:val="24"/>
        </w:rPr>
        <w:t xml:space="preserve"> encefalopati). Der er observeret andre symptomer, såsom levertoksicitet, </w:t>
      </w:r>
      <w:proofErr w:type="spellStart"/>
      <w:r w:rsidRPr="004C0B3B">
        <w:rPr>
          <w:sz w:val="24"/>
          <w:szCs w:val="24"/>
        </w:rPr>
        <w:t>hypoketotisk</w:t>
      </w:r>
      <w:proofErr w:type="spellEnd"/>
      <w:r w:rsidRPr="004C0B3B">
        <w:rPr>
          <w:sz w:val="24"/>
          <w:szCs w:val="24"/>
        </w:rPr>
        <w:t xml:space="preserve"> hypoglykæmi, </w:t>
      </w:r>
      <w:proofErr w:type="spellStart"/>
      <w:r w:rsidRPr="004C0B3B">
        <w:rPr>
          <w:sz w:val="24"/>
          <w:szCs w:val="24"/>
        </w:rPr>
        <w:t>myopati</w:t>
      </w:r>
      <w:proofErr w:type="spellEnd"/>
      <w:r w:rsidRPr="004C0B3B">
        <w:rPr>
          <w:sz w:val="24"/>
          <w:szCs w:val="24"/>
        </w:rPr>
        <w:t xml:space="preserve">, herunder </w:t>
      </w:r>
      <w:proofErr w:type="spellStart"/>
      <w:r w:rsidRPr="004C0B3B">
        <w:rPr>
          <w:sz w:val="24"/>
          <w:szCs w:val="24"/>
        </w:rPr>
        <w:t>kardiomyopati</w:t>
      </w:r>
      <w:proofErr w:type="spellEnd"/>
      <w:r w:rsidRPr="004C0B3B">
        <w:rPr>
          <w:sz w:val="24"/>
          <w:szCs w:val="24"/>
        </w:rPr>
        <w:t xml:space="preserve">, </w:t>
      </w:r>
      <w:proofErr w:type="spellStart"/>
      <w:r w:rsidRPr="004C0B3B">
        <w:rPr>
          <w:sz w:val="24"/>
          <w:szCs w:val="24"/>
        </w:rPr>
        <w:t>rhabdomyolyse</w:t>
      </w:r>
      <w:proofErr w:type="spellEnd"/>
      <w:r w:rsidRPr="004C0B3B">
        <w:rPr>
          <w:sz w:val="24"/>
          <w:szCs w:val="24"/>
        </w:rPr>
        <w:t xml:space="preserve">, </w:t>
      </w:r>
      <w:proofErr w:type="spellStart"/>
      <w:r w:rsidRPr="004C0B3B">
        <w:rPr>
          <w:sz w:val="24"/>
          <w:szCs w:val="24"/>
        </w:rPr>
        <w:t>Fanconi</w:t>
      </w:r>
      <w:proofErr w:type="spellEnd"/>
      <w:r w:rsidRPr="004C0B3B">
        <w:rPr>
          <w:sz w:val="24"/>
          <w:szCs w:val="24"/>
        </w:rPr>
        <w:t xml:space="preserve">-syndrom, fortrinsvis hos patienter med risikofaktorer for </w:t>
      </w:r>
      <w:proofErr w:type="spellStart"/>
      <w:r w:rsidRPr="004C0B3B">
        <w:rPr>
          <w:sz w:val="24"/>
          <w:szCs w:val="24"/>
        </w:rPr>
        <w:t>hypokarnitinæmi</w:t>
      </w:r>
      <w:proofErr w:type="spellEnd"/>
      <w:r w:rsidRPr="004C0B3B">
        <w:rPr>
          <w:sz w:val="24"/>
          <w:szCs w:val="24"/>
        </w:rPr>
        <w:t xml:space="preserve"> eller eksisterende </w:t>
      </w:r>
      <w:proofErr w:type="spellStart"/>
      <w:r w:rsidRPr="004C0B3B">
        <w:rPr>
          <w:sz w:val="24"/>
          <w:szCs w:val="24"/>
        </w:rPr>
        <w:t>hypokarnitinæmi</w:t>
      </w:r>
      <w:proofErr w:type="spellEnd"/>
      <w:r w:rsidRPr="004C0B3B">
        <w:rPr>
          <w:sz w:val="24"/>
          <w:szCs w:val="24"/>
        </w:rPr>
        <w:t xml:space="preserve">. Patienter med øget risiko for symptomatisk </w:t>
      </w:r>
      <w:proofErr w:type="spellStart"/>
      <w:r w:rsidRPr="004C0B3B">
        <w:rPr>
          <w:sz w:val="24"/>
          <w:szCs w:val="24"/>
        </w:rPr>
        <w:t>hypokarnitinæmi</w:t>
      </w:r>
      <w:proofErr w:type="spellEnd"/>
      <w:r w:rsidRPr="004C0B3B">
        <w:rPr>
          <w:sz w:val="24"/>
          <w:szCs w:val="24"/>
        </w:rPr>
        <w:t xml:space="preserve">, når de behandles med </w:t>
      </w:r>
      <w:proofErr w:type="spellStart"/>
      <w:r w:rsidRPr="004C0B3B">
        <w:rPr>
          <w:sz w:val="24"/>
          <w:szCs w:val="24"/>
        </w:rPr>
        <w:t>valproat</w:t>
      </w:r>
      <w:proofErr w:type="spellEnd"/>
      <w:r w:rsidRPr="004C0B3B">
        <w:rPr>
          <w:sz w:val="24"/>
          <w:szCs w:val="24"/>
        </w:rPr>
        <w:t xml:space="preserve">, omfatter patienter med metaboliske sygdomme, herunder </w:t>
      </w:r>
      <w:proofErr w:type="spellStart"/>
      <w:r w:rsidRPr="004C0B3B">
        <w:rPr>
          <w:sz w:val="24"/>
          <w:szCs w:val="24"/>
        </w:rPr>
        <w:t>mitokondrielle</w:t>
      </w:r>
      <w:proofErr w:type="spellEnd"/>
      <w:r w:rsidRPr="004C0B3B">
        <w:rPr>
          <w:sz w:val="24"/>
          <w:szCs w:val="24"/>
        </w:rPr>
        <w:t xml:space="preserve"> sygdomme med relation til </w:t>
      </w:r>
      <w:proofErr w:type="spellStart"/>
      <w:r w:rsidRPr="004C0B3B">
        <w:rPr>
          <w:sz w:val="24"/>
          <w:szCs w:val="24"/>
        </w:rPr>
        <w:t>karnitin</w:t>
      </w:r>
      <w:proofErr w:type="spellEnd"/>
      <w:r w:rsidRPr="004C0B3B">
        <w:rPr>
          <w:sz w:val="24"/>
          <w:szCs w:val="24"/>
        </w:rPr>
        <w:t xml:space="preserve"> (se også pkt. 4.4 Patienter med kendt eller formodet </w:t>
      </w:r>
      <w:proofErr w:type="spellStart"/>
      <w:r w:rsidRPr="004C0B3B">
        <w:rPr>
          <w:sz w:val="24"/>
          <w:szCs w:val="24"/>
        </w:rPr>
        <w:t>mitokondriel</w:t>
      </w:r>
      <w:proofErr w:type="spellEnd"/>
      <w:r w:rsidRPr="004C0B3B">
        <w:rPr>
          <w:sz w:val="24"/>
          <w:szCs w:val="24"/>
        </w:rPr>
        <w:t xml:space="preserve"> sygdom og Urinstofcyklusdefekter og risiko for </w:t>
      </w:r>
      <w:proofErr w:type="spellStart"/>
      <w:r w:rsidRPr="004C0B3B">
        <w:rPr>
          <w:sz w:val="24"/>
          <w:szCs w:val="24"/>
        </w:rPr>
        <w:t>hyperammoniæmi</w:t>
      </w:r>
      <w:proofErr w:type="spellEnd"/>
      <w:r w:rsidRPr="004C0B3B">
        <w:rPr>
          <w:sz w:val="24"/>
          <w:szCs w:val="24"/>
        </w:rPr>
        <w:t xml:space="preserve">), nedsat indtagelse af </w:t>
      </w:r>
      <w:proofErr w:type="spellStart"/>
      <w:r w:rsidRPr="004C0B3B">
        <w:rPr>
          <w:sz w:val="24"/>
          <w:szCs w:val="24"/>
        </w:rPr>
        <w:t>karnitin</w:t>
      </w:r>
      <w:proofErr w:type="spellEnd"/>
      <w:r w:rsidRPr="004C0B3B">
        <w:rPr>
          <w:sz w:val="24"/>
          <w:szCs w:val="24"/>
        </w:rPr>
        <w:t xml:space="preserve"> via maden, patienter under 10 år, samtidig brug af </w:t>
      </w:r>
      <w:proofErr w:type="spellStart"/>
      <w:r w:rsidRPr="004C0B3B">
        <w:rPr>
          <w:sz w:val="24"/>
          <w:szCs w:val="24"/>
        </w:rPr>
        <w:t>pivalat</w:t>
      </w:r>
      <w:proofErr w:type="spellEnd"/>
      <w:r w:rsidRPr="004C0B3B">
        <w:rPr>
          <w:sz w:val="24"/>
          <w:szCs w:val="24"/>
        </w:rPr>
        <w:t xml:space="preserve">-konjugerede lægemidler eller af andre </w:t>
      </w:r>
      <w:proofErr w:type="spellStart"/>
      <w:r w:rsidRPr="004C0B3B">
        <w:rPr>
          <w:sz w:val="24"/>
          <w:szCs w:val="24"/>
        </w:rPr>
        <w:t>antiepileptika</w:t>
      </w:r>
      <w:proofErr w:type="spellEnd"/>
      <w:r w:rsidRPr="004C0B3B">
        <w:rPr>
          <w:sz w:val="24"/>
          <w:szCs w:val="24"/>
        </w:rPr>
        <w:t xml:space="preserve">. </w:t>
      </w:r>
    </w:p>
    <w:p w14:paraId="6DE57B30" w14:textId="77777777" w:rsidR="00522563" w:rsidRPr="004C0B3B" w:rsidRDefault="00522563" w:rsidP="007653D9">
      <w:pPr>
        <w:autoSpaceDE w:val="0"/>
        <w:autoSpaceDN w:val="0"/>
        <w:adjustRightInd w:val="0"/>
        <w:ind w:left="851"/>
        <w:rPr>
          <w:sz w:val="24"/>
          <w:szCs w:val="24"/>
        </w:rPr>
      </w:pPr>
    </w:p>
    <w:p w14:paraId="17B3DAF3" w14:textId="77777777" w:rsidR="00522563" w:rsidRPr="004C0B3B" w:rsidRDefault="00522563" w:rsidP="007653D9">
      <w:pPr>
        <w:autoSpaceDE w:val="0"/>
        <w:autoSpaceDN w:val="0"/>
        <w:adjustRightInd w:val="0"/>
        <w:ind w:left="851"/>
        <w:rPr>
          <w:sz w:val="24"/>
          <w:szCs w:val="24"/>
        </w:rPr>
      </w:pPr>
      <w:r w:rsidRPr="004C0B3B">
        <w:rPr>
          <w:sz w:val="24"/>
          <w:szCs w:val="24"/>
        </w:rPr>
        <w:t xml:space="preserve">Patienter skal opfordres til straks at rapportere ethvert tegn på </w:t>
      </w:r>
      <w:proofErr w:type="spellStart"/>
      <w:r w:rsidRPr="004C0B3B">
        <w:rPr>
          <w:sz w:val="24"/>
          <w:szCs w:val="24"/>
        </w:rPr>
        <w:t>hyperammonæmi</w:t>
      </w:r>
      <w:proofErr w:type="spellEnd"/>
      <w:r w:rsidRPr="004C0B3B">
        <w:rPr>
          <w:sz w:val="24"/>
          <w:szCs w:val="24"/>
        </w:rPr>
        <w:t xml:space="preserve">, såsom </w:t>
      </w:r>
      <w:proofErr w:type="spellStart"/>
      <w:r w:rsidRPr="004C0B3B">
        <w:rPr>
          <w:sz w:val="24"/>
          <w:szCs w:val="24"/>
        </w:rPr>
        <w:t>ataksi</w:t>
      </w:r>
      <w:proofErr w:type="spellEnd"/>
      <w:r w:rsidRPr="004C0B3B">
        <w:rPr>
          <w:sz w:val="24"/>
          <w:szCs w:val="24"/>
        </w:rPr>
        <w:t xml:space="preserve">, nedsat bevidsthed, opkastning. </w:t>
      </w:r>
      <w:proofErr w:type="spellStart"/>
      <w:r w:rsidRPr="004C0B3B">
        <w:rPr>
          <w:sz w:val="24"/>
          <w:szCs w:val="24"/>
        </w:rPr>
        <w:t>Karnitintilskud</w:t>
      </w:r>
      <w:proofErr w:type="spellEnd"/>
      <w:r w:rsidRPr="004C0B3B">
        <w:rPr>
          <w:sz w:val="24"/>
          <w:szCs w:val="24"/>
        </w:rPr>
        <w:t xml:space="preserve"> bør overvejes, når der observeres symptomer på </w:t>
      </w:r>
      <w:proofErr w:type="spellStart"/>
      <w:r w:rsidRPr="004C0B3B">
        <w:rPr>
          <w:sz w:val="24"/>
          <w:szCs w:val="24"/>
        </w:rPr>
        <w:t>hypokarnitinæmi</w:t>
      </w:r>
      <w:proofErr w:type="spellEnd"/>
      <w:r w:rsidRPr="004C0B3B">
        <w:rPr>
          <w:sz w:val="24"/>
          <w:szCs w:val="24"/>
        </w:rPr>
        <w:t xml:space="preserve">. </w:t>
      </w:r>
    </w:p>
    <w:p w14:paraId="69E34F27" w14:textId="77777777" w:rsidR="00522563" w:rsidRPr="004C0B3B" w:rsidRDefault="00522563" w:rsidP="007653D9">
      <w:pPr>
        <w:autoSpaceDE w:val="0"/>
        <w:autoSpaceDN w:val="0"/>
        <w:adjustRightInd w:val="0"/>
        <w:ind w:left="851"/>
        <w:rPr>
          <w:sz w:val="24"/>
          <w:szCs w:val="24"/>
        </w:rPr>
      </w:pPr>
    </w:p>
    <w:p w14:paraId="506071D2" w14:textId="77777777" w:rsidR="00522563" w:rsidRPr="004C0B3B" w:rsidRDefault="00522563" w:rsidP="007653D9">
      <w:pPr>
        <w:autoSpaceDE w:val="0"/>
        <w:autoSpaceDN w:val="0"/>
        <w:adjustRightInd w:val="0"/>
        <w:ind w:left="851"/>
        <w:rPr>
          <w:sz w:val="24"/>
          <w:szCs w:val="24"/>
        </w:rPr>
      </w:pPr>
      <w:r w:rsidRPr="004C0B3B">
        <w:rPr>
          <w:sz w:val="24"/>
          <w:szCs w:val="24"/>
        </w:rPr>
        <w:t xml:space="preserve">Patienter med systemisk primær </w:t>
      </w:r>
      <w:proofErr w:type="spellStart"/>
      <w:r w:rsidRPr="004C0B3B">
        <w:rPr>
          <w:sz w:val="24"/>
          <w:szCs w:val="24"/>
        </w:rPr>
        <w:t>karnitinmangel</w:t>
      </w:r>
      <w:proofErr w:type="spellEnd"/>
      <w:r w:rsidRPr="004C0B3B">
        <w:rPr>
          <w:sz w:val="24"/>
          <w:szCs w:val="24"/>
        </w:rPr>
        <w:t xml:space="preserve"> og som er korrigerede for </w:t>
      </w:r>
      <w:proofErr w:type="spellStart"/>
      <w:r w:rsidRPr="004C0B3B">
        <w:rPr>
          <w:sz w:val="24"/>
          <w:szCs w:val="24"/>
        </w:rPr>
        <w:t>hypokarnitinæmi</w:t>
      </w:r>
      <w:proofErr w:type="spellEnd"/>
      <w:r w:rsidRPr="004C0B3B">
        <w:rPr>
          <w:sz w:val="24"/>
          <w:szCs w:val="24"/>
        </w:rPr>
        <w:t xml:space="preserve"> må kun behandles med </w:t>
      </w:r>
      <w:proofErr w:type="spellStart"/>
      <w:r w:rsidRPr="004C0B3B">
        <w:rPr>
          <w:sz w:val="24"/>
          <w:szCs w:val="24"/>
        </w:rPr>
        <w:t>valproat</w:t>
      </w:r>
      <w:proofErr w:type="spellEnd"/>
      <w:r w:rsidRPr="004C0B3B">
        <w:rPr>
          <w:sz w:val="24"/>
          <w:szCs w:val="24"/>
        </w:rPr>
        <w:t xml:space="preserve">, hvis fordelene ved </w:t>
      </w:r>
      <w:proofErr w:type="spellStart"/>
      <w:r w:rsidRPr="004C0B3B">
        <w:rPr>
          <w:sz w:val="24"/>
          <w:szCs w:val="24"/>
        </w:rPr>
        <w:t>valproatbehandling</w:t>
      </w:r>
      <w:proofErr w:type="spellEnd"/>
      <w:r w:rsidRPr="004C0B3B">
        <w:rPr>
          <w:sz w:val="24"/>
          <w:szCs w:val="24"/>
        </w:rPr>
        <w:t xml:space="preserve"> opvejer risiciene hos disse patienter, og der ikke findes noget terapeutisk alternativ. Der bør iværksættes monitorering af </w:t>
      </w:r>
      <w:proofErr w:type="spellStart"/>
      <w:r w:rsidRPr="004C0B3B">
        <w:rPr>
          <w:sz w:val="24"/>
          <w:szCs w:val="24"/>
        </w:rPr>
        <w:t>karnitin</w:t>
      </w:r>
      <w:proofErr w:type="spellEnd"/>
      <w:r w:rsidRPr="004C0B3B">
        <w:rPr>
          <w:sz w:val="24"/>
          <w:szCs w:val="24"/>
        </w:rPr>
        <w:t xml:space="preserve"> hos disse patienter. </w:t>
      </w:r>
    </w:p>
    <w:p w14:paraId="1EFB5949" w14:textId="77777777" w:rsidR="00522563" w:rsidRPr="004C0B3B" w:rsidRDefault="00522563" w:rsidP="007653D9">
      <w:pPr>
        <w:ind w:left="851"/>
        <w:rPr>
          <w:sz w:val="24"/>
          <w:szCs w:val="24"/>
        </w:rPr>
      </w:pPr>
    </w:p>
    <w:p w14:paraId="2B9D10C0" w14:textId="77777777" w:rsidR="00522563" w:rsidRPr="004C0B3B" w:rsidRDefault="00522563" w:rsidP="007653D9">
      <w:pPr>
        <w:ind w:left="851"/>
        <w:rPr>
          <w:sz w:val="24"/>
          <w:szCs w:val="24"/>
        </w:rPr>
      </w:pPr>
      <w:bookmarkStart w:id="0" w:name="_Hlk148893610"/>
      <w:r w:rsidRPr="004C0B3B">
        <w:rPr>
          <w:sz w:val="24"/>
          <w:szCs w:val="24"/>
        </w:rPr>
        <w:t xml:space="preserve">Patienter med </w:t>
      </w:r>
      <w:proofErr w:type="spellStart"/>
      <w:r w:rsidRPr="004C0B3B">
        <w:rPr>
          <w:sz w:val="24"/>
          <w:szCs w:val="24"/>
        </w:rPr>
        <w:t>carnitin</w:t>
      </w:r>
      <w:proofErr w:type="spellEnd"/>
      <w:r w:rsidRPr="004C0B3B">
        <w:rPr>
          <w:sz w:val="24"/>
          <w:szCs w:val="24"/>
        </w:rPr>
        <w:t xml:space="preserve"> </w:t>
      </w:r>
      <w:proofErr w:type="spellStart"/>
      <w:r w:rsidRPr="004C0B3B">
        <w:rPr>
          <w:sz w:val="24"/>
          <w:szCs w:val="24"/>
        </w:rPr>
        <w:t>palmitoyltransferase</w:t>
      </w:r>
      <w:proofErr w:type="spellEnd"/>
      <w:r w:rsidRPr="004C0B3B">
        <w:rPr>
          <w:sz w:val="24"/>
          <w:szCs w:val="24"/>
        </w:rPr>
        <w:t xml:space="preserve"> (CPT) type II mangel har en større risiko for </w:t>
      </w:r>
      <w:proofErr w:type="spellStart"/>
      <w:r w:rsidRPr="004C0B3B">
        <w:rPr>
          <w:sz w:val="24"/>
          <w:szCs w:val="24"/>
        </w:rPr>
        <w:t>rhabdomyolyse</w:t>
      </w:r>
      <w:proofErr w:type="spellEnd"/>
      <w:r w:rsidRPr="004C0B3B">
        <w:rPr>
          <w:sz w:val="24"/>
          <w:szCs w:val="24"/>
        </w:rPr>
        <w:t xml:space="preserve"> under behandling med </w:t>
      </w:r>
      <w:proofErr w:type="spellStart"/>
      <w:r w:rsidRPr="004C0B3B">
        <w:rPr>
          <w:sz w:val="24"/>
          <w:szCs w:val="24"/>
        </w:rPr>
        <w:t>valproat</w:t>
      </w:r>
      <w:proofErr w:type="spellEnd"/>
      <w:r w:rsidRPr="004C0B3B">
        <w:rPr>
          <w:sz w:val="24"/>
          <w:szCs w:val="24"/>
        </w:rPr>
        <w:t xml:space="preserve"> og bør advares herom.</w:t>
      </w:r>
      <w:bookmarkEnd w:id="0"/>
      <w:r w:rsidRPr="004C0B3B">
        <w:rPr>
          <w:sz w:val="24"/>
          <w:szCs w:val="24"/>
        </w:rPr>
        <w:t xml:space="preserve"> </w:t>
      </w:r>
      <w:proofErr w:type="spellStart"/>
      <w:r w:rsidRPr="004C0B3B">
        <w:rPr>
          <w:sz w:val="24"/>
          <w:szCs w:val="24"/>
        </w:rPr>
        <w:t>Karnitintilskud</w:t>
      </w:r>
      <w:proofErr w:type="spellEnd"/>
      <w:r w:rsidRPr="004C0B3B">
        <w:rPr>
          <w:sz w:val="24"/>
          <w:szCs w:val="24"/>
        </w:rPr>
        <w:t xml:space="preserve"> bør overvejes hos disse patienter. Se også pkt. 4.5, 4.8 og 4.9.</w:t>
      </w:r>
    </w:p>
    <w:p w14:paraId="43985750" w14:textId="77777777" w:rsidR="00522563" w:rsidRPr="004C0B3B" w:rsidRDefault="00522563" w:rsidP="007653D9">
      <w:pPr>
        <w:ind w:left="851"/>
        <w:rPr>
          <w:sz w:val="24"/>
          <w:szCs w:val="24"/>
        </w:rPr>
      </w:pPr>
    </w:p>
    <w:p w14:paraId="465A6F6E" w14:textId="77777777" w:rsidR="004873ED" w:rsidRPr="004C0B3B" w:rsidRDefault="004873ED" w:rsidP="007653D9">
      <w:pPr>
        <w:widowControl w:val="0"/>
        <w:ind w:left="851"/>
        <w:rPr>
          <w:sz w:val="24"/>
          <w:szCs w:val="24"/>
        </w:rPr>
      </w:pPr>
      <w:r w:rsidRPr="004C0B3B">
        <w:rPr>
          <w:sz w:val="24"/>
          <w:szCs w:val="24"/>
        </w:rPr>
        <w:t xml:space="preserve">Hvis </w:t>
      </w:r>
      <w:proofErr w:type="spellStart"/>
      <w:r w:rsidRPr="004C0B3B">
        <w:rPr>
          <w:sz w:val="24"/>
          <w:szCs w:val="24"/>
        </w:rPr>
        <w:t>valproat</w:t>
      </w:r>
      <w:proofErr w:type="spellEnd"/>
      <w:r w:rsidRPr="004C0B3B">
        <w:rPr>
          <w:sz w:val="24"/>
          <w:szCs w:val="24"/>
        </w:rPr>
        <w:t xml:space="preserve"> skal seponeres på grund af toksicitetssymptomer så som forøget apati, døsighed, opkastning, hypotension og øget </w:t>
      </w:r>
      <w:proofErr w:type="spellStart"/>
      <w:r w:rsidRPr="004C0B3B">
        <w:rPr>
          <w:sz w:val="24"/>
          <w:szCs w:val="24"/>
        </w:rPr>
        <w:t>anfaldshyppighed</w:t>
      </w:r>
      <w:proofErr w:type="spellEnd"/>
      <w:r w:rsidRPr="004C0B3B">
        <w:rPr>
          <w:sz w:val="24"/>
          <w:szCs w:val="24"/>
        </w:rPr>
        <w:t xml:space="preserve">, skal det foregå ved gradvis nedtrapning samtidig med, at der administreres en tilstrækkelig dosis af et andet </w:t>
      </w:r>
      <w:proofErr w:type="spellStart"/>
      <w:r w:rsidRPr="004C0B3B">
        <w:rPr>
          <w:sz w:val="24"/>
          <w:szCs w:val="24"/>
        </w:rPr>
        <w:t>antiepileptikum</w:t>
      </w:r>
      <w:proofErr w:type="spellEnd"/>
      <w:r w:rsidRPr="004C0B3B">
        <w:rPr>
          <w:sz w:val="24"/>
          <w:szCs w:val="24"/>
        </w:rPr>
        <w:t>.</w:t>
      </w:r>
    </w:p>
    <w:p w14:paraId="1671A0DC" w14:textId="77777777" w:rsidR="004873ED" w:rsidRPr="004C0B3B" w:rsidRDefault="004873ED" w:rsidP="007653D9">
      <w:pPr>
        <w:ind w:left="851"/>
        <w:rPr>
          <w:sz w:val="24"/>
          <w:szCs w:val="24"/>
        </w:rPr>
      </w:pPr>
    </w:p>
    <w:p w14:paraId="2034DFDB" w14:textId="77777777" w:rsidR="004873ED" w:rsidRPr="004C0B3B" w:rsidRDefault="004873ED" w:rsidP="007653D9">
      <w:pPr>
        <w:ind w:left="851"/>
        <w:rPr>
          <w:sz w:val="24"/>
          <w:szCs w:val="24"/>
          <w:u w:val="single"/>
        </w:rPr>
      </w:pPr>
      <w:proofErr w:type="spellStart"/>
      <w:r w:rsidRPr="004C0B3B">
        <w:rPr>
          <w:sz w:val="24"/>
          <w:szCs w:val="24"/>
          <w:u w:val="single"/>
        </w:rPr>
        <w:t>Anfaldsforværring</w:t>
      </w:r>
      <w:proofErr w:type="spellEnd"/>
    </w:p>
    <w:p w14:paraId="277C966C" w14:textId="77777777" w:rsidR="00522563" w:rsidRPr="004C0B3B" w:rsidRDefault="00522563" w:rsidP="007653D9">
      <w:pPr>
        <w:ind w:left="851"/>
        <w:rPr>
          <w:color w:val="000000"/>
          <w:sz w:val="24"/>
          <w:szCs w:val="24"/>
        </w:rPr>
      </w:pPr>
      <w:r w:rsidRPr="004C0B3B">
        <w:rPr>
          <w:sz w:val="24"/>
          <w:szCs w:val="24"/>
        </w:rPr>
        <w:t xml:space="preserve">Ligesom med andre </w:t>
      </w:r>
      <w:proofErr w:type="spellStart"/>
      <w:r w:rsidRPr="004C0B3B">
        <w:rPr>
          <w:sz w:val="24"/>
          <w:szCs w:val="24"/>
        </w:rPr>
        <w:t>antiepileptika</w:t>
      </w:r>
      <w:proofErr w:type="spellEnd"/>
      <w:r w:rsidRPr="004C0B3B">
        <w:rPr>
          <w:sz w:val="24"/>
          <w:szCs w:val="24"/>
        </w:rPr>
        <w:t xml:space="preserve"> kan nogle patienter opleve forværring af anfald, når de får </w:t>
      </w:r>
      <w:proofErr w:type="spellStart"/>
      <w:r w:rsidRPr="004C0B3B">
        <w:rPr>
          <w:sz w:val="24"/>
          <w:szCs w:val="24"/>
        </w:rPr>
        <w:t>valproat</w:t>
      </w:r>
      <w:proofErr w:type="spellEnd"/>
      <w:r w:rsidRPr="004C0B3B">
        <w:rPr>
          <w:sz w:val="24"/>
          <w:szCs w:val="24"/>
        </w:rPr>
        <w:t xml:space="preserve">. </w:t>
      </w:r>
      <w:r w:rsidRPr="004C0B3B">
        <w:rPr>
          <w:color w:val="000000"/>
          <w:sz w:val="24"/>
          <w:szCs w:val="24"/>
        </w:rPr>
        <w:t>I tilfælde af forværrede kramper, bør patienterne rådes til straks at kontakte deres læge (se pkt. 4.8).</w:t>
      </w:r>
    </w:p>
    <w:p w14:paraId="71A37A1C" w14:textId="77777777" w:rsidR="004873ED" w:rsidRPr="004C0B3B" w:rsidRDefault="004873ED" w:rsidP="007653D9">
      <w:pPr>
        <w:ind w:left="851"/>
        <w:rPr>
          <w:i/>
          <w:sz w:val="24"/>
          <w:szCs w:val="24"/>
        </w:rPr>
      </w:pPr>
    </w:p>
    <w:p w14:paraId="27906BF3" w14:textId="77777777" w:rsidR="004873ED" w:rsidRPr="004C0B3B" w:rsidRDefault="004873ED" w:rsidP="007653D9">
      <w:pPr>
        <w:ind w:left="851"/>
        <w:rPr>
          <w:sz w:val="24"/>
          <w:szCs w:val="24"/>
          <w:u w:val="single"/>
        </w:rPr>
      </w:pPr>
      <w:r w:rsidRPr="004C0B3B">
        <w:rPr>
          <w:sz w:val="24"/>
          <w:szCs w:val="24"/>
          <w:u w:val="single"/>
        </w:rPr>
        <w:t>Patienter med diabetes</w:t>
      </w:r>
    </w:p>
    <w:p w14:paraId="6A8A12C8" w14:textId="77777777" w:rsidR="004873ED" w:rsidRPr="004C0B3B" w:rsidRDefault="004873ED" w:rsidP="007653D9">
      <w:pPr>
        <w:widowControl w:val="0"/>
        <w:ind w:left="851"/>
        <w:rPr>
          <w:sz w:val="24"/>
          <w:szCs w:val="24"/>
        </w:rPr>
      </w:pPr>
      <w:r w:rsidRPr="004C0B3B">
        <w:rPr>
          <w:sz w:val="24"/>
          <w:szCs w:val="24"/>
        </w:rPr>
        <w:t xml:space="preserve">Anvendelse af </w:t>
      </w:r>
      <w:proofErr w:type="spellStart"/>
      <w:r w:rsidRPr="004C0B3B">
        <w:rPr>
          <w:sz w:val="24"/>
          <w:szCs w:val="24"/>
        </w:rPr>
        <w:t>Orfiril</w:t>
      </w:r>
      <w:proofErr w:type="spellEnd"/>
      <w:r w:rsidRPr="004C0B3B">
        <w:rPr>
          <w:sz w:val="24"/>
          <w:szCs w:val="24"/>
        </w:rPr>
        <w:t xml:space="preserve"> Long kan give falsk positive resultater ved brug af standardmetoden baseret på </w:t>
      </w:r>
      <w:proofErr w:type="spellStart"/>
      <w:r w:rsidRPr="004C0B3B">
        <w:rPr>
          <w:sz w:val="24"/>
          <w:szCs w:val="24"/>
        </w:rPr>
        <w:t>nitroprussid</w:t>
      </w:r>
      <w:proofErr w:type="spellEnd"/>
      <w:r w:rsidRPr="004C0B3B">
        <w:rPr>
          <w:sz w:val="24"/>
          <w:szCs w:val="24"/>
        </w:rPr>
        <w:t xml:space="preserve"> til måling af ketonstoffer i urinen. </w:t>
      </w:r>
    </w:p>
    <w:p w14:paraId="4DFF63C3" w14:textId="60E9379C" w:rsidR="00B33DDB" w:rsidRDefault="00B33DDB">
      <w:pPr>
        <w:rPr>
          <w:sz w:val="24"/>
          <w:szCs w:val="24"/>
        </w:rPr>
      </w:pPr>
      <w:r>
        <w:rPr>
          <w:sz w:val="24"/>
          <w:szCs w:val="24"/>
        </w:rPr>
        <w:br w:type="page"/>
      </w:r>
    </w:p>
    <w:p w14:paraId="6E07561A" w14:textId="77777777" w:rsidR="004873ED" w:rsidRPr="004C0B3B" w:rsidRDefault="004873ED" w:rsidP="007653D9">
      <w:pPr>
        <w:ind w:left="851"/>
        <w:rPr>
          <w:sz w:val="24"/>
          <w:szCs w:val="24"/>
        </w:rPr>
      </w:pPr>
    </w:p>
    <w:p w14:paraId="59A31943" w14:textId="77777777" w:rsidR="004873ED" w:rsidRPr="004C0B3B" w:rsidRDefault="004873ED" w:rsidP="007653D9">
      <w:pPr>
        <w:ind w:left="851"/>
        <w:rPr>
          <w:sz w:val="24"/>
          <w:szCs w:val="24"/>
          <w:u w:val="single"/>
        </w:rPr>
      </w:pPr>
      <w:proofErr w:type="spellStart"/>
      <w:r w:rsidRPr="004C0B3B">
        <w:rPr>
          <w:sz w:val="24"/>
          <w:szCs w:val="24"/>
          <w:u w:val="single"/>
        </w:rPr>
        <w:t>Thyroideahormon</w:t>
      </w:r>
      <w:proofErr w:type="spellEnd"/>
    </w:p>
    <w:p w14:paraId="610D0EFB" w14:textId="77777777" w:rsidR="004873ED" w:rsidRPr="004C0B3B" w:rsidRDefault="004873ED" w:rsidP="007653D9">
      <w:pPr>
        <w:ind w:left="851"/>
        <w:rPr>
          <w:sz w:val="24"/>
          <w:szCs w:val="24"/>
        </w:rPr>
      </w:pPr>
      <w:r w:rsidRPr="004C0B3B">
        <w:rPr>
          <w:sz w:val="24"/>
          <w:szCs w:val="24"/>
        </w:rPr>
        <w:t xml:space="preserve">Afhængigt af plasmakoncentrationerne kan </w:t>
      </w:r>
      <w:proofErr w:type="spellStart"/>
      <w:r w:rsidRPr="004C0B3B">
        <w:rPr>
          <w:sz w:val="24"/>
          <w:szCs w:val="24"/>
        </w:rPr>
        <w:t>valproat</w:t>
      </w:r>
      <w:proofErr w:type="spellEnd"/>
      <w:r w:rsidRPr="004C0B3B">
        <w:rPr>
          <w:sz w:val="24"/>
          <w:szCs w:val="24"/>
        </w:rPr>
        <w:t xml:space="preserve"> erstatte </w:t>
      </w:r>
      <w:proofErr w:type="spellStart"/>
      <w:r w:rsidRPr="004C0B3B">
        <w:rPr>
          <w:sz w:val="24"/>
          <w:szCs w:val="24"/>
        </w:rPr>
        <w:t>thyroideahormoner</w:t>
      </w:r>
      <w:proofErr w:type="spellEnd"/>
      <w:r w:rsidRPr="004C0B3B">
        <w:rPr>
          <w:sz w:val="24"/>
          <w:szCs w:val="24"/>
        </w:rPr>
        <w:t xml:space="preserve"> fra plasmaproteinbindingssteder og øge deres metabolisme, hvilket kan føre til en falsk diagnose af </w:t>
      </w:r>
      <w:proofErr w:type="spellStart"/>
      <w:r w:rsidRPr="004C0B3B">
        <w:rPr>
          <w:sz w:val="24"/>
          <w:szCs w:val="24"/>
        </w:rPr>
        <w:t>hypothyroidisme</w:t>
      </w:r>
      <w:proofErr w:type="spellEnd"/>
      <w:r w:rsidRPr="004C0B3B">
        <w:rPr>
          <w:sz w:val="24"/>
          <w:szCs w:val="24"/>
        </w:rPr>
        <w:t>.</w:t>
      </w:r>
    </w:p>
    <w:p w14:paraId="4D04A5C0" w14:textId="77777777" w:rsidR="004873ED" w:rsidRPr="004C0B3B" w:rsidRDefault="004873ED" w:rsidP="007653D9">
      <w:pPr>
        <w:ind w:left="851"/>
        <w:rPr>
          <w:sz w:val="24"/>
          <w:szCs w:val="24"/>
        </w:rPr>
      </w:pPr>
    </w:p>
    <w:p w14:paraId="4657862D" w14:textId="77777777" w:rsidR="004873ED" w:rsidRPr="004C0B3B" w:rsidRDefault="004873ED" w:rsidP="007653D9">
      <w:pPr>
        <w:ind w:left="851"/>
        <w:rPr>
          <w:sz w:val="24"/>
          <w:szCs w:val="24"/>
          <w:u w:val="single"/>
        </w:rPr>
      </w:pPr>
      <w:r w:rsidRPr="004C0B3B">
        <w:rPr>
          <w:sz w:val="24"/>
          <w:szCs w:val="24"/>
          <w:u w:val="single"/>
        </w:rPr>
        <w:t>Nedsat nyrefunktion</w:t>
      </w:r>
    </w:p>
    <w:p w14:paraId="26C33481" w14:textId="77777777" w:rsidR="004873ED" w:rsidRPr="004C0B3B" w:rsidRDefault="004873ED" w:rsidP="007653D9">
      <w:pPr>
        <w:ind w:left="851"/>
        <w:rPr>
          <w:sz w:val="24"/>
          <w:szCs w:val="24"/>
        </w:rPr>
      </w:pPr>
      <w:r w:rsidRPr="004C0B3B">
        <w:rPr>
          <w:sz w:val="24"/>
          <w:szCs w:val="24"/>
        </w:rPr>
        <w:t xml:space="preserve">Det kan være nødvendigt at reducere dosis hos patienter med nedsat nyrefunktion, eftersom indholdet af fri </w:t>
      </w:r>
      <w:proofErr w:type="spellStart"/>
      <w:r w:rsidRPr="004C0B3B">
        <w:rPr>
          <w:sz w:val="24"/>
          <w:szCs w:val="24"/>
        </w:rPr>
        <w:t>valproat</w:t>
      </w:r>
      <w:proofErr w:type="spellEnd"/>
      <w:r w:rsidRPr="004C0B3B">
        <w:rPr>
          <w:sz w:val="24"/>
          <w:szCs w:val="24"/>
        </w:rPr>
        <w:t xml:space="preserve"> i serum øges hos patienter med nedsat nyrefunktion (se pkt. 4.2 og pkt. 5.2).</w:t>
      </w:r>
    </w:p>
    <w:p w14:paraId="29C20FA2" w14:textId="77777777" w:rsidR="004873ED" w:rsidRPr="004C0B3B" w:rsidRDefault="004873ED" w:rsidP="007653D9">
      <w:pPr>
        <w:ind w:left="851"/>
        <w:rPr>
          <w:i/>
          <w:sz w:val="24"/>
          <w:szCs w:val="24"/>
        </w:rPr>
      </w:pPr>
    </w:p>
    <w:p w14:paraId="14DE7A5E" w14:textId="77777777" w:rsidR="004873ED" w:rsidRPr="004C0B3B" w:rsidRDefault="004873ED" w:rsidP="007653D9">
      <w:pPr>
        <w:ind w:left="851"/>
        <w:rPr>
          <w:sz w:val="24"/>
          <w:szCs w:val="24"/>
          <w:u w:val="single"/>
        </w:rPr>
      </w:pPr>
      <w:r w:rsidRPr="004C0B3B">
        <w:rPr>
          <w:sz w:val="24"/>
          <w:szCs w:val="24"/>
          <w:u w:val="single"/>
        </w:rPr>
        <w:t>Fremprovokering af epileptiske anfald</w:t>
      </w:r>
    </w:p>
    <w:p w14:paraId="36092AB0" w14:textId="77777777" w:rsidR="004873ED" w:rsidRPr="004C0B3B" w:rsidRDefault="004873ED" w:rsidP="007653D9">
      <w:pPr>
        <w:ind w:left="851"/>
        <w:rPr>
          <w:sz w:val="24"/>
          <w:szCs w:val="24"/>
        </w:rPr>
      </w:pPr>
      <w:proofErr w:type="spellStart"/>
      <w:r w:rsidRPr="004C0B3B">
        <w:rPr>
          <w:sz w:val="24"/>
          <w:szCs w:val="24"/>
        </w:rPr>
        <w:t>Orfiril</w:t>
      </w:r>
      <w:proofErr w:type="spellEnd"/>
      <w:r w:rsidRPr="004C0B3B">
        <w:rPr>
          <w:sz w:val="24"/>
          <w:szCs w:val="24"/>
        </w:rPr>
        <w:t xml:space="preserve"> Long fremmer ikke udviklingen af tonisk-kloniske anfald eller komplekse partielle anfald, hvilket er en vigtig faktor for patienter med absencer.</w:t>
      </w:r>
    </w:p>
    <w:p w14:paraId="18B760CE" w14:textId="77777777" w:rsidR="004873ED" w:rsidRPr="004C0B3B" w:rsidRDefault="004873ED" w:rsidP="007653D9">
      <w:pPr>
        <w:ind w:left="851"/>
        <w:rPr>
          <w:sz w:val="24"/>
          <w:szCs w:val="24"/>
        </w:rPr>
      </w:pPr>
      <w:r w:rsidRPr="004C0B3B">
        <w:rPr>
          <w:sz w:val="24"/>
          <w:szCs w:val="24"/>
        </w:rPr>
        <w:t xml:space="preserve">Der kan i sjældne tilfælde fremprovokeres </w:t>
      </w:r>
      <w:proofErr w:type="spellStart"/>
      <w:r w:rsidRPr="004C0B3B">
        <w:rPr>
          <w:sz w:val="24"/>
          <w:szCs w:val="24"/>
        </w:rPr>
        <w:t>myokloniske-astatiske</w:t>
      </w:r>
      <w:proofErr w:type="spellEnd"/>
      <w:r w:rsidRPr="004C0B3B">
        <w:rPr>
          <w:sz w:val="24"/>
          <w:szCs w:val="24"/>
        </w:rPr>
        <w:t xml:space="preserve"> anfald.</w:t>
      </w:r>
    </w:p>
    <w:p w14:paraId="4E098186" w14:textId="77777777" w:rsidR="004873ED" w:rsidRPr="004C0B3B" w:rsidRDefault="004873ED" w:rsidP="007653D9">
      <w:pPr>
        <w:ind w:left="851"/>
        <w:rPr>
          <w:sz w:val="24"/>
          <w:szCs w:val="24"/>
        </w:rPr>
      </w:pPr>
    </w:p>
    <w:p w14:paraId="5DBABE7B" w14:textId="77777777" w:rsidR="004873ED" w:rsidRPr="004C0B3B" w:rsidRDefault="004873ED" w:rsidP="007653D9">
      <w:pPr>
        <w:ind w:left="851"/>
        <w:rPr>
          <w:sz w:val="24"/>
          <w:szCs w:val="24"/>
          <w:u w:val="single"/>
        </w:rPr>
      </w:pPr>
      <w:r w:rsidRPr="004C0B3B">
        <w:rPr>
          <w:sz w:val="24"/>
          <w:szCs w:val="24"/>
          <w:u w:val="single"/>
        </w:rPr>
        <w:t>Reaktioner i immunsystemet</w:t>
      </w:r>
    </w:p>
    <w:p w14:paraId="602A557D" w14:textId="77777777" w:rsidR="004873ED" w:rsidRPr="004C0B3B" w:rsidRDefault="004873ED" w:rsidP="007653D9">
      <w:pPr>
        <w:ind w:left="851"/>
        <w:rPr>
          <w:sz w:val="24"/>
          <w:szCs w:val="24"/>
        </w:rPr>
      </w:pPr>
      <w:proofErr w:type="spellStart"/>
      <w:r w:rsidRPr="004C0B3B">
        <w:rPr>
          <w:sz w:val="24"/>
          <w:szCs w:val="24"/>
        </w:rPr>
        <w:t>Valproat</w:t>
      </w:r>
      <w:proofErr w:type="spellEnd"/>
      <w:r w:rsidRPr="004C0B3B">
        <w:rPr>
          <w:sz w:val="24"/>
          <w:szCs w:val="24"/>
        </w:rPr>
        <w:t xml:space="preserve"> kan i sjældne tilfælde inducere systemisk lupus </w:t>
      </w:r>
      <w:proofErr w:type="spellStart"/>
      <w:r w:rsidRPr="004C0B3B">
        <w:rPr>
          <w:sz w:val="24"/>
          <w:szCs w:val="24"/>
        </w:rPr>
        <w:t>erythematosus</w:t>
      </w:r>
      <w:proofErr w:type="spellEnd"/>
      <w:r w:rsidRPr="004C0B3B">
        <w:rPr>
          <w:sz w:val="24"/>
          <w:szCs w:val="24"/>
        </w:rPr>
        <w:t xml:space="preserve"> og forårsage opblussen af eksisterende systemisk lupus </w:t>
      </w:r>
      <w:proofErr w:type="spellStart"/>
      <w:r w:rsidRPr="004C0B3B">
        <w:rPr>
          <w:sz w:val="24"/>
          <w:szCs w:val="24"/>
        </w:rPr>
        <w:t>erythematosus</w:t>
      </w:r>
      <w:proofErr w:type="spellEnd"/>
      <w:r w:rsidRPr="004C0B3B">
        <w:rPr>
          <w:sz w:val="24"/>
          <w:szCs w:val="24"/>
        </w:rPr>
        <w:t xml:space="preserve">. Hos patienter med systemisk lupus </w:t>
      </w:r>
      <w:proofErr w:type="spellStart"/>
      <w:r w:rsidRPr="004C0B3B">
        <w:rPr>
          <w:sz w:val="24"/>
          <w:szCs w:val="24"/>
        </w:rPr>
        <w:t>erythematosus</w:t>
      </w:r>
      <w:proofErr w:type="spellEnd"/>
      <w:r w:rsidRPr="004C0B3B">
        <w:rPr>
          <w:sz w:val="24"/>
          <w:szCs w:val="24"/>
        </w:rPr>
        <w:t xml:space="preserve"> skal fordelene ved </w:t>
      </w:r>
      <w:proofErr w:type="spellStart"/>
      <w:r w:rsidRPr="004C0B3B">
        <w:rPr>
          <w:sz w:val="24"/>
          <w:szCs w:val="24"/>
        </w:rPr>
        <w:t>Orfiril</w:t>
      </w:r>
      <w:proofErr w:type="spellEnd"/>
      <w:r w:rsidRPr="004C0B3B">
        <w:rPr>
          <w:sz w:val="24"/>
          <w:szCs w:val="24"/>
        </w:rPr>
        <w:t xml:space="preserve"> Long opvejes mod de mulige risici. </w:t>
      </w:r>
    </w:p>
    <w:p w14:paraId="531E9053" w14:textId="77777777" w:rsidR="004873ED" w:rsidRDefault="004873ED" w:rsidP="007653D9">
      <w:pPr>
        <w:ind w:left="851"/>
        <w:rPr>
          <w:sz w:val="24"/>
          <w:szCs w:val="24"/>
        </w:rPr>
      </w:pPr>
      <w:r w:rsidRPr="004C0B3B">
        <w:rPr>
          <w:sz w:val="24"/>
          <w:szCs w:val="24"/>
        </w:rPr>
        <w:t xml:space="preserve">Kombinationen af </w:t>
      </w:r>
      <w:proofErr w:type="spellStart"/>
      <w:r w:rsidRPr="004C0B3B">
        <w:rPr>
          <w:sz w:val="24"/>
          <w:szCs w:val="24"/>
        </w:rPr>
        <w:t>lamotrigin</w:t>
      </w:r>
      <w:proofErr w:type="spellEnd"/>
      <w:r w:rsidRPr="004C0B3B">
        <w:rPr>
          <w:sz w:val="24"/>
          <w:szCs w:val="24"/>
        </w:rPr>
        <w:t xml:space="preserve"> og </w:t>
      </w:r>
      <w:proofErr w:type="spellStart"/>
      <w:r w:rsidRPr="004C0B3B">
        <w:rPr>
          <w:sz w:val="24"/>
          <w:szCs w:val="24"/>
        </w:rPr>
        <w:t>valproat</w:t>
      </w:r>
      <w:proofErr w:type="spellEnd"/>
      <w:r w:rsidRPr="004C0B3B">
        <w:rPr>
          <w:sz w:val="24"/>
          <w:szCs w:val="24"/>
        </w:rPr>
        <w:t xml:space="preserve"> indebærer en øget risiko for (alvorlige) hudreaktioner, specielt hos børn.</w:t>
      </w:r>
    </w:p>
    <w:p w14:paraId="569399EA" w14:textId="77777777" w:rsidR="00D22229" w:rsidRDefault="00D22229" w:rsidP="007653D9">
      <w:pPr>
        <w:ind w:left="851"/>
        <w:rPr>
          <w:sz w:val="24"/>
          <w:szCs w:val="24"/>
        </w:rPr>
      </w:pPr>
    </w:p>
    <w:p w14:paraId="77849712" w14:textId="77777777" w:rsidR="00D22229" w:rsidRDefault="00D22229" w:rsidP="007653D9">
      <w:pPr>
        <w:ind w:left="851"/>
        <w:rPr>
          <w:sz w:val="24"/>
          <w:szCs w:val="24"/>
          <w:u w:val="single"/>
        </w:rPr>
      </w:pPr>
      <w:r>
        <w:rPr>
          <w:sz w:val="24"/>
          <w:szCs w:val="24"/>
          <w:u w:val="single"/>
        </w:rPr>
        <w:t xml:space="preserve">Svære </w:t>
      </w:r>
      <w:proofErr w:type="spellStart"/>
      <w:r>
        <w:rPr>
          <w:sz w:val="24"/>
          <w:szCs w:val="24"/>
          <w:u w:val="single"/>
        </w:rPr>
        <w:t>kutane</w:t>
      </w:r>
      <w:proofErr w:type="spellEnd"/>
      <w:r>
        <w:rPr>
          <w:sz w:val="24"/>
          <w:szCs w:val="24"/>
          <w:u w:val="single"/>
        </w:rPr>
        <w:t xml:space="preserve"> bivirkninger og </w:t>
      </w:r>
      <w:proofErr w:type="spellStart"/>
      <w:r>
        <w:rPr>
          <w:sz w:val="24"/>
          <w:szCs w:val="24"/>
          <w:u w:val="single"/>
        </w:rPr>
        <w:t>angioødem</w:t>
      </w:r>
      <w:proofErr w:type="spellEnd"/>
    </w:p>
    <w:p w14:paraId="34A4916A" w14:textId="77777777" w:rsidR="00D22229" w:rsidRDefault="00D22229" w:rsidP="007653D9">
      <w:pPr>
        <w:ind w:left="851"/>
        <w:rPr>
          <w:sz w:val="24"/>
          <w:szCs w:val="24"/>
        </w:rPr>
      </w:pPr>
      <w:r>
        <w:rPr>
          <w:sz w:val="24"/>
          <w:szCs w:val="24"/>
        </w:rPr>
        <w:t xml:space="preserve">Der er rapporteret svære </w:t>
      </w:r>
      <w:proofErr w:type="spellStart"/>
      <w:r>
        <w:rPr>
          <w:sz w:val="24"/>
          <w:szCs w:val="24"/>
        </w:rPr>
        <w:t>kutane</w:t>
      </w:r>
      <w:proofErr w:type="spellEnd"/>
      <w:r>
        <w:rPr>
          <w:sz w:val="24"/>
          <w:szCs w:val="24"/>
        </w:rPr>
        <w:t xml:space="preserve"> bivirkninger (</w:t>
      </w:r>
      <w:proofErr w:type="spellStart"/>
      <w:r>
        <w:rPr>
          <w:sz w:val="24"/>
          <w:szCs w:val="24"/>
        </w:rPr>
        <w:t>SCAR'er</w:t>
      </w:r>
      <w:proofErr w:type="spellEnd"/>
      <w:r>
        <w:rPr>
          <w:sz w:val="24"/>
          <w:szCs w:val="24"/>
        </w:rPr>
        <w:t xml:space="preserve">) såsom Stevens-Johnsons syndrom (SJS), toksisk </w:t>
      </w:r>
      <w:proofErr w:type="spellStart"/>
      <w:r>
        <w:rPr>
          <w:sz w:val="24"/>
          <w:szCs w:val="24"/>
        </w:rPr>
        <w:t>epidermal</w:t>
      </w:r>
      <w:proofErr w:type="spellEnd"/>
      <w:r>
        <w:rPr>
          <w:sz w:val="24"/>
          <w:szCs w:val="24"/>
        </w:rPr>
        <w:t xml:space="preserve"> </w:t>
      </w:r>
      <w:proofErr w:type="spellStart"/>
      <w:r>
        <w:rPr>
          <w:sz w:val="24"/>
          <w:szCs w:val="24"/>
        </w:rPr>
        <w:t>nekrolyse</w:t>
      </w:r>
      <w:proofErr w:type="spellEnd"/>
      <w:r>
        <w:rPr>
          <w:sz w:val="24"/>
          <w:szCs w:val="24"/>
        </w:rPr>
        <w:t xml:space="preserve"> (TEN) og lægemiddelreaktion med </w:t>
      </w:r>
      <w:proofErr w:type="spellStart"/>
      <w:r>
        <w:rPr>
          <w:sz w:val="24"/>
          <w:szCs w:val="24"/>
        </w:rPr>
        <w:t>eosinofili</w:t>
      </w:r>
      <w:proofErr w:type="spellEnd"/>
      <w:r>
        <w:rPr>
          <w:sz w:val="24"/>
          <w:szCs w:val="24"/>
        </w:rPr>
        <w:t xml:space="preserve"> og systemiske symptomer (DRESS), </w:t>
      </w:r>
      <w:proofErr w:type="spellStart"/>
      <w:r>
        <w:rPr>
          <w:sz w:val="24"/>
          <w:szCs w:val="24"/>
        </w:rPr>
        <w:t>erythema</w:t>
      </w:r>
      <w:proofErr w:type="spellEnd"/>
      <w:r>
        <w:rPr>
          <w:sz w:val="24"/>
          <w:szCs w:val="24"/>
        </w:rPr>
        <w:t xml:space="preserve"> multiforme og </w:t>
      </w:r>
      <w:proofErr w:type="spellStart"/>
      <w:r>
        <w:rPr>
          <w:sz w:val="24"/>
          <w:szCs w:val="24"/>
        </w:rPr>
        <w:t>angioødem</w:t>
      </w:r>
      <w:proofErr w:type="spellEnd"/>
      <w:r>
        <w:rPr>
          <w:sz w:val="24"/>
          <w:szCs w:val="24"/>
        </w:rPr>
        <w:t xml:space="preserve"> i forbindelse med </w:t>
      </w:r>
      <w:proofErr w:type="spellStart"/>
      <w:r>
        <w:rPr>
          <w:sz w:val="24"/>
          <w:szCs w:val="24"/>
        </w:rPr>
        <w:t>valproatbehandling</w:t>
      </w:r>
      <w:proofErr w:type="spellEnd"/>
      <w:r>
        <w:rPr>
          <w:sz w:val="24"/>
          <w:szCs w:val="24"/>
        </w:rPr>
        <w:t xml:space="preserve">. Patienterne skal informeres om tegn og symptomer på alvorlige hudmanifestationer og monitoreres nøje. Hvis der observeres tegn på </w:t>
      </w:r>
      <w:proofErr w:type="spellStart"/>
      <w:r>
        <w:rPr>
          <w:sz w:val="24"/>
          <w:szCs w:val="24"/>
        </w:rPr>
        <w:t>SCAR’er</w:t>
      </w:r>
      <w:proofErr w:type="spellEnd"/>
      <w:r>
        <w:rPr>
          <w:sz w:val="24"/>
          <w:szCs w:val="24"/>
        </w:rPr>
        <w:t xml:space="preserve"> eller </w:t>
      </w:r>
      <w:proofErr w:type="spellStart"/>
      <w:r>
        <w:rPr>
          <w:sz w:val="24"/>
          <w:szCs w:val="24"/>
        </w:rPr>
        <w:t>angioødem</w:t>
      </w:r>
      <w:proofErr w:type="spellEnd"/>
      <w:r>
        <w:rPr>
          <w:sz w:val="24"/>
          <w:szCs w:val="24"/>
        </w:rPr>
        <w:t xml:space="preserve"> er øjeblikkelig vurdering nødvendig, og behandling skal seponeres, hvis diagnosen </w:t>
      </w:r>
      <w:proofErr w:type="spellStart"/>
      <w:r>
        <w:rPr>
          <w:sz w:val="24"/>
          <w:szCs w:val="24"/>
        </w:rPr>
        <w:t>SCAR’er</w:t>
      </w:r>
      <w:proofErr w:type="spellEnd"/>
      <w:r>
        <w:rPr>
          <w:sz w:val="24"/>
          <w:szCs w:val="24"/>
        </w:rPr>
        <w:t xml:space="preserve"> eller </w:t>
      </w:r>
      <w:proofErr w:type="spellStart"/>
      <w:r>
        <w:rPr>
          <w:sz w:val="24"/>
          <w:szCs w:val="24"/>
        </w:rPr>
        <w:t>angioødem</w:t>
      </w:r>
      <w:proofErr w:type="spellEnd"/>
      <w:r>
        <w:rPr>
          <w:sz w:val="24"/>
          <w:szCs w:val="24"/>
        </w:rPr>
        <w:t xml:space="preserve"> bekræftes.</w:t>
      </w:r>
    </w:p>
    <w:p w14:paraId="286B5D5C" w14:textId="77777777" w:rsidR="00D22229" w:rsidRDefault="00D22229" w:rsidP="007653D9">
      <w:pPr>
        <w:ind w:left="851"/>
        <w:rPr>
          <w:sz w:val="24"/>
          <w:szCs w:val="24"/>
        </w:rPr>
      </w:pPr>
    </w:p>
    <w:p w14:paraId="39E961B2" w14:textId="77777777" w:rsidR="004873ED" w:rsidRPr="004C0B3B" w:rsidRDefault="004873ED" w:rsidP="007653D9">
      <w:pPr>
        <w:ind w:left="851"/>
        <w:rPr>
          <w:sz w:val="24"/>
          <w:szCs w:val="24"/>
          <w:u w:val="single"/>
        </w:rPr>
      </w:pPr>
      <w:proofErr w:type="spellStart"/>
      <w:r w:rsidRPr="004C0B3B">
        <w:rPr>
          <w:sz w:val="24"/>
          <w:szCs w:val="24"/>
          <w:u w:val="single"/>
        </w:rPr>
        <w:t>Carbapenemer</w:t>
      </w:r>
      <w:proofErr w:type="spellEnd"/>
    </w:p>
    <w:p w14:paraId="4955CA3F" w14:textId="77777777" w:rsidR="004873ED" w:rsidRPr="004C0B3B" w:rsidRDefault="004873ED" w:rsidP="007653D9">
      <w:pPr>
        <w:ind w:left="851"/>
        <w:rPr>
          <w:sz w:val="24"/>
          <w:szCs w:val="24"/>
        </w:rPr>
      </w:pPr>
      <w:r w:rsidRPr="004C0B3B">
        <w:rPr>
          <w:sz w:val="24"/>
          <w:szCs w:val="24"/>
        </w:rPr>
        <w:t xml:space="preserve">Samtidig brug af </w:t>
      </w:r>
      <w:proofErr w:type="spellStart"/>
      <w:r w:rsidRPr="004C0B3B">
        <w:rPr>
          <w:sz w:val="24"/>
          <w:szCs w:val="24"/>
        </w:rPr>
        <w:t>valproinsyre</w:t>
      </w:r>
      <w:proofErr w:type="spellEnd"/>
      <w:r w:rsidRPr="004C0B3B">
        <w:rPr>
          <w:sz w:val="24"/>
          <w:szCs w:val="24"/>
        </w:rPr>
        <w:t>/</w:t>
      </w:r>
      <w:proofErr w:type="spellStart"/>
      <w:r w:rsidRPr="004C0B3B">
        <w:rPr>
          <w:sz w:val="24"/>
          <w:szCs w:val="24"/>
        </w:rPr>
        <w:t>natriumvalproat</w:t>
      </w:r>
      <w:proofErr w:type="spellEnd"/>
      <w:r w:rsidRPr="004C0B3B">
        <w:rPr>
          <w:sz w:val="24"/>
          <w:szCs w:val="24"/>
        </w:rPr>
        <w:t xml:space="preserve"> og præparater indeholdende </w:t>
      </w:r>
      <w:proofErr w:type="spellStart"/>
      <w:r w:rsidRPr="004C0B3B">
        <w:rPr>
          <w:sz w:val="24"/>
          <w:szCs w:val="24"/>
        </w:rPr>
        <w:t>carbapenemer</w:t>
      </w:r>
      <w:proofErr w:type="spellEnd"/>
      <w:r w:rsidRPr="004C0B3B">
        <w:rPr>
          <w:sz w:val="24"/>
          <w:szCs w:val="24"/>
        </w:rPr>
        <w:t xml:space="preserve"> anbefales ikke (se pkt. 4.5).</w:t>
      </w:r>
    </w:p>
    <w:p w14:paraId="7B3CB1E4" w14:textId="77777777" w:rsidR="004873ED" w:rsidRPr="004C0B3B" w:rsidRDefault="004873ED" w:rsidP="007653D9">
      <w:pPr>
        <w:ind w:left="851"/>
        <w:rPr>
          <w:b/>
          <w:i/>
          <w:color w:val="800080"/>
          <w:sz w:val="24"/>
          <w:szCs w:val="24"/>
        </w:rPr>
      </w:pPr>
    </w:p>
    <w:p w14:paraId="62818451" w14:textId="77777777" w:rsidR="004873ED" w:rsidRPr="004C0B3B" w:rsidRDefault="004873ED" w:rsidP="007653D9">
      <w:pPr>
        <w:ind w:left="851"/>
        <w:rPr>
          <w:sz w:val="24"/>
          <w:szCs w:val="24"/>
          <w:u w:val="single"/>
        </w:rPr>
      </w:pPr>
      <w:r w:rsidRPr="004C0B3B">
        <w:rPr>
          <w:sz w:val="24"/>
          <w:szCs w:val="24"/>
          <w:u w:val="single"/>
        </w:rPr>
        <w:t>Vægtøgning</w:t>
      </w:r>
    </w:p>
    <w:p w14:paraId="1DBE0772" w14:textId="77777777" w:rsidR="004873ED" w:rsidRPr="004C0B3B" w:rsidRDefault="004873ED" w:rsidP="007653D9">
      <w:pPr>
        <w:ind w:left="851"/>
        <w:rPr>
          <w:sz w:val="24"/>
          <w:szCs w:val="24"/>
        </w:rPr>
      </w:pPr>
      <w:r w:rsidRPr="004C0B3B">
        <w:rPr>
          <w:sz w:val="24"/>
          <w:szCs w:val="24"/>
        </w:rPr>
        <w:t>Patienter bør informeres om risikoen for vægtøgning i begyndelsen af behandlingen, og der skal træffes de nødvendige forholdsregler for at minimere dette (se pkt. 4.8). Da vægtøgning er en risikofaktor for polycystisk ovariesyndrom, bør vægten monitoreres særlig hyppigt hos kvinder i den fertile alder.</w:t>
      </w:r>
    </w:p>
    <w:p w14:paraId="1E306919" w14:textId="77777777" w:rsidR="004873ED" w:rsidRPr="004C0B3B" w:rsidRDefault="004873ED" w:rsidP="004873ED">
      <w:pPr>
        <w:ind w:left="851"/>
        <w:rPr>
          <w:sz w:val="24"/>
          <w:szCs w:val="24"/>
        </w:rPr>
      </w:pPr>
    </w:p>
    <w:tbl>
      <w:tblPr>
        <w:tblW w:w="9015" w:type="dxa"/>
        <w:tblInd w:w="836" w:type="dxa"/>
        <w:tblCellMar>
          <w:left w:w="0" w:type="dxa"/>
          <w:right w:w="0" w:type="dxa"/>
        </w:tblCellMar>
        <w:tblLook w:val="04A0" w:firstRow="1" w:lastRow="0" w:firstColumn="1" w:lastColumn="0" w:noHBand="0" w:noVBand="1"/>
      </w:tblPr>
      <w:tblGrid>
        <w:gridCol w:w="9015"/>
      </w:tblGrid>
      <w:tr w:rsidR="004873ED" w:rsidRPr="004C0B3B" w14:paraId="6A803948" w14:textId="77777777" w:rsidTr="00093522">
        <w:trPr>
          <w:trHeight w:val="1440"/>
        </w:trPr>
        <w:tc>
          <w:tcPr>
            <w:tcW w:w="9015"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423C9EE7" w14:textId="77777777" w:rsidR="004873ED" w:rsidRPr="004C0B3B" w:rsidRDefault="004873ED" w:rsidP="007653D9">
            <w:pPr>
              <w:ind w:left="72" w:right="179"/>
              <w:rPr>
                <w:rFonts w:eastAsia="Calibri"/>
                <w:b/>
                <w:sz w:val="24"/>
                <w:szCs w:val="24"/>
                <w:u w:val="single"/>
                <w:lang w:eastAsia="de-DE"/>
              </w:rPr>
            </w:pPr>
            <w:r w:rsidRPr="004C0B3B">
              <w:rPr>
                <w:rFonts w:eastAsia="Calibri"/>
                <w:b/>
                <w:sz w:val="24"/>
                <w:szCs w:val="24"/>
                <w:u w:val="single"/>
                <w:lang w:eastAsia="de-DE"/>
              </w:rPr>
              <w:t>Præventionsprogram</w:t>
            </w:r>
          </w:p>
          <w:p w14:paraId="2AA8CDF3" w14:textId="77777777" w:rsidR="004873ED" w:rsidRPr="004C0B3B" w:rsidRDefault="004873ED" w:rsidP="007653D9">
            <w:pPr>
              <w:ind w:left="72" w:right="179"/>
              <w:rPr>
                <w:rFonts w:eastAsia="Calibri"/>
                <w:sz w:val="24"/>
                <w:szCs w:val="24"/>
                <w:lang w:eastAsia="de-DE"/>
              </w:rPr>
            </w:pP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har et højt </w:t>
            </w:r>
            <w:proofErr w:type="spellStart"/>
            <w:r w:rsidRPr="004C0B3B">
              <w:rPr>
                <w:rFonts w:eastAsia="Calibri"/>
                <w:sz w:val="24"/>
                <w:szCs w:val="24"/>
                <w:lang w:eastAsia="de-DE"/>
              </w:rPr>
              <w:t>teratogent</w:t>
            </w:r>
            <w:proofErr w:type="spellEnd"/>
            <w:r w:rsidRPr="004C0B3B">
              <w:rPr>
                <w:rFonts w:eastAsia="Calibri"/>
                <w:sz w:val="24"/>
                <w:szCs w:val="24"/>
                <w:lang w:eastAsia="de-DE"/>
              </w:rPr>
              <w:t xml:space="preserve"> potentiale, og børn udsat for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w:t>
            </w:r>
            <w:r w:rsidRPr="004C0B3B">
              <w:rPr>
                <w:rFonts w:eastAsia="Calibri"/>
                <w:i/>
                <w:sz w:val="24"/>
                <w:szCs w:val="24"/>
                <w:lang w:eastAsia="de-DE"/>
              </w:rPr>
              <w:t xml:space="preserve">in </w:t>
            </w:r>
            <w:proofErr w:type="spellStart"/>
            <w:r w:rsidRPr="004C0B3B">
              <w:rPr>
                <w:rFonts w:eastAsia="Calibri"/>
                <w:i/>
                <w:sz w:val="24"/>
                <w:szCs w:val="24"/>
                <w:lang w:eastAsia="de-DE"/>
              </w:rPr>
              <w:t>utero</w:t>
            </w:r>
            <w:proofErr w:type="spellEnd"/>
            <w:r w:rsidRPr="004C0B3B">
              <w:rPr>
                <w:rFonts w:eastAsia="Calibri"/>
                <w:sz w:val="24"/>
                <w:szCs w:val="24"/>
                <w:lang w:eastAsia="de-DE"/>
              </w:rPr>
              <w:t xml:space="preserve"> har stor risiko for medfødte misdannelser og neurologiske udviklingsforstyrrelser (se pkt. 4.6).</w:t>
            </w:r>
          </w:p>
          <w:p w14:paraId="28F1A870" w14:textId="77777777" w:rsidR="004873ED" w:rsidRPr="004C0B3B" w:rsidRDefault="004873ED" w:rsidP="007653D9">
            <w:pPr>
              <w:ind w:left="72" w:right="179"/>
              <w:rPr>
                <w:rFonts w:eastAsia="Calibri"/>
                <w:sz w:val="24"/>
                <w:szCs w:val="24"/>
                <w:lang w:eastAsia="de-DE"/>
              </w:rPr>
            </w:pPr>
            <w:proofErr w:type="spellStart"/>
            <w:r w:rsidRPr="004C0B3B">
              <w:rPr>
                <w:rFonts w:eastAsia="Calibri"/>
                <w:sz w:val="24"/>
                <w:szCs w:val="24"/>
                <w:lang w:eastAsia="de-DE"/>
              </w:rPr>
              <w:t>Orfiril</w:t>
            </w:r>
            <w:proofErr w:type="spellEnd"/>
            <w:r w:rsidRPr="004C0B3B">
              <w:rPr>
                <w:rFonts w:eastAsia="Calibri"/>
                <w:sz w:val="24"/>
                <w:szCs w:val="24"/>
                <w:lang w:eastAsia="de-DE"/>
              </w:rPr>
              <w:t xml:space="preserve"> Long er kontraindiceret i følgende situationer:</w:t>
            </w:r>
          </w:p>
          <w:p w14:paraId="6962363E" w14:textId="77777777" w:rsidR="00B33DDB" w:rsidRDefault="00B33DDB" w:rsidP="007653D9">
            <w:pPr>
              <w:ind w:left="72" w:right="179"/>
              <w:rPr>
                <w:rFonts w:eastAsia="Calibri"/>
                <w:sz w:val="24"/>
                <w:szCs w:val="24"/>
                <w:u w:val="single"/>
                <w:lang w:eastAsia="de-DE"/>
              </w:rPr>
            </w:pPr>
          </w:p>
          <w:p w14:paraId="59D79D43" w14:textId="2A7F1C02"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Behandling af epilepsi</w:t>
            </w:r>
          </w:p>
          <w:p w14:paraId="3FB9059B"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ved graviditet med mindre der ikke findes anden passende behandling (se pkt. 4.3 og 4.6).</w:t>
            </w:r>
          </w:p>
          <w:p w14:paraId="3818E539"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hos fertile kvinder med mindre betingelserne i præventionsprogrammet er opfyldt (se pkt. 4.3 og 4.6).</w:t>
            </w:r>
          </w:p>
          <w:p w14:paraId="2E1E9459" w14:textId="77777777" w:rsidR="004873ED" w:rsidRPr="004C0B3B" w:rsidRDefault="004873ED" w:rsidP="007653D9">
            <w:pPr>
              <w:ind w:left="113"/>
              <w:rPr>
                <w:rFonts w:eastAsia="Calibri"/>
                <w:sz w:val="24"/>
                <w:szCs w:val="24"/>
                <w:lang w:eastAsia="de-DE"/>
              </w:rPr>
            </w:pPr>
          </w:p>
          <w:p w14:paraId="662DEF99"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Behandling af bipolar lidelse</w:t>
            </w:r>
          </w:p>
          <w:p w14:paraId="0B4DB58C"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ved graviditet (se pkt. 4.3 og 4.6).</w:t>
            </w:r>
          </w:p>
          <w:p w14:paraId="3F3A8417"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hos fertile kvinder med mindre betingelserne i præventionsprogrammet er opfyldt (se pkt. 4.3 og 4.6).</w:t>
            </w:r>
          </w:p>
          <w:p w14:paraId="7121A072" w14:textId="77777777" w:rsidR="007653D9" w:rsidRDefault="007653D9" w:rsidP="007653D9">
            <w:pPr>
              <w:ind w:left="72" w:right="179"/>
              <w:rPr>
                <w:rFonts w:eastAsia="Calibri"/>
                <w:sz w:val="24"/>
                <w:szCs w:val="24"/>
                <w:u w:val="single"/>
                <w:lang w:eastAsia="de-DE"/>
              </w:rPr>
            </w:pPr>
          </w:p>
          <w:p w14:paraId="3043091D" w14:textId="5F7A47CE" w:rsidR="004873ED" w:rsidRPr="004C0B3B" w:rsidRDefault="004873ED" w:rsidP="007653D9">
            <w:pPr>
              <w:ind w:left="72" w:right="179"/>
              <w:rPr>
                <w:sz w:val="24"/>
                <w:szCs w:val="24"/>
                <w:u w:val="single"/>
                <w:lang w:eastAsia="de-DE"/>
              </w:rPr>
            </w:pPr>
            <w:r w:rsidRPr="004C0B3B">
              <w:rPr>
                <w:rFonts w:eastAsia="Calibri"/>
                <w:sz w:val="24"/>
                <w:szCs w:val="24"/>
                <w:u w:val="single"/>
                <w:lang w:eastAsia="de-DE"/>
              </w:rPr>
              <w:t>Betingelser for præventionsprogram:</w:t>
            </w:r>
          </w:p>
          <w:p w14:paraId="16C16073"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Den ordinerende læge skal sikre, at</w:t>
            </w:r>
          </w:p>
          <w:p w14:paraId="139DD720"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Individuelle omstændigheder skal evalueres i hvert tilfælde, og patienten skal involveres i diskussionen for at sikre hendes engagement, diskutere terapeutiske muligheder og sikre hendes forståelse af risiciene og de nødvendige foranstaltninger for at minimere risiciene.</w:t>
            </w:r>
          </w:p>
          <w:p w14:paraId="295294B5"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muligheden for graviditet skal vurderes for alle kvindelige patienter.</w:t>
            </w:r>
          </w:p>
          <w:p w14:paraId="601FB26D"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patienten har forstået og anerkendt risikoen for medfødte misdannelser og neurologiske udviklingsforstyrrelser, herunder omfanget af disse risici, for børn udsat for </w:t>
            </w:r>
            <w:proofErr w:type="spellStart"/>
            <w:r w:rsidRPr="004C0B3B">
              <w:rPr>
                <w:rFonts w:eastAsia="Calibri"/>
                <w:szCs w:val="24"/>
                <w:lang w:eastAsia="de-DE"/>
              </w:rPr>
              <w:t>valproat</w:t>
            </w:r>
            <w:proofErr w:type="spellEnd"/>
            <w:r w:rsidRPr="004C0B3B">
              <w:rPr>
                <w:rFonts w:eastAsia="Calibri"/>
                <w:szCs w:val="24"/>
                <w:lang w:eastAsia="de-DE"/>
              </w:rPr>
              <w:t xml:space="preserve"> </w:t>
            </w:r>
            <w:r w:rsidRPr="004C0B3B">
              <w:rPr>
                <w:rFonts w:eastAsia="Calibri"/>
                <w:i/>
                <w:szCs w:val="24"/>
                <w:lang w:eastAsia="de-DE"/>
              </w:rPr>
              <w:t xml:space="preserve">in </w:t>
            </w:r>
            <w:proofErr w:type="spellStart"/>
            <w:r w:rsidRPr="004C0B3B">
              <w:rPr>
                <w:rFonts w:eastAsia="Calibri"/>
                <w:i/>
                <w:szCs w:val="24"/>
                <w:lang w:eastAsia="de-DE"/>
              </w:rPr>
              <w:t>utero</w:t>
            </w:r>
            <w:proofErr w:type="spellEnd"/>
            <w:r w:rsidRPr="004C0B3B">
              <w:rPr>
                <w:rFonts w:eastAsia="Calibri"/>
                <w:szCs w:val="24"/>
                <w:lang w:eastAsia="de-DE"/>
              </w:rPr>
              <w:t>.</w:t>
            </w:r>
          </w:p>
          <w:p w14:paraId="3B0CF529"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patienten forstår behovet for at gennemføre graviditetstestning før behandlingsstart og under behandling efter behov.</w:t>
            </w:r>
          </w:p>
          <w:p w14:paraId="7B25FF81"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patienten er vejledt med hensyn til prævention og at patienten er i stand til at overholde retningslinjerne for anvendelse af effektiv prævention (for yderligere oplysninger henvises der til underafsnittet om prævention i denne advarselsboks) uden afbrydelse under hele behandlingstiden med </w:t>
            </w:r>
            <w:proofErr w:type="spellStart"/>
            <w:r w:rsidRPr="004C0B3B">
              <w:rPr>
                <w:rFonts w:eastAsia="Calibri"/>
                <w:szCs w:val="24"/>
                <w:lang w:eastAsia="de-DE"/>
              </w:rPr>
              <w:t>valproat</w:t>
            </w:r>
            <w:proofErr w:type="spellEnd"/>
            <w:r w:rsidRPr="004C0B3B">
              <w:rPr>
                <w:rFonts w:eastAsia="Calibri"/>
                <w:szCs w:val="24"/>
                <w:lang w:eastAsia="de-DE"/>
              </w:rPr>
              <w:t>.</w:t>
            </w:r>
          </w:p>
          <w:p w14:paraId="7BC8015A"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patienten forstår behovet for regelmæssig (mindst årlig) evaluering af behandlingen af en specialist med erfaring i behandling af epilepsi eller bipolare lidelser.</w:t>
            </w:r>
          </w:p>
          <w:p w14:paraId="42E8E5E3"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patienten forstår behovet for at konsultere sin læge, så snart hun planlægger graviditet for at sikre rettidig diskussion og skift til andre behandlingsmuligheder forud for befrugtning, og inden prævention afbrydes.</w:t>
            </w:r>
          </w:p>
          <w:p w14:paraId="7BC8099B"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patienten forstår behovet for straks at konsultere sin læge i tilfælde af graviditet.</w:t>
            </w:r>
          </w:p>
          <w:p w14:paraId="44257ED6"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patienten har modtaget patientvejledningen.</w:t>
            </w:r>
          </w:p>
          <w:p w14:paraId="6D7FB793"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patienten har kvitteret for, at hun har forstået de risici og nødvendige forholdsregler, der er forbundet med brug af </w:t>
            </w:r>
            <w:proofErr w:type="spellStart"/>
            <w:r w:rsidRPr="004C0B3B">
              <w:rPr>
                <w:rFonts w:eastAsia="Calibri"/>
                <w:szCs w:val="24"/>
                <w:lang w:eastAsia="de-DE"/>
              </w:rPr>
              <w:t>valproat</w:t>
            </w:r>
            <w:proofErr w:type="spellEnd"/>
            <w:r w:rsidRPr="004C0B3B">
              <w:rPr>
                <w:rFonts w:eastAsia="Calibri"/>
                <w:szCs w:val="24"/>
                <w:lang w:eastAsia="de-DE"/>
              </w:rPr>
              <w:t xml:space="preserve"> (årlig kvittering for information om risiko).</w:t>
            </w:r>
          </w:p>
          <w:p w14:paraId="57B26874"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Disse betingelser vedrører også kvinder, der ikke aktuelt er seksuelt aktive, medmindre den ordinerende læge mener, at der er tungtvejende grunde til at indikere, at der ikke er nogen risiko for graviditet.</w:t>
            </w:r>
          </w:p>
          <w:p w14:paraId="700D7EDE" w14:textId="77777777" w:rsidR="007653D9" w:rsidRDefault="007653D9" w:rsidP="007653D9">
            <w:pPr>
              <w:ind w:left="72" w:right="179"/>
              <w:rPr>
                <w:rFonts w:eastAsia="Calibri"/>
                <w:sz w:val="24"/>
                <w:szCs w:val="24"/>
                <w:u w:val="single"/>
                <w:lang w:eastAsia="de-DE"/>
              </w:rPr>
            </w:pPr>
          </w:p>
          <w:p w14:paraId="725E1343" w14:textId="321523DC"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Piger</w:t>
            </w:r>
          </w:p>
          <w:p w14:paraId="1E15EB7A"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De ordinerende læger skal sikre, at forældre/plejere af piger forstår nødvendigheden af at kontakte en specialist ved </w:t>
            </w:r>
            <w:proofErr w:type="spellStart"/>
            <w:r w:rsidRPr="004C0B3B">
              <w:rPr>
                <w:rFonts w:eastAsia="Calibri"/>
                <w:szCs w:val="24"/>
                <w:lang w:eastAsia="de-DE"/>
              </w:rPr>
              <w:t>menarche</w:t>
            </w:r>
            <w:proofErr w:type="spellEnd"/>
            <w:r w:rsidRPr="004C0B3B">
              <w:rPr>
                <w:rFonts w:eastAsia="Calibri"/>
                <w:szCs w:val="24"/>
                <w:lang w:eastAsia="de-DE"/>
              </w:rPr>
              <w:t xml:space="preserve"> hos pigen, der bruger </w:t>
            </w:r>
            <w:proofErr w:type="spellStart"/>
            <w:r w:rsidRPr="004C0B3B">
              <w:rPr>
                <w:rFonts w:eastAsia="Calibri"/>
                <w:szCs w:val="24"/>
                <w:lang w:eastAsia="de-DE"/>
              </w:rPr>
              <w:t>valproat</w:t>
            </w:r>
            <w:proofErr w:type="spellEnd"/>
            <w:r w:rsidRPr="004C0B3B">
              <w:rPr>
                <w:rFonts w:eastAsia="Calibri"/>
                <w:szCs w:val="24"/>
                <w:lang w:eastAsia="de-DE"/>
              </w:rPr>
              <w:t>.</w:t>
            </w:r>
          </w:p>
          <w:p w14:paraId="49F75DCB"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Den ordinerende læge skal sikre, at pigers forældre/plejere ved pigens </w:t>
            </w:r>
            <w:proofErr w:type="spellStart"/>
            <w:r w:rsidRPr="004C0B3B">
              <w:rPr>
                <w:rFonts w:eastAsia="Calibri"/>
                <w:szCs w:val="24"/>
                <w:lang w:eastAsia="de-DE"/>
              </w:rPr>
              <w:t>menarche</w:t>
            </w:r>
            <w:proofErr w:type="spellEnd"/>
            <w:r w:rsidRPr="004C0B3B">
              <w:rPr>
                <w:rFonts w:eastAsia="Calibri"/>
                <w:szCs w:val="24"/>
                <w:lang w:eastAsia="de-DE"/>
              </w:rPr>
              <w:t xml:space="preserve"> får udførlig information om risikoen for medfødte misdannelser og neurologiske udviklingsforstyrrelser, herunder omfanget af disse risici, for børn udsat for </w:t>
            </w:r>
            <w:proofErr w:type="spellStart"/>
            <w:r w:rsidRPr="004C0B3B">
              <w:rPr>
                <w:rFonts w:eastAsia="Calibri"/>
                <w:szCs w:val="24"/>
                <w:lang w:eastAsia="de-DE"/>
              </w:rPr>
              <w:t>valproat</w:t>
            </w:r>
            <w:proofErr w:type="spellEnd"/>
            <w:r w:rsidRPr="004C0B3B">
              <w:rPr>
                <w:rFonts w:eastAsia="Calibri"/>
                <w:szCs w:val="24"/>
                <w:lang w:eastAsia="de-DE"/>
              </w:rPr>
              <w:t xml:space="preserve"> </w:t>
            </w:r>
            <w:r w:rsidRPr="004C0B3B">
              <w:rPr>
                <w:rFonts w:eastAsia="Calibri"/>
                <w:i/>
                <w:szCs w:val="24"/>
                <w:lang w:eastAsia="de-DE"/>
              </w:rPr>
              <w:t xml:space="preserve">in </w:t>
            </w:r>
            <w:proofErr w:type="spellStart"/>
            <w:r w:rsidRPr="004C0B3B">
              <w:rPr>
                <w:rFonts w:eastAsia="Calibri"/>
                <w:i/>
                <w:szCs w:val="24"/>
                <w:lang w:eastAsia="de-DE"/>
              </w:rPr>
              <w:t>utero</w:t>
            </w:r>
            <w:proofErr w:type="spellEnd"/>
            <w:r w:rsidRPr="004C0B3B">
              <w:rPr>
                <w:rFonts w:eastAsia="Calibri"/>
                <w:szCs w:val="24"/>
                <w:lang w:eastAsia="de-DE"/>
              </w:rPr>
              <w:t>.</w:t>
            </w:r>
          </w:p>
          <w:p w14:paraId="31D6109C"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Den ordinerende specialist skal årligt revurdere behovet for </w:t>
            </w:r>
            <w:proofErr w:type="spellStart"/>
            <w:r w:rsidRPr="004C0B3B">
              <w:rPr>
                <w:rFonts w:eastAsia="Calibri"/>
                <w:szCs w:val="24"/>
                <w:lang w:eastAsia="de-DE"/>
              </w:rPr>
              <w:t>valproatbehandling</w:t>
            </w:r>
            <w:proofErr w:type="spellEnd"/>
            <w:r w:rsidRPr="004C0B3B">
              <w:rPr>
                <w:rFonts w:eastAsia="Calibri"/>
                <w:szCs w:val="24"/>
                <w:lang w:eastAsia="de-DE"/>
              </w:rPr>
              <w:t xml:space="preserve"> hos patienter efter </w:t>
            </w:r>
            <w:proofErr w:type="spellStart"/>
            <w:r w:rsidRPr="004C0B3B">
              <w:rPr>
                <w:rFonts w:eastAsia="Calibri"/>
                <w:szCs w:val="24"/>
                <w:lang w:eastAsia="de-DE"/>
              </w:rPr>
              <w:t>menarchen</w:t>
            </w:r>
            <w:proofErr w:type="spellEnd"/>
            <w:r w:rsidRPr="004C0B3B">
              <w:rPr>
                <w:rFonts w:eastAsia="Calibri"/>
                <w:szCs w:val="24"/>
                <w:lang w:eastAsia="de-DE"/>
              </w:rPr>
              <w:t xml:space="preserve"> og overveje andre behandlingsmuligheder. Hvis </w:t>
            </w:r>
            <w:proofErr w:type="spellStart"/>
            <w:r w:rsidRPr="004C0B3B">
              <w:rPr>
                <w:rFonts w:eastAsia="Calibri"/>
                <w:szCs w:val="24"/>
                <w:lang w:eastAsia="de-DE"/>
              </w:rPr>
              <w:t>valproat</w:t>
            </w:r>
            <w:proofErr w:type="spellEnd"/>
            <w:r w:rsidRPr="004C0B3B">
              <w:rPr>
                <w:rFonts w:eastAsia="Calibri"/>
                <w:szCs w:val="24"/>
                <w:lang w:eastAsia="de-DE"/>
              </w:rPr>
              <w:t xml:space="preserve"> er den eneste egnede behandling, bør behovet for at anvende effektiv prævention og alle andre forhold i forbindelse med præventionsprogrammet diskuteres. Specialisten bør gøre alt for at pigerne skiftes til anden behandling, inden de når voksenalderen.</w:t>
            </w:r>
          </w:p>
          <w:p w14:paraId="7C47FEAB" w14:textId="77777777" w:rsidR="004873ED" w:rsidRPr="004C0B3B" w:rsidRDefault="004873ED" w:rsidP="007653D9">
            <w:pPr>
              <w:ind w:left="72" w:right="179"/>
              <w:rPr>
                <w:rFonts w:eastAsia="Calibri"/>
                <w:sz w:val="24"/>
                <w:szCs w:val="24"/>
                <w:lang w:eastAsia="de-DE"/>
              </w:rPr>
            </w:pPr>
          </w:p>
          <w:p w14:paraId="7101E9B1"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Graviditetstest</w:t>
            </w:r>
          </w:p>
          <w:p w14:paraId="716F2A00"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 xml:space="preserve">Graviditet skal udelukkes før behandling med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påbegyndes. Behandling med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må ikke påbegyndes hos fertile kvinder uden negativt resultat af en graviditetstest (plasma graviditetstest), bekræftet af en sundhedsperson, for at udelukke utilsigtet anvendelse under graviditet.</w:t>
            </w:r>
          </w:p>
          <w:p w14:paraId="50AB4832" w14:textId="77777777" w:rsidR="004873ED" w:rsidRPr="004C0B3B" w:rsidRDefault="004873ED" w:rsidP="007653D9">
            <w:pPr>
              <w:ind w:left="72" w:right="179"/>
              <w:rPr>
                <w:rFonts w:eastAsia="Calibri"/>
                <w:sz w:val="24"/>
                <w:szCs w:val="24"/>
                <w:lang w:eastAsia="de-DE"/>
              </w:rPr>
            </w:pPr>
          </w:p>
          <w:p w14:paraId="55FD8C4A"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Prævention</w:t>
            </w:r>
          </w:p>
          <w:p w14:paraId="7AFBE2D3"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 xml:space="preserve">Fertile kvinder, der har fået ordineret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skal anvende effektiv prævention uden afbrydelse gennem hele behandlingen med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Disse patienter skal have udførlig information om graviditetsforebyggelse og bør henvises til præventionsrådgivning, hvis de ikke anvender effektiv prævention. Mindst én effektiv præventionsmetode (helst en brugeruafhængig form såsom spiral eller p-stav) eller to komplementære former for prævention, herunder en barrieremetode, bør anvendes. Individuelle forhold bør vurderes i hvert enkelt tilfælde, når præventionsmetoden vælges, ved at patienten involveres i diskussionen for at sikre hendes engagement og overholdelse af de valgte foranstaltninger. Selv hvis hun har </w:t>
            </w:r>
            <w:proofErr w:type="spellStart"/>
            <w:r w:rsidRPr="004C0B3B">
              <w:rPr>
                <w:rFonts w:eastAsia="Calibri"/>
                <w:sz w:val="24"/>
                <w:szCs w:val="24"/>
                <w:lang w:eastAsia="de-DE"/>
              </w:rPr>
              <w:t>amenorré</w:t>
            </w:r>
            <w:proofErr w:type="spellEnd"/>
            <w:r w:rsidRPr="004C0B3B">
              <w:rPr>
                <w:rFonts w:eastAsia="Calibri"/>
                <w:sz w:val="24"/>
                <w:szCs w:val="24"/>
                <w:lang w:eastAsia="de-DE"/>
              </w:rPr>
              <w:t>, skal hun følge alle råd om effektiv prævention.</w:t>
            </w:r>
          </w:p>
          <w:p w14:paraId="2C39A0BB" w14:textId="77777777" w:rsidR="004873ED" w:rsidRPr="004C0B3B" w:rsidRDefault="004873ED" w:rsidP="007653D9">
            <w:pPr>
              <w:ind w:left="72" w:right="179"/>
              <w:rPr>
                <w:rFonts w:eastAsia="Calibri"/>
                <w:sz w:val="24"/>
                <w:szCs w:val="24"/>
                <w:lang w:eastAsia="de-DE"/>
              </w:rPr>
            </w:pPr>
          </w:p>
          <w:p w14:paraId="39D7E4F3"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Årlig gennemgang af behandling hos en specialist</w:t>
            </w:r>
          </w:p>
          <w:p w14:paraId="2A770EE7"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 xml:space="preserve">Specialisten skal mindst en gang om året evaluere, om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er den bedst egnede behandling af patienten. Specialisten skal gennemgå den årlige kvittering for information om risiko ved behandlingsstart og i løbet af hver årlig evaluering og sikre, at patienten har forstået indholdet af den.</w:t>
            </w:r>
          </w:p>
          <w:p w14:paraId="3483787A" w14:textId="77777777" w:rsidR="004873ED" w:rsidRPr="004C0B3B" w:rsidRDefault="004873ED" w:rsidP="007653D9">
            <w:pPr>
              <w:ind w:left="72" w:right="179"/>
              <w:rPr>
                <w:rFonts w:eastAsia="Calibri"/>
                <w:sz w:val="24"/>
                <w:szCs w:val="24"/>
                <w:lang w:eastAsia="de-DE"/>
              </w:rPr>
            </w:pPr>
          </w:p>
          <w:p w14:paraId="32B1C1E1"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Planlægning af graviditet</w:t>
            </w:r>
          </w:p>
          <w:p w14:paraId="68679B3E"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 xml:space="preserve">Ved indikationen epilepsi skal en specialist, der har erfaring med behandling af epilepsi, revurdere </w:t>
            </w:r>
            <w:proofErr w:type="spellStart"/>
            <w:r w:rsidRPr="004C0B3B">
              <w:rPr>
                <w:rFonts w:eastAsia="Calibri"/>
                <w:sz w:val="24"/>
                <w:szCs w:val="24"/>
                <w:lang w:eastAsia="de-DE"/>
              </w:rPr>
              <w:t>valproatbehandling</w:t>
            </w:r>
            <w:proofErr w:type="spellEnd"/>
            <w:r w:rsidRPr="004C0B3B">
              <w:rPr>
                <w:rFonts w:eastAsia="Calibri"/>
                <w:sz w:val="24"/>
                <w:szCs w:val="24"/>
                <w:lang w:eastAsia="de-DE"/>
              </w:rPr>
              <w:t xml:space="preserve"> og overveje andre behandlingsmuligheder, hvis en kvinde planlægger at blive gravid. Alle bestræbelser skal gøres for at skifte til anden passende behandling før befrugtning, og inden præventionen afbrydes (se pkt. 4.6). Hvis skift ikke er muligt, skal kvinden modtage yderligere rådgivning vedrørende risiciene ved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for det ufødte barn for at støtte hendes informerede beslutningstagning vedrørende familieplanlægning.</w:t>
            </w:r>
          </w:p>
          <w:p w14:paraId="69BB96CD"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Ved indikation(</w:t>
            </w:r>
            <w:proofErr w:type="spellStart"/>
            <w:r w:rsidRPr="004C0B3B">
              <w:rPr>
                <w:rFonts w:eastAsia="Calibri"/>
                <w:sz w:val="24"/>
                <w:szCs w:val="24"/>
                <w:lang w:eastAsia="de-DE"/>
              </w:rPr>
              <w:t>erne</w:t>
            </w:r>
            <w:proofErr w:type="spellEnd"/>
            <w:r w:rsidRPr="004C0B3B">
              <w:rPr>
                <w:rFonts w:eastAsia="Calibri"/>
                <w:sz w:val="24"/>
                <w:szCs w:val="24"/>
                <w:lang w:eastAsia="de-DE"/>
              </w:rPr>
              <w:t xml:space="preserve">) bipolar lidelse, hvis en kvinde planlægger at blive gravid, skal en specialist, der har erfaring med behandling af bipolar lidelse konsulteres, og behandlingen med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skal seponeres og om nødvendigt skiftes til en anden behandling før befrugtning, og inden prævention afbrydes.</w:t>
            </w:r>
          </w:p>
          <w:p w14:paraId="5C952B49" w14:textId="77777777" w:rsidR="004873ED" w:rsidRPr="004C0B3B" w:rsidRDefault="004873ED" w:rsidP="007653D9">
            <w:pPr>
              <w:ind w:left="72" w:right="179"/>
              <w:rPr>
                <w:rFonts w:eastAsia="Calibri"/>
                <w:sz w:val="24"/>
                <w:szCs w:val="24"/>
                <w:lang w:eastAsia="de-DE"/>
              </w:rPr>
            </w:pPr>
          </w:p>
          <w:p w14:paraId="61AA702D"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I tilfælde af graviditet</w:t>
            </w:r>
          </w:p>
          <w:p w14:paraId="629E5453"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 xml:space="preserve">Hvis en kvinde, der anvender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bliver gravid, skal hun straks henvises til en specialist for at revurdere behandlingen med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og overveje andre muligheder. Patienter med graviditet eksponeret for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og deres partnere bør henvises til en specialist inden for </w:t>
            </w:r>
            <w:proofErr w:type="spellStart"/>
            <w:r w:rsidRPr="004C0B3B">
              <w:rPr>
                <w:rFonts w:eastAsia="Calibri"/>
                <w:sz w:val="24"/>
                <w:szCs w:val="24"/>
                <w:lang w:eastAsia="de-DE"/>
              </w:rPr>
              <w:t>teratologi</w:t>
            </w:r>
            <w:proofErr w:type="spellEnd"/>
            <w:r w:rsidRPr="004C0B3B">
              <w:rPr>
                <w:rFonts w:eastAsia="Calibri"/>
                <w:sz w:val="24"/>
                <w:szCs w:val="24"/>
                <w:lang w:eastAsia="de-DE"/>
              </w:rPr>
              <w:t xml:space="preserve"> for evaluering og rådgivning vedrørende den eksponerede graviditet (se pkt. 4.6).</w:t>
            </w:r>
          </w:p>
          <w:p w14:paraId="6F15D628" w14:textId="77777777" w:rsidR="004873ED" w:rsidRPr="004C0B3B" w:rsidRDefault="004873ED" w:rsidP="007653D9">
            <w:pPr>
              <w:ind w:left="72" w:right="179"/>
              <w:rPr>
                <w:rFonts w:eastAsia="Calibri"/>
                <w:sz w:val="24"/>
                <w:szCs w:val="24"/>
                <w:lang w:eastAsia="de-DE"/>
              </w:rPr>
            </w:pPr>
          </w:p>
          <w:p w14:paraId="33C5ACDA"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Apotekspersonalet skal sikre, at</w:t>
            </w:r>
          </w:p>
          <w:p w14:paraId="4184E576"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patientkortet udleveres med hver dispensering af </w:t>
            </w:r>
            <w:proofErr w:type="spellStart"/>
            <w:r w:rsidRPr="004C0B3B">
              <w:rPr>
                <w:rFonts w:eastAsia="Calibri"/>
                <w:szCs w:val="24"/>
                <w:lang w:eastAsia="de-DE"/>
              </w:rPr>
              <w:t>valproat</w:t>
            </w:r>
            <w:proofErr w:type="spellEnd"/>
            <w:r w:rsidRPr="004C0B3B">
              <w:rPr>
                <w:rFonts w:eastAsia="Calibri"/>
                <w:szCs w:val="24"/>
                <w:lang w:eastAsia="de-DE"/>
              </w:rPr>
              <w:t>, og at patienterne forstår dets indhold.</w:t>
            </w:r>
          </w:p>
          <w:p w14:paraId="2263B789" w14:textId="77777777" w:rsidR="004873ED" w:rsidRPr="004C0B3B" w:rsidRDefault="004873ED" w:rsidP="007653D9">
            <w:pPr>
              <w:pStyle w:val="Listeafsnit"/>
              <w:numPr>
                <w:ilvl w:val="0"/>
                <w:numId w:val="11"/>
              </w:numPr>
              <w:ind w:right="179"/>
              <w:rPr>
                <w:rFonts w:eastAsia="Calibri"/>
                <w:szCs w:val="24"/>
                <w:lang w:eastAsia="de-DE"/>
              </w:rPr>
            </w:pPr>
            <w:r w:rsidRPr="004C0B3B">
              <w:rPr>
                <w:rFonts w:eastAsia="Calibri"/>
                <w:szCs w:val="24"/>
                <w:lang w:eastAsia="de-DE"/>
              </w:rPr>
              <w:t xml:space="preserve">patienterne rådes til ikke at stoppe </w:t>
            </w:r>
            <w:proofErr w:type="spellStart"/>
            <w:r w:rsidRPr="004C0B3B">
              <w:rPr>
                <w:rFonts w:eastAsia="Calibri"/>
                <w:szCs w:val="24"/>
                <w:lang w:eastAsia="de-DE"/>
              </w:rPr>
              <w:t>valproatbehandling</w:t>
            </w:r>
            <w:proofErr w:type="spellEnd"/>
            <w:r w:rsidRPr="004C0B3B">
              <w:rPr>
                <w:rFonts w:eastAsia="Calibri"/>
                <w:szCs w:val="24"/>
                <w:lang w:eastAsia="de-DE"/>
              </w:rPr>
              <w:t xml:space="preserve"> og til straks at kontakte en specialist i tilfælde af planlagt eller formodet graviditet.</w:t>
            </w:r>
          </w:p>
          <w:p w14:paraId="6684CA2D" w14:textId="77777777" w:rsidR="004873ED" w:rsidRPr="004C0B3B" w:rsidRDefault="004873ED" w:rsidP="007653D9">
            <w:pPr>
              <w:ind w:left="72" w:right="179"/>
              <w:rPr>
                <w:rFonts w:eastAsia="Calibri"/>
                <w:sz w:val="24"/>
                <w:szCs w:val="24"/>
                <w:lang w:eastAsia="de-DE"/>
              </w:rPr>
            </w:pPr>
          </w:p>
          <w:p w14:paraId="0F4CFE29" w14:textId="77777777" w:rsidR="004873ED" w:rsidRPr="004C0B3B" w:rsidRDefault="004873ED" w:rsidP="007653D9">
            <w:pPr>
              <w:ind w:left="72" w:right="179"/>
              <w:rPr>
                <w:rFonts w:eastAsia="Calibri"/>
                <w:sz w:val="24"/>
                <w:szCs w:val="24"/>
                <w:u w:val="single"/>
                <w:lang w:eastAsia="de-DE"/>
              </w:rPr>
            </w:pPr>
            <w:r w:rsidRPr="004C0B3B">
              <w:rPr>
                <w:rFonts w:eastAsia="Calibri"/>
                <w:sz w:val="24"/>
                <w:szCs w:val="24"/>
                <w:u w:val="single"/>
                <w:lang w:eastAsia="de-DE"/>
              </w:rPr>
              <w:t>Uddannelsesmaterialer</w:t>
            </w:r>
          </w:p>
          <w:p w14:paraId="17BF2E42"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 xml:space="preserve">For at hjælpe sundhedspersonale og patienter med at undgå </w:t>
            </w:r>
            <w:proofErr w:type="spellStart"/>
            <w:r w:rsidRPr="004C0B3B">
              <w:rPr>
                <w:rFonts w:eastAsia="Calibri"/>
                <w:sz w:val="24"/>
                <w:szCs w:val="24"/>
                <w:lang w:eastAsia="de-DE"/>
              </w:rPr>
              <w:t>valproateksponering</w:t>
            </w:r>
            <w:proofErr w:type="spellEnd"/>
            <w:r w:rsidRPr="004C0B3B">
              <w:rPr>
                <w:rFonts w:eastAsia="Calibri"/>
                <w:sz w:val="24"/>
                <w:szCs w:val="24"/>
                <w:lang w:eastAsia="de-DE"/>
              </w:rPr>
              <w:t xml:space="preserve"> under graviditet har indehaveren af markedsføringstilladelsen udarbejdet uddannelsesmaterialer for at underbygge advarslerne og vejlede om anvendelse af </w:t>
            </w:r>
            <w:proofErr w:type="spellStart"/>
            <w:r w:rsidRPr="004C0B3B">
              <w:rPr>
                <w:rFonts w:eastAsia="Calibri"/>
                <w:sz w:val="24"/>
                <w:szCs w:val="24"/>
                <w:lang w:eastAsia="de-DE"/>
              </w:rPr>
              <w:t>valproat</w:t>
            </w:r>
            <w:proofErr w:type="spellEnd"/>
            <w:r w:rsidRPr="004C0B3B">
              <w:rPr>
                <w:rFonts w:eastAsia="Calibri"/>
                <w:sz w:val="24"/>
                <w:szCs w:val="24"/>
                <w:lang w:eastAsia="de-DE"/>
              </w:rPr>
              <w:t xml:space="preserve"> hos fertile kvinder og om detaljerne i præventionsprogrammet. En patientvejledning og et patientkort bør gives til alle fertile kvinder, som anvender </w:t>
            </w:r>
            <w:proofErr w:type="spellStart"/>
            <w:r w:rsidRPr="004C0B3B">
              <w:rPr>
                <w:rFonts w:eastAsia="Calibri"/>
                <w:sz w:val="24"/>
                <w:szCs w:val="24"/>
                <w:lang w:eastAsia="de-DE"/>
              </w:rPr>
              <w:t>valproat</w:t>
            </w:r>
            <w:proofErr w:type="spellEnd"/>
            <w:r w:rsidRPr="004C0B3B">
              <w:rPr>
                <w:rFonts w:eastAsia="Calibri"/>
                <w:sz w:val="24"/>
                <w:szCs w:val="24"/>
                <w:lang w:eastAsia="de-DE"/>
              </w:rPr>
              <w:t>.</w:t>
            </w:r>
          </w:p>
          <w:p w14:paraId="1C5E58C5" w14:textId="77777777" w:rsidR="004873ED" w:rsidRPr="004C0B3B" w:rsidRDefault="004873ED" w:rsidP="007653D9">
            <w:pPr>
              <w:ind w:left="72" w:right="179"/>
              <w:rPr>
                <w:rFonts w:eastAsia="Calibri"/>
                <w:sz w:val="24"/>
                <w:szCs w:val="24"/>
                <w:lang w:eastAsia="de-DE"/>
              </w:rPr>
            </w:pPr>
            <w:r w:rsidRPr="004C0B3B">
              <w:rPr>
                <w:rFonts w:eastAsia="Calibri"/>
                <w:sz w:val="24"/>
                <w:szCs w:val="24"/>
                <w:lang w:eastAsia="de-DE"/>
              </w:rPr>
              <w:t xml:space="preserve">En årlig kvittering for information om risiko skal anvendes ved behandlingsstart og under hver årlig evaluering af </w:t>
            </w:r>
            <w:proofErr w:type="spellStart"/>
            <w:r w:rsidRPr="004C0B3B">
              <w:rPr>
                <w:rFonts w:eastAsia="Calibri"/>
                <w:sz w:val="24"/>
                <w:szCs w:val="24"/>
                <w:lang w:eastAsia="de-DE"/>
              </w:rPr>
              <w:t>valproatbehandling</w:t>
            </w:r>
            <w:proofErr w:type="spellEnd"/>
            <w:r w:rsidRPr="004C0B3B">
              <w:rPr>
                <w:rFonts w:eastAsia="Calibri"/>
                <w:sz w:val="24"/>
                <w:szCs w:val="24"/>
                <w:lang w:eastAsia="de-DE"/>
              </w:rPr>
              <w:t xml:space="preserve"> hos specialisten.</w:t>
            </w:r>
          </w:p>
        </w:tc>
      </w:tr>
    </w:tbl>
    <w:p w14:paraId="54227671" w14:textId="77777777" w:rsidR="004873ED" w:rsidRPr="004C0B3B" w:rsidRDefault="004873ED" w:rsidP="004873ED">
      <w:pPr>
        <w:tabs>
          <w:tab w:val="left" w:pos="851"/>
        </w:tabs>
        <w:ind w:left="851"/>
        <w:rPr>
          <w:i/>
          <w:sz w:val="24"/>
          <w:szCs w:val="24"/>
        </w:rPr>
      </w:pPr>
    </w:p>
    <w:p w14:paraId="4926AD7C" w14:textId="77777777" w:rsidR="00613335" w:rsidRPr="004C0B3B" w:rsidRDefault="00613335" w:rsidP="007653D9">
      <w:pPr>
        <w:ind w:left="851"/>
        <w:rPr>
          <w:sz w:val="24"/>
          <w:szCs w:val="24"/>
          <w:u w:val="single"/>
        </w:rPr>
      </w:pPr>
      <w:r w:rsidRPr="004C0B3B">
        <w:rPr>
          <w:sz w:val="24"/>
          <w:szCs w:val="24"/>
          <w:u w:val="single"/>
        </w:rPr>
        <w:t>Anvendelse hos mandlige patienter</w:t>
      </w:r>
    </w:p>
    <w:p w14:paraId="6BDA3F1E" w14:textId="77777777" w:rsidR="00613335" w:rsidRPr="004C0B3B" w:rsidRDefault="00613335" w:rsidP="007653D9">
      <w:pPr>
        <w:ind w:left="851"/>
        <w:rPr>
          <w:sz w:val="24"/>
          <w:szCs w:val="24"/>
          <w:u w:val="single"/>
        </w:rPr>
      </w:pPr>
    </w:p>
    <w:p w14:paraId="2EB45045" w14:textId="77777777" w:rsidR="00613335" w:rsidRPr="004C0B3B" w:rsidRDefault="00613335" w:rsidP="007653D9">
      <w:pPr>
        <w:ind w:left="851"/>
        <w:rPr>
          <w:sz w:val="24"/>
          <w:szCs w:val="24"/>
        </w:rPr>
      </w:pPr>
      <w:r w:rsidRPr="004C0B3B">
        <w:rPr>
          <w:sz w:val="24"/>
          <w:szCs w:val="24"/>
        </w:rPr>
        <w:t xml:space="preserve">Et retrospektivt observationsstudie tyder på en øget risiko for neurologiske udviklingsforstyrrelser hos børn af mænd behandlet med </w:t>
      </w:r>
      <w:proofErr w:type="spellStart"/>
      <w:r w:rsidRPr="004C0B3B">
        <w:rPr>
          <w:sz w:val="24"/>
          <w:szCs w:val="24"/>
        </w:rPr>
        <w:t>valproat</w:t>
      </w:r>
      <w:proofErr w:type="spellEnd"/>
      <w:r w:rsidRPr="004C0B3B">
        <w:rPr>
          <w:sz w:val="24"/>
          <w:szCs w:val="24"/>
        </w:rPr>
        <w:t xml:space="preserve"> i de 3 måneder inden befrugtning sammenlignet med børn af mænd behandlet med </w:t>
      </w:r>
      <w:proofErr w:type="spellStart"/>
      <w:r w:rsidRPr="004C0B3B">
        <w:rPr>
          <w:sz w:val="24"/>
          <w:szCs w:val="24"/>
        </w:rPr>
        <w:t>lamotrigin</w:t>
      </w:r>
      <w:proofErr w:type="spellEnd"/>
      <w:r w:rsidRPr="004C0B3B">
        <w:rPr>
          <w:sz w:val="24"/>
          <w:szCs w:val="24"/>
        </w:rPr>
        <w:t xml:space="preserve"> eller </w:t>
      </w:r>
      <w:proofErr w:type="spellStart"/>
      <w:r w:rsidRPr="004C0B3B">
        <w:rPr>
          <w:sz w:val="24"/>
          <w:szCs w:val="24"/>
        </w:rPr>
        <w:t>levetiracetam</w:t>
      </w:r>
      <w:proofErr w:type="spellEnd"/>
      <w:r w:rsidRPr="004C0B3B">
        <w:rPr>
          <w:sz w:val="24"/>
          <w:szCs w:val="24"/>
        </w:rPr>
        <w:t xml:space="preserve"> (se pkt. 4.6).</w:t>
      </w:r>
    </w:p>
    <w:p w14:paraId="56782FF8" w14:textId="77777777" w:rsidR="00613335" w:rsidRPr="004C0B3B" w:rsidRDefault="00613335" w:rsidP="007653D9">
      <w:pPr>
        <w:ind w:left="851"/>
        <w:rPr>
          <w:sz w:val="24"/>
          <w:szCs w:val="24"/>
          <w:u w:val="single"/>
        </w:rPr>
      </w:pPr>
    </w:p>
    <w:p w14:paraId="5BD5332E" w14:textId="77777777" w:rsidR="00613335" w:rsidRPr="004C0B3B" w:rsidRDefault="00613335" w:rsidP="007653D9">
      <w:pPr>
        <w:ind w:left="851"/>
        <w:rPr>
          <w:sz w:val="24"/>
          <w:szCs w:val="24"/>
        </w:rPr>
      </w:pPr>
      <w:r w:rsidRPr="004C0B3B">
        <w:rPr>
          <w:sz w:val="24"/>
          <w:szCs w:val="24"/>
        </w:rPr>
        <w:t xml:space="preserve">Som en sikkerhedsforanstaltning bør ordinerende læger informere mandlige patienter om denne potentielle risiko (se pkt. 4.6) og diskutere behovet for at overveje effektiv prævention, herunder for en kvindelig partner, mens de tager </w:t>
      </w:r>
      <w:proofErr w:type="spellStart"/>
      <w:r w:rsidRPr="004C0B3B">
        <w:rPr>
          <w:sz w:val="24"/>
          <w:szCs w:val="24"/>
        </w:rPr>
        <w:t>valproat</w:t>
      </w:r>
      <w:proofErr w:type="spellEnd"/>
      <w:r w:rsidRPr="004C0B3B">
        <w:rPr>
          <w:sz w:val="24"/>
          <w:szCs w:val="24"/>
        </w:rPr>
        <w:t xml:space="preserve"> og i mindst 3 måneder efter behandlingens ophør. Mandlige patienter bør ikke donere sæd under behandlingen og i mindst 3 måneder efter behandlingens ophør.</w:t>
      </w:r>
    </w:p>
    <w:p w14:paraId="1D194FBE" w14:textId="77777777" w:rsidR="00613335" w:rsidRPr="004C0B3B" w:rsidRDefault="00613335" w:rsidP="007653D9">
      <w:pPr>
        <w:ind w:left="851"/>
        <w:rPr>
          <w:sz w:val="24"/>
          <w:szCs w:val="24"/>
        </w:rPr>
      </w:pPr>
    </w:p>
    <w:p w14:paraId="6F14F24E" w14:textId="77777777" w:rsidR="00613335" w:rsidRPr="004C0B3B" w:rsidRDefault="00613335" w:rsidP="007653D9">
      <w:pPr>
        <w:ind w:left="851"/>
        <w:rPr>
          <w:sz w:val="24"/>
          <w:szCs w:val="24"/>
        </w:rPr>
      </w:pPr>
      <w:r w:rsidRPr="004C0B3B">
        <w:rPr>
          <w:sz w:val="24"/>
          <w:szCs w:val="24"/>
        </w:rPr>
        <w:t xml:space="preserve">Behandling af mandlige patienter med </w:t>
      </w:r>
      <w:proofErr w:type="spellStart"/>
      <w:r w:rsidRPr="004C0B3B">
        <w:rPr>
          <w:sz w:val="24"/>
          <w:szCs w:val="24"/>
        </w:rPr>
        <w:t>valproat</w:t>
      </w:r>
      <w:proofErr w:type="spellEnd"/>
      <w:r w:rsidRPr="004C0B3B">
        <w:rPr>
          <w:sz w:val="24"/>
          <w:szCs w:val="24"/>
        </w:rPr>
        <w:t xml:space="preserve"> bør regelmæssigt gennemgås af ordinerende læge for at vurdere, om </w:t>
      </w:r>
      <w:proofErr w:type="spellStart"/>
      <w:r w:rsidRPr="004C0B3B">
        <w:rPr>
          <w:sz w:val="24"/>
          <w:szCs w:val="24"/>
        </w:rPr>
        <w:t>valproat</w:t>
      </w:r>
      <w:proofErr w:type="spellEnd"/>
      <w:r w:rsidRPr="004C0B3B">
        <w:rPr>
          <w:sz w:val="24"/>
          <w:szCs w:val="24"/>
        </w:rPr>
        <w:t xml:space="preserve"> fortsat er den bedst egnede behandling for patienten. For mandlige patienter, der planlægger at få et barn, bør passende alternative behandlingsmuligheder overvejes og diskuteres med de mandlige patienter. Individuelle forhold bør evalueres i hvert tilfælde. Det anbefales at få rådgivning af en specialist med erfaring i behandling af epilepsi eller bipolar lidelse efter behov.</w:t>
      </w:r>
    </w:p>
    <w:p w14:paraId="11A082B7" w14:textId="77777777" w:rsidR="00613335" w:rsidRPr="004C0B3B" w:rsidRDefault="00613335" w:rsidP="007653D9">
      <w:pPr>
        <w:ind w:left="851"/>
        <w:rPr>
          <w:sz w:val="24"/>
          <w:szCs w:val="24"/>
        </w:rPr>
      </w:pPr>
    </w:p>
    <w:p w14:paraId="55C35B01" w14:textId="77777777" w:rsidR="00613335" w:rsidRPr="004C0B3B" w:rsidRDefault="00613335" w:rsidP="007653D9">
      <w:pPr>
        <w:ind w:left="851"/>
        <w:rPr>
          <w:sz w:val="24"/>
          <w:szCs w:val="24"/>
        </w:rPr>
      </w:pPr>
      <w:r w:rsidRPr="004C0B3B">
        <w:rPr>
          <w:sz w:val="24"/>
          <w:szCs w:val="24"/>
        </w:rPr>
        <w:t xml:space="preserve">Uddannelsesmaterialer er tilgængelige for sundhedspersoner og mandlige patienter. En patientvejledning bør gives til mandlige patienter, der tager </w:t>
      </w:r>
      <w:proofErr w:type="spellStart"/>
      <w:r w:rsidRPr="004C0B3B">
        <w:rPr>
          <w:sz w:val="24"/>
          <w:szCs w:val="24"/>
        </w:rPr>
        <w:t>valproat</w:t>
      </w:r>
      <w:proofErr w:type="spellEnd"/>
      <w:r w:rsidRPr="004C0B3B">
        <w:rPr>
          <w:sz w:val="24"/>
          <w:szCs w:val="24"/>
        </w:rPr>
        <w:t>.</w:t>
      </w:r>
    </w:p>
    <w:p w14:paraId="42871BDE" w14:textId="77777777" w:rsidR="00613335" w:rsidRPr="004C0B3B" w:rsidRDefault="00613335" w:rsidP="007653D9">
      <w:pPr>
        <w:ind w:left="851"/>
        <w:rPr>
          <w:sz w:val="24"/>
          <w:szCs w:val="24"/>
          <w:u w:val="single"/>
        </w:rPr>
      </w:pPr>
    </w:p>
    <w:p w14:paraId="5444D9B5" w14:textId="77777777" w:rsidR="004873ED" w:rsidRPr="004C0B3B" w:rsidRDefault="004873ED" w:rsidP="007653D9">
      <w:pPr>
        <w:ind w:left="851"/>
        <w:rPr>
          <w:spacing w:val="-3"/>
          <w:sz w:val="24"/>
          <w:szCs w:val="24"/>
          <w:u w:val="single"/>
        </w:rPr>
      </w:pPr>
      <w:proofErr w:type="spellStart"/>
      <w:r w:rsidRPr="004C0B3B">
        <w:rPr>
          <w:sz w:val="24"/>
          <w:szCs w:val="24"/>
          <w:u w:val="single"/>
        </w:rPr>
        <w:t>HIV-positive</w:t>
      </w:r>
      <w:proofErr w:type="spellEnd"/>
      <w:r w:rsidRPr="004C0B3B">
        <w:rPr>
          <w:sz w:val="24"/>
          <w:szCs w:val="24"/>
          <w:u w:val="single"/>
        </w:rPr>
        <w:t xml:space="preserve"> patienter</w:t>
      </w:r>
    </w:p>
    <w:p w14:paraId="7060C839" w14:textId="77777777" w:rsidR="004873ED" w:rsidRPr="004C0B3B" w:rsidRDefault="004873ED" w:rsidP="007653D9">
      <w:pPr>
        <w:widowControl w:val="0"/>
        <w:ind w:left="851"/>
        <w:rPr>
          <w:spacing w:val="-3"/>
          <w:sz w:val="24"/>
          <w:szCs w:val="24"/>
        </w:rPr>
      </w:pPr>
      <w:proofErr w:type="spellStart"/>
      <w:r w:rsidRPr="004C0B3B">
        <w:rPr>
          <w:spacing w:val="-3"/>
          <w:sz w:val="24"/>
          <w:szCs w:val="24"/>
        </w:rPr>
        <w:t>Natriumvalproat</w:t>
      </w:r>
      <w:proofErr w:type="spellEnd"/>
      <w:r w:rsidRPr="004C0B3B">
        <w:rPr>
          <w:spacing w:val="-3"/>
          <w:sz w:val="24"/>
          <w:szCs w:val="24"/>
        </w:rPr>
        <w:t xml:space="preserve"> har i nogle </w:t>
      </w:r>
      <w:r w:rsidRPr="004C0B3B">
        <w:rPr>
          <w:i/>
          <w:spacing w:val="-3"/>
          <w:sz w:val="24"/>
          <w:szCs w:val="24"/>
        </w:rPr>
        <w:t xml:space="preserve">in </w:t>
      </w:r>
      <w:proofErr w:type="spellStart"/>
      <w:r w:rsidRPr="004C0B3B">
        <w:rPr>
          <w:i/>
          <w:spacing w:val="-3"/>
          <w:sz w:val="24"/>
          <w:szCs w:val="24"/>
        </w:rPr>
        <w:t>vitro</w:t>
      </w:r>
      <w:proofErr w:type="spellEnd"/>
      <w:r w:rsidRPr="004C0B3B">
        <w:rPr>
          <w:spacing w:val="-3"/>
          <w:sz w:val="24"/>
          <w:szCs w:val="24"/>
        </w:rPr>
        <w:t xml:space="preserve">-studier vist sig at stimulere HIV-replikationen. Denne effekt er imidlertid beskeden og afhængig af de anvendte forsøgsmodeller og/eller individuel cellerespons på </w:t>
      </w:r>
      <w:proofErr w:type="spellStart"/>
      <w:r w:rsidRPr="004C0B3B">
        <w:rPr>
          <w:spacing w:val="-3"/>
          <w:sz w:val="24"/>
          <w:szCs w:val="24"/>
        </w:rPr>
        <w:t>valproat</w:t>
      </w:r>
      <w:proofErr w:type="spellEnd"/>
      <w:r w:rsidRPr="004C0B3B">
        <w:rPr>
          <w:spacing w:val="-3"/>
          <w:sz w:val="24"/>
          <w:szCs w:val="24"/>
        </w:rPr>
        <w:t xml:space="preserve"> </w:t>
      </w:r>
      <w:r w:rsidRPr="004C0B3B">
        <w:rPr>
          <w:i/>
          <w:spacing w:val="-3"/>
          <w:sz w:val="24"/>
          <w:szCs w:val="24"/>
        </w:rPr>
        <w:t xml:space="preserve">in </w:t>
      </w:r>
      <w:proofErr w:type="spellStart"/>
      <w:r w:rsidRPr="004C0B3B">
        <w:rPr>
          <w:i/>
          <w:spacing w:val="-3"/>
          <w:sz w:val="24"/>
          <w:szCs w:val="24"/>
        </w:rPr>
        <w:t>vitro</w:t>
      </w:r>
      <w:proofErr w:type="spellEnd"/>
      <w:r w:rsidRPr="004C0B3B">
        <w:rPr>
          <w:spacing w:val="-3"/>
          <w:sz w:val="24"/>
          <w:szCs w:val="24"/>
        </w:rPr>
        <w:t xml:space="preserve">. Den kliniske betydning af dette er ikke kendt. Ikke desto mindre skal det tages i betragtning ved vurdering af resultatet i forbindelse med regelmæssig overvågning af viruskoncentrationen hos </w:t>
      </w:r>
      <w:proofErr w:type="spellStart"/>
      <w:r w:rsidRPr="004C0B3B">
        <w:rPr>
          <w:spacing w:val="-3"/>
          <w:sz w:val="24"/>
          <w:szCs w:val="24"/>
        </w:rPr>
        <w:t>HIV-positive</w:t>
      </w:r>
      <w:proofErr w:type="spellEnd"/>
      <w:r w:rsidRPr="004C0B3B">
        <w:rPr>
          <w:spacing w:val="-3"/>
          <w:sz w:val="24"/>
          <w:szCs w:val="24"/>
        </w:rPr>
        <w:t xml:space="preserve"> patienter, som får ordineret </w:t>
      </w:r>
      <w:proofErr w:type="spellStart"/>
      <w:r w:rsidRPr="004C0B3B">
        <w:rPr>
          <w:spacing w:val="-3"/>
          <w:sz w:val="24"/>
          <w:szCs w:val="24"/>
        </w:rPr>
        <w:t>natriumvalproat</w:t>
      </w:r>
      <w:proofErr w:type="spellEnd"/>
      <w:r w:rsidRPr="004C0B3B">
        <w:rPr>
          <w:spacing w:val="-3"/>
          <w:sz w:val="24"/>
          <w:szCs w:val="24"/>
        </w:rPr>
        <w:t>.</w:t>
      </w:r>
    </w:p>
    <w:p w14:paraId="4BEE19E2" w14:textId="77777777" w:rsidR="004873ED" w:rsidRPr="004C0B3B" w:rsidRDefault="004873ED" w:rsidP="007653D9">
      <w:pPr>
        <w:ind w:left="851"/>
        <w:rPr>
          <w:spacing w:val="-3"/>
          <w:sz w:val="24"/>
          <w:szCs w:val="24"/>
        </w:rPr>
      </w:pPr>
    </w:p>
    <w:p w14:paraId="0863D197" w14:textId="77777777" w:rsidR="004873ED" w:rsidRPr="004C0B3B" w:rsidRDefault="004873ED" w:rsidP="007653D9">
      <w:pPr>
        <w:ind w:left="851"/>
        <w:rPr>
          <w:color w:val="800080"/>
          <w:sz w:val="24"/>
          <w:szCs w:val="24"/>
          <w:u w:val="single"/>
        </w:rPr>
      </w:pPr>
      <w:r w:rsidRPr="004C0B3B">
        <w:rPr>
          <w:sz w:val="24"/>
          <w:szCs w:val="24"/>
          <w:u w:val="single"/>
        </w:rPr>
        <w:t>Selvmordstanker og suicidal adfærd</w:t>
      </w:r>
    </w:p>
    <w:p w14:paraId="786C4334" w14:textId="77777777" w:rsidR="004873ED" w:rsidRPr="004C0B3B" w:rsidRDefault="004873ED" w:rsidP="007653D9">
      <w:pPr>
        <w:widowControl w:val="0"/>
        <w:autoSpaceDE w:val="0"/>
        <w:autoSpaceDN w:val="0"/>
        <w:adjustRightInd w:val="0"/>
        <w:ind w:left="851"/>
        <w:rPr>
          <w:sz w:val="24"/>
          <w:szCs w:val="24"/>
        </w:rPr>
      </w:pPr>
      <w:r w:rsidRPr="004C0B3B">
        <w:rPr>
          <w:sz w:val="24"/>
          <w:szCs w:val="24"/>
        </w:rPr>
        <w:t xml:space="preserve">Selvmordstanker og suicidal adfærd er rapporteret hos patienter i behandling med </w:t>
      </w:r>
      <w:proofErr w:type="spellStart"/>
      <w:r w:rsidRPr="004C0B3B">
        <w:rPr>
          <w:sz w:val="24"/>
          <w:szCs w:val="24"/>
        </w:rPr>
        <w:t>antiepileptika</w:t>
      </w:r>
      <w:proofErr w:type="spellEnd"/>
      <w:r w:rsidRPr="004C0B3B">
        <w:rPr>
          <w:sz w:val="24"/>
          <w:szCs w:val="24"/>
        </w:rPr>
        <w:t xml:space="preserve"> ved flere forskellige indikationer. En metaanalyse af randomiserede, placebokontrollerede studier med </w:t>
      </w:r>
      <w:proofErr w:type="spellStart"/>
      <w:r w:rsidRPr="004C0B3B">
        <w:rPr>
          <w:sz w:val="24"/>
          <w:szCs w:val="24"/>
        </w:rPr>
        <w:t>antiepileptika</w:t>
      </w:r>
      <w:proofErr w:type="spellEnd"/>
      <w:r w:rsidRPr="004C0B3B">
        <w:rPr>
          <w:sz w:val="24"/>
          <w:szCs w:val="24"/>
        </w:rPr>
        <w:t xml:space="preserve"> har også vist en let forøget risiko for selvmordstanker og suicidal adfærd. Mekanismen bag denne risiko er ikke kendt, og de forhåndenværende data udelukker ikke muligheden for en øget risiko med </w:t>
      </w:r>
      <w:proofErr w:type="spellStart"/>
      <w:r w:rsidRPr="004C0B3B">
        <w:rPr>
          <w:sz w:val="24"/>
          <w:szCs w:val="24"/>
        </w:rPr>
        <w:t>natriumvalproat</w:t>
      </w:r>
      <w:proofErr w:type="spellEnd"/>
      <w:r w:rsidRPr="004C0B3B">
        <w:rPr>
          <w:sz w:val="24"/>
          <w:szCs w:val="24"/>
        </w:rPr>
        <w:t>.</w:t>
      </w:r>
    </w:p>
    <w:p w14:paraId="6C5B0851" w14:textId="77777777" w:rsidR="004873ED" w:rsidRPr="004C0B3B" w:rsidRDefault="004873ED" w:rsidP="007653D9">
      <w:pPr>
        <w:autoSpaceDE w:val="0"/>
        <w:autoSpaceDN w:val="0"/>
        <w:adjustRightInd w:val="0"/>
        <w:ind w:left="851"/>
        <w:rPr>
          <w:sz w:val="24"/>
          <w:szCs w:val="24"/>
        </w:rPr>
      </w:pPr>
    </w:p>
    <w:p w14:paraId="7B5AF0F3" w14:textId="77777777" w:rsidR="004873ED" w:rsidRPr="004C0B3B" w:rsidRDefault="004873ED" w:rsidP="007653D9">
      <w:pPr>
        <w:widowControl w:val="0"/>
        <w:autoSpaceDE w:val="0"/>
        <w:autoSpaceDN w:val="0"/>
        <w:adjustRightInd w:val="0"/>
        <w:ind w:left="851"/>
        <w:rPr>
          <w:sz w:val="24"/>
          <w:szCs w:val="24"/>
        </w:rPr>
      </w:pPr>
      <w:r w:rsidRPr="004C0B3B">
        <w:rPr>
          <w:sz w:val="24"/>
          <w:szCs w:val="24"/>
        </w:rPr>
        <w:t>Det er derfor vigtigt at observere patienterne for tegn på selvmordstanker og suicidal adfærd, og passende behandling bør overvejes. Patienter (og omsorgspersoner) skal rådes til at kontakte en læge, hvis der opstår tegn på selvmordstanker eller suicidal adfærd.</w:t>
      </w:r>
    </w:p>
    <w:p w14:paraId="6ADA9F46" w14:textId="77777777" w:rsidR="004873ED" w:rsidRPr="004C0B3B" w:rsidRDefault="004873ED" w:rsidP="007653D9">
      <w:pPr>
        <w:widowControl w:val="0"/>
        <w:autoSpaceDE w:val="0"/>
        <w:autoSpaceDN w:val="0"/>
        <w:adjustRightInd w:val="0"/>
        <w:ind w:left="851"/>
        <w:rPr>
          <w:sz w:val="24"/>
          <w:szCs w:val="24"/>
        </w:rPr>
      </w:pPr>
    </w:p>
    <w:p w14:paraId="601D2A27" w14:textId="77777777" w:rsidR="004873ED" w:rsidRPr="004C0B3B" w:rsidRDefault="004873ED" w:rsidP="007653D9">
      <w:pPr>
        <w:pStyle w:val="Default"/>
        <w:ind w:left="851"/>
        <w:rPr>
          <w:rFonts w:ascii="Times New Roman" w:hAnsi="Times New Roman" w:cs="Times New Roman"/>
          <w:lang w:val="da-DK"/>
        </w:rPr>
      </w:pPr>
      <w:r w:rsidRPr="004C0B3B">
        <w:rPr>
          <w:rFonts w:ascii="Times New Roman" w:hAnsi="Times New Roman" w:cs="Times New Roman"/>
          <w:u w:val="single"/>
          <w:lang w:val="da-DK"/>
        </w:rPr>
        <w:t xml:space="preserve">Patienter med kendt eller formodet </w:t>
      </w:r>
      <w:proofErr w:type="spellStart"/>
      <w:r w:rsidRPr="004C0B3B">
        <w:rPr>
          <w:rFonts w:ascii="Times New Roman" w:hAnsi="Times New Roman" w:cs="Times New Roman"/>
          <w:u w:val="single"/>
          <w:lang w:val="da-DK"/>
        </w:rPr>
        <w:t>mitokondriel</w:t>
      </w:r>
      <w:proofErr w:type="spellEnd"/>
      <w:r w:rsidRPr="004C0B3B">
        <w:rPr>
          <w:rFonts w:ascii="Times New Roman" w:hAnsi="Times New Roman" w:cs="Times New Roman"/>
          <w:u w:val="single"/>
          <w:lang w:val="da-DK"/>
        </w:rPr>
        <w:t xml:space="preserve"> sygdom </w:t>
      </w:r>
    </w:p>
    <w:p w14:paraId="59E6FF65" w14:textId="77777777" w:rsidR="004873ED" w:rsidRPr="004C0B3B" w:rsidRDefault="004873ED" w:rsidP="007653D9">
      <w:pPr>
        <w:pStyle w:val="Default"/>
        <w:ind w:left="851"/>
        <w:rPr>
          <w:rFonts w:ascii="Times New Roman" w:hAnsi="Times New Roman" w:cs="Times New Roman"/>
          <w:lang w:val="da-DK"/>
        </w:rPr>
      </w:pPr>
      <w:proofErr w:type="spellStart"/>
      <w:r w:rsidRPr="004C0B3B">
        <w:rPr>
          <w:rFonts w:ascii="Times New Roman" w:hAnsi="Times New Roman" w:cs="Times New Roman"/>
          <w:lang w:val="da-DK"/>
        </w:rPr>
        <w:t>Valproat</w:t>
      </w:r>
      <w:proofErr w:type="spellEnd"/>
      <w:r w:rsidRPr="004C0B3B">
        <w:rPr>
          <w:rFonts w:ascii="Times New Roman" w:hAnsi="Times New Roman" w:cs="Times New Roman"/>
          <w:lang w:val="da-DK"/>
        </w:rPr>
        <w:t xml:space="preserve"> kan fremkalde eller forværre kliniske tegn på underliggende </w:t>
      </w:r>
      <w:proofErr w:type="spellStart"/>
      <w:r w:rsidRPr="004C0B3B">
        <w:rPr>
          <w:rFonts w:ascii="Times New Roman" w:hAnsi="Times New Roman" w:cs="Times New Roman"/>
          <w:lang w:val="da-DK"/>
        </w:rPr>
        <w:t>mitokondrielle</w:t>
      </w:r>
      <w:proofErr w:type="spellEnd"/>
      <w:r w:rsidRPr="004C0B3B">
        <w:rPr>
          <w:rFonts w:ascii="Times New Roman" w:hAnsi="Times New Roman" w:cs="Times New Roman"/>
          <w:lang w:val="da-DK"/>
        </w:rPr>
        <w:t xml:space="preserve"> sygdomme forårsaget af mutationer i det </w:t>
      </w:r>
      <w:proofErr w:type="spellStart"/>
      <w:r w:rsidRPr="004C0B3B">
        <w:rPr>
          <w:rFonts w:ascii="Times New Roman" w:hAnsi="Times New Roman" w:cs="Times New Roman"/>
          <w:lang w:val="da-DK"/>
        </w:rPr>
        <w:t>mitokondrielle</w:t>
      </w:r>
      <w:proofErr w:type="spellEnd"/>
      <w:r w:rsidRPr="004C0B3B">
        <w:rPr>
          <w:rFonts w:ascii="Times New Roman" w:hAnsi="Times New Roman" w:cs="Times New Roman"/>
          <w:lang w:val="da-DK"/>
        </w:rPr>
        <w:t xml:space="preserve"> DNA og af POLG-genet, der kodes i cellekernen. Der er således øget hyppighed af indberetninger om </w:t>
      </w:r>
      <w:proofErr w:type="spellStart"/>
      <w:r w:rsidRPr="004C0B3B">
        <w:rPr>
          <w:rFonts w:ascii="Times New Roman" w:hAnsi="Times New Roman" w:cs="Times New Roman"/>
          <w:lang w:val="da-DK"/>
        </w:rPr>
        <w:t>valproat</w:t>
      </w:r>
      <w:proofErr w:type="spellEnd"/>
      <w:r w:rsidRPr="004C0B3B">
        <w:rPr>
          <w:rFonts w:ascii="Times New Roman" w:hAnsi="Times New Roman" w:cs="Times New Roman"/>
          <w:lang w:val="da-DK"/>
        </w:rPr>
        <w:t xml:space="preserve">-induceret akut leversvigt og leverrelaterede dødsfald hos patienter med hereditære </w:t>
      </w:r>
      <w:proofErr w:type="spellStart"/>
      <w:r w:rsidRPr="004C0B3B">
        <w:rPr>
          <w:rFonts w:ascii="Times New Roman" w:hAnsi="Times New Roman" w:cs="Times New Roman"/>
          <w:lang w:val="da-DK"/>
        </w:rPr>
        <w:t>neurometaboliske</w:t>
      </w:r>
      <w:proofErr w:type="spellEnd"/>
      <w:r w:rsidRPr="004C0B3B">
        <w:rPr>
          <w:rFonts w:ascii="Times New Roman" w:hAnsi="Times New Roman" w:cs="Times New Roman"/>
          <w:lang w:val="da-DK"/>
        </w:rPr>
        <w:t xml:space="preserve"> syndromer som følge af mutationer i genet for det </w:t>
      </w:r>
      <w:proofErr w:type="spellStart"/>
      <w:r w:rsidRPr="004C0B3B">
        <w:rPr>
          <w:rFonts w:ascii="Times New Roman" w:hAnsi="Times New Roman" w:cs="Times New Roman"/>
          <w:lang w:val="da-DK"/>
        </w:rPr>
        <w:t>mitokondrielle</w:t>
      </w:r>
      <w:proofErr w:type="spellEnd"/>
      <w:r w:rsidRPr="004C0B3B">
        <w:rPr>
          <w:rFonts w:ascii="Times New Roman" w:hAnsi="Times New Roman" w:cs="Times New Roman"/>
          <w:lang w:val="da-DK"/>
        </w:rPr>
        <w:t xml:space="preserve"> enzym polymerase γ (POLG), f.eks. Alpers-</w:t>
      </w:r>
      <w:proofErr w:type="spellStart"/>
      <w:r w:rsidRPr="004C0B3B">
        <w:rPr>
          <w:rFonts w:ascii="Times New Roman" w:hAnsi="Times New Roman" w:cs="Times New Roman"/>
          <w:lang w:val="da-DK"/>
        </w:rPr>
        <w:t>Huttenlocher</w:t>
      </w:r>
      <w:proofErr w:type="spellEnd"/>
      <w:r w:rsidRPr="004C0B3B">
        <w:rPr>
          <w:rFonts w:ascii="Times New Roman" w:hAnsi="Times New Roman" w:cs="Times New Roman"/>
          <w:lang w:val="da-DK"/>
        </w:rPr>
        <w:t xml:space="preserve"> syndrom. </w:t>
      </w:r>
    </w:p>
    <w:p w14:paraId="0DE0AEBF" w14:textId="77777777" w:rsidR="004873ED" w:rsidRPr="004C0B3B" w:rsidRDefault="004873ED" w:rsidP="007653D9">
      <w:pPr>
        <w:pStyle w:val="Default"/>
        <w:ind w:left="851"/>
        <w:rPr>
          <w:rFonts w:ascii="Times New Roman" w:hAnsi="Times New Roman" w:cs="Times New Roman"/>
          <w:lang w:val="da-DK"/>
        </w:rPr>
      </w:pPr>
    </w:p>
    <w:p w14:paraId="7F9C7BD2" w14:textId="77777777" w:rsidR="004873ED" w:rsidRPr="004C0B3B" w:rsidRDefault="004873ED" w:rsidP="007653D9">
      <w:pPr>
        <w:widowControl w:val="0"/>
        <w:autoSpaceDE w:val="0"/>
        <w:autoSpaceDN w:val="0"/>
        <w:adjustRightInd w:val="0"/>
        <w:ind w:left="851"/>
        <w:rPr>
          <w:sz w:val="24"/>
          <w:szCs w:val="24"/>
        </w:rPr>
      </w:pPr>
      <w:r w:rsidRPr="004C0B3B">
        <w:rPr>
          <w:sz w:val="24"/>
          <w:szCs w:val="24"/>
        </w:rPr>
        <w:t xml:space="preserve">POLG-relaterede sygdomme bør formodes ved familiær anamnese eller symptomer tydende på POLG-relateret sygdom, herunder, men ikke begrænset til, uforklarlig encefalopati, refraktær epilepsi (fokal, </w:t>
      </w:r>
      <w:proofErr w:type="spellStart"/>
      <w:r w:rsidRPr="004C0B3B">
        <w:rPr>
          <w:sz w:val="24"/>
          <w:szCs w:val="24"/>
        </w:rPr>
        <w:t>myoklonisk</w:t>
      </w:r>
      <w:proofErr w:type="spellEnd"/>
      <w:r w:rsidRPr="004C0B3B">
        <w:rPr>
          <w:sz w:val="24"/>
          <w:szCs w:val="24"/>
        </w:rPr>
        <w:t xml:space="preserve">), status </w:t>
      </w:r>
      <w:proofErr w:type="spellStart"/>
      <w:r w:rsidRPr="004C0B3B">
        <w:rPr>
          <w:sz w:val="24"/>
          <w:szCs w:val="24"/>
        </w:rPr>
        <w:t>epilepticus</w:t>
      </w:r>
      <w:proofErr w:type="spellEnd"/>
      <w:r w:rsidRPr="004C0B3B">
        <w:rPr>
          <w:sz w:val="24"/>
          <w:szCs w:val="24"/>
        </w:rPr>
        <w:t xml:space="preserve"> ved undersøgelse, forsinket udvikling, </w:t>
      </w:r>
      <w:proofErr w:type="spellStart"/>
      <w:r w:rsidRPr="004C0B3B">
        <w:rPr>
          <w:sz w:val="24"/>
          <w:szCs w:val="24"/>
        </w:rPr>
        <w:t>psykomotorisk</w:t>
      </w:r>
      <w:proofErr w:type="spellEnd"/>
      <w:r w:rsidRPr="004C0B3B">
        <w:rPr>
          <w:sz w:val="24"/>
          <w:szCs w:val="24"/>
        </w:rPr>
        <w:t xml:space="preserve"> regression, </w:t>
      </w:r>
      <w:proofErr w:type="spellStart"/>
      <w:r w:rsidRPr="004C0B3B">
        <w:rPr>
          <w:sz w:val="24"/>
          <w:szCs w:val="24"/>
        </w:rPr>
        <w:t>aksonal</w:t>
      </w:r>
      <w:proofErr w:type="spellEnd"/>
      <w:r w:rsidRPr="004C0B3B">
        <w:rPr>
          <w:sz w:val="24"/>
          <w:szCs w:val="24"/>
        </w:rPr>
        <w:t xml:space="preserve"> sensomotorisk </w:t>
      </w:r>
      <w:proofErr w:type="spellStart"/>
      <w:r w:rsidRPr="004C0B3B">
        <w:rPr>
          <w:sz w:val="24"/>
          <w:szCs w:val="24"/>
        </w:rPr>
        <w:t>neuropati</w:t>
      </w:r>
      <w:proofErr w:type="spellEnd"/>
      <w:r w:rsidRPr="004C0B3B">
        <w:rPr>
          <w:sz w:val="24"/>
          <w:szCs w:val="24"/>
        </w:rPr>
        <w:t xml:space="preserve">, </w:t>
      </w:r>
      <w:proofErr w:type="spellStart"/>
      <w:r w:rsidRPr="004C0B3B">
        <w:rPr>
          <w:sz w:val="24"/>
          <w:szCs w:val="24"/>
        </w:rPr>
        <w:t>myopati</w:t>
      </w:r>
      <w:proofErr w:type="spellEnd"/>
      <w:r w:rsidRPr="004C0B3B">
        <w:rPr>
          <w:sz w:val="24"/>
          <w:szCs w:val="24"/>
        </w:rPr>
        <w:t xml:space="preserve">, </w:t>
      </w:r>
      <w:proofErr w:type="spellStart"/>
      <w:r w:rsidRPr="004C0B3B">
        <w:rPr>
          <w:sz w:val="24"/>
          <w:szCs w:val="24"/>
        </w:rPr>
        <w:t>cerebellar</w:t>
      </w:r>
      <w:proofErr w:type="spellEnd"/>
      <w:r w:rsidRPr="004C0B3B">
        <w:rPr>
          <w:sz w:val="24"/>
          <w:szCs w:val="24"/>
        </w:rPr>
        <w:t xml:space="preserve"> </w:t>
      </w:r>
      <w:proofErr w:type="spellStart"/>
      <w:r w:rsidRPr="004C0B3B">
        <w:rPr>
          <w:sz w:val="24"/>
          <w:szCs w:val="24"/>
        </w:rPr>
        <w:t>ataksi</w:t>
      </w:r>
      <w:proofErr w:type="spellEnd"/>
      <w:r w:rsidRPr="004C0B3B">
        <w:rPr>
          <w:sz w:val="24"/>
          <w:szCs w:val="24"/>
        </w:rPr>
        <w:t xml:space="preserve">, </w:t>
      </w:r>
      <w:proofErr w:type="spellStart"/>
      <w:r w:rsidRPr="004C0B3B">
        <w:rPr>
          <w:sz w:val="24"/>
          <w:szCs w:val="24"/>
        </w:rPr>
        <w:t>oftalmoplegi</w:t>
      </w:r>
      <w:proofErr w:type="spellEnd"/>
      <w:r w:rsidRPr="004C0B3B">
        <w:rPr>
          <w:sz w:val="24"/>
          <w:szCs w:val="24"/>
        </w:rPr>
        <w:t xml:space="preserve"> eller kompliceret migræne med </w:t>
      </w:r>
      <w:proofErr w:type="spellStart"/>
      <w:r w:rsidRPr="004C0B3B">
        <w:rPr>
          <w:sz w:val="24"/>
          <w:szCs w:val="24"/>
        </w:rPr>
        <w:t>occipital</w:t>
      </w:r>
      <w:proofErr w:type="spellEnd"/>
      <w:r w:rsidRPr="004C0B3B">
        <w:rPr>
          <w:sz w:val="24"/>
          <w:szCs w:val="24"/>
        </w:rPr>
        <w:t xml:space="preserve"> aura. Der bør testes for POLG-mutation i henhold til gældende klinisk praksis for diagnostisk vurdering af sådanne sygdomme (se pkt. 4.3).</w:t>
      </w:r>
    </w:p>
    <w:p w14:paraId="31472E76" w14:textId="77777777" w:rsidR="00522563" w:rsidRPr="004C0B3B" w:rsidRDefault="00522563" w:rsidP="007653D9">
      <w:pPr>
        <w:widowControl w:val="0"/>
        <w:autoSpaceDE w:val="0"/>
        <w:autoSpaceDN w:val="0"/>
        <w:adjustRightInd w:val="0"/>
        <w:ind w:left="851"/>
        <w:rPr>
          <w:sz w:val="24"/>
          <w:szCs w:val="24"/>
        </w:rPr>
      </w:pPr>
    </w:p>
    <w:p w14:paraId="12CE326C" w14:textId="55CF5BCC" w:rsidR="00B746D6" w:rsidRPr="004C0B3B" w:rsidRDefault="00B746D6" w:rsidP="007653D9">
      <w:pPr>
        <w:widowControl w:val="0"/>
        <w:autoSpaceDE w:val="0"/>
        <w:autoSpaceDN w:val="0"/>
        <w:adjustRightInd w:val="0"/>
        <w:ind w:left="851"/>
        <w:rPr>
          <w:i/>
          <w:sz w:val="24"/>
          <w:szCs w:val="24"/>
          <w:lang w:eastAsia="da-DK"/>
        </w:rPr>
      </w:pPr>
      <w:r w:rsidRPr="004C0B3B">
        <w:rPr>
          <w:i/>
          <w:sz w:val="24"/>
          <w:szCs w:val="24"/>
        </w:rPr>
        <w:t>Østrogenholdige præparater</w:t>
      </w:r>
    </w:p>
    <w:p w14:paraId="0B710CA4" w14:textId="77777777" w:rsidR="00B746D6" w:rsidRPr="004C0B3B" w:rsidRDefault="00B746D6" w:rsidP="007653D9">
      <w:pPr>
        <w:ind w:left="851"/>
        <w:rPr>
          <w:sz w:val="24"/>
          <w:szCs w:val="24"/>
        </w:rPr>
      </w:pPr>
      <w:r w:rsidRPr="004C0B3B">
        <w:rPr>
          <w:sz w:val="24"/>
          <w:szCs w:val="24"/>
        </w:rPr>
        <w:t xml:space="preserve">Samtidig brug af østrogenholdige præparater, herunder østrogenholdige hormonelle præventionsmidler, kan potentielt resultere i nedsat effekt af </w:t>
      </w:r>
      <w:proofErr w:type="spellStart"/>
      <w:r w:rsidRPr="004C0B3B">
        <w:rPr>
          <w:sz w:val="24"/>
          <w:szCs w:val="24"/>
        </w:rPr>
        <w:t>valproat</w:t>
      </w:r>
      <w:proofErr w:type="spellEnd"/>
      <w:r w:rsidRPr="004C0B3B">
        <w:rPr>
          <w:sz w:val="24"/>
          <w:szCs w:val="24"/>
        </w:rPr>
        <w:t xml:space="preserve"> (se pkt. 4.5). Behandlende læger bør overvåge klinisk respons (kontrol af anfald eller sindstilstand) ved initiering eller ophør af østrogenholdige præparater. </w:t>
      </w:r>
    </w:p>
    <w:p w14:paraId="0AFE93EC" w14:textId="77777777" w:rsidR="00B746D6" w:rsidRPr="004C0B3B" w:rsidRDefault="00B746D6" w:rsidP="007653D9">
      <w:pPr>
        <w:ind w:left="851"/>
        <w:rPr>
          <w:sz w:val="24"/>
          <w:szCs w:val="24"/>
        </w:rPr>
      </w:pPr>
    </w:p>
    <w:p w14:paraId="637D7BE1" w14:textId="77777777" w:rsidR="00B746D6" w:rsidRPr="004C0B3B" w:rsidRDefault="00B746D6" w:rsidP="00B746D6">
      <w:pPr>
        <w:widowControl w:val="0"/>
        <w:autoSpaceDE w:val="0"/>
        <w:autoSpaceDN w:val="0"/>
        <w:adjustRightInd w:val="0"/>
        <w:ind w:left="851"/>
        <w:rPr>
          <w:sz w:val="24"/>
          <w:szCs w:val="24"/>
        </w:rPr>
      </w:pPr>
      <w:r w:rsidRPr="004C0B3B">
        <w:rPr>
          <w:sz w:val="24"/>
          <w:szCs w:val="24"/>
        </w:rPr>
        <w:t xml:space="preserve">Omvendt nedsætter </w:t>
      </w:r>
      <w:proofErr w:type="spellStart"/>
      <w:r w:rsidRPr="004C0B3B">
        <w:rPr>
          <w:sz w:val="24"/>
          <w:szCs w:val="24"/>
        </w:rPr>
        <w:t>valproat</w:t>
      </w:r>
      <w:proofErr w:type="spellEnd"/>
      <w:r w:rsidRPr="004C0B3B">
        <w:rPr>
          <w:sz w:val="24"/>
          <w:szCs w:val="24"/>
        </w:rPr>
        <w:t xml:space="preserve"> ikke effekt af hormonelle præventionsmidler.</w:t>
      </w:r>
    </w:p>
    <w:p w14:paraId="60065AF3" w14:textId="77777777" w:rsidR="00B746D6" w:rsidRPr="004C0B3B" w:rsidRDefault="00B746D6" w:rsidP="00B746D6">
      <w:pPr>
        <w:widowControl w:val="0"/>
        <w:autoSpaceDE w:val="0"/>
        <w:autoSpaceDN w:val="0"/>
        <w:adjustRightInd w:val="0"/>
        <w:ind w:left="851"/>
        <w:rPr>
          <w:sz w:val="24"/>
          <w:szCs w:val="24"/>
        </w:rPr>
      </w:pPr>
    </w:p>
    <w:p w14:paraId="6EDC11EA" w14:textId="77777777" w:rsidR="00B746D6" w:rsidRPr="004C0B3B" w:rsidRDefault="00B746D6" w:rsidP="00B746D6">
      <w:pPr>
        <w:widowControl w:val="0"/>
        <w:autoSpaceDE w:val="0"/>
        <w:autoSpaceDN w:val="0"/>
        <w:adjustRightInd w:val="0"/>
        <w:ind w:left="851"/>
        <w:rPr>
          <w:sz w:val="24"/>
          <w:szCs w:val="24"/>
          <w:u w:val="single"/>
        </w:rPr>
      </w:pPr>
      <w:r w:rsidRPr="004C0B3B">
        <w:rPr>
          <w:sz w:val="24"/>
          <w:szCs w:val="24"/>
          <w:u w:val="single"/>
        </w:rPr>
        <w:t>Natriumindhold</w:t>
      </w:r>
    </w:p>
    <w:p w14:paraId="0BA81E98" w14:textId="77777777" w:rsidR="00B746D6" w:rsidRPr="004C0B3B" w:rsidRDefault="00B746D6" w:rsidP="00B746D6">
      <w:pPr>
        <w:widowControl w:val="0"/>
        <w:autoSpaceDE w:val="0"/>
        <w:autoSpaceDN w:val="0"/>
        <w:adjustRightInd w:val="0"/>
        <w:ind w:left="851"/>
        <w:rPr>
          <w:sz w:val="24"/>
          <w:szCs w:val="24"/>
        </w:rPr>
      </w:pPr>
      <w:proofErr w:type="spellStart"/>
      <w:r w:rsidRPr="004C0B3B">
        <w:rPr>
          <w:sz w:val="24"/>
          <w:szCs w:val="24"/>
        </w:rPr>
        <w:t>Orfiril</w:t>
      </w:r>
      <w:proofErr w:type="spellEnd"/>
      <w:r w:rsidRPr="004C0B3B">
        <w:rPr>
          <w:sz w:val="24"/>
          <w:szCs w:val="24"/>
        </w:rPr>
        <w:t xml:space="preserve"> Long 150 mg depotkapsler: Dette lægemiddel indeholder mindre end 1 mmol (23 mg) natrium pr. kapsel, dvs. det er i det væsentlige natriumfrit.</w:t>
      </w:r>
    </w:p>
    <w:p w14:paraId="65269B3D" w14:textId="77777777" w:rsidR="007653D9" w:rsidRDefault="00B746D6" w:rsidP="007653D9">
      <w:pPr>
        <w:widowControl w:val="0"/>
        <w:autoSpaceDE w:val="0"/>
        <w:autoSpaceDN w:val="0"/>
        <w:adjustRightInd w:val="0"/>
        <w:ind w:left="851"/>
        <w:rPr>
          <w:sz w:val="24"/>
          <w:szCs w:val="24"/>
        </w:rPr>
      </w:pPr>
      <w:proofErr w:type="spellStart"/>
      <w:r w:rsidRPr="004C0B3B">
        <w:rPr>
          <w:sz w:val="24"/>
          <w:szCs w:val="24"/>
        </w:rPr>
        <w:t>Orfiril</w:t>
      </w:r>
      <w:proofErr w:type="spellEnd"/>
      <w:r w:rsidRPr="004C0B3B">
        <w:rPr>
          <w:sz w:val="24"/>
          <w:szCs w:val="24"/>
        </w:rPr>
        <w:t xml:space="preserve"> Long 300 mg depotkapsler: Dette lægemiddel indeholder 41,4 mg natrium pr. kapsel, svarende til 2 % af den af WHO anbefalede maksimale daglige indtagelse af 2 g natrium for en voksen.</w:t>
      </w:r>
    </w:p>
    <w:p w14:paraId="4A39FF9B" w14:textId="77777777" w:rsidR="007653D9" w:rsidRDefault="007653D9" w:rsidP="007653D9">
      <w:pPr>
        <w:widowControl w:val="0"/>
        <w:autoSpaceDE w:val="0"/>
        <w:autoSpaceDN w:val="0"/>
        <w:adjustRightInd w:val="0"/>
        <w:ind w:left="851"/>
        <w:rPr>
          <w:sz w:val="24"/>
          <w:szCs w:val="24"/>
        </w:rPr>
      </w:pPr>
    </w:p>
    <w:p w14:paraId="19516E32" w14:textId="151E65F4" w:rsidR="007653D9" w:rsidRPr="00C84483" w:rsidRDefault="007653D9" w:rsidP="007653D9">
      <w:pPr>
        <w:widowControl w:val="0"/>
        <w:autoSpaceDE w:val="0"/>
        <w:autoSpaceDN w:val="0"/>
        <w:adjustRightInd w:val="0"/>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633130D" w14:textId="77777777" w:rsidR="00B33DDB" w:rsidRDefault="00B33DDB" w:rsidP="004873ED">
      <w:pPr>
        <w:ind w:left="851"/>
        <w:jc w:val="both"/>
        <w:rPr>
          <w:sz w:val="24"/>
          <w:szCs w:val="24"/>
          <w:u w:val="single"/>
        </w:rPr>
      </w:pPr>
    </w:p>
    <w:p w14:paraId="5DA01D45" w14:textId="77C7C73B" w:rsidR="004873ED" w:rsidRPr="004C0B3B" w:rsidRDefault="004873ED" w:rsidP="004873ED">
      <w:pPr>
        <w:ind w:left="851"/>
        <w:jc w:val="both"/>
        <w:rPr>
          <w:sz w:val="24"/>
          <w:szCs w:val="24"/>
          <w:u w:val="single"/>
        </w:rPr>
      </w:pPr>
      <w:proofErr w:type="spellStart"/>
      <w:r w:rsidRPr="004C0B3B">
        <w:rPr>
          <w:sz w:val="24"/>
          <w:szCs w:val="24"/>
          <w:u w:val="single"/>
        </w:rPr>
        <w:t>Valproats</w:t>
      </w:r>
      <w:proofErr w:type="spellEnd"/>
      <w:r w:rsidRPr="004C0B3B">
        <w:rPr>
          <w:sz w:val="24"/>
          <w:szCs w:val="24"/>
          <w:u w:val="single"/>
        </w:rPr>
        <w:t xml:space="preserve"> effekt på andre lægemidler</w:t>
      </w:r>
    </w:p>
    <w:p w14:paraId="628FC1D9" w14:textId="77777777" w:rsidR="004873ED" w:rsidRPr="004C0B3B" w:rsidRDefault="004873ED" w:rsidP="004873ED">
      <w:pPr>
        <w:ind w:left="851"/>
        <w:jc w:val="both"/>
        <w:rPr>
          <w:i/>
          <w:sz w:val="24"/>
          <w:szCs w:val="24"/>
        </w:rPr>
      </w:pPr>
    </w:p>
    <w:p w14:paraId="400C7D3F" w14:textId="77777777" w:rsidR="004873ED" w:rsidRPr="004C0B3B" w:rsidRDefault="004873ED" w:rsidP="004873ED">
      <w:pPr>
        <w:ind w:left="851"/>
        <w:jc w:val="both"/>
        <w:rPr>
          <w:i/>
          <w:sz w:val="24"/>
          <w:szCs w:val="24"/>
        </w:rPr>
      </w:pPr>
      <w:proofErr w:type="spellStart"/>
      <w:r w:rsidRPr="004C0B3B">
        <w:rPr>
          <w:i/>
          <w:sz w:val="24"/>
          <w:szCs w:val="24"/>
        </w:rPr>
        <w:t>Cisplatin</w:t>
      </w:r>
      <w:proofErr w:type="spellEnd"/>
    </w:p>
    <w:p w14:paraId="3A2DA471" w14:textId="77777777" w:rsidR="004873ED" w:rsidRPr="004C0B3B" w:rsidRDefault="004873ED" w:rsidP="004873ED">
      <w:pPr>
        <w:ind w:left="851"/>
        <w:rPr>
          <w:sz w:val="24"/>
          <w:szCs w:val="24"/>
        </w:rPr>
      </w:pPr>
      <w:r w:rsidRPr="004C0B3B">
        <w:rPr>
          <w:sz w:val="24"/>
          <w:szCs w:val="24"/>
        </w:rPr>
        <w:t xml:space="preserve">Kombination af </w:t>
      </w:r>
      <w:proofErr w:type="spellStart"/>
      <w:r w:rsidRPr="004C0B3B">
        <w:rPr>
          <w:sz w:val="24"/>
          <w:szCs w:val="24"/>
        </w:rPr>
        <w:t>valproat</w:t>
      </w:r>
      <w:proofErr w:type="spellEnd"/>
      <w:r w:rsidRPr="004C0B3B">
        <w:rPr>
          <w:sz w:val="24"/>
          <w:szCs w:val="24"/>
        </w:rPr>
        <w:t xml:space="preserve"> og </w:t>
      </w:r>
      <w:proofErr w:type="spellStart"/>
      <w:r w:rsidRPr="004C0B3B">
        <w:rPr>
          <w:sz w:val="24"/>
          <w:szCs w:val="24"/>
        </w:rPr>
        <w:t>cisplatin</w:t>
      </w:r>
      <w:proofErr w:type="spellEnd"/>
      <w:r w:rsidRPr="004C0B3B">
        <w:rPr>
          <w:sz w:val="24"/>
          <w:szCs w:val="24"/>
        </w:rPr>
        <w:t xml:space="preserve"> øger risikoen for </w:t>
      </w:r>
      <w:proofErr w:type="spellStart"/>
      <w:r w:rsidRPr="004C0B3B">
        <w:rPr>
          <w:sz w:val="24"/>
          <w:szCs w:val="24"/>
        </w:rPr>
        <w:t>cisplatins</w:t>
      </w:r>
      <w:proofErr w:type="spellEnd"/>
      <w:r w:rsidRPr="004C0B3B">
        <w:rPr>
          <w:sz w:val="24"/>
          <w:szCs w:val="24"/>
        </w:rPr>
        <w:t xml:space="preserve"> knoglemarvspåvirkning. Kombinationen bør undgås.</w:t>
      </w:r>
    </w:p>
    <w:p w14:paraId="040A52A1" w14:textId="77777777" w:rsidR="004873ED" w:rsidRPr="004C0B3B" w:rsidRDefault="004873ED" w:rsidP="004873ED">
      <w:pPr>
        <w:ind w:left="851"/>
        <w:jc w:val="both"/>
        <w:rPr>
          <w:sz w:val="24"/>
          <w:szCs w:val="24"/>
          <w:u w:val="single"/>
        </w:rPr>
      </w:pPr>
    </w:p>
    <w:p w14:paraId="1B109A38" w14:textId="77777777" w:rsidR="004873ED" w:rsidRPr="004C0B3B" w:rsidRDefault="004873ED" w:rsidP="004873ED">
      <w:pPr>
        <w:pStyle w:val="Overskrift3"/>
        <w:spacing w:before="0" w:after="0"/>
        <w:ind w:left="851"/>
        <w:rPr>
          <w:rFonts w:ascii="Times New Roman" w:hAnsi="Times New Roman"/>
          <w:b/>
          <w:szCs w:val="24"/>
        </w:rPr>
      </w:pPr>
      <w:r w:rsidRPr="004C0B3B">
        <w:rPr>
          <w:rFonts w:ascii="Times New Roman" w:hAnsi="Times New Roman"/>
          <w:i/>
          <w:szCs w:val="24"/>
        </w:rPr>
        <w:t>Antipsykotika, MAO-</w:t>
      </w:r>
      <w:proofErr w:type="spellStart"/>
      <w:r w:rsidRPr="004C0B3B">
        <w:rPr>
          <w:rFonts w:ascii="Times New Roman" w:hAnsi="Times New Roman"/>
          <w:i/>
          <w:szCs w:val="24"/>
        </w:rPr>
        <w:t>hæmmere</w:t>
      </w:r>
      <w:proofErr w:type="spellEnd"/>
      <w:r w:rsidRPr="004C0B3B">
        <w:rPr>
          <w:rFonts w:ascii="Times New Roman" w:hAnsi="Times New Roman"/>
          <w:i/>
          <w:szCs w:val="24"/>
        </w:rPr>
        <w:t xml:space="preserve">, </w:t>
      </w:r>
      <w:proofErr w:type="spellStart"/>
      <w:r w:rsidRPr="004C0B3B">
        <w:rPr>
          <w:rFonts w:ascii="Times New Roman" w:hAnsi="Times New Roman"/>
          <w:i/>
          <w:szCs w:val="24"/>
        </w:rPr>
        <w:t>antidepressiva</w:t>
      </w:r>
      <w:proofErr w:type="spellEnd"/>
      <w:r w:rsidRPr="004C0B3B">
        <w:rPr>
          <w:rFonts w:ascii="Times New Roman" w:hAnsi="Times New Roman"/>
          <w:i/>
          <w:szCs w:val="24"/>
        </w:rPr>
        <w:t xml:space="preserve"> og benzodiazepiner</w:t>
      </w:r>
      <w:r w:rsidRPr="004C0B3B">
        <w:rPr>
          <w:rFonts w:ascii="Times New Roman" w:hAnsi="Times New Roman"/>
          <w:szCs w:val="24"/>
        </w:rPr>
        <w:t xml:space="preserve"> </w:t>
      </w:r>
    </w:p>
    <w:p w14:paraId="66F924DE" w14:textId="77777777" w:rsidR="004873ED" w:rsidRPr="004C0B3B" w:rsidRDefault="004873ED" w:rsidP="004873ED">
      <w:pPr>
        <w:ind w:left="851"/>
        <w:rPr>
          <w:i/>
          <w:color w:val="800080"/>
          <w:sz w:val="24"/>
          <w:szCs w:val="24"/>
        </w:rPr>
      </w:pPr>
      <w:proofErr w:type="spellStart"/>
      <w:r w:rsidRPr="004C0B3B">
        <w:rPr>
          <w:sz w:val="24"/>
          <w:szCs w:val="24"/>
        </w:rPr>
        <w:t>Valproat</w:t>
      </w:r>
      <w:proofErr w:type="spellEnd"/>
      <w:r w:rsidRPr="004C0B3B">
        <w:rPr>
          <w:sz w:val="24"/>
          <w:szCs w:val="24"/>
        </w:rPr>
        <w:t xml:space="preserve"> potenserer muligvis effekten af andre psykofarmaka som antipsykotika, MAO-</w:t>
      </w:r>
      <w:proofErr w:type="spellStart"/>
      <w:r w:rsidRPr="004C0B3B">
        <w:rPr>
          <w:sz w:val="24"/>
          <w:szCs w:val="24"/>
        </w:rPr>
        <w:t>hæmmere</w:t>
      </w:r>
      <w:proofErr w:type="spellEnd"/>
      <w:r w:rsidRPr="004C0B3B">
        <w:rPr>
          <w:sz w:val="24"/>
          <w:szCs w:val="24"/>
        </w:rPr>
        <w:t xml:space="preserve">, </w:t>
      </w:r>
      <w:proofErr w:type="spellStart"/>
      <w:r w:rsidRPr="004C0B3B">
        <w:rPr>
          <w:sz w:val="24"/>
          <w:szCs w:val="24"/>
        </w:rPr>
        <w:t>antidepressiva</w:t>
      </w:r>
      <w:proofErr w:type="spellEnd"/>
      <w:r w:rsidRPr="004C0B3B">
        <w:rPr>
          <w:sz w:val="24"/>
          <w:szCs w:val="24"/>
        </w:rPr>
        <w:t xml:space="preserve"> og benzodiazepiner. Det anbefales derfor at foretage en klinisk monitorering. Der skal foretages dosisjustering af disse lægemidler efter behov.</w:t>
      </w:r>
    </w:p>
    <w:p w14:paraId="7F084045" w14:textId="77777777" w:rsidR="004873ED" w:rsidRPr="004C0B3B" w:rsidRDefault="004873ED" w:rsidP="004873ED">
      <w:pPr>
        <w:ind w:left="851"/>
        <w:jc w:val="both"/>
        <w:rPr>
          <w:sz w:val="24"/>
          <w:szCs w:val="24"/>
        </w:rPr>
      </w:pPr>
    </w:p>
    <w:p w14:paraId="7A969F48" w14:textId="77777777" w:rsidR="00522563" w:rsidRPr="004C0B3B" w:rsidRDefault="00522563" w:rsidP="00522563">
      <w:pPr>
        <w:ind w:left="851"/>
        <w:rPr>
          <w:i/>
          <w:sz w:val="24"/>
          <w:szCs w:val="24"/>
        </w:rPr>
      </w:pPr>
      <w:proofErr w:type="spellStart"/>
      <w:r w:rsidRPr="004C0B3B">
        <w:rPr>
          <w:i/>
          <w:sz w:val="24"/>
          <w:szCs w:val="24"/>
        </w:rPr>
        <w:t>Diazepam</w:t>
      </w:r>
      <w:proofErr w:type="spellEnd"/>
    </w:p>
    <w:p w14:paraId="7F69960C" w14:textId="77777777" w:rsidR="00522563" w:rsidRPr="004C0B3B" w:rsidRDefault="00522563" w:rsidP="00522563">
      <w:pPr>
        <w:ind w:left="851"/>
        <w:rPr>
          <w:sz w:val="24"/>
          <w:szCs w:val="24"/>
        </w:rPr>
      </w:pPr>
      <w:r w:rsidRPr="004C0B3B">
        <w:rPr>
          <w:sz w:val="24"/>
          <w:szCs w:val="24"/>
        </w:rPr>
        <w:t xml:space="preserve">Hos raske forsøgspersoner fortrænger </w:t>
      </w:r>
      <w:proofErr w:type="spellStart"/>
      <w:r w:rsidRPr="004C0B3B">
        <w:rPr>
          <w:sz w:val="24"/>
          <w:szCs w:val="24"/>
        </w:rPr>
        <w:t>valproat</w:t>
      </w:r>
      <w:proofErr w:type="spellEnd"/>
      <w:r w:rsidRPr="004C0B3B">
        <w:rPr>
          <w:sz w:val="24"/>
          <w:szCs w:val="24"/>
        </w:rPr>
        <w:t xml:space="preserve"> </w:t>
      </w:r>
      <w:proofErr w:type="spellStart"/>
      <w:r w:rsidRPr="004C0B3B">
        <w:rPr>
          <w:sz w:val="24"/>
          <w:szCs w:val="24"/>
        </w:rPr>
        <w:t>diazepam</w:t>
      </w:r>
      <w:proofErr w:type="spellEnd"/>
      <w:r w:rsidRPr="004C0B3B">
        <w:rPr>
          <w:sz w:val="24"/>
          <w:szCs w:val="24"/>
        </w:rPr>
        <w:t xml:space="preserve"> fra plasmaalbuminbindingen og hæmmer </w:t>
      </w:r>
      <w:proofErr w:type="spellStart"/>
      <w:r w:rsidRPr="004C0B3B">
        <w:rPr>
          <w:sz w:val="24"/>
          <w:szCs w:val="24"/>
        </w:rPr>
        <w:t>diazepams</w:t>
      </w:r>
      <w:proofErr w:type="spellEnd"/>
      <w:r w:rsidRPr="004C0B3B">
        <w:rPr>
          <w:sz w:val="24"/>
          <w:szCs w:val="24"/>
        </w:rPr>
        <w:t xml:space="preserve"> metabolisme. I kombinationsbehandling kan koncentrationen af ubundet </w:t>
      </w:r>
      <w:proofErr w:type="spellStart"/>
      <w:r w:rsidRPr="004C0B3B">
        <w:rPr>
          <w:sz w:val="24"/>
          <w:szCs w:val="24"/>
        </w:rPr>
        <w:t>diazepam</w:t>
      </w:r>
      <w:proofErr w:type="spellEnd"/>
      <w:r w:rsidRPr="004C0B3B">
        <w:rPr>
          <w:sz w:val="24"/>
          <w:szCs w:val="24"/>
        </w:rPr>
        <w:t xml:space="preserve"> øges og plasmaudskillelsen og fordelingsvolumen af den frie </w:t>
      </w:r>
      <w:proofErr w:type="spellStart"/>
      <w:r w:rsidRPr="004C0B3B">
        <w:rPr>
          <w:sz w:val="24"/>
          <w:szCs w:val="24"/>
        </w:rPr>
        <w:t>diazepam</w:t>
      </w:r>
      <w:proofErr w:type="spellEnd"/>
      <w:r w:rsidRPr="004C0B3B">
        <w:rPr>
          <w:sz w:val="24"/>
          <w:szCs w:val="24"/>
        </w:rPr>
        <w:t xml:space="preserve"> fraktion sænkes (med henholdsvis 25 % og 20 %). Halveringstiden forbliver dog uændret. </w:t>
      </w:r>
    </w:p>
    <w:p w14:paraId="10AE452C" w14:textId="77777777" w:rsidR="004873ED" w:rsidRPr="004C0B3B" w:rsidRDefault="004873ED" w:rsidP="004873ED">
      <w:pPr>
        <w:ind w:left="851"/>
        <w:jc w:val="both"/>
        <w:rPr>
          <w:sz w:val="24"/>
          <w:szCs w:val="24"/>
        </w:rPr>
      </w:pPr>
    </w:p>
    <w:p w14:paraId="08A05160" w14:textId="77777777" w:rsidR="004873ED" w:rsidRPr="004C0B3B" w:rsidRDefault="004873ED" w:rsidP="004873ED">
      <w:pPr>
        <w:ind w:left="851"/>
        <w:rPr>
          <w:i/>
          <w:sz w:val="24"/>
          <w:szCs w:val="24"/>
        </w:rPr>
      </w:pPr>
      <w:proofErr w:type="spellStart"/>
      <w:r w:rsidRPr="004C0B3B">
        <w:rPr>
          <w:i/>
          <w:sz w:val="24"/>
          <w:szCs w:val="24"/>
        </w:rPr>
        <w:t>Lorazepam</w:t>
      </w:r>
      <w:proofErr w:type="spellEnd"/>
      <w:r w:rsidRPr="004C0B3B">
        <w:rPr>
          <w:i/>
          <w:sz w:val="24"/>
          <w:szCs w:val="24"/>
        </w:rPr>
        <w:t xml:space="preserve"> og </w:t>
      </w:r>
      <w:proofErr w:type="spellStart"/>
      <w:r w:rsidRPr="004C0B3B">
        <w:rPr>
          <w:i/>
          <w:sz w:val="24"/>
          <w:szCs w:val="24"/>
        </w:rPr>
        <w:t>clonazepam</w:t>
      </w:r>
      <w:proofErr w:type="spellEnd"/>
    </w:p>
    <w:p w14:paraId="095E7FAF" w14:textId="77777777" w:rsidR="004873ED" w:rsidRPr="004C0B3B" w:rsidRDefault="004873ED" w:rsidP="004873ED">
      <w:pPr>
        <w:ind w:left="851"/>
        <w:rPr>
          <w:sz w:val="24"/>
          <w:szCs w:val="24"/>
        </w:rPr>
      </w:pPr>
      <w:r w:rsidRPr="004C0B3B">
        <w:rPr>
          <w:sz w:val="24"/>
          <w:szCs w:val="24"/>
        </w:rPr>
        <w:t xml:space="preserve">Hos raske individer fører samtidig behandling med </w:t>
      </w:r>
      <w:proofErr w:type="spellStart"/>
      <w:r w:rsidRPr="004C0B3B">
        <w:rPr>
          <w:sz w:val="24"/>
          <w:szCs w:val="24"/>
        </w:rPr>
        <w:t>valproat</w:t>
      </w:r>
      <w:proofErr w:type="spellEnd"/>
      <w:r w:rsidRPr="004C0B3B">
        <w:rPr>
          <w:sz w:val="24"/>
          <w:szCs w:val="24"/>
        </w:rPr>
        <w:t xml:space="preserve"> og </w:t>
      </w:r>
      <w:proofErr w:type="spellStart"/>
      <w:r w:rsidRPr="004C0B3B">
        <w:rPr>
          <w:sz w:val="24"/>
          <w:szCs w:val="24"/>
        </w:rPr>
        <w:t>lorazepam</w:t>
      </w:r>
      <w:proofErr w:type="spellEnd"/>
      <w:r w:rsidRPr="004C0B3B">
        <w:rPr>
          <w:sz w:val="24"/>
          <w:szCs w:val="24"/>
        </w:rPr>
        <w:t xml:space="preserve"> til en reduktion i plasmaudskillelsen af </w:t>
      </w:r>
      <w:proofErr w:type="spellStart"/>
      <w:r w:rsidRPr="004C0B3B">
        <w:rPr>
          <w:sz w:val="24"/>
          <w:szCs w:val="24"/>
        </w:rPr>
        <w:t>lorazepam</w:t>
      </w:r>
      <w:proofErr w:type="spellEnd"/>
      <w:r w:rsidRPr="004C0B3B">
        <w:rPr>
          <w:sz w:val="24"/>
          <w:szCs w:val="24"/>
        </w:rPr>
        <w:t xml:space="preserve"> med op til 40 %.</w:t>
      </w:r>
    </w:p>
    <w:p w14:paraId="09550BB5" w14:textId="77777777" w:rsidR="004873ED" w:rsidRPr="004C0B3B" w:rsidRDefault="004873ED" w:rsidP="004873ED">
      <w:pPr>
        <w:ind w:left="851"/>
        <w:rPr>
          <w:i/>
          <w:color w:val="800080"/>
          <w:sz w:val="24"/>
          <w:szCs w:val="24"/>
        </w:rPr>
      </w:pPr>
      <w:r w:rsidRPr="004C0B3B">
        <w:rPr>
          <w:sz w:val="24"/>
          <w:szCs w:val="24"/>
        </w:rPr>
        <w:t xml:space="preserve">Serumniveauet af </w:t>
      </w:r>
      <w:proofErr w:type="spellStart"/>
      <w:r w:rsidRPr="004C0B3B">
        <w:rPr>
          <w:sz w:val="24"/>
          <w:szCs w:val="24"/>
        </w:rPr>
        <w:t>phenytoin</w:t>
      </w:r>
      <w:proofErr w:type="spellEnd"/>
      <w:r w:rsidRPr="004C0B3B">
        <w:rPr>
          <w:sz w:val="24"/>
          <w:szCs w:val="24"/>
        </w:rPr>
        <w:t xml:space="preserve"> hos børn kan forøges efter samtidig administration af </w:t>
      </w:r>
      <w:proofErr w:type="spellStart"/>
      <w:r w:rsidRPr="004C0B3B">
        <w:rPr>
          <w:sz w:val="24"/>
          <w:szCs w:val="24"/>
        </w:rPr>
        <w:t>clonazepam</w:t>
      </w:r>
      <w:proofErr w:type="spellEnd"/>
      <w:r w:rsidRPr="004C0B3B">
        <w:rPr>
          <w:sz w:val="24"/>
          <w:szCs w:val="24"/>
        </w:rPr>
        <w:t xml:space="preserve"> og </w:t>
      </w:r>
      <w:proofErr w:type="spellStart"/>
      <w:r w:rsidRPr="004C0B3B">
        <w:rPr>
          <w:sz w:val="24"/>
          <w:szCs w:val="24"/>
        </w:rPr>
        <w:t>valproat</w:t>
      </w:r>
      <w:proofErr w:type="spellEnd"/>
      <w:r w:rsidRPr="004C0B3B">
        <w:rPr>
          <w:sz w:val="24"/>
          <w:szCs w:val="24"/>
        </w:rPr>
        <w:t xml:space="preserve">. </w:t>
      </w:r>
    </w:p>
    <w:p w14:paraId="1EAEDBE6" w14:textId="77777777" w:rsidR="004873ED" w:rsidRPr="004C0B3B" w:rsidRDefault="004873ED" w:rsidP="004873ED">
      <w:pPr>
        <w:ind w:left="851"/>
        <w:rPr>
          <w:i/>
          <w:sz w:val="24"/>
          <w:szCs w:val="24"/>
        </w:rPr>
      </w:pPr>
    </w:p>
    <w:p w14:paraId="3536C26C" w14:textId="77777777" w:rsidR="004873ED" w:rsidRPr="004C0B3B" w:rsidRDefault="004873ED" w:rsidP="004873ED">
      <w:pPr>
        <w:ind w:left="851"/>
        <w:rPr>
          <w:sz w:val="24"/>
          <w:szCs w:val="24"/>
        </w:rPr>
      </w:pPr>
      <w:proofErr w:type="spellStart"/>
      <w:r w:rsidRPr="004C0B3B">
        <w:rPr>
          <w:i/>
          <w:sz w:val="24"/>
          <w:szCs w:val="24"/>
        </w:rPr>
        <w:t>Phenobarbital</w:t>
      </w:r>
      <w:proofErr w:type="spellEnd"/>
    </w:p>
    <w:p w14:paraId="10CD8819" w14:textId="77777777" w:rsidR="004873ED" w:rsidRPr="004C0B3B" w:rsidRDefault="004873ED" w:rsidP="004873ED">
      <w:pPr>
        <w:ind w:left="851"/>
        <w:rPr>
          <w:sz w:val="24"/>
          <w:szCs w:val="24"/>
        </w:rPr>
      </w:pPr>
      <w:proofErr w:type="spellStart"/>
      <w:r w:rsidRPr="004C0B3B">
        <w:rPr>
          <w:sz w:val="24"/>
          <w:szCs w:val="24"/>
        </w:rPr>
        <w:t>Valproat</w:t>
      </w:r>
      <w:proofErr w:type="spellEnd"/>
      <w:r w:rsidRPr="004C0B3B">
        <w:rPr>
          <w:sz w:val="24"/>
          <w:szCs w:val="24"/>
        </w:rPr>
        <w:t xml:space="preserve"> øger plasmakoncentrationen af </w:t>
      </w:r>
      <w:proofErr w:type="spellStart"/>
      <w:r w:rsidRPr="004C0B3B">
        <w:rPr>
          <w:sz w:val="24"/>
          <w:szCs w:val="24"/>
        </w:rPr>
        <w:t>phenobarbital</w:t>
      </w:r>
      <w:proofErr w:type="spellEnd"/>
      <w:r w:rsidRPr="004C0B3B">
        <w:rPr>
          <w:sz w:val="24"/>
          <w:szCs w:val="24"/>
        </w:rPr>
        <w:t xml:space="preserve"> (</w:t>
      </w:r>
      <w:proofErr w:type="spellStart"/>
      <w:r w:rsidRPr="004C0B3B">
        <w:rPr>
          <w:sz w:val="24"/>
          <w:szCs w:val="24"/>
        </w:rPr>
        <w:t>valproat</w:t>
      </w:r>
      <w:proofErr w:type="spellEnd"/>
      <w:r w:rsidRPr="004C0B3B">
        <w:rPr>
          <w:sz w:val="24"/>
          <w:szCs w:val="24"/>
        </w:rPr>
        <w:t xml:space="preserve"> hæmmer den enzymatiske metabolisme og dermed </w:t>
      </w:r>
      <w:proofErr w:type="spellStart"/>
      <w:r w:rsidRPr="004C0B3B">
        <w:rPr>
          <w:sz w:val="24"/>
          <w:szCs w:val="24"/>
        </w:rPr>
        <w:t>clearance</w:t>
      </w:r>
      <w:proofErr w:type="spellEnd"/>
      <w:r w:rsidRPr="004C0B3B">
        <w:rPr>
          <w:sz w:val="24"/>
          <w:szCs w:val="24"/>
        </w:rPr>
        <w:t xml:space="preserve"> af </w:t>
      </w:r>
      <w:proofErr w:type="spellStart"/>
      <w:r w:rsidRPr="004C0B3B">
        <w:rPr>
          <w:sz w:val="24"/>
          <w:szCs w:val="24"/>
        </w:rPr>
        <w:t>phenobarbital</w:t>
      </w:r>
      <w:proofErr w:type="spellEnd"/>
      <w:r w:rsidRPr="004C0B3B">
        <w:rPr>
          <w:sz w:val="24"/>
          <w:szCs w:val="24"/>
        </w:rPr>
        <w:t xml:space="preserve">), og der kan forekomme sedation, især hos børn. Klinisk monitorering anbefales derfor under de første 15 dages kombinationsbehandling samt øjeblikkelig dosisreduktion af </w:t>
      </w:r>
      <w:proofErr w:type="spellStart"/>
      <w:r w:rsidRPr="004C0B3B">
        <w:rPr>
          <w:sz w:val="24"/>
          <w:szCs w:val="24"/>
        </w:rPr>
        <w:t>phenobarbital</w:t>
      </w:r>
      <w:proofErr w:type="spellEnd"/>
      <w:r w:rsidRPr="004C0B3B">
        <w:rPr>
          <w:sz w:val="24"/>
          <w:szCs w:val="24"/>
        </w:rPr>
        <w:t xml:space="preserve">, hvis der indtræffer sedation. Plasmaniveauet af </w:t>
      </w:r>
      <w:proofErr w:type="spellStart"/>
      <w:r w:rsidRPr="004C0B3B">
        <w:rPr>
          <w:sz w:val="24"/>
          <w:szCs w:val="24"/>
        </w:rPr>
        <w:t>phenobarbital</w:t>
      </w:r>
      <w:proofErr w:type="spellEnd"/>
      <w:r w:rsidRPr="004C0B3B">
        <w:rPr>
          <w:sz w:val="24"/>
          <w:szCs w:val="24"/>
        </w:rPr>
        <w:t xml:space="preserve"> kan monitoreres/kontrolleres efter behov.</w:t>
      </w:r>
    </w:p>
    <w:p w14:paraId="37EAD8E9" w14:textId="77777777" w:rsidR="004873ED" w:rsidRPr="004C0B3B" w:rsidRDefault="004873ED" w:rsidP="004873ED">
      <w:pPr>
        <w:ind w:left="851"/>
        <w:rPr>
          <w:i/>
          <w:sz w:val="24"/>
          <w:szCs w:val="24"/>
        </w:rPr>
      </w:pPr>
    </w:p>
    <w:p w14:paraId="47903477" w14:textId="77777777" w:rsidR="004873ED" w:rsidRPr="004C0B3B" w:rsidRDefault="004873ED" w:rsidP="004873ED">
      <w:pPr>
        <w:ind w:left="851"/>
        <w:rPr>
          <w:i/>
          <w:sz w:val="24"/>
          <w:szCs w:val="24"/>
        </w:rPr>
      </w:pPr>
      <w:proofErr w:type="spellStart"/>
      <w:r w:rsidRPr="004C0B3B">
        <w:rPr>
          <w:i/>
          <w:sz w:val="24"/>
          <w:szCs w:val="24"/>
        </w:rPr>
        <w:t>Ethosuximid</w:t>
      </w:r>
      <w:proofErr w:type="spellEnd"/>
    </w:p>
    <w:p w14:paraId="0239A090" w14:textId="77777777" w:rsidR="004873ED" w:rsidRPr="004C0B3B" w:rsidRDefault="004873ED" w:rsidP="004873ED">
      <w:pPr>
        <w:ind w:left="851"/>
        <w:rPr>
          <w:sz w:val="24"/>
          <w:szCs w:val="24"/>
        </w:rPr>
      </w:pPr>
      <w:proofErr w:type="spellStart"/>
      <w:r w:rsidRPr="004C0B3B">
        <w:rPr>
          <w:sz w:val="24"/>
          <w:szCs w:val="24"/>
        </w:rPr>
        <w:t>Valproat</w:t>
      </w:r>
      <w:proofErr w:type="spellEnd"/>
      <w:r w:rsidRPr="004C0B3B">
        <w:rPr>
          <w:sz w:val="24"/>
          <w:szCs w:val="24"/>
        </w:rPr>
        <w:t xml:space="preserve"> kan øge koncentrationen af </w:t>
      </w:r>
      <w:proofErr w:type="spellStart"/>
      <w:r w:rsidRPr="004C0B3B">
        <w:rPr>
          <w:sz w:val="24"/>
          <w:szCs w:val="24"/>
        </w:rPr>
        <w:t>ethosuximid</w:t>
      </w:r>
      <w:proofErr w:type="spellEnd"/>
      <w:r w:rsidRPr="004C0B3B">
        <w:rPr>
          <w:sz w:val="24"/>
          <w:szCs w:val="24"/>
        </w:rPr>
        <w:t xml:space="preserve"> med op til 50 %.</w:t>
      </w:r>
    </w:p>
    <w:p w14:paraId="77D153EE" w14:textId="77777777" w:rsidR="004873ED" w:rsidRPr="004C0B3B" w:rsidRDefault="004873ED" w:rsidP="004873ED">
      <w:pPr>
        <w:ind w:left="851"/>
        <w:rPr>
          <w:i/>
          <w:sz w:val="24"/>
          <w:szCs w:val="24"/>
        </w:rPr>
      </w:pPr>
    </w:p>
    <w:p w14:paraId="348DC454" w14:textId="77777777" w:rsidR="004873ED" w:rsidRPr="004C0B3B" w:rsidRDefault="004873ED" w:rsidP="004873ED">
      <w:pPr>
        <w:ind w:left="851"/>
        <w:rPr>
          <w:sz w:val="24"/>
          <w:szCs w:val="24"/>
        </w:rPr>
      </w:pPr>
      <w:proofErr w:type="spellStart"/>
      <w:r w:rsidRPr="004C0B3B">
        <w:rPr>
          <w:i/>
          <w:sz w:val="24"/>
          <w:szCs w:val="24"/>
        </w:rPr>
        <w:t>Primidon</w:t>
      </w:r>
      <w:proofErr w:type="spellEnd"/>
    </w:p>
    <w:p w14:paraId="3DB1A674" w14:textId="77777777" w:rsidR="004873ED" w:rsidRPr="004C0B3B" w:rsidRDefault="004873ED" w:rsidP="004873ED">
      <w:pPr>
        <w:ind w:left="851"/>
        <w:rPr>
          <w:sz w:val="24"/>
          <w:szCs w:val="24"/>
        </w:rPr>
      </w:pPr>
      <w:proofErr w:type="spellStart"/>
      <w:r w:rsidRPr="004C0B3B">
        <w:rPr>
          <w:sz w:val="24"/>
          <w:szCs w:val="24"/>
        </w:rPr>
        <w:t>Valproat</w:t>
      </w:r>
      <w:proofErr w:type="spellEnd"/>
      <w:r w:rsidRPr="004C0B3B">
        <w:rPr>
          <w:sz w:val="24"/>
          <w:szCs w:val="24"/>
        </w:rPr>
        <w:t xml:space="preserve"> øger niveauet af </w:t>
      </w:r>
      <w:proofErr w:type="spellStart"/>
      <w:r w:rsidRPr="004C0B3B">
        <w:rPr>
          <w:sz w:val="24"/>
          <w:szCs w:val="24"/>
        </w:rPr>
        <w:t>primidon</w:t>
      </w:r>
      <w:proofErr w:type="spellEnd"/>
      <w:r w:rsidRPr="004C0B3B">
        <w:rPr>
          <w:sz w:val="24"/>
          <w:szCs w:val="24"/>
        </w:rPr>
        <w:t xml:space="preserve"> i plasma og forstærker dets bivirkninger (f.eks. sedation). Symptomerne ophører ved langtidsbehandling. Klinisk overvågning anbefales især i begyndelsen af kombinationsbehandling med dosisjustering efter behov.</w:t>
      </w:r>
    </w:p>
    <w:p w14:paraId="634B851C" w14:textId="77777777" w:rsidR="004873ED" w:rsidRPr="004C0B3B" w:rsidRDefault="004873ED" w:rsidP="004873ED">
      <w:pPr>
        <w:ind w:left="851"/>
        <w:jc w:val="both"/>
        <w:rPr>
          <w:sz w:val="24"/>
          <w:szCs w:val="24"/>
        </w:rPr>
      </w:pPr>
    </w:p>
    <w:p w14:paraId="633E5C43" w14:textId="77777777" w:rsidR="004873ED" w:rsidRPr="004C0B3B" w:rsidRDefault="004873ED" w:rsidP="004873ED">
      <w:pPr>
        <w:pStyle w:val="Overskrift3"/>
        <w:spacing w:before="0" w:after="0"/>
        <w:ind w:left="851"/>
        <w:rPr>
          <w:rFonts w:ascii="Times New Roman" w:hAnsi="Times New Roman"/>
          <w:b/>
          <w:i/>
          <w:szCs w:val="24"/>
        </w:rPr>
      </w:pPr>
      <w:proofErr w:type="spellStart"/>
      <w:r w:rsidRPr="004C0B3B">
        <w:rPr>
          <w:rFonts w:ascii="Times New Roman" w:hAnsi="Times New Roman"/>
          <w:i/>
          <w:szCs w:val="24"/>
        </w:rPr>
        <w:t>Phenytoin</w:t>
      </w:r>
      <w:proofErr w:type="spellEnd"/>
      <w:r w:rsidRPr="004C0B3B">
        <w:rPr>
          <w:rFonts w:ascii="Times New Roman" w:hAnsi="Times New Roman"/>
          <w:i/>
          <w:szCs w:val="24"/>
        </w:rPr>
        <w:t xml:space="preserve"> </w:t>
      </w:r>
    </w:p>
    <w:p w14:paraId="6A664F0D" w14:textId="77777777" w:rsidR="004873ED" w:rsidRPr="004C0B3B" w:rsidRDefault="004873ED" w:rsidP="004873ED">
      <w:pPr>
        <w:autoSpaceDE w:val="0"/>
        <w:autoSpaceDN w:val="0"/>
        <w:adjustRightInd w:val="0"/>
        <w:ind w:left="851"/>
        <w:rPr>
          <w:rFonts w:eastAsia="Calibri"/>
          <w:sz w:val="24"/>
          <w:szCs w:val="24"/>
        </w:rPr>
      </w:pPr>
      <w:r w:rsidRPr="004C0B3B">
        <w:rPr>
          <w:rFonts w:eastAsia="Calibri"/>
          <w:sz w:val="24"/>
          <w:szCs w:val="24"/>
        </w:rPr>
        <w:t xml:space="preserve">Samtidig anvendelse af </w:t>
      </w:r>
      <w:proofErr w:type="spellStart"/>
      <w:r w:rsidRPr="004C0B3B">
        <w:rPr>
          <w:rFonts w:eastAsia="Calibri"/>
          <w:sz w:val="24"/>
          <w:szCs w:val="24"/>
        </w:rPr>
        <w:t>valproat</w:t>
      </w:r>
      <w:proofErr w:type="spellEnd"/>
      <w:r w:rsidRPr="004C0B3B">
        <w:rPr>
          <w:rFonts w:eastAsia="Calibri"/>
          <w:sz w:val="24"/>
          <w:szCs w:val="24"/>
        </w:rPr>
        <w:t xml:space="preserve"> og </w:t>
      </w:r>
      <w:proofErr w:type="spellStart"/>
      <w:r w:rsidRPr="004C0B3B">
        <w:rPr>
          <w:rFonts w:eastAsia="Calibri"/>
          <w:sz w:val="24"/>
          <w:szCs w:val="24"/>
        </w:rPr>
        <w:t>phenytoin</w:t>
      </w:r>
      <w:proofErr w:type="spellEnd"/>
      <w:r w:rsidRPr="004C0B3B">
        <w:rPr>
          <w:rFonts w:eastAsia="Calibri"/>
          <w:sz w:val="24"/>
          <w:szCs w:val="24"/>
        </w:rPr>
        <w:t xml:space="preserve"> kan initialt resultere i en reduktion af den samlede koncentration af </w:t>
      </w:r>
      <w:proofErr w:type="spellStart"/>
      <w:r w:rsidRPr="004C0B3B">
        <w:rPr>
          <w:rFonts w:eastAsia="Calibri"/>
          <w:sz w:val="24"/>
          <w:szCs w:val="24"/>
        </w:rPr>
        <w:t>phenytoin</w:t>
      </w:r>
      <w:proofErr w:type="spellEnd"/>
      <w:r w:rsidRPr="004C0B3B">
        <w:rPr>
          <w:rFonts w:eastAsia="Calibri"/>
          <w:sz w:val="24"/>
          <w:szCs w:val="24"/>
        </w:rPr>
        <w:t xml:space="preserve"> i serum. Ved vedvarende behandling kan </w:t>
      </w:r>
      <w:proofErr w:type="spellStart"/>
      <w:r w:rsidRPr="004C0B3B">
        <w:rPr>
          <w:rFonts w:eastAsia="Calibri"/>
          <w:sz w:val="24"/>
          <w:szCs w:val="24"/>
        </w:rPr>
        <w:t>valproat</w:t>
      </w:r>
      <w:proofErr w:type="spellEnd"/>
      <w:r w:rsidRPr="004C0B3B">
        <w:rPr>
          <w:rFonts w:eastAsia="Calibri"/>
          <w:sz w:val="24"/>
          <w:szCs w:val="24"/>
        </w:rPr>
        <w:t xml:space="preserve"> flytte </w:t>
      </w:r>
      <w:proofErr w:type="spellStart"/>
      <w:r w:rsidRPr="004C0B3B">
        <w:rPr>
          <w:rFonts w:eastAsia="Calibri"/>
          <w:sz w:val="24"/>
          <w:szCs w:val="24"/>
        </w:rPr>
        <w:t>phenytoin</w:t>
      </w:r>
      <w:proofErr w:type="spellEnd"/>
      <w:r w:rsidRPr="004C0B3B">
        <w:rPr>
          <w:rFonts w:eastAsia="Calibri"/>
          <w:sz w:val="24"/>
          <w:szCs w:val="24"/>
        </w:rPr>
        <w:t xml:space="preserve"> fra dets plasma-proteinbindingssteder og reducere dets </w:t>
      </w:r>
      <w:proofErr w:type="spellStart"/>
      <w:r w:rsidRPr="004C0B3B">
        <w:rPr>
          <w:rFonts w:eastAsia="Calibri"/>
          <w:sz w:val="24"/>
          <w:szCs w:val="24"/>
        </w:rPr>
        <w:t>hepatiske</w:t>
      </w:r>
      <w:proofErr w:type="spellEnd"/>
      <w:r w:rsidRPr="004C0B3B">
        <w:rPr>
          <w:rFonts w:eastAsia="Calibri"/>
          <w:sz w:val="24"/>
          <w:szCs w:val="24"/>
        </w:rPr>
        <w:t xml:space="preserve"> metabolisme. Dette resulterer i en øgning af både den totale koncentration og koncentrationen af den frie og aktive form af </w:t>
      </w:r>
      <w:proofErr w:type="spellStart"/>
      <w:r w:rsidRPr="004C0B3B">
        <w:rPr>
          <w:rFonts w:eastAsia="Calibri"/>
          <w:sz w:val="24"/>
          <w:szCs w:val="24"/>
        </w:rPr>
        <w:t>phenytoin</w:t>
      </w:r>
      <w:proofErr w:type="spellEnd"/>
      <w:r w:rsidRPr="004C0B3B">
        <w:rPr>
          <w:rFonts w:eastAsia="Calibri"/>
          <w:sz w:val="24"/>
          <w:szCs w:val="24"/>
        </w:rPr>
        <w:t xml:space="preserve"> med mulige symptomer på overdosering til følge. Patienterne bør observeres klinisk, og der bør foretages jævnlig kontrol af serumkoncentrationer af såvel total som frit </w:t>
      </w:r>
      <w:proofErr w:type="spellStart"/>
      <w:r w:rsidRPr="004C0B3B">
        <w:rPr>
          <w:rFonts w:eastAsia="Calibri"/>
          <w:sz w:val="24"/>
          <w:szCs w:val="24"/>
        </w:rPr>
        <w:t>phenytoin</w:t>
      </w:r>
      <w:proofErr w:type="spellEnd"/>
      <w:r w:rsidRPr="004C0B3B">
        <w:rPr>
          <w:rFonts w:eastAsia="Calibri"/>
          <w:sz w:val="24"/>
          <w:szCs w:val="24"/>
        </w:rPr>
        <w:t>.</w:t>
      </w:r>
    </w:p>
    <w:p w14:paraId="71F3A852" w14:textId="77777777" w:rsidR="004873ED" w:rsidRPr="004C0B3B" w:rsidRDefault="004873ED" w:rsidP="004873ED">
      <w:pPr>
        <w:ind w:left="851"/>
        <w:rPr>
          <w:sz w:val="24"/>
          <w:szCs w:val="24"/>
        </w:rPr>
      </w:pPr>
      <w:proofErr w:type="spellStart"/>
      <w:r w:rsidRPr="004C0B3B">
        <w:rPr>
          <w:rFonts w:eastAsia="Calibri"/>
          <w:sz w:val="24"/>
          <w:szCs w:val="24"/>
        </w:rPr>
        <w:t>Phenytoin</w:t>
      </w:r>
      <w:proofErr w:type="spellEnd"/>
      <w:r w:rsidRPr="004C0B3B">
        <w:rPr>
          <w:rFonts w:eastAsia="Calibri"/>
          <w:sz w:val="24"/>
          <w:szCs w:val="24"/>
        </w:rPr>
        <w:t xml:space="preserve"> kan reducere koncentrationen af </w:t>
      </w:r>
      <w:proofErr w:type="spellStart"/>
      <w:r w:rsidRPr="004C0B3B">
        <w:rPr>
          <w:rFonts w:eastAsia="Calibri"/>
          <w:sz w:val="24"/>
          <w:szCs w:val="24"/>
        </w:rPr>
        <w:t>valproat</w:t>
      </w:r>
      <w:proofErr w:type="spellEnd"/>
      <w:r w:rsidRPr="004C0B3B">
        <w:rPr>
          <w:rFonts w:eastAsia="Calibri"/>
          <w:sz w:val="24"/>
          <w:szCs w:val="24"/>
        </w:rPr>
        <w:t xml:space="preserve"> i serum på grund af </w:t>
      </w:r>
      <w:proofErr w:type="spellStart"/>
      <w:r w:rsidRPr="004C0B3B">
        <w:rPr>
          <w:rFonts w:eastAsia="Calibri"/>
          <w:sz w:val="24"/>
          <w:szCs w:val="24"/>
        </w:rPr>
        <w:t>phenytoins</w:t>
      </w:r>
      <w:proofErr w:type="spellEnd"/>
      <w:r w:rsidRPr="004C0B3B">
        <w:rPr>
          <w:rFonts w:eastAsia="Calibri"/>
          <w:sz w:val="24"/>
          <w:szCs w:val="24"/>
        </w:rPr>
        <w:t xml:space="preserve"> enzym- inducerende egenskaber.</w:t>
      </w:r>
    </w:p>
    <w:p w14:paraId="2B8D42A2" w14:textId="77777777" w:rsidR="004873ED" w:rsidRPr="004C0B3B" w:rsidRDefault="004873ED" w:rsidP="004873ED">
      <w:pPr>
        <w:ind w:left="851"/>
        <w:rPr>
          <w:sz w:val="24"/>
          <w:szCs w:val="24"/>
        </w:rPr>
      </w:pPr>
    </w:p>
    <w:p w14:paraId="6542099B" w14:textId="77777777" w:rsidR="004873ED" w:rsidRPr="004C0B3B" w:rsidRDefault="004873ED" w:rsidP="004873ED">
      <w:pPr>
        <w:pStyle w:val="Brdtekstindrykning"/>
        <w:ind w:left="851"/>
        <w:rPr>
          <w:szCs w:val="24"/>
          <w:lang w:val="da-DK"/>
        </w:rPr>
      </w:pPr>
      <w:proofErr w:type="spellStart"/>
      <w:r w:rsidRPr="004C0B3B">
        <w:rPr>
          <w:i/>
          <w:szCs w:val="24"/>
          <w:lang w:val="da-DK"/>
        </w:rPr>
        <w:t>Carbamazepin</w:t>
      </w:r>
      <w:proofErr w:type="spellEnd"/>
    </w:p>
    <w:p w14:paraId="31776776" w14:textId="77777777" w:rsidR="004873ED" w:rsidRPr="004C0B3B" w:rsidRDefault="004873ED" w:rsidP="004873ED">
      <w:pPr>
        <w:pStyle w:val="Brdtekstindrykning"/>
        <w:ind w:left="851"/>
        <w:rPr>
          <w:szCs w:val="24"/>
          <w:lang w:val="da-DK"/>
        </w:rPr>
      </w:pPr>
      <w:r w:rsidRPr="004C0B3B">
        <w:rPr>
          <w:szCs w:val="24"/>
          <w:lang w:val="da-DK"/>
        </w:rPr>
        <w:t xml:space="preserve">Klinisk toksicitet er rapporteret efter indgift af </w:t>
      </w:r>
      <w:proofErr w:type="spellStart"/>
      <w:r w:rsidRPr="004C0B3B">
        <w:rPr>
          <w:szCs w:val="24"/>
          <w:lang w:val="da-DK"/>
        </w:rPr>
        <w:t>valproat</w:t>
      </w:r>
      <w:proofErr w:type="spellEnd"/>
      <w:r w:rsidRPr="004C0B3B">
        <w:rPr>
          <w:szCs w:val="24"/>
          <w:lang w:val="da-DK"/>
        </w:rPr>
        <w:t xml:space="preserve"> sammen med </w:t>
      </w:r>
      <w:proofErr w:type="spellStart"/>
      <w:r w:rsidRPr="004C0B3B">
        <w:rPr>
          <w:szCs w:val="24"/>
          <w:lang w:val="da-DK"/>
        </w:rPr>
        <w:t>carbamazepin</w:t>
      </w:r>
      <w:proofErr w:type="spellEnd"/>
      <w:r w:rsidRPr="004C0B3B">
        <w:rPr>
          <w:szCs w:val="24"/>
          <w:lang w:val="da-DK"/>
        </w:rPr>
        <w:t xml:space="preserve">, eftersom </w:t>
      </w:r>
      <w:proofErr w:type="spellStart"/>
      <w:r w:rsidRPr="004C0B3B">
        <w:rPr>
          <w:szCs w:val="24"/>
          <w:lang w:val="da-DK"/>
        </w:rPr>
        <w:t>valproat</w:t>
      </w:r>
      <w:proofErr w:type="spellEnd"/>
      <w:r w:rsidRPr="004C0B3B">
        <w:rPr>
          <w:szCs w:val="24"/>
          <w:lang w:val="da-DK"/>
        </w:rPr>
        <w:t xml:space="preserve"> kan øge </w:t>
      </w:r>
      <w:proofErr w:type="spellStart"/>
      <w:r w:rsidRPr="004C0B3B">
        <w:rPr>
          <w:szCs w:val="24"/>
          <w:lang w:val="da-DK"/>
        </w:rPr>
        <w:t>carbamazepins</w:t>
      </w:r>
      <w:proofErr w:type="spellEnd"/>
      <w:r w:rsidRPr="004C0B3B">
        <w:rPr>
          <w:szCs w:val="24"/>
          <w:lang w:val="da-DK"/>
        </w:rPr>
        <w:t xml:space="preserve"> toksiske effekt. Klinisk monitorering anbefales især i begyndelsen af kombinationsbehandling, og dosis bør justeres efter behov.</w:t>
      </w:r>
    </w:p>
    <w:p w14:paraId="4CC8DFC6" w14:textId="77777777" w:rsidR="004873ED" w:rsidRPr="004C0B3B" w:rsidRDefault="004873ED" w:rsidP="004873ED">
      <w:pPr>
        <w:ind w:left="851"/>
        <w:rPr>
          <w:sz w:val="24"/>
          <w:szCs w:val="24"/>
        </w:rPr>
      </w:pPr>
    </w:p>
    <w:p w14:paraId="513D9AD3" w14:textId="77777777" w:rsidR="004873ED" w:rsidRPr="004C0B3B" w:rsidRDefault="004873ED" w:rsidP="002E6C7F">
      <w:pPr>
        <w:keepNext/>
        <w:ind w:left="851"/>
        <w:rPr>
          <w:sz w:val="24"/>
          <w:szCs w:val="24"/>
        </w:rPr>
      </w:pPr>
      <w:proofErr w:type="spellStart"/>
      <w:r w:rsidRPr="004C0B3B">
        <w:rPr>
          <w:i/>
          <w:sz w:val="24"/>
          <w:szCs w:val="24"/>
        </w:rPr>
        <w:t>Lamotrigin</w:t>
      </w:r>
      <w:proofErr w:type="spellEnd"/>
    </w:p>
    <w:p w14:paraId="43698012" w14:textId="77777777" w:rsidR="004873ED" w:rsidRPr="004C0B3B" w:rsidRDefault="004873ED" w:rsidP="004873ED">
      <w:pPr>
        <w:ind w:left="851"/>
        <w:rPr>
          <w:sz w:val="24"/>
          <w:szCs w:val="24"/>
        </w:rPr>
      </w:pPr>
      <w:proofErr w:type="spellStart"/>
      <w:r w:rsidRPr="004C0B3B">
        <w:rPr>
          <w:sz w:val="24"/>
          <w:szCs w:val="24"/>
        </w:rPr>
        <w:t>Valproat</w:t>
      </w:r>
      <w:proofErr w:type="spellEnd"/>
      <w:r w:rsidRPr="004C0B3B">
        <w:rPr>
          <w:sz w:val="24"/>
          <w:szCs w:val="24"/>
        </w:rPr>
        <w:t xml:space="preserve"> kan nedsætte omsætningen af </w:t>
      </w:r>
      <w:proofErr w:type="spellStart"/>
      <w:r w:rsidRPr="004C0B3B">
        <w:rPr>
          <w:sz w:val="24"/>
          <w:szCs w:val="24"/>
        </w:rPr>
        <w:t>lamotrigin</w:t>
      </w:r>
      <w:proofErr w:type="spellEnd"/>
      <w:r w:rsidRPr="004C0B3B">
        <w:rPr>
          <w:sz w:val="24"/>
          <w:szCs w:val="24"/>
        </w:rPr>
        <w:t xml:space="preserve"> og øge middelhalveringstiden. </w:t>
      </w:r>
      <w:r w:rsidRPr="004C0B3B">
        <w:rPr>
          <w:sz w:val="24"/>
          <w:szCs w:val="24"/>
        </w:rPr>
        <w:br/>
        <w:t xml:space="preserve">Doseringen bør justeres efter behov (ved nedsættelse af doseringen af </w:t>
      </w:r>
      <w:proofErr w:type="spellStart"/>
      <w:r w:rsidRPr="004C0B3B">
        <w:rPr>
          <w:sz w:val="24"/>
          <w:szCs w:val="24"/>
        </w:rPr>
        <w:t>lamotrigin</w:t>
      </w:r>
      <w:proofErr w:type="spellEnd"/>
      <w:r w:rsidRPr="004C0B3B">
        <w:rPr>
          <w:sz w:val="24"/>
          <w:szCs w:val="24"/>
        </w:rPr>
        <w:t>).</w:t>
      </w:r>
    </w:p>
    <w:p w14:paraId="41631033" w14:textId="77777777" w:rsidR="004873ED" w:rsidRPr="004C0B3B" w:rsidRDefault="004873ED" w:rsidP="004873ED">
      <w:pPr>
        <w:ind w:left="851"/>
        <w:rPr>
          <w:sz w:val="24"/>
          <w:szCs w:val="24"/>
        </w:rPr>
      </w:pPr>
      <w:r w:rsidRPr="004C0B3B">
        <w:rPr>
          <w:sz w:val="24"/>
          <w:szCs w:val="24"/>
        </w:rPr>
        <w:t xml:space="preserve">Risikoen for hududslæt øges ved samtidig indgift af </w:t>
      </w:r>
      <w:proofErr w:type="spellStart"/>
      <w:r w:rsidRPr="004C0B3B">
        <w:rPr>
          <w:sz w:val="24"/>
          <w:szCs w:val="24"/>
        </w:rPr>
        <w:t>lamotrigin</w:t>
      </w:r>
      <w:proofErr w:type="spellEnd"/>
      <w:r w:rsidRPr="004C0B3B">
        <w:rPr>
          <w:sz w:val="24"/>
          <w:szCs w:val="24"/>
        </w:rPr>
        <w:t xml:space="preserve"> og </w:t>
      </w:r>
      <w:proofErr w:type="spellStart"/>
      <w:r w:rsidRPr="004C0B3B">
        <w:rPr>
          <w:sz w:val="24"/>
          <w:szCs w:val="24"/>
        </w:rPr>
        <w:t>valproat</w:t>
      </w:r>
      <w:proofErr w:type="spellEnd"/>
      <w:r w:rsidRPr="004C0B3B">
        <w:rPr>
          <w:sz w:val="24"/>
          <w:szCs w:val="24"/>
        </w:rPr>
        <w:t>.</w:t>
      </w:r>
    </w:p>
    <w:p w14:paraId="10715051" w14:textId="77777777" w:rsidR="004873ED" w:rsidRPr="004C0B3B" w:rsidRDefault="004873ED" w:rsidP="004873ED">
      <w:pPr>
        <w:ind w:left="851"/>
        <w:jc w:val="both"/>
        <w:rPr>
          <w:sz w:val="24"/>
          <w:szCs w:val="24"/>
        </w:rPr>
      </w:pPr>
    </w:p>
    <w:p w14:paraId="6622FA75" w14:textId="77777777" w:rsidR="004873ED" w:rsidRPr="004C0B3B" w:rsidRDefault="004873ED" w:rsidP="004873ED">
      <w:pPr>
        <w:pStyle w:val="Overskrift3"/>
        <w:spacing w:before="0" w:after="0"/>
        <w:ind w:left="851"/>
        <w:rPr>
          <w:rFonts w:ascii="Times New Roman" w:hAnsi="Times New Roman"/>
          <w:b/>
          <w:i/>
          <w:szCs w:val="24"/>
        </w:rPr>
      </w:pPr>
      <w:proofErr w:type="spellStart"/>
      <w:r w:rsidRPr="004C0B3B">
        <w:rPr>
          <w:rFonts w:ascii="Times New Roman" w:hAnsi="Times New Roman"/>
          <w:i/>
          <w:szCs w:val="24"/>
        </w:rPr>
        <w:t>Felbamat</w:t>
      </w:r>
      <w:proofErr w:type="spellEnd"/>
    </w:p>
    <w:p w14:paraId="66EF3BD5" w14:textId="77777777" w:rsidR="004873ED" w:rsidRPr="004C0B3B" w:rsidRDefault="004873ED" w:rsidP="004873ED">
      <w:pPr>
        <w:pStyle w:val="Overskrift3"/>
        <w:spacing w:before="0" w:after="0"/>
        <w:ind w:left="851"/>
        <w:rPr>
          <w:rFonts w:ascii="Times New Roman" w:hAnsi="Times New Roman"/>
          <w:b/>
          <w:szCs w:val="24"/>
        </w:rPr>
      </w:pPr>
      <w:proofErr w:type="spellStart"/>
      <w:r w:rsidRPr="004C0B3B">
        <w:rPr>
          <w:rFonts w:ascii="Times New Roman" w:hAnsi="Times New Roman"/>
          <w:szCs w:val="24"/>
        </w:rPr>
        <w:t>Valproat</w:t>
      </w:r>
      <w:proofErr w:type="spellEnd"/>
      <w:r w:rsidRPr="004C0B3B">
        <w:rPr>
          <w:rFonts w:ascii="Times New Roman" w:hAnsi="Times New Roman"/>
          <w:szCs w:val="24"/>
        </w:rPr>
        <w:t xml:space="preserve"> kan øge serumniveauet af </w:t>
      </w:r>
      <w:proofErr w:type="spellStart"/>
      <w:r w:rsidRPr="004C0B3B">
        <w:rPr>
          <w:rFonts w:ascii="Times New Roman" w:hAnsi="Times New Roman"/>
          <w:szCs w:val="24"/>
        </w:rPr>
        <w:t>felbamat</w:t>
      </w:r>
      <w:proofErr w:type="spellEnd"/>
      <w:r w:rsidRPr="004C0B3B">
        <w:rPr>
          <w:rFonts w:ascii="Times New Roman" w:hAnsi="Times New Roman"/>
          <w:szCs w:val="24"/>
        </w:rPr>
        <w:t xml:space="preserve"> med 30-50 %.</w:t>
      </w:r>
    </w:p>
    <w:p w14:paraId="02D758B6" w14:textId="77777777" w:rsidR="004873ED" w:rsidRPr="004C0B3B" w:rsidRDefault="004873ED" w:rsidP="004873ED">
      <w:pPr>
        <w:ind w:left="851"/>
        <w:rPr>
          <w:sz w:val="24"/>
          <w:szCs w:val="24"/>
        </w:rPr>
      </w:pPr>
    </w:p>
    <w:p w14:paraId="1A72FB09" w14:textId="77777777" w:rsidR="004873ED" w:rsidRPr="004C0B3B" w:rsidRDefault="004873ED" w:rsidP="004873ED">
      <w:pPr>
        <w:pStyle w:val="Overskrift3"/>
        <w:spacing w:before="0" w:after="0"/>
        <w:ind w:left="851"/>
        <w:rPr>
          <w:rFonts w:ascii="Times New Roman" w:hAnsi="Times New Roman"/>
          <w:b/>
          <w:i/>
          <w:szCs w:val="24"/>
        </w:rPr>
      </w:pPr>
      <w:proofErr w:type="spellStart"/>
      <w:r w:rsidRPr="004C0B3B">
        <w:rPr>
          <w:rFonts w:ascii="Times New Roman" w:hAnsi="Times New Roman"/>
          <w:i/>
          <w:szCs w:val="24"/>
        </w:rPr>
        <w:t>Zidovudin</w:t>
      </w:r>
      <w:proofErr w:type="spellEnd"/>
      <w:r w:rsidRPr="004C0B3B">
        <w:rPr>
          <w:rFonts w:ascii="Times New Roman" w:hAnsi="Times New Roman"/>
          <w:i/>
          <w:szCs w:val="24"/>
        </w:rPr>
        <w:t xml:space="preserve"> </w:t>
      </w:r>
    </w:p>
    <w:p w14:paraId="48155599" w14:textId="77777777" w:rsidR="004873ED" w:rsidRPr="004C0B3B" w:rsidRDefault="004873ED" w:rsidP="004873ED">
      <w:pPr>
        <w:ind w:left="851"/>
        <w:rPr>
          <w:sz w:val="24"/>
          <w:szCs w:val="24"/>
        </w:rPr>
      </w:pPr>
      <w:proofErr w:type="spellStart"/>
      <w:r w:rsidRPr="004C0B3B">
        <w:rPr>
          <w:sz w:val="24"/>
          <w:szCs w:val="24"/>
        </w:rPr>
        <w:t>Valproat</w:t>
      </w:r>
      <w:proofErr w:type="spellEnd"/>
      <w:r w:rsidRPr="004C0B3B">
        <w:rPr>
          <w:sz w:val="24"/>
          <w:szCs w:val="24"/>
        </w:rPr>
        <w:t xml:space="preserve"> øger muligvis plasmakoncentrationen af </w:t>
      </w:r>
      <w:proofErr w:type="spellStart"/>
      <w:r w:rsidRPr="004C0B3B">
        <w:rPr>
          <w:sz w:val="24"/>
          <w:szCs w:val="24"/>
        </w:rPr>
        <w:t>zidovudin</w:t>
      </w:r>
      <w:proofErr w:type="spellEnd"/>
      <w:r w:rsidRPr="004C0B3B">
        <w:rPr>
          <w:sz w:val="24"/>
          <w:szCs w:val="24"/>
        </w:rPr>
        <w:t xml:space="preserve">, hvilket kan føre til toksicitet af </w:t>
      </w:r>
      <w:proofErr w:type="spellStart"/>
      <w:r w:rsidRPr="004C0B3B">
        <w:rPr>
          <w:sz w:val="24"/>
          <w:szCs w:val="24"/>
        </w:rPr>
        <w:t>zidovudin</w:t>
      </w:r>
      <w:proofErr w:type="spellEnd"/>
      <w:r w:rsidRPr="004C0B3B">
        <w:rPr>
          <w:sz w:val="24"/>
          <w:szCs w:val="24"/>
        </w:rPr>
        <w:t xml:space="preserve">. Det kan være nødvendigt at foretage en reduktion af </w:t>
      </w:r>
      <w:proofErr w:type="spellStart"/>
      <w:r w:rsidRPr="004C0B3B">
        <w:rPr>
          <w:sz w:val="24"/>
          <w:szCs w:val="24"/>
        </w:rPr>
        <w:t>zidovudindosis</w:t>
      </w:r>
      <w:proofErr w:type="spellEnd"/>
      <w:r w:rsidRPr="004C0B3B">
        <w:rPr>
          <w:sz w:val="24"/>
          <w:szCs w:val="24"/>
        </w:rPr>
        <w:t>.</w:t>
      </w:r>
    </w:p>
    <w:p w14:paraId="7581AA71" w14:textId="77777777" w:rsidR="004873ED" w:rsidRPr="004C0B3B" w:rsidRDefault="004873ED" w:rsidP="004873ED">
      <w:pPr>
        <w:ind w:left="851"/>
        <w:rPr>
          <w:i/>
          <w:sz w:val="24"/>
          <w:szCs w:val="24"/>
        </w:rPr>
      </w:pPr>
    </w:p>
    <w:p w14:paraId="0A74A56B" w14:textId="77777777" w:rsidR="004873ED" w:rsidRPr="004C0B3B" w:rsidRDefault="004873ED" w:rsidP="004873ED">
      <w:pPr>
        <w:ind w:left="851"/>
        <w:rPr>
          <w:i/>
          <w:sz w:val="24"/>
          <w:szCs w:val="24"/>
        </w:rPr>
      </w:pPr>
      <w:proofErr w:type="spellStart"/>
      <w:r w:rsidRPr="004C0B3B">
        <w:rPr>
          <w:i/>
          <w:sz w:val="24"/>
          <w:szCs w:val="24"/>
        </w:rPr>
        <w:t>Olanzapin</w:t>
      </w:r>
      <w:proofErr w:type="spellEnd"/>
    </w:p>
    <w:p w14:paraId="37FAB0CB" w14:textId="77777777" w:rsidR="004873ED" w:rsidRPr="004C0B3B" w:rsidRDefault="004873ED" w:rsidP="004873ED">
      <w:pPr>
        <w:ind w:left="851"/>
        <w:rPr>
          <w:sz w:val="24"/>
          <w:szCs w:val="24"/>
        </w:rPr>
      </w:pPr>
      <w:proofErr w:type="spellStart"/>
      <w:r w:rsidRPr="004C0B3B">
        <w:rPr>
          <w:sz w:val="24"/>
          <w:szCs w:val="24"/>
        </w:rPr>
        <w:t>Valproinsyre</w:t>
      </w:r>
      <w:proofErr w:type="spellEnd"/>
      <w:r w:rsidRPr="004C0B3B">
        <w:rPr>
          <w:sz w:val="24"/>
          <w:szCs w:val="24"/>
        </w:rPr>
        <w:t xml:space="preserve"> kan nedsætte plasmakoncentrationen af </w:t>
      </w:r>
      <w:proofErr w:type="spellStart"/>
      <w:r w:rsidRPr="004C0B3B">
        <w:rPr>
          <w:sz w:val="24"/>
          <w:szCs w:val="24"/>
        </w:rPr>
        <w:t>olanzapin</w:t>
      </w:r>
      <w:proofErr w:type="spellEnd"/>
      <w:r w:rsidRPr="004C0B3B">
        <w:rPr>
          <w:sz w:val="24"/>
          <w:szCs w:val="24"/>
        </w:rPr>
        <w:t>.</w:t>
      </w:r>
    </w:p>
    <w:p w14:paraId="275D3B0F" w14:textId="77777777" w:rsidR="004873ED" w:rsidRPr="004C0B3B" w:rsidRDefault="004873ED" w:rsidP="004873ED">
      <w:pPr>
        <w:ind w:left="851"/>
        <w:rPr>
          <w:i/>
          <w:sz w:val="24"/>
          <w:szCs w:val="24"/>
        </w:rPr>
      </w:pPr>
    </w:p>
    <w:p w14:paraId="3EAF63B9" w14:textId="77777777" w:rsidR="004873ED" w:rsidRPr="004C0B3B" w:rsidRDefault="004873ED" w:rsidP="00291DB8">
      <w:pPr>
        <w:keepNext/>
        <w:ind w:left="851"/>
        <w:rPr>
          <w:i/>
          <w:sz w:val="24"/>
          <w:szCs w:val="24"/>
        </w:rPr>
      </w:pPr>
      <w:proofErr w:type="spellStart"/>
      <w:r w:rsidRPr="004C0B3B">
        <w:rPr>
          <w:i/>
          <w:sz w:val="24"/>
          <w:szCs w:val="24"/>
        </w:rPr>
        <w:t>Rufinamid</w:t>
      </w:r>
      <w:proofErr w:type="spellEnd"/>
    </w:p>
    <w:p w14:paraId="69918FAA" w14:textId="77777777" w:rsidR="004873ED" w:rsidRPr="004C0B3B" w:rsidRDefault="004873ED" w:rsidP="004873ED">
      <w:pPr>
        <w:ind w:left="851"/>
        <w:rPr>
          <w:sz w:val="24"/>
          <w:szCs w:val="24"/>
        </w:rPr>
      </w:pPr>
      <w:proofErr w:type="spellStart"/>
      <w:r w:rsidRPr="004C0B3B">
        <w:rPr>
          <w:sz w:val="24"/>
          <w:szCs w:val="24"/>
        </w:rPr>
        <w:t>Valproinsyre</w:t>
      </w:r>
      <w:proofErr w:type="spellEnd"/>
      <w:r w:rsidRPr="004C0B3B">
        <w:rPr>
          <w:sz w:val="24"/>
          <w:szCs w:val="24"/>
        </w:rPr>
        <w:t xml:space="preserve"> kan medføre en øget plasmakoncentration af </w:t>
      </w:r>
      <w:proofErr w:type="spellStart"/>
      <w:r w:rsidRPr="004C0B3B">
        <w:rPr>
          <w:sz w:val="24"/>
          <w:szCs w:val="24"/>
        </w:rPr>
        <w:t>rufinamid</w:t>
      </w:r>
      <w:proofErr w:type="spellEnd"/>
      <w:r w:rsidRPr="004C0B3B">
        <w:rPr>
          <w:sz w:val="24"/>
          <w:szCs w:val="24"/>
        </w:rPr>
        <w:t xml:space="preserve">. Øgningen er afhængig af koncentrationen af </w:t>
      </w:r>
      <w:proofErr w:type="spellStart"/>
      <w:r w:rsidRPr="004C0B3B">
        <w:rPr>
          <w:sz w:val="24"/>
          <w:szCs w:val="24"/>
        </w:rPr>
        <w:t>valproinsyre</w:t>
      </w:r>
      <w:proofErr w:type="spellEnd"/>
      <w:r w:rsidRPr="004C0B3B">
        <w:rPr>
          <w:sz w:val="24"/>
          <w:szCs w:val="24"/>
        </w:rPr>
        <w:t>. Der skal udvises forsigtighed især hos børn, da denne effekt er større i denne population.</w:t>
      </w:r>
    </w:p>
    <w:p w14:paraId="10415656" w14:textId="77777777" w:rsidR="004873ED" w:rsidRPr="004C0B3B" w:rsidRDefault="004873ED" w:rsidP="004873ED">
      <w:pPr>
        <w:ind w:left="851"/>
        <w:rPr>
          <w:sz w:val="24"/>
          <w:szCs w:val="24"/>
        </w:rPr>
      </w:pPr>
    </w:p>
    <w:p w14:paraId="3599D219" w14:textId="77777777" w:rsidR="004873ED" w:rsidRPr="004C0B3B" w:rsidRDefault="004873ED" w:rsidP="004873ED">
      <w:pPr>
        <w:ind w:left="851"/>
        <w:rPr>
          <w:sz w:val="24"/>
          <w:szCs w:val="24"/>
        </w:rPr>
      </w:pPr>
      <w:proofErr w:type="spellStart"/>
      <w:r w:rsidRPr="004C0B3B">
        <w:rPr>
          <w:i/>
          <w:sz w:val="24"/>
          <w:szCs w:val="24"/>
        </w:rPr>
        <w:t>Propofol</w:t>
      </w:r>
      <w:proofErr w:type="spellEnd"/>
    </w:p>
    <w:p w14:paraId="691DCD0A" w14:textId="77777777" w:rsidR="004873ED" w:rsidRPr="004C0B3B" w:rsidRDefault="004873ED" w:rsidP="004873ED">
      <w:pPr>
        <w:ind w:left="851"/>
        <w:rPr>
          <w:sz w:val="24"/>
          <w:szCs w:val="24"/>
        </w:rPr>
      </w:pPr>
      <w:proofErr w:type="spellStart"/>
      <w:r w:rsidRPr="004C0B3B">
        <w:rPr>
          <w:sz w:val="24"/>
          <w:szCs w:val="24"/>
        </w:rPr>
        <w:t>Valproinsyre</w:t>
      </w:r>
      <w:proofErr w:type="spellEnd"/>
      <w:r w:rsidRPr="004C0B3B">
        <w:rPr>
          <w:sz w:val="24"/>
          <w:szCs w:val="24"/>
        </w:rPr>
        <w:t xml:space="preserve"> antages at kunne medføre forhøjet niveau af </w:t>
      </w:r>
      <w:proofErr w:type="spellStart"/>
      <w:r w:rsidRPr="004C0B3B">
        <w:rPr>
          <w:sz w:val="24"/>
          <w:szCs w:val="24"/>
        </w:rPr>
        <w:t>propofol</w:t>
      </w:r>
      <w:proofErr w:type="spellEnd"/>
      <w:r w:rsidRPr="004C0B3B">
        <w:rPr>
          <w:sz w:val="24"/>
          <w:szCs w:val="24"/>
        </w:rPr>
        <w:t xml:space="preserve"> i blodet. Ved samtidig administration med </w:t>
      </w:r>
      <w:proofErr w:type="spellStart"/>
      <w:r w:rsidRPr="004C0B3B">
        <w:rPr>
          <w:sz w:val="24"/>
          <w:szCs w:val="24"/>
        </w:rPr>
        <w:t>valproat</w:t>
      </w:r>
      <w:proofErr w:type="spellEnd"/>
      <w:r w:rsidRPr="004C0B3B">
        <w:rPr>
          <w:sz w:val="24"/>
          <w:szCs w:val="24"/>
        </w:rPr>
        <w:t xml:space="preserve">, skal en dosisreduktion af </w:t>
      </w:r>
      <w:proofErr w:type="spellStart"/>
      <w:r w:rsidRPr="004C0B3B">
        <w:rPr>
          <w:sz w:val="24"/>
          <w:szCs w:val="24"/>
        </w:rPr>
        <w:t>propofol</w:t>
      </w:r>
      <w:proofErr w:type="spellEnd"/>
      <w:r w:rsidRPr="004C0B3B">
        <w:rPr>
          <w:sz w:val="24"/>
          <w:szCs w:val="24"/>
        </w:rPr>
        <w:t xml:space="preserve"> overvejes.</w:t>
      </w:r>
    </w:p>
    <w:p w14:paraId="374FEF2C" w14:textId="77777777" w:rsidR="004873ED" w:rsidRPr="004C0B3B" w:rsidRDefault="004873ED" w:rsidP="004873ED">
      <w:pPr>
        <w:ind w:left="851"/>
        <w:rPr>
          <w:sz w:val="24"/>
          <w:szCs w:val="24"/>
        </w:rPr>
      </w:pPr>
    </w:p>
    <w:p w14:paraId="10972C1A" w14:textId="77777777" w:rsidR="004873ED" w:rsidRPr="004C0B3B" w:rsidRDefault="004873ED" w:rsidP="004873ED">
      <w:pPr>
        <w:ind w:left="851"/>
        <w:rPr>
          <w:i/>
          <w:sz w:val="24"/>
          <w:szCs w:val="24"/>
        </w:rPr>
      </w:pPr>
      <w:proofErr w:type="spellStart"/>
      <w:r w:rsidRPr="004C0B3B">
        <w:rPr>
          <w:i/>
          <w:sz w:val="24"/>
          <w:szCs w:val="24"/>
        </w:rPr>
        <w:t>Nimodipin</w:t>
      </w:r>
      <w:proofErr w:type="spellEnd"/>
    </w:p>
    <w:p w14:paraId="12838F01" w14:textId="77777777" w:rsidR="004873ED" w:rsidRPr="004C0B3B" w:rsidRDefault="004873ED" w:rsidP="004873ED">
      <w:pPr>
        <w:ind w:left="851"/>
        <w:rPr>
          <w:sz w:val="24"/>
          <w:szCs w:val="24"/>
        </w:rPr>
      </w:pPr>
      <w:r w:rsidRPr="004C0B3B">
        <w:rPr>
          <w:sz w:val="24"/>
          <w:szCs w:val="24"/>
        </w:rPr>
        <w:t xml:space="preserve">Samtidig behandling med </w:t>
      </w:r>
      <w:proofErr w:type="spellStart"/>
      <w:r w:rsidRPr="004C0B3B">
        <w:rPr>
          <w:sz w:val="24"/>
          <w:szCs w:val="24"/>
        </w:rPr>
        <w:t>valproat</w:t>
      </w:r>
      <w:proofErr w:type="spellEnd"/>
      <w:r w:rsidRPr="004C0B3B">
        <w:rPr>
          <w:sz w:val="24"/>
          <w:szCs w:val="24"/>
        </w:rPr>
        <w:t xml:space="preserve"> øger koncentrationen af </w:t>
      </w:r>
      <w:proofErr w:type="spellStart"/>
      <w:r w:rsidRPr="004C0B3B">
        <w:rPr>
          <w:sz w:val="24"/>
          <w:szCs w:val="24"/>
        </w:rPr>
        <w:t>nimodipin</w:t>
      </w:r>
      <w:proofErr w:type="spellEnd"/>
      <w:r w:rsidRPr="004C0B3B">
        <w:rPr>
          <w:sz w:val="24"/>
          <w:szCs w:val="24"/>
        </w:rPr>
        <w:t xml:space="preserve"> med ca. 50 %.</w:t>
      </w:r>
    </w:p>
    <w:p w14:paraId="5C11DD9F" w14:textId="77777777" w:rsidR="004873ED" w:rsidRPr="004C0B3B" w:rsidRDefault="004873ED" w:rsidP="004873ED">
      <w:pPr>
        <w:ind w:left="851"/>
        <w:rPr>
          <w:sz w:val="24"/>
          <w:szCs w:val="24"/>
        </w:rPr>
      </w:pPr>
    </w:p>
    <w:p w14:paraId="347008CF" w14:textId="77777777" w:rsidR="004873ED" w:rsidRPr="004C0B3B" w:rsidRDefault="004873ED" w:rsidP="004873ED">
      <w:pPr>
        <w:ind w:left="851"/>
        <w:rPr>
          <w:i/>
          <w:sz w:val="24"/>
          <w:szCs w:val="24"/>
        </w:rPr>
      </w:pPr>
      <w:r w:rsidRPr="004C0B3B">
        <w:rPr>
          <w:i/>
          <w:sz w:val="24"/>
          <w:szCs w:val="24"/>
        </w:rPr>
        <w:t xml:space="preserve">Koagulationshæmmende midler og </w:t>
      </w:r>
      <w:proofErr w:type="spellStart"/>
      <w:r w:rsidRPr="004C0B3B">
        <w:rPr>
          <w:i/>
          <w:sz w:val="24"/>
          <w:szCs w:val="24"/>
        </w:rPr>
        <w:t>trombocytfunktionshæmmere</w:t>
      </w:r>
      <w:proofErr w:type="spellEnd"/>
    </w:p>
    <w:p w14:paraId="490EC431" w14:textId="77777777" w:rsidR="004873ED" w:rsidRPr="004C0B3B" w:rsidRDefault="004873ED" w:rsidP="004873ED">
      <w:pPr>
        <w:ind w:left="851"/>
        <w:rPr>
          <w:sz w:val="24"/>
          <w:szCs w:val="24"/>
        </w:rPr>
      </w:pPr>
      <w:r w:rsidRPr="004C0B3B">
        <w:rPr>
          <w:sz w:val="24"/>
          <w:szCs w:val="24"/>
        </w:rPr>
        <w:t xml:space="preserve">I tilfælde af samtidig brug af vitamin K antagonister skal </w:t>
      </w:r>
      <w:proofErr w:type="spellStart"/>
      <w:r w:rsidRPr="004C0B3B">
        <w:rPr>
          <w:sz w:val="24"/>
          <w:szCs w:val="24"/>
        </w:rPr>
        <w:t>tromboplastintid</w:t>
      </w:r>
      <w:proofErr w:type="spellEnd"/>
      <w:r w:rsidRPr="004C0B3B">
        <w:rPr>
          <w:sz w:val="24"/>
          <w:szCs w:val="24"/>
        </w:rPr>
        <w:t xml:space="preserve"> nøje overvåges (forstærket effekt). </w:t>
      </w:r>
      <w:proofErr w:type="spellStart"/>
      <w:r w:rsidRPr="004C0B3B">
        <w:rPr>
          <w:sz w:val="24"/>
          <w:szCs w:val="24"/>
        </w:rPr>
        <w:t>Valproat</w:t>
      </w:r>
      <w:proofErr w:type="spellEnd"/>
      <w:r w:rsidRPr="004C0B3B">
        <w:rPr>
          <w:sz w:val="24"/>
          <w:szCs w:val="24"/>
        </w:rPr>
        <w:t xml:space="preserve"> kan også fremme effekten af acetylsalicylsyre. Disse interaktioner kan resultere i øget </w:t>
      </w:r>
      <w:proofErr w:type="spellStart"/>
      <w:r w:rsidRPr="004C0B3B">
        <w:rPr>
          <w:sz w:val="24"/>
          <w:szCs w:val="24"/>
        </w:rPr>
        <w:t>hæmoragisk</w:t>
      </w:r>
      <w:proofErr w:type="spellEnd"/>
      <w:r w:rsidRPr="004C0B3B">
        <w:rPr>
          <w:sz w:val="24"/>
          <w:szCs w:val="24"/>
        </w:rPr>
        <w:t xml:space="preserve"> diatese (se pkt. 4.4). </w:t>
      </w:r>
    </w:p>
    <w:p w14:paraId="56896138" w14:textId="77777777" w:rsidR="004873ED" w:rsidRPr="004C0B3B" w:rsidRDefault="004873ED" w:rsidP="004873ED">
      <w:pPr>
        <w:ind w:left="851"/>
        <w:rPr>
          <w:b/>
          <w:sz w:val="24"/>
          <w:szCs w:val="24"/>
        </w:rPr>
      </w:pPr>
    </w:p>
    <w:p w14:paraId="6F637DE1" w14:textId="77777777" w:rsidR="004873ED" w:rsidRPr="004C0B3B" w:rsidRDefault="004873ED" w:rsidP="004873ED">
      <w:pPr>
        <w:ind w:left="851"/>
        <w:rPr>
          <w:sz w:val="24"/>
          <w:szCs w:val="24"/>
          <w:u w:val="single"/>
        </w:rPr>
      </w:pPr>
      <w:r w:rsidRPr="004C0B3B">
        <w:rPr>
          <w:sz w:val="24"/>
          <w:szCs w:val="24"/>
          <w:u w:val="single"/>
        </w:rPr>
        <w:t xml:space="preserve">Andre lægemidlers effekt på </w:t>
      </w:r>
      <w:proofErr w:type="spellStart"/>
      <w:r w:rsidRPr="004C0B3B">
        <w:rPr>
          <w:sz w:val="24"/>
          <w:szCs w:val="24"/>
          <w:u w:val="single"/>
        </w:rPr>
        <w:t>valproat</w:t>
      </w:r>
      <w:proofErr w:type="spellEnd"/>
    </w:p>
    <w:p w14:paraId="56E10717" w14:textId="306EB3DD" w:rsidR="004873ED" w:rsidRPr="004C0B3B" w:rsidRDefault="004873ED" w:rsidP="004873ED">
      <w:pPr>
        <w:ind w:left="851"/>
        <w:rPr>
          <w:i/>
          <w:sz w:val="24"/>
          <w:szCs w:val="24"/>
        </w:rPr>
      </w:pPr>
      <w:proofErr w:type="spellStart"/>
      <w:r w:rsidRPr="004C0B3B">
        <w:rPr>
          <w:sz w:val="24"/>
          <w:szCs w:val="24"/>
        </w:rPr>
        <w:t>Antiepileptika</w:t>
      </w:r>
      <w:proofErr w:type="spellEnd"/>
      <w:r w:rsidRPr="004C0B3B">
        <w:rPr>
          <w:sz w:val="24"/>
          <w:szCs w:val="24"/>
        </w:rPr>
        <w:t xml:space="preserve"> med enzyminducerende effekt (herunder </w:t>
      </w:r>
      <w:proofErr w:type="spellStart"/>
      <w:r w:rsidRPr="004C0B3B">
        <w:rPr>
          <w:sz w:val="24"/>
          <w:szCs w:val="24"/>
        </w:rPr>
        <w:t>phenytoin</w:t>
      </w:r>
      <w:proofErr w:type="spellEnd"/>
      <w:r w:rsidRPr="004C0B3B">
        <w:rPr>
          <w:sz w:val="24"/>
          <w:szCs w:val="24"/>
        </w:rPr>
        <w:t xml:space="preserve">, </w:t>
      </w:r>
      <w:proofErr w:type="spellStart"/>
      <w:r w:rsidRPr="004C0B3B">
        <w:rPr>
          <w:sz w:val="24"/>
          <w:szCs w:val="24"/>
        </w:rPr>
        <w:t>phenobarbital</w:t>
      </w:r>
      <w:proofErr w:type="spellEnd"/>
      <w:r w:rsidRPr="004C0B3B">
        <w:rPr>
          <w:sz w:val="24"/>
          <w:szCs w:val="24"/>
        </w:rPr>
        <w:t xml:space="preserve">, </w:t>
      </w:r>
      <w:proofErr w:type="spellStart"/>
      <w:r w:rsidRPr="004C0B3B">
        <w:rPr>
          <w:sz w:val="24"/>
          <w:szCs w:val="24"/>
        </w:rPr>
        <w:t>carbamazepin</w:t>
      </w:r>
      <w:proofErr w:type="spellEnd"/>
      <w:r w:rsidRPr="004C0B3B">
        <w:rPr>
          <w:sz w:val="24"/>
          <w:szCs w:val="24"/>
        </w:rPr>
        <w:t xml:space="preserve">) nedsætter </w:t>
      </w:r>
      <w:proofErr w:type="spellStart"/>
      <w:r w:rsidRPr="004C0B3B">
        <w:rPr>
          <w:sz w:val="24"/>
          <w:szCs w:val="24"/>
        </w:rPr>
        <w:t>valproats</w:t>
      </w:r>
      <w:proofErr w:type="spellEnd"/>
      <w:r w:rsidRPr="004C0B3B">
        <w:rPr>
          <w:sz w:val="24"/>
          <w:szCs w:val="24"/>
        </w:rPr>
        <w:t xml:space="preserve"> serumkoncentration. I tilfælde af kombinations</w:t>
      </w:r>
      <w:r w:rsidR="00B33DDB">
        <w:rPr>
          <w:sz w:val="24"/>
          <w:szCs w:val="24"/>
        </w:rPr>
        <w:softHyphen/>
      </w:r>
      <w:r w:rsidRPr="004C0B3B">
        <w:rPr>
          <w:sz w:val="24"/>
          <w:szCs w:val="24"/>
        </w:rPr>
        <w:t>behandling skal doseringen justeres i forhold til blodniveauerne.</w:t>
      </w:r>
    </w:p>
    <w:p w14:paraId="11D9DBFE" w14:textId="77777777" w:rsidR="004873ED" w:rsidRPr="004C0B3B" w:rsidRDefault="004873ED" w:rsidP="004873ED">
      <w:pPr>
        <w:ind w:left="851"/>
        <w:rPr>
          <w:sz w:val="24"/>
          <w:szCs w:val="24"/>
        </w:rPr>
      </w:pPr>
      <w:proofErr w:type="spellStart"/>
      <w:r w:rsidRPr="004C0B3B">
        <w:rPr>
          <w:sz w:val="24"/>
          <w:szCs w:val="24"/>
        </w:rPr>
        <w:t>Valproinsyres</w:t>
      </w:r>
      <w:proofErr w:type="spellEnd"/>
      <w:r w:rsidRPr="004C0B3B">
        <w:rPr>
          <w:sz w:val="24"/>
          <w:szCs w:val="24"/>
        </w:rPr>
        <w:t xml:space="preserve"> metabolitniveauer kan øges ved samtidig administration med </w:t>
      </w:r>
      <w:proofErr w:type="spellStart"/>
      <w:r w:rsidRPr="004C0B3B">
        <w:rPr>
          <w:sz w:val="24"/>
          <w:szCs w:val="24"/>
        </w:rPr>
        <w:t>phenytoin</w:t>
      </w:r>
      <w:proofErr w:type="spellEnd"/>
      <w:r w:rsidRPr="004C0B3B">
        <w:rPr>
          <w:sz w:val="24"/>
          <w:szCs w:val="24"/>
        </w:rPr>
        <w:t xml:space="preserve"> eller </w:t>
      </w:r>
      <w:proofErr w:type="spellStart"/>
      <w:r w:rsidRPr="004C0B3B">
        <w:rPr>
          <w:sz w:val="24"/>
          <w:szCs w:val="24"/>
        </w:rPr>
        <w:t>phenobarbital</w:t>
      </w:r>
      <w:proofErr w:type="spellEnd"/>
      <w:r w:rsidRPr="004C0B3B">
        <w:rPr>
          <w:sz w:val="24"/>
          <w:szCs w:val="24"/>
        </w:rPr>
        <w:t xml:space="preserve">. Patienter, som behandles med disse to lægemidler, bør derfor monitoreres nøje for tegn og symptomer på </w:t>
      </w:r>
      <w:proofErr w:type="spellStart"/>
      <w:r w:rsidRPr="004C0B3B">
        <w:rPr>
          <w:sz w:val="24"/>
          <w:szCs w:val="24"/>
        </w:rPr>
        <w:t>hyperammoniæmi</w:t>
      </w:r>
      <w:proofErr w:type="spellEnd"/>
      <w:r w:rsidRPr="004C0B3B">
        <w:rPr>
          <w:sz w:val="24"/>
          <w:szCs w:val="24"/>
        </w:rPr>
        <w:t>.</w:t>
      </w:r>
    </w:p>
    <w:p w14:paraId="6DD9628E" w14:textId="77777777" w:rsidR="004873ED" w:rsidRPr="004C0B3B" w:rsidRDefault="004873ED" w:rsidP="004873ED">
      <w:pPr>
        <w:ind w:left="851"/>
        <w:rPr>
          <w:sz w:val="24"/>
          <w:szCs w:val="24"/>
        </w:rPr>
      </w:pPr>
    </w:p>
    <w:p w14:paraId="47A6E622" w14:textId="77777777" w:rsidR="004873ED" w:rsidRPr="004C0B3B" w:rsidRDefault="004873ED" w:rsidP="004873ED">
      <w:pPr>
        <w:ind w:left="851"/>
        <w:rPr>
          <w:i/>
          <w:sz w:val="24"/>
          <w:szCs w:val="24"/>
        </w:rPr>
      </w:pPr>
      <w:proofErr w:type="spellStart"/>
      <w:r w:rsidRPr="004C0B3B">
        <w:rPr>
          <w:i/>
          <w:sz w:val="24"/>
          <w:szCs w:val="24"/>
        </w:rPr>
        <w:t>Felbamat</w:t>
      </w:r>
      <w:proofErr w:type="spellEnd"/>
      <w:r w:rsidRPr="004C0B3B">
        <w:rPr>
          <w:i/>
          <w:sz w:val="24"/>
          <w:szCs w:val="24"/>
        </w:rPr>
        <w:t xml:space="preserve"> </w:t>
      </w:r>
    </w:p>
    <w:p w14:paraId="68D78CA0" w14:textId="77777777" w:rsidR="004873ED" w:rsidRPr="004C0B3B" w:rsidRDefault="004873ED" w:rsidP="004873ED">
      <w:pPr>
        <w:ind w:left="851"/>
        <w:rPr>
          <w:sz w:val="24"/>
          <w:szCs w:val="24"/>
        </w:rPr>
      </w:pPr>
      <w:r w:rsidRPr="004C0B3B">
        <w:rPr>
          <w:sz w:val="24"/>
          <w:szCs w:val="24"/>
        </w:rPr>
        <w:t xml:space="preserve">Kombinationen af </w:t>
      </w:r>
      <w:proofErr w:type="spellStart"/>
      <w:r w:rsidRPr="004C0B3B">
        <w:rPr>
          <w:sz w:val="24"/>
          <w:szCs w:val="24"/>
        </w:rPr>
        <w:t>felbamat</w:t>
      </w:r>
      <w:proofErr w:type="spellEnd"/>
      <w:r w:rsidRPr="004C0B3B">
        <w:rPr>
          <w:sz w:val="24"/>
          <w:szCs w:val="24"/>
        </w:rPr>
        <w:t xml:space="preserve"> og </w:t>
      </w:r>
      <w:proofErr w:type="spellStart"/>
      <w:r w:rsidRPr="004C0B3B">
        <w:rPr>
          <w:sz w:val="24"/>
          <w:szCs w:val="24"/>
        </w:rPr>
        <w:t>valproat</w:t>
      </w:r>
      <w:proofErr w:type="spellEnd"/>
      <w:r w:rsidRPr="004C0B3B">
        <w:rPr>
          <w:sz w:val="24"/>
          <w:szCs w:val="24"/>
        </w:rPr>
        <w:t xml:space="preserve"> kan øge plasmakoncentrationen af </w:t>
      </w:r>
      <w:proofErr w:type="spellStart"/>
      <w:r w:rsidRPr="004C0B3B">
        <w:rPr>
          <w:sz w:val="24"/>
          <w:szCs w:val="24"/>
        </w:rPr>
        <w:t>valproat</w:t>
      </w:r>
      <w:proofErr w:type="spellEnd"/>
      <w:r w:rsidRPr="004C0B3B">
        <w:rPr>
          <w:sz w:val="24"/>
          <w:szCs w:val="24"/>
        </w:rPr>
        <w:t xml:space="preserve"> lineært med 18 % i forhold til dosis. </w:t>
      </w:r>
      <w:proofErr w:type="spellStart"/>
      <w:r w:rsidRPr="004C0B3B">
        <w:rPr>
          <w:sz w:val="24"/>
          <w:szCs w:val="24"/>
        </w:rPr>
        <w:t>Valproatdoseringen</w:t>
      </w:r>
      <w:proofErr w:type="spellEnd"/>
      <w:r w:rsidRPr="004C0B3B">
        <w:rPr>
          <w:sz w:val="24"/>
          <w:szCs w:val="24"/>
        </w:rPr>
        <w:t xml:space="preserve"> skal reevalueres. </w:t>
      </w:r>
    </w:p>
    <w:p w14:paraId="303AD401" w14:textId="77777777" w:rsidR="004873ED" w:rsidRPr="004C0B3B" w:rsidRDefault="004873ED" w:rsidP="004873ED">
      <w:pPr>
        <w:ind w:left="851"/>
        <w:rPr>
          <w:sz w:val="24"/>
          <w:szCs w:val="24"/>
        </w:rPr>
      </w:pPr>
    </w:p>
    <w:p w14:paraId="5BE40A32" w14:textId="77777777" w:rsidR="004873ED" w:rsidRPr="004C0B3B" w:rsidRDefault="004873ED" w:rsidP="004873ED">
      <w:pPr>
        <w:tabs>
          <w:tab w:val="left" w:pos="851"/>
        </w:tabs>
        <w:ind w:left="851"/>
        <w:rPr>
          <w:i/>
          <w:sz w:val="24"/>
          <w:szCs w:val="24"/>
        </w:rPr>
      </w:pPr>
      <w:proofErr w:type="spellStart"/>
      <w:r w:rsidRPr="004C0B3B">
        <w:rPr>
          <w:i/>
          <w:sz w:val="24"/>
          <w:szCs w:val="24"/>
        </w:rPr>
        <w:t>Mefloquin</w:t>
      </w:r>
      <w:proofErr w:type="spellEnd"/>
      <w:r w:rsidRPr="004C0B3B">
        <w:rPr>
          <w:i/>
          <w:sz w:val="24"/>
          <w:szCs w:val="24"/>
        </w:rPr>
        <w:t xml:space="preserve"> </w:t>
      </w:r>
    </w:p>
    <w:p w14:paraId="56680637" w14:textId="77777777" w:rsidR="004873ED" w:rsidRPr="004C0B3B" w:rsidRDefault="004873ED" w:rsidP="004873ED">
      <w:pPr>
        <w:tabs>
          <w:tab w:val="left" w:pos="851"/>
        </w:tabs>
        <w:ind w:left="851"/>
        <w:rPr>
          <w:sz w:val="24"/>
          <w:szCs w:val="24"/>
        </w:rPr>
      </w:pPr>
      <w:proofErr w:type="spellStart"/>
      <w:r w:rsidRPr="004C0B3B">
        <w:rPr>
          <w:sz w:val="24"/>
          <w:szCs w:val="24"/>
        </w:rPr>
        <w:t>Mefloquin</w:t>
      </w:r>
      <w:proofErr w:type="spellEnd"/>
      <w:r w:rsidRPr="004C0B3B">
        <w:rPr>
          <w:sz w:val="24"/>
          <w:szCs w:val="24"/>
        </w:rPr>
        <w:t xml:space="preserve"> øger omsætningen af </w:t>
      </w:r>
      <w:proofErr w:type="spellStart"/>
      <w:r w:rsidRPr="004C0B3B">
        <w:rPr>
          <w:sz w:val="24"/>
          <w:szCs w:val="24"/>
        </w:rPr>
        <w:t>valproat</w:t>
      </w:r>
      <w:proofErr w:type="spellEnd"/>
      <w:r w:rsidRPr="004C0B3B">
        <w:rPr>
          <w:sz w:val="24"/>
          <w:szCs w:val="24"/>
        </w:rPr>
        <w:t xml:space="preserve"> og har en </w:t>
      </w:r>
      <w:proofErr w:type="spellStart"/>
      <w:r w:rsidRPr="004C0B3B">
        <w:rPr>
          <w:sz w:val="24"/>
          <w:szCs w:val="24"/>
        </w:rPr>
        <w:t>anfaldsfremkaldende</w:t>
      </w:r>
      <w:proofErr w:type="spellEnd"/>
      <w:r w:rsidRPr="004C0B3B">
        <w:rPr>
          <w:sz w:val="24"/>
          <w:szCs w:val="24"/>
        </w:rPr>
        <w:t xml:space="preserve"> effekt. Der kan derfor forekomme epileptiske anfald ved kombinationsbehandling.</w:t>
      </w:r>
    </w:p>
    <w:p w14:paraId="6FC354F4" w14:textId="77777777" w:rsidR="004873ED" w:rsidRPr="004C0B3B" w:rsidRDefault="004873ED" w:rsidP="004873ED">
      <w:pPr>
        <w:ind w:left="851"/>
        <w:rPr>
          <w:sz w:val="24"/>
          <w:szCs w:val="24"/>
        </w:rPr>
      </w:pPr>
    </w:p>
    <w:p w14:paraId="339F00D7" w14:textId="77777777" w:rsidR="004873ED" w:rsidRPr="004C0B3B" w:rsidRDefault="004873ED" w:rsidP="004873ED">
      <w:pPr>
        <w:ind w:left="851"/>
        <w:rPr>
          <w:i/>
          <w:sz w:val="24"/>
          <w:szCs w:val="24"/>
        </w:rPr>
      </w:pPr>
      <w:proofErr w:type="spellStart"/>
      <w:r w:rsidRPr="004C0B3B">
        <w:rPr>
          <w:i/>
          <w:sz w:val="24"/>
          <w:szCs w:val="24"/>
        </w:rPr>
        <w:t>Cisplatin</w:t>
      </w:r>
      <w:proofErr w:type="spellEnd"/>
      <w:r w:rsidRPr="004C0B3B">
        <w:rPr>
          <w:i/>
          <w:sz w:val="24"/>
          <w:szCs w:val="24"/>
        </w:rPr>
        <w:t xml:space="preserve"> og </w:t>
      </w:r>
      <w:proofErr w:type="spellStart"/>
      <w:r w:rsidRPr="004C0B3B">
        <w:rPr>
          <w:i/>
          <w:sz w:val="24"/>
          <w:szCs w:val="24"/>
        </w:rPr>
        <w:t>adriamycin</w:t>
      </w:r>
      <w:proofErr w:type="spellEnd"/>
      <w:r w:rsidRPr="004C0B3B">
        <w:rPr>
          <w:i/>
          <w:sz w:val="24"/>
          <w:szCs w:val="24"/>
        </w:rPr>
        <w:t xml:space="preserve"> </w:t>
      </w:r>
    </w:p>
    <w:p w14:paraId="75EFF6AB" w14:textId="77777777" w:rsidR="004873ED" w:rsidRPr="004C0B3B" w:rsidRDefault="004873ED" w:rsidP="004873ED">
      <w:pPr>
        <w:ind w:left="851"/>
        <w:rPr>
          <w:sz w:val="24"/>
          <w:szCs w:val="24"/>
        </w:rPr>
      </w:pPr>
      <w:proofErr w:type="spellStart"/>
      <w:r w:rsidRPr="004C0B3B">
        <w:rPr>
          <w:sz w:val="24"/>
          <w:szCs w:val="24"/>
        </w:rPr>
        <w:t>Cisplatin</w:t>
      </w:r>
      <w:proofErr w:type="spellEnd"/>
      <w:r w:rsidRPr="004C0B3B">
        <w:rPr>
          <w:sz w:val="24"/>
          <w:szCs w:val="24"/>
        </w:rPr>
        <w:t xml:space="preserve"> og </w:t>
      </w:r>
      <w:proofErr w:type="spellStart"/>
      <w:r w:rsidRPr="004C0B3B">
        <w:rPr>
          <w:sz w:val="24"/>
          <w:szCs w:val="24"/>
        </w:rPr>
        <w:t>adriamycin</w:t>
      </w:r>
      <w:proofErr w:type="spellEnd"/>
      <w:r w:rsidRPr="004C0B3B">
        <w:rPr>
          <w:sz w:val="24"/>
          <w:szCs w:val="24"/>
        </w:rPr>
        <w:t xml:space="preserve"> kan nedsætte plasmakoncentrationen af </w:t>
      </w:r>
      <w:proofErr w:type="spellStart"/>
      <w:r w:rsidRPr="004C0B3B">
        <w:rPr>
          <w:sz w:val="24"/>
          <w:szCs w:val="24"/>
        </w:rPr>
        <w:t>valproat</w:t>
      </w:r>
      <w:proofErr w:type="spellEnd"/>
      <w:r w:rsidRPr="004C0B3B">
        <w:rPr>
          <w:sz w:val="24"/>
          <w:szCs w:val="24"/>
        </w:rPr>
        <w:t xml:space="preserve">. Årsagen er ukendt. Kombinationen bør undgås.  </w:t>
      </w:r>
    </w:p>
    <w:p w14:paraId="11D6F1AA" w14:textId="77777777" w:rsidR="004873ED" w:rsidRPr="004C0B3B" w:rsidRDefault="004873ED" w:rsidP="004873ED">
      <w:pPr>
        <w:ind w:left="851"/>
        <w:rPr>
          <w:sz w:val="24"/>
          <w:szCs w:val="24"/>
        </w:rPr>
      </w:pPr>
    </w:p>
    <w:p w14:paraId="7E01BDD4" w14:textId="77777777" w:rsidR="004873ED" w:rsidRPr="004C0B3B" w:rsidRDefault="004873ED" w:rsidP="004873ED">
      <w:pPr>
        <w:ind w:left="851"/>
        <w:rPr>
          <w:sz w:val="24"/>
          <w:szCs w:val="24"/>
        </w:rPr>
      </w:pPr>
      <w:proofErr w:type="spellStart"/>
      <w:r w:rsidRPr="004C0B3B">
        <w:rPr>
          <w:sz w:val="24"/>
          <w:szCs w:val="24"/>
        </w:rPr>
        <w:t>Valproats</w:t>
      </w:r>
      <w:proofErr w:type="spellEnd"/>
      <w:r w:rsidRPr="004C0B3B">
        <w:rPr>
          <w:sz w:val="24"/>
          <w:szCs w:val="24"/>
        </w:rPr>
        <w:t xml:space="preserve"> serumniveau øges muligvis ved samtidig brug af andre lægemidler, som hæmmer leverenzymsystemet, f.eks. </w:t>
      </w:r>
      <w:proofErr w:type="spellStart"/>
      <w:r w:rsidRPr="004C0B3B">
        <w:rPr>
          <w:sz w:val="24"/>
          <w:szCs w:val="24"/>
        </w:rPr>
        <w:t>cimetidin</w:t>
      </w:r>
      <w:proofErr w:type="spellEnd"/>
      <w:r w:rsidRPr="004C0B3B">
        <w:rPr>
          <w:sz w:val="24"/>
          <w:szCs w:val="24"/>
        </w:rPr>
        <w:t xml:space="preserve"> eller </w:t>
      </w:r>
      <w:proofErr w:type="spellStart"/>
      <w:r w:rsidRPr="004C0B3B">
        <w:rPr>
          <w:sz w:val="24"/>
          <w:szCs w:val="24"/>
        </w:rPr>
        <w:t>erythromycin</w:t>
      </w:r>
      <w:proofErr w:type="spellEnd"/>
      <w:r w:rsidRPr="004C0B3B">
        <w:rPr>
          <w:sz w:val="24"/>
          <w:szCs w:val="24"/>
        </w:rPr>
        <w:t>.</w:t>
      </w:r>
    </w:p>
    <w:p w14:paraId="23DC5B43" w14:textId="77777777" w:rsidR="004873ED" w:rsidRPr="004C0B3B" w:rsidRDefault="004873ED" w:rsidP="004873ED">
      <w:pPr>
        <w:ind w:left="851"/>
        <w:rPr>
          <w:sz w:val="24"/>
          <w:szCs w:val="24"/>
        </w:rPr>
      </w:pPr>
    </w:p>
    <w:p w14:paraId="57A5ECE2" w14:textId="77777777" w:rsidR="004873ED" w:rsidRPr="004C0B3B" w:rsidRDefault="004873ED" w:rsidP="004873ED">
      <w:pPr>
        <w:ind w:left="851"/>
        <w:rPr>
          <w:i/>
          <w:sz w:val="24"/>
          <w:szCs w:val="24"/>
        </w:rPr>
      </w:pPr>
      <w:proofErr w:type="spellStart"/>
      <w:r w:rsidRPr="004C0B3B">
        <w:rPr>
          <w:i/>
          <w:sz w:val="24"/>
          <w:szCs w:val="24"/>
        </w:rPr>
        <w:t>Carbapenemer</w:t>
      </w:r>
      <w:proofErr w:type="spellEnd"/>
      <w:r w:rsidRPr="004C0B3B">
        <w:rPr>
          <w:i/>
          <w:sz w:val="24"/>
          <w:szCs w:val="24"/>
        </w:rPr>
        <w:t xml:space="preserve"> </w:t>
      </w:r>
    </w:p>
    <w:p w14:paraId="137D8840" w14:textId="77777777" w:rsidR="004873ED" w:rsidRPr="004C0B3B" w:rsidRDefault="004873ED" w:rsidP="004873ED">
      <w:pPr>
        <w:ind w:left="851"/>
        <w:rPr>
          <w:sz w:val="24"/>
          <w:szCs w:val="24"/>
        </w:rPr>
      </w:pPr>
      <w:r w:rsidRPr="004C0B3B">
        <w:rPr>
          <w:sz w:val="24"/>
          <w:szCs w:val="24"/>
        </w:rPr>
        <w:t xml:space="preserve">Fald i koncentrationen af </w:t>
      </w:r>
      <w:proofErr w:type="spellStart"/>
      <w:r w:rsidRPr="004C0B3B">
        <w:rPr>
          <w:sz w:val="24"/>
          <w:szCs w:val="24"/>
        </w:rPr>
        <w:t>valproinsyre</w:t>
      </w:r>
      <w:proofErr w:type="spellEnd"/>
      <w:r w:rsidRPr="004C0B3B">
        <w:rPr>
          <w:sz w:val="24"/>
          <w:szCs w:val="24"/>
        </w:rPr>
        <w:t xml:space="preserve"> i blodet er blevet rapporteret, når det administreres sammen med </w:t>
      </w:r>
      <w:proofErr w:type="spellStart"/>
      <w:r w:rsidRPr="004C0B3B">
        <w:rPr>
          <w:sz w:val="24"/>
          <w:szCs w:val="24"/>
        </w:rPr>
        <w:t>carbapenemer</w:t>
      </w:r>
      <w:proofErr w:type="spellEnd"/>
      <w:r w:rsidRPr="004C0B3B">
        <w:rPr>
          <w:sz w:val="24"/>
          <w:szCs w:val="24"/>
        </w:rPr>
        <w:t xml:space="preserve">, og det resulterer i et 60-100 % fald i </w:t>
      </w:r>
      <w:proofErr w:type="spellStart"/>
      <w:r w:rsidRPr="004C0B3B">
        <w:rPr>
          <w:sz w:val="24"/>
          <w:szCs w:val="24"/>
        </w:rPr>
        <w:t>valproinsyreniveauet</w:t>
      </w:r>
      <w:proofErr w:type="spellEnd"/>
      <w:r w:rsidRPr="004C0B3B">
        <w:rPr>
          <w:sz w:val="24"/>
          <w:szCs w:val="24"/>
        </w:rPr>
        <w:t xml:space="preserve"> efter omkring 2 dage. På grund af det hurtige og kraftige fald anses det ikke for muligt at styre samtidig behandling med </w:t>
      </w:r>
      <w:proofErr w:type="spellStart"/>
      <w:r w:rsidRPr="004C0B3B">
        <w:rPr>
          <w:sz w:val="24"/>
          <w:szCs w:val="24"/>
        </w:rPr>
        <w:t>carbapenemer</w:t>
      </w:r>
      <w:proofErr w:type="spellEnd"/>
      <w:r w:rsidRPr="004C0B3B">
        <w:rPr>
          <w:sz w:val="24"/>
          <w:szCs w:val="24"/>
        </w:rPr>
        <w:t xml:space="preserve"> hos patienter, der er stabiliseret med </w:t>
      </w:r>
      <w:proofErr w:type="spellStart"/>
      <w:r w:rsidRPr="004C0B3B">
        <w:rPr>
          <w:sz w:val="24"/>
          <w:szCs w:val="24"/>
        </w:rPr>
        <w:t>valproinsyre</w:t>
      </w:r>
      <w:proofErr w:type="spellEnd"/>
      <w:r w:rsidRPr="004C0B3B">
        <w:rPr>
          <w:sz w:val="24"/>
          <w:szCs w:val="24"/>
        </w:rPr>
        <w:t>. Kombinationen bør derfor undgås (se pkt. 4.4).</w:t>
      </w:r>
    </w:p>
    <w:p w14:paraId="51E0B32D" w14:textId="77777777" w:rsidR="00522563" w:rsidRPr="004C0B3B" w:rsidRDefault="00522563" w:rsidP="00522563">
      <w:pPr>
        <w:keepNext/>
        <w:keepLines/>
        <w:widowControl w:val="0"/>
        <w:ind w:left="851"/>
        <w:rPr>
          <w:i/>
          <w:sz w:val="24"/>
          <w:szCs w:val="24"/>
        </w:rPr>
      </w:pPr>
      <w:proofErr w:type="spellStart"/>
      <w:r w:rsidRPr="004C0B3B">
        <w:rPr>
          <w:i/>
          <w:sz w:val="24"/>
          <w:szCs w:val="24"/>
        </w:rPr>
        <w:t>Rifampicin</w:t>
      </w:r>
      <w:proofErr w:type="spellEnd"/>
    </w:p>
    <w:p w14:paraId="34469A78" w14:textId="77777777" w:rsidR="00522563" w:rsidRPr="004C0B3B" w:rsidRDefault="00522563" w:rsidP="00522563">
      <w:pPr>
        <w:keepNext/>
        <w:keepLines/>
        <w:widowControl w:val="0"/>
        <w:ind w:left="851"/>
        <w:rPr>
          <w:sz w:val="24"/>
          <w:szCs w:val="24"/>
        </w:rPr>
      </w:pPr>
      <w:proofErr w:type="spellStart"/>
      <w:r w:rsidRPr="004C0B3B">
        <w:rPr>
          <w:sz w:val="24"/>
          <w:szCs w:val="24"/>
        </w:rPr>
        <w:t>Rifampicin</w:t>
      </w:r>
      <w:proofErr w:type="spellEnd"/>
      <w:r w:rsidRPr="004C0B3B">
        <w:rPr>
          <w:sz w:val="24"/>
          <w:szCs w:val="24"/>
        </w:rPr>
        <w:t xml:space="preserve"> kan nedsætte serumniveauet af </w:t>
      </w:r>
      <w:proofErr w:type="spellStart"/>
      <w:r w:rsidRPr="004C0B3B">
        <w:rPr>
          <w:sz w:val="24"/>
          <w:szCs w:val="24"/>
        </w:rPr>
        <w:t>valproat</w:t>
      </w:r>
      <w:proofErr w:type="spellEnd"/>
      <w:r w:rsidRPr="004C0B3B">
        <w:rPr>
          <w:sz w:val="24"/>
          <w:szCs w:val="24"/>
        </w:rPr>
        <w:t xml:space="preserve">, hvilket kan medføre manglende terapeutisk effekt. Det kan derfor være nødvendigt at justere dosis af </w:t>
      </w:r>
      <w:proofErr w:type="spellStart"/>
      <w:r w:rsidRPr="004C0B3B">
        <w:rPr>
          <w:sz w:val="24"/>
          <w:szCs w:val="24"/>
        </w:rPr>
        <w:t>valproat</w:t>
      </w:r>
      <w:proofErr w:type="spellEnd"/>
      <w:r w:rsidRPr="004C0B3B">
        <w:rPr>
          <w:sz w:val="24"/>
          <w:szCs w:val="24"/>
        </w:rPr>
        <w:t xml:space="preserve"> ved samtidig administration af </w:t>
      </w:r>
      <w:proofErr w:type="spellStart"/>
      <w:r w:rsidRPr="004C0B3B">
        <w:rPr>
          <w:sz w:val="24"/>
          <w:szCs w:val="24"/>
        </w:rPr>
        <w:t>rifampicin</w:t>
      </w:r>
      <w:proofErr w:type="spellEnd"/>
      <w:r w:rsidRPr="004C0B3B">
        <w:rPr>
          <w:sz w:val="24"/>
          <w:szCs w:val="24"/>
        </w:rPr>
        <w:t>.</w:t>
      </w:r>
    </w:p>
    <w:p w14:paraId="13A0AE43" w14:textId="77777777" w:rsidR="004873ED" w:rsidRPr="004C0B3B" w:rsidRDefault="004873ED" w:rsidP="004873ED">
      <w:pPr>
        <w:ind w:left="851"/>
        <w:rPr>
          <w:sz w:val="24"/>
          <w:szCs w:val="24"/>
        </w:rPr>
      </w:pPr>
    </w:p>
    <w:p w14:paraId="1649EA74" w14:textId="77777777" w:rsidR="004873ED" w:rsidRPr="004C0B3B" w:rsidRDefault="004873ED" w:rsidP="004873ED">
      <w:pPr>
        <w:ind w:left="851"/>
        <w:rPr>
          <w:i/>
          <w:sz w:val="24"/>
          <w:szCs w:val="24"/>
        </w:rPr>
      </w:pPr>
      <w:proofErr w:type="spellStart"/>
      <w:r w:rsidRPr="004C0B3B">
        <w:rPr>
          <w:i/>
          <w:sz w:val="24"/>
          <w:szCs w:val="24"/>
        </w:rPr>
        <w:t>Proteasehæmmere</w:t>
      </w:r>
      <w:proofErr w:type="spellEnd"/>
    </w:p>
    <w:p w14:paraId="2CB41AC4" w14:textId="77777777" w:rsidR="004873ED" w:rsidRPr="004C0B3B" w:rsidRDefault="004873ED" w:rsidP="004873ED">
      <w:pPr>
        <w:ind w:left="851"/>
        <w:rPr>
          <w:sz w:val="24"/>
          <w:szCs w:val="24"/>
        </w:rPr>
      </w:pPr>
      <w:r w:rsidRPr="004C0B3B">
        <w:rPr>
          <w:sz w:val="24"/>
          <w:szCs w:val="24"/>
        </w:rPr>
        <w:t xml:space="preserve">Samtidig administration af </w:t>
      </w:r>
      <w:proofErr w:type="spellStart"/>
      <w:r w:rsidRPr="004C0B3B">
        <w:rPr>
          <w:sz w:val="24"/>
          <w:szCs w:val="24"/>
        </w:rPr>
        <w:t>proteasehæmmere</w:t>
      </w:r>
      <w:proofErr w:type="spellEnd"/>
      <w:r w:rsidRPr="004C0B3B">
        <w:rPr>
          <w:sz w:val="24"/>
          <w:szCs w:val="24"/>
        </w:rPr>
        <w:t xml:space="preserve"> såsom lopinavir og ritonavir kan nedsætte </w:t>
      </w:r>
      <w:proofErr w:type="spellStart"/>
      <w:r w:rsidRPr="004C0B3B">
        <w:rPr>
          <w:sz w:val="24"/>
          <w:szCs w:val="24"/>
        </w:rPr>
        <w:t>valproats</w:t>
      </w:r>
      <w:proofErr w:type="spellEnd"/>
      <w:r w:rsidRPr="004C0B3B">
        <w:rPr>
          <w:sz w:val="24"/>
          <w:szCs w:val="24"/>
        </w:rPr>
        <w:t xml:space="preserve"> plasmaniveau.</w:t>
      </w:r>
    </w:p>
    <w:p w14:paraId="147394A4" w14:textId="77777777" w:rsidR="004873ED" w:rsidRPr="004C0B3B" w:rsidRDefault="004873ED" w:rsidP="004873ED">
      <w:pPr>
        <w:ind w:left="851"/>
        <w:rPr>
          <w:sz w:val="24"/>
          <w:szCs w:val="24"/>
        </w:rPr>
      </w:pPr>
    </w:p>
    <w:p w14:paraId="311A1D56" w14:textId="77777777" w:rsidR="004873ED" w:rsidRPr="004C0B3B" w:rsidRDefault="004873ED" w:rsidP="004873ED">
      <w:pPr>
        <w:ind w:left="851"/>
        <w:rPr>
          <w:i/>
          <w:sz w:val="24"/>
          <w:szCs w:val="24"/>
        </w:rPr>
      </w:pPr>
      <w:proofErr w:type="spellStart"/>
      <w:r w:rsidRPr="004C0B3B">
        <w:rPr>
          <w:i/>
          <w:sz w:val="24"/>
          <w:szCs w:val="24"/>
        </w:rPr>
        <w:t>Colestyramin</w:t>
      </w:r>
      <w:proofErr w:type="spellEnd"/>
      <w:r w:rsidRPr="004C0B3B">
        <w:rPr>
          <w:i/>
          <w:sz w:val="24"/>
          <w:szCs w:val="24"/>
        </w:rPr>
        <w:t xml:space="preserve"> </w:t>
      </w:r>
    </w:p>
    <w:p w14:paraId="51E44A34" w14:textId="77777777" w:rsidR="004873ED" w:rsidRPr="004C0B3B" w:rsidRDefault="004873ED" w:rsidP="004873ED">
      <w:pPr>
        <w:ind w:left="851"/>
        <w:rPr>
          <w:sz w:val="24"/>
          <w:szCs w:val="24"/>
        </w:rPr>
      </w:pPr>
      <w:r w:rsidRPr="004C0B3B">
        <w:rPr>
          <w:sz w:val="24"/>
          <w:szCs w:val="24"/>
        </w:rPr>
        <w:t xml:space="preserve">Absorptionen af </w:t>
      </w:r>
      <w:proofErr w:type="spellStart"/>
      <w:r w:rsidRPr="004C0B3B">
        <w:rPr>
          <w:sz w:val="24"/>
          <w:szCs w:val="24"/>
        </w:rPr>
        <w:t>valproat</w:t>
      </w:r>
      <w:proofErr w:type="spellEnd"/>
      <w:r w:rsidRPr="004C0B3B">
        <w:rPr>
          <w:sz w:val="24"/>
          <w:szCs w:val="24"/>
        </w:rPr>
        <w:t xml:space="preserve"> kan blive nedsat ved samtidig brug af </w:t>
      </w:r>
      <w:proofErr w:type="spellStart"/>
      <w:r w:rsidRPr="004C0B3B">
        <w:rPr>
          <w:sz w:val="24"/>
          <w:szCs w:val="24"/>
        </w:rPr>
        <w:t>colestyramin</w:t>
      </w:r>
      <w:proofErr w:type="spellEnd"/>
      <w:r w:rsidRPr="004C0B3B">
        <w:rPr>
          <w:sz w:val="24"/>
          <w:szCs w:val="24"/>
        </w:rPr>
        <w:t>.</w:t>
      </w:r>
    </w:p>
    <w:p w14:paraId="3DFF7E30" w14:textId="77777777" w:rsidR="004873ED" w:rsidRPr="004C0B3B" w:rsidRDefault="004873ED" w:rsidP="004873ED">
      <w:pPr>
        <w:ind w:left="851"/>
        <w:rPr>
          <w:i/>
          <w:sz w:val="24"/>
          <w:szCs w:val="24"/>
        </w:rPr>
      </w:pPr>
    </w:p>
    <w:p w14:paraId="0D98D45A" w14:textId="77777777" w:rsidR="00B746D6" w:rsidRPr="004C0B3B" w:rsidRDefault="00B746D6" w:rsidP="00B746D6">
      <w:pPr>
        <w:tabs>
          <w:tab w:val="left" w:pos="851"/>
        </w:tabs>
        <w:ind w:left="851"/>
        <w:rPr>
          <w:i/>
          <w:sz w:val="24"/>
          <w:szCs w:val="24"/>
          <w:lang w:eastAsia="da-DK"/>
        </w:rPr>
      </w:pPr>
      <w:r w:rsidRPr="004C0B3B">
        <w:rPr>
          <w:i/>
          <w:sz w:val="24"/>
          <w:szCs w:val="24"/>
        </w:rPr>
        <w:t>Østrogenholdige præparater, herunder østrogenholdige hormonelle præventionsmidler</w:t>
      </w:r>
    </w:p>
    <w:p w14:paraId="3B173D2A" w14:textId="77777777" w:rsidR="00B746D6" w:rsidRPr="004C0B3B" w:rsidRDefault="00B746D6" w:rsidP="00B746D6">
      <w:pPr>
        <w:ind w:left="851"/>
        <w:rPr>
          <w:sz w:val="24"/>
          <w:szCs w:val="24"/>
        </w:rPr>
      </w:pPr>
      <w:r w:rsidRPr="004C0B3B">
        <w:rPr>
          <w:sz w:val="24"/>
          <w:szCs w:val="24"/>
        </w:rPr>
        <w:t>Østrogener inducerer de UDP-</w:t>
      </w:r>
      <w:proofErr w:type="spellStart"/>
      <w:r w:rsidRPr="004C0B3B">
        <w:rPr>
          <w:sz w:val="24"/>
          <w:szCs w:val="24"/>
        </w:rPr>
        <w:t>glucuronosyltransferase</w:t>
      </w:r>
      <w:proofErr w:type="spellEnd"/>
      <w:r w:rsidRPr="004C0B3B">
        <w:rPr>
          <w:sz w:val="24"/>
          <w:szCs w:val="24"/>
        </w:rPr>
        <w:t xml:space="preserve"> (UGT)-</w:t>
      </w:r>
      <w:proofErr w:type="spellStart"/>
      <w:r w:rsidRPr="004C0B3B">
        <w:rPr>
          <w:sz w:val="24"/>
          <w:szCs w:val="24"/>
        </w:rPr>
        <w:t>isoformer</w:t>
      </w:r>
      <w:proofErr w:type="spellEnd"/>
      <w:r w:rsidRPr="004C0B3B">
        <w:rPr>
          <w:sz w:val="24"/>
          <w:szCs w:val="24"/>
        </w:rPr>
        <w:t xml:space="preserve">, der er medvirkende til </w:t>
      </w:r>
      <w:proofErr w:type="spellStart"/>
      <w:r w:rsidRPr="004C0B3B">
        <w:rPr>
          <w:sz w:val="24"/>
          <w:szCs w:val="24"/>
        </w:rPr>
        <w:t>glucuronidering</w:t>
      </w:r>
      <w:proofErr w:type="spellEnd"/>
      <w:r w:rsidRPr="004C0B3B">
        <w:rPr>
          <w:sz w:val="24"/>
          <w:szCs w:val="24"/>
        </w:rPr>
        <w:t xml:space="preserve"> af </w:t>
      </w:r>
      <w:proofErr w:type="spellStart"/>
      <w:r w:rsidRPr="004C0B3B">
        <w:rPr>
          <w:sz w:val="24"/>
          <w:szCs w:val="24"/>
        </w:rPr>
        <w:t>valproat</w:t>
      </w:r>
      <w:proofErr w:type="spellEnd"/>
      <w:r w:rsidRPr="004C0B3B">
        <w:rPr>
          <w:sz w:val="24"/>
          <w:szCs w:val="24"/>
        </w:rPr>
        <w:t xml:space="preserve">, og kan øge </w:t>
      </w:r>
      <w:proofErr w:type="spellStart"/>
      <w:r w:rsidRPr="004C0B3B">
        <w:rPr>
          <w:sz w:val="24"/>
          <w:szCs w:val="24"/>
        </w:rPr>
        <w:t>clearance</w:t>
      </w:r>
      <w:proofErr w:type="spellEnd"/>
      <w:r w:rsidRPr="004C0B3B">
        <w:rPr>
          <w:sz w:val="24"/>
          <w:szCs w:val="24"/>
        </w:rPr>
        <w:t xml:space="preserve"> af </w:t>
      </w:r>
      <w:proofErr w:type="spellStart"/>
      <w:r w:rsidRPr="004C0B3B">
        <w:rPr>
          <w:sz w:val="24"/>
          <w:szCs w:val="24"/>
        </w:rPr>
        <w:t>valproat</w:t>
      </w:r>
      <w:proofErr w:type="spellEnd"/>
      <w:r w:rsidRPr="004C0B3B">
        <w:rPr>
          <w:sz w:val="24"/>
          <w:szCs w:val="24"/>
        </w:rPr>
        <w:t xml:space="preserve">, hvilket kan resultere i nedsat serumkoncentration af </w:t>
      </w:r>
      <w:proofErr w:type="spellStart"/>
      <w:r w:rsidRPr="004C0B3B">
        <w:rPr>
          <w:sz w:val="24"/>
          <w:szCs w:val="24"/>
        </w:rPr>
        <w:t>valproat</w:t>
      </w:r>
      <w:proofErr w:type="spellEnd"/>
      <w:r w:rsidRPr="004C0B3B">
        <w:rPr>
          <w:sz w:val="24"/>
          <w:szCs w:val="24"/>
        </w:rPr>
        <w:t xml:space="preserve"> og potentielt nedsat effekt af </w:t>
      </w:r>
      <w:proofErr w:type="spellStart"/>
      <w:r w:rsidRPr="004C0B3B">
        <w:rPr>
          <w:sz w:val="24"/>
          <w:szCs w:val="24"/>
        </w:rPr>
        <w:t>valproat</w:t>
      </w:r>
      <w:proofErr w:type="spellEnd"/>
      <w:r w:rsidRPr="004C0B3B">
        <w:rPr>
          <w:sz w:val="24"/>
          <w:szCs w:val="24"/>
        </w:rPr>
        <w:t xml:space="preserve"> (se pkt. 4.4). Overvej overvågning af serumniveauer af </w:t>
      </w:r>
      <w:proofErr w:type="spellStart"/>
      <w:r w:rsidRPr="004C0B3B">
        <w:rPr>
          <w:sz w:val="24"/>
          <w:szCs w:val="24"/>
        </w:rPr>
        <w:t>valproat</w:t>
      </w:r>
      <w:proofErr w:type="spellEnd"/>
      <w:r w:rsidRPr="004C0B3B">
        <w:rPr>
          <w:sz w:val="24"/>
          <w:szCs w:val="24"/>
        </w:rPr>
        <w:t>.</w:t>
      </w:r>
    </w:p>
    <w:p w14:paraId="05923E24" w14:textId="77777777" w:rsidR="00B746D6" w:rsidRPr="004C0B3B" w:rsidRDefault="00B746D6" w:rsidP="00B746D6">
      <w:pPr>
        <w:ind w:left="1701"/>
        <w:rPr>
          <w:sz w:val="24"/>
          <w:szCs w:val="24"/>
        </w:rPr>
      </w:pPr>
    </w:p>
    <w:p w14:paraId="5666A24D" w14:textId="77777777" w:rsidR="00B746D6" w:rsidRPr="004C0B3B" w:rsidRDefault="00B746D6" w:rsidP="00B746D6">
      <w:pPr>
        <w:ind w:left="851"/>
        <w:rPr>
          <w:sz w:val="24"/>
          <w:szCs w:val="24"/>
        </w:rPr>
      </w:pPr>
      <w:r w:rsidRPr="004C0B3B">
        <w:rPr>
          <w:sz w:val="24"/>
          <w:szCs w:val="24"/>
        </w:rPr>
        <w:t xml:space="preserve">Omvendt har </w:t>
      </w:r>
      <w:proofErr w:type="spellStart"/>
      <w:r w:rsidRPr="004C0B3B">
        <w:rPr>
          <w:sz w:val="24"/>
          <w:szCs w:val="24"/>
        </w:rPr>
        <w:t>valproat</w:t>
      </w:r>
      <w:proofErr w:type="spellEnd"/>
      <w:r w:rsidRPr="004C0B3B">
        <w:rPr>
          <w:sz w:val="24"/>
          <w:szCs w:val="24"/>
        </w:rPr>
        <w:t xml:space="preserve"> ingen enzyminducerende effekt. Som følge heraf reducerer </w:t>
      </w:r>
      <w:proofErr w:type="spellStart"/>
      <w:r w:rsidRPr="004C0B3B">
        <w:rPr>
          <w:sz w:val="24"/>
          <w:szCs w:val="24"/>
        </w:rPr>
        <w:t>valproat</w:t>
      </w:r>
      <w:proofErr w:type="spellEnd"/>
      <w:r w:rsidRPr="004C0B3B">
        <w:rPr>
          <w:sz w:val="24"/>
          <w:szCs w:val="24"/>
        </w:rPr>
        <w:t xml:space="preserve"> ikke effekten af </w:t>
      </w:r>
      <w:proofErr w:type="spellStart"/>
      <w:r w:rsidRPr="004C0B3B">
        <w:rPr>
          <w:sz w:val="24"/>
          <w:szCs w:val="24"/>
        </w:rPr>
        <w:t>østroprogestative</w:t>
      </w:r>
      <w:proofErr w:type="spellEnd"/>
      <w:r w:rsidRPr="004C0B3B">
        <w:rPr>
          <w:sz w:val="24"/>
          <w:szCs w:val="24"/>
        </w:rPr>
        <w:t xml:space="preserve"> midler hos kvinder, der får hormonelle præventionsmidler.</w:t>
      </w:r>
    </w:p>
    <w:p w14:paraId="3A6D38CB" w14:textId="77777777" w:rsidR="00B746D6" w:rsidRPr="004C0B3B" w:rsidRDefault="00B746D6" w:rsidP="004873ED">
      <w:pPr>
        <w:ind w:left="851"/>
        <w:rPr>
          <w:sz w:val="24"/>
          <w:szCs w:val="24"/>
        </w:rPr>
      </w:pPr>
    </w:p>
    <w:p w14:paraId="0B288EE7" w14:textId="77777777" w:rsidR="002E2CEC" w:rsidRPr="004C0B3B" w:rsidRDefault="002E2CEC" w:rsidP="002E2CEC">
      <w:pPr>
        <w:ind w:left="851"/>
        <w:rPr>
          <w:i/>
          <w:iCs/>
          <w:sz w:val="24"/>
          <w:szCs w:val="24"/>
        </w:rPr>
      </w:pPr>
      <w:proofErr w:type="spellStart"/>
      <w:r w:rsidRPr="004C0B3B">
        <w:rPr>
          <w:i/>
          <w:iCs/>
          <w:sz w:val="24"/>
          <w:szCs w:val="24"/>
        </w:rPr>
        <w:t>Metamizol</w:t>
      </w:r>
      <w:proofErr w:type="spellEnd"/>
    </w:p>
    <w:p w14:paraId="2DFEEE83" w14:textId="77777777" w:rsidR="00522563" w:rsidRPr="004C0B3B" w:rsidRDefault="00522563" w:rsidP="004873ED">
      <w:pPr>
        <w:ind w:left="851"/>
        <w:rPr>
          <w:sz w:val="24"/>
          <w:szCs w:val="24"/>
        </w:rPr>
      </w:pPr>
      <w:proofErr w:type="spellStart"/>
      <w:r w:rsidRPr="004C0B3B">
        <w:rPr>
          <w:sz w:val="24"/>
          <w:szCs w:val="24"/>
        </w:rPr>
        <w:t>Metamizol</w:t>
      </w:r>
      <w:proofErr w:type="spellEnd"/>
      <w:r w:rsidRPr="004C0B3B">
        <w:rPr>
          <w:sz w:val="24"/>
          <w:szCs w:val="24"/>
        </w:rPr>
        <w:t xml:space="preserve"> kan nedsætte serumniveauet af </w:t>
      </w:r>
      <w:proofErr w:type="spellStart"/>
      <w:r w:rsidRPr="004C0B3B">
        <w:rPr>
          <w:sz w:val="24"/>
          <w:szCs w:val="24"/>
        </w:rPr>
        <w:t>valproat</w:t>
      </w:r>
      <w:proofErr w:type="spellEnd"/>
      <w:r w:rsidRPr="004C0B3B">
        <w:rPr>
          <w:sz w:val="24"/>
          <w:szCs w:val="24"/>
        </w:rPr>
        <w:t xml:space="preserve"> ved samtidig administration, hvilket kan resultere i potentielt nedsat klinisk effekt af </w:t>
      </w:r>
      <w:proofErr w:type="spellStart"/>
      <w:r w:rsidRPr="004C0B3B">
        <w:rPr>
          <w:sz w:val="24"/>
          <w:szCs w:val="24"/>
        </w:rPr>
        <w:t>valproat</w:t>
      </w:r>
      <w:proofErr w:type="spellEnd"/>
      <w:r w:rsidRPr="004C0B3B">
        <w:rPr>
          <w:sz w:val="24"/>
          <w:szCs w:val="24"/>
        </w:rPr>
        <w:t>. Ordinerende læger skal monitorere klinisk respons (</w:t>
      </w:r>
      <w:proofErr w:type="spellStart"/>
      <w:r w:rsidRPr="004C0B3B">
        <w:rPr>
          <w:sz w:val="24"/>
          <w:szCs w:val="24"/>
        </w:rPr>
        <w:t>anfaldskontrol</w:t>
      </w:r>
      <w:proofErr w:type="spellEnd"/>
      <w:r w:rsidRPr="004C0B3B">
        <w:rPr>
          <w:sz w:val="24"/>
          <w:szCs w:val="24"/>
        </w:rPr>
        <w:t xml:space="preserve"> eller stemningskontrol) og overveje at overvåge serumniveauet af </w:t>
      </w:r>
      <w:proofErr w:type="spellStart"/>
      <w:r w:rsidRPr="004C0B3B">
        <w:rPr>
          <w:sz w:val="24"/>
          <w:szCs w:val="24"/>
        </w:rPr>
        <w:t>valproat</w:t>
      </w:r>
      <w:proofErr w:type="spellEnd"/>
      <w:r w:rsidRPr="004C0B3B">
        <w:rPr>
          <w:sz w:val="24"/>
          <w:szCs w:val="24"/>
        </w:rPr>
        <w:t xml:space="preserve"> efter behov.</w:t>
      </w:r>
    </w:p>
    <w:p w14:paraId="2810F314" w14:textId="77777777" w:rsidR="00522563" w:rsidRPr="004C0B3B" w:rsidRDefault="00522563" w:rsidP="004873ED">
      <w:pPr>
        <w:ind w:left="851"/>
        <w:rPr>
          <w:sz w:val="24"/>
          <w:szCs w:val="24"/>
        </w:rPr>
      </w:pPr>
    </w:p>
    <w:p w14:paraId="2D4A17CA" w14:textId="77777777" w:rsidR="00522563" w:rsidRPr="004C0B3B" w:rsidRDefault="00522563" w:rsidP="00522563">
      <w:pPr>
        <w:ind w:left="851"/>
        <w:rPr>
          <w:i/>
          <w:sz w:val="24"/>
          <w:szCs w:val="24"/>
        </w:rPr>
      </w:pPr>
      <w:proofErr w:type="spellStart"/>
      <w:r w:rsidRPr="004C0B3B">
        <w:rPr>
          <w:i/>
          <w:iCs/>
          <w:sz w:val="24"/>
          <w:szCs w:val="24"/>
        </w:rPr>
        <w:t>Methotrexat</w:t>
      </w:r>
      <w:proofErr w:type="spellEnd"/>
    </w:p>
    <w:p w14:paraId="0E7F6BD7" w14:textId="77777777" w:rsidR="00522563" w:rsidRPr="004C0B3B" w:rsidRDefault="00522563" w:rsidP="00522563">
      <w:pPr>
        <w:autoSpaceDE w:val="0"/>
        <w:autoSpaceDN w:val="0"/>
        <w:adjustRightInd w:val="0"/>
        <w:ind w:left="851"/>
        <w:rPr>
          <w:sz w:val="24"/>
          <w:szCs w:val="24"/>
        </w:rPr>
      </w:pPr>
      <w:r w:rsidRPr="004C0B3B">
        <w:rPr>
          <w:sz w:val="24"/>
          <w:szCs w:val="24"/>
        </w:rPr>
        <w:t xml:space="preserve">Der er enkeltrapporter, der beskriver et signifikant fald i </w:t>
      </w:r>
      <w:proofErr w:type="spellStart"/>
      <w:r w:rsidRPr="004C0B3B">
        <w:rPr>
          <w:sz w:val="24"/>
          <w:szCs w:val="24"/>
        </w:rPr>
        <w:t>valproatserumniveauer</w:t>
      </w:r>
      <w:proofErr w:type="spellEnd"/>
      <w:r w:rsidRPr="004C0B3B">
        <w:rPr>
          <w:sz w:val="24"/>
          <w:szCs w:val="24"/>
        </w:rPr>
        <w:t xml:space="preserve"> efter administration af </w:t>
      </w:r>
      <w:proofErr w:type="spellStart"/>
      <w:r w:rsidRPr="004C0B3B">
        <w:rPr>
          <w:sz w:val="24"/>
          <w:szCs w:val="24"/>
        </w:rPr>
        <w:t>methotrexat</w:t>
      </w:r>
      <w:proofErr w:type="spellEnd"/>
      <w:r w:rsidRPr="004C0B3B">
        <w:rPr>
          <w:sz w:val="24"/>
          <w:szCs w:val="24"/>
        </w:rPr>
        <w:t xml:space="preserve"> med forekomst af krampeanfald. Ordinerende læger skal monitorere kliniske </w:t>
      </w:r>
      <w:proofErr w:type="spellStart"/>
      <w:r w:rsidRPr="004C0B3B">
        <w:rPr>
          <w:sz w:val="24"/>
          <w:szCs w:val="24"/>
        </w:rPr>
        <w:t>respon</w:t>
      </w:r>
      <w:proofErr w:type="spellEnd"/>
      <w:r w:rsidRPr="004C0B3B">
        <w:rPr>
          <w:sz w:val="24"/>
          <w:szCs w:val="24"/>
        </w:rPr>
        <w:t xml:space="preserve"> (kontrol med krampeanfald eller kontrol af stemningsleje) og overveje monitorering af serumniveauer af </w:t>
      </w:r>
      <w:proofErr w:type="spellStart"/>
      <w:r w:rsidRPr="004C0B3B">
        <w:rPr>
          <w:sz w:val="24"/>
          <w:szCs w:val="24"/>
        </w:rPr>
        <w:t>valproat</w:t>
      </w:r>
      <w:proofErr w:type="spellEnd"/>
      <w:r w:rsidRPr="004C0B3B">
        <w:rPr>
          <w:sz w:val="24"/>
          <w:szCs w:val="24"/>
        </w:rPr>
        <w:t xml:space="preserve"> efter behov.</w:t>
      </w:r>
    </w:p>
    <w:p w14:paraId="4958C736" w14:textId="77777777" w:rsidR="00522563" w:rsidRPr="004C0B3B" w:rsidRDefault="00522563" w:rsidP="004873ED">
      <w:pPr>
        <w:ind w:left="851"/>
        <w:rPr>
          <w:sz w:val="24"/>
          <w:szCs w:val="24"/>
        </w:rPr>
      </w:pPr>
    </w:p>
    <w:p w14:paraId="6DDF2D9E" w14:textId="77777777" w:rsidR="004873ED" w:rsidRPr="004C0B3B" w:rsidRDefault="004873ED" w:rsidP="004873ED">
      <w:pPr>
        <w:keepNext/>
        <w:ind w:left="851"/>
        <w:rPr>
          <w:i/>
          <w:sz w:val="24"/>
          <w:szCs w:val="24"/>
        </w:rPr>
      </w:pPr>
      <w:r w:rsidRPr="004C0B3B">
        <w:rPr>
          <w:i/>
          <w:sz w:val="24"/>
          <w:szCs w:val="24"/>
        </w:rPr>
        <w:t xml:space="preserve">Acetylsalicylsyre </w:t>
      </w:r>
    </w:p>
    <w:p w14:paraId="25E5FFC9" w14:textId="77777777" w:rsidR="004873ED" w:rsidRPr="004C0B3B" w:rsidRDefault="004873ED" w:rsidP="004873ED">
      <w:pPr>
        <w:ind w:left="851"/>
        <w:rPr>
          <w:sz w:val="24"/>
          <w:szCs w:val="24"/>
        </w:rPr>
      </w:pPr>
      <w:r w:rsidRPr="004C0B3B">
        <w:rPr>
          <w:sz w:val="24"/>
          <w:szCs w:val="24"/>
        </w:rPr>
        <w:t xml:space="preserve">I tilfælde af samtidig brug af </w:t>
      </w:r>
      <w:proofErr w:type="spellStart"/>
      <w:r w:rsidRPr="004C0B3B">
        <w:rPr>
          <w:sz w:val="24"/>
          <w:szCs w:val="24"/>
        </w:rPr>
        <w:t>valproat</w:t>
      </w:r>
      <w:proofErr w:type="spellEnd"/>
      <w:r w:rsidRPr="004C0B3B">
        <w:rPr>
          <w:sz w:val="24"/>
          <w:szCs w:val="24"/>
        </w:rPr>
        <w:t xml:space="preserve"> og lægemidler, som binder sig stærkt til proteiner (f.eks. acetylsalicylsyre), kan serumniveauet af ubundet </w:t>
      </w:r>
      <w:proofErr w:type="spellStart"/>
      <w:r w:rsidRPr="004C0B3B">
        <w:rPr>
          <w:sz w:val="24"/>
          <w:szCs w:val="24"/>
        </w:rPr>
        <w:t>valproat</w:t>
      </w:r>
      <w:proofErr w:type="spellEnd"/>
      <w:r w:rsidRPr="004C0B3B">
        <w:rPr>
          <w:sz w:val="24"/>
          <w:szCs w:val="24"/>
        </w:rPr>
        <w:t xml:space="preserve"> øges. Samtidig administration af lægemidler, der indeholder acetylsalicylsyre, bør undgås i tilfælde af feber og smerter, især hos spædbørn og småbørn (se pkt. 4.4). </w:t>
      </w:r>
    </w:p>
    <w:p w14:paraId="03927F64" w14:textId="77777777" w:rsidR="004873ED" w:rsidRPr="004C0B3B" w:rsidRDefault="004873ED" w:rsidP="004873ED">
      <w:pPr>
        <w:ind w:left="851"/>
        <w:rPr>
          <w:b/>
          <w:sz w:val="24"/>
          <w:szCs w:val="24"/>
        </w:rPr>
      </w:pPr>
    </w:p>
    <w:p w14:paraId="262DC9BD" w14:textId="77777777" w:rsidR="004873ED" w:rsidRPr="004C0B3B" w:rsidRDefault="004873ED" w:rsidP="002E6C7F">
      <w:pPr>
        <w:keepNext/>
        <w:ind w:left="851"/>
        <w:rPr>
          <w:sz w:val="24"/>
          <w:szCs w:val="24"/>
          <w:u w:val="single"/>
        </w:rPr>
      </w:pPr>
      <w:r w:rsidRPr="004C0B3B">
        <w:rPr>
          <w:sz w:val="24"/>
          <w:szCs w:val="24"/>
          <w:u w:val="single"/>
        </w:rPr>
        <w:t>Andre interaktioner</w:t>
      </w:r>
    </w:p>
    <w:p w14:paraId="45A12A28" w14:textId="77777777" w:rsidR="004873ED" w:rsidRPr="004C0B3B" w:rsidRDefault="004873ED" w:rsidP="004873ED">
      <w:pPr>
        <w:widowControl w:val="0"/>
        <w:ind w:left="851"/>
        <w:rPr>
          <w:sz w:val="24"/>
          <w:szCs w:val="24"/>
        </w:rPr>
      </w:pPr>
    </w:p>
    <w:p w14:paraId="52DB19D8" w14:textId="77777777" w:rsidR="00522563" w:rsidRPr="004C0B3B" w:rsidRDefault="00522563" w:rsidP="00522563">
      <w:pPr>
        <w:widowControl w:val="0"/>
        <w:ind w:left="851"/>
        <w:rPr>
          <w:i/>
          <w:iCs/>
          <w:sz w:val="24"/>
          <w:szCs w:val="24"/>
        </w:rPr>
      </w:pPr>
      <w:bookmarkStart w:id="1" w:name="_Hlk124610126"/>
      <w:r w:rsidRPr="004C0B3B">
        <w:rPr>
          <w:i/>
          <w:iCs/>
          <w:sz w:val="24"/>
          <w:szCs w:val="24"/>
        </w:rPr>
        <w:t>Risiko for leverskade</w:t>
      </w:r>
    </w:p>
    <w:p w14:paraId="3A7B6117" w14:textId="77777777" w:rsidR="00522563" w:rsidRPr="004C0B3B" w:rsidRDefault="00522563" w:rsidP="00522563">
      <w:pPr>
        <w:widowControl w:val="0"/>
        <w:ind w:left="851"/>
        <w:rPr>
          <w:iCs/>
          <w:sz w:val="24"/>
          <w:szCs w:val="24"/>
        </w:rPr>
      </w:pPr>
      <w:r w:rsidRPr="004C0B3B">
        <w:rPr>
          <w:iCs/>
          <w:sz w:val="24"/>
          <w:szCs w:val="24"/>
        </w:rPr>
        <w:t xml:space="preserve">Samtidig brug af </w:t>
      </w:r>
      <w:proofErr w:type="spellStart"/>
      <w:r w:rsidRPr="004C0B3B">
        <w:rPr>
          <w:iCs/>
          <w:sz w:val="24"/>
          <w:szCs w:val="24"/>
        </w:rPr>
        <w:t>salicylater</w:t>
      </w:r>
      <w:proofErr w:type="spellEnd"/>
      <w:r w:rsidRPr="004C0B3B">
        <w:rPr>
          <w:iCs/>
          <w:sz w:val="24"/>
          <w:szCs w:val="24"/>
        </w:rPr>
        <w:t xml:space="preserve"> bør undgås hos børn under 3 år på grund af risikoen for </w:t>
      </w:r>
      <w:r w:rsidRPr="004C0B3B">
        <w:rPr>
          <w:iCs/>
          <w:sz w:val="24"/>
          <w:szCs w:val="24"/>
        </w:rPr>
        <w:br/>
      </w:r>
      <w:proofErr w:type="spellStart"/>
      <w:r w:rsidRPr="004C0B3B">
        <w:rPr>
          <w:iCs/>
          <w:sz w:val="24"/>
          <w:szCs w:val="24"/>
        </w:rPr>
        <w:t>hepatotoksicitet</w:t>
      </w:r>
      <w:proofErr w:type="spellEnd"/>
      <w:r w:rsidRPr="004C0B3B">
        <w:rPr>
          <w:iCs/>
          <w:sz w:val="24"/>
          <w:szCs w:val="24"/>
        </w:rPr>
        <w:t xml:space="preserve"> (se pkt. 4.4). </w:t>
      </w:r>
    </w:p>
    <w:p w14:paraId="2A487F3B" w14:textId="77777777" w:rsidR="00522563" w:rsidRPr="004C0B3B" w:rsidRDefault="00522563" w:rsidP="00522563">
      <w:pPr>
        <w:widowControl w:val="0"/>
        <w:ind w:left="851"/>
        <w:rPr>
          <w:iCs/>
          <w:sz w:val="24"/>
          <w:szCs w:val="24"/>
        </w:rPr>
      </w:pPr>
    </w:p>
    <w:p w14:paraId="3A45C609" w14:textId="77777777" w:rsidR="00522563" w:rsidRPr="004C0B3B" w:rsidRDefault="00522563" w:rsidP="00522563">
      <w:pPr>
        <w:widowControl w:val="0"/>
        <w:ind w:left="851"/>
        <w:rPr>
          <w:iCs/>
          <w:sz w:val="24"/>
          <w:szCs w:val="24"/>
        </w:rPr>
      </w:pPr>
      <w:r w:rsidRPr="004C0B3B">
        <w:rPr>
          <w:iCs/>
          <w:sz w:val="24"/>
          <w:szCs w:val="24"/>
        </w:rPr>
        <w:t xml:space="preserve">Samtidig brug af </w:t>
      </w:r>
      <w:proofErr w:type="spellStart"/>
      <w:r w:rsidRPr="004C0B3B">
        <w:rPr>
          <w:iCs/>
          <w:sz w:val="24"/>
          <w:szCs w:val="24"/>
        </w:rPr>
        <w:t>valproat</w:t>
      </w:r>
      <w:proofErr w:type="spellEnd"/>
      <w:r w:rsidRPr="004C0B3B">
        <w:rPr>
          <w:iCs/>
          <w:sz w:val="24"/>
          <w:szCs w:val="24"/>
        </w:rPr>
        <w:t xml:space="preserve"> og multipel </w:t>
      </w:r>
      <w:proofErr w:type="spellStart"/>
      <w:r w:rsidRPr="004C0B3B">
        <w:rPr>
          <w:iCs/>
          <w:sz w:val="24"/>
          <w:szCs w:val="24"/>
        </w:rPr>
        <w:t>antikonvulsiv</w:t>
      </w:r>
      <w:proofErr w:type="spellEnd"/>
      <w:r w:rsidRPr="004C0B3B">
        <w:rPr>
          <w:iCs/>
          <w:sz w:val="24"/>
          <w:szCs w:val="24"/>
        </w:rPr>
        <w:t xml:space="preserve"> behandling øger risikoen for leverskade, især hos små børn (se pkt. 4.4). </w:t>
      </w:r>
    </w:p>
    <w:p w14:paraId="21CB2BAD" w14:textId="77777777" w:rsidR="00522563" w:rsidRPr="004C0B3B" w:rsidRDefault="00522563" w:rsidP="00522563">
      <w:pPr>
        <w:widowControl w:val="0"/>
        <w:ind w:left="851"/>
        <w:rPr>
          <w:iCs/>
          <w:sz w:val="24"/>
          <w:szCs w:val="24"/>
        </w:rPr>
      </w:pPr>
    </w:p>
    <w:p w14:paraId="0A574E9D" w14:textId="77777777" w:rsidR="00522563" w:rsidRPr="004C0B3B" w:rsidRDefault="00522563" w:rsidP="00522563">
      <w:pPr>
        <w:widowControl w:val="0"/>
        <w:ind w:left="851"/>
        <w:rPr>
          <w:iCs/>
          <w:sz w:val="24"/>
          <w:szCs w:val="24"/>
        </w:rPr>
      </w:pPr>
      <w:r w:rsidRPr="004C0B3B">
        <w:rPr>
          <w:iCs/>
          <w:sz w:val="24"/>
          <w:szCs w:val="24"/>
        </w:rPr>
        <w:t xml:space="preserve">Samtidig brug med </w:t>
      </w:r>
      <w:proofErr w:type="spellStart"/>
      <w:r w:rsidRPr="004C0B3B">
        <w:rPr>
          <w:iCs/>
          <w:sz w:val="24"/>
          <w:szCs w:val="24"/>
        </w:rPr>
        <w:t>cannabidiol</w:t>
      </w:r>
      <w:proofErr w:type="spellEnd"/>
      <w:r w:rsidRPr="004C0B3B">
        <w:rPr>
          <w:iCs/>
          <w:sz w:val="24"/>
          <w:szCs w:val="24"/>
        </w:rPr>
        <w:t xml:space="preserve"> øger forekomsten af forhøjede </w:t>
      </w:r>
      <w:proofErr w:type="spellStart"/>
      <w:r w:rsidRPr="004C0B3B">
        <w:rPr>
          <w:iCs/>
          <w:sz w:val="24"/>
          <w:szCs w:val="24"/>
        </w:rPr>
        <w:t>transaminase</w:t>
      </w:r>
      <w:proofErr w:type="spellEnd"/>
      <w:r w:rsidRPr="004C0B3B">
        <w:rPr>
          <w:iCs/>
          <w:sz w:val="24"/>
          <w:szCs w:val="24"/>
        </w:rPr>
        <w:t xml:space="preserve">-enzymer. I kliniske studier med patienter i alle aldre, der fik </w:t>
      </w:r>
      <w:proofErr w:type="spellStart"/>
      <w:r w:rsidRPr="004C0B3B">
        <w:rPr>
          <w:iCs/>
          <w:sz w:val="24"/>
          <w:szCs w:val="24"/>
        </w:rPr>
        <w:t>cannabidiol</w:t>
      </w:r>
      <w:proofErr w:type="spellEnd"/>
      <w:r w:rsidRPr="004C0B3B">
        <w:rPr>
          <w:iCs/>
          <w:sz w:val="24"/>
          <w:szCs w:val="24"/>
        </w:rPr>
        <w:t xml:space="preserve"> i doser på 10 til 25 mg/kg/dag samtidig med </w:t>
      </w:r>
      <w:proofErr w:type="spellStart"/>
      <w:r w:rsidRPr="004C0B3B">
        <w:rPr>
          <w:iCs/>
          <w:sz w:val="24"/>
          <w:szCs w:val="24"/>
        </w:rPr>
        <w:t>valproat</w:t>
      </w:r>
      <w:proofErr w:type="spellEnd"/>
      <w:r w:rsidRPr="004C0B3B">
        <w:rPr>
          <w:iCs/>
          <w:sz w:val="24"/>
          <w:szCs w:val="24"/>
        </w:rPr>
        <w:t xml:space="preserve">, blev der rapporteret ALAT-stigninger på mere end 3 gange den øvre normalgrænse hos 19 % af patienterne. Passende levermonitorering bør udføres, når </w:t>
      </w:r>
      <w:proofErr w:type="spellStart"/>
      <w:r w:rsidRPr="004C0B3B">
        <w:rPr>
          <w:iCs/>
          <w:sz w:val="24"/>
          <w:szCs w:val="24"/>
        </w:rPr>
        <w:t>valproat</w:t>
      </w:r>
      <w:proofErr w:type="spellEnd"/>
      <w:r w:rsidRPr="004C0B3B">
        <w:rPr>
          <w:iCs/>
          <w:sz w:val="24"/>
          <w:szCs w:val="24"/>
        </w:rPr>
        <w:t xml:space="preserve"> anvendes samtidig med andre </w:t>
      </w:r>
      <w:proofErr w:type="spellStart"/>
      <w:r w:rsidRPr="004C0B3B">
        <w:rPr>
          <w:iCs/>
          <w:sz w:val="24"/>
          <w:szCs w:val="24"/>
        </w:rPr>
        <w:t>antikonvulsiva</w:t>
      </w:r>
      <w:proofErr w:type="spellEnd"/>
      <w:r w:rsidRPr="004C0B3B">
        <w:rPr>
          <w:iCs/>
          <w:sz w:val="24"/>
          <w:szCs w:val="24"/>
        </w:rPr>
        <w:t xml:space="preserve"> med potentiel </w:t>
      </w:r>
      <w:proofErr w:type="spellStart"/>
      <w:r w:rsidRPr="004C0B3B">
        <w:rPr>
          <w:iCs/>
          <w:sz w:val="24"/>
          <w:szCs w:val="24"/>
        </w:rPr>
        <w:t>hepatotoksicitet</w:t>
      </w:r>
      <w:proofErr w:type="spellEnd"/>
      <w:r w:rsidRPr="004C0B3B">
        <w:rPr>
          <w:iCs/>
          <w:sz w:val="24"/>
          <w:szCs w:val="24"/>
        </w:rPr>
        <w:t xml:space="preserve">, herunder </w:t>
      </w:r>
      <w:proofErr w:type="spellStart"/>
      <w:r w:rsidRPr="004C0B3B">
        <w:rPr>
          <w:iCs/>
          <w:sz w:val="24"/>
          <w:szCs w:val="24"/>
        </w:rPr>
        <w:t>cannabidiol</w:t>
      </w:r>
      <w:proofErr w:type="spellEnd"/>
      <w:r w:rsidRPr="004C0B3B">
        <w:rPr>
          <w:iCs/>
          <w:sz w:val="24"/>
          <w:szCs w:val="24"/>
        </w:rPr>
        <w:t xml:space="preserve">, og dosisreduktioner eller </w:t>
      </w:r>
      <w:proofErr w:type="spellStart"/>
      <w:r w:rsidRPr="004C0B3B">
        <w:rPr>
          <w:iCs/>
          <w:sz w:val="24"/>
          <w:szCs w:val="24"/>
        </w:rPr>
        <w:t>seponering</w:t>
      </w:r>
      <w:proofErr w:type="spellEnd"/>
      <w:r w:rsidRPr="004C0B3B">
        <w:rPr>
          <w:iCs/>
          <w:sz w:val="24"/>
          <w:szCs w:val="24"/>
        </w:rPr>
        <w:t xml:space="preserve"> bør overvejes i tilfælde af signifikante anomalier i leverparametre (se pkt. 4.4).</w:t>
      </w:r>
      <w:bookmarkEnd w:id="1"/>
    </w:p>
    <w:p w14:paraId="526F8A71" w14:textId="77777777" w:rsidR="004873ED" w:rsidRPr="004C0B3B" w:rsidRDefault="004873ED" w:rsidP="004873ED">
      <w:pPr>
        <w:widowControl w:val="0"/>
        <w:ind w:left="851"/>
        <w:rPr>
          <w:i/>
          <w:sz w:val="24"/>
          <w:szCs w:val="24"/>
        </w:rPr>
      </w:pPr>
      <w:proofErr w:type="spellStart"/>
      <w:r w:rsidRPr="004C0B3B">
        <w:rPr>
          <w:i/>
          <w:sz w:val="24"/>
          <w:szCs w:val="24"/>
        </w:rPr>
        <w:t>Lithium</w:t>
      </w:r>
      <w:proofErr w:type="spellEnd"/>
    </w:p>
    <w:p w14:paraId="1C1EEDBD" w14:textId="77777777" w:rsidR="004873ED" w:rsidRPr="004C0B3B" w:rsidRDefault="004873ED" w:rsidP="004873ED">
      <w:pPr>
        <w:widowControl w:val="0"/>
        <w:ind w:left="851"/>
        <w:rPr>
          <w:sz w:val="24"/>
          <w:szCs w:val="24"/>
        </w:rPr>
      </w:pPr>
      <w:r w:rsidRPr="004C0B3B">
        <w:rPr>
          <w:sz w:val="24"/>
          <w:szCs w:val="24"/>
        </w:rPr>
        <w:t xml:space="preserve">Data fra studier med rotter viser, at </w:t>
      </w:r>
      <w:proofErr w:type="spellStart"/>
      <w:r w:rsidRPr="004C0B3B">
        <w:rPr>
          <w:sz w:val="24"/>
          <w:szCs w:val="24"/>
        </w:rPr>
        <w:t>lithium</w:t>
      </w:r>
      <w:proofErr w:type="spellEnd"/>
      <w:r w:rsidRPr="004C0B3B">
        <w:rPr>
          <w:sz w:val="24"/>
          <w:szCs w:val="24"/>
        </w:rPr>
        <w:t xml:space="preserve"> og </w:t>
      </w:r>
      <w:proofErr w:type="spellStart"/>
      <w:r w:rsidRPr="004C0B3B">
        <w:rPr>
          <w:sz w:val="24"/>
          <w:szCs w:val="24"/>
        </w:rPr>
        <w:t>valproat</w:t>
      </w:r>
      <w:proofErr w:type="spellEnd"/>
      <w:r w:rsidRPr="004C0B3B">
        <w:rPr>
          <w:sz w:val="24"/>
          <w:szCs w:val="24"/>
        </w:rPr>
        <w:t xml:space="preserve"> kan interagere ved samtidig administration. I kombination med </w:t>
      </w:r>
      <w:proofErr w:type="spellStart"/>
      <w:r w:rsidRPr="004C0B3B">
        <w:rPr>
          <w:sz w:val="24"/>
          <w:szCs w:val="24"/>
        </w:rPr>
        <w:t>lithium</w:t>
      </w:r>
      <w:proofErr w:type="spellEnd"/>
      <w:r w:rsidRPr="004C0B3B">
        <w:rPr>
          <w:sz w:val="24"/>
          <w:szCs w:val="24"/>
        </w:rPr>
        <w:t xml:space="preserve"> bør plasmakoncentrationen af begge aktive stoffer kontrolleres regelmæssigt.</w:t>
      </w:r>
    </w:p>
    <w:p w14:paraId="69933995" w14:textId="77777777" w:rsidR="004873ED" w:rsidRPr="004C0B3B" w:rsidRDefault="004873ED" w:rsidP="004873ED">
      <w:pPr>
        <w:widowControl w:val="0"/>
        <w:ind w:left="851"/>
        <w:rPr>
          <w:sz w:val="24"/>
          <w:szCs w:val="24"/>
        </w:rPr>
      </w:pPr>
    </w:p>
    <w:p w14:paraId="501505BC" w14:textId="77777777" w:rsidR="004873ED" w:rsidRPr="004C0B3B" w:rsidRDefault="004873ED" w:rsidP="004873ED">
      <w:pPr>
        <w:widowControl w:val="0"/>
        <w:ind w:left="851"/>
        <w:rPr>
          <w:sz w:val="24"/>
          <w:szCs w:val="24"/>
        </w:rPr>
      </w:pPr>
      <w:proofErr w:type="spellStart"/>
      <w:r w:rsidRPr="004C0B3B">
        <w:rPr>
          <w:i/>
          <w:sz w:val="24"/>
          <w:szCs w:val="24"/>
        </w:rPr>
        <w:t>Topiramat</w:t>
      </w:r>
      <w:proofErr w:type="spellEnd"/>
      <w:r w:rsidRPr="004C0B3B">
        <w:rPr>
          <w:i/>
          <w:sz w:val="24"/>
          <w:szCs w:val="24"/>
        </w:rPr>
        <w:t xml:space="preserve">, </w:t>
      </w:r>
      <w:proofErr w:type="spellStart"/>
      <w:r w:rsidRPr="004C0B3B">
        <w:rPr>
          <w:i/>
          <w:sz w:val="24"/>
          <w:szCs w:val="24"/>
        </w:rPr>
        <w:t>acetazolamid</w:t>
      </w:r>
      <w:proofErr w:type="spellEnd"/>
    </w:p>
    <w:p w14:paraId="5189D9C2" w14:textId="77777777" w:rsidR="004873ED" w:rsidRPr="004C0B3B" w:rsidRDefault="004873ED" w:rsidP="004873ED">
      <w:pPr>
        <w:widowControl w:val="0"/>
        <w:ind w:left="851"/>
        <w:rPr>
          <w:sz w:val="24"/>
          <w:szCs w:val="24"/>
        </w:rPr>
      </w:pPr>
      <w:r w:rsidRPr="004C0B3B">
        <w:rPr>
          <w:sz w:val="24"/>
          <w:szCs w:val="24"/>
        </w:rPr>
        <w:t xml:space="preserve">I nogle tilfælde har samtidig administration af </w:t>
      </w:r>
      <w:proofErr w:type="spellStart"/>
      <w:r w:rsidRPr="004C0B3B">
        <w:rPr>
          <w:sz w:val="24"/>
          <w:szCs w:val="24"/>
        </w:rPr>
        <w:t>valproinsyre</w:t>
      </w:r>
      <w:proofErr w:type="spellEnd"/>
      <w:r w:rsidRPr="004C0B3B">
        <w:rPr>
          <w:sz w:val="24"/>
          <w:szCs w:val="24"/>
        </w:rPr>
        <w:t xml:space="preserve"> og </w:t>
      </w:r>
      <w:proofErr w:type="spellStart"/>
      <w:r w:rsidRPr="004C0B3B">
        <w:rPr>
          <w:sz w:val="24"/>
          <w:szCs w:val="24"/>
        </w:rPr>
        <w:t>topiramat</w:t>
      </w:r>
      <w:proofErr w:type="spellEnd"/>
      <w:r w:rsidRPr="004C0B3B">
        <w:rPr>
          <w:sz w:val="24"/>
          <w:szCs w:val="24"/>
        </w:rPr>
        <w:t xml:space="preserve"> eller </w:t>
      </w:r>
      <w:proofErr w:type="spellStart"/>
      <w:r w:rsidRPr="004C0B3B">
        <w:rPr>
          <w:sz w:val="24"/>
          <w:szCs w:val="24"/>
        </w:rPr>
        <w:t>acetazolamid</w:t>
      </w:r>
      <w:proofErr w:type="spellEnd"/>
      <w:r w:rsidRPr="004C0B3B">
        <w:rPr>
          <w:sz w:val="24"/>
          <w:szCs w:val="24"/>
        </w:rPr>
        <w:t xml:space="preserve"> været forbundet med </w:t>
      </w:r>
      <w:proofErr w:type="spellStart"/>
      <w:r w:rsidRPr="004C0B3B">
        <w:rPr>
          <w:sz w:val="24"/>
          <w:szCs w:val="24"/>
        </w:rPr>
        <w:t>hyperammonæmi</w:t>
      </w:r>
      <w:proofErr w:type="spellEnd"/>
      <w:r w:rsidRPr="004C0B3B">
        <w:rPr>
          <w:sz w:val="24"/>
          <w:szCs w:val="24"/>
        </w:rPr>
        <w:t xml:space="preserve"> med og uden encefalopati. Patienter som behandles med disse to aktive stoffer skal monitoreres nøje for tegn og symptomer på </w:t>
      </w:r>
      <w:proofErr w:type="spellStart"/>
      <w:r w:rsidRPr="004C0B3B">
        <w:rPr>
          <w:sz w:val="24"/>
          <w:szCs w:val="24"/>
        </w:rPr>
        <w:t>hyperammoniæmisk</w:t>
      </w:r>
      <w:proofErr w:type="spellEnd"/>
      <w:r w:rsidRPr="004C0B3B">
        <w:rPr>
          <w:sz w:val="24"/>
          <w:szCs w:val="24"/>
        </w:rPr>
        <w:t xml:space="preserve"> </w:t>
      </w:r>
      <w:proofErr w:type="spellStart"/>
      <w:r w:rsidRPr="004C0B3B">
        <w:rPr>
          <w:sz w:val="24"/>
          <w:szCs w:val="24"/>
        </w:rPr>
        <w:t>encephalopati</w:t>
      </w:r>
      <w:proofErr w:type="spellEnd"/>
      <w:r w:rsidRPr="004C0B3B">
        <w:rPr>
          <w:sz w:val="24"/>
          <w:szCs w:val="24"/>
        </w:rPr>
        <w:t>.</w:t>
      </w:r>
    </w:p>
    <w:p w14:paraId="3073C6DD" w14:textId="77777777" w:rsidR="00522563" w:rsidRPr="004C0B3B" w:rsidRDefault="00522563" w:rsidP="004873ED">
      <w:pPr>
        <w:widowControl w:val="0"/>
        <w:ind w:left="851"/>
        <w:rPr>
          <w:sz w:val="24"/>
          <w:szCs w:val="24"/>
        </w:rPr>
      </w:pPr>
    </w:p>
    <w:p w14:paraId="64A0C887" w14:textId="77777777" w:rsidR="00522563" w:rsidRPr="004C0B3B" w:rsidRDefault="00522563" w:rsidP="00522563">
      <w:pPr>
        <w:autoSpaceDE w:val="0"/>
        <w:autoSpaceDN w:val="0"/>
        <w:adjustRightInd w:val="0"/>
        <w:ind w:left="851"/>
        <w:rPr>
          <w:i/>
          <w:sz w:val="24"/>
          <w:szCs w:val="24"/>
        </w:rPr>
      </w:pPr>
      <w:proofErr w:type="spellStart"/>
      <w:r w:rsidRPr="004C0B3B">
        <w:rPr>
          <w:i/>
          <w:iCs/>
          <w:sz w:val="24"/>
          <w:szCs w:val="24"/>
        </w:rPr>
        <w:t>Pivalatkonjugerede</w:t>
      </w:r>
      <w:proofErr w:type="spellEnd"/>
      <w:r w:rsidRPr="004C0B3B">
        <w:rPr>
          <w:i/>
          <w:iCs/>
          <w:sz w:val="24"/>
          <w:szCs w:val="24"/>
        </w:rPr>
        <w:t xml:space="preserve"> lægemidler</w:t>
      </w:r>
    </w:p>
    <w:p w14:paraId="0739BE62" w14:textId="77777777" w:rsidR="00522563" w:rsidRPr="004C0B3B" w:rsidRDefault="00522563" w:rsidP="00522563">
      <w:pPr>
        <w:autoSpaceDE w:val="0"/>
        <w:autoSpaceDN w:val="0"/>
        <w:adjustRightInd w:val="0"/>
        <w:ind w:left="851"/>
        <w:rPr>
          <w:sz w:val="24"/>
          <w:szCs w:val="24"/>
        </w:rPr>
      </w:pPr>
      <w:r w:rsidRPr="004C0B3B">
        <w:rPr>
          <w:sz w:val="24"/>
          <w:szCs w:val="24"/>
        </w:rPr>
        <w:t xml:space="preserve">Samtidig administration af </w:t>
      </w:r>
      <w:proofErr w:type="spellStart"/>
      <w:r w:rsidRPr="004C0B3B">
        <w:rPr>
          <w:sz w:val="24"/>
          <w:szCs w:val="24"/>
        </w:rPr>
        <w:t>valproat</w:t>
      </w:r>
      <w:proofErr w:type="spellEnd"/>
      <w:r w:rsidRPr="004C0B3B">
        <w:rPr>
          <w:sz w:val="24"/>
          <w:szCs w:val="24"/>
        </w:rPr>
        <w:t xml:space="preserve"> og </w:t>
      </w:r>
      <w:proofErr w:type="spellStart"/>
      <w:r w:rsidRPr="004C0B3B">
        <w:rPr>
          <w:sz w:val="24"/>
          <w:szCs w:val="24"/>
        </w:rPr>
        <w:t>pivalatkonjugerede</w:t>
      </w:r>
      <w:proofErr w:type="spellEnd"/>
      <w:r w:rsidRPr="004C0B3B">
        <w:rPr>
          <w:sz w:val="24"/>
          <w:szCs w:val="24"/>
        </w:rPr>
        <w:t xml:space="preserve"> lægemidler (såsom </w:t>
      </w:r>
      <w:proofErr w:type="spellStart"/>
      <w:r w:rsidRPr="004C0B3B">
        <w:rPr>
          <w:sz w:val="24"/>
          <w:szCs w:val="24"/>
        </w:rPr>
        <w:t>cefditorenpivoxil</w:t>
      </w:r>
      <w:proofErr w:type="spellEnd"/>
      <w:r w:rsidRPr="004C0B3B">
        <w:rPr>
          <w:sz w:val="24"/>
          <w:szCs w:val="24"/>
        </w:rPr>
        <w:t xml:space="preserve">, </w:t>
      </w:r>
      <w:proofErr w:type="spellStart"/>
      <w:r w:rsidRPr="004C0B3B">
        <w:rPr>
          <w:sz w:val="24"/>
          <w:szCs w:val="24"/>
        </w:rPr>
        <w:t>adefovirdipivoxil</w:t>
      </w:r>
      <w:proofErr w:type="spellEnd"/>
      <w:r w:rsidRPr="004C0B3B">
        <w:rPr>
          <w:sz w:val="24"/>
          <w:szCs w:val="24"/>
        </w:rPr>
        <w:t xml:space="preserve">, </w:t>
      </w:r>
      <w:proofErr w:type="spellStart"/>
      <w:r w:rsidRPr="004C0B3B">
        <w:rPr>
          <w:sz w:val="24"/>
          <w:szCs w:val="24"/>
        </w:rPr>
        <w:t>pivmecillinam</w:t>
      </w:r>
      <w:proofErr w:type="spellEnd"/>
      <w:r w:rsidRPr="004C0B3B">
        <w:rPr>
          <w:sz w:val="24"/>
          <w:szCs w:val="24"/>
        </w:rPr>
        <w:t xml:space="preserve"> og </w:t>
      </w:r>
      <w:proofErr w:type="spellStart"/>
      <w:r w:rsidRPr="004C0B3B">
        <w:rPr>
          <w:sz w:val="24"/>
          <w:szCs w:val="24"/>
        </w:rPr>
        <w:t>pivampicillin</w:t>
      </w:r>
      <w:proofErr w:type="spellEnd"/>
      <w:r w:rsidRPr="004C0B3B">
        <w:rPr>
          <w:sz w:val="24"/>
          <w:szCs w:val="24"/>
        </w:rPr>
        <w:t xml:space="preserve">) skal undgås på grund af den øgede risiko for </w:t>
      </w:r>
      <w:proofErr w:type="spellStart"/>
      <w:r w:rsidRPr="004C0B3B">
        <w:rPr>
          <w:sz w:val="24"/>
          <w:szCs w:val="24"/>
        </w:rPr>
        <w:t>carnitindepletion</w:t>
      </w:r>
      <w:proofErr w:type="spellEnd"/>
      <w:r w:rsidRPr="004C0B3B">
        <w:rPr>
          <w:sz w:val="24"/>
          <w:szCs w:val="24"/>
        </w:rPr>
        <w:t xml:space="preserve"> (se pkt. 4.4 Patienter med risiko for </w:t>
      </w:r>
      <w:proofErr w:type="spellStart"/>
      <w:r w:rsidRPr="004C0B3B">
        <w:rPr>
          <w:sz w:val="24"/>
          <w:szCs w:val="24"/>
        </w:rPr>
        <w:t>carnitinmangel</w:t>
      </w:r>
      <w:proofErr w:type="spellEnd"/>
      <w:r w:rsidRPr="004C0B3B">
        <w:rPr>
          <w:sz w:val="24"/>
          <w:szCs w:val="24"/>
        </w:rPr>
        <w:t xml:space="preserve">). Patienter, hvor samtidig administration ikke kan undgås, skal overvåges omhyggeligt for tegn og symptomer på </w:t>
      </w:r>
      <w:proofErr w:type="spellStart"/>
      <w:r w:rsidRPr="004C0B3B">
        <w:rPr>
          <w:sz w:val="24"/>
          <w:szCs w:val="24"/>
        </w:rPr>
        <w:t>carnitinmangel</w:t>
      </w:r>
      <w:proofErr w:type="spellEnd"/>
      <w:r w:rsidRPr="004C0B3B">
        <w:rPr>
          <w:sz w:val="24"/>
          <w:szCs w:val="24"/>
        </w:rPr>
        <w:t>.</w:t>
      </w:r>
    </w:p>
    <w:p w14:paraId="4D497930" w14:textId="77777777" w:rsidR="00522563" w:rsidRPr="004C0B3B" w:rsidRDefault="00522563" w:rsidP="004873ED">
      <w:pPr>
        <w:widowControl w:val="0"/>
        <w:ind w:left="851"/>
        <w:rPr>
          <w:i/>
          <w:sz w:val="24"/>
          <w:szCs w:val="24"/>
        </w:rPr>
      </w:pPr>
    </w:p>
    <w:p w14:paraId="16BAFA23" w14:textId="77777777" w:rsidR="004873ED" w:rsidRPr="004C0B3B" w:rsidRDefault="004873ED" w:rsidP="004873ED">
      <w:pPr>
        <w:widowControl w:val="0"/>
        <w:ind w:left="851"/>
        <w:rPr>
          <w:i/>
          <w:sz w:val="24"/>
          <w:szCs w:val="24"/>
        </w:rPr>
      </w:pPr>
      <w:r w:rsidRPr="004C0B3B">
        <w:rPr>
          <w:i/>
          <w:sz w:val="24"/>
          <w:szCs w:val="24"/>
        </w:rPr>
        <w:t>Quetiapin</w:t>
      </w:r>
    </w:p>
    <w:p w14:paraId="1E1AC012" w14:textId="77777777" w:rsidR="004873ED" w:rsidRPr="004C0B3B" w:rsidRDefault="004873ED" w:rsidP="004873ED">
      <w:pPr>
        <w:widowControl w:val="0"/>
        <w:ind w:left="851"/>
        <w:rPr>
          <w:sz w:val="24"/>
          <w:szCs w:val="24"/>
        </w:rPr>
      </w:pPr>
      <w:r w:rsidRPr="004C0B3B">
        <w:rPr>
          <w:sz w:val="24"/>
          <w:szCs w:val="24"/>
        </w:rPr>
        <w:t xml:space="preserve">Samtidig administration af </w:t>
      </w:r>
      <w:proofErr w:type="spellStart"/>
      <w:r w:rsidRPr="004C0B3B">
        <w:rPr>
          <w:sz w:val="24"/>
          <w:szCs w:val="24"/>
        </w:rPr>
        <w:t>valproat</w:t>
      </w:r>
      <w:proofErr w:type="spellEnd"/>
      <w:r w:rsidRPr="004C0B3B">
        <w:rPr>
          <w:sz w:val="24"/>
          <w:szCs w:val="24"/>
        </w:rPr>
        <w:t xml:space="preserve"> og </w:t>
      </w:r>
      <w:proofErr w:type="spellStart"/>
      <w:r w:rsidRPr="004C0B3B">
        <w:rPr>
          <w:sz w:val="24"/>
          <w:szCs w:val="24"/>
        </w:rPr>
        <w:t>quetiapin</w:t>
      </w:r>
      <w:proofErr w:type="spellEnd"/>
      <w:r w:rsidRPr="004C0B3B">
        <w:rPr>
          <w:sz w:val="24"/>
          <w:szCs w:val="24"/>
        </w:rPr>
        <w:t xml:space="preserve"> kan øge risikoen for </w:t>
      </w:r>
      <w:proofErr w:type="spellStart"/>
      <w:r w:rsidRPr="004C0B3B">
        <w:rPr>
          <w:sz w:val="24"/>
          <w:szCs w:val="24"/>
        </w:rPr>
        <w:t>neutropeni</w:t>
      </w:r>
      <w:proofErr w:type="spellEnd"/>
      <w:r w:rsidRPr="004C0B3B">
        <w:rPr>
          <w:sz w:val="24"/>
          <w:szCs w:val="24"/>
        </w:rPr>
        <w:t>/</w:t>
      </w:r>
      <w:proofErr w:type="spellStart"/>
      <w:r w:rsidRPr="004C0B3B">
        <w:rPr>
          <w:sz w:val="24"/>
          <w:szCs w:val="24"/>
        </w:rPr>
        <w:t>leukopeni</w:t>
      </w:r>
      <w:proofErr w:type="spellEnd"/>
      <w:r w:rsidRPr="004C0B3B">
        <w:rPr>
          <w:sz w:val="24"/>
          <w:szCs w:val="24"/>
        </w:rPr>
        <w:t>.</w:t>
      </w:r>
    </w:p>
    <w:p w14:paraId="03474497" w14:textId="77777777" w:rsidR="004873ED" w:rsidRPr="004C0B3B" w:rsidRDefault="004873ED" w:rsidP="004873ED">
      <w:pPr>
        <w:widowControl w:val="0"/>
        <w:ind w:left="851"/>
        <w:rPr>
          <w:sz w:val="24"/>
          <w:szCs w:val="24"/>
        </w:rPr>
      </w:pPr>
    </w:p>
    <w:p w14:paraId="601F045C" w14:textId="77777777" w:rsidR="004873ED" w:rsidRPr="004C0B3B" w:rsidRDefault="004873ED" w:rsidP="00763B99">
      <w:pPr>
        <w:keepNext/>
        <w:widowControl w:val="0"/>
        <w:ind w:left="851"/>
        <w:rPr>
          <w:i/>
          <w:sz w:val="24"/>
          <w:szCs w:val="24"/>
        </w:rPr>
      </w:pPr>
      <w:r w:rsidRPr="004C0B3B">
        <w:rPr>
          <w:i/>
          <w:sz w:val="24"/>
          <w:szCs w:val="24"/>
        </w:rPr>
        <w:t xml:space="preserve">Hormonal </w:t>
      </w:r>
      <w:proofErr w:type="spellStart"/>
      <w:r w:rsidRPr="004C0B3B">
        <w:rPr>
          <w:i/>
          <w:sz w:val="24"/>
          <w:szCs w:val="24"/>
        </w:rPr>
        <w:t>kontraception</w:t>
      </w:r>
      <w:proofErr w:type="spellEnd"/>
    </w:p>
    <w:p w14:paraId="20F71D69" w14:textId="77777777" w:rsidR="004873ED" w:rsidRPr="004C0B3B" w:rsidRDefault="004873ED" w:rsidP="00763B99">
      <w:pPr>
        <w:ind w:left="851"/>
        <w:rPr>
          <w:sz w:val="24"/>
          <w:szCs w:val="24"/>
        </w:rPr>
      </w:pPr>
      <w:proofErr w:type="spellStart"/>
      <w:r w:rsidRPr="004C0B3B">
        <w:rPr>
          <w:sz w:val="24"/>
          <w:szCs w:val="24"/>
        </w:rPr>
        <w:t>Valproat</w:t>
      </w:r>
      <w:proofErr w:type="spellEnd"/>
      <w:r w:rsidRPr="004C0B3B">
        <w:rPr>
          <w:sz w:val="24"/>
          <w:szCs w:val="24"/>
        </w:rPr>
        <w:t xml:space="preserve"> har normalt ikke en enzyminducerende effekt. Der kan derfor ikke forventes en reduktion af effekten af lægemidler med østrogen og progesteron hos kvinder, som anvender hormonal </w:t>
      </w:r>
      <w:proofErr w:type="spellStart"/>
      <w:r w:rsidRPr="004C0B3B">
        <w:rPr>
          <w:sz w:val="24"/>
          <w:szCs w:val="24"/>
        </w:rPr>
        <w:t>kontraception</w:t>
      </w:r>
      <w:proofErr w:type="spellEnd"/>
      <w:r w:rsidRPr="004C0B3B">
        <w:rPr>
          <w:sz w:val="24"/>
          <w:szCs w:val="24"/>
        </w:rPr>
        <w:t xml:space="preserve">. </w:t>
      </w:r>
    </w:p>
    <w:p w14:paraId="43300369" w14:textId="77777777" w:rsidR="004873ED" w:rsidRPr="004C0B3B" w:rsidRDefault="004873ED" w:rsidP="004873ED">
      <w:pPr>
        <w:widowControl w:val="0"/>
        <w:ind w:left="851"/>
        <w:jc w:val="both"/>
        <w:rPr>
          <w:sz w:val="24"/>
          <w:szCs w:val="24"/>
        </w:rPr>
      </w:pPr>
    </w:p>
    <w:p w14:paraId="23FFAAD0" w14:textId="77777777" w:rsidR="004873ED" w:rsidRPr="004C0B3B" w:rsidRDefault="004873ED" w:rsidP="004873ED">
      <w:pPr>
        <w:widowControl w:val="0"/>
        <w:ind w:left="851"/>
        <w:rPr>
          <w:i/>
          <w:sz w:val="24"/>
          <w:szCs w:val="24"/>
        </w:rPr>
      </w:pPr>
      <w:proofErr w:type="spellStart"/>
      <w:r w:rsidRPr="004C0B3B">
        <w:rPr>
          <w:i/>
          <w:sz w:val="24"/>
          <w:szCs w:val="24"/>
        </w:rPr>
        <w:t>Clonazepam</w:t>
      </w:r>
      <w:proofErr w:type="spellEnd"/>
      <w:r w:rsidRPr="004C0B3B">
        <w:rPr>
          <w:i/>
          <w:sz w:val="24"/>
          <w:szCs w:val="24"/>
        </w:rPr>
        <w:t xml:space="preserve"> </w:t>
      </w:r>
    </w:p>
    <w:p w14:paraId="2248B4F9" w14:textId="77777777" w:rsidR="004873ED" w:rsidRDefault="004873ED" w:rsidP="004873ED">
      <w:pPr>
        <w:widowControl w:val="0"/>
        <w:ind w:left="851"/>
        <w:rPr>
          <w:sz w:val="24"/>
          <w:szCs w:val="24"/>
        </w:rPr>
      </w:pPr>
      <w:r w:rsidRPr="004C0B3B">
        <w:rPr>
          <w:sz w:val="24"/>
          <w:szCs w:val="24"/>
        </w:rPr>
        <w:t xml:space="preserve">Kombinationsbehandling med lægemidler indeholdende </w:t>
      </w:r>
      <w:proofErr w:type="spellStart"/>
      <w:r w:rsidRPr="004C0B3B">
        <w:rPr>
          <w:sz w:val="24"/>
          <w:szCs w:val="24"/>
        </w:rPr>
        <w:t>valproinsyre</w:t>
      </w:r>
      <w:proofErr w:type="spellEnd"/>
      <w:r w:rsidRPr="004C0B3B">
        <w:rPr>
          <w:sz w:val="24"/>
          <w:szCs w:val="24"/>
        </w:rPr>
        <w:t xml:space="preserve"> og </w:t>
      </w:r>
      <w:proofErr w:type="spellStart"/>
      <w:r w:rsidRPr="004C0B3B">
        <w:rPr>
          <w:sz w:val="24"/>
          <w:szCs w:val="24"/>
        </w:rPr>
        <w:t>clonazepam</w:t>
      </w:r>
      <w:proofErr w:type="spellEnd"/>
      <w:r w:rsidRPr="004C0B3B">
        <w:rPr>
          <w:sz w:val="24"/>
          <w:szCs w:val="24"/>
        </w:rPr>
        <w:t xml:space="preserve"> fører til absence-status hos patienter med anfald i form af absencer i anamnesen. </w:t>
      </w:r>
    </w:p>
    <w:p w14:paraId="5A536BE7" w14:textId="77777777" w:rsidR="00D22229" w:rsidRDefault="00D22229" w:rsidP="004873ED">
      <w:pPr>
        <w:widowControl w:val="0"/>
        <w:ind w:left="851"/>
        <w:rPr>
          <w:sz w:val="24"/>
          <w:szCs w:val="24"/>
        </w:rPr>
      </w:pPr>
    </w:p>
    <w:p w14:paraId="4D5F66A4" w14:textId="77777777" w:rsidR="00D22229" w:rsidRDefault="00D22229" w:rsidP="00D22229">
      <w:pPr>
        <w:widowControl w:val="0"/>
        <w:ind w:left="851"/>
        <w:rPr>
          <w:i/>
          <w:iCs/>
          <w:sz w:val="24"/>
          <w:szCs w:val="24"/>
        </w:rPr>
      </w:pPr>
      <w:proofErr w:type="spellStart"/>
      <w:r>
        <w:rPr>
          <w:i/>
          <w:iCs/>
          <w:sz w:val="24"/>
          <w:szCs w:val="24"/>
        </w:rPr>
        <w:t>Clozapin</w:t>
      </w:r>
      <w:proofErr w:type="spellEnd"/>
    </w:p>
    <w:p w14:paraId="5FF186BB" w14:textId="77777777" w:rsidR="00D22229" w:rsidRDefault="00D22229" w:rsidP="00D22229">
      <w:pPr>
        <w:widowControl w:val="0"/>
        <w:ind w:left="851"/>
        <w:rPr>
          <w:sz w:val="24"/>
          <w:szCs w:val="24"/>
        </w:rPr>
      </w:pPr>
      <w:r>
        <w:rPr>
          <w:sz w:val="24"/>
          <w:szCs w:val="24"/>
        </w:rPr>
        <w:t xml:space="preserve">Samtidig behandling med </w:t>
      </w:r>
      <w:proofErr w:type="spellStart"/>
      <w:r>
        <w:rPr>
          <w:sz w:val="24"/>
          <w:szCs w:val="24"/>
        </w:rPr>
        <w:t>valproat</w:t>
      </w:r>
      <w:proofErr w:type="spellEnd"/>
      <w:r>
        <w:rPr>
          <w:sz w:val="24"/>
          <w:szCs w:val="24"/>
        </w:rPr>
        <w:t xml:space="preserve"> og </w:t>
      </w:r>
      <w:proofErr w:type="spellStart"/>
      <w:r>
        <w:rPr>
          <w:sz w:val="24"/>
          <w:szCs w:val="24"/>
        </w:rPr>
        <w:t>clozapin</w:t>
      </w:r>
      <w:proofErr w:type="spellEnd"/>
      <w:r>
        <w:rPr>
          <w:sz w:val="24"/>
          <w:szCs w:val="24"/>
        </w:rPr>
        <w:t xml:space="preserve"> kan øge risikoen for </w:t>
      </w:r>
      <w:proofErr w:type="spellStart"/>
      <w:r>
        <w:rPr>
          <w:sz w:val="24"/>
          <w:szCs w:val="24"/>
        </w:rPr>
        <w:t>neutropeni</w:t>
      </w:r>
      <w:proofErr w:type="spellEnd"/>
      <w:r>
        <w:rPr>
          <w:sz w:val="24"/>
          <w:szCs w:val="24"/>
        </w:rPr>
        <w:t xml:space="preserve"> og </w:t>
      </w:r>
      <w:proofErr w:type="spellStart"/>
      <w:r>
        <w:rPr>
          <w:sz w:val="24"/>
          <w:szCs w:val="24"/>
        </w:rPr>
        <w:t>clozapin</w:t>
      </w:r>
      <w:proofErr w:type="spellEnd"/>
      <w:r>
        <w:rPr>
          <w:sz w:val="24"/>
          <w:szCs w:val="24"/>
        </w:rPr>
        <w:t xml:space="preserve">-induceret </w:t>
      </w:r>
      <w:proofErr w:type="spellStart"/>
      <w:r>
        <w:rPr>
          <w:sz w:val="24"/>
          <w:szCs w:val="24"/>
        </w:rPr>
        <w:t>myokarditis</w:t>
      </w:r>
      <w:proofErr w:type="spellEnd"/>
      <w:r>
        <w:rPr>
          <w:sz w:val="24"/>
          <w:szCs w:val="24"/>
        </w:rPr>
        <w:t xml:space="preserve">. Hvis samtidig brug af </w:t>
      </w:r>
      <w:proofErr w:type="spellStart"/>
      <w:r>
        <w:rPr>
          <w:sz w:val="24"/>
          <w:szCs w:val="24"/>
        </w:rPr>
        <w:t>valproat</w:t>
      </w:r>
      <w:proofErr w:type="spellEnd"/>
      <w:r>
        <w:rPr>
          <w:sz w:val="24"/>
          <w:szCs w:val="24"/>
        </w:rPr>
        <w:t xml:space="preserve"> og </w:t>
      </w:r>
      <w:proofErr w:type="spellStart"/>
      <w:r>
        <w:rPr>
          <w:sz w:val="24"/>
          <w:szCs w:val="24"/>
        </w:rPr>
        <w:t>clozapin</w:t>
      </w:r>
      <w:proofErr w:type="spellEnd"/>
      <w:r>
        <w:rPr>
          <w:sz w:val="24"/>
          <w:szCs w:val="24"/>
        </w:rPr>
        <w:t xml:space="preserve"> er nødvendig, er omhyggelig monitorering for begge bivirkninger nødvendig.</w:t>
      </w:r>
    </w:p>
    <w:p w14:paraId="4FCA9604" w14:textId="77777777" w:rsidR="004873ED" w:rsidRPr="004C0B3B" w:rsidRDefault="004873ED" w:rsidP="004873ED">
      <w:pPr>
        <w:widowControl w:val="0"/>
        <w:ind w:left="851"/>
        <w:rPr>
          <w:sz w:val="24"/>
          <w:szCs w:val="24"/>
        </w:rPr>
      </w:pPr>
    </w:p>
    <w:p w14:paraId="29E9E861" w14:textId="77777777" w:rsidR="004873ED" w:rsidRPr="004C0B3B" w:rsidRDefault="004873ED" w:rsidP="00291DB8">
      <w:pPr>
        <w:keepNext/>
        <w:widowControl w:val="0"/>
        <w:ind w:left="851"/>
        <w:rPr>
          <w:i/>
          <w:sz w:val="24"/>
          <w:szCs w:val="24"/>
        </w:rPr>
      </w:pPr>
      <w:r w:rsidRPr="004C0B3B">
        <w:rPr>
          <w:i/>
          <w:sz w:val="24"/>
          <w:szCs w:val="24"/>
        </w:rPr>
        <w:t>Alkohol</w:t>
      </w:r>
    </w:p>
    <w:p w14:paraId="0D848B50" w14:textId="77777777" w:rsidR="004873ED" w:rsidRPr="004C0B3B" w:rsidRDefault="004873ED" w:rsidP="004873ED">
      <w:pPr>
        <w:widowControl w:val="0"/>
        <w:ind w:left="851"/>
        <w:rPr>
          <w:i/>
          <w:sz w:val="24"/>
          <w:szCs w:val="24"/>
        </w:rPr>
      </w:pPr>
      <w:proofErr w:type="spellStart"/>
      <w:r w:rsidRPr="004C0B3B">
        <w:rPr>
          <w:sz w:val="24"/>
          <w:szCs w:val="24"/>
        </w:rPr>
        <w:t>Valproat</w:t>
      </w:r>
      <w:proofErr w:type="spellEnd"/>
      <w:r w:rsidRPr="004C0B3B">
        <w:rPr>
          <w:sz w:val="24"/>
          <w:szCs w:val="24"/>
        </w:rPr>
        <w:t xml:space="preserve"> kan forstærke effekten af alkohol.</w:t>
      </w:r>
      <w:r w:rsidRPr="004C0B3B">
        <w:rPr>
          <w:i/>
          <w:sz w:val="24"/>
          <w:szCs w:val="24"/>
        </w:rPr>
        <w:t xml:space="preserve"> </w:t>
      </w:r>
    </w:p>
    <w:p w14:paraId="30E126C6" w14:textId="21F6EC78" w:rsidR="00B33DDB" w:rsidRDefault="00B33DDB">
      <w:pPr>
        <w:rPr>
          <w:sz w:val="24"/>
          <w:szCs w:val="24"/>
        </w:rPr>
      </w:pPr>
      <w:r>
        <w:rPr>
          <w:sz w:val="24"/>
          <w:szCs w:val="24"/>
        </w:rPr>
        <w:br w:type="page"/>
      </w:r>
    </w:p>
    <w:p w14:paraId="18DA8080" w14:textId="77777777" w:rsidR="004873ED" w:rsidRPr="004C0B3B" w:rsidRDefault="004873ED" w:rsidP="004873ED">
      <w:pPr>
        <w:tabs>
          <w:tab w:val="left" w:pos="851"/>
        </w:tabs>
        <w:rPr>
          <w:sz w:val="24"/>
          <w:szCs w:val="24"/>
        </w:rPr>
      </w:pPr>
    </w:p>
    <w:p w14:paraId="78F04A66" w14:textId="77777777" w:rsidR="007653D9" w:rsidRPr="00C84483" w:rsidRDefault="007653D9" w:rsidP="007653D9">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3A835D05" w14:textId="77777777" w:rsidR="004873ED" w:rsidRPr="004C0B3B" w:rsidRDefault="004873ED" w:rsidP="004873ED">
      <w:pPr>
        <w:ind w:left="851"/>
        <w:rPr>
          <w:sz w:val="24"/>
          <w:szCs w:val="24"/>
        </w:rPr>
      </w:pPr>
    </w:p>
    <w:p w14:paraId="5C945192" w14:textId="77777777" w:rsidR="00613335" w:rsidRPr="004C0B3B" w:rsidRDefault="00613335" w:rsidP="00613335">
      <w:pPr>
        <w:tabs>
          <w:tab w:val="left" w:pos="851"/>
        </w:tabs>
        <w:rPr>
          <w:sz w:val="24"/>
          <w:szCs w:val="24"/>
          <w:u w:val="single"/>
        </w:rPr>
      </w:pPr>
      <w:r w:rsidRPr="004C0B3B">
        <w:rPr>
          <w:sz w:val="24"/>
          <w:szCs w:val="24"/>
        </w:rPr>
        <w:tab/>
      </w:r>
      <w:r w:rsidRPr="004C0B3B">
        <w:rPr>
          <w:sz w:val="24"/>
          <w:szCs w:val="24"/>
          <w:u w:val="single"/>
        </w:rPr>
        <w:t>Graviditet og fertile kvinder</w:t>
      </w:r>
    </w:p>
    <w:p w14:paraId="410A3631" w14:textId="77777777" w:rsidR="00E07968" w:rsidRPr="004C0B3B" w:rsidRDefault="00E07968" w:rsidP="004873ED">
      <w:pPr>
        <w:ind w:left="851"/>
        <w:rPr>
          <w:sz w:val="24"/>
          <w:szCs w:val="24"/>
        </w:rPr>
      </w:pPr>
    </w:p>
    <w:tbl>
      <w:tblPr>
        <w:tblStyle w:val="Tabel-Gitter"/>
        <w:tblW w:w="0" w:type="auto"/>
        <w:tblInd w:w="851" w:type="dxa"/>
        <w:tblLook w:val="04A0" w:firstRow="1" w:lastRow="0" w:firstColumn="1" w:lastColumn="0" w:noHBand="0" w:noVBand="1"/>
      </w:tblPr>
      <w:tblGrid>
        <w:gridCol w:w="8777"/>
      </w:tblGrid>
      <w:tr w:rsidR="00E07968" w:rsidRPr="004C0B3B" w14:paraId="719CDD3F" w14:textId="77777777" w:rsidTr="00E07968">
        <w:tc>
          <w:tcPr>
            <w:tcW w:w="9628" w:type="dxa"/>
          </w:tcPr>
          <w:p w14:paraId="3FCDBBB6" w14:textId="77777777" w:rsidR="00E07968" w:rsidRPr="004C0B3B" w:rsidRDefault="00E07968" w:rsidP="00E07968">
            <w:pPr>
              <w:rPr>
                <w:sz w:val="24"/>
                <w:szCs w:val="24"/>
                <w:u w:val="single"/>
              </w:rPr>
            </w:pPr>
            <w:r w:rsidRPr="004C0B3B">
              <w:rPr>
                <w:sz w:val="24"/>
                <w:szCs w:val="24"/>
                <w:u w:val="single"/>
              </w:rPr>
              <w:t>Behandling af epilepsi</w:t>
            </w:r>
          </w:p>
          <w:p w14:paraId="6AEAA1B9" w14:textId="5F796DC7" w:rsidR="00E07968" w:rsidRPr="00B33DDB" w:rsidRDefault="00E07968" w:rsidP="00B33DDB">
            <w:pPr>
              <w:pStyle w:val="Listeafsnit"/>
              <w:numPr>
                <w:ilvl w:val="0"/>
                <w:numId w:val="13"/>
              </w:numPr>
              <w:ind w:left="316" w:hanging="316"/>
              <w:rPr>
                <w:szCs w:val="24"/>
              </w:rPr>
            </w:pPr>
            <w:proofErr w:type="spellStart"/>
            <w:r w:rsidRPr="00B33DDB">
              <w:rPr>
                <w:szCs w:val="24"/>
              </w:rPr>
              <w:t>Valproat</w:t>
            </w:r>
            <w:proofErr w:type="spellEnd"/>
            <w:r w:rsidRPr="00B33DDB">
              <w:rPr>
                <w:szCs w:val="24"/>
              </w:rPr>
              <w:t xml:space="preserve"> er kontraindiceret under graviditet, medmindre der ikke findes et egnet alternativ til behandling </w:t>
            </w:r>
          </w:p>
          <w:p w14:paraId="49460796" w14:textId="46B6D872" w:rsidR="00E07968" w:rsidRPr="00B33DDB" w:rsidRDefault="00E07968" w:rsidP="00B33DDB">
            <w:pPr>
              <w:pStyle w:val="Listeafsnit"/>
              <w:numPr>
                <w:ilvl w:val="0"/>
                <w:numId w:val="13"/>
              </w:numPr>
              <w:ind w:left="316" w:hanging="316"/>
              <w:rPr>
                <w:szCs w:val="24"/>
              </w:rPr>
            </w:pPr>
            <w:proofErr w:type="spellStart"/>
            <w:r w:rsidRPr="00B33DDB">
              <w:rPr>
                <w:szCs w:val="24"/>
              </w:rPr>
              <w:t>Valproat</w:t>
            </w:r>
            <w:proofErr w:type="spellEnd"/>
            <w:r w:rsidRPr="00B33DDB">
              <w:rPr>
                <w:szCs w:val="24"/>
              </w:rPr>
              <w:t xml:space="preserve"> er kontraindiceret hos fertile kvinder, medmindre betingelserne i præventionsprogrammet er opfyldt (se pkt. 4.3 og 4.4) </w:t>
            </w:r>
          </w:p>
          <w:p w14:paraId="1E9DDA77" w14:textId="77777777" w:rsidR="00E07968" w:rsidRPr="004C0B3B" w:rsidRDefault="00E07968" w:rsidP="00E07968">
            <w:pPr>
              <w:pStyle w:val="Listeafsnit"/>
              <w:rPr>
                <w:szCs w:val="24"/>
              </w:rPr>
            </w:pPr>
          </w:p>
          <w:p w14:paraId="28D2B9F5" w14:textId="77777777" w:rsidR="00E07968" w:rsidRPr="004C0B3B" w:rsidRDefault="00E07968" w:rsidP="00E07968">
            <w:pPr>
              <w:rPr>
                <w:sz w:val="24"/>
                <w:szCs w:val="24"/>
                <w:u w:val="single"/>
              </w:rPr>
            </w:pPr>
            <w:r w:rsidRPr="004C0B3B">
              <w:rPr>
                <w:sz w:val="24"/>
                <w:szCs w:val="24"/>
                <w:u w:val="single"/>
              </w:rPr>
              <w:t>Behandling af bipolar lidelse</w:t>
            </w:r>
          </w:p>
          <w:p w14:paraId="3734C4B8" w14:textId="6F9A6C32" w:rsidR="00E07968" w:rsidRPr="004C0B3B" w:rsidRDefault="00E07968" w:rsidP="00B33DDB">
            <w:pPr>
              <w:pStyle w:val="Listeafsnit"/>
              <w:numPr>
                <w:ilvl w:val="0"/>
                <w:numId w:val="14"/>
              </w:numPr>
              <w:ind w:left="316" w:hanging="316"/>
              <w:rPr>
                <w:szCs w:val="24"/>
              </w:rPr>
            </w:pPr>
            <w:proofErr w:type="spellStart"/>
            <w:r w:rsidRPr="004C0B3B">
              <w:rPr>
                <w:szCs w:val="24"/>
              </w:rPr>
              <w:t>Valproat</w:t>
            </w:r>
            <w:proofErr w:type="spellEnd"/>
            <w:r w:rsidRPr="004C0B3B">
              <w:rPr>
                <w:szCs w:val="24"/>
              </w:rPr>
              <w:t xml:space="preserve"> er kontraindiceret under graviditet </w:t>
            </w:r>
          </w:p>
          <w:p w14:paraId="025C271D" w14:textId="5A3A4212" w:rsidR="00E07968" w:rsidRPr="00B33DDB" w:rsidRDefault="00E07968" w:rsidP="00B33DDB">
            <w:pPr>
              <w:pStyle w:val="Listeafsnit"/>
              <w:numPr>
                <w:ilvl w:val="0"/>
                <w:numId w:val="14"/>
              </w:numPr>
              <w:ind w:left="316" w:hanging="316"/>
              <w:rPr>
                <w:szCs w:val="24"/>
              </w:rPr>
            </w:pPr>
            <w:proofErr w:type="spellStart"/>
            <w:r w:rsidRPr="00B33DDB">
              <w:rPr>
                <w:szCs w:val="24"/>
              </w:rPr>
              <w:t>Valproat</w:t>
            </w:r>
            <w:proofErr w:type="spellEnd"/>
            <w:r w:rsidRPr="00B33DDB">
              <w:rPr>
                <w:szCs w:val="24"/>
              </w:rPr>
              <w:t xml:space="preserve"> er kontraindiceret hos fertile kvinder, medmindre betingelserne i præventionsprogrammet er opfyldt (se pkt. 4.3 og 4.4) </w:t>
            </w:r>
          </w:p>
          <w:p w14:paraId="245525EE" w14:textId="77777777" w:rsidR="00E07968" w:rsidRPr="004C0B3B" w:rsidRDefault="00E07968" w:rsidP="004873ED">
            <w:pPr>
              <w:rPr>
                <w:sz w:val="24"/>
                <w:szCs w:val="24"/>
              </w:rPr>
            </w:pPr>
          </w:p>
        </w:tc>
      </w:tr>
    </w:tbl>
    <w:p w14:paraId="29E0BD2A" w14:textId="77777777" w:rsidR="00E07968" w:rsidRPr="004C0B3B" w:rsidRDefault="00E07968" w:rsidP="00E07968">
      <w:pPr>
        <w:rPr>
          <w:sz w:val="24"/>
          <w:szCs w:val="24"/>
        </w:rPr>
      </w:pPr>
    </w:p>
    <w:p w14:paraId="2DC5B0BA" w14:textId="77777777" w:rsidR="00613335" w:rsidRPr="004C0B3B" w:rsidRDefault="00613335" w:rsidP="00613335">
      <w:pPr>
        <w:ind w:left="851"/>
        <w:rPr>
          <w:i/>
          <w:sz w:val="24"/>
          <w:szCs w:val="24"/>
          <w:u w:val="single"/>
        </w:rPr>
      </w:pPr>
      <w:proofErr w:type="spellStart"/>
      <w:r w:rsidRPr="004C0B3B">
        <w:rPr>
          <w:i/>
          <w:sz w:val="24"/>
          <w:szCs w:val="24"/>
          <w:u w:val="single"/>
        </w:rPr>
        <w:t>Teratogenicitet</w:t>
      </w:r>
      <w:proofErr w:type="spellEnd"/>
      <w:r w:rsidRPr="004C0B3B">
        <w:rPr>
          <w:i/>
          <w:sz w:val="24"/>
          <w:szCs w:val="24"/>
          <w:u w:val="single"/>
        </w:rPr>
        <w:t xml:space="preserve"> og effekt på udvikling af in </w:t>
      </w:r>
      <w:proofErr w:type="spellStart"/>
      <w:r w:rsidRPr="004C0B3B">
        <w:rPr>
          <w:i/>
          <w:sz w:val="24"/>
          <w:szCs w:val="24"/>
          <w:u w:val="single"/>
        </w:rPr>
        <w:t>utero</w:t>
      </w:r>
      <w:proofErr w:type="spellEnd"/>
      <w:r w:rsidRPr="004C0B3B">
        <w:rPr>
          <w:i/>
          <w:sz w:val="24"/>
          <w:szCs w:val="24"/>
          <w:u w:val="single"/>
        </w:rPr>
        <w:t>-eksponering</w:t>
      </w:r>
    </w:p>
    <w:p w14:paraId="14199974" w14:textId="77777777" w:rsidR="00613335" w:rsidRPr="004C0B3B" w:rsidRDefault="00613335" w:rsidP="00613335">
      <w:pPr>
        <w:ind w:left="851"/>
        <w:rPr>
          <w:sz w:val="24"/>
          <w:szCs w:val="24"/>
        </w:rPr>
      </w:pPr>
    </w:p>
    <w:p w14:paraId="3520AE5D" w14:textId="77777777" w:rsidR="0027509F" w:rsidRPr="004C0B3B" w:rsidRDefault="0027509F" w:rsidP="0027509F">
      <w:pPr>
        <w:ind w:left="851"/>
        <w:rPr>
          <w:sz w:val="24"/>
          <w:szCs w:val="24"/>
        </w:rPr>
      </w:pPr>
      <w:r w:rsidRPr="004C0B3B">
        <w:rPr>
          <w:sz w:val="24"/>
          <w:szCs w:val="24"/>
        </w:rPr>
        <w:t xml:space="preserve">Hos dyr: </w:t>
      </w:r>
      <w:proofErr w:type="spellStart"/>
      <w:r w:rsidRPr="004C0B3B">
        <w:rPr>
          <w:sz w:val="24"/>
          <w:szCs w:val="24"/>
        </w:rPr>
        <w:t>Teratogene</w:t>
      </w:r>
      <w:proofErr w:type="spellEnd"/>
      <w:r w:rsidRPr="004C0B3B">
        <w:rPr>
          <w:sz w:val="24"/>
          <w:szCs w:val="24"/>
        </w:rPr>
        <w:t xml:space="preserve"> virkninger er blevet påvist i mus, rotter og kaniner (se pkt. 5.3).</w:t>
      </w:r>
    </w:p>
    <w:p w14:paraId="41CDFA9B" w14:textId="77777777" w:rsidR="0027509F" w:rsidRPr="004C0B3B" w:rsidRDefault="0027509F" w:rsidP="004873ED">
      <w:pPr>
        <w:ind w:left="851"/>
        <w:rPr>
          <w:sz w:val="24"/>
          <w:szCs w:val="24"/>
        </w:rPr>
      </w:pPr>
    </w:p>
    <w:p w14:paraId="1613D777" w14:textId="77777777" w:rsidR="004873ED" w:rsidRPr="004C0B3B" w:rsidRDefault="004873ED" w:rsidP="004873ED">
      <w:pPr>
        <w:ind w:left="851"/>
        <w:rPr>
          <w:i/>
          <w:sz w:val="24"/>
          <w:szCs w:val="24"/>
        </w:rPr>
      </w:pPr>
      <w:r w:rsidRPr="004C0B3B">
        <w:rPr>
          <w:i/>
          <w:sz w:val="24"/>
          <w:szCs w:val="24"/>
        </w:rPr>
        <w:t xml:space="preserve">Eksponeringsrisiko relateret til </w:t>
      </w:r>
      <w:proofErr w:type="spellStart"/>
      <w:r w:rsidRPr="004C0B3B">
        <w:rPr>
          <w:i/>
          <w:sz w:val="24"/>
          <w:szCs w:val="24"/>
        </w:rPr>
        <w:t>valproat</w:t>
      </w:r>
      <w:proofErr w:type="spellEnd"/>
      <w:r w:rsidRPr="004C0B3B">
        <w:rPr>
          <w:i/>
          <w:sz w:val="24"/>
          <w:szCs w:val="24"/>
        </w:rPr>
        <w:t xml:space="preserve"> under graviditet</w:t>
      </w:r>
    </w:p>
    <w:p w14:paraId="123DAAD4" w14:textId="77777777" w:rsidR="004C0B3B" w:rsidRPr="004C0B3B" w:rsidRDefault="004C0B3B" w:rsidP="004C0B3B">
      <w:pPr>
        <w:ind w:left="851"/>
        <w:rPr>
          <w:sz w:val="24"/>
          <w:szCs w:val="24"/>
        </w:rPr>
      </w:pPr>
      <w:r w:rsidRPr="004C0B3B">
        <w:rPr>
          <w:sz w:val="24"/>
          <w:szCs w:val="24"/>
        </w:rPr>
        <w:t xml:space="preserve">Hos kvinder er både </w:t>
      </w:r>
      <w:proofErr w:type="spellStart"/>
      <w:r w:rsidRPr="004C0B3B">
        <w:rPr>
          <w:sz w:val="24"/>
          <w:szCs w:val="24"/>
        </w:rPr>
        <w:t>valproat</w:t>
      </w:r>
      <w:proofErr w:type="spellEnd"/>
      <w:r w:rsidRPr="004C0B3B">
        <w:rPr>
          <w:sz w:val="24"/>
          <w:szCs w:val="24"/>
        </w:rPr>
        <w:t xml:space="preserve">-monoterapi og </w:t>
      </w:r>
      <w:proofErr w:type="spellStart"/>
      <w:r w:rsidRPr="004C0B3B">
        <w:rPr>
          <w:sz w:val="24"/>
          <w:szCs w:val="24"/>
        </w:rPr>
        <w:t>valproat</w:t>
      </w:r>
      <w:proofErr w:type="spellEnd"/>
      <w:r w:rsidRPr="004C0B3B">
        <w:rPr>
          <w:sz w:val="24"/>
          <w:szCs w:val="24"/>
        </w:rPr>
        <w:t xml:space="preserve">-polyterapi er ofte forbundet med risiko for medfødte misdannelser. Tilgængelige data </w:t>
      </w:r>
      <w:bookmarkStart w:id="2" w:name="_Hlk124610269"/>
      <w:r w:rsidRPr="004C0B3B">
        <w:rPr>
          <w:sz w:val="24"/>
          <w:szCs w:val="24"/>
        </w:rPr>
        <w:t xml:space="preserve">viser en øget risiko for alvorlige medfødte misdannelser og neurologiske udviklingsforstyrrelser ved både monoterapi og polyterapi med </w:t>
      </w:r>
      <w:proofErr w:type="spellStart"/>
      <w:r w:rsidRPr="004C0B3B">
        <w:rPr>
          <w:sz w:val="24"/>
          <w:szCs w:val="24"/>
        </w:rPr>
        <w:t>valproat</w:t>
      </w:r>
      <w:proofErr w:type="spellEnd"/>
      <w:r w:rsidRPr="004C0B3B">
        <w:rPr>
          <w:sz w:val="24"/>
          <w:szCs w:val="24"/>
        </w:rPr>
        <w:t xml:space="preserve"> sammenlignet med befolkningen, der ikke er eksponeret for </w:t>
      </w:r>
      <w:proofErr w:type="spellStart"/>
      <w:r w:rsidRPr="004C0B3B">
        <w:rPr>
          <w:sz w:val="24"/>
          <w:szCs w:val="24"/>
        </w:rPr>
        <w:t>valproat</w:t>
      </w:r>
      <w:proofErr w:type="spellEnd"/>
      <w:r w:rsidRPr="004C0B3B">
        <w:rPr>
          <w:sz w:val="24"/>
          <w:szCs w:val="24"/>
        </w:rPr>
        <w:t>.</w:t>
      </w:r>
      <w:bookmarkEnd w:id="2"/>
    </w:p>
    <w:p w14:paraId="62CF3C23" w14:textId="77777777" w:rsidR="004C0B3B" w:rsidRPr="004C0B3B" w:rsidRDefault="004C0B3B" w:rsidP="004C0B3B">
      <w:pPr>
        <w:ind w:left="851"/>
        <w:rPr>
          <w:sz w:val="24"/>
          <w:szCs w:val="24"/>
        </w:rPr>
      </w:pPr>
      <w:r w:rsidRPr="004C0B3B">
        <w:rPr>
          <w:sz w:val="24"/>
          <w:szCs w:val="24"/>
        </w:rPr>
        <w:t xml:space="preserve">Det er påvist, at </w:t>
      </w:r>
      <w:proofErr w:type="spellStart"/>
      <w:r w:rsidRPr="004C0B3B">
        <w:rPr>
          <w:sz w:val="24"/>
          <w:szCs w:val="24"/>
        </w:rPr>
        <w:t>valproat</w:t>
      </w:r>
      <w:proofErr w:type="spellEnd"/>
      <w:r w:rsidRPr="004C0B3B">
        <w:rPr>
          <w:sz w:val="24"/>
          <w:szCs w:val="24"/>
        </w:rPr>
        <w:t xml:space="preserve"> kan krydse placentabarrieren hos både dyr og mennesker (se pkt. 5.2).</w:t>
      </w:r>
    </w:p>
    <w:p w14:paraId="4343029A" w14:textId="77777777" w:rsidR="004873ED" w:rsidRPr="004C0B3B" w:rsidRDefault="004873ED" w:rsidP="004873ED">
      <w:pPr>
        <w:ind w:left="851"/>
        <w:rPr>
          <w:sz w:val="24"/>
          <w:szCs w:val="24"/>
        </w:rPr>
      </w:pPr>
    </w:p>
    <w:p w14:paraId="7CC79965" w14:textId="77777777" w:rsidR="004873ED" w:rsidRPr="004C0B3B" w:rsidRDefault="004873ED" w:rsidP="004873ED">
      <w:pPr>
        <w:ind w:left="851"/>
        <w:rPr>
          <w:i/>
          <w:sz w:val="24"/>
          <w:szCs w:val="24"/>
        </w:rPr>
      </w:pPr>
      <w:r w:rsidRPr="004C0B3B">
        <w:rPr>
          <w:i/>
          <w:sz w:val="24"/>
          <w:szCs w:val="24"/>
        </w:rPr>
        <w:t>Medfødte misdannelser</w:t>
      </w:r>
      <w:r w:rsidR="006364FF" w:rsidRPr="004C0B3B">
        <w:rPr>
          <w:i/>
          <w:sz w:val="24"/>
          <w:szCs w:val="24"/>
        </w:rPr>
        <w:t xml:space="preserve"> fra eksponering in </w:t>
      </w:r>
      <w:proofErr w:type="spellStart"/>
      <w:r w:rsidR="006364FF" w:rsidRPr="004C0B3B">
        <w:rPr>
          <w:i/>
          <w:sz w:val="24"/>
          <w:szCs w:val="24"/>
        </w:rPr>
        <w:t>utero</w:t>
      </w:r>
      <w:proofErr w:type="spellEnd"/>
    </w:p>
    <w:p w14:paraId="1054B486" w14:textId="1C63EC3B" w:rsidR="004C0B3B" w:rsidRPr="004C0B3B" w:rsidRDefault="004C0B3B" w:rsidP="004C0B3B">
      <w:pPr>
        <w:ind w:left="851"/>
        <w:rPr>
          <w:sz w:val="24"/>
          <w:szCs w:val="24"/>
        </w:rPr>
      </w:pPr>
      <w:r w:rsidRPr="004C0B3B">
        <w:rPr>
          <w:sz w:val="24"/>
          <w:szCs w:val="24"/>
        </w:rPr>
        <w:t xml:space="preserve">En </w:t>
      </w:r>
      <w:proofErr w:type="spellStart"/>
      <w:r w:rsidRPr="004C0B3B">
        <w:rPr>
          <w:sz w:val="24"/>
          <w:szCs w:val="24"/>
        </w:rPr>
        <w:t>meta</w:t>
      </w:r>
      <w:proofErr w:type="spellEnd"/>
      <w:r w:rsidRPr="004C0B3B">
        <w:rPr>
          <w:sz w:val="24"/>
          <w:szCs w:val="24"/>
        </w:rPr>
        <w:t xml:space="preserve">-analyse (der inkluderede register- og kohortestudier) viste, at ca. 11 % af de børn, der blev født af kvinder med epilepsi, der havde været i behandling med </w:t>
      </w:r>
      <w:proofErr w:type="spellStart"/>
      <w:r w:rsidRPr="004C0B3B">
        <w:rPr>
          <w:sz w:val="24"/>
          <w:szCs w:val="24"/>
        </w:rPr>
        <w:t>valproat</w:t>
      </w:r>
      <w:proofErr w:type="spellEnd"/>
      <w:r w:rsidRPr="004C0B3B">
        <w:rPr>
          <w:sz w:val="24"/>
          <w:szCs w:val="24"/>
        </w:rPr>
        <w:t xml:space="preserve">-monoterapi under graviditeten, havde </w:t>
      </w:r>
      <w:bookmarkStart w:id="3" w:name="_Hlk124610536"/>
      <w:r w:rsidRPr="004C0B3B">
        <w:rPr>
          <w:sz w:val="24"/>
          <w:szCs w:val="24"/>
        </w:rPr>
        <w:t>alvorlige</w:t>
      </w:r>
      <w:bookmarkEnd w:id="3"/>
      <w:r w:rsidRPr="004C0B3B">
        <w:rPr>
          <w:sz w:val="24"/>
          <w:szCs w:val="24"/>
        </w:rPr>
        <w:t xml:space="preserve"> medfødte misdannelser. Dette er en højere risiko for alvorlige misdannelser end i den almindelige befolkning, hvor risikoen ca. 2-3 %. </w:t>
      </w:r>
    </w:p>
    <w:p w14:paraId="1C9E43D6" w14:textId="593856DB" w:rsidR="004C0B3B" w:rsidRPr="004C0B3B" w:rsidRDefault="004C0B3B" w:rsidP="004C0B3B">
      <w:pPr>
        <w:ind w:left="851"/>
        <w:rPr>
          <w:sz w:val="24"/>
          <w:szCs w:val="24"/>
        </w:rPr>
      </w:pPr>
      <w:bookmarkStart w:id="4" w:name="_Hlk124610658"/>
      <w:r w:rsidRPr="004C0B3B">
        <w:rPr>
          <w:sz w:val="24"/>
          <w:szCs w:val="24"/>
        </w:rPr>
        <w:t xml:space="preserve">Risikoen for alvorlige medfødte misdannelser hos børn efter in </w:t>
      </w:r>
      <w:proofErr w:type="spellStart"/>
      <w:r w:rsidRPr="004C0B3B">
        <w:rPr>
          <w:sz w:val="24"/>
          <w:szCs w:val="24"/>
        </w:rPr>
        <w:t>utero</w:t>
      </w:r>
      <w:proofErr w:type="spellEnd"/>
      <w:r w:rsidRPr="004C0B3B">
        <w:rPr>
          <w:sz w:val="24"/>
          <w:szCs w:val="24"/>
        </w:rPr>
        <w:t xml:space="preserve"> eksponering for polyterapi med antiepileptiske lægemidler, herunder </w:t>
      </w:r>
      <w:proofErr w:type="spellStart"/>
      <w:r w:rsidRPr="004C0B3B">
        <w:rPr>
          <w:sz w:val="24"/>
          <w:szCs w:val="24"/>
        </w:rPr>
        <w:t>valproat</w:t>
      </w:r>
      <w:proofErr w:type="spellEnd"/>
      <w:r w:rsidRPr="004C0B3B">
        <w:rPr>
          <w:sz w:val="24"/>
          <w:szCs w:val="24"/>
        </w:rPr>
        <w:t xml:space="preserve">, er højere end risikoen ved polyterapi med antiepileptiske lægemidler, der ikke omfatter </w:t>
      </w:r>
      <w:proofErr w:type="spellStart"/>
      <w:r w:rsidRPr="004C0B3B">
        <w:rPr>
          <w:sz w:val="24"/>
          <w:szCs w:val="24"/>
        </w:rPr>
        <w:t>valproat</w:t>
      </w:r>
      <w:proofErr w:type="spellEnd"/>
      <w:r w:rsidRPr="004C0B3B">
        <w:rPr>
          <w:sz w:val="24"/>
          <w:szCs w:val="24"/>
        </w:rPr>
        <w:t>.</w:t>
      </w:r>
      <w:bookmarkEnd w:id="4"/>
      <w:r w:rsidRPr="004C0B3B">
        <w:rPr>
          <w:sz w:val="24"/>
          <w:szCs w:val="24"/>
        </w:rPr>
        <w:t xml:space="preserve"> Denne risiko er dosisafhængig </w:t>
      </w:r>
      <w:bookmarkStart w:id="5" w:name="_Hlk124610744"/>
      <w:r w:rsidRPr="004C0B3B">
        <w:rPr>
          <w:sz w:val="24"/>
          <w:szCs w:val="24"/>
        </w:rPr>
        <w:t xml:space="preserve">ved </w:t>
      </w:r>
      <w:proofErr w:type="spellStart"/>
      <w:r w:rsidRPr="004C0B3B">
        <w:rPr>
          <w:sz w:val="24"/>
          <w:szCs w:val="24"/>
        </w:rPr>
        <w:t>valproat</w:t>
      </w:r>
      <w:proofErr w:type="spellEnd"/>
      <w:r w:rsidRPr="004C0B3B">
        <w:rPr>
          <w:sz w:val="24"/>
          <w:szCs w:val="24"/>
        </w:rPr>
        <w:t xml:space="preserve"> monoterapi</w:t>
      </w:r>
      <w:bookmarkEnd w:id="5"/>
      <w:r w:rsidRPr="004C0B3B">
        <w:rPr>
          <w:sz w:val="24"/>
          <w:szCs w:val="24"/>
        </w:rPr>
        <w:t xml:space="preserve">, </w:t>
      </w:r>
      <w:bookmarkStart w:id="6" w:name="_Hlk124610823"/>
      <w:r w:rsidRPr="004C0B3B">
        <w:rPr>
          <w:sz w:val="24"/>
          <w:szCs w:val="24"/>
        </w:rPr>
        <w:t xml:space="preserve">og tilgængelige data tyder på, at den er dosisafhængig ved </w:t>
      </w:r>
      <w:proofErr w:type="spellStart"/>
      <w:r w:rsidRPr="004C0B3B">
        <w:rPr>
          <w:sz w:val="24"/>
          <w:szCs w:val="24"/>
        </w:rPr>
        <w:t>valproat</w:t>
      </w:r>
      <w:proofErr w:type="spellEnd"/>
      <w:r w:rsidRPr="004C0B3B">
        <w:rPr>
          <w:sz w:val="24"/>
          <w:szCs w:val="24"/>
        </w:rPr>
        <w:t xml:space="preserve"> polyterapi</w:t>
      </w:r>
      <w:bookmarkEnd w:id="6"/>
      <w:r w:rsidRPr="004C0B3B">
        <w:rPr>
          <w:sz w:val="24"/>
          <w:szCs w:val="24"/>
        </w:rPr>
        <w:t xml:space="preserve">. </w:t>
      </w:r>
      <w:bookmarkStart w:id="7" w:name="_Hlk124610900"/>
      <w:r w:rsidRPr="004C0B3B">
        <w:rPr>
          <w:sz w:val="24"/>
          <w:szCs w:val="24"/>
        </w:rPr>
        <w:t>Imidlerti</w:t>
      </w:r>
      <w:bookmarkEnd w:id="7"/>
      <w:r w:rsidR="005C31B1">
        <w:rPr>
          <w:sz w:val="24"/>
          <w:szCs w:val="24"/>
        </w:rPr>
        <w:t>d</w:t>
      </w:r>
      <w:r w:rsidRPr="004C0B3B">
        <w:rPr>
          <w:sz w:val="24"/>
          <w:szCs w:val="24"/>
        </w:rPr>
        <w:t xml:space="preserve"> kan der ikke fastsættes en nedre grænseværdi, hvor der ikke er en risiko.</w:t>
      </w:r>
    </w:p>
    <w:p w14:paraId="7E9D2355" w14:textId="77777777" w:rsidR="004873ED" w:rsidRPr="004C0B3B" w:rsidRDefault="004873ED" w:rsidP="004873ED">
      <w:pPr>
        <w:ind w:left="851"/>
        <w:rPr>
          <w:sz w:val="24"/>
          <w:szCs w:val="24"/>
        </w:rPr>
      </w:pPr>
      <w:r w:rsidRPr="004C0B3B">
        <w:rPr>
          <w:sz w:val="24"/>
          <w:szCs w:val="24"/>
        </w:rPr>
        <w:t xml:space="preserve">Tilgængelige data viser en øget forekomst af mindre og større misdannelser. De hyppigste typer misdannelser inkluderer neuralrørsdefekter, </w:t>
      </w:r>
      <w:proofErr w:type="spellStart"/>
      <w:r w:rsidRPr="004C0B3B">
        <w:rPr>
          <w:sz w:val="24"/>
          <w:szCs w:val="24"/>
        </w:rPr>
        <w:t>dysmorft</w:t>
      </w:r>
      <w:proofErr w:type="spellEnd"/>
      <w:r w:rsidRPr="004C0B3B">
        <w:rPr>
          <w:sz w:val="24"/>
          <w:szCs w:val="24"/>
        </w:rPr>
        <w:t xml:space="preserve"> ansigt, læbespalte og ganespalte, </w:t>
      </w:r>
      <w:proofErr w:type="spellStart"/>
      <w:r w:rsidRPr="004C0B3B">
        <w:rPr>
          <w:sz w:val="24"/>
          <w:szCs w:val="24"/>
        </w:rPr>
        <w:t>kraniostenose</w:t>
      </w:r>
      <w:proofErr w:type="spellEnd"/>
      <w:r w:rsidRPr="004C0B3B">
        <w:rPr>
          <w:sz w:val="24"/>
          <w:szCs w:val="24"/>
        </w:rPr>
        <w:t xml:space="preserve">, kardiale, </w:t>
      </w:r>
      <w:proofErr w:type="spellStart"/>
      <w:r w:rsidRPr="004C0B3B">
        <w:rPr>
          <w:sz w:val="24"/>
          <w:szCs w:val="24"/>
        </w:rPr>
        <w:t>renale</w:t>
      </w:r>
      <w:proofErr w:type="spellEnd"/>
      <w:r w:rsidRPr="004C0B3B">
        <w:rPr>
          <w:sz w:val="24"/>
          <w:szCs w:val="24"/>
        </w:rPr>
        <w:t xml:space="preserve"> og urogenitale defekter, defekte lemmer (herunder bilateral </w:t>
      </w:r>
      <w:proofErr w:type="spellStart"/>
      <w:r w:rsidRPr="004C0B3B">
        <w:rPr>
          <w:sz w:val="24"/>
          <w:szCs w:val="24"/>
        </w:rPr>
        <w:t>aplasi</w:t>
      </w:r>
      <w:proofErr w:type="spellEnd"/>
      <w:r w:rsidRPr="004C0B3B">
        <w:rPr>
          <w:sz w:val="24"/>
          <w:szCs w:val="24"/>
        </w:rPr>
        <w:t xml:space="preserve"> af radius) og multiple anomalier i forskellige organsystemer.</w:t>
      </w:r>
    </w:p>
    <w:p w14:paraId="6D6175BA" w14:textId="77777777" w:rsidR="000E7A72" w:rsidRPr="004C0B3B" w:rsidRDefault="000E7A72" w:rsidP="000E7A72">
      <w:pPr>
        <w:ind w:left="851"/>
        <w:rPr>
          <w:sz w:val="24"/>
          <w:szCs w:val="24"/>
        </w:rPr>
      </w:pPr>
      <w:r w:rsidRPr="004C0B3B">
        <w:rPr>
          <w:i/>
          <w:sz w:val="24"/>
          <w:szCs w:val="24"/>
        </w:rPr>
        <w:t xml:space="preserve">In </w:t>
      </w:r>
      <w:proofErr w:type="spellStart"/>
      <w:r w:rsidRPr="004C0B3B">
        <w:rPr>
          <w:i/>
          <w:sz w:val="24"/>
          <w:szCs w:val="24"/>
        </w:rPr>
        <w:t>utero</w:t>
      </w:r>
      <w:proofErr w:type="spellEnd"/>
      <w:r w:rsidRPr="004C0B3B">
        <w:rPr>
          <w:sz w:val="24"/>
          <w:szCs w:val="24"/>
        </w:rPr>
        <w:t xml:space="preserve">-eksponering for </w:t>
      </w:r>
      <w:proofErr w:type="spellStart"/>
      <w:r w:rsidRPr="004C0B3B">
        <w:rPr>
          <w:sz w:val="24"/>
          <w:szCs w:val="24"/>
        </w:rPr>
        <w:t>valproat</w:t>
      </w:r>
      <w:proofErr w:type="spellEnd"/>
      <w:r w:rsidRPr="004C0B3B">
        <w:rPr>
          <w:sz w:val="24"/>
          <w:szCs w:val="24"/>
        </w:rPr>
        <w:t xml:space="preserve"> kan også resultere i nedsat hørelse eller døvhed pga. misdannelser af ører og/eller næse (sekundær effekt) og/eller direkte toksicitet på hørefunktionen. Der er både beskrevet tilfælde af ensidig og dobbeltsidig døvhed eller nedsat hørelse. Udfaldet blev ikke rapporteret i alle tilfælde. I de fleste af de tilfælde, hvor udfaldet blev rapporteret, sås ingen bedring.</w:t>
      </w:r>
    </w:p>
    <w:p w14:paraId="4EEE5888" w14:textId="77777777" w:rsidR="00A74EE4" w:rsidRPr="004C0B3B" w:rsidRDefault="00A74EE4" w:rsidP="00A74EE4">
      <w:pPr>
        <w:ind w:left="851"/>
        <w:rPr>
          <w:sz w:val="24"/>
          <w:szCs w:val="24"/>
        </w:rPr>
      </w:pPr>
      <w:r w:rsidRPr="004C0B3B">
        <w:rPr>
          <w:i/>
          <w:sz w:val="24"/>
          <w:szCs w:val="24"/>
        </w:rPr>
        <w:t xml:space="preserve">In </w:t>
      </w:r>
      <w:proofErr w:type="spellStart"/>
      <w:r w:rsidRPr="004C0B3B">
        <w:rPr>
          <w:i/>
          <w:sz w:val="24"/>
          <w:szCs w:val="24"/>
        </w:rPr>
        <w:t>utero</w:t>
      </w:r>
      <w:proofErr w:type="spellEnd"/>
      <w:r w:rsidRPr="004C0B3B">
        <w:rPr>
          <w:sz w:val="24"/>
          <w:szCs w:val="24"/>
        </w:rPr>
        <w:t xml:space="preserve">-eksponering for </w:t>
      </w:r>
      <w:proofErr w:type="spellStart"/>
      <w:r w:rsidRPr="004C0B3B">
        <w:rPr>
          <w:sz w:val="24"/>
          <w:szCs w:val="24"/>
        </w:rPr>
        <w:t>valproat</w:t>
      </w:r>
      <w:proofErr w:type="spellEnd"/>
      <w:r w:rsidRPr="004C0B3B">
        <w:rPr>
          <w:sz w:val="24"/>
          <w:szCs w:val="24"/>
        </w:rPr>
        <w:t xml:space="preserve"> kan resultere i øjenmisdannelser (herunder </w:t>
      </w:r>
      <w:proofErr w:type="spellStart"/>
      <w:r w:rsidRPr="004C0B3B">
        <w:rPr>
          <w:sz w:val="24"/>
          <w:szCs w:val="24"/>
        </w:rPr>
        <w:t>colobom</w:t>
      </w:r>
      <w:proofErr w:type="spellEnd"/>
      <w:r w:rsidRPr="004C0B3B">
        <w:rPr>
          <w:sz w:val="24"/>
          <w:szCs w:val="24"/>
        </w:rPr>
        <w:t xml:space="preserve">, </w:t>
      </w:r>
      <w:proofErr w:type="spellStart"/>
      <w:r w:rsidRPr="004C0B3B">
        <w:rPr>
          <w:sz w:val="24"/>
          <w:szCs w:val="24"/>
        </w:rPr>
        <w:t>mikroftalmi</w:t>
      </w:r>
      <w:proofErr w:type="spellEnd"/>
      <w:r w:rsidRPr="004C0B3B">
        <w:rPr>
          <w:sz w:val="24"/>
          <w:szCs w:val="24"/>
        </w:rPr>
        <w:t>), som er rapporteret i forbindelse med andre medfødte misdannelser. Disse øjenmisdannelser kan påvirke synet.</w:t>
      </w:r>
    </w:p>
    <w:p w14:paraId="28C72BE7" w14:textId="77777777" w:rsidR="000E7A72" w:rsidRPr="004C0B3B" w:rsidRDefault="000E7A72" w:rsidP="000E7A72">
      <w:pPr>
        <w:ind w:left="851"/>
        <w:rPr>
          <w:sz w:val="24"/>
          <w:szCs w:val="24"/>
        </w:rPr>
      </w:pPr>
    </w:p>
    <w:p w14:paraId="7BEC163B" w14:textId="77777777" w:rsidR="00C27FE8" w:rsidRPr="004C0B3B" w:rsidRDefault="00C27FE8" w:rsidP="00C27FE8">
      <w:pPr>
        <w:keepNext/>
        <w:ind w:left="851"/>
        <w:rPr>
          <w:i/>
          <w:sz w:val="24"/>
          <w:szCs w:val="24"/>
        </w:rPr>
      </w:pPr>
      <w:r w:rsidRPr="004C0B3B">
        <w:rPr>
          <w:i/>
          <w:sz w:val="24"/>
          <w:szCs w:val="24"/>
        </w:rPr>
        <w:t xml:space="preserve">Neurologiske udviklingsforstyrrelser fra eksponering in </w:t>
      </w:r>
      <w:proofErr w:type="spellStart"/>
      <w:r w:rsidRPr="004C0B3B">
        <w:rPr>
          <w:i/>
          <w:sz w:val="24"/>
          <w:szCs w:val="24"/>
        </w:rPr>
        <w:t>utero</w:t>
      </w:r>
      <w:proofErr w:type="spellEnd"/>
    </w:p>
    <w:p w14:paraId="2B1DC30E" w14:textId="77777777" w:rsidR="004C0B3B" w:rsidRPr="004C0B3B" w:rsidRDefault="004C0B3B" w:rsidP="004C0B3B">
      <w:pPr>
        <w:ind w:left="851"/>
        <w:rPr>
          <w:sz w:val="24"/>
          <w:szCs w:val="24"/>
        </w:rPr>
      </w:pPr>
      <w:r w:rsidRPr="004C0B3B">
        <w:rPr>
          <w:sz w:val="24"/>
          <w:szCs w:val="24"/>
        </w:rPr>
        <w:t xml:space="preserve">Data har vist at eksponering for </w:t>
      </w:r>
      <w:proofErr w:type="spellStart"/>
      <w:r w:rsidRPr="004C0B3B">
        <w:rPr>
          <w:sz w:val="24"/>
          <w:szCs w:val="24"/>
        </w:rPr>
        <w:t>valproat</w:t>
      </w:r>
      <w:proofErr w:type="spellEnd"/>
      <w:r w:rsidRPr="004C0B3B">
        <w:rPr>
          <w:i/>
          <w:sz w:val="24"/>
          <w:szCs w:val="24"/>
        </w:rPr>
        <w:t xml:space="preserve"> in </w:t>
      </w:r>
      <w:proofErr w:type="spellStart"/>
      <w:r w:rsidRPr="004C0B3B">
        <w:rPr>
          <w:i/>
          <w:sz w:val="24"/>
          <w:szCs w:val="24"/>
        </w:rPr>
        <w:t>utero</w:t>
      </w:r>
      <w:proofErr w:type="spellEnd"/>
      <w:r w:rsidRPr="004C0B3B">
        <w:rPr>
          <w:sz w:val="24"/>
          <w:szCs w:val="24"/>
        </w:rPr>
        <w:t xml:space="preserve"> kan have negative virkninger på den mentale og fysiske udvikling hos de eksponerede børn. Risikoen </w:t>
      </w:r>
      <w:bookmarkStart w:id="8" w:name="_Hlk124611158"/>
      <w:r w:rsidRPr="004C0B3B">
        <w:rPr>
          <w:sz w:val="24"/>
          <w:szCs w:val="24"/>
        </w:rPr>
        <w:t xml:space="preserve">for neurologiske udviklingsforstyrrelser (inklusive autisme) </w:t>
      </w:r>
      <w:bookmarkEnd w:id="8"/>
      <w:r w:rsidRPr="004C0B3B">
        <w:rPr>
          <w:sz w:val="24"/>
          <w:szCs w:val="24"/>
        </w:rPr>
        <w:t xml:space="preserve">synes at være dosisafhængig, </w:t>
      </w:r>
      <w:bookmarkStart w:id="9" w:name="_Hlk124611331"/>
      <w:r w:rsidRPr="004C0B3B">
        <w:rPr>
          <w:sz w:val="24"/>
          <w:szCs w:val="24"/>
        </w:rPr>
        <w:t xml:space="preserve">når </w:t>
      </w:r>
      <w:proofErr w:type="spellStart"/>
      <w:r w:rsidRPr="004C0B3B">
        <w:rPr>
          <w:sz w:val="24"/>
          <w:szCs w:val="24"/>
        </w:rPr>
        <w:t>valproat</w:t>
      </w:r>
      <w:proofErr w:type="spellEnd"/>
      <w:r w:rsidRPr="004C0B3B">
        <w:rPr>
          <w:sz w:val="24"/>
          <w:szCs w:val="24"/>
        </w:rPr>
        <w:t xml:space="preserve"> anvendes som monoterapi,</w:t>
      </w:r>
      <w:bookmarkEnd w:id="9"/>
      <w:r w:rsidRPr="004C0B3B">
        <w:rPr>
          <w:sz w:val="24"/>
          <w:szCs w:val="24"/>
        </w:rPr>
        <w:t xml:space="preserve"> men en nedre grænseværdi, hvor der ikke er en risiko, kan ikke fastsættes på baggrund af de tilgængelige data. </w:t>
      </w:r>
    </w:p>
    <w:p w14:paraId="2FD0C009" w14:textId="77777777" w:rsidR="004C0B3B" w:rsidRPr="004C0B3B" w:rsidRDefault="004C0B3B" w:rsidP="004C0B3B">
      <w:pPr>
        <w:ind w:left="851"/>
        <w:rPr>
          <w:sz w:val="24"/>
          <w:szCs w:val="24"/>
        </w:rPr>
      </w:pPr>
      <w:bookmarkStart w:id="10" w:name="_Hlk124611549"/>
      <w:r w:rsidRPr="004C0B3B">
        <w:rPr>
          <w:sz w:val="24"/>
          <w:szCs w:val="24"/>
        </w:rPr>
        <w:t xml:space="preserve">Når </w:t>
      </w:r>
      <w:proofErr w:type="spellStart"/>
      <w:r w:rsidRPr="004C0B3B">
        <w:rPr>
          <w:sz w:val="24"/>
          <w:szCs w:val="24"/>
        </w:rPr>
        <w:t>valproat</w:t>
      </w:r>
      <w:proofErr w:type="spellEnd"/>
      <w:r w:rsidRPr="004C0B3B">
        <w:rPr>
          <w:sz w:val="24"/>
          <w:szCs w:val="24"/>
        </w:rPr>
        <w:t xml:space="preserve"> administreres i polyterapi med andre </w:t>
      </w:r>
      <w:proofErr w:type="spellStart"/>
      <w:r w:rsidRPr="004C0B3B">
        <w:rPr>
          <w:sz w:val="24"/>
          <w:szCs w:val="24"/>
        </w:rPr>
        <w:t>antiepileptika</w:t>
      </w:r>
      <w:proofErr w:type="spellEnd"/>
      <w:r w:rsidRPr="004C0B3B">
        <w:rPr>
          <w:sz w:val="24"/>
          <w:szCs w:val="24"/>
        </w:rPr>
        <w:t xml:space="preserve"> under graviditet, er risikoen for neurologiske udviklingsforstyrrelser hos barnet også øget signifikant sammenlignet med risikoen hos børn af den almindelige befolkning eller børn af mødre med ubehandlet epilepsi.</w:t>
      </w:r>
      <w:bookmarkEnd w:id="10"/>
    </w:p>
    <w:p w14:paraId="7663EBD6" w14:textId="77777777" w:rsidR="004C0B3B" w:rsidRPr="004C0B3B" w:rsidRDefault="004C0B3B" w:rsidP="004C0B3B">
      <w:pPr>
        <w:ind w:left="851"/>
        <w:rPr>
          <w:sz w:val="24"/>
          <w:szCs w:val="24"/>
        </w:rPr>
      </w:pPr>
      <w:r w:rsidRPr="004C0B3B">
        <w:rPr>
          <w:sz w:val="24"/>
          <w:szCs w:val="24"/>
        </w:rPr>
        <w:t xml:space="preserve">Den nøjagtige </w:t>
      </w:r>
      <w:proofErr w:type="spellStart"/>
      <w:r w:rsidRPr="004C0B3B">
        <w:rPr>
          <w:sz w:val="24"/>
          <w:szCs w:val="24"/>
        </w:rPr>
        <w:t>gestationale</w:t>
      </w:r>
      <w:proofErr w:type="spellEnd"/>
      <w:r w:rsidRPr="004C0B3B">
        <w:rPr>
          <w:sz w:val="24"/>
          <w:szCs w:val="24"/>
        </w:rPr>
        <w:t xml:space="preserve"> risikoperiode for disse effekter er usikker, og muligheden for risiko under hele graviditeten kan ikke udelukkes. </w:t>
      </w:r>
    </w:p>
    <w:p w14:paraId="725B7763" w14:textId="6456B041" w:rsidR="004C0B3B" w:rsidRPr="004C0B3B" w:rsidRDefault="004C0B3B" w:rsidP="004C0B3B">
      <w:pPr>
        <w:ind w:left="851"/>
        <w:rPr>
          <w:sz w:val="24"/>
          <w:szCs w:val="24"/>
        </w:rPr>
      </w:pPr>
      <w:bookmarkStart w:id="11" w:name="_Hlk124611658"/>
      <w:r w:rsidRPr="004C0B3B">
        <w:rPr>
          <w:sz w:val="24"/>
          <w:szCs w:val="24"/>
        </w:rPr>
        <w:t xml:space="preserve">Når </w:t>
      </w:r>
      <w:proofErr w:type="spellStart"/>
      <w:r w:rsidRPr="004C0B3B">
        <w:rPr>
          <w:sz w:val="24"/>
          <w:szCs w:val="24"/>
        </w:rPr>
        <w:t>valproat</w:t>
      </w:r>
      <w:proofErr w:type="spellEnd"/>
      <w:r w:rsidRPr="004C0B3B">
        <w:rPr>
          <w:sz w:val="24"/>
          <w:szCs w:val="24"/>
        </w:rPr>
        <w:t xml:space="preserve"> administreres i monoterapi,</w:t>
      </w:r>
      <w:bookmarkEnd w:id="11"/>
      <w:r w:rsidRPr="004C0B3B">
        <w:rPr>
          <w:sz w:val="24"/>
          <w:szCs w:val="24"/>
        </w:rPr>
        <w:t xml:space="preserve"> viser studier hos førskolebørn, som var blevet eksponeret for </w:t>
      </w:r>
      <w:proofErr w:type="spellStart"/>
      <w:r w:rsidRPr="004C0B3B">
        <w:rPr>
          <w:sz w:val="24"/>
          <w:szCs w:val="24"/>
        </w:rPr>
        <w:t>valproat</w:t>
      </w:r>
      <w:proofErr w:type="spellEnd"/>
      <w:r w:rsidRPr="004C0B3B">
        <w:rPr>
          <w:sz w:val="24"/>
          <w:szCs w:val="24"/>
        </w:rPr>
        <w:t xml:space="preserve"> in </w:t>
      </w:r>
      <w:proofErr w:type="spellStart"/>
      <w:r w:rsidRPr="004C0B3B">
        <w:rPr>
          <w:sz w:val="24"/>
          <w:szCs w:val="24"/>
        </w:rPr>
        <w:t>utero</w:t>
      </w:r>
      <w:proofErr w:type="spellEnd"/>
      <w:r w:rsidRPr="004C0B3B">
        <w:rPr>
          <w:sz w:val="24"/>
          <w:szCs w:val="24"/>
        </w:rPr>
        <w:t xml:space="preserve">, at op til 30-40 % oplever forsinkelser i deres tidlige udvikling, såsom senere tale og gang, lavere intellektuelle evner, dårlige sprogfærdigheder (tale og forståelse) og hukommelsesproblemer. </w:t>
      </w:r>
    </w:p>
    <w:p w14:paraId="39FFFA8A" w14:textId="77777777" w:rsidR="004873ED" w:rsidRPr="004C0B3B" w:rsidRDefault="004873ED" w:rsidP="004873ED">
      <w:pPr>
        <w:ind w:left="851"/>
        <w:rPr>
          <w:sz w:val="24"/>
          <w:szCs w:val="24"/>
        </w:rPr>
      </w:pPr>
      <w:r w:rsidRPr="004C0B3B">
        <w:rPr>
          <w:sz w:val="24"/>
          <w:szCs w:val="24"/>
        </w:rPr>
        <w:t xml:space="preserve">Intelligenskvotient (IQ) målt hos skolebørn (6 år gamle), som var blevet eksponeret for </w:t>
      </w:r>
      <w:proofErr w:type="spellStart"/>
      <w:r w:rsidRPr="004C0B3B">
        <w:rPr>
          <w:sz w:val="24"/>
          <w:szCs w:val="24"/>
        </w:rPr>
        <w:t>valproat</w:t>
      </w:r>
      <w:proofErr w:type="spellEnd"/>
      <w:r w:rsidRPr="004C0B3B">
        <w:rPr>
          <w:sz w:val="24"/>
          <w:szCs w:val="24"/>
        </w:rPr>
        <w:t xml:space="preserve"> in </w:t>
      </w:r>
      <w:proofErr w:type="spellStart"/>
      <w:r w:rsidRPr="004C0B3B">
        <w:rPr>
          <w:sz w:val="24"/>
          <w:szCs w:val="24"/>
        </w:rPr>
        <w:t>utero</w:t>
      </w:r>
      <w:proofErr w:type="spellEnd"/>
      <w:r w:rsidRPr="004C0B3B">
        <w:rPr>
          <w:sz w:val="24"/>
          <w:szCs w:val="24"/>
        </w:rPr>
        <w:t xml:space="preserve">, var gennemsnitlig 7-10 point lavere end hos børn, der havde været eksponeret for andre </w:t>
      </w:r>
      <w:proofErr w:type="spellStart"/>
      <w:r w:rsidRPr="004C0B3B">
        <w:rPr>
          <w:sz w:val="24"/>
          <w:szCs w:val="24"/>
        </w:rPr>
        <w:t>antiepileptika</w:t>
      </w:r>
      <w:proofErr w:type="spellEnd"/>
      <w:r w:rsidRPr="004C0B3B">
        <w:rPr>
          <w:sz w:val="24"/>
          <w:szCs w:val="24"/>
        </w:rPr>
        <w:t xml:space="preserve">. Selvom forstyrrende faktorer ikke kan udelukkes, er der evidens for, at hos børn, som har været eksponeret for </w:t>
      </w:r>
      <w:proofErr w:type="spellStart"/>
      <w:r w:rsidRPr="004C0B3B">
        <w:rPr>
          <w:sz w:val="24"/>
          <w:szCs w:val="24"/>
        </w:rPr>
        <w:t>valproat</w:t>
      </w:r>
      <w:proofErr w:type="spellEnd"/>
      <w:r w:rsidRPr="004C0B3B">
        <w:rPr>
          <w:sz w:val="24"/>
          <w:szCs w:val="24"/>
        </w:rPr>
        <w:t>, kan risikoen for nedsat intelligens være uafhængig af moderens IQ.</w:t>
      </w:r>
    </w:p>
    <w:p w14:paraId="2C3B576D" w14:textId="77777777" w:rsidR="004873ED" w:rsidRPr="004C0B3B" w:rsidRDefault="004873ED" w:rsidP="004873ED">
      <w:pPr>
        <w:ind w:left="851"/>
        <w:rPr>
          <w:sz w:val="24"/>
          <w:szCs w:val="24"/>
        </w:rPr>
      </w:pPr>
      <w:r w:rsidRPr="004C0B3B">
        <w:rPr>
          <w:sz w:val="24"/>
          <w:szCs w:val="24"/>
        </w:rPr>
        <w:t xml:space="preserve">Der er begrænsede data for langtidsvirkninger. </w:t>
      </w:r>
    </w:p>
    <w:p w14:paraId="7B95BB86" w14:textId="77777777" w:rsidR="0027509F" w:rsidRPr="004C0B3B" w:rsidRDefault="0027509F" w:rsidP="0027509F">
      <w:pPr>
        <w:ind w:left="851"/>
        <w:rPr>
          <w:sz w:val="24"/>
          <w:szCs w:val="24"/>
        </w:rPr>
      </w:pPr>
      <w:r w:rsidRPr="004C0B3B">
        <w:rPr>
          <w:sz w:val="24"/>
          <w:szCs w:val="24"/>
        </w:rPr>
        <w:t xml:space="preserve">Tilgængelige data fra et populationsbaseret studie viser, at børn eksponeret for </w:t>
      </w:r>
      <w:proofErr w:type="spellStart"/>
      <w:r w:rsidRPr="004C0B3B">
        <w:rPr>
          <w:sz w:val="24"/>
          <w:szCs w:val="24"/>
        </w:rPr>
        <w:t>valproat</w:t>
      </w:r>
      <w:proofErr w:type="spellEnd"/>
      <w:r w:rsidRPr="004C0B3B">
        <w:rPr>
          <w:sz w:val="24"/>
          <w:szCs w:val="24"/>
        </w:rPr>
        <w:t xml:space="preserve"> in </w:t>
      </w:r>
      <w:proofErr w:type="spellStart"/>
      <w:r w:rsidRPr="004C0B3B">
        <w:rPr>
          <w:sz w:val="24"/>
          <w:szCs w:val="24"/>
        </w:rPr>
        <w:t>utero</w:t>
      </w:r>
      <w:proofErr w:type="spellEnd"/>
      <w:r w:rsidRPr="004C0B3B">
        <w:rPr>
          <w:sz w:val="24"/>
          <w:szCs w:val="24"/>
        </w:rPr>
        <w:t xml:space="preserve">, har en øget risiko for autisme spektrum forstyrrelser (cirka tredobbelt) og børneautisme (cirka femdobbelt) sammenlignet med den </w:t>
      </w:r>
      <w:proofErr w:type="spellStart"/>
      <w:r w:rsidRPr="004C0B3B">
        <w:rPr>
          <w:sz w:val="24"/>
          <w:szCs w:val="24"/>
        </w:rPr>
        <w:t>ueksponerede</w:t>
      </w:r>
      <w:proofErr w:type="spellEnd"/>
      <w:r w:rsidRPr="004C0B3B">
        <w:rPr>
          <w:sz w:val="24"/>
          <w:szCs w:val="24"/>
        </w:rPr>
        <w:t xml:space="preserve"> population i studiet.</w:t>
      </w:r>
    </w:p>
    <w:p w14:paraId="3A47F619" w14:textId="77777777" w:rsidR="0027509F" w:rsidRPr="004C0B3B" w:rsidRDefault="0027509F" w:rsidP="0027509F">
      <w:pPr>
        <w:ind w:left="851"/>
        <w:rPr>
          <w:sz w:val="24"/>
          <w:szCs w:val="24"/>
        </w:rPr>
      </w:pPr>
      <w:r w:rsidRPr="004C0B3B">
        <w:rPr>
          <w:sz w:val="24"/>
          <w:szCs w:val="24"/>
        </w:rPr>
        <w:t xml:space="preserve">Tilgængelige data fra et andet populationsbaseret studie viser, at børn eksponeret for </w:t>
      </w:r>
      <w:proofErr w:type="spellStart"/>
      <w:r w:rsidRPr="004C0B3B">
        <w:rPr>
          <w:sz w:val="24"/>
          <w:szCs w:val="24"/>
        </w:rPr>
        <w:t>valproat</w:t>
      </w:r>
      <w:proofErr w:type="spellEnd"/>
      <w:r w:rsidRPr="004C0B3B">
        <w:rPr>
          <w:sz w:val="24"/>
          <w:szCs w:val="24"/>
        </w:rPr>
        <w:t xml:space="preserve"> in </w:t>
      </w:r>
      <w:proofErr w:type="spellStart"/>
      <w:r w:rsidRPr="004C0B3B">
        <w:rPr>
          <w:sz w:val="24"/>
          <w:szCs w:val="24"/>
        </w:rPr>
        <w:t>utero</w:t>
      </w:r>
      <w:proofErr w:type="spellEnd"/>
      <w:r w:rsidRPr="004C0B3B">
        <w:rPr>
          <w:sz w:val="24"/>
          <w:szCs w:val="24"/>
        </w:rPr>
        <w:t xml:space="preserve">, har større risiko for at udvikle forstyrrelser af opmærksomhed, aktivitet og impulsivitet (ADHD) (cirka 1,5 gange) sammenlignet med den </w:t>
      </w:r>
      <w:proofErr w:type="spellStart"/>
      <w:r w:rsidRPr="004C0B3B">
        <w:rPr>
          <w:sz w:val="24"/>
          <w:szCs w:val="24"/>
        </w:rPr>
        <w:t>ueksponerede</w:t>
      </w:r>
      <w:proofErr w:type="spellEnd"/>
      <w:r w:rsidRPr="004C0B3B">
        <w:rPr>
          <w:sz w:val="24"/>
          <w:szCs w:val="24"/>
        </w:rPr>
        <w:t xml:space="preserve"> population i studiet.</w:t>
      </w:r>
    </w:p>
    <w:p w14:paraId="75B8DEA4" w14:textId="77777777" w:rsidR="004873ED" w:rsidRPr="004C0B3B" w:rsidRDefault="004873ED" w:rsidP="004873ED">
      <w:pPr>
        <w:ind w:left="851"/>
        <w:rPr>
          <w:sz w:val="24"/>
          <w:szCs w:val="24"/>
        </w:rPr>
      </w:pPr>
    </w:p>
    <w:p w14:paraId="5042374F" w14:textId="77777777" w:rsidR="004C0B3B" w:rsidRPr="004C0B3B" w:rsidRDefault="004C0B3B" w:rsidP="004C0B3B">
      <w:pPr>
        <w:ind w:left="851"/>
        <w:rPr>
          <w:sz w:val="24"/>
          <w:szCs w:val="24"/>
        </w:rPr>
      </w:pPr>
      <w:r w:rsidRPr="004C0B3B">
        <w:rPr>
          <w:sz w:val="24"/>
          <w:szCs w:val="24"/>
        </w:rPr>
        <w:t xml:space="preserve">Indtil graviditetens afslutning kan der forekomme neonatale abstinenssymptomer efter behandling med </w:t>
      </w:r>
      <w:proofErr w:type="spellStart"/>
      <w:r w:rsidRPr="004C0B3B">
        <w:rPr>
          <w:sz w:val="24"/>
          <w:szCs w:val="24"/>
        </w:rPr>
        <w:t>valproat</w:t>
      </w:r>
      <w:proofErr w:type="spellEnd"/>
      <w:r w:rsidRPr="004C0B3B">
        <w:rPr>
          <w:sz w:val="24"/>
          <w:szCs w:val="24"/>
        </w:rPr>
        <w:t>.</w:t>
      </w:r>
    </w:p>
    <w:p w14:paraId="1750A3C0" w14:textId="77777777" w:rsidR="004C0B3B" w:rsidRPr="004C0B3B" w:rsidRDefault="004C0B3B" w:rsidP="004C0B3B">
      <w:pPr>
        <w:ind w:left="851"/>
        <w:rPr>
          <w:sz w:val="24"/>
          <w:szCs w:val="24"/>
        </w:rPr>
      </w:pPr>
    </w:p>
    <w:p w14:paraId="0BA6AC42" w14:textId="77777777" w:rsidR="004C0B3B" w:rsidRPr="004C0B3B" w:rsidRDefault="004C0B3B" w:rsidP="004C0B3B">
      <w:pPr>
        <w:ind w:left="851"/>
        <w:rPr>
          <w:i/>
          <w:sz w:val="24"/>
          <w:szCs w:val="24"/>
        </w:rPr>
      </w:pPr>
      <w:r w:rsidRPr="004C0B3B">
        <w:rPr>
          <w:i/>
          <w:sz w:val="24"/>
          <w:szCs w:val="24"/>
        </w:rPr>
        <w:t>Piger, både børn og unge, og fertile kvinder (se ovenstående og pkt. 4.4)</w:t>
      </w:r>
    </w:p>
    <w:p w14:paraId="142B1999" w14:textId="77777777" w:rsidR="004873ED" w:rsidRPr="004C0B3B" w:rsidRDefault="004873ED" w:rsidP="004873ED">
      <w:pPr>
        <w:ind w:left="851"/>
        <w:rPr>
          <w:sz w:val="24"/>
          <w:szCs w:val="24"/>
        </w:rPr>
      </w:pPr>
    </w:p>
    <w:p w14:paraId="5481D035" w14:textId="77777777" w:rsidR="004873ED" w:rsidRPr="004C0B3B" w:rsidRDefault="004873ED" w:rsidP="004873ED">
      <w:pPr>
        <w:ind w:left="851"/>
        <w:rPr>
          <w:i/>
          <w:sz w:val="24"/>
          <w:szCs w:val="24"/>
        </w:rPr>
      </w:pPr>
      <w:r w:rsidRPr="004C0B3B">
        <w:rPr>
          <w:i/>
          <w:sz w:val="24"/>
          <w:szCs w:val="24"/>
        </w:rPr>
        <w:t>Hvis en kvinde planlægger graviditet</w:t>
      </w:r>
    </w:p>
    <w:p w14:paraId="131D61FD" w14:textId="77777777" w:rsidR="004873ED" w:rsidRPr="004C0B3B" w:rsidRDefault="004873ED" w:rsidP="004873ED">
      <w:pPr>
        <w:ind w:left="851"/>
        <w:rPr>
          <w:sz w:val="24"/>
          <w:szCs w:val="24"/>
        </w:rPr>
      </w:pPr>
      <w:r w:rsidRPr="004C0B3B">
        <w:rPr>
          <w:sz w:val="24"/>
          <w:szCs w:val="24"/>
        </w:rPr>
        <w:t xml:space="preserve">Ved indikationen epilepsi skal en specialist, der har erfaring med behandling af epilepsi, revurdere </w:t>
      </w:r>
      <w:proofErr w:type="spellStart"/>
      <w:r w:rsidRPr="004C0B3B">
        <w:rPr>
          <w:sz w:val="24"/>
          <w:szCs w:val="24"/>
        </w:rPr>
        <w:t>valproatbehandling</w:t>
      </w:r>
      <w:proofErr w:type="spellEnd"/>
      <w:r w:rsidRPr="004C0B3B">
        <w:rPr>
          <w:sz w:val="24"/>
          <w:szCs w:val="24"/>
        </w:rPr>
        <w:t xml:space="preserve"> og overveje andre behandlingsmuligheder, hvis en kvinde planlægger at blive gravid. Alle bestræbelser skal gøres for at skifte til anden passende behandling før befrugtning, og inden præventionen afbrydes (se pkt. 4.4). Hvis skift ikke er muligt, skal kvinden modtage yderligere rådgivning vedrørende </w:t>
      </w:r>
      <w:proofErr w:type="spellStart"/>
      <w:r w:rsidRPr="004C0B3B">
        <w:rPr>
          <w:sz w:val="24"/>
          <w:szCs w:val="24"/>
        </w:rPr>
        <w:t>valproats</w:t>
      </w:r>
      <w:proofErr w:type="spellEnd"/>
      <w:r w:rsidRPr="004C0B3B">
        <w:rPr>
          <w:sz w:val="24"/>
          <w:szCs w:val="24"/>
        </w:rPr>
        <w:t xml:space="preserve"> risici for det ufødte barn for at støtte hendes informerede beslutning vedrørende familieplanlægning.</w:t>
      </w:r>
    </w:p>
    <w:p w14:paraId="6944ED7E" w14:textId="77777777" w:rsidR="004873ED" w:rsidRPr="004C0B3B" w:rsidRDefault="004873ED" w:rsidP="004873ED">
      <w:pPr>
        <w:ind w:left="851"/>
        <w:rPr>
          <w:sz w:val="24"/>
          <w:szCs w:val="24"/>
        </w:rPr>
      </w:pPr>
      <w:r w:rsidRPr="004C0B3B">
        <w:rPr>
          <w:sz w:val="24"/>
          <w:szCs w:val="24"/>
        </w:rPr>
        <w:t>Ved indikation(</w:t>
      </w:r>
      <w:proofErr w:type="spellStart"/>
      <w:r w:rsidRPr="004C0B3B">
        <w:rPr>
          <w:sz w:val="24"/>
          <w:szCs w:val="24"/>
        </w:rPr>
        <w:t>erne</w:t>
      </w:r>
      <w:proofErr w:type="spellEnd"/>
      <w:r w:rsidRPr="004C0B3B">
        <w:rPr>
          <w:sz w:val="24"/>
          <w:szCs w:val="24"/>
        </w:rPr>
        <w:t xml:space="preserve">) bipolar lidelse skal en specialist, der har erfaring med behandling af bipolar lidelse konsulteres, hvis en kvinde planlægger at blive gravid. Behandling med </w:t>
      </w:r>
      <w:proofErr w:type="spellStart"/>
      <w:r w:rsidRPr="004C0B3B">
        <w:rPr>
          <w:sz w:val="24"/>
          <w:szCs w:val="24"/>
        </w:rPr>
        <w:t>valproat</w:t>
      </w:r>
      <w:proofErr w:type="spellEnd"/>
      <w:r w:rsidRPr="004C0B3B">
        <w:rPr>
          <w:sz w:val="24"/>
          <w:szCs w:val="24"/>
        </w:rPr>
        <w:t xml:space="preserve"> skal seponeres, og om nødvendigt skiftes til en anden behandling før befrugtning, og før præventionen afbrydes.</w:t>
      </w:r>
    </w:p>
    <w:p w14:paraId="1457D8A9" w14:textId="77777777" w:rsidR="004873ED" w:rsidRPr="004C0B3B" w:rsidRDefault="004873ED" w:rsidP="004873ED">
      <w:pPr>
        <w:ind w:left="851"/>
        <w:rPr>
          <w:sz w:val="24"/>
          <w:szCs w:val="24"/>
        </w:rPr>
      </w:pPr>
    </w:p>
    <w:p w14:paraId="091F95BA" w14:textId="77777777" w:rsidR="004873ED" w:rsidRPr="004C0B3B" w:rsidRDefault="004873ED" w:rsidP="004873ED">
      <w:pPr>
        <w:ind w:left="851"/>
        <w:rPr>
          <w:i/>
          <w:sz w:val="24"/>
          <w:szCs w:val="24"/>
        </w:rPr>
      </w:pPr>
      <w:r w:rsidRPr="004C0B3B">
        <w:rPr>
          <w:i/>
          <w:sz w:val="24"/>
          <w:szCs w:val="24"/>
        </w:rPr>
        <w:t>Gravide kvinder</w:t>
      </w:r>
    </w:p>
    <w:p w14:paraId="1BBFBB3E" w14:textId="77777777" w:rsidR="004873ED" w:rsidRPr="004C0B3B" w:rsidRDefault="004873ED" w:rsidP="004873ED">
      <w:pPr>
        <w:ind w:left="851"/>
        <w:rPr>
          <w:sz w:val="24"/>
          <w:szCs w:val="24"/>
        </w:rPr>
      </w:pPr>
      <w:proofErr w:type="spellStart"/>
      <w:r w:rsidRPr="004C0B3B">
        <w:rPr>
          <w:sz w:val="24"/>
          <w:szCs w:val="24"/>
        </w:rPr>
        <w:t>Valproat</w:t>
      </w:r>
      <w:proofErr w:type="spellEnd"/>
      <w:r w:rsidRPr="004C0B3B">
        <w:rPr>
          <w:sz w:val="24"/>
          <w:szCs w:val="24"/>
        </w:rPr>
        <w:t xml:space="preserve"> som behandling af bipolar lidelse er kontraindiceret til anvendelse under graviditet. </w:t>
      </w:r>
      <w:proofErr w:type="spellStart"/>
      <w:r w:rsidRPr="004C0B3B">
        <w:rPr>
          <w:sz w:val="24"/>
          <w:szCs w:val="24"/>
        </w:rPr>
        <w:t>Valproat</w:t>
      </w:r>
      <w:proofErr w:type="spellEnd"/>
      <w:r w:rsidRPr="004C0B3B">
        <w:rPr>
          <w:sz w:val="24"/>
          <w:szCs w:val="24"/>
        </w:rPr>
        <w:t xml:space="preserve"> som behandling af epilepsi er kontraindiceret under graviditet, medmindre der ikke findes nogen anden egnet behandling (se pkt. 4.3 og 4.4).</w:t>
      </w:r>
    </w:p>
    <w:p w14:paraId="257EF59E" w14:textId="77777777" w:rsidR="004873ED" w:rsidRPr="004C0B3B" w:rsidRDefault="004873ED" w:rsidP="004873ED">
      <w:pPr>
        <w:ind w:left="851"/>
        <w:rPr>
          <w:sz w:val="24"/>
          <w:szCs w:val="24"/>
        </w:rPr>
      </w:pPr>
      <w:r w:rsidRPr="004C0B3B">
        <w:rPr>
          <w:sz w:val="24"/>
          <w:szCs w:val="24"/>
        </w:rPr>
        <w:t xml:space="preserve">Hvis en kvinde, der anvender </w:t>
      </w:r>
      <w:proofErr w:type="spellStart"/>
      <w:r w:rsidRPr="004C0B3B">
        <w:rPr>
          <w:sz w:val="24"/>
          <w:szCs w:val="24"/>
        </w:rPr>
        <w:t>valproat</w:t>
      </w:r>
      <w:proofErr w:type="spellEnd"/>
      <w:r w:rsidRPr="004C0B3B">
        <w:rPr>
          <w:sz w:val="24"/>
          <w:szCs w:val="24"/>
        </w:rPr>
        <w:t xml:space="preserve">, bliver gravid, skal hun straks henvises til en specialist som skal overveje andre behandlingsmuligheder. Under graviditet kan toniske kloniske anfald og status </w:t>
      </w:r>
      <w:proofErr w:type="spellStart"/>
      <w:r w:rsidRPr="004C0B3B">
        <w:rPr>
          <w:sz w:val="24"/>
          <w:szCs w:val="24"/>
        </w:rPr>
        <w:t>epilepticus</w:t>
      </w:r>
      <w:proofErr w:type="spellEnd"/>
      <w:r w:rsidRPr="004C0B3B">
        <w:rPr>
          <w:sz w:val="24"/>
          <w:szCs w:val="24"/>
        </w:rPr>
        <w:t xml:space="preserve"> med </w:t>
      </w:r>
      <w:proofErr w:type="spellStart"/>
      <w:r w:rsidRPr="004C0B3B">
        <w:rPr>
          <w:sz w:val="24"/>
          <w:szCs w:val="24"/>
        </w:rPr>
        <w:t>hypoksi</w:t>
      </w:r>
      <w:proofErr w:type="spellEnd"/>
      <w:r w:rsidRPr="004C0B3B">
        <w:rPr>
          <w:sz w:val="24"/>
          <w:szCs w:val="24"/>
        </w:rPr>
        <w:t xml:space="preserve"> hos moderen indebære en særlig risiko for dødsfald hos moderen og det ufødte barn.</w:t>
      </w:r>
    </w:p>
    <w:p w14:paraId="12A17BCD" w14:textId="77777777" w:rsidR="004873ED" w:rsidRPr="004C0B3B" w:rsidRDefault="004873ED" w:rsidP="004873ED">
      <w:pPr>
        <w:ind w:left="851"/>
        <w:rPr>
          <w:sz w:val="24"/>
          <w:szCs w:val="24"/>
        </w:rPr>
      </w:pPr>
      <w:r w:rsidRPr="004C0B3B">
        <w:rPr>
          <w:sz w:val="24"/>
          <w:szCs w:val="24"/>
        </w:rPr>
        <w:t xml:space="preserve">Hvis en gravid kvinde på trods af de kendte risici ved anvendelse af </w:t>
      </w:r>
      <w:proofErr w:type="spellStart"/>
      <w:r w:rsidRPr="004C0B3B">
        <w:rPr>
          <w:sz w:val="24"/>
          <w:szCs w:val="24"/>
        </w:rPr>
        <w:t>valproat</w:t>
      </w:r>
      <w:proofErr w:type="spellEnd"/>
      <w:r w:rsidRPr="004C0B3B">
        <w:rPr>
          <w:sz w:val="24"/>
          <w:szCs w:val="24"/>
        </w:rPr>
        <w:t xml:space="preserve"> under graviditet og efter nøje overvejelse af anden behandling, under særlige omstændigheder skal have </w:t>
      </w:r>
      <w:proofErr w:type="spellStart"/>
      <w:r w:rsidRPr="004C0B3B">
        <w:rPr>
          <w:sz w:val="24"/>
          <w:szCs w:val="24"/>
        </w:rPr>
        <w:t>valproat</w:t>
      </w:r>
      <w:proofErr w:type="spellEnd"/>
      <w:r w:rsidRPr="004C0B3B">
        <w:rPr>
          <w:sz w:val="24"/>
          <w:szCs w:val="24"/>
        </w:rPr>
        <w:t xml:space="preserve"> mod epilepsi, anbefales det at:</w:t>
      </w:r>
    </w:p>
    <w:p w14:paraId="5817334D" w14:textId="77777777" w:rsidR="004873ED" w:rsidRPr="004C0B3B" w:rsidRDefault="004873ED" w:rsidP="004873ED">
      <w:pPr>
        <w:numPr>
          <w:ilvl w:val="0"/>
          <w:numId w:val="9"/>
        </w:numPr>
        <w:rPr>
          <w:sz w:val="24"/>
          <w:szCs w:val="24"/>
        </w:rPr>
      </w:pPr>
      <w:r w:rsidRPr="004C0B3B">
        <w:rPr>
          <w:sz w:val="24"/>
          <w:szCs w:val="24"/>
        </w:rPr>
        <w:t xml:space="preserve">Anvende den laveste effektive dosis og opdele den daglige dosis af </w:t>
      </w:r>
      <w:proofErr w:type="spellStart"/>
      <w:r w:rsidRPr="004C0B3B">
        <w:rPr>
          <w:sz w:val="24"/>
          <w:szCs w:val="24"/>
        </w:rPr>
        <w:t>valproat</w:t>
      </w:r>
      <w:proofErr w:type="spellEnd"/>
      <w:r w:rsidRPr="004C0B3B">
        <w:rPr>
          <w:sz w:val="24"/>
          <w:szCs w:val="24"/>
        </w:rPr>
        <w:t xml:space="preserve"> i flere små doser, der skal tages i løbet af dagen. Anvendelsen af en depotformulering kan være at foretrække frem for andre formuleringer for at undgå høje peak plasmakoncentrationer (se pkt. 4.2).</w:t>
      </w:r>
    </w:p>
    <w:p w14:paraId="0D17E3EC" w14:textId="77777777" w:rsidR="004873ED" w:rsidRPr="004C0B3B" w:rsidRDefault="004873ED" w:rsidP="004873ED">
      <w:pPr>
        <w:ind w:left="851"/>
        <w:rPr>
          <w:sz w:val="24"/>
          <w:szCs w:val="24"/>
        </w:rPr>
      </w:pPr>
      <w:r w:rsidRPr="004C0B3B">
        <w:rPr>
          <w:sz w:val="24"/>
          <w:szCs w:val="24"/>
        </w:rPr>
        <w:t xml:space="preserve">Alle patienter med </w:t>
      </w:r>
      <w:proofErr w:type="spellStart"/>
      <w:r w:rsidRPr="004C0B3B">
        <w:rPr>
          <w:sz w:val="24"/>
          <w:szCs w:val="24"/>
        </w:rPr>
        <w:t>valproateksponeret</w:t>
      </w:r>
      <w:proofErr w:type="spellEnd"/>
      <w:r w:rsidRPr="004C0B3B">
        <w:rPr>
          <w:sz w:val="24"/>
          <w:szCs w:val="24"/>
        </w:rPr>
        <w:t xml:space="preserve"> graviditet og deres partnere skal henvises til en specialist inden for </w:t>
      </w:r>
      <w:proofErr w:type="spellStart"/>
      <w:r w:rsidRPr="004C0B3B">
        <w:rPr>
          <w:sz w:val="24"/>
          <w:szCs w:val="24"/>
        </w:rPr>
        <w:t>teratologi</w:t>
      </w:r>
      <w:proofErr w:type="spellEnd"/>
      <w:r w:rsidRPr="004C0B3B">
        <w:rPr>
          <w:sz w:val="24"/>
          <w:szCs w:val="24"/>
        </w:rPr>
        <w:t xml:space="preserve"> til evaluering og rådgivning vedrørende den eksponerede graviditet. Specialiseret prænatal overvågning bør finde sted for at detektere mulige forekomster af neuralrørsdefekter eller andre misdannelser. </w:t>
      </w:r>
      <w:proofErr w:type="spellStart"/>
      <w:r w:rsidRPr="004C0B3B">
        <w:rPr>
          <w:sz w:val="24"/>
          <w:szCs w:val="24"/>
        </w:rPr>
        <w:t>Folattilskud</w:t>
      </w:r>
      <w:proofErr w:type="spellEnd"/>
      <w:r w:rsidRPr="004C0B3B">
        <w:rPr>
          <w:sz w:val="24"/>
          <w:szCs w:val="24"/>
        </w:rPr>
        <w:t xml:space="preserve"> før graviditeten kan reducere risikoen for neuralrørsdefekter, som kan opstå under alle graviditeter. Den foreliggende evidens tyder dog ikke på, at det forhindrer fosterskader eller misdannelser som følge af </w:t>
      </w:r>
      <w:proofErr w:type="spellStart"/>
      <w:r w:rsidRPr="004C0B3B">
        <w:rPr>
          <w:sz w:val="24"/>
          <w:szCs w:val="24"/>
        </w:rPr>
        <w:t>valproateksponering</w:t>
      </w:r>
      <w:proofErr w:type="spellEnd"/>
      <w:r w:rsidRPr="004C0B3B">
        <w:rPr>
          <w:sz w:val="24"/>
          <w:szCs w:val="24"/>
        </w:rPr>
        <w:t>.</w:t>
      </w:r>
    </w:p>
    <w:p w14:paraId="688F8B21" w14:textId="77777777" w:rsidR="004873ED" w:rsidRPr="004C0B3B" w:rsidRDefault="004873ED" w:rsidP="004873ED">
      <w:pPr>
        <w:ind w:left="851"/>
        <w:rPr>
          <w:sz w:val="24"/>
          <w:szCs w:val="24"/>
        </w:rPr>
      </w:pPr>
    </w:p>
    <w:p w14:paraId="65D96C3E" w14:textId="77777777" w:rsidR="004C0B3B" w:rsidRPr="004C0B3B" w:rsidRDefault="004C0B3B" w:rsidP="004C0B3B">
      <w:pPr>
        <w:ind w:left="851"/>
        <w:rPr>
          <w:sz w:val="24"/>
          <w:szCs w:val="24"/>
        </w:rPr>
      </w:pPr>
      <w:r w:rsidRPr="004C0B3B">
        <w:rPr>
          <w:sz w:val="24"/>
          <w:szCs w:val="24"/>
        </w:rPr>
        <w:t xml:space="preserve">Plasmakoncentrationerne bør monitoreres, da betragtelige variationer blev observeret under den tidlige og sene graviditet trods ens doser. Der er set flere misdannelser, når plasmaniveauet er over 70 </w:t>
      </w:r>
      <w:r w:rsidRPr="004C0B3B">
        <w:rPr>
          <w:sz w:val="24"/>
          <w:szCs w:val="24"/>
        </w:rPr>
        <w:sym w:font="Symbol" w:char="F06D"/>
      </w:r>
      <w:r w:rsidRPr="004C0B3B">
        <w:rPr>
          <w:sz w:val="24"/>
          <w:szCs w:val="24"/>
        </w:rPr>
        <w:t>g/ml, og når doseringen er over 1.000 mg daglig.</w:t>
      </w:r>
    </w:p>
    <w:p w14:paraId="611A7F02" w14:textId="77777777" w:rsidR="004C0B3B" w:rsidRPr="004C0B3B" w:rsidRDefault="004C0B3B" w:rsidP="004873ED">
      <w:pPr>
        <w:ind w:left="851"/>
        <w:rPr>
          <w:sz w:val="24"/>
          <w:szCs w:val="24"/>
        </w:rPr>
      </w:pPr>
    </w:p>
    <w:p w14:paraId="50874C90" w14:textId="77777777" w:rsidR="004873ED" w:rsidRPr="004C0B3B" w:rsidRDefault="004873ED" w:rsidP="004873ED">
      <w:pPr>
        <w:ind w:left="851"/>
        <w:rPr>
          <w:sz w:val="24"/>
          <w:szCs w:val="24"/>
          <w:u w:val="single"/>
        </w:rPr>
      </w:pPr>
      <w:r w:rsidRPr="004C0B3B">
        <w:rPr>
          <w:sz w:val="24"/>
          <w:szCs w:val="24"/>
          <w:u w:val="single"/>
        </w:rPr>
        <w:t>Risiko hos den nyfødte</w:t>
      </w:r>
    </w:p>
    <w:p w14:paraId="71910C2C" w14:textId="77777777" w:rsidR="004873ED" w:rsidRPr="004C0B3B" w:rsidRDefault="004873ED" w:rsidP="004873ED">
      <w:pPr>
        <w:numPr>
          <w:ilvl w:val="0"/>
          <w:numId w:val="9"/>
        </w:numPr>
        <w:ind w:left="1305" w:hanging="454"/>
        <w:rPr>
          <w:sz w:val="24"/>
          <w:szCs w:val="24"/>
        </w:rPr>
      </w:pPr>
      <w:proofErr w:type="spellStart"/>
      <w:r w:rsidRPr="004C0B3B">
        <w:rPr>
          <w:sz w:val="24"/>
          <w:szCs w:val="24"/>
        </w:rPr>
        <w:t>Hæmoragisk</w:t>
      </w:r>
      <w:proofErr w:type="spellEnd"/>
      <w:r w:rsidRPr="004C0B3B">
        <w:rPr>
          <w:sz w:val="24"/>
          <w:szCs w:val="24"/>
        </w:rPr>
        <w:t xml:space="preserve"> syndrom er blevet rapporteret meget sjældent hos nyfødte, hvis mødre har taget </w:t>
      </w:r>
      <w:proofErr w:type="spellStart"/>
      <w:r w:rsidRPr="004C0B3B">
        <w:rPr>
          <w:sz w:val="24"/>
          <w:szCs w:val="24"/>
        </w:rPr>
        <w:t>valproat</w:t>
      </w:r>
      <w:proofErr w:type="spellEnd"/>
      <w:r w:rsidRPr="004C0B3B">
        <w:rPr>
          <w:sz w:val="24"/>
          <w:szCs w:val="24"/>
        </w:rPr>
        <w:t xml:space="preserve"> under graviditeten. Dette </w:t>
      </w:r>
      <w:proofErr w:type="spellStart"/>
      <w:r w:rsidRPr="004C0B3B">
        <w:rPr>
          <w:sz w:val="24"/>
          <w:szCs w:val="24"/>
        </w:rPr>
        <w:t>hæmoragiske</w:t>
      </w:r>
      <w:proofErr w:type="spellEnd"/>
      <w:r w:rsidRPr="004C0B3B">
        <w:rPr>
          <w:sz w:val="24"/>
          <w:szCs w:val="24"/>
        </w:rPr>
        <w:t xml:space="preserve"> syndrom er relateret til </w:t>
      </w:r>
      <w:proofErr w:type="spellStart"/>
      <w:r w:rsidRPr="004C0B3B">
        <w:rPr>
          <w:sz w:val="24"/>
          <w:szCs w:val="24"/>
        </w:rPr>
        <w:t>trombocytopeni</w:t>
      </w:r>
      <w:proofErr w:type="spellEnd"/>
      <w:r w:rsidRPr="004C0B3B">
        <w:rPr>
          <w:sz w:val="24"/>
          <w:szCs w:val="24"/>
        </w:rPr>
        <w:t xml:space="preserve">, </w:t>
      </w:r>
      <w:proofErr w:type="spellStart"/>
      <w:r w:rsidRPr="004C0B3B">
        <w:rPr>
          <w:sz w:val="24"/>
          <w:szCs w:val="24"/>
        </w:rPr>
        <w:t>hypofibrinogenæmi</w:t>
      </w:r>
      <w:proofErr w:type="spellEnd"/>
      <w:r w:rsidRPr="004C0B3B">
        <w:rPr>
          <w:sz w:val="24"/>
          <w:szCs w:val="24"/>
        </w:rPr>
        <w:t xml:space="preserve"> og/eller fald i andre koagulationsfaktorer. </w:t>
      </w:r>
      <w:proofErr w:type="spellStart"/>
      <w:r w:rsidRPr="004C0B3B">
        <w:rPr>
          <w:sz w:val="24"/>
          <w:szCs w:val="24"/>
        </w:rPr>
        <w:t>Afibrinogenæmi</w:t>
      </w:r>
      <w:proofErr w:type="spellEnd"/>
      <w:r w:rsidRPr="004C0B3B">
        <w:rPr>
          <w:sz w:val="24"/>
          <w:szCs w:val="24"/>
        </w:rPr>
        <w:t xml:space="preserve"> er også blevet rapporteret og kan være dødelig. Dette syndrom skal imidlertid skelnes fra det fald i vitamin K-afhængige koagulationsfaktorer, der induceres af </w:t>
      </w:r>
      <w:proofErr w:type="spellStart"/>
      <w:r w:rsidRPr="004C0B3B">
        <w:rPr>
          <w:sz w:val="24"/>
          <w:szCs w:val="24"/>
        </w:rPr>
        <w:t>phenobarbital</w:t>
      </w:r>
      <w:proofErr w:type="spellEnd"/>
      <w:r w:rsidRPr="004C0B3B">
        <w:rPr>
          <w:sz w:val="24"/>
          <w:szCs w:val="24"/>
        </w:rPr>
        <w:t xml:space="preserve"> og enzymatiske induktorer. Derfor bør </w:t>
      </w:r>
      <w:proofErr w:type="spellStart"/>
      <w:r w:rsidRPr="004C0B3B">
        <w:rPr>
          <w:sz w:val="24"/>
          <w:szCs w:val="24"/>
        </w:rPr>
        <w:t>trombocyttallet</w:t>
      </w:r>
      <w:proofErr w:type="spellEnd"/>
      <w:r w:rsidRPr="004C0B3B">
        <w:rPr>
          <w:sz w:val="24"/>
          <w:szCs w:val="24"/>
        </w:rPr>
        <w:t xml:space="preserve">, </w:t>
      </w:r>
      <w:proofErr w:type="spellStart"/>
      <w:r w:rsidRPr="004C0B3B">
        <w:rPr>
          <w:sz w:val="24"/>
          <w:szCs w:val="24"/>
        </w:rPr>
        <w:t>fibrinogenniveauet</w:t>
      </w:r>
      <w:proofErr w:type="spellEnd"/>
      <w:r w:rsidRPr="004C0B3B">
        <w:rPr>
          <w:sz w:val="24"/>
          <w:szCs w:val="24"/>
        </w:rPr>
        <w:t xml:space="preserve"> i plasma, koagulationstest og koagulations-faktorer undersøges hos nyfødte.</w:t>
      </w:r>
    </w:p>
    <w:p w14:paraId="648CE859" w14:textId="77777777" w:rsidR="004873ED" w:rsidRPr="004C0B3B" w:rsidRDefault="004873ED" w:rsidP="004873ED">
      <w:pPr>
        <w:numPr>
          <w:ilvl w:val="0"/>
          <w:numId w:val="9"/>
        </w:numPr>
        <w:ind w:left="1305" w:hanging="454"/>
        <w:rPr>
          <w:sz w:val="24"/>
          <w:szCs w:val="24"/>
        </w:rPr>
      </w:pPr>
      <w:r w:rsidRPr="004C0B3B">
        <w:rPr>
          <w:sz w:val="24"/>
          <w:szCs w:val="24"/>
        </w:rPr>
        <w:t xml:space="preserve">Tilfælde af hypoglykæmi er rapporteret hos nyfødte, hvis mødre har taget </w:t>
      </w:r>
      <w:proofErr w:type="spellStart"/>
      <w:r w:rsidRPr="004C0B3B">
        <w:rPr>
          <w:sz w:val="24"/>
          <w:szCs w:val="24"/>
        </w:rPr>
        <w:t>valproat</w:t>
      </w:r>
      <w:proofErr w:type="spellEnd"/>
      <w:r w:rsidRPr="004C0B3B">
        <w:rPr>
          <w:sz w:val="24"/>
          <w:szCs w:val="24"/>
        </w:rPr>
        <w:t xml:space="preserve"> i tredje trimester af graviditeten.</w:t>
      </w:r>
    </w:p>
    <w:p w14:paraId="0CBA7B9F" w14:textId="77777777" w:rsidR="004873ED" w:rsidRPr="004C0B3B" w:rsidRDefault="004873ED" w:rsidP="004873ED">
      <w:pPr>
        <w:numPr>
          <w:ilvl w:val="0"/>
          <w:numId w:val="9"/>
        </w:numPr>
        <w:ind w:left="1305" w:hanging="454"/>
        <w:rPr>
          <w:sz w:val="24"/>
          <w:szCs w:val="24"/>
        </w:rPr>
      </w:pPr>
      <w:r w:rsidRPr="004C0B3B">
        <w:rPr>
          <w:sz w:val="24"/>
          <w:szCs w:val="24"/>
        </w:rPr>
        <w:t xml:space="preserve">Tilfælde af </w:t>
      </w:r>
      <w:proofErr w:type="spellStart"/>
      <w:r w:rsidRPr="004C0B3B">
        <w:rPr>
          <w:sz w:val="24"/>
          <w:szCs w:val="24"/>
        </w:rPr>
        <w:t>hypotyroidisme</w:t>
      </w:r>
      <w:proofErr w:type="spellEnd"/>
      <w:r w:rsidRPr="004C0B3B">
        <w:rPr>
          <w:sz w:val="24"/>
          <w:szCs w:val="24"/>
        </w:rPr>
        <w:t xml:space="preserve"> er rapporteret hos nyfødte, hvis mødre har taget </w:t>
      </w:r>
      <w:proofErr w:type="spellStart"/>
      <w:r w:rsidRPr="004C0B3B">
        <w:rPr>
          <w:sz w:val="24"/>
          <w:szCs w:val="24"/>
        </w:rPr>
        <w:t>valproat</w:t>
      </w:r>
      <w:proofErr w:type="spellEnd"/>
      <w:r w:rsidRPr="004C0B3B">
        <w:rPr>
          <w:sz w:val="24"/>
          <w:szCs w:val="24"/>
        </w:rPr>
        <w:t xml:space="preserve"> under graviditeten.</w:t>
      </w:r>
    </w:p>
    <w:p w14:paraId="69253BB4" w14:textId="77777777" w:rsidR="004873ED" w:rsidRPr="004C0B3B" w:rsidRDefault="004873ED" w:rsidP="004873ED">
      <w:pPr>
        <w:numPr>
          <w:ilvl w:val="0"/>
          <w:numId w:val="9"/>
        </w:numPr>
        <w:ind w:left="1305" w:hanging="454"/>
        <w:rPr>
          <w:sz w:val="24"/>
          <w:szCs w:val="24"/>
        </w:rPr>
      </w:pPr>
      <w:proofErr w:type="spellStart"/>
      <w:r w:rsidRPr="004C0B3B">
        <w:rPr>
          <w:sz w:val="24"/>
          <w:szCs w:val="24"/>
        </w:rPr>
        <w:t>Seponeringssyndrom</w:t>
      </w:r>
      <w:proofErr w:type="spellEnd"/>
      <w:r w:rsidRPr="004C0B3B">
        <w:rPr>
          <w:sz w:val="24"/>
          <w:szCs w:val="24"/>
        </w:rPr>
        <w:t xml:space="preserve"> (specielt agitation, irritabilitet, hyper-pirrelighed, anspændthed, </w:t>
      </w:r>
      <w:proofErr w:type="spellStart"/>
      <w:r w:rsidRPr="004C0B3B">
        <w:rPr>
          <w:sz w:val="24"/>
          <w:szCs w:val="24"/>
        </w:rPr>
        <w:t>hyperkinesi</w:t>
      </w:r>
      <w:proofErr w:type="spellEnd"/>
      <w:r w:rsidRPr="004C0B3B">
        <w:rPr>
          <w:sz w:val="24"/>
          <w:szCs w:val="24"/>
        </w:rPr>
        <w:t xml:space="preserve">, </w:t>
      </w:r>
      <w:proofErr w:type="spellStart"/>
      <w:r w:rsidRPr="004C0B3B">
        <w:rPr>
          <w:sz w:val="24"/>
          <w:szCs w:val="24"/>
        </w:rPr>
        <w:t>tonicitetsforstyrrelser</w:t>
      </w:r>
      <w:proofErr w:type="spellEnd"/>
      <w:r w:rsidRPr="004C0B3B">
        <w:rPr>
          <w:sz w:val="24"/>
          <w:szCs w:val="24"/>
        </w:rPr>
        <w:t xml:space="preserve">, </w:t>
      </w:r>
      <w:proofErr w:type="spellStart"/>
      <w:r w:rsidRPr="004C0B3B">
        <w:rPr>
          <w:sz w:val="24"/>
          <w:szCs w:val="24"/>
        </w:rPr>
        <w:t>tremor</w:t>
      </w:r>
      <w:proofErr w:type="spellEnd"/>
      <w:r w:rsidRPr="004C0B3B">
        <w:rPr>
          <w:sz w:val="24"/>
          <w:szCs w:val="24"/>
        </w:rPr>
        <w:t xml:space="preserve">, kramper og spiseforstyrrelser) kan forekomme hos nyfødte, hvis mødre har taget </w:t>
      </w:r>
      <w:proofErr w:type="spellStart"/>
      <w:r w:rsidRPr="004C0B3B">
        <w:rPr>
          <w:sz w:val="24"/>
          <w:szCs w:val="24"/>
        </w:rPr>
        <w:t>valproat</w:t>
      </w:r>
      <w:proofErr w:type="spellEnd"/>
      <w:r w:rsidRPr="004C0B3B">
        <w:rPr>
          <w:sz w:val="24"/>
          <w:szCs w:val="24"/>
        </w:rPr>
        <w:t xml:space="preserve"> i sidste trimester af graviditeten.</w:t>
      </w:r>
    </w:p>
    <w:p w14:paraId="54706A64" w14:textId="77777777" w:rsidR="00C27FE8" w:rsidRPr="004C0B3B" w:rsidRDefault="00C27FE8" w:rsidP="00C27FE8">
      <w:pPr>
        <w:rPr>
          <w:sz w:val="24"/>
          <w:szCs w:val="24"/>
        </w:rPr>
      </w:pPr>
    </w:p>
    <w:p w14:paraId="77AE5DC9" w14:textId="77777777" w:rsidR="00C27FE8" w:rsidRPr="004C0B3B" w:rsidRDefault="00C27FE8" w:rsidP="00C27FE8">
      <w:pPr>
        <w:keepNext/>
        <w:tabs>
          <w:tab w:val="left" w:pos="851"/>
        </w:tabs>
        <w:ind w:left="851"/>
        <w:rPr>
          <w:sz w:val="24"/>
          <w:szCs w:val="24"/>
          <w:u w:val="single"/>
        </w:rPr>
      </w:pPr>
      <w:r w:rsidRPr="004C0B3B">
        <w:rPr>
          <w:sz w:val="24"/>
          <w:szCs w:val="24"/>
          <w:u w:val="single"/>
        </w:rPr>
        <w:t xml:space="preserve">Mænd og potentiel risiko for neurologiske udviklingsforstyrrelser hos børn af fædre, der er blevet behandlet med </w:t>
      </w:r>
      <w:proofErr w:type="spellStart"/>
      <w:r w:rsidRPr="004C0B3B">
        <w:rPr>
          <w:sz w:val="24"/>
          <w:szCs w:val="24"/>
          <w:u w:val="single"/>
        </w:rPr>
        <w:t>valproat</w:t>
      </w:r>
      <w:proofErr w:type="spellEnd"/>
      <w:r w:rsidRPr="004C0B3B">
        <w:rPr>
          <w:sz w:val="24"/>
          <w:szCs w:val="24"/>
          <w:u w:val="single"/>
        </w:rPr>
        <w:t xml:space="preserve"> i de 3 måneder inden befrugtning</w:t>
      </w:r>
    </w:p>
    <w:p w14:paraId="7750D197" w14:textId="77777777" w:rsidR="00C27FE8" w:rsidRPr="004C0B3B" w:rsidRDefault="00C27FE8" w:rsidP="00C27FE8">
      <w:pPr>
        <w:keepNext/>
        <w:tabs>
          <w:tab w:val="left" w:pos="851"/>
        </w:tabs>
        <w:ind w:left="851"/>
        <w:rPr>
          <w:sz w:val="24"/>
          <w:szCs w:val="24"/>
          <w:u w:val="single"/>
        </w:rPr>
      </w:pPr>
    </w:p>
    <w:p w14:paraId="72858B82" w14:textId="77777777" w:rsidR="00C27FE8" w:rsidRPr="004C0B3B" w:rsidRDefault="00C27FE8" w:rsidP="00C27FE8">
      <w:pPr>
        <w:keepNext/>
        <w:tabs>
          <w:tab w:val="left" w:pos="851"/>
        </w:tabs>
        <w:ind w:left="851"/>
        <w:rPr>
          <w:sz w:val="24"/>
          <w:szCs w:val="24"/>
        </w:rPr>
      </w:pPr>
      <w:r w:rsidRPr="004C0B3B">
        <w:rPr>
          <w:sz w:val="24"/>
          <w:szCs w:val="24"/>
        </w:rPr>
        <w:t xml:space="preserve">Et retrospektivt observationsstudie i 3 nordiske lande tyder på en øget risiko for neurologiske udviklingsforstyrrelser hos børn (fra 0 til 11 år) af mænd behandlet med </w:t>
      </w:r>
      <w:proofErr w:type="spellStart"/>
      <w:r w:rsidRPr="004C0B3B">
        <w:rPr>
          <w:sz w:val="24"/>
          <w:szCs w:val="24"/>
        </w:rPr>
        <w:t>valproat</w:t>
      </w:r>
      <w:proofErr w:type="spellEnd"/>
      <w:r w:rsidRPr="004C0B3B">
        <w:rPr>
          <w:sz w:val="24"/>
          <w:szCs w:val="24"/>
        </w:rPr>
        <w:t xml:space="preserve"> som monoterapi i de 3 måneder inden befrugtning, sammenlignet med børn af mænd behandlet med </w:t>
      </w:r>
      <w:proofErr w:type="spellStart"/>
      <w:r w:rsidRPr="004C0B3B">
        <w:rPr>
          <w:sz w:val="24"/>
          <w:szCs w:val="24"/>
        </w:rPr>
        <w:t>lamotrigin</w:t>
      </w:r>
      <w:proofErr w:type="spellEnd"/>
      <w:r w:rsidRPr="004C0B3B">
        <w:rPr>
          <w:sz w:val="24"/>
          <w:szCs w:val="24"/>
        </w:rPr>
        <w:t xml:space="preserve"> eller </w:t>
      </w:r>
      <w:proofErr w:type="spellStart"/>
      <w:r w:rsidRPr="004C0B3B">
        <w:rPr>
          <w:sz w:val="24"/>
          <w:szCs w:val="24"/>
        </w:rPr>
        <w:t>levetiracetam</w:t>
      </w:r>
      <w:proofErr w:type="spellEnd"/>
      <w:r w:rsidRPr="004C0B3B">
        <w:rPr>
          <w:sz w:val="24"/>
          <w:szCs w:val="24"/>
        </w:rPr>
        <w:t xml:space="preserve"> som monoterapi med en puljejusteret </w:t>
      </w:r>
      <w:proofErr w:type="spellStart"/>
      <w:r w:rsidRPr="004C0B3B">
        <w:rPr>
          <w:sz w:val="24"/>
          <w:szCs w:val="24"/>
        </w:rPr>
        <w:t>hazard</w:t>
      </w:r>
      <w:proofErr w:type="spellEnd"/>
      <w:r w:rsidRPr="004C0B3B">
        <w:rPr>
          <w:sz w:val="24"/>
          <w:szCs w:val="24"/>
        </w:rPr>
        <w:t xml:space="preserve"> ratio (HR) på 1,50 (95 % KI: 1,09-2,07). Den justerede kumulative risiko for neurologiske udviklingsforstyrrelser varierede mellem 4,0 % til 5,6 % i </w:t>
      </w:r>
      <w:proofErr w:type="spellStart"/>
      <w:r w:rsidRPr="004C0B3B">
        <w:rPr>
          <w:sz w:val="24"/>
          <w:szCs w:val="24"/>
        </w:rPr>
        <w:t>valproatgruppen</w:t>
      </w:r>
      <w:proofErr w:type="spellEnd"/>
      <w:r w:rsidRPr="004C0B3B">
        <w:rPr>
          <w:sz w:val="24"/>
          <w:szCs w:val="24"/>
        </w:rPr>
        <w:t xml:space="preserve"> mod mellem 2,3 % til 3,2 % i den sammensatte </w:t>
      </w:r>
      <w:proofErr w:type="spellStart"/>
      <w:r w:rsidRPr="004C0B3B">
        <w:rPr>
          <w:sz w:val="24"/>
          <w:szCs w:val="24"/>
        </w:rPr>
        <w:t>lamotrigin</w:t>
      </w:r>
      <w:proofErr w:type="spellEnd"/>
      <w:r w:rsidRPr="004C0B3B">
        <w:rPr>
          <w:sz w:val="24"/>
          <w:szCs w:val="24"/>
        </w:rPr>
        <w:t>/</w:t>
      </w:r>
      <w:proofErr w:type="spellStart"/>
      <w:r w:rsidRPr="004C0B3B">
        <w:rPr>
          <w:sz w:val="24"/>
          <w:szCs w:val="24"/>
        </w:rPr>
        <w:t>levetiracetam</w:t>
      </w:r>
      <w:proofErr w:type="spellEnd"/>
      <w:r w:rsidRPr="004C0B3B">
        <w:rPr>
          <w:sz w:val="24"/>
          <w:szCs w:val="24"/>
        </w:rPr>
        <w:t xml:space="preserve">-gruppe. Studiet var ikke stort nok til at undersøge sammenhænge med specifikke undertyper af neurologiske udviklingsforstyrrelser, og studiebegrænsningerne, herunder potentiel forveksling vedr. indikation og forskelle i opfølgningstid mellem eksponeringsgrupper. Den gennemsnitlige opfølgningstid for børn i </w:t>
      </w:r>
      <w:proofErr w:type="spellStart"/>
      <w:r w:rsidRPr="004C0B3B">
        <w:rPr>
          <w:sz w:val="24"/>
          <w:szCs w:val="24"/>
        </w:rPr>
        <w:t>valproatgruppen</w:t>
      </w:r>
      <w:proofErr w:type="spellEnd"/>
      <w:r w:rsidRPr="004C0B3B">
        <w:rPr>
          <w:sz w:val="24"/>
          <w:szCs w:val="24"/>
        </w:rPr>
        <w:t xml:space="preserve"> varierede mellem 5,0 og 9,2 år sammenlignet med 4,8 og 6,6 år for børn i </w:t>
      </w:r>
      <w:proofErr w:type="spellStart"/>
      <w:r w:rsidRPr="004C0B3B">
        <w:rPr>
          <w:sz w:val="24"/>
          <w:szCs w:val="24"/>
        </w:rPr>
        <w:t>lamotrigin</w:t>
      </w:r>
      <w:proofErr w:type="spellEnd"/>
      <w:r w:rsidRPr="004C0B3B">
        <w:rPr>
          <w:sz w:val="24"/>
          <w:szCs w:val="24"/>
        </w:rPr>
        <w:t>/</w:t>
      </w:r>
      <w:proofErr w:type="spellStart"/>
      <w:r w:rsidRPr="004C0B3B">
        <w:rPr>
          <w:sz w:val="24"/>
          <w:szCs w:val="24"/>
        </w:rPr>
        <w:t>levetiracetam</w:t>
      </w:r>
      <w:proofErr w:type="spellEnd"/>
      <w:r w:rsidRPr="004C0B3B">
        <w:rPr>
          <w:sz w:val="24"/>
          <w:szCs w:val="24"/>
        </w:rPr>
        <w:t xml:space="preserve">-gruppen. Samlet set er en øget risiko for neurologiske udviklingsforstyrrelser hos børn af fædre, der er blevet behandlet med </w:t>
      </w:r>
      <w:proofErr w:type="spellStart"/>
      <w:r w:rsidRPr="004C0B3B">
        <w:rPr>
          <w:sz w:val="24"/>
          <w:szCs w:val="24"/>
        </w:rPr>
        <w:t>valproat</w:t>
      </w:r>
      <w:proofErr w:type="spellEnd"/>
      <w:r w:rsidRPr="004C0B3B">
        <w:rPr>
          <w:sz w:val="24"/>
          <w:szCs w:val="24"/>
        </w:rPr>
        <w:t xml:space="preserve"> i de 3 måneder før befrugtning mulig, men årsagssammenhængen med </w:t>
      </w:r>
      <w:proofErr w:type="spellStart"/>
      <w:r w:rsidRPr="004C0B3B">
        <w:rPr>
          <w:sz w:val="24"/>
          <w:szCs w:val="24"/>
        </w:rPr>
        <w:t>valproat</w:t>
      </w:r>
      <w:proofErr w:type="spellEnd"/>
      <w:r w:rsidRPr="004C0B3B">
        <w:rPr>
          <w:sz w:val="24"/>
          <w:szCs w:val="24"/>
        </w:rPr>
        <w:t xml:space="preserve"> er ikke bekræftet. Derudover evaluerede studiet ikke risikoen for neurologiske udviklingsforstyrrelser hos børn af mænd, der havde afbrudt behandling med </w:t>
      </w:r>
      <w:proofErr w:type="spellStart"/>
      <w:r w:rsidRPr="004C0B3B">
        <w:rPr>
          <w:sz w:val="24"/>
          <w:szCs w:val="24"/>
        </w:rPr>
        <w:t>valproat</w:t>
      </w:r>
      <w:proofErr w:type="spellEnd"/>
      <w:r w:rsidRPr="004C0B3B">
        <w:rPr>
          <w:sz w:val="24"/>
          <w:szCs w:val="24"/>
        </w:rPr>
        <w:t xml:space="preserve"> i mere end 3 måneder før befrugtning (</w:t>
      </w:r>
      <w:proofErr w:type="spellStart"/>
      <w:r w:rsidRPr="004C0B3B">
        <w:rPr>
          <w:sz w:val="24"/>
          <w:szCs w:val="24"/>
        </w:rPr>
        <w:t>d.v.s</w:t>
      </w:r>
      <w:proofErr w:type="spellEnd"/>
      <w:r w:rsidRPr="004C0B3B">
        <w:rPr>
          <w:sz w:val="24"/>
          <w:szCs w:val="24"/>
        </w:rPr>
        <w:t xml:space="preserve">. muliggjorde en ny </w:t>
      </w:r>
      <w:proofErr w:type="spellStart"/>
      <w:r w:rsidRPr="004C0B3B">
        <w:rPr>
          <w:sz w:val="24"/>
          <w:szCs w:val="24"/>
        </w:rPr>
        <w:t>spermatogenese</w:t>
      </w:r>
      <w:proofErr w:type="spellEnd"/>
      <w:r w:rsidRPr="004C0B3B">
        <w:rPr>
          <w:sz w:val="24"/>
          <w:szCs w:val="24"/>
        </w:rPr>
        <w:t xml:space="preserve"> uden </w:t>
      </w:r>
      <w:proofErr w:type="spellStart"/>
      <w:r w:rsidRPr="004C0B3B">
        <w:rPr>
          <w:sz w:val="24"/>
          <w:szCs w:val="24"/>
        </w:rPr>
        <w:t>valproateksponering</w:t>
      </w:r>
      <w:proofErr w:type="spellEnd"/>
      <w:r w:rsidRPr="004C0B3B">
        <w:rPr>
          <w:sz w:val="24"/>
          <w:szCs w:val="24"/>
        </w:rPr>
        <w:t>).</w:t>
      </w:r>
    </w:p>
    <w:p w14:paraId="0845EB99" w14:textId="77777777" w:rsidR="00C27FE8" w:rsidRPr="004C0B3B" w:rsidRDefault="00C27FE8" w:rsidP="00C27FE8">
      <w:pPr>
        <w:keepNext/>
        <w:tabs>
          <w:tab w:val="left" w:pos="851"/>
        </w:tabs>
        <w:ind w:left="851"/>
        <w:rPr>
          <w:sz w:val="24"/>
          <w:szCs w:val="24"/>
        </w:rPr>
      </w:pPr>
    </w:p>
    <w:p w14:paraId="7D6BF950" w14:textId="77777777" w:rsidR="00C27FE8" w:rsidRPr="004C0B3B" w:rsidRDefault="00C27FE8" w:rsidP="00C27FE8">
      <w:pPr>
        <w:keepNext/>
        <w:tabs>
          <w:tab w:val="left" w:pos="851"/>
        </w:tabs>
        <w:ind w:left="851"/>
        <w:rPr>
          <w:sz w:val="24"/>
          <w:szCs w:val="24"/>
        </w:rPr>
      </w:pPr>
      <w:r w:rsidRPr="004C0B3B">
        <w:rPr>
          <w:sz w:val="24"/>
          <w:szCs w:val="24"/>
        </w:rPr>
        <w:t xml:space="preserve">Som en sikkerhedsforanstaltning bør ordinerende læger informere mandlige patienter om den potentielle risiko og diskutere behovet for at overveje effektiv prævention med dem, herunder for en kvindelig partner, mens de tager </w:t>
      </w:r>
      <w:proofErr w:type="spellStart"/>
      <w:r w:rsidRPr="004C0B3B">
        <w:rPr>
          <w:sz w:val="24"/>
          <w:szCs w:val="24"/>
        </w:rPr>
        <w:t>valproat</w:t>
      </w:r>
      <w:proofErr w:type="spellEnd"/>
      <w:r w:rsidRPr="004C0B3B">
        <w:rPr>
          <w:sz w:val="24"/>
          <w:szCs w:val="24"/>
        </w:rPr>
        <w:t xml:space="preserve"> og i 3 måneder efter behandlingens ophør (se pkt. 4.4). Mandlige patienter bør ikke donere sæd under behandlingen og i mindst 3 måneder efter behandlingens ophør.</w:t>
      </w:r>
    </w:p>
    <w:p w14:paraId="32485CC3" w14:textId="77777777" w:rsidR="00C27FE8" w:rsidRPr="004C0B3B" w:rsidRDefault="00C27FE8" w:rsidP="00C27FE8">
      <w:pPr>
        <w:keepNext/>
        <w:tabs>
          <w:tab w:val="left" w:pos="851"/>
        </w:tabs>
        <w:ind w:left="851"/>
        <w:rPr>
          <w:sz w:val="24"/>
          <w:szCs w:val="24"/>
        </w:rPr>
      </w:pPr>
    </w:p>
    <w:p w14:paraId="1D1B717E" w14:textId="77777777" w:rsidR="00C27FE8" w:rsidRPr="004C0B3B" w:rsidRDefault="00C27FE8" w:rsidP="00C27FE8">
      <w:pPr>
        <w:keepNext/>
        <w:tabs>
          <w:tab w:val="left" w:pos="851"/>
        </w:tabs>
        <w:ind w:left="851"/>
        <w:rPr>
          <w:sz w:val="24"/>
          <w:szCs w:val="24"/>
        </w:rPr>
      </w:pPr>
      <w:r w:rsidRPr="004C0B3B">
        <w:rPr>
          <w:sz w:val="24"/>
          <w:szCs w:val="24"/>
        </w:rPr>
        <w:t xml:space="preserve">Behandling af mandlige patienter med </w:t>
      </w:r>
      <w:proofErr w:type="spellStart"/>
      <w:r w:rsidRPr="004C0B3B">
        <w:rPr>
          <w:sz w:val="24"/>
          <w:szCs w:val="24"/>
        </w:rPr>
        <w:t>valproat</w:t>
      </w:r>
      <w:proofErr w:type="spellEnd"/>
      <w:r w:rsidRPr="004C0B3B">
        <w:rPr>
          <w:sz w:val="24"/>
          <w:szCs w:val="24"/>
        </w:rPr>
        <w:t xml:space="preserve"> bør regelmæssigt gennemgås af den ordinerende læge for at vurdere, om </w:t>
      </w:r>
      <w:proofErr w:type="spellStart"/>
      <w:r w:rsidRPr="004C0B3B">
        <w:rPr>
          <w:sz w:val="24"/>
          <w:szCs w:val="24"/>
        </w:rPr>
        <w:t>valproat</w:t>
      </w:r>
      <w:proofErr w:type="spellEnd"/>
      <w:r w:rsidRPr="004C0B3B">
        <w:rPr>
          <w:sz w:val="24"/>
          <w:szCs w:val="24"/>
        </w:rPr>
        <w:t xml:space="preserve"> er den bedst egnede behandling for patienten. For mandlige patienter, der planlægger at få et barn, bør passende alternative behandlingsmuligheder overvejes og diskuteres med de mandlige patienter. Individuelle forhold bør evalueres i hvert tilfælde. Det anbefales, at få rådgivning af en specialist med erfaring i behandling af epilepsi eller bipolar lidelse efter behov.</w:t>
      </w:r>
    </w:p>
    <w:p w14:paraId="165AACBD" w14:textId="77777777" w:rsidR="004873ED" w:rsidRPr="004C0B3B" w:rsidRDefault="004873ED" w:rsidP="004873ED">
      <w:pPr>
        <w:ind w:left="851"/>
        <w:rPr>
          <w:sz w:val="24"/>
          <w:szCs w:val="24"/>
        </w:rPr>
      </w:pPr>
    </w:p>
    <w:p w14:paraId="2FA18150" w14:textId="77777777" w:rsidR="00B746D6" w:rsidRPr="004C0B3B" w:rsidRDefault="00B746D6" w:rsidP="00B746D6">
      <w:pPr>
        <w:keepNext/>
        <w:tabs>
          <w:tab w:val="left" w:pos="851"/>
        </w:tabs>
        <w:ind w:left="851"/>
        <w:rPr>
          <w:i/>
          <w:sz w:val="24"/>
          <w:szCs w:val="24"/>
          <w:lang w:eastAsia="da-DK"/>
        </w:rPr>
      </w:pPr>
      <w:r w:rsidRPr="004C0B3B">
        <w:rPr>
          <w:i/>
          <w:sz w:val="24"/>
          <w:szCs w:val="24"/>
        </w:rPr>
        <w:t>Østrogenholdige præparater</w:t>
      </w:r>
    </w:p>
    <w:p w14:paraId="61EAABCF" w14:textId="77777777" w:rsidR="00B746D6" w:rsidRPr="004C0B3B" w:rsidRDefault="00B746D6" w:rsidP="00B746D6">
      <w:pPr>
        <w:ind w:left="851"/>
        <w:rPr>
          <w:sz w:val="24"/>
          <w:szCs w:val="24"/>
        </w:rPr>
      </w:pPr>
      <w:r w:rsidRPr="004C0B3B">
        <w:rPr>
          <w:sz w:val="24"/>
          <w:szCs w:val="24"/>
        </w:rPr>
        <w:t xml:space="preserve">Østrogenholdige præparater, herunder østrogenholdige hormonelle præventionsmidler, kan øge </w:t>
      </w:r>
      <w:proofErr w:type="spellStart"/>
      <w:r w:rsidRPr="004C0B3B">
        <w:rPr>
          <w:sz w:val="24"/>
          <w:szCs w:val="24"/>
        </w:rPr>
        <w:t>clearance</w:t>
      </w:r>
      <w:proofErr w:type="spellEnd"/>
      <w:r w:rsidRPr="004C0B3B">
        <w:rPr>
          <w:sz w:val="24"/>
          <w:szCs w:val="24"/>
        </w:rPr>
        <w:t xml:space="preserve"> af </w:t>
      </w:r>
      <w:proofErr w:type="spellStart"/>
      <w:r w:rsidRPr="004C0B3B">
        <w:rPr>
          <w:sz w:val="24"/>
          <w:szCs w:val="24"/>
        </w:rPr>
        <w:t>valproat</w:t>
      </w:r>
      <w:proofErr w:type="spellEnd"/>
      <w:r w:rsidRPr="004C0B3B">
        <w:rPr>
          <w:sz w:val="24"/>
          <w:szCs w:val="24"/>
        </w:rPr>
        <w:t xml:space="preserve">, hvilket kan resultere i nedsat serumkoncentration af </w:t>
      </w:r>
      <w:proofErr w:type="spellStart"/>
      <w:r w:rsidRPr="004C0B3B">
        <w:rPr>
          <w:sz w:val="24"/>
          <w:szCs w:val="24"/>
        </w:rPr>
        <w:t>valproat</w:t>
      </w:r>
      <w:proofErr w:type="spellEnd"/>
      <w:r w:rsidRPr="004C0B3B">
        <w:rPr>
          <w:sz w:val="24"/>
          <w:szCs w:val="24"/>
        </w:rPr>
        <w:t xml:space="preserve"> og potentielt nedsat effekt af </w:t>
      </w:r>
      <w:proofErr w:type="spellStart"/>
      <w:r w:rsidRPr="004C0B3B">
        <w:rPr>
          <w:sz w:val="24"/>
          <w:szCs w:val="24"/>
        </w:rPr>
        <w:t>valproat</w:t>
      </w:r>
      <w:proofErr w:type="spellEnd"/>
      <w:r w:rsidRPr="004C0B3B">
        <w:rPr>
          <w:sz w:val="24"/>
          <w:szCs w:val="24"/>
        </w:rPr>
        <w:t xml:space="preserve"> (se pkt. 4.4 og pkt. 4.5).</w:t>
      </w:r>
    </w:p>
    <w:p w14:paraId="02CE0490" w14:textId="77777777" w:rsidR="00B746D6" w:rsidRPr="004C0B3B" w:rsidRDefault="00B746D6" w:rsidP="004873ED">
      <w:pPr>
        <w:ind w:left="851"/>
        <w:rPr>
          <w:sz w:val="24"/>
          <w:szCs w:val="24"/>
        </w:rPr>
      </w:pPr>
    </w:p>
    <w:p w14:paraId="3491AC0E" w14:textId="77777777" w:rsidR="004873ED" w:rsidRPr="004C0B3B" w:rsidRDefault="004873ED" w:rsidP="004873ED">
      <w:pPr>
        <w:ind w:left="851"/>
        <w:rPr>
          <w:sz w:val="24"/>
          <w:szCs w:val="24"/>
          <w:u w:val="single"/>
        </w:rPr>
      </w:pPr>
      <w:r w:rsidRPr="004C0B3B">
        <w:rPr>
          <w:sz w:val="24"/>
          <w:szCs w:val="24"/>
          <w:u w:val="single"/>
        </w:rPr>
        <w:t>Amning</w:t>
      </w:r>
    </w:p>
    <w:p w14:paraId="53826137" w14:textId="77777777" w:rsidR="004873ED" w:rsidRPr="004C0B3B" w:rsidRDefault="004873ED" w:rsidP="004873ED">
      <w:pPr>
        <w:ind w:left="851"/>
        <w:rPr>
          <w:sz w:val="24"/>
          <w:szCs w:val="24"/>
        </w:rPr>
      </w:pPr>
      <w:proofErr w:type="spellStart"/>
      <w:r w:rsidRPr="004C0B3B">
        <w:rPr>
          <w:sz w:val="24"/>
          <w:szCs w:val="24"/>
        </w:rPr>
        <w:t>Valproat</w:t>
      </w:r>
      <w:proofErr w:type="spellEnd"/>
      <w:r w:rsidRPr="004C0B3B">
        <w:rPr>
          <w:sz w:val="24"/>
          <w:szCs w:val="24"/>
        </w:rPr>
        <w:t xml:space="preserve"> udskilles i human mælk med en koncentration mellem 1 % og 10 % af moderens serumniveau. Der er set hæmatologiske forstyrrelser hos nyfødte/spædbørn ammet af mødre, der har været i behandling (se pkt. 4.8).</w:t>
      </w:r>
    </w:p>
    <w:p w14:paraId="4BD85A70" w14:textId="77777777" w:rsidR="004873ED" w:rsidRPr="004C0B3B" w:rsidRDefault="004873ED" w:rsidP="004873ED">
      <w:pPr>
        <w:ind w:left="851"/>
        <w:rPr>
          <w:sz w:val="24"/>
          <w:szCs w:val="24"/>
        </w:rPr>
      </w:pPr>
      <w:r w:rsidRPr="004C0B3B">
        <w:rPr>
          <w:sz w:val="24"/>
          <w:szCs w:val="24"/>
        </w:rPr>
        <w:t xml:space="preserve">Det skal besluttes enten at stoppe amningen eller at seponere/undgå behandling med </w:t>
      </w:r>
      <w:proofErr w:type="spellStart"/>
      <w:r w:rsidRPr="004C0B3B">
        <w:rPr>
          <w:sz w:val="24"/>
          <w:szCs w:val="24"/>
        </w:rPr>
        <w:t>Orfiril</w:t>
      </w:r>
      <w:proofErr w:type="spellEnd"/>
      <w:r w:rsidRPr="004C0B3B">
        <w:rPr>
          <w:sz w:val="24"/>
          <w:szCs w:val="24"/>
        </w:rPr>
        <w:t xml:space="preserve"> Long, idet der tages højde for fordelene ved amning for barnet i forhold til de terapeutiske fordele for moderen.</w:t>
      </w:r>
    </w:p>
    <w:p w14:paraId="46126443" w14:textId="77777777" w:rsidR="004873ED" w:rsidRPr="004C0B3B" w:rsidRDefault="004873ED" w:rsidP="004873ED">
      <w:pPr>
        <w:ind w:left="851"/>
        <w:rPr>
          <w:sz w:val="24"/>
          <w:szCs w:val="24"/>
        </w:rPr>
      </w:pPr>
    </w:p>
    <w:p w14:paraId="4A9D358E" w14:textId="77777777" w:rsidR="004873ED" w:rsidRPr="004C0B3B" w:rsidRDefault="004873ED" w:rsidP="002E6C7F">
      <w:pPr>
        <w:keepNext/>
        <w:ind w:left="851"/>
        <w:rPr>
          <w:sz w:val="24"/>
          <w:szCs w:val="24"/>
          <w:u w:val="single"/>
        </w:rPr>
      </w:pPr>
      <w:r w:rsidRPr="004C0B3B">
        <w:rPr>
          <w:sz w:val="24"/>
          <w:szCs w:val="24"/>
          <w:u w:val="single"/>
        </w:rPr>
        <w:t>Fertilitet</w:t>
      </w:r>
    </w:p>
    <w:p w14:paraId="0C1C72EA" w14:textId="77777777" w:rsidR="004C0B3B" w:rsidRPr="004C0B3B" w:rsidRDefault="004C0B3B" w:rsidP="004C0B3B">
      <w:pPr>
        <w:ind w:left="851"/>
        <w:rPr>
          <w:sz w:val="24"/>
          <w:szCs w:val="24"/>
        </w:rPr>
      </w:pPr>
      <w:proofErr w:type="spellStart"/>
      <w:r w:rsidRPr="004C0B3B">
        <w:rPr>
          <w:sz w:val="24"/>
          <w:szCs w:val="24"/>
        </w:rPr>
        <w:t>Amenorré</w:t>
      </w:r>
      <w:proofErr w:type="spellEnd"/>
      <w:r w:rsidRPr="004C0B3B">
        <w:rPr>
          <w:sz w:val="24"/>
          <w:szCs w:val="24"/>
        </w:rPr>
        <w:t xml:space="preserve">, polycystiske ovarier og øget testosteronniveau er rapporteret hos kvinder, der tager </w:t>
      </w:r>
      <w:proofErr w:type="spellStart"/>
      <w:r w:rsidRPr="004C0B3B">
        <w:rPr>
          <w:sz w:val="24"/>
          <w:szCs w:val="24"/>
        </w:rPr>
        <w:t>valproat</w:t>
      </w:r>
      <w:proofErr w:type="spellEnd"/>
      <w:r w:rsidRPr="004C0B3B">
        <w:rPr>
          <w:sz w:val="24"/>
          <w:szCs w:val="24"/>
        </w:rPr>
        <w:t xml:space="preserve"> (se pkt. 4.8). </w:t>
      </w:r>
      <w:proofErr w:type="spellStart"/>
      <w:r w:rsidRPr="004C0B3B">
        <w:rPr>
          <w:sz w:val="24"/>
          <w:szCs w:val="24"/>
        </w:rPr>
        <w:t>Valproat</w:t>
      </w:r>
      <w:proofErr w:type="spellEnd"/>
      <w:r w:rsidRPr="004C0B3B">
        <w:rPr>
          <w:sz w:val="24"/>
          <w:szCs w:val="24"/>
        </w:rPr>
        <w:t xml:space="preserve"> kan også svække fertiliteten hos mænd (se pkt. 4.8). </w:t>
      </w:r>
      <w:bookmarkStart w:id="12" w:name="_Hlk124612053"/>
      <w:r w:rsidRPr="004C0B3B">
        <w:rPr>
          <w:sz w:val="24"/>
          <w:szCs w:val="24"/>
        </w:rPr>
        <w:t xml:space="preserve">Fertilitetsdysfunktioner er i nogle tilfælde reversible mindst tre måneder efter </w:t>
      </w:r>
      <w:proofErr w:type="spellStart"/>
      <w:r w:rsidRPr="004C0B3B">
        <w:rPr>
          <w:sz w:val="24"/>
          <w:szCs w:val="24"/>
        </w:rPr>
        <w:t>seponering</w:t>
      </w:r>
      <w:proofErr w:type="spellEnd"/>
      <w:r w:rsidRPr="004C0B3B">
        <w:rPr>
          <w:sz w:val="24"/>
          <w:szCs w:val="24"/>
        </w:rPr>
        <w:t xml:space="preserve"> af behandlingen. Et begrænset antal enkeltrapporter tyder på, at en kraftig dosisreduktion kan forbedre fertiliteten. Imidlertid var reversibiliteten af mandlig </w:t>
      </w:r>
      <w:proofErr w:type="spellStart"/>
      <w:r w:rsidRPr="004C0B3B">
        <w:rPr>
          <w:sz w:val="24"/>
          <w:szCs w:val="24"/>
        </w:rPr>
        <w:t>infertilitet</w:t>
      </w:r>
      <w:proofErr w:type="spellEnd"/>
      <w:r w:rsidRPr="004C0B3B">
        <w:rPr>
          <w:sz w:val="24"/>
          <w:szCs w:val="24"/>
        </w:rPr>
        <w:t xml:space="preserve"> ukendt i andre tilfælde.</w:t>
      </w:r>
      <w:bookmarkEnd w:id="12"/>
    </w:p>
    <w:p w14:paraId="3A7124D2" w14:textId="6168FC81" w:rsidR="005C31B1" w:rsidRDefault="005C31B1">
      <w:pPr>
        <w:rPr>
          <w:sz w:val="24"/>
          <w:szCs w:val="24"/>
        </w:rPr>
      </w:pPr>
      <w:r>
        <w:rPr>
          <w:sz w:val="24"/>
          <w:szCs w:val="24"/>
        </w:rPr>
        <w:br w:type="page"/>
      </w:r>
    </w:p>
    <w:p w14:paraId="13ABBEC0" w14:textId="77777777" w:rsidR="004873ED" w:rsidRPr="004C0B3B" w:rsidRDefault="004873ED" w:rsidP="004873ED">
      <w:pPr>
        <w:widowControl w:val="0"/>
        <w:rPr>
          <w:sz w:val="24"/>
          <w:szCs w:val="24"/>
        </w:rPr>
      </w:pPr>
    </w:p>
    <w:p w14:paraId="3645723A" w14:textId="77777777" w:rsidR="007653D9" w:rsidRPr="00C84483" w:rsidRDefault="007653D9" w:rsidP="007653D9">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510C3C56" w14:textId="23A75E4D" w:rsidR="004873ED" w:rsidRPr="004C0B3B" w:rsidRDefault="004873ED" w:rsidP="004873ED">
      <w:pPr>
        <w:ind w:left="851"/>
        <w:rPr>
          <w:sz w:val="24"/>
          <w:szCs w:val="24"/>
        </w:rPr>
      </w:pPr>
      <w:r w:rsidRPr="004C0B3B">
        <w:rPr>
          <w:sz w:val="24"/>
          <w:szCs w:val="24"/>
        </w:rPr>
        <w:t>Mærkning</w:t>
      </w:r>
      <w:r w:rsidR="005C31B1">
        <w:rPr>
          <w:sz w:val="24"/>
          <w:szCs w:val="24"/>
        </w:rPr>
        <w:t>.</w:t>
      </w:r>
      <w:r w:rsidRPr="004C0B3B">
        <w:rPr>
          <w:sz w:val="24"/>
          <w:szCs w:val="24"/>
        </w:rPr>
        <w:t xml:space="preserve"> </w:t>
      </w:r>
    </w:p>
    <w:p w14:paraId="5D7399DD" w14:textId="77777777" w:rsidR="004873ED" w:rsidRPr="004C0B3B" w:rsidRDefault="004873ED" w:rsidP="004873ED">
      <w:pPr>
        <w:ind w:left="851"/>
        <w:rPr>
          <w:sz w:val="24"/>
          <w:szCs w:val="24"/>
        </w:rPr>
      </w:pPr>
      <w:proofErr w:type="spellStart"/>
      <w:r w:rsidRPr="004C0B3B">
        <w:rPr>
          <w:sz w:val="24"/>
          <w:szCs w:val="24"/>
        </w:rPr>
        <w:t>Orfiril</w:t>
      </w:r>
      <w:proofErr w:type="spellEnd"/>
      <w:r w:rsidRPr="004C0B3B">
        <w:rPr>
          <w:sz w:val="24"/>
          <w:szCs w:val="24"/>
        </w:rPr>
        <w:t xml:space="preserve"> Long kan på grund af bivirkninger (f.eks. </w:t>
      </w:r>
      <w:proofErr w:type="spellStart"/>
      <w:r w:rsidRPr="004C0B3B">
        <w:rPr>
          <w:sz w:val="24"/>
          <w:szCs w:val="24"/>
        </w:rPr>
        <w:t>vertigo</w:t>
      </w:r>
      <w:proofErr w:type="spellEnd"/>
      <w:r w:rsidRPr="004C0B3B">
        <w:rPr>
          <w:sz w:val="24"/>
          <w:szCs w:val="24"/>
        </w:rPr>
        <w:t>, træthed og døsighed) påvirke evnen til at føre motorkøretøj og betjene maskiner i væsentlig grad.</w:t>
      </w:r>
    </w:p>
    <w:p w14:paraId="36E29F55" w14:textId="77777777" w:rsidR="004873ED" w:rsidRPr="004C0B3B" w:rsidRDefault="004873ED" w:rsidP="004873ED">
      <w:pPr>
        <w:ind w:left="851"/>
        <w:rPr>
          <w:sz w:val="24"/>
          <w:szCs w:val="24"/>
        </w:rPr>
      </w:pPr>
    </w:p>
    <w:p w14:paraId="2F0756DF" w14:textId="77777777" w:rsidR="004873ED" w:rsidRPr="004C0B3B" w:rsidRDefault="004873ED" w:rsidP="004873ED">
      <w:pPr>
        <w:ind w:left="851"/>
        <w:rPr>
          <w:sz w:val="24"/>
          <w:szCs w:val="24"/>
        </w:rPr>
      </w:pPr>
      <w:r w:rsidRPr="004C0B3B">
        <w:rPr>
          <w:sz w:val="24"/>
          <w:szCs w:val="24"/>
        </w:rPr>
        <w:t xml:space="preserve">Epilepsi er i sig selv også en grund til at være forsigtig ved udførelse af disse aktiviteter, især hvis patienten ikke har været </w:t>
      </w:r>
      <w:proofErr w:type="spellStart"/>
      <w:r w:rsidRPr="004C0B3B">
        <w:rPr>
          <w:sz w:val="24"/>
          <w:szCs w:val="24"/>
        </w:rPr>
        <w:t>krampefri</w:t>
      </w:r>
      <w:proofErr w:type="spellEnd"/>
      <w:r w:rsidRPr="004C0B3B">
        <w:rPr>
          <w:sz w:val="24"/>
          <w:szCs w:val="24"/>
        </w:rPr>
        <w:t xml:space="preserve"> i længere tid.</w:t>
      </w:r>
    </w:p>
    <w:p w14:paraId="479C7E6E" w14:textId="77777777" w:rsidR="004873ED" w:rsidRPr="004C0B3B" w:rsidRDefault="004873ED" w:rsidP="004873ED">
      <w:pPr>
        <w:ind w:left="851"/>
        <w:rPr>
          <w:sz w:val="24"/>
          <w:szCs w:val="24"/>
        </w:rPr>
      </w:pPr>
    </w:p>
    <w:p w14:paraId="59AB1E7F" w14:textId="77777777" w:rsidR="004873ED" w:rsidRPr="004C0B3B" w:rsidRDefault="004873ED" w:rsidP="004873ED">
      <w:pPr>
        <w:ind w:left="851"/>
        <w:rPr>
          <w:sz w:val="24"/>
          <w:szCs w:val="24"/>
        </w:rPr>
      </w:pPr>
      <w:r w:rsidRPr="004C0B3B">
        <w:rPr>
          <w:sz w:val="24"/>
          <w:szCs w:val="24"/>
        </w:rPr>
        <w:t xml:space="preserve">Kombinationsterapi, inklusive behandling med benzodiazepiner, kan potensere denne effekt (se pkt. 4.5). </w:t>
      </w:r>
    </w:p>
    <w:p w14:paraId="14BDD47E" w14:textId="77777777" w:rsidR="004873ED" w:rsidRPr="004C0B3B" w:rsidRDefault="004873ED" w:rsidP="004873ED">
      <w:pPr>
        <w:tabs>
          <w:tab w:val="left" w:pos="851"/>
        </w:tabs>
        <w:ind w:left="851" w:hanging="851"/>
        <w:rPr>
          <w:sz w:val="24"/>
          <w:szCs w:val="24"/>
        </w:rPr>
      </w:pPr>
    </w:p>
    <w:p w14:paraId="0188EF95" w14:textId="77777777" w:rsidR="007653D9" w:rsidRPr="00C84483" w:rsidRDefault="007653D9" w:rsidP="007653D9">
      <w:pPr>
        <w:tabs>
          <w:tab w:val="left" w:pos="851"/>
        </w:tabs>
        <w:ind w:left="851" w:hanging="851"/>
        <w:rPr>
          <w:b/>
          <w:sz w:val="24"/>
          <w:szCs w:val="24"/>
        </w:rPr>
      </w:pPr>
      <w:r w:rsidRPr="00C84483">
        <w:rPr>
          <w:b/>
          <w:sz w:val="24"/>
          <w:szCs w:val="24"/>
        </w:rPr>
        <w:t>4.8</w:t>
      </w:r>
      <w:r w:rsidRPr="00C84483">
        <w:rPr>
          <w:b/>
          <w:sz w:val="24"/>
          <w:szCs w:val="24"/>
        </w:rPr>
        <w:tab/>
        <w:t>Bivirkninger</w:t>
      </w:r>
    </w:p>
    <w:p w14:paraId="40EF35E7" w14:textId="77777777" w:rsidR="004873ED" w:rsidRPr="004C0B3B" w:rsidRDefault="004873ED" w:rsidP="004873ED">
      <w:pPr>
        <w:tabs>
          <w:tab w:val="left" w:pos="851"/>
        </w:tabs>
        <w:ind w:left="851"/>
        <w:rPr>
          <w:sz w:val="24"/>
          <w:szCs w:val="24"/>
        </w:rPr>
      </w:pPr>
      <w:r w:rsidRPr="004C0B3B">
        <w:rPr>
          <w:sz w:val="24"/>
          <w:szCs w:val="24"/>
        </w:rPr>
        <w:t xml:space="preserve">De hyppigst rapporterede bivirkninger for </w:t>
      </w:r>
      <w:proofErr w:type="spellStart"/>
      <w:r w:rsidRPr="004C0B3B">
        <w:rPr>
          <w:sz w:val="24"/>
          <w:szCs w:val="24"/>
        </w:rPr>
        <w:t>natriumvalproat</w:t>
      </w:r>
      <w:proofErr w:type="spellEnd"/>
      <w:r w:rsidRPr="004C0B3B">
        <w:rPr>
          <w:sz w:val="24"/>
          <w:szCs w:val="24"/>
        </w:rPr>
        <w:t xml:space="preserve"> er </w:t>
      </w:r>
      <w:proofErr w:type="spellStart"/>
      <w:r w:rsidRPr="004C0B3B">
        <w:rPr>
          <w:sz w:val="24"/>
          <w:szCs w:val="24"/>
        </w:rPr>
        <w:t>gastrointestinale</w:t>
      </w:r>
      <w:proofErr w:type="spellEnd"/>
      <w:r w:rsidRPr="004C0B3B">
        <w:rPr>
          <w:sz w:val="24"/>
          <w:szCs w:val="24"/>
        </w:rPr>
        <w:t xml:space="preserve"> forstyrrelser, som forekommer hos ca. 20 % af patienterne. En almindelig bivirkning er vægtøgning (≥ 1 % - &lt;10 %). Tilfælde af alvorlige (og endog fatale) skader på lever og pankreas er især observeret hos børn behandlet med høje doser eller ved kombination med andre </w:t>
      </w:r>
      <w:proofErr w:type="spellStart"/>
      <w:r w:rsidRPr="004C0B3B">
        <w:rPr>
          <w:sz w:val="24"/>
          <w:szCs w:val="24"/>
        </w:rPr>
        <w:t>anti</w:t>
      </w:r>
      <w:r w:rsidRPr="004C0B3B">
        <w:rPr>
          <w:sz w:val="24"/>
          <w:szCs w:val="24"/>
        </w:rPr>
        <w:softHyphen/>
        <w:t>epileptika</w:t>
      </w:r>
      <w:proofErr w:type="spellEnd"/>
      <w:r w:rsidRPr="004C0B3B">
        <w:rPr>
          <w:sz w:val="24"/>
          <w:szCs w:val="24"/>
        </w:rPr>
        <w:t xml:space="preserve">. (Vedrørende kliniske tegn, se også pkt. 4.4). Vedrørende levertoksicitet, se pkt. 4.4. Bivirkninger rapporteret i kliniske studier og efter markedsføringen er anført i nedenstående tabel opstillet efter systemorganklasse og hyppighed. </w:t>
      </w:r>
    </w:p>
    <w:p w14:paraId="33F3C559" w14:textId="77777777" w:rsidR="004873ED" w:rsidRPr="004C0B3B" w:rsidRDefault="004873ED" w:rsidP="004873ED">
      <w:pPr>
        <w:tabs>
          <w:tab w:val="left" w:pos="851"/>
        </w:tabs>
        <w:ind w:left="851"/>
        <w:rPr>
          <w:sz w:val="24"/>
          <w:szCs w:val="24"/>
        </w:rPr>
      </w:pPr>
    </w:p>
    <w:p w14:paraId="29E6A66C" w14:textId="77777777" w:rsidR="004873ED" w:rsidRPr="004C0B3B" w:rsidRDefault="004873ED" w:rsidP="004873ED">
      <w:pPr>
        <w:tabs>
          <w:tab w:val="left" w:pos="851"/>
        </w:tabs>
        <w:ind w:left="851"/>
        <w:rPr>
          <w:sz w:val="24"/>
          <w:szCs w:val="24"/>
        </w:rPr>
      </w:pPr>
      <w:r w:rsidRPr="004C0B3B">
        <w:rPr>
          <w:sz w:val="24"/>
          <w:szCs w:val="24"/>
        </w:rPr>
        <w:t>Medfødte misdannelser og udviklingsforstyrrelser (se pkt. 4.4 og pkt. 4.6).</w:t>
      </w:r>
    </w:p>
    <w:p w14:paraId="108B54D4" w14:textId="77777777" w:rsidR="004873ED" w:rsidRPr="004C0B3B" w:rsidRDefault="004873ED" w:rsidP="004873ED">
      <w:pPr>
        <w:tabs>
          <w:tab w:val="left" w:pos="851"/>
        </w:tabs>
        <w:ind w:left="851"/>
        <w:rPr>
          <w:sz w:val="24"/>
          <w:szCs w:val="24"/>
        </w:rPr>
      </w:pPr>
    </w:p>
    <w:p w14:paraId="4C420974" w14:textId="77777777" w:rsidR="004C0B3B" w:rsidRPr="004C0B3B" w:rsidRDefault="004C0B3B" w:rsidP="004C0B3B">
      <w:pPr>
        <w:tabs>
          <w:tab w:val="left" w:pos="851"/>
        </w:tabs>
        <w:ind w:left="851"/>
        <w:rPr>
          <w:sz w:val="24"/>
          <w:szCs w:val="24"/>
        </w:rPr>
      </w:pPr>
      <w:r w:rsidRPr="004C0B3B">
        <w:rPr>
          <w:sz w:val="24"/>
          <w:szCs w:val="24"/>
        </w:rPr>
        <w:t xml:space="preserve">Hyppighed er defineret ved brug af følgende konvention: </w:t>
      </w:r>
    </w:p>
    <w:p w14:paraId="1C718913" w14:textId="77777777" w:rsidR="004C0B3B" w:rsidRPr="004C0B3B" w:rsidRDefault="004C0B3B" w:rsidP="004C0B3B">
      <w:pPr>
        <w:tabs>
          <w:tab w:val="left" w:pos="851"/>
        </w:tabs>
        <w:ind w:left="851"/>
        <w:rPr>
          <w:sz w:val="24"/>
          <w:szCs w:val="24"/>
        </w:rPr>
      </w:pPr>
      <w:r w:rsidRPr="004C0B3B">
        <w:rPr>
          <w:sz w:val="24"/>
          <w:szCs w:val="24"/>
        </w:rPr>
        <w:t xml:space="preserve">meget almindelig (≥ 1/10) </w:t>
      </w:r>
    </w:p>
    <w:p w14:paraId="4AA460E3" w14:textId="77777777" w:rsidR="004C0B3B" w:rsidRPr="004C0B3B" w:rsidRDefault="004C0B3B" w:rsidP="004C0B3B">
      <w:pPr>
        <w:tabs>
          <w:tab w:val="left" w:pos="851"/>
        </w:tabs>
        <w:ind w:left="851"/>
        <w:rPr>
          <w:sz w:val="24"/>
          <w:szCs w:val="24"/>
        </w:rPr>
      </w:pPr>
      <w:r w:rsidRPr="004C0B3B">
        <w:rPr>
          <w:sz w:val="24"/>
          <w:szCs w:val="24"/>
        </w:rPr>
        <w:t xml:space="preserve">almindelig (≥ 1/100 til &lt;1/10) </w:t>
      </w:r>
    </w:p>
    <w:p w14:paraId="1F25CD24" w14:textId="77777777" w:rsidR="004C0B3B" w:rsidRPr="004C0B3B" w:rsidRDefault="004C0B3B" w:rsidP="004C0B3B">
      <w:pPr>
        <w:tabs>
          <w:tab w:val="left" w:pos="851"/>
        </w:tabs>
        <w:ind w:left="851"/>
        <w:rPr>
          <w:sz w:val="24"/>
          <w:szCs w:val="24"/>
        </w:rPr>
      </w:pPr>
      <w:r w:rsidRPr="004C0B3B">
        <w:rPr>
          <w:sz w:val="24"/>
          <w:szCs w:val="24"/>
        </w:rPr>
        <w:t xml:space="preserve">ikke almindelig (≥ 1/1 000 til &lt;1/100) </w:t>
      </w:r>
    </w:p>
    <w:p w14:paraId="083BAE68" w14:textId="77777777" w:rsidR="004C0B3B" w:rsidRPr="004C0B3B" w:rsidRDefault="004C0B3B" w:rsidP="004C0B3B">
      <w:pPr>
        <w:tabs>
          <w:tab w:val="left" w:pos="851"/>
        </w:tabs>
        <w:ind w:left="851"/>
        <w:rPr>
          <w:sz w:val="24"/>
          <w:szCs w:val="24"/>
        </w:rPr>
      </w:pPr>
      <w:r w:rsidRPr="004C0B3B">
        <w:rPr>
          <w:sz w:val="24"/>
          <w:szCs w:val="24"/>
        </w:rPr>
        <w:t xml:space="preserve">sjælden (≥ 1/10 000 til &lt;1/1 000) </w:t>
      </w:r>
    </w:p>
    <w:p w14:paraId="749E7477" w14:textId="77777777" w:rsidR="004C0B3B" w:rsidRPr="004C0B3B" w:rsidRDefault="004C0B3B" w:rsidP="004C0B3B">
      <w:pPr>
        <w:tabs>
          <w:tab w:val="left" w:pos="851"/>
        </w:tabs>
        <w:ind w:left="851"/>
        <w:rPr>
          <w:sz w:val="24"/>
          <w:szCs w:val="24"/>
        </w:rPr>
      </w:pPr>
      <w:r w:rsidRPr="004C0B3B">
        <w:rPr>
          <w:sz w:val="24"/>
          <w:szCs w:val="24"/>
        </w:rPr>
        <w:t xml:space="preserve">meget sjælden (&lt;1/10 000) </w:t>
      </w:r>
    </w:p>
    <w:p w14:paraId="7DE6EB45" w14:textId="77777777" w:rsidR="004C0B3B" w:rsidRPr="004C0B3B" w:rsidRDefault="004C0B3B" w:rsidP="004C0B3B">
      <w:pPr>
        <w:tabs>
          <w:tab w:val="left" w:pos="851"/>
        </w:tabs>
        <w:ind w:left="851"/>
        <w:rPr>
          <w:sz w:val="24"/>
          <w:szCs w:val="24"/>
        </w:rPr>
      </w:pPr>
      <w:r w:rsidRPr="004C0B3B">
        <w:rPr>
          <w:sz w:val="24"/>
          <w:szCs w:val="24"/>
        </w:rPr>
        <w:t>ikke kendt (kan ikke estimeres ud fra forhåndenværende data)</w:t>
      </w:r>
    </w:p>
    <w:p w14:paraId="1EDCA197" w14:textId="77777777" w:rsidR="004873ED" w:rsidRPr="004C0B3B" w:rsidRDefault="004873ED" w:rsidP="004873ED">
      <w:pPr>
        <w:tabs>
          <w:tab w:val="left" w:pos="851"/>
        </w:tabs>
        <w:ind w:left="851"/>
        <w:rPr>
          <w:sz w:val="24"/>
          <w:szCs w:val="24"/>
        </w:rPr>
      </w:pPr>
    </w:p>
    <w:tbl>
      <w:tblPr>
        <w:tblW w:w="889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4448"/>
      </w:tblGrid>
      <w:tr w:rsidR="004873ED" w:rsidRPr="004C0B3B" w14:paraId="572961E9" w14:textId="77777777" w:rsidTr="007653D9">
        <w:trPr>
          <w:trHeight w:val="533"/>
        </w:trPr>
        <w:tc>
          <w:tcPr>
            <w:tcW w:w="4447" w:type="dxa"/>
          </w:tcPr>
          <w:p w14:paraId="112FEA83" w14:textId="77777777" w:rsidR="004873ED" w:rsidRPr="004C0B3B" w:rsidRDefault="004873ED" w:rsidP="007653D9">
            <w:pPr>
              <w:pStyle w:val="Titel"/>
              <w:widowControl w:val="0"/>
              <w:ind w:left="34"/>
              <w:jc w:val="left"/>
              <w:rPr>
                <w:b w:val="0"/>
                <w:bCs/>
                <w:szCs w:val="24"/>
              </w:rPr>
            </w:pPr>
            <w:r w:rsidRPr="004C0B3B">
              <w:rPr>
                <w:bCs/>
                <w:szCs w:val="24"/>
              </w:rPr>
              <w:t>Benigne, maligne og uspecificerede tumorer (inkl. cyster og polypper)</w:t>
            </w:r>
          </w:p>
          <w:p w14:paraId="76445018" w14:textId="77777777" w:rsidR="004873ED" w:rsidRPr="004C0B3B" w:rsidRDefault="004873ED" w:rsidP="007653D9">
            <w:pPr>
              <w:pStyle w:val="Titel"/>
              <w:widowControl w:val="0"/>
              <w:ind w:left="34"/>
              <w:jc w:val="left"/>
              <w:rPr>
                <w:b w:val="0"/>
                <w:szCs w:val="24"/>
              </w:rPr>
            </w:pPr>
            <w:r w:rsidRPr="004C0B3B">
              <w:rPr>
                <w:b w:val="0"/>
                <w:szCs w:val="24"/>
              </w:rPr>
              <w:t>Sjælden</w:t>
            </w:r>
          </w:p>
        </w:tc>
        <w:tc>
          <w:tcPr>
            <w:tcW w:w="4448" w:type="dxa"/>
          </w:tcPr>
          <w:p w14:paraId="35C1A4E0" w14:textId="77777777" w:rsidR="004873ED" w:rsidRPr="004C0B3B" w:rsidRDefault="004873ED" w:rsidP="00093522">
            <w:pPr>
              <w:pStyle w:val="Titel"/>
              <w:widowControl w:val="0"/>
              <w:jc w:val="left"/>
              <w:rPr>
                <w:b w:val="0"/>
                <w:bCs/>
                <w:noProof/>
                <w:szCs w:val="24"/>
              </w:rPr>
            </w:pPr>
          </w:p>
          <w:p w14:paraId="60DEFE77" w14:textId="77777777" w:rsidR="004873ED" w:rsidRPr="004C0B3B" w:rsidRDefault="004873ED" w:rsidP="00093522">
            <w:pPr>
              <w:pStyle w:val="Titel"/>
              <w:widowControl w:val="0"/>
              <w:jc w:val="left"/>
              <w:rPr>
                <w:b w:val="0"/>
                <w:bCs/>
                <w:noProof/>
                <w:szCs w:val="24"/>
              </w:rPr>
            </w:pPr>
          </w:p>
          <w:p w14:paraId="65D4F3F2" w14:textId="77777777" w:rsidR="004873ED" w:rsidRPr="004C0B3B" w:rsidRDefault="004873ED" w:rsidP="00093522">
            <w:pPr>
              <w:pStyle w:val="Titel"/>
              <w:widowControl w:val="0"/>
              <w:jc w:val="left"/>
              <w:rPr>
                <w:b w:val="0"/>
                <w:bCs/>
                <w:noProof/>
                <w:szCs w:val="24"/>
              </w:rPr>
            </w:pPr>
            <w:r w:rsidRPr="004C0B3B">
              <w:rPr>
                <w:b w:val="0"/>
                <w:bCs/>
                <w:noProof/>
                <w:szCs w:val="24"/>
              </w:rPr>
              <w:t>Myelodysplatisk syndrom</w:t>
            </w:r>
          </w:p>
          <w:p w14:paraId="359F6727" w14:textId="77777777" w:rsidR="004873ED" w:rsidRPr="004C0B3B" w:rsidRDefault="004873ED" w:rsidP="00093522">
            <w:pPr>
              <w:pStyle w:val="Titel"/>
              <w:widowControl w:val="0"/>
              <w:jc w:val="left"/>
              <w:rPr>
                <w:b w:val="0"/>
                <w:szCs w:val="24"/>
              </w:rPr>
            </w:pPr>
          </w:p>
          <w:p w14:paraId="3F450DA6" w14:textId="77777777" w:rsidR="004873ED" w:rsidRPr="004C0B3B" w:rsidRDefault="004873ED" w:rsidP="00093522">
            <w:pPr>
              <w:rPr>
                <w:sz w:val="24"/>
                <w:szCs w:val="24"/>
              </w:rPr>
            </w:pPr>
          </w:p>
        </w:tc>
      </w:tr>
      <w:tr w:rsidR="004873ED" w:rsidRPr="004C0B3B" w14:paraId="024C07EA" w14:textId="77777777" w:rsidTr="007653D9">
        <w:trPr>
          <w:trHeight w:val="533"/>
        </w:trPr>
        <w:tc>
          <w:tcPr>
            <w:tcW w:w="4447" w:type="dxa"/>
          </w:tcPr>
          <w:p w14:paraId="699E01DB" w14:textId="77777777" w:rsidR="004873ED" w:rsidRPr="004C0B3B" w:rsidRDefault="004873ED" w:rsidP="007653D9">
            <w:pPr>
              <w:pStyle w:val="Titel"/>
              <w:widowControl w:val="0"/>
              <w:ind w:left="34"/>
              <w:jc w:val="left"/>
              <w:rPr>
                <w:b w:val="0"/>
                <w:szCs w:val="24"/>
              </w:rPr>
            </w:pPr>
            <w:r w:rsidRPr="004C0B3B">
              <w:rPr>
                <w:szCs w:val="24"/>
              </w:rPr>
              <w:t xml:space="preserve">Blod og lymfesystem  </w:t>
            </w:r>
          </w:p>
          <w:p w14:paraId="6DBA2312" w14:textId="77777777" w:rsidR="004873ED" w:rsidRPr="004C0B3B" w:rsidRDefault="004873ED" w:rsidP="007653D9">
            <w:pPr>
              <w:widowControl w:val="0"/>
              <w:ind w:left="34"/>
              <w:rPr>
                <w:i/>
                <w:sz w:val="24"/>
                <w:szCs w:val="24"/>
              </w:rPr>
            </w:pPr>
            <w:r w:rsidRPr="004C0B3B">
              <w:rPr>
                <w:sz w:val="24"/>
                <w:szCs w:val="24"/>
              </w:rPr>
              <w:t xml:space="preserve">Almindelig </w:t>
            </w:r>
          </w:p>
          <w:p w14:paraId="18E054B0" w14:textId="77777777" w:rsidR="004873ED" w:rsidRPr="004C0B3B" w:rsidRDefault="004873ED" w:rsidP="007653D9">
            <w:pPr>
              <w:widowControl w:val="0"/>
              <w:ind w:left="34"/>
              <w:rPr>
                <w:i/>
                <w:sz w:val="24"/>
                <w:szCs w:val="24"/>
              </w:rPr>
            </w:pPr>
          </w:p>
          <w:p w14:paraId="711DB42F" w14:textId="77777777" w:rsidR="004873ED" w:rsidRPr="004C0B3B" w:rsidRDefault="004873ED" w:rsidP="007653D9">
            <w:pPr>
              <w:widowControl w:val="0"/>
              <w:ind w:left="34"/>
              <w:rPr>
                <w:i/>
                <w:sz w:val="24"/>
                <w:szCs w:val="24"/>
              </w:rPr>
            </w:pPr>
          </w:p>
          <w:p w14:paraId="1B965D85" w14:textId="77777777" w:rsidR="004873ED" w:rsidRPr="004C0B3B" w:rsidRDefault="004873ED" w:rsidP="007653D9">
            <w:pPr>
              <w:widowControl w:val="0"/>
              <w:ind w:left="34"/>
              <w:rPr>
                <w:sz w:val="24"/>
                <w:szCs w:val="24"/>
              </w:rPr>
            </w:pPr>
            <w:r w:rsidRPr="004C0B3B">
              <w:rPr>
                <w:sz w:val="24"/>
                <w:szCs w:val="24"/>
              </w:rPr>
              <w:t xml:space="preserve">Ikke almindelig </w:t>
            </w:r>
          </w:p>
          <w:p w14:paraId="728E8743" w14:textId="77777777" w:rsidR="004873ED" w:rsidRPr="004C0B3B" w:rsidRDefault="004873ED" w:rsidP="007653D9">
            <w:pPr>
              <w:widowControl w:val="0"/>
              <w:ind w:left="34"/>
              <w:rPr>
                <w:i/>
                <w:sz w:val="24"/>
                <w:szCs w:val="24"/>
              </w:rPr>
            </w:pPr>
          </w:p>
          <w:p w14:paraId="60E80E46" w14:textId="77777777" w:rsidR="004873ED" w:rsidRPr="004C0B3B" w:rsidRDefault="004873ED" w:rsidP="007653D9">
            <w:pPr>
              <w:widowControl w:val="0"/>
              <w:ind w:left="34"/>
              <w:rPr>
                <w:sz w:val="24"/>
                <w:szCs w:val="24"/>
              </w:rPr>
            </w:pPr>
            <w:r w:rsidRPr="004C0B3B">
              <w:rPr>
                <w:sz w:val="24"/>
                <w:szCs w:val="24"/>
              </w:rPr>
              <w:t xml:space="preserve">Sjælden </w:t>
            </w:r>
          </w:p>
          <w:p w14:paraId="417873DD" w14:textId="77777777" w:rsidR="004873ED" w:rsidRPr="004C0B3B" w:rsidRDefault="004873ED" w:rsidP="007653D9">
            <w:pPr>
              <w:widowControl w:val="0"/>
              <w:ind w:left="34"/>
              <w:rPr>
                <w:sz w:val="24"/>
                <w:szCs w:val="24"/>
              </w:rPr>
            </w:pPr>
          </w:p>
          <w:p w14:paraId="4501B65C" w14:textId="77777777" w:rsidR="004873ED" w:rsidRPr="004C0B3B" w:rsidRDefault="004873ED" w:rsidP="007653D9">
            <w:pPr>
              <w:widowControl w:val="0"/>
              <w:ind w:left="34"/>
              <w:rPr>
                <w:i/>
                <w:sz w:val="24"/>
                <w:szCs w:val="24"/>
              </w:rPr>
            </w:pPr>
          </w:p>
          <w:p w14:paraId="6DBDAF6D" w14:textId="77777777" w:rsidR="004873ED" w:rsidRPr="004C0B3B" w:rsidRDefault="004873ED" w:rsidP="007653D9">
            <w:pPr>
              <w:widowControl w:val="0"/>
              <w:ind w:left="34"/>
              <w:rPr>
                <w:i/>
                <w:sz w:val="24"/>
                <w:szCs w:val="24"/>
              </w:rPr>
            </w:pPr>
          </w:p>
          <w:p w14:paraId="20FFD7CB" w14:textId="77777777" w:rsidR="004873ED" w:rsidRPr="004C0B3B" w:rsidRDefault="004873ED" w:rsidP="007653D9">
            <w:pPr>
              <w:widowControl w:val="0"/>
              <w:ind w:left="34"/>
              <w:rPr>
                <w:i/>
                <w:sz w:val="24"/>
                <w:szCs w:val="24"/>
              </w:rPr>
            </w:pPr>
          </w:p>
          <w:p w14:paraId="12064F81" w14:textId="77777777" w:rsidR="004873ED" w:rsidRPr="004C0B3B" w:rsidRDefault="004873ED" w:rsidP="007653D9">
            <w:pPr>
              <w:widowControl w:val="0"/>
              <w:ind w:left="34"/>
              <w:rPr>
                <w:i/>
                <w:sz w:val="24"/>
                <w:szCs w:val="24"/>
              </w:rPr>
            </w:pPr>
          </w:p>
          <w:p w14:paraId="1724C9A7" w14:textId="77777777" w:rsidR="004873ED" w:rsidRPr="004C0B3B" w:rsidRDefault="004873ED" w:rsidP="007653D9">
            <w:pPr>
              <w:widowControl w:val="0"/>
              <w:ind w:left="34"/>
              <w:rPr>
                <w:i/>
                <w:sz w:val="24"/>
                <w:szCs w:val="24"/>
              </w:rPr>
            </w:pPr>
          </w:p>
          <w:p w14:paraId="7958D193" w14:textId="77777777" w:rsidR="004873ED" w:rsidRPr="004C0B3B" w:rsidRDefault="004873ED" w:rsidP="007653D9">
            <w:pPr>
              <w:widowControl w:val="0"/>
              <w:ind w:left="34"/>
              <w:rPr>
                <w:sz w:val="24"/>
                <w:szCs w:val="24"/>
              </w:rPr>
            </w:pPr>
          </w:p>
          <w:p w14:paraId="5F6CE04C" w14:textId="77777777" w:rsidR="00291DB8" w:rsidRPr="004C0B3B" w:rsidRDefault="00291DB8" w:rsidP="007653D9">
            <w:pPr>
              <w:widowControl w:val="0"/>
              <w:ind w:left="34"/>
              <w:rPr>
                <w:sz w:val="24"/>
                <w:szCs w:val="24"/>
              </w:rPr>
            </w:pPr>
          </w:p>
          <w:p w14:paraId="6EE5B306" w14:textId="77777777" w:rsidR="004873ED" w:rsidRPr="004C0B3B" w:rsidRDefault="004873ED" w:rsidP="007653D9">
            <w:pPr>
              <w:widowControl w:val="0"/>
              <w:ind w:left="34"/>
              <w:rPr>
                <w:b/>
                <w:i/>
                <w:sz w:val="24"/>
                <w:szCs w:val="24"/>
              </w:rPr>
            </w:pPr>
            <w:r w:rsidRPr="004C0B3B">
              <w:rPr>
                <w:sz w:val="24"/>
                <w:szCs w:val="24"/>
              </w:rPr>
              <w:t xml:space="preserve">Meget sjælden </w:t>
            </w:r>
          </w:p>
          <w:p w14:paraId="7D11F133" w14:textId="77777777" w:rsidR="004873ED" w:rsidRPr="004C0B3B" w:rsidRDefault="004873ED" w:rsidP="007653D9">
            <w:pPr>
              <w:pStyle w:val="Titel"/>
              <w:widowControl w:val="0"/>
              <w:ind w:left="34"/>
              <w:jc w:val="left"/>
              <w:rPr>
                <w:b w:val="0"/>
                <w:szCs w:val="24"/>
              </w:rPr>
            </w:pPr>
          </w:p>
          <w:p w14:paraId="345F33D4" w14:textId="77777777" w:rsidR="004873ED" w:rsidRPr="004C0B3B" w:rsidRDefault="004873ED" w:rsidP="007653D9">
            <w:pPr>
              <w:pStyle w:val="Titel"/>
              <w:widowControl w:val="0"/>
              <w:ind w:left="34"/>
              <w:jc w:val="left"/>
              <w:rPr>
                <w:b w:val="0"/>
                <w:szCs w:val="24"/>
              </w:rPr>
            </w:pPr>
          </w:p>
          <w:p w14:paraId="4354210F" w14:textId="77777777" w:rsidR="004873ED" w:rsidRPr="004C0B3B" w:rsidRDefault="004873ED" w:rsidP="007653D9">
            <w:pPr>
              <w:pStyle w:val="Titel"/>
              <w:widowControl w:val="0"/>
              <w:ind w:left="34"/>
              <w:jc w:val="left"/>
              <w:rPr>
                <w:b w:val="0"/>
                <w:szCs w:val="24"/>
              </w:rPr>
            </w:pPr>
          </w:p>
          <w:p w14:paraId="0D851C83" w14:textId="77777777" w:rsidR="004873ED" w:rsidRPr="004C0B3B" w:rsidRDefault="004873ED" w:rsidP="007653D9">
            <w:pPr>
              <w:pStyle w:val="Titel"/>
              <w:widowControl w:val="0"/>
              <w:ind w:left="34"/>
              <w:jc w:val="left"/>
              <w:rPr>
                <w:b w:val="0"/>
                <w:szCs w:val="24"/>
              </w:rPr>
            </w:pPr>
          </w:p>
          <w:p w14:paraId="46A37BD2" w14:textId="77777777" w:rsidR="004873ED" w:rsidRPr="004C0B3B" w:rsidRDefault="004873ED" w:rsidP="007653D9">
            <w:pPr>
              <w:pStyle w:val="Titel"/>
              <w:widowControl w:val="0"/>
              <w:ind w:left="34"/>
              <w:jc w:val="left"/>
              <w:rPr>
                <w:b w:val="0"/>
                <w:szCs w:val="24"/>
              </w:rPr>
            </w:pPr>
          </w:p>
          <w:p w14:paraId="08D203E7" w14:textId="77777777" w:rsidR="004873ED" w:rsidRPr="004C0B3B" w:rsidRDefault="004873ED" w:rsidP="007653D9">
            <w:pPr>
              <w:pStyle w:val="Titel"/>
              <w:widowControl w:val="0"/>
              <w:ind w:left="34"/>
              <w:jc w:val="left"/>
              <w:rPr>
                <w:szCs w:val="24"/>
              </w:rPr>
            </w:pPr>
            <w:r w:rsidRPr="004C0B3B">
              <w:rPr>
                <w:b w:val="0"/>
                <w:szCs w:val="24"/>
              </w:rPr>
              <w:t>Ikke kendt</w:t>
            </w:r>
          </w:p>
        </w:tc>
        <w:tc>
          <w:tcPr>
            <w:tcW w:w="4448" w:type="dxa"/>
          </w:tcPr>
          <w:p w14:paraId="7BEC7BDF" w14:textId="77777777" w:rsidR="004873ED" w:rsidRPr="004C0B3B" w:rsidRDefault="004873ED" w:rsidP="00093522">
            <w:pPr>
              <w:pStyle w:val="Titel"/>
              <w:widowControl w:val="0"/>
              <w:jc w:val="left"/>
              <w:rPr>
                <w:b w:val="0"/>
                <w:szCs w:val="24"/>
              </w:rPr>
            </w:pPr>
          </w:p>
          <w:p w14:paraId="3A591ABD" w14:textId="77777777" w:rsidR="004873ED" w:rsidRPr="004C0B3B" w:rsidRDefault="004873ED" w:rsidP="00093522">
            <w:pPr>
              <w:widowControl w:val="0"/>
              <w:rPr>
                <w:sz w:val="24"/>
                <w:szCs w:val="24"/>
              </w:rPr>
            </w:pPr>
            <w:r w:rsidRPr="004C0B3B">
              <w:rPr>
                <w:sz w:val="24"/>
                <w:szCs w:val="24"/>
              </w:rPr>
              <w:t xml:space="preserve">Mild og fuldstændigt reversibel </w:t>
            </w:r>
            <w:proofErr w:type="spellStart"/>
            <w:r w:rsidRPr="004C0B3B">
              <w:rPr>
                <w:sz w:val="24"/>
                <w:szCs w:val="24"/>
              </w:rPr>
              <w:t>myelosuppression</w:t>
            </w:r>
            <w:proofErr w:type="spellEnd"/>
            <w:r w:rsidRPr="004C0B3B">
              <w:rPr>
                <w:sz w:val="24"/>
                <w:szCs w:val="24"/>
              </w:rPr>
              <w:t xml:space="preserve">, </w:t>
            </w:r>
            <w:proofErr w:type="spellStart"/>
            <w:r w:rsidRPr="004C0B3B">
              <w:rPr>
                <w:sz w:val="24"/>
                <w:szCs w:val="24"/>
              </w:rPr>
              <w:t>trombocytopeni</w:t>
            </w:r>
            <w:proofErr w:type="spellEnd"/>
            <w:r w:rsidRPr="004C0B3B">
              <w:rPr>
                <w:sz w:val="24"/>
                <w:szCs w:val="24"/>
              </w:rPr>
              <w:t>.</w:t>
            </w:r>
          </w:p>
          <w:p w14:paraId="0763A0E7" w14:textId="77777777" w:rsidR="004873ED" w:rsidRPr="004C0B3B" w:rsidRDefault="004873ED" w:rsidP="00093522">
            <w:pPr>
              <w:widowControl w:val="0"/>
              <w:rPr>
                <w:sz w:val="24"/>
                <w:szCs w:val="24"/>
              </w:rPr>
            </w:pPr>
          </w:p>
          <w:p w14:paraId="14206209" w14:textId="77777777" w:rsidR="004873ED" w:rsidRPr="004C0B3B" w:rsidRDefault="004873ED" w:rsidP="00093522">
            <w:pPr>
              <w:widowControl w:val="0"/>
              <w:rPr>
                <w:sz w:val="24"/>
                <w:szCs w:val="24"/>
              </w:rPr>
            </w:pPr>
            <w:proofErr w:type="spellStart"/>
            <w:r w:rsidRPr="004C0B3B">
              <w:rPr>
                <w:sz w:val="24"/>
                <w:szCs w:val="24"/>
              </w:rPr>
              <w:t>Hæmoragi</w:t>
            </w:r>
            <w:proofErr w:type="spellEnd"/>
            <w:r w:rsidRPr="004C0B3B">
              <w:rPr>
                <w:sz w:val="24"/>
                <w:szCs w:val="24"/>
              </w:rPr>
              <w:t>.</w:t>
            </w:r>
          </w:p>
          <w:p w14:paraId="395DBBE0" w14:textId="77777777" w:rsidR="004873ED" w:rsidRPr="004C0B3B" w:rsidRDefault="004873ED" w:rsidP="00093522">
            <w:pPr>
              <w:widowControl w:val="0"/>
              <w:rPr>
                <w:sz w:val="24"/>
                <w:szCs w:val="24"/>
              </w:rPr>
            </w:pPr>
          </w:p>
          <w:p w14:paraId="5BFD5A96" w14:textId="77777777" w:rsidR="004873ED" w:rsidRPr="004C0B3B" w:rsidRDefault="004873ED" w:rsidP="00093522">
            <w:pPr>
              <w:widowControl w:val="0"/>
              <w:rPr>
                <w:sz w:val="24"/>
                <w:szCs w:val="24"/>
              </w:rPr>
            </w:pPr>
            <w:r w:rsidRPr="004C0B3B">
              <w:rPr>
                <w:sz w:val="24"/>
                <w:szCs w:val="24"/>
              </w:rPr>
              <w:t xml:space="preserve">Anæmi, </w:t>
            </w:r>
            <w:proofErr w:type="spellStart"/>
            <w:r w:rsidRPr="004C0B3B">
              <w:rPr>
                <w:sz w:val="24"/>
                <w:szCs w:val="24"/>
              </w:rPr>
              <w:t>makrocytisk</w:t>
            </w:r>
            <w:proofErr w:type="spellEnd"/>
            <w:r w:rsidRPr="004C0B3B">
              <w:rPr>
                <w:sz w:val="24"/>
                <w:szCs w:val="24"/>
              </w:rPr>
              <w:t xml:space="preserve"> anæmi, </w:t>
            </w:r>
            <w:proofErr w:type="spellStart"/>
            <w:r w:rsidRPr="004C0B3B">
              <w:rPr>
                <w:sz w:val="24"/>
                <w:szCs w:val="24"/>
              </w:rPr>
              <w:t>makrocytose</w:t>
            </w:r>
            <w:proofErr w:type="spellEnd"/>
            <w:r w:rsidRPr="004C0B3B">
              <w:rPr>
                <w:sz w:val="24"/>
                <w:szCs w:val="24"/>
              </w:rPr>
              <w:t xml:space="preserve">, </w:t>
            </w:r>
            <w:proofErr w:type="spellStart"/>
            <w:r w:rsidRPr="004C0B3B">
              <w:rPr>
                <w:sz w:val="24"/>
                <w:szCs w:val="24"/>
              </w:rPr>
              <w:t>leukopeni</w:t>
            </w:r>
            <w:proofErr w:type="spellEnd"/>
            <w:r w:rsidRPr="004C0B3B">
              <w:rPr>
                <w:sz w:val="24"/>
                <w:szCs w:val="24"/>
              </w:rPr>
              <w:t xml:space="preserve"> eller </w:t>
            </w:r>
            <w:proofErr w:type="spellStart"/>
            <w:r w:rsidRPr="004C0B3B">
              <w:rPr>
                <w:sz w:val="24"/>
                <w:szCs w:val="24"/>
              </w:rPr>
              <w:t>pancytopeni</w:t>
            </w:r>
            <w:proofErr w:type="spellEnd"/>
            <w:r w:rsidRPr="004C0B3B">
              <w:rPr>
                <w:sz w:val="24"/>
                <w:szCs w:val="24"/>
              </w:rPr>
              <w:t>.</w:t>
            </w:r>
            <w:r w:rsidRPr="004C0B3B">
              <w:rPr>
                <w:i/>
                <w:sz w:val="24"/>
                <w:szCs w:val="24"/>
              </w:rPr>
              <w:t xml:space="preserve"> </w:t>
            </w:r>
          </w:p>
          <w:p w14:paraId="21892102" w14:textId="77777777" w:rsidR="004873ED" w:rsidRPr="004C0B3B" w:rsidRDefault="004873ED" w:rsidP="00093522">
            <w:pPr>
              <w:widowControl w:val="0"/>
              <w:rPr>
                <w:sz w:val="24"/>
                <w:szCs w:val="24"/>
              </w:rPr>
            </w:pPr>
            <w:r w:rsidRPr="004C0B3B">
              <w:rPr>
                <w:sz w:val="24"/>
                <w:szCs w:val="24"/>
              </w:rPr>
              <w:t xml:space="preserve"> Reduceret </w:t>
            </w:r>
            <w:proofErr w:type="spellStart"/>
            <w:r w:rsidRPr="004C0B3B">
              <w:rPr>
                <w:sz w:val="24"/>
                <w:szCs w:val="24"/>
              </w:rPr>
              <w:t>fibrinogen</w:t>
            </w:r>
            <w:proofErr w:type="spellEnd"/>
            <w:r w:rsidRPr="004C0B3B">
              <w:rPr>
                <w:sz w:val="24"/>
                <w:szCs w:val="24"/>
              </w:rPr>
              <w:t>, de fleste uden kliniske symptomer og navnlig ved høje doser (</w:t>
            </w:r>
            <w:proofErr w:type="spellStart"/>
            <w:r w:rsidRPr="004C0B3B">
              <w:rPr>
                <w:sz w:val="24"/>
                <w:szCs w:val="24"/>
              </w:rPr>
              <w:t>natriumvalproat</w:t>
            </w:r>
            <w:proofErr w:type="spellEnd"/>
            <w:r w:rsidRPr="004C0B3B">
              <w:rPr>
                <w:sz w:val="24"/>
                <w:szCs w:val="24"/>
              </w:rPr>
              <w:t xml:space="preserve"> har en hæmmende effekt på </w:t>
            </w:r>
            <w:proofErr w:type="spellStart"/>
            <w:r w:rsidRPr="004C0B3B">
              <w:rPr>
                <w:sz w:val="24"/>
                <w:szCs w:val="24"/>
              </w:rPr>
              <w:t>trombocytaggregationens</w:t>
            </w:r>
            <w:proofErr w:type="spellEnd"/>
            <w:r w:rsidRPr="004C0B3B">
              <w:rPr>
                <w:sz w:val="24"/>
                <w:szCs w:val="24"/>
              </w:rPr>
              <w:t xml:space="preserve"> anden fase).</w:t>
            </w:r>
          </w:p>
          <w:p w14:paraId="24C40E83" w14:textId="77777777" w:rsidR="004873ED" w:rsidRPr="004C0B3B" w:rsidRDefault="004873ED" w:rsidP="00093522">
            <w:pPr>
              <w:widowControl w:val="0"/>
              <w:rPr>
                <w:sz w:val="24"/>
                <w:szCs w:val="24"/>
              </w:rPr>
            </w:pPr>
            <w:proofErr w:type="spellStart"/>
            <w:r w:rsidRPr="004C0B3B">
              <w:rPr>
                <w:sz w:val="24"/>
                <w:szCs w:val="24"/>
              </w:rPr>
              <w:t>Agranulocytose</w:t>
            </w:r>
            <w:proofErr w:type="spellEnd"/>
            <w:r w:rsidRPr="004C0B3B">
              <w:rPr>
                <w:sz w:val="24"/>
                <w:szCs w:val="24"/>
              </w:rPr>
              <w:t>.</w:t>
            </w:r>
          </w:p>
          <w:p w14:paraId="106D87B1" w14:textId="77777777" w:rsidR="004873ED" w:rsidRPr="004C0B3B" w:rsidRDefault="004873ED" w:rsidP="00093522">
            <w:pPr>
              <w:widowControl w:val="0"/>
              <w:rPr>
                <w:sz w:val="24"/>
                <w:szCs w:val="24"/>
              </w:rPr>
            </w:pPr>
          </w:p>
          <w:p w14:paraId="54FB4B72" w14:textId="77777777" w:rsidR="004873ED" w:rsidRPr="004C0B3B" w:rsidRDefault="004873ED" w:rsidP="00093522">
            <w:pPr>
              <w:widowControl w:val="0"/>
              <w:rPr>
                <w:sz w:val="24"/>
                <w:szCs w:val="24"/>
              </w:rPr>
            </w:pPr>
            <w:r w:rsidRPr="004C0B3B">
              <w:rPr>
                <w:sz w:val="24"/>
                <w:szCs w:val="24"/>
              </w:rPr>
              <w:t xml:space="preserve">Lymfocytose. </w:t>
            </w:r>
            <w:proofErr w:type="spellStart"/>
            <w:r w:rsidRPr="004C0B3B">
              <w:rPr>
                <w:sz w:val="24"/>
                <w:szCs w:val="24"/>
              </w:rPr>
              <w:t>Neutropeni</w:t>
            </w:r>
            <w:proofErr w:type="spellEnd"/>
            <w:r w:rsidRPr="004C0B3B">
              <w:rPr>
                <w:sz w:val="24"/>
                <w:szCs w:val="24"/>
              </w:rPr>
              <w:t>.</w:t>
            </w:r>
          </w:p>
          <w:p w14:paraId="478A2C74" w14:textId="77777777" w:rsidR="004873ED" w:rsidRPr="004C0B3B" w:rsidRDefault="004873ED" w:rsidP="00093522">
            <w:pPr>
              <w:widowControl w:val="0"/>
              <w:rPr>
                <w:sz w:val="24"/>
                <w:szCs w:val="24"/>
              </w:rPr>
            </w:pPr>
            <w:r w:rsidRPr="004C0B3B">
              <w:rPr>
                <w:sz w:val="24"/>
                <w:szCs w:val="24"/>
              </w:rPr>
              <w:t xml:space="preserve">Forstyrret </w:t>
            </w:r>
            <w:proofErr w:type="spellStart"/>
            <w:r w:rsidRPr="004C0B3B">
              <w:rPr>
                <w:sz w:val="24"/>
                <w:szCs w:val="24"/>
              </w:rPr>
              <w:t>trombocytaggregation</w:t>
            </w:r>
            <w:proofErr w:type="spellEnd"/>
            <w:r w:rsidRPr="004C0B3B">
              <w:rPr>
                <w:sz w:val="24"/>
                <w:szCs w:val="24"/>
              </w:rPr>
              <w:t xml:space="preserve"> og/eller </w:t>
            </w:r>
            <w:proofErr w:type="spellStart"/>
            <w:r w:rsidRPr="004C0B3B">
              <w:rPr>
                <w:sz w:val="24"/>
                <w:szCs w:val="24"/>
              </w:rPr>
              <w:t>trombocytopati</w:t>
            </w:r>
            <w:proofErr w:type="spellEnd"/>
            <w:r w:rsidRPr="004C0B3B">
              <w:rPr>
                <w:sz w:val="24"/>
                <w:szCs w:val="24"/>
              </w:rPr>
              <w:t xml:space="preserve"> på grund af faktor VIII/von Willebrand-faktormangel kan muligvis forlænge blødningstiden (se pkt. 4.4).</w:t>
            </w:r>
          </w:p>
          <w:p w14:paraId="1AD84864" w14:textId="77777777" w:rsidR="004873ED" w:rsidRPr="004C0B3B" w:rsidRDefault="004873ED" w:rsidP="00093522">
            <w:pPr>
              <w:widowControl w:val="0"/>
              <w:rPr>
                <w:sz w:val="24"/>
                <w:szCs w:val="24"/>
              </w:rPr>
            </w:pPr>
          </w:p>
          <w:p w14:paraId="765DED88" w14:textId="77777777" w:rsidR="004873ED" w:rsidRPr="004C0B3B" w:rsidRDefault="004873ED" w:rsidP="00093522">
            <w:pPr>
              <w:pStyle w:val="Titel"/>
              <w:widowControl w:val="0"/>
              <w:jc w:val="left"/>
              <w:rPr>
                <w:b w:val="0"/>
                <w:szCs w:val="24"/>
              </w:rPr>
            </w:pPr>
            <w:proofErr w:type="spellStart"/>
            <w:r w:rsidRPr="004C0B3B">
              <w:rPr>
                <w:b w:val="0"/>
                <w:szCs w:val="24"/>
              </w:rPr>
              <w:t>Aplasi</w:t>
            </w:r>
            <w:proofErr w:type="spellEnd"/>
            <w:r w:rsidRPr="004C0B3B">
              <w:rPr>
                <w:b w:val="0"/>
                <w:szCs w:val="24"/>
              </w:rPr>
              <w:t xml:space="preserve"> af røde blodlegemer.</w:t>
            </w:r>
          </w:p>
          <w:p w14:paraId="0C6E6602" w14:textId="77777777" w:rsidR="004873ED" w:rsidRPr="004C0B3B" w:rsidRDefault="004873ED" w:rsidP="00093522">
            <w:pPr>
              <w:pStyle w:val="Titel"/>
              <w:widowControl w:val="0"/>
              <w:jc w:val="left"/>
              <w:rPr>
                <w:b w:val="0"/>
                <w:szCs w:val="24"/>
              </w:rPr>
            </w:pPr>
          </w:p>
        </w:tc>
      </w:tr>
      <w:tr w:rsidR="004873ED" w:rsidRPr="004C0B3B" w14:paraId="263DCEDF" w14:textId="77777777" w:rsidTr="007653D9">
        <w:trPr>
          <w:trHeight w:val="533"/>
        </w:trPr>
        <w:tc>
          <w:tcPr>
            <w:tcW w:w="4447" w:type="dxa"/>
          </w:tcPr>
          <w:p w14:paraId="39D83D6D" w14:textId="77777777" w:rsidR="004873ED" w:rsidRPr="004C0B3B" w:rsidRDefault="004873ED" w:rsidP="007653D9">
            <w:pPr>
              <w:widowControl w:val="0"/>
              <w:ind w:left="34"/>
              <w:rPr>
                <w:b/>
                <w:sz w:val="24"/>
                <w:szCs w:val="24"/>
              </w:rPr>
            </w:pPr>
            <w:r w:rsidRPr="004C0B3B">
              <w:rPr>
                <w:b/>
                <w:sz w:val="24"/>
                <w:szCs w:val="24"/>
              </w:rPr>
              <w:t>Det endokrine system</w:t>
            </w:r>
          </w:p>
          <w:p w14:paraId="37B958E4" w14:textId="77777777" w:rsidR="004873ED" w:rsidRPr="004C0B3B" w:rsidRDefault="004873ED" w:rsidP="007653D9">
            <w:pPr>
              <w:widowControl w:val="0"/>
              <w:ind w:left="34"/>
              <w:rPr>
                <w:sz w:val="24"/>
                <w:szCs w:val="24"/>
              </w:rPr>
            </w:pPr>
            <w:r w:rsidRPr="004C0B3B">
              <w:rPr>
                <w:sz w:val="24"/>
                <w:szCs w:val="24"/>
              </w:rPr>
              <w:t>Ikke almindelig</w:t>
            </w:r>
          </w:p>
          <w:p w14:paraId="5C93E896" w14:textId="77777777" w:rsidR="004873ED" w:rsidRPr="004C0B3B" w:rsidRDefault="004873ED" w:rsidP="007653D9">
            <w:pPr>
              <w:widowControl w:val="0"/>
              <w:ind w:left="34"/>
              <w:rPr>
                <w:sz w:val="24"/>
                <w:szCs w:val="24"/>
              </w:rPr>
            </w:pPr>
          </w:p>
          <w:p w14:paraId="314EA074" w14:textId="77777777" w:rsidR="004873ED" w:rsidRPr="004C0B3B" w:rsidRDefault="004873ED" w:rsidP="007653D9">
            <w:pPr>
              <w:widowControl w:val="0"/>
              <w:ind w:left="34"/>
              <w:rPr>
                <w:sz w:val="24"/>
                <w:szCs w:val="24"/>
              </w:rPr>
            </w:pPr>
          </w:p>
          <w:p w14:paraId="306E5370" w14:textId="77777777" w:rsidR="004873ED" w:rsidRPr="004C0B3B" w:rsidRDefault="004873ED" w:rsidP="007653D9">
            <w:pPr>
              <w:widowControl w:val="0"/>
              <w:ind w:left="34"/>
              <w:rPr>
                <w:sz w:val="24"/>
                <w:szCs w:val="24"/>
              </w:rPr>
            </w:pPr>
          </w:p>
          <w:p w14:paraId="1383CC9A" w14:textId="77777777" w:rsidR="004873ED" w:rsidRPr="004C0B3B" w:rsidRDefault="004873ED" w:rsidP="007653D9">
            <w:pPr>
              <w:widowControl w:val="0"/>
              <w:ind w:left="34"/>
              <w:rPr>
                <w:sz w:val="24"/>
                <w:szCs w:val="24"/>
              </w:rPr>
            </w:pPr>
            <w:r w:rsidRPr="004C0B3B">
              <w:rPr>
                <w:sz w:val="24"/>
                <w:szCs w:val="24"/>
              </w:rPr>
              <w:t>Sjælden</w:t>
            </w:r>
          </w:p>
          <w:p w14:paraId="424CEC6A" w14:textId="77777777" w:rsidR="004873ED" w:rsidRPr="004C0B3B" w:rsidRDefault="004873ED" w:rsidP="007653D9">
            <w:pPr>
              <w:widowControl w:val="0"/>
              <w:ind w:left="34"/>
              <w:rPr>
                <w:sz w:val="24"/>
                <w:szCs w:val="24"/>
              </w:rPr>
            </w:pPr>
          </w:p>
          <w:p w14:paraId="1C166864" w14:textId="77777777" w:rsidR="004873ED" w:rsidRPr="004C0B3B" w:rsidRDefault="004873ED" w:rsidP="007653D9">
            <w:pPr>
              <w:widowControl w:val="0"/>
              <w:ind w:left="34"/>
              <w:rPr>
                <w:sz w:val="24"/>
                <w:szCs w:val="24"/>
              </w:rPr>
            </w:pPr>
            <w:r w:rsidRPr="004C0B3B">
              <w:rPr>
                <w:sz w:val="24"/>
                <w:szCs w:val="24"/>
              </w:rPr>
              <w:t xml:space="preserve">Ikke kendt </w:t>
            </w:r>
          </w:p>
          <w:p w14:paraId="22AF7B8D" w14:textId="77777777" w:rsidR="004873ED" w:rsidRPr="004C0B3B" w:rsidRDefault="004873ED" w:rsidP="007653D9">
            <w:pPr>
              <w:pStyle w:val="Titel"/>
              <w:widowControl w:val="0"/>
              <w:ind w:left="34"/>
              <w:jc w:val="left"/>
              <w:rPr>
                <w:szCs w:val="24"/>
              </w:rPr>
            </w:pPr>
            <w:r w:rsidRPr="004C0B3B">
              <w:rPr>
                <w:szCs w:val="24"/>
              </w:rPr>
              <w:t xml:space="preserve"> </w:t>
            </w:r>
          </w:p>
        </w:tc>
        <w:tc>
          <w:tcPr>
            <w:tcW w:w="4448" w:type="dxa"/>
          </w:tcPr>
          <w:p w14:paraId="4123A50B" w14:textId="77777777" w:rsidR="004873ED" w:rsidRPr="004C0B3B" w:rsidRDefault="004873ED" w:rsidP="00093522">
            <w:pPr>
              <w:widowControl w:val="0"/>
              <w:rPr>
                <w:sz w:val="24"/>
                <w:szCs w:val="24"/>
              </w:rPr>
            </w:pPr>
          </w:p>
          <w:p w14:paraId="0F7F6227" w14:textId="77777777" w:rsidR="004873ED" w:rsidRPr="004C0B3B" w:rsidRDefault="004873ED" w:rsidP="00093522">
            <w:pPr>
              <w:widowControl w:val="0"/>
              <w:rPr>
                <w:sz w:val="24"/>
                <w:szCs w:val="24"/>
              </w:rPr>
            </w:pPr>
            <w:proofErr w:type="spellStart"/>
            <w:r w:rsidRPr="004C0B3B">
              <w:rPr>
                <w:sz w:val="24"/>
                <w:szCs w:val="24"/>
              </w:rPr>
              <w:t>Hyperandrogenisme</w:t>
            </w:r>
            <w:proofErr w:type="spellEnd"/>
            <w:r w:rsidRPr="004C0B3B">
              <w:rPr>
                <w:sz w:val="24"/>
                <w:szCs w:val="24"/>
              </w:rPr>
              <w:t xml:space="preserve"> (</w:t>
            </w:r>
            <w:proofErr w:type="spellStart"/>
            <w:r w:rsidRPr="004C0B3B">
              <w:rPr>
                <w:sz w:val="24"/>
                <w:szCs w:val="24"/>
              </w:rPr>
              <w:t>hirsutisme</w:t>
            </w:r>
            <w:proofErr w:type="spellEnd"/>
            <w:r w:rsidRPr="004C0B3B">
              <w:rPr>
                <w:sz w:val="24"/>
                <w:szCs w:val="24"/>
              </w:rPr>
              <w:t xml:space="preserve">, virilisme, akne, </w:t>
            </w:r>
            <w:proofErr w:type="spellStart"/>
            <w:r w:rsidRPr="004C0B3B">
              <w:rPr>
                <w:sz w:val="24"/>
                <w:szCs w:val="24"/>
              </w:rPr>
              <w:t>alopeci</w:t>
            </w:r>
            <w:proofErr w:type="spellEnd"/>
            <w:r w:rsidRPr="004C0B3B">
              <w:rPr>
                <w:sz w:val="24"/>
                <w:szCs w:val="24"/>
              </w:rPr>
              <w:t xml:space="preserve"> i maskulint mønster og/eller forhøjet androgen).</w:t>
            </w:r>
          </w:p>
          <w:p w14:paraId="24E52CC4" w14:textId="77777777" w:rsidR="004873ED" w:rsidRPr="004C0B3B" w:rsidRDefault="004873ED" w:rsidP="00093522">
            <w:pPr>
              <w:widowControl w:val="0"/>
              <w:rPr>
                <w:sz w:val="24"/>
                <w:szCs w:val="24"/>
              </w:rPr>
            </w:pPr>
          </w:p>
          <w:p w14:paraId="06F31055" w14:textId="77777777" w:rsidR="004873ED" w:rsidRPr="004C0B3B" w:rsidRDefault="004873ED" w:rsidP="00093522">
            <w:pPr>
              <w:widowControl w:val="0"/>
              <w:rPr>
                <w:sz w:val="24"/>
                <w:szCs w:val="24"/>
              </w:rPr>
            </w:pPr>
            <w:proofErr w:type="spellStart"/>
            <w:r w:rsidRPr="004C0B3B">
              <w:rPr>
                <w:sz w:val="24"/>
                <w:szCs w:val="24"/>
              </w:rPr>
              <w:t>Hypothyroidisme</w:t>
            </w:r>
            <w:proofErr w:type="spellEnd"/>
            <w:r w:rsidRPr="004C0B3B">
              <w:rPr>
                <w:sz w:val="24"/>
                <w:szCs w:val="24"/>
              </w:rPr>
              <w:t>.</w:t>
            </w:r>
          </w:p>
          <w:p w14:paraId="35C6380A" w14:textId="77777777" w:rsidR="004873ED" w:rsidRPr="004C0B3B" w:rsidRDefault="004873ED" w:rsidP="00093522">
            <w:pPr>
              <w:widowControl w:val="0"/>
              <w:rPr>
                <w:sz w:val="24"/>
                <w:szCs w:val="24"/>
              </w:rPr>
            </w:pPr>
          </w:p>
          <w:p w14:paraId="1060A317" w14:textId="77777777" w:rsidR="004873ED" w:rsidRPr="004C0B3B" w:rsidRDefault="004873ED" w:rsidP="00093522">
            <w:pPr>
              <w:widowControl w:val="0"/>
              <w:rPr>
                <w:sz w:val="24"/>
                <w:szCs w:val="24"/>
              </w:rPr>
            </w:pPr>
            <w:r w:rsidRPr="004C0B3B">
              <w:rPr>
                <w:sz w:val="24"/>
                <w:szCs w:val="24"/>
              </w:rPr>
              <w:t>Syndrom med uhensigtsmæssig produktion af antidiuretisk hormon (SIADH).</w:t>
            </w:r>
          </w:p>
          <w:p w14:paraId="665D5975" w14:textId="77777777" w:rsidR="004873ED" w:rsidRPr="004C0B3B" w:rsidRDefault="004873ED" w:rsidP="00093522">
            <w:pPr>
              <w:pStyle w:val="Titel"/>
              <w:widowControl w:val="0"/>
              <w:jc w:val="left"/>
              <w:rPr>
                <w:b w:val="0"/>
                <w:szCs w:val="24"/>
              </w:rPr>
            </w:pPr>
            <w:r w:rsidRPr="004C0B3B">
              <w:rPr>
                <w:b w:val="0"/>
                <w:szCs w:val="24"/>
              </w:rPr>
              <w:t xml:space="preserve"> </w:t>
            </w:r>
          </w:p>
        </w:tc>
      </w:tr>
      <w:tr w:rsidR="004873ED" w:rsidRPr="004C0B3B" w14:paraId="33DF0714" w14:textId="77777777" w:rsidTr="007653D9">
        <w:trPr>
          <w:trHeight w:val="533"/>
        </w:trPr>
        <w:tc>
          <w:tcPr>
            <w:tcW w:w="4447" w:type="dxa"/>
          </w:tcPr>
          <w:p w14:paraId="2C361409" w14:textId="77777777" w:rsidR="004873ED" w:rsidRPr="004C0B3B" w:rsidRDefault="004873ED" w:rsidP="007653D9">
            <w:pPr>
              <w:widowControl w:val="0"/>
              <w:ind w:left="34"/>
              <w:rPr>
                <w:sz w:val="24"/>
                <w:szCs w:val="24"/>
              </w:rPr>
            </w:pPr>
            <w:r w:rsidRPr="004C0B3B">
              <w:rPr>
                <w:b/>
                <w:sz w:val="24"/>
                <w:szCs w:val="24"/>
              </w:rPr>
              <w:t>Psykiske forstyrrelser</w:t>
            </w:r>
          </w:p>
          <w:p w14:paraId="31AB5AA3" w14:textId="77777777" w:rsidR="004873ED" w:rsidRPr="004C0B3B" w:rsidRDefault="004873ED" w:rsidP="007653D9">
            <w:pPr>
              <w:widowControl w:val="0"/>
              <w:ind w:left="34"/>
              <w:rPr>
                <w:sz w:val="24"/>
                <w:szCs w:val="24"/>
              </w:rPr>
            </w:pPr>
            <w:r w:rsidRPr="004C0B3B">
              <w:rPr>
                <w:sz w:val="24"/>
                <w:szCs w:val="24"/>
              </w:rPr>
              <w:t>Almindelig</w:t>
            </w:r>
          </w:p>
          <w:p w14:paraId="15C0EFFE" w14:textId="77777777" w:rsidR="004873ED" w:rsidRPr="004C0B3B" w:rsidRDefault="004873ED" w:rsidP="007653D9">
            <w:pPr>
              <w:widowControl w:val="0"/>
              <w:ind w:left="34"/>
              <w:rPr>
                <w:sz w:val="24"/>
                <w:szCs w:val="24"/>
              </w:rPr>
            </w:pPr>
          </w:p>
          <w:p w14:paraId="25C38F68" w14:textId="77777777" w:rsidR="004873ED" w:rsidRPr="004C0B3B" w:rsidRDefault="004873ED" w:rsidP="007653D9">
            <w:pPr>
              <w:widowControl w:val="0"/>
              <w:ind w:left="34"/>
              <w:rPr>
                <w:sz w:val="24"/>
                <w:szCs w:val="24"/>
              </w:rPr>
            </w:pPr>
          </w:p>
          <w:p w14:paraId="5A616218" w14:textId="77777777" w:rsidR="004873ED" w:rsidRPr="004C0B3B" w:rsidRDefault="004873ED" w:rsidP="007653D9">
            <w:pPr>
              <w:widowControl w:val="0"/>
              <w:ind w:left="34"/>
              <w:rPr>
                <w:b/>
                <w:sz w:val="24"/>
                <w:szCs w:val="24"/>
              </w:rPr>
            </w:pPr>
            <w:r w:rsidRPr="004C0B3B">
              <w:rPr>
                <w:sz w:val="24"/>
                <w:szCs w:val="24"/>
              </w:rPr>
              <w:t>Sjælden</w:t>
            </w:r>
          </w:p>
        </w:tc>
        <w:tc>
          <w:tcPr>
            <w:tcW w:w="4448" w:type="dxa"/>
          </w:tcPr>
          <w:p w14:paraId="64FD2056" w14:textId="77777777" w:rsidR="004873ED" w:rsidRPr="004C0B3B" w:rsidRDefault="004873ED" w:rsidP="00093522">
            <w:pPr>
              <w:widowControl w:val="0"/>
              <w:rPr>
                <w:sz w:val="24"/>
                <w:szCs w:val="24"/>
              </w:rPr>
            </w:pPr>
          </w:p>
          <w:p w14:paraId="5DCE797A" w14:textId="77777777" w:rsidR="004873ED" w:rsidRPr="004C0B3B" w:rsidRDefault="004873ED" w:rsidP="00093522">
            <w:pPr>
              <w:widowControl w:val="0"/>
              <w:rPr>
                <w:sz w:val="24"/>
                <w:szCs w:val="24"/>
              </w:rPr>
            </w:pPr>
            <w:r w:rsidRPr="004C0B3B">
              <w:rPr>
                <w:sz w:val="24"/>
                <w:szCs w:val="24"/>
              </w:rPr>
              <w:t>Aggression</w:t>
            </w:r>
            <w:r w:rsidRPr="004C0B3B">
              <w:rPr>
                <w:sz w:val="24"/>
                <w:szCs w:val="24"/>
                <w:vertAlign w:val="superscript"/>
              </w:rPr>
              <w:t>#</w:t>
            </w:r>
            <w:r w:rsidRPr="004C0B3B">
              <w:rPr>
                <w:sz w:val="24"/>
                <w:szCs w:val="24"/>
              </w:rPr>
              <w:t>, agitation</w:t>
            </w:r>
            <w:r w:rsidRPr="004C0B3B">
              <w:rPr>
                <w:sz w:val="24"/>
                <w:szCs w:val="24"/>
                <w:vertAlign w:val="superscript"/>
              </w:rPr>
              <w:t>#</w:t>
            </w:r>
            <w:r w:rsidRPr="004C0B3B">
              <w:rPr>
                <w:sz w:val="24"/>
                <w:szCs w:val="24"/>
              </w:rPr>
              <w:t>, opmærksomhedsforstyrrelser</w:t>
            </w:r>
            <w:r w:rsidRPr="004C0B3B">
              <w:rPr>
                <w:sz w:val="24"/>
                <w:szCs w:val="24"/>
                <w:vertAlign w:val="superscript"/>
              </w:rPr>
              <w:t>#</w:t>
            </w:r>
            <w:r w:rsidRPr="004C0B3B">
              <w:rPr>
                <w:sz w:val="24"/>
                <w:szCs w:val="24"/>
              </w:rPr>
              <w:t>.</w:t>
            </w:r>
          </w:p>
          <w:p w14:paraId="55172F49" w14:textId="77777777" w:rsidR="004873ED" w:rsidRPr="004C0B3B" w:rsidRDefault="004873ED" w:rsidP="00093522">
            <w:pPr>
              <w:widowControl w:val="0"/>
              <w:rPr>
                <w:sz w:val="24"/>
                <w:szCs w:val="24"/>
              </w:rPr>
            </w:pPr>
          </w:p>
          <w:p w14:paraId="757DE7EC" w14:textId="77777777" w:rsidR="004873ED" w:rsidRPr="004C0B3B" w:rsidRDefault="004873ED" w:rsidP="00093522">
            <w:pPr>
              <w:widowControl w:val="0"/>
              <w:rPr>
                <w:sz w:val="24"/>
                <w:szCs w:val="24"/>
              </w:rPr>
            </w:pPr>
            <w:r w:rsidRPr="004C0B3B">
              <w:rPr>
                <w:sz w:val="24"/>
                <w:szCs w:val="24"/>
              </w:rPr>
              <w:t>Unormal adfærd</w:t>
            </w:r>
            <w:r w:rsidRPr="004C0B3B">
              <w:rPr>
                <w:sz w:val="24"/>
                <w:szCs w:val="24"/>
                <w:vertAlign w:val="superscript"/>
              </w:rPr>
              <w:t>#</w:t>
            </w:r>
            <w:r w:rsidRPr="004C0B3B">
              <w:rPr>
                <w:sz w:val="24"/>
                <w:szCs w:val="24"/>
              </w:rPr>
              <w:t xml:space="preserve">, </w:t>
            </w:r>
            <w:proofErr w:type="spellStart"/>
            <w:r w:rsidRPr="004C0B3B">
              <w:rPr>
                <w:sz w:val="24"/>
                <w:szCs w:val="24"/>
              </w:rPr>
              <w:t>psykomotorisk</w:t>
            </w:r>
            <w:proofErr w:type="spellEnd"/>
            <w:r w:rsidRPr="004C0B3B">
              <w:rPr>
                <w:sz w:val="24"/>
                <w:szCs w:val="24"/>
              </w:rPr>
              <w:t xml:space="preserve"> hyperaktivitet</w:t>
            </w:r>
            <w:r w:rsidRPr="004C0B3B">
              <w:rPr>
                <w:sz w:val="24"/>
                <w:szCs w:val="24"/>
                <w:vertAlign w:val="superscript"/>
              </w:rPr>
              <w:t>#</w:t>
            </w:r>
            <w:r w:rsidRPr="004C0B3B">
              <w:rPr>
                <w:sz w:val="24"/>
                <w:szCs w:val="24"/>
              </w:rPr>
              <w:t>, indlæringsforstyrrelser</w:t>
            </w:r>
            <w:r w:rsidRPr="004C0B3B">
              <w:rPr>
                <w:sz w:val="24"/>
                <w:szCs w:val="24"/>
                <w:vertAlign w:val="superscript"/>
              </w:rPr>
              <w:t>#</w:t>
            </w:r>
            <w:r w:rsidRPr="004C0B3B">
              <w:rPr>
                <w:sz w:val="24"/>
                <w:szCs w:val="24"/>
              </w:rPr>
              <w:t>.</w:t>
            </w:r>
          </w:p>
          <w:p w14:paraId="7A3731DB" w14:textId="77777777" w:rsidR="004873ED" w:rsidRPr="004C0B3B" w:rsidRDefault="004873ED" w:rsidP="00093522">
            <w:pPr>
              <w:widowControl w:val="0"/>
              <w:rPr>
                <w:sz w:val="24"/>
                <w:szCs w:val="24"/>
              </w:rPr>
            </w:pPr>
          </w:p>
          <w:p w14:paraId="328098C5" w14:textId="77777777" w:rsidR="004873ED" w:rsidRPr="004C0B3B" w:rsidRDefault="004873ED" w:rsidP="00093522">
            <w:pPr>
              <w:widowControl w:val="0"/>
              <w:rPr>
                <w:sz w:val="24"/>
                <w:szCs w:val="24"/>
              </w:rPr>
            </w:pPr>
          </w:p>
          <w:p w14:paraId="0A717AF0" w14:textId="66D96C10" w:rsidR="004873ED" w:rsidRPr="004C0B3B" w:rsidRDefault="004873ED" w:rsidP="00093522">
            <w:pPr>
              <w:widowControl w:val="0"/>
              <w:rPr>
                <w:sz w:val="24"/>
                <w:szCs w:val="24"/>
              </w:rPr>
            </w:pPr>
            <w:r w:rsidRPr="004C0B3B">
              <w:rPr>
                <w:sz w:val="24"/>
                <w:szCs w:val="24"/>
                <w:vertAlign w:val="superscript"/>
              </w:rPr>
              <w:t>#</w:t>
            </w:r>
            <w:r w:rsidRPr="004C0B3B">
              <w:rPr>
                <w:sz w:val="24"/>
                <w:szCs w:val="24"/>
              </w:rPr>
              <w:t xml:space="preserve"> Disse bivirkninger er hovedsag</w:t>
            </w:r>
            <w:r w:rsidR="005C31B1">
              <w:rPr>
                <w:sz w:val="24"/>
                <w:szCs w:val="24"/>
              </w:rPr>
              <w:t>e</w:t>
            </w:r>
            <w:r w:rsidRPr="004C0B3B">
              <w:rPr>
                <w:sz w:val="24"/>
                <w:szCs w:val="24"/>
              </w:rPr>
              <w:t>ligt observeret i den pædiatriske population</w:t>
            </w:r>
          </w:p>
          <w:p w14:paraId="3E85F399" w14:textId="77777777" w:rsidR="00F37984" w:rsidRPr="004C0B3B" w:rsidRDefault="00F37984" w:rsidP="00093522">
            <w:pPr>
              <w:widowControl w:val="0"/>
              <w:rPr>
                <w:sz w:val="24"/>
                <w:szCs w:val="24"/>
              </w:rPr>
            </w:pPr>
          </w:p>
        </w:tc>
      </w:tr>
      <w:tr w:rsidR="004873ED" w:rsidRPr="004C0B3B" w14:paraId="65EB2BE9" w14:textId="77777777" w:rsidTr="007653D9">
        <w:trPr>
          <w:trHeight w:val="533"/>
        </w:trPr>
        <w:tc>
          <w:tcPr>
            <w:tcW w:w="4447" w:type="dxa"/>
          </w:tcPr>
          <w:p w14:paraId="0E1F6395" w14:textId="77777777" w:rsidR="004873ED" w:rsidRPr="004C0B3B" w:rsidRDefault="004873ED" w:rsidP="007653D9">
            <w:pPr>
              <w:pStyle w:val="Titel"/>
              <w:widowControl w:val="0"/>
              <w:ind w:left="34"/>
              <w:jc w:val="left"/>
              <w:rPr>
                <w:szCs w:val="24"/>
              </w:rPr>
            </w:pPr>
            <w:r w:rsidRPr="004C0B3B">
              <w:rPr>
                <w:szCs w:val="24"/>
              </w:rPr>
              <w:t xml:space="preserve">Nervesystemet  </w:t>
            </w:r>
          </w:p>
          <w:p w14:paraId="653C1262" w14:textId="77777777" w:rsidR="004873ED" w:rsidRPr="004C0B3B" w:rsidRDefault="004873ED" w:rsidP="007653D9">
            <w:pPr>
              <w:widowControl w:val="0"/>
              <w:ind w:left="34"/>
              <w:rPr>
                <w:b/>
                <w:sz w:val="24"/>
                <w:szCs w:val="24"/>
              </w:rPr>
            </w:pPr>
            <w:r w:rsidRPr="004C0B3B">
              <w:rPr>
                <w:sz w:val="24"/>
                <w:szCs w:val="24"/>
              </w:rPr>
              <w:t xml:space="preserve">Almindelig </w:t>
            </w:r>
          </w:p>
          <w:p w14:paraId="4C9A2FD7" w14:textId="77777777" w:rsidR="004873ED" w:rsidRPr="004C0B3B" w:rsidRDefault="004873ED" w:rsidP="007653D9">
            <w:pPr>
              <w:widowControl w:val="0"/>
              <w:tabs>
                <w:tab w:val="num" w:pos="709"/>
              </w:tabs>
              <w:ind w:left="34"/>
              <w:rPr>
                <w:i/>
                <w:sz w:val="24"/>
                <w:szCs w:val="24"/>
              </w:rPr>
            </w:pPr>
          </w:p>
          <w:p w14:paraId="522A16B5" w14:textId="77777777" w:rsidR="004873ED" w:rsidRPr="004C0B3B" w:rsidRDefault="004873ED" w:rsidP="007653D9">
            <w:pPr>
              <w:widowControl w:val="0"/>
              <w:tabs>
                <w:tab w:val="num" w:pos="709"/>
              </w:tabs>
              <w:ind w:left="34"/>
              <w:rPr>
                <w:i/>
                <w:sz w:val="24"/>
                <w:szCs w:val="24"/>
              </w:rPr>
            </w:pPr>
          </w:p>
          <w:p w14:paraId="33B60229" w14:textId="77777777" w:rsidR="004873ED" w:rsidRPr="004C0B3B" w:rsidRDefault="004873ED" w:rsidP="007653D9">
            <w:pPr>
              <w:widowControl w:val="0"/>
              <w:tabs>
                <w:tab w:val="num" w:pos="709"/>
              </w:tabs>
              <w:ind w:left="34"/>
              <w:rPr>
                <w:i/>
                <w:sz w:val="24"/>
                <w:szCs w:val="24"/>
              </w:rPr>
            </w:pPr>
          </w:p>
          <w:p w14:paraId="687DA1A7" w14:textId="77777777" w:rsidR="004873ED" w:rsidRPr="004C0B3B" w:rsidRDefault="004873ED" w:rsidP="007653D9">
            <w:pPr>
              <w:widowControl w:val="0"/>
              <w:tabs>
                <w:tab w:val="num" w:pos="709"/>
              </w:tabs>
              <w:ind w:left="34"/>
              <w:rPr>
                <w:i/>
                <w:sz w:val="24"/>
                <w:szCs w:val="24"/>
              </w:rPr>
            </w:pPr>
          </w:p>
          <w:p w14:paraId="36AF7DCD" w14:textId="77777777" w:rsidR="004873ED" w:rsidRPr="004C0B3B" w:rsidRDefault="004873ED" w:rsidP="007653D9">
            <w:pPr>
              <w:widowControl w:val="0"/>
              <w:tabs>
                <w:tab w:val="num" w:pos="709"/>
              </w:tabs>
              <w:ind w:left="34"/>
              <w:rPr>
                <w:i/>
                <w:sz w:val="24"/>
                <w:szCs w:val="24"/>
              </w:rPr>
            </w:pPr>
          </w:p>
          <w:p w14:paraId="0579FE2A" w14:textId="77777777" w:rsidR="004873ED" w:rsidRPr="004C0B3B" w:rsidRDefault="004873ED" w:rsidP="007653D9">
            <w:pPr>
              <w:widowControl w:val="0"/>
              <w:ind w:left="34"/>
              <w:rPr>
                <w:sz w:val="24"/>
                <w:szCs w:val="24"/>
              </w:rPr>
            </w:pPr>
          </w:p>
          <w:p w14:paraId="341838D2" w14:textId="77777777" w:rsidR="004873ED" w:rsidRPr="004C0B3B" w:rsidRDefault="004873ED" w:rsidP="007653D9">
            <w:pPr>
              <w:widowControl w:val="0"/>
              <w:ind w:left="34"/>
              <w:rPr>
                <w:sz w:val="24"/>
                <w:szCs w:val="24"/>
              </w:rPr>
            </w:pPr>
          </w:p>
          <w:p w14:paraId="2048A689" w14:textId="77777777" w:rsidR="004873ED" w:rsidRPr="004C0B3B" w:rsidRDefault="004873ED" w:rsidP="007653D9">
            <w:pPr>
              <w:widowControl w:val="0"/>
              <w:ind w:left="34"/>
              <w:rPr>
                <w:sz w:val="24"/>
                <w:szCs w:val="24"/>
              </w:rPr>
            </w:pPr>
            <w:r w:rsidRPr="004C0B3B">
              <w:rPr>
                <w:sz w:val="24"/>
                <w:szCs w:val="24"/>
              </w:rPr>
              <w:t xml:space="preserve">Ikke almindelig </w:t>
            </w:r>
          </w:p>
          <w:p w14:paraId="1E298BDF" w14:textId="77777777" w:rsidR="004873ED" w:rsidRPr="004C0B3B" w:rsidRDefault="004873ED" w:rsidP="007653D9">
            <w:pPr>
              <w:widowControl w:val="0"/>
              <w:ind w:left="34"/>
              <w:rPr>
                <w:sz w:val="24"/>
                <w:szCs w:val="24"/>
              </w:rPr>
            </w:pPr>
          </w:p>
          <w:p w14:paraId="3AE7A308" w14:textId="77777777" w:rsidR="004873ED" w:rsidRPr="004C0B3B" w:rsidRDefault="004873ED" w:rsidP="007653D9">
            <w:pPr>
              <w:widowControl w:val="0"/>
              <w:ind w:left="34"/>
              <w:rPr>
                <w:sz w:val="24"/>
                <w:szCs w:val="24"/>
              </w:rPr>
            </w:pPr>
            <w:r w:rsidRPr="004C0B3B">
              <w:rPr>
                <w:sz w:val="24"/>
                <w:szCs w:val="24"/>
              </w:rPr>
              <w:t xml:space="preserve">Sjælden </w:t>
            </w:r>
          </w:p>
          <w:p w14:paraId="63664C83" w14:textId="77777777" w:rsidR="004873ED" w:rsidRPr="004C0B3B" w:rsidRDefault="004873ED" w:rsidP="007653D9">
            <w:pPr>
              <w:pStyle w:val="Titel"/>
              <w:widowControl w:val="0"/>
              <w:ind w:left="34"/>
              <w:jc w:val="left"/>
              <w:rPr>
                <w:b w:val="0"/>
                <w:szCs w:val="24"/>
              </w:rPr>
            </w:pPr>
          </w:p>
          <w:p w14:paraId="669218ED" w14:textId="77777777" w:rsidR="004873ED" w:rsidRPr="004C0B3B" w:rsidRDefault="004873ED" w:rsidP="007653D9">
            <w:pPr>
              <w:pStyle w:val="Titel"/>
              <w:widowControl w:val="0"/>
              <w:ind w:left="34"/>
              <w:jc w:val="left"/>
              <w:rPr>
                <w:b w:val="0"/>
                <w:szCs w:val="24"/>
              </w:rPr>
            </w:pPr>
          </w:p>
          <w:p w14:paraId="0DD3260D" w14:textId="77777777" w:rsidR="004873ED" w:rsidRPr="004C0B3B" w:rsidRDefault="004873ED" w:rsidP="007653D9">
            <w:pPr>
              <w:pStyle w:val="Titel"/>
              <w:widowControl w:val="0"/>
              <w:ind w:left="34"/>
              <w:jc w:val="left"/>
              <w:rPr>
                <w:b w:val="0"/>
                <w:szCs w:val="24"/>
              </w:rPr>
            </w:pPr>
          </w:p>
          <w:p w14:paraId="78676E0D" w14:textId="77777777" w:rsidR="004873ED" w:rsidRPr="004C0B3B" w:rsidRDefault="004873ED" w:rsidP="007653D9">
            <w:pPr>
              <w:widowControl w:val="0"/>
              <w:ind w:left="34"/>
              <w:rPr>
                <w:sz w:val="24"/>
                <w:szCs w:val="24"/>
              </w:rPr>
            </w:pPr>
          </w:p>
          <w:p w14:paraId="32F5E4CE" w14:textId="77777777" w:rsidR="004873ED" w:rsidRPr="004C0B3B" w:rsidRDefault="004873ED" w:rsidP="007653D9">
            <w:pPr>
              <w:widowControl w:val="0"/>
              <w:ind w:left="34"/>
              <w:rPr>
                <w:sz w:val="24"/>
                <w:szCs w:val="24"/>
              </w:rPr>
            </w:pPr>
          </w:p>
          <w:p w14:paraId="1E5784E3" w14:textId="77777777" w:rsidR="004873ED" w:rsidRPr="004C0B3B" w:rsidRDefault="004873ED" w:rsidP="007653D9">
            <w:pPr>
              <w:widowControl w:val="0"/>
              <w:ind w:left="34"/>
              <w:rPr>
                <w:sz w:val="24"/>
                <w:szCs w:val="24"/>
              </w:rPr>
            </w:pPr>
          </w:p>
          <w:p w14:paraId="1E91A7F9" w14:textId="77777777" w:rsidR="004873ED" w:rsidRPr="004C0B3B" w:rsidRDefault="004873ED" w:rsidP="007653D9">
            <w:pPr>
              <w:widowControl w:val="0"/>
              <w:ind w:left="34"/>
              <w:rPr>
                <w:sz w:val="24"/>
                <w:szCs w:val="24"/>
              </w:rPr>
            </w:pPr>
          </w:p>
          <w:p w14:paraId="54E5B513" w14:textId="77777777" w:rsidR="004873ED" w:rsidRPr="004C0B3B" w:rsidRDefault="004873ED" w:rsidP="007653D9">
            <w:pPr>
              <w:widowControl w:val="0"/>
              <w:ind w:left="34"/>
              <w:rPr>
                <w:sz w:val="24"/>
                <w:szCs w:val="24"/>
              </w:rPr>
            </w:pPr>
          </w:p>
          <w:p w14:paraId="0B608DE5" w14:textId="77777777" w:rsidR="004873ED" w:rsidRPr="004C0B3B" w:rsidRDefault="004873ED" w:rsidP="007653D9">
            <w:pPr>
              <w:widowControl w:val="0"/>
              <w:ind w:left="34"/>
              <w:rPr>
                <w:sz w:val="24"/>
                <w:szCs w:val="24"/>
              </w:rPr>
            </w:pPr>
            <w:r w:rsidRPr="004C0B3B">
              <w:rPr>
                <w:sz w:val="24"/>
                <w:szCs w:val="24"/>
              </w:rPr>
              <w:t xml:space="preserve">Meget sjælden </w:t>
            </w:r>
          </w:p>
          <w:p w14:paraId="12304490" w14:textId="77777777" w:rsidR="004873ED" w:rsidRPr="004C0B3B" w:rsidRDefault="004873ED" w:rsidP="007653D9">
            <w:pPr>
              <w:widowControl w:val="0"/>
              <w:ind w:left="34"/>
              <w:rPr>
                <w:sz w:val="24"/>
                <w:szCs w:val="24"/>
              </w:rPr>
            </w:pPr>
          </w:p>
          <w:p w14:paraId="60C30EE5" w14:textId="77777777" w:rsidR="004873ED" w:rsidRPr="004C0B3B" w:rsidRDefault="004873ED" w:rsidP="007653D9">
            <w:pPr>
              <w:widowControl w:val="0"/>
              <w:ind w:left="34"/>
              <w:rPr>
                <w:sz w:val="24"/>
                <w:szCs w:val="24"/>
              </w:rPr>
            </w:pPr>
          </w:p>
          <w:p w14:paraId="361F4514" w14:textId="77777777" w:rsidR="004873ED" w:rsidRPr="004C0B3B" w:rsidRDefault="004873ED" w:rsidP="007653D9">
            <w:pPr>
              <w:widowControl w:val="0"/>
              <w:ind w:left="34"/>
              <w:rPr>
                <w:sz w:val="24"/>
                <w:szCs w:val="24"/>
              </w:rPr>
            </w:pPr>
          </w:p>
          <w:p w14:paraId="68A9DA98" w14:textId="77777777" w:rsidR="004873ED" w:rsidRPr="004C0B3B" w:rsidRDefault="004873ED" w:rsidP="007653D9">
            <w:pPr>
              <w:widowControl w:val="0"/>
              <w:ind w:left="34"/>
              <w:rPr>
                <w:sz w:val="24"/>
                <w:szCs w:val="24"/>
              </w:rPr>
            </w:pPr>
          </w:p>
          <w:p w14:paraId="5733DA40" w14:textId="77777777" w:rsidR="00291DB8" w:rsidRPr="004C0B3B" w:rsidRDefault="00291DB8" w:rsidP="007653D9">
            <w:pPr>
              <w:widowControl w:val="0"/>
              <w:ind w:left="34"/>
              <w:rPr>
                <w:sz w:val="24"/>
                <w:szCs w:val="24"/>
              </w:rPr>
            </w:pPr>
          </w:p>
          <w:p w14:paraId="7B48ABB4" w14:textId="77777777" w:rsidR="004873ED" w:rsidRPr="004C0B3B" w:rsidRDefault="004873ED" w:rsidP="007653D9">
            <w:pPr>
              <w:widowControl w:val="0"/>
              <w:ind w:left="34"/>
              <w:rPr>
                <w:sz w:val="24"/>
                <w:szCs w:val="24"/>
              </w:rPr>
            </w:pPr>
          </w:p>
          <w:p w14:paraId="2DF00C28" w14:textId="77777777" w:rsidR="004873ED" w:rsidRPr="004C0B3B" w:rsidRDefault="004873ED" w:rsidP="007653D9">
            <w:pPr>
              <w:widowControl w:val="0"/>
              <w:ind w:left="34"/>
              <w:rPr>
                <w:sz w:val="24"/>
                <w:szCs w:val="24"/>
              </w:rPr>
            </w:pPr>
            <w:r w:rsidRPr="004C0B3B">
              <w:rPr>
                <w:sz w:val="24"/>
                <w:szCs w:val="24"/>
              </w:rPr>
              <w:t xml:space="preserve">Ikke kendt </w:t>
            </w:r>
          </w:p>
          <w:p w14:paraId="6D0F266E" w14:textId="77777777" w:rsidR="004873ED" w:rsidRPr="004C0B3B" w:rsidRDefault="004873ED" w:rsidP="007653D9">
            <w:pPr>
              <w:pStyle w:val="Titel"/>
              <w:widowControl w:val="0"/>
              <w:ind w:left="34"/>
              <w:jc w:val="left"/>
              <w:rPr>
                <w:b w:val="0"/>
                <w:szCs w:val="24"/>
              </w:rPr>
            </w:pPr>
          </w:p>
        </w:tc>
        <w:tc>
          <w:tcPr>
            <w:tcW w:w="4448" w:type="dxa"/>
          </w:tcPr>
          <w:p w14:paraId="79424A3C" w14:textId="77777777" w:rsidR="004873ED" w:rsidRPr="004C0B3B" w:rsidRDefault="004873ED" w:rsidP="00093522">
            <w:pPr>
              <w:widowControl w:val="0"/>
              <w:tabs>
                <w:tab w:val="num" w:pos="709"/>
              </w:tabs>
              <w:rPr>
                <w:sz w:val="24"/>
                <w:szCs w:val="24"/>
              </w:rPr>
            </w:pPr>
          </w:p>
          <w:p w14:paraId="7F26DECC" w14:textId="77777777" w:rsidR="004873ED" w:rsidRPr="004C0B3B" w:rsidRDefault="004873ED" w:rsidP="00093522">
            <w:pPr>
              <w:widowControl w:val="0"/>
              <w:tabs>
                <w:tab w:val="num" w:pos="709"/>
              </w:tabs>
              <w:rPr>
                <w:sz w:val="24"/>
                <w:szCs w:val="24"/>
              </w:rPr>
            </w:pPr>
            <w:r w:rsidRPr="004C0B3B">
              <w:rPr>
                <w:sz w:val="24"/>
                <w:szCs w:val="24"/>
              </w:rPr>
              <w:t xml:space="preserve">Rystende hænder, </w:t>
            </w:r>
            <w:proofErr w:type="spellStart"/>
            <w:r w:rsidRPr="004C0B3B">
              <w:rPr>
                <w:sz w:val="24"/>
                <w:szCs w:val="24"/>
              </w:rPr>
              <w:t>paræstesier</w:t>
            </w:r>
            <w:proofErr w:type="spellEnd"/>
            <w:r w:rsidRPr="004C0B3B">
              <w:rPr>
                <w:sz w:val="24"/>
                <w:szCs w:val="24"/>
              </w:rPr>
              <w:t xml:space="preserve">, hovedpine, hukommelsessvækkelse, nystagmus, svimmelhed. Forbigående og/eller dosisrelateret fin </w:t>
            </w:r>
            <w:proofErr w:type="spellStart"/>
            <w:r w:rsidRPr="004C0B3B">
              <w:rPr>
                <w:sz w:val="24"/>
                <w:szCs w:val="24"/>
              </w:rPr>
              <w:t>postural</w:t>
            </w:r>
            <w:proofErr w:type="spellEnd"/>
            <w:r w:rsidRPr="004C0B3B">
              <w:rPr>
                <w:sz w:val="24"/>
                <w:szCs w:val="24"/>
              </w:rPr>
              <w:t xml:space="preserve"> </w:t>
            </w:r>
            <w:proofErr w:type="spellStart"/>
            <w:r w:rsidRPr="004C0B3B">
              <w:rPr>
                <w:sz w:val="24"/>
                <w:szCs w:val="24"/>
              </w:rPr>
              <w:t>tremor</w:t>
            </w:r>
            <w:proofErr w:type="spellEnd"/>
            <w:r w:rsidRPr="004C0B3B">
              <w:rPr>
                <w:sz w:val="24"/>
                <w:szCs w:val="24"/>
              </w:rPr>
              <w:t>, døsighed.</w:t>
            </w:r>
          </w:p>
          <w:p w14:paraId="113E33D2" w14:textId="77777777" w:rsidR="004873ED" w:rsidRPr="004C0B3B" w:rsidRDefault="004873ED" w:rsidP="00093522">
            <w:pPr>
              <w:widowControl w:val="0"/>
              <w:rPr>
                <w:sz w:val="24"/>
                <w:szCs w:val="24"/>
              </w:rPr>
            </w:pPr>
            <w:r w:rsidRPr="004C0B3B">
              <w:rPr>
                <w:sz w:val="24"/>
                <w:szCs w:val="24"/>
              </w:rPr>
              <w:t xml:space="preserve">Der er observeret træthed og døsighed, apati og </w:t>
            </w:r>
            <w:proofErr w:type="spellStart"/>
            <w:r w:rsidRPr="004C0B3B">
              <w:rPr>
                <w:sz w:val="24"/>
                <w:szCs w:val="24"/>
              </w:rPr>
              <w:t>ataksi</w:t>
            </w:r>
            <w:proofErr w:type="spellEnd"/>
            <w:r w:rsidRPr="004C0B3B">
              <w:rPr>
                <w:sz w:val="24"/>
                <w:szCs w:val="24"/>
              </w:rPr>
              <w:t xml:space="preserve"> i forbindelse med kombi</w:t>
            </w:r>
            <w:r w:rsidRPr="004C0B3B">
              <w:rPr>
                <w:sz w:val="24"/>
                <w:szCs w:val="24"/>
              </w:rPr>
              <w:softHyphen/>
              <w:t>na</w:t>
            </w:r>
            <w:r w:rsidRPr="004C0B3B">
              <w:rPr>
                <w:sz w:val="24"/>
                <w:szCs w:val="24"/>
              </w:rPr>
              <w:softHyphen/>
              <w:t>tions</w:t>
            </w:r>
            <w:r w:rsidRPr="004C0B3B">
              <w:rPr>
                <w:sz w:val="24"/>
                <w:szCs w:val="24"/>
              </w:rPr>
              <w:softHyphen/>
              <w:t xml:space="preserve">behandling med andre </w:t>
            </w:r>
            <w:proofErr w:type="spellStart"/>
            <w:r w:rsidRPr="004C0B3B">
              <w:rPr>
                <w:sz w:val="24"/>
                <w:szCs w:val="24"/>
              </w:rPr>
              <w:t>anti</w:t>
            </w:r>
            <w:r w:rsidRPr="004C0B3B">
              <w:rPr>
                <w:sz w:val="24"/>
                <w:szCs w:val="24"/>
              </w:rPr>
              <w:softHyphen/>
              <w:t>epileptika</w:t>
            </w:r>
            <w:proofErr w:type="spellEnd"/>
            <w:r w:rsidRPr="004C0B3B">
              <w:rPr>
                <w:sz w:val="24"/>
                <w:szCs w:val="24"/>
              </w:rPr>
              <w:t xml:space="preserve">. </w:t>
            </w:r>
          </w:p>
          <w:p w14:paraId="1A56AE92" w14:textId="77777777" w:rsidR="004873ED" w:rsidRPr="004C0B3B" w:rsidRDefault="004873ED" w:rsidP="00093522">
            <w:pPr>
              <w:widowControl w:val="0"/>
              <w:tabs>
                <w:tab w:val="num" w:pos="709"/>
              </w:tabs>
              <w:rPr>
                <w:sz w:val="24"/>
                <w:szCs w:val="24"/>
              </w:rPr>
            </w:pPr>
          </w:p>
          <w:p w14:paraId="0A73E21F" w14:textId="77777777" w:rsidR="004873ED" w:rsidRPr="004C0B3B" w:rsidRDefault="004873ED" w:rsidP="00093522">
            <w:pPr>
              <w:widowControl w:val="0"/>
              <w:tabs>
                <w:tab w:val="num" w:pos="709"/>
              </w:tabs>
              <w:rPr>
                <w:sz w:val="24"/>
                <w:szCs w:val="24"/>
              </w:rPr>
            </w:pPr>
            <w:r w:rsidRPr="004C0B3B">
              <w:rPr>
                <w:sz w:val="24"/>
                <w:szCs w:val="24"/>
              </w:rPr>
              <w:t xml:space="preserve">Hyperaktivitet, irritation. </w:t>
            </w:r>
          </w:p>
          <w:p w14:paraId="1AB672E4" w14:textId="77777777" w:rsidR="004873ED" w:rsidRPr="004C0B3B" w:rsidRDefault="004873ED" w:rsidP="00093522">
            <w:pPr>
              <w:widowControl w:val="0"/>
              <w:tabs>
                <w:tab w:val="num" w:pos="709"/>
              </w:tabs>
              <w:rPr>
                <w:sz w:val="24"/>
                <w:szCs w:val="24"/>
              </w:rPr>
            </w:pPr>
          </w:p>
          <w:p w14:paraId="64624E12" w14:textId="77777777" w:rsidR="004873ED" w:rsidRPr="004C0B3B" w:rsidRDefault="004873ED" w:rsidP="00093522">
            <w:pPr>
              <w:widowControl w:val="0"/>
              <w:tabs>
                <w:tab w:val="num" w:pos="709"/>
              </w:tabs>
              <w:rPr>
                <w:i/>
                <w:sz w:val="24"/>
                <w:szCs w:val="24"/>
              </w:rPr>
            </w:pPr>
            <w:r w:rsidRPr="004C0B3B">
              <w:rPr>
                <w:sz w:val="24"/>
                <w:szCs w:val="24"/>
              </w:rPr>
              <w:t xml:space="preserve">Konfusion, kognitiv dysfunktion, tilfælde af </w:t>
            </w:r>
            <w:proofErr w:type="spellStart"/>
            <w:r w:rsidRPr="004C0B3B">
              <w:rPr>
                <w:sz w:val="24"/>
                <w:szCs w:val="24"/>
              </w:rPr>
              <w:t>stupor</w:t>
            </w:r>
            <w:proofErr w:type="spellEnd"/>
            <w:r w:rsidRPr="004C0B3B">
              <w:rPr>
                <w:sz w:val="24"/>
                <w:szCs w:val="24"/>
              </w:rPr>
              <w:t xml:space="preserve"> eller letargi, der kan udvikle sig til midlertidig koma (encefalopati)*, </w:t>
            </w:r>
            <w:proofErr w:type="spellStart"/>
            <w:r w:rsidRPr="004C0B3B">
              <w:rPr>
                <w:sz w:val="24"/>
                <w:szCs w:val="24"/>
              </w:rPr>
              <w:t>diplopi</w:t>
            </w:r>
            <w:proofErr w:type="spellEnd"/>
            <w:r w:rsidRPr="004C0B3B">
              <w:rPr>
                <w:sz w:val="24"/>
                <w:szCs w:val="24"/>
              </w:rPr>
              <w:t>.</w:t>
            </w:r>
          </w:p>
          <w:p w14:paraId="2A5A000D" w14:textId="105E1A99" w:rsidR="004C0B3B" w:rsidRPr="004C0B3B" w:rsidRDefault="004873ED" w:rsidP="004C0B3B">
            <w:pPr>
              <w:widowControl w:val="0"/>
              <w:rPr>
                <w:sz w:val="24"/>
                <w:szCs w:val="24"/>
              </w:rPr>
            </w:pPr>
            <w:r w:rsidRPr="004C0B3B">
              <w:rPr>
                <w:sz w:val="24"/>
                <w:szCs w:val="24"/>
              </w:rPr>
              <w:t xml:space="preserve">Der er også rapporteret om </w:t>
            </w:r>
            <w:proofErr w:type="spellStart"/>
            <w:r w:rsidRPr="004C0B3B">
              <w:rPr>
                <w:sz w:val="24"/>
                <w:szCs w:val="24"/>
              </w:rPr>
              <w:t>hyperammoniæmi</w:t>
            </w:r>
            <w:proofErr w:type="spellEnd"/>
            <w:r w:rsidRPr="004C0B3B">
              <w:rPr>
                <w:sz w:val="24"/>
                <w:szCs w:val="24"/>
              </w:rPr>
              <w:t xml:space="preserve"> i forbindelse med neurologiske symptomer. I sådanne tilfælde skal det overvejes at udføre yderligere </w:t>
            </w:r>
            <w:r w:rsidR="004C0B3B" w:rsidRPr="004C0B3B">
              <w:rPr>
                <w:sz w:val="24"/>
                <w:szCs w:val="24"/>
              </w:rPr>
              <w:t xml:space="preserve">undersøgelser (se pkt. 4.3 Urinstofcyklusdefekter og risiko for </w:t>
            </w:r>
            <w:proofErr w:type="spellStart"/>
            <w:r w:rsidR="004C0B3B" w:rsidRPr="004C0B3B">
              <w:rPr>
                <w:sz w:val="24"/>
                <w:szCs w:val="24"/>
              </w:rPr>
              <w:t>hyperammoniæmi</w:t>
            </w:r>
            <w:proofErr w:type="spellEnd"/>
            <w:r w:rsidR="004C0B3B" w:rsidRPr="004C0B3B">
              <w:rPr>
                <w:sz w:val="24"/>
                <w:szCs w:val="24"/>
              </w:rPr>
              <w:t xml:space="preserve"> og pkt. 4.4 Patienter med risiko for </w:t>
            </w:r>
            <w:proofErr w:type="spellStart"/>
            <w:r w:rsidR="004C0B3B" w:rsidRPr="004C0B3B">
              <w:rPr>
                <w:sz w:val="24"/>
                <w:szCs w:val="24"/>
              </w:rPr>
              <w:t>hypokarnitinæmi</w:t>
            </w:r>
            <w:proofErr w:type="spellEnd"/>
            <w:r w:rsidR="004C0B3B" w:rsidRPr="004C0B3B">
              <w:rPr>
                <w:sz w:val="24"/>
                <w:szCs w:val="24"/>
              </w:rPr>
              <w:t>).</w:t>
            </w:r>
          </w:p>
          <w:p w14:paraId="59C0C1B2" w14:textId="77777777" w:rsidR="004873ED" w:rsidRPr="004C0B3B" w:rsidRDefault="004873ED" w:rsidP="00093522">
            <w:pPr>
              <w:widowControl w:val="0"/>
              <w:tabs>
                <w:tab w:val="num" w:pos="709"/>
              </w:tabs>
              <w:ind w:left="851"/>
              <w:rPr>
                <w:sz w:val="24"/>
                <w:szCs w:val="24"/>
              </w:rPr>
            </w:pPr>
          </w:p>
          <w:p w14:paraId="52D3B4BC" w14:textId="77777777" w:rsidR="004873ED" w:rsidRPr="004C0B3B" w:rsidRDefault="004873ED" w:rsidP="00093522">
            <w:pPr>
              <w:widowControl w:val="0"/>
              <w:tabs>
                <w:tab w:val="num" w:pos="709"/>
              </w:tabs>
              <w:rPr>
                <w:sz w:val="24"/>
                <w:szCs w:val="24"/>
              </w:rPr>
            </w:pPr>
            <w:r w:rsidRPr="004C0B3B">
              <w:rPr>
                <w:sz w:val="24"/>
                <w:szCs w:val="24"/>
              </w:rPr>
              <w:t>Hallucinationer.</w:t>
            </w:r>
          </w:p>
          <w:p w14:paraId="1EC97FCB" w14:textId="77777777" w:rsidR="004873ED" w:rsidRPr="004C0B3B" w:rsidRDefault="004873ED" w:rsidP="00093522">
            <w:pPr>
              <w:widowControl w:val="0"/>
              <w:rPr>
                <w:sz w:val="24"/>
                <w:szCs w:val="24"/>
              </w:rPr>
            </w:pPr>
            <w:r w:rsidRPr="004C0B3B">
              <w:rPr>
                <w:sz w:val="24"/>
                <w:szCs w:val="24"/>
              </w:rPr>
              <w:t xml:space="preserve">Reversibel demens i forbindelse med reversibel cerebral atrofi. </w:t>
            </w:r>
          </w:p>
          <w:p w14:paraId="33384D03" w14:textId="77777777" w:rsidR="004873ED" w:rsidRPr="004C0B3B" w:rsidRDefault="004873ED" w:rsidP="00093522">
            <w:pPr>
              <w:widowControl w:val="0"/>
              <w:rPr>
                <w:sz w:val="24"/>
                <w:szCs w:val="24"/>
              </w:rPr>
            </w:pPr>
            <w:r w:rsidRPr="004C0B3B">
              <w:rPr>
                <w:sz w:val="24"/>
                <w:szCs w:val="24"/>
              </w:rPr>
              <w:t>Der er rapporteret om isolerede tilfælde af ekstrapyramidale forstyrrelser, f.eks. reversibel parkinsonisme.</w:t>
            </w:r>
          </w:p>
          <w:p w14:paraId="11EF43C2" w14:textId="77777777" w:rsidR="004873ED" w:rsidRPr="004C0B3B" w:rsidRDefault="004873ED" w:rsidP="00093522">
            <w:pPr>
              <w:pStyle w:val="Titel"/>
              <w:widowControl w:val="0"/>
              <w:jc w:val="left"/>
              <w:rPr>
                <w:b w:val="0"/>
                <w:szCs w:val="24"/>
              </w:rPr>
            </w:pPr>
          </w:p>
          <w:p w14:paraId="230730E3" w14:textId="77777777" w:rsidR="004873ED" w:rsidRPr="004C0B3B" w:rsidRDefault="004873ED" w:rsidP="00093522">
            <w:pPr>
              <w:pStyle w:val="Titel"/>
              <w:widowControl w:val="0"/>
              <w:jc w:val="left"/>
              <w:rPr>
                <w:b w:val="0"/>
                <w:szCs w:val="24"/>
              </w:rPr>
            </w:pPr>
            <w:proofErr w:type="spellStart"/>
            <w:r w:rsidRPr="004C0B3B">
              <w:rPr>
                <w:b w:val="0"/>
                <w:szCs w:val="24"/>
              </w:rPr>
              <w:t>Anfaldsforværring</w:t>
            </w:r>
            <w:proofErr w:type="spellEnd"/>
            <w:r w:rsidRPr="004C0B3B">
              <w:rPr>
                <w:b w:val="0"/>
                <w:szCs w:val="24"/>
              </w:rPr>
              <w:t>, sedation</w:t>
            </w:r>
          </w:p>
        </w:tc>
      </w:tr>
      <w:tr w:rsidR="004873ED" w:rsidRPr="004C0B3B" w14:paraId="7508D70D" w14:textId="77777777" w:rsidTr="007653D9">
        <w:trPr>
          <w:trHeight w:val="533"/>
        </w:trPr>
        <w:tc>
          <w:tcPr>
            <w:tcW w:w="4447" w:type="dxa"/>
          </w:tcPr>
          <w:p w14:paraId="0A00735F" w14:textId="77777777" w:rsidR="004873ED" w:rsidRPr="004C0B3B" w:rsidRDefault="004873ED" w:rsidP="007653D9">
            <w:pPr>
              <w:pStyle w:val="Titel"/>
              <w:keepNext/>
              <w:widowControl w:val="0"/>
              <w:ind w:left="34"/>
              <w:jc w:val="left"/>
              <w:rPr>
                <w:szCs w:val="24"/>
              </w:rPr>
            </w:pPr>
            <w:r w:rsidRPr="004C0B3B">
              <w:rPr>
                <w:szCs w:val="24"/>
              </w:rPr>
              <w:t xml:space="preserve">Øre og labyrint </w:t>
            </w:r>
          </w:p>
          <w:p w14:paraId="4E56C24D" w14:textId="77777777" w:rsidR="004873ED" w:rsidRPr="004C0B3B" w:rsidRDefault="004873ED" w:rsidP="007653D9">
            <w:pPr>
              <w:keepNext/>
              <w:widowControl w:val="0"/>
              <w:ind w:left="34"/>
              <w:rPr>
                <w:sz w:val="24"/>
                <w:szCs w:val="24"/>
              </w:rPr>
            </w:pPr>
            <w:r w:rsidRPr="004C0B3B">
              <w:rPr>
                <w:sz w:val="24"/>
                <w:szCs w:val="24"/>
              </w:rPr>
              <w:t>Sjælden</w:t>
            </w:r>
          </w:p>
          <w:p w14:paraId="7168E60D" w14:textId="77777777" w:rsidR="004873ED" w:rsidRPr="004C0B3B" w:rsidRDefault="004873ED" w:rsidP="007653D9">
            <w:pPr>
              <w:keepNext/>
              <w:widowControl w:val="0"/>
              <w:tabs>
                <w:tab w:val="num" w:pos="709"/>
              </w:tabs>
              <w:ind w:left="34"/>
              <w:rPr>
                <w:i/>
                <w:sz w:val="24"/>
                <w:szCs w:val="24"/>
              </w:rPr>
            </w:pPr>
          </w:p>
          <w:p w14:paraId="604E7802" w14:textId="77777777" w:rsidR="004873ED" w:rsidRPr="004C0B3B" w:rsidRDefault="004873ED" w:rsidP="007653D9">
            <w:pPr>
              <w:pStyle w:val="Titel"/>
              <w:keepNext/>
              <w:widowControl w:val="0"/>
              <w:ind w:left="34"/>
              <w:jc w:val="left"/>
              <w:rPr>
                <w:b w:val="0"/>
                <w:szCs w:val="24"/>
              </w:rPr>
            </w:pPr>
          </w:p>
          <w:p w14:paraId="3D5EC529" w14:textId="77777777" w:rsidR="00291DB8" w:rsidRPr="004C0B3B" w:rsidRDefault="00291DB8" w:rsidP="007653D9">
            <w:pPr>
              <w:pStyle w:val="Titel"/>
              <w:keepNext/>
              <w:widowControl w:val="0"/>
              <w:ind w:left="34"/>
              <w:jc w:val="left"/>
              <w:rPr>
                <w:b w:val="0"/>
                <w:szCs w:val="24"/>
              </w:rPr>
            </w:pPr>
          </w:p>
          <w:p w14:paraId="77BE86F7" w14:textId="77777777" w:rsidR="004873ED" w:rsidRPr="004C0B3B" w:rsidRDefault="004873ED" w:rsidP="007653D9">
            <w:pPr>
              <w:pStyle w:val="Titel"/>
              <w:keepNext/>
              <w:widowControl w:val="0"/>
              <w:ind w:left="34"/>
              <w:jc w:val="left"/>
              <w:rPr>
                <w:b w:val="0"/>
                <w:szCs w:val="24"/>
              </w:rPr>
            </w:pPr>
            <w:r w:rsidRPr="004C0B3B">
              <w:rPr>
                <w:b w:val="0"/>
                <w:szCs w:val="24"/>
              </w:rPr>
              <w:t xml:space="preserve">Meget sjælden </w:t>
            </w:r>
          </w:p>
        </w:tc>
        <w:tc>
          <w:tcPr>
            <w:tcW w:w="4448" w:type="dxa"/>
          </w:tcPr>
          <w:p w14:paraId="634CA019" w14:textId="77777777" w:rsidR="004873ED" w:rsidRPr="004C0B3B" w:rsidRDefault="004873ED" w:rsidP="00763B99">
            <w:pPr>
              <w:keepNext/>
              <w:widowControl w:val="0"/>
              <w:tabs>
                <w:tab w:val="num" w:pos="709"/>
              </w:tabs>
              <w:ind w:left="851"/>
              <w:rPr>
                <w:sz w:val="24"/>
                <w:szCs w:val="24"/>
              </w:rPr>
            </w:pPr>
          </w:p>
          <w:p w14:paraId="0DA6CE5B" w14:textId="77777777" w:rsidR="004873ED" w:rsidRPr="004C0B3B" w:rsidRDefault="004873ED" w:rsidP="00763B99">
            <w:pPr>
              <w:keepNext/>
              <w:widowControl w:val="0"/>
              <w:tabs>
                <w:tab w:val="num" w:pos="-19"/>
              </w:tabs>
              <w:ind w:left="-19"/>
              <w:rPr>
                <w:i/>
                <w:sz w:val="24"/>
                <w:szCs w:val="24"/>
              </w:rPr>
            </w:pPr>
            <w:r w:rsidRPr="004C0B3B">
              <w:rPr>
                <w:sz w:val="24"/>
                <w:szCs w:val="24"/>
              </w:rPr>
              <w:t>Tab af hørelsen (reversibelt eller irreversibelt, en årsagssammenhæng er ikke fast</w:t>
            </w:r>
            <w:r w:rsidRPr="004C0B3B">
              <w:rPr>
                <w:sz w:val="24"/>
                <w:szCs w:val="24"/>
              </w:rPr>
              <w:softHyphen/>
              <w:t>slået).</w:t>
            </w:r>
            <w:r w:rsidRPr="004C0B3B">
              <w:rPr>
                <w:i/>
                <w:sz w:val="24"/>
                <w:szCs w:val="24"/>
              </w:rPr>
              <w:t xml:space="preserve"> </w:t>
            </w:r>
          </w:p>
          <w:p w14:paraId="5347226B" w14:textId="77777777" w:rsidR="004873ED" w:rsidRPr="004C0B3B" w:rsidRDefault="004873ED" w:rsidP="00763B99">
            <w:pPr>
              <w:keepNext/>
              <w:widowControl w:val="0"/>
              <w:tabs>
                <w:tab w:val="num" w:pos="-19"/>
              </w:tabs>
              <w:ind w:left="-19"/>
              <w:rPr>
                <w:i/>
                <w:sz w:val="24"/>
                <w:szCs w:val="24"/>
              </w:rPr>
            </w:pPr>
          </w:p>
          <w:p w14:paraId="6B0046E6" w14:textId="77777777" w:rsidR="004873ED" w:rsidRPr="004C0B3B" w:rsidRDefault="004873ED" w:rsidP="00763B99">
            <w:pPr>
              <w:pStyle w:val="Titel"/>
              <w:keepNext/>
              <w:widowControl w:val="0"/>
              <w:jc w:val="left"/>
              <w:rPr>
                <w:b w:val="0"/>
                <w:szCs w:val="24"/>
              </w:rPr>
            </w:pPr>
            <w:r w:rsidRPr="004C0B3B">
              <w:rPr>
                <w:b w:val="0"/>
                <w:szCs w:val="24"/>
              </w:rPr>
              <w:t>Tinnitus.</w:t>
            </w:r>
          </w:p>
          <w:p w14:paraId="04ACD234" w14:textId="77777777" w:rsidR="004873ED" w:rsidRPr="004C0B3B" w:rsidRDefault="004873ED" w:rsidP="00763B99">
            <w:pPr>
              <w:pStyle w:val="Titel"/>
              <w:keepNext/>
              <w:widowControl w:val="0"/>
              <w:jc w:val="left"/>
              <w:rPr>
                <w:b w:val="0"/>
                <w:szCs w:val="24"/>
              </w:rPr>
            </w:pPr>
            <w:r w:rsidRPr="004C0B3B">
              <w:rPr>
                <w:b w:val="0"/>
                <w:szCs w:val="24"/>
              </w:rPr>
              <w:t xml:space="preserve"> </w:t>
            </w:r>
          </w:p>
        </w:tc>
      </w:tr>
      <w:tr w:rsidR="004873ED" w:rsidRPr="004C0B3B" w14:paraId="7DED92DB" w14:textId="77777777" w:rsidTr="007653D9">
        <w:trPr>
          <w:trHeight w:val="533"/>
        </w:trPr>
        <w:tc>
          <w:tcPr>
            <w:tcW w:w="4447" w:type="dxa"/>
          </w:tcPr>
          <w:p w14:paraId="6F2EF678" w14:textId="77777777" w:rsidR="004873ED" w:rsidRPr="004C0B3B" w:rsidRDefault="004873ED" w:rsidP="007653D9">
            <w:pPr>
              <w:pStyle w:val="Titel"/>
              <w:widowControl w:val="0"/>
              <w:ind w:left="34"/>
              <w:jc w:val="left"/>
              <w:rPr>
                <w:szCs w:val="24"/>
              </w:rPr>
            </w:pPr>
            <w:r w:rsidRPr="004C0B3B">
              <w:rPr>
                <w:szCs w:val="24"/>
              </w:rPr>
              <w:t xml:space="preserve">Mave-tarm-kanalen </w:t>
            </w:r>
          </w:p>
          <w:p w14:paraId="77B25765" w14:textId="77777777" w:rsidR="004873ED" w:rsidRPr="004C0B3B" w:rsidRDefault="004873ED" w:rsidP="007653D9">
            <w:pPr>
              <w:widowControl w:val="0"/>
              <w:ind w:left="34"/>
              <w:rPr>
                <w:sz w:val="24"/>
                <w:szCs w:val="24"/>
              </w:rPr>
            </w:pPr>
            <w:r w:rsidRPr="004C0B3B">
              <w:rPr>
                <w:sz w:val="24"/>
                <w:szCs w:val="24"/>
              </w:rPr>
              <w:t>Meget almindelig</w:t>
            </w:r>
          </w:p>
          <w:p w14:paraId="0FCFBCFF" w14:textId="77777777" w:rsidR="004873ED" w:rsidRPr="004C0B3B" w:rsidRDefault="004873ED" w:rsidP="007653D9">
            <w:pPr>
              <w:widowControl w:val="0"/>
              <w:ind w:left="34"/>
              <w:rPr>
                <w:sz w:val="24"/>
                <w:szCs w:val="24"/>
              </w:rPr>
            </w:pPr>
          </w:p>
          <w:p w14:paraId="2F924D7E" w14:textId="77777777" w:rsidR="004873ED" w:rsidRPr="004C0B3B" w:rsidRDefault="004873ED" w:rsidP="007653D9">
            <w:pPr>
              <w:widowControl w:val="0"/>
              <w:ind w:left="34"/>
              <w:rPr>
                <w:sz w:val="24"/>
                <w:szCs w:val="24"/>
              </w:rPr>
            </w:pPr>
            <w:r w:rsidRPr="004C0B3B">
              <w:rPr>
                <w:sz w:val="24"/>
                <w:szCs w:val="24"/>
              </w:rPr>
              <w:t>Almindelig</w:t>
            </w:r>
          </w:p>
          <w:p w14:paraId="1AB39FDC" w14:textId="77777777" w:rsidR="004873ED" w:rsidRPr="004C0B3B" w:rsidRDefault="004873ED" w:rsidP="007653D9">
            <w:pPr>
              <w:widowControl w:val="0"/>
              <w:tabs>
                <w:tab w:val="num" w:pos="709"/>
              </w:tabs>
              <w:ind w:left="34"/>
              <w:rPr>
                <w:i/>
                <w:sz w:val="24"/>
                <w:szCs w:val="24"/>
              </w:rPr>
            </w:pPr>
          </w:p>
          <w:p w14:paraId="78088087" w14:textId="77777777" w:rsidR="004873ED" w:rsidRPr="004C0B3B" w:rsidRDefault="004873ED" w:rsidP="007653D9">
            <w:pPr>
              <w:widowControl w:val="0"/>
              <w:ind w:left="34"/>
              <w:rPr>
                <w:sz w:val="24"/>
                <w:szCs w:val="24"/>
              </w:rPr>
            </w:pPr>
            <w:r w:rsidRPr="004C0B3B">
              <w:rPr>
                <w:sz w:val="24"/>
                <w:szCs w:val="24"/>
              </w:rPr>
              <w:t xml:space="preserve">Ikke almindelig </w:t>
            </w:r>
          </w:p>
          <w:p w14:paraId="7937B16D" w14:textId="77777777" w:rsidR="004873ED" w:rsidRPr="004C0B3B" w:rsidRDefault="004873ED" w:rsidP="007653D9">
            <w:pPr>
              <w:widowControl w:val="0"/>
              <w:tabs>
                <w:tab w:val="num" w:pos="709"/>
              </w:tabs>
              <w:ind w:left="34"/>
              <w:rPr>
                <w:i/>
                <w:sz w:val="24"/>
                <w:szCs w:val="24"/>
              </w:rPr>
            </w:pPr>
          </w:p>
          <w:p w14:paraId="689EA280" w14:textId="77777777" w:rsidR="004873ED" w:rsidRPr="004C0B3B" w:rsidRDefault="004873ED" w:rsidP="007653D9">
            <w:pPr>
              <w:widowControl w:val="0"/>
              <w:ind w:left="34"/>
              <w:rPr>
                <w:sz w:val="24"/>
                <w:szCs w:val="24"/>
              </w:rPr>
            </w:pPr>
            <w:r w:rsidRPr="004C0B3B">
              <w:rPr>
                <w:sz w:val="24"/>
                <w:szCs w:val="24"/>
              </w:rPr>
              <w:t xml:space="preserve">Sjælden </w:t>
            </w:r>
          </w:p>
          <w:p w14:paraId="28CCE4BD" w14:textId="77777777" w:rsidR="004873ED" w:rsidRPr="004C0B3B" w:rsidRDefault="004873ED" w:rsidP="007653D9">
            <w:pPr>
              <w:widowControl w:val="0"/>
              <w:ind w:left="34"/>
              <w:rPr>
                <w:sz w:val="24"/>
                <w:szCs w:val="24"/>
              </w:rPr>
            </w:pPr>
          </w:p>
          <w:p w14:paraId="576FF123" w14:textId="77777777" w:rsidR="004873ED" w:rsidRPr="004C0B3B" w:rsidRDefault="004873ED" w:rsidP="007653D9">
            <w:pPr>
              <w:pStyle w:val="Titel"/>
              <w:widowControl w:val="0"/>
              <w:ind w:left="34"/>
              <w:jc w:val="left"/>
              <w:rPr>
                <w:b w:val="0"/>
                <w:szCs w:val="24"/>
              </w:rPr>
            </w:pPr>
          </w:p>
          <w:p w14:paraId="7C82BAAE" w14:textId="77777777" w:rsidR="004873ED" w:rsidRPr="004C0B3B" w:rsidRDefault="004873ED" w:rsidP="007653D9">
            <w:pPr>
              <w:pStyle w:val="Titel"/>
              <w:widowControl w:val="0"/>
              <w:ind w:left="34"/>
              <w:jc w:val="left"/>
              <w:rPr>
                <w:b w:val="0"/>
                <w:szCs w:val="24"/>
              </w:rPr>
            </w:pPr>
            <w:r w:rsidRPr="004C0B3B">
              <w:rPr>
                <w:b w:val="0"/>
                <w:szCs w:val="24"/>
              </w:rPr>
              <w:t>Meget sjælden</w:t>
            </w:r>
          </w:p>
          <w:p w14:paraId="3E40A5CA" w14:textId="77777777" w:rsidR="004873ED" w:rsidRPr="004C0B3B" w:rsidRDefault="004873ED" w:rsidP="007653D9">
            <w:pPr>
              <w:pStyle w:val="Titel"/>
              <w:widowControl w:val="0"/>
              <w:ind w:left="34"/>
              <w:jc w:val="left"/>
              <w:rPr>
                <w:b w:val="0"/>
                <w:szCs w:val="24"/>
              </w:rPr>
            </w:pPr>
            <w:r w:rsidRPr="004C0B3B">
              <w:rPr>
                <w:b w:val="0"/>
                <w:szCs w:val="24"/>
              </w:rPr>
              <w:t xml:space="preserve"> </w:t>
            </w:r>
          </w:p>
        </w:tc>
        <w:tc>
          <w:tcPr>
            <w:tcW w:w="4448" w:type="dxa"/>
          </w:tcPr>
          <w:p w14:paraId="51250488" w14:textId="77777777" w:rsidR="004873ED" w:rsidRPr="004C0B3B" w:rsidRDefault="004873ED" w:rsidP="00093522">
            <w:pPr>
              <w:pStyle w:val="Titel"/>
              <w:widowControl w:val="0"/>
              <w:jc w:val="left"/>
              <w:rPr>
                <w:b w:val="0"/>
                <w:szCs w:val="24"/>
              </w:rPr>
            </w:pPr>
          </w:p>
          <w:p w14:paraId="142BC08F" w14:textId="77777777" w:rsidR="004873ED" w:rsidRPr="004C0B3B" w:rsidRDefault="004873ED" w:rsidP="00093522">
            <w:pPr>
              <w:widowControl w:val="0"/>
              <w:rPr>
                <w:sz w:val="24"/>
                <w:szCs w:val="24"/>
              </w:rPr>
            </w:pPr>
            <w:r w:rsidRPr="004C0B3B">
              <w:rPr>
                <w:sz w:val="24"/>
                <w:szCs w:val="24"/>
              </w:rPr>
              <w:t>Kvalme.</w:t>
            </w:r>
          </w:p>
          <w:p w14:paraId="6D86D7AF" w14:textId="77777777" w:rsidR="004873ED" w:rsidRPr="004C0B3B" w:rsidRDefault="004873ED" w:rsidP="00093522">
            <w:pPr>
              <w:widowControl w:val="0"/>
              <w:rPr>
                <w:sz w:val="24"/>
                <w:szCs w:val="24"/>
              </w:rPr>
            </w:pPr>
          </w:p>
          <w:p w14:paraId="690D3514" w14:textId="77777777" w:rsidR="004873ED" w:rsidRPr="004C0B3B" w:rsidRDefault="004873ED" w:rsidP="00093522">
            <w:pPr>
              <w:widowControl w:val="0"/>
              <w:rPr>
                <w:sz w:val="24"/>
                <w:szCs w:val="24"/>
              </w:rPr>
            </w:pPr>
            <w:r w:rsidRPr="004C0B3B">
              <w:rPr>
                <w:sz w:val="24"/>
                <w:szCs w:val="24"/>
              </w:rPr>
              <w:t xml:space="preserve">Opkastning, smerter i </w:t>
            </w:r>
            <w:proofErr w:type="spellStart"/>
            <w:r w:rsidRPr="004C0B3B">
              <w:rPr>
                <w:sz w:val="24"/>
                <w:szCs w:val="24"/>
              </w:rPr>
              <w:t>epigastriet</w:t>
            </w:r>
            <w:proofErr w:type="spellEnd"/>
            <w:r w:rsidRPr="004C0B3B">
              <w:rPr>
                <w:sz w:val="24"/>
                <w:szCs w:val="24"/>
              </w:rPr>
              <w:t xml:space="preserve">, </w:t>
            </w:r>
            <w:proofErr w:type="spellStart"/>
            <w:r w:rsidRPr="004C0B3B">
              <w:rPr>
                <w:sz w:val="24"/>
                <w:szCs w:val="24"/>
              </w:rPr>
              <w:t>diaré</w:t>
            </w:r>
            <w:proofErr w:type="spellEnd"/>
            <w:r w:rsidRPr="004C0B3B">
              <w:rPr>
                <w:sz w:val="24"/>
                <w:szCs w:val="24"/>
              </w:rPr>
              <w:t>**.</w:t>
            </w:r>
          </w:p>
          <w:p w14:paraId="3ABA3EAC" w14:textId="77777777" w:rsidR="004873ED" w:rsidRPr="004C0B3B" w:rsidRDefault="004873ED" w:rsidP="00093522">
            <w:pPr>
              <w:widowControl w:val="0"/>
              <w:tabs>
                <w:tab w:val="num" w:pos="709"/>
              </w:tabs>
              <w:ind w:left="851"/>
              <w:rPr>
                <w:sz w:val="24"/>
                <w:szCs w:val="24"/>
              </w:rPr>
            </w:pPr>
          </w:p>
          <w:p w14:paraId="1603105F" w14:textId="77777777" w:rsidR="004873ED" w:rsidRPr="004C0B3B" w:rsidRDefault="004873ED" w:rsidP="00093522">
            <w:pPr>
              <w:widowControl w:val="0"/>
              <w:tabs>
                <w:tab w:val="num" w:pos="709"/>
              </w:tabs>
              <w:rPr>
                <w:sz w:val="24"/>
                <w:szCs w:val="24"/>
              </w:rPr>
            </w:pPr>
            <w:r w:rsidRPr="004C0B3B">
              <w:rPr>
                <w:sz w:val="24"/>
                <w:szCs w:val="24"/>
              </w:rPr>
              <w:t xml:space="preserve">Forøget spytafsondring**. </w:t>
            </w:r>
          </w:p>
          <w:p w14:paraId="0E97D5B8" w14:textId="77777777" w:rsidR="004873ED" w:rsidRPr="004C0B3B" w:rsidRDefault="004873ED" w:rsidP="00093522">
            <w:pPr>
              <w:widowControl w:val="0"/>
              <w:rPr>
                <w:sz w:val="24"/>
                <w:szCs w:val="24"/>
              </w:rPr>
            </w:pPr>
          </w:p>
          <w:p w14:paraId="71EEB913" w14:textId="77777777" w:rsidR="004873ED" w:rsidRPr="004C0B3B" w:rsidRDefault="004873ED" w:rsidP="00093522">
            <w:pPr>
              <w:widowControl w:val="0"/>
              <w:rPr>
                <w:sz w:val="24"/>
                <w:szCs w:val="24"/>
              </w:rPr>
            </w:pPr>
            <w:proofErr w:type="spellStart"/>
            <w:r w:rsidRPr="004C0B3B">
              <w:rPr>
                <w:sz w:val="24"/>
                <w:szCs w:val="24"/>
              </w:rPr>
              <w:t>Pankreatitis</w:t>
            </w:r>
            <w:proofErr w:type="spellEnd"/>
            <w:r w:rsidRPr="004C0B3B">
              <w:rPr>
                <w:sz w:val="24"/>
                <w:szCs w:val="24"/>
              </w:rPr>
              <w:t xml:space="preserve"> (der undertiden har et fatalt forløb, se pkt. 4.4), </w:t>
            </w:r>
            <w:proofErr w:type="spellStart"/>
            <w:r w:rsidRPr="004C0B3B">
              <w:rPr>
                <w:sz w:val="24"/>
                <w:szCs w:val="24"/>
              </w:rPr>
              <w:t>stomatitis</w:t>
            </w:r>
            <w:proofErr w:type="spellEnd"/>
            <w:r w:rsidRPr="004C0B3B">
              <w:rPr>
                <w:sz w:val="24"/>
                <w:szCs w:val="24"/>
              </w:rPr>
              <w:t>.</w:t>
            </w:r>
          </w:p>
          <w:p w14:paraId="6E3F07CF" w14:textId="77777777" w:rsidR="004873ED" w:rsidRPr="004C0B3B" w:rsidRDefault="004873ED" w:rsidP="00093522">
            <w:pPr>
              <w:widowControl w:val="0"/>
              <w:rPr>
                <w:sz w:val="24"/>
                <w:szCs w:val="24"/>
              </w:rPr>
            </w:pPr>
          </w:p>
          <w:p w14:paraId="031B7E6C" w14:textId="77777777" w:rsidR="004873ED" w:rsidRPr="004C0B3B" w:rsidRDefault="004873ED" w:rsidP="00093522">
            <w:pPr>
              <w:widowControl w:val="0"/>
              <w:rPr>
                <w:sz w:val="24"/>
                <w:szCs w:val="24"/>
              </w:rPr>
            </w:pPr>
            <w:proofErr w:type="spellStart"/>
            <w:r w:rsidRPr="004C0B3B">
              <w:rPr>
                <w:sz w:val="24"/>
                <w:szCs w:val="24"/>
              </w:rPr>
              <w:t>Gingivalforstyrrelse</w:t>
            </w:r>
            <w:proofErr w:type="spellEnd"/>
            <w:r w:rsidRPr="004C0B3B">
              <w:rPr>
                <w:sz w:val="24"/>
                <w:szCs w:val="24"/>
              </w:rPr>
              <w:t xml:space="preserve"> (hovedsagelig </w:t>
            </w:r>
            <w:proofErr w:type="spellStart"/>
            <w:r w:rsidRPr="004C0B3B">
              <w:rPr>
                <w:sz w:val="24"/>
                <w:szCs w:val="24"/>
              </w:rPr>
              <w:t>gingival</w:t>
            </w:r>
            <w:proofErr w:type="spellEnd"/>
            <w:r w:rsidRPr="004C0B3B">
              <w:rPr>
                <w:sz w:val="24"/>
                <w:szCs w:val="24"/>
              </w:rPr>
              <w:t xml:space="preserve"> </w:t>
            </w:r>
            <w:proofErr w:type="spellStart"/>
            <w:r w:rsidRPr="004C0B3B">
              <w:rPr>
                <w:sz w:val="24"/>
                <w:szCs w:val="24"/>
              </w:rPr>
              <w:t>hyperplasi</w:t>
            </w:r>
            <w:proofErr w:type="spellEnd"/>
            <w:r w:rsidRPr="004C0B3B">
              <w:rPr>
                <w:sz w:val="24"/>
                <w:szCs w:val="24"/>
              </w:rPr>
              <w:t>).</w:t>
            </w:r>
          </w:p>
          <w:p w14:paraId="50CDB034" w14:textId="77777777" w:rsidR="004873ED" w:rsidRPr="004C0B3B" w:rsidRDefault="004873ED" w:rsidP="00093522">
            <w:pPr>
              <w:widowControl w:val="0"/>
              <w:rPr>
                <w:b/>
                <w:sz w:val="24"/>
                <w:szCs w:val="24"/>
              </w:rPr>
            </w:pPr>
            <w:r w:rsidRPr="004C0B3B">
              <w:rPr>
                <w:b/>
                <w:sz w:val="24"/>
                <w:szCs w:val="24"/>
              </w:rPr>
              <w:t xml:space="preserve"> </w:t>
            </w:r>
          </w:p>
        </w:tc>
      </w:tr>
      <w:tr w:rsidR="004873ED" w:rsidRPr="004C0B3B" w14:paraId="148F0AD6" w14:textId="77777777" w:rsidTr="007653D9">
        <w:trPr>
          <w:trHeight w:val="533"/>
        </w:trPr>
        <w:tc>
          <w:tcPr>
            <w:tcW w:w="4447" w:type="dxa"/>
          </w:tcPr>
          <w:p w14:paraId="1E27D5D8" w14:textId="77777777" w:rsidR="004873ED" w:rsidRPr="004C0B3B" w:rsidRDefault="004873ED" w:rsidP="007653D9">
            <w:pPr>
              <w:pStyle w:val="Titel"/>
              <w:widowControl w:val="0"/>
              <w:ind w:left="34"/>
              <w:jc w:val="left"/>
              <w:rPr>
                <w:szCs w:val="24"/>
              </w:rPr>
            </w:pPr>
            <w:r w:rsidRPr="004C0B3B">
              <w:rPr>
                <w:szCs w:val="24"/>
              </w:rPr>
              <w:t xml:space="preserve">Nyrer og urinveje </w:t>
            </w:r>
          </w:p>
          <w:p w14:paraId="794383BA" w14:textId="77777777" w:rsidR="006D62C2" w:rsidRPr="004C0B3B" w:rsidRDefault="006D62C2" w:rsidP="007653D9">
            <w:pPr>
              <w:widowControl w:val="0"/>
              <w:ind w:left="34"/>
              <w:rPr>
                <w:sz w:val="24"/>
                <w:szCs w:val="24"/>
              </w:rPr>
            </w:pPr>
            <w:r w:rsidRPr="004C0B3B">
              <w:rPr>
                <w:sz w:val="24"/>
                <w:szCs w:val="24"/>
              </w:rPr>
              <w:t>Almindelig</w:t>
            </w:r>
          </w:p>
          <w:p w14:paraId="2E21629E" w14:textId="77777777" w:rsidR="006D62C2" w:rsidRPr="004C0B3B" w:rsidRDefault="006D62C2" w:rsidP="007653D9">
            <w:pPr>
              <w:widowControl w:val="0"/>
              <w:ind w:left="34"/>
              <w:rPr>
                <w:sz w:val="24"/>
                <w:szCs w:val="24"/>
              </w:rPr>
            </w:pPr>
          </w:p>
          <w:p w14:paraId="51D11E8A" w14:textId="77777777" w:rsidR="004873ED" w:rsidRPr="004C0B3B" w:rsidRDefault="004873ED" w:rsidP="007653D9">
            <w:pPr>
              <w:widowControl w:val="0"/>
              <w:ind w:left="34"/>
              <w:rPr>
                <w:sz w:val="24"/>
                <w:szCs w:val="24"/>
              </w:rPr>
            </w:pPr>
            <w:r w:rsidRPr="004C0B3B">
              <w:rPr>
                <w:sz w:val="24"/>
                <w:szCs w:val="24"/>
              </w:rPr>
              <w:t xml:space="preserve">Meget sjælden </w:t>
            </w:r>
          </w:p>
          <w:p w14:paraId="5E8D777C" w14:textId="77777777" w:rsidR="004873ED" w:rsidRPr="004C0B3B" w:rsidRDefault="004873ED" w:rsidP="007653D9">
            <w:pPr>
              <w:widowControl w:val="0"/>
              <w:ind w:left="34"/>
              <w:rPr>
                <w:sz w:val="24"/>
                <w:szCs w:val="24"/>
              </w:rPr>
            </w:pPr>
          </w:p>
          <w:p w14:paraId="742DCAB4" w14:textId="77777777" w:rsidR="004873ED" w:rsidRPr="004C0B3B" w:rsidRDefault="004873ED" w:rsidP="007653D9">
            <w:pPr>
              <w:widowControl w:val="0"/>
              <w:ind w:left="34"/>
              <w:rPr>
                <w:sz w:val="24"/>
                <w:szCs w:val="24"/>
              </w:rPr>
            </w:pPr>
          </w:p>
          <w:p w14:paraId="1BC6427F" w14:textId="77777777" w:rsidR="004873ED" w:rsidRPr="004C0B3B" w:rsidRDefault="004873ED" w:rsidP="007653D9">
            <w:pPr>
              <w:widowControl w:val="0"/>
              <w:ind w:left="34"/>
              <w:rPr>
                <w:sz w:val="24"/>
                <w:szCs w:val="24"/>
              </w:rPr>
            </w:pPr>
            <w:r w:rsidRPr="004C0B3B">
              <w:rPr>
                <w:sz w:val="24"/>
                <w:szCs w:val="24"/>
              </w:rPr>
              <w:t xml:space="preserve">Ikke kendt </w:t>
            </w:r>
          </w:p>
          <w:p w14:paraId="1FF1B338" w14:textId="77777777" w:rsidR="004873ED" w:rsidRPr="004C0B3B" w:rsidRDefault="004873ED" w:rsidP="007653D9">
            <w:pPr>
              <w:pStyle w:val="Titel"/>
              <w:widowControl w:val="0"/>
              <w:ind w:left="34"/>
              <w:jc w:val="left"/>
              <w:rPr>
                <w:b w:val="0"/>
                <w:szCs w:val="24"/>
              </w:rPr>
            </w:pPr>
          </w:p>
        </w:tc>
        <w:tc>
          <w:tcPr>
            <w:tcW w:w="4448" w:type="dxa"/>
          </w:tcPr>
          <w:p w14:paraId="16751DD9" w14:textId="77777777" w:rsidR="004873ED" w:rsidRPr="004C0B3B" w:rsidRDefault="004873ED" w:rsidP="00093522">
            <w:pPr>
              <w:pStyle w:val="Titel"/>
              <w:widowControl w:val="0"/>
              <w:jc w:val="left"/>
              <w:rPr>
                <w:b w:val="0"/>
                <w:szCs w:val="24"/>
              </w:rPr>
            </w:pPr>
          </w:p>
          <w:p w14:paraId="2606D1A5" w14:textId="77777777" w:rsidR="006D62C2" w:rsidRPr="004C0B3B" w:rsidRDefault="006D62C2" w:rsidP="00093522">
            <w:pPr>
              <w:widowControl w:val="0"/>
              <w:rPr>
                <w:sz w:val="24"/>
                <w:szCs w:val="24"/>
                <w:lang w:eastAsia="da-DK"/>
              </w:rPr>
            </w:pPr>
            <w:r w:rsidRPr="004C0B3B">
              <w:rPr>
                <w:sz w:val="24"/>
                <w:szCs w:val="24"/>
              </w:rPr>
              <w:t>Urininkontinens</w:t>
            </w:r>
            <w:r w:rsidRPr="004C0B3B">
              <w:rPr>
                <w:sz w:val="24"/>
                <w:szCs w:val="24"/>
                <w:lang w:eastAsia="da-DK"/>
              </w:rPr>
              <w:t>.</w:t>
            </w:r>
          </w:p>
          <w:p w14:paraId="6EA5692D" w14:textId="77777777" w:rsidR="006D62C2" w:rsidRPr="004C0B3B" w:rsidRDefault="006D62C2" w:rsidP="00093522">
            <w:pPr>
              <w:widowControl w:val="0"/>
              <w:rPr>
                <w:sz w:val="24"/>
                <w:szCs w:val="24"/>
              </w:rPr>
            </w:pPr>
          </w:p>
          <w:p w14:paraId="5AC0D310" w14:textId="77777777" w:rsidR="004873ED" w:rsidRPr="004C0B3B" w:rsidRDefault="004873ED" w:rsidP="00093522">
            <w:pPr>
              <w:widowControl w:val="0"/>
              <w:rPr>
                <w:sz w:val="24"/>
                <w:szCs w:val="24"/>
              </w:rPr>
            </w:pPr>
            <w:proofErr w:type="spellStart"/>
            <w:r w:rsidRPr="004C0B3B">
              <w:rPr>
                <w:sz w:val="24"/>
                <w:szCs w:val="24"/>
              </w:rPr>
              <w:t>Fanconis</w:t>
            </w:r>
            <w:proofErr w:type="spellEnd"/>
            <w:r w:rsidRPr="004C0B3B">
              <w:rPr>
                <w:sz w:val="24"/>
                <w:szCs w:val="24"/>
              </w:rPr>
              <w:t xml:space="preserve"> syndrom (virkningsmekanismen er endnu uklar). </w:t>
            </w:r>
            <w:proofErr w:type="spellStart"/>
            <w:r w:rsidRPr="004C0B3B">
              <w:rPr>
                <w:sz w:val="24"/>
                <w:szCs w:val="24"/>
              </w:rPr>
              <w:t>Enuresis</w:t>
            </w:r>
            <w:proofErr w:type="spellEnd"/>
            <w:r w:rsidRPr="004C0B3B">
              <w:rPr>
                <w:sz w:val="24"/>
                <w:szCs w:val="24"/>
              </w:rPr>
              <w:t xml:space="preserve"> </w:t>
            </w:r>
            <w:proofErr w:type="spellStart"/>
            <w:r w:rsidRPr="004C0B3B">
              <w:rPr>
                <w:sz w:val="24"/>
                <w:szCs w:val="24"/>
              </w:rPr>
              <w:t>nocturna</w:t>
            </w:r>
            <w:proofErr w:type="spellEnd"/>
            <w:r w:rsidRPr="004C0B3B">
              <w:rPr>
                <w:sz w:val="24"/>
                <w:szCs w:val="24"/>
              </w:rPr>
              <w:t>.</w:t>
            </w:r>
          </w:p>
          <w:p w14:paraId="326E066C" w14:textId="77777777" w:rsidR="004873ED" w:rsidRPr="004C0B3B" w:rsidRDefault="004873ED" w:rsidP="00093522">
            <w:pPr>
              <w:widowControl w:val="0"/>
              <w:rPr>
                <w:sz w:val="24"/>
                <w:szCs w:val="24"/>
              </w:rPr>
            </w:pPr>
          </w:p>
          <w:p w14:paraId="41F92F81" w14:textId="77777777" w:rsidR="004873ED" w:rsidRPr="004C0B3B" w:rsidRDefault="004873ED" w:rsidP="00093522">
            <w:pPr>
              <w:widowControl w:val="0"/>
              <w:rPr>
                <w:sz w:val="24"/>
                <w:szCs w:val="24"/>
              </w:rPr>
            </w:pPr>
            <w:r w:rsidRPr="004C0B3B">
              <w:rPr>
                <w:sz w:val="24"/>
                <w:szCs w:val="24"/>
              </w:rPr>
              <w:t xml:space="preserve">Nyresvigt, </w:t>
            </w:r>
            <w:proofErr w:type="spellStart"/>
            <w:r w:rsidRPr="004C0B3B">
              <w:rPr>
                <w:sz w:val="24"/>
                <w:szCs w:val="24"/>
              </w:rPr>
              <w:t>interstitiel</w:t>
            </w:r>
            <w:proofErr w:type="spellEnd"/>
            <w:r w:rsidRPr="004C0B3B">
              <w:rPr>
                <w:sz w:val="24"/>
                <w:szCs w:val="24"/>
              </w:rPr>
              <w:t xml:space="preserve"> </w:t>
            </w:r>
            <w:proofErr w:type="spellStart"/>
            <w:r w:rsidRPr="004C0B3B">
              <w:rPr>
                <w:sz w:val="24"/>
                <w:szCs w:val="24"/>
              </w:rPr>
              <w:t>nefritis</w:t>
            </w:r>
            <w:proofErr w:type="spellEnd"/>
            <w:r w:rsidRPr="004C0B3B">
              <w:rPr>
                <w:sz w:val="24"/>
                <w:szCs w:val="24"/>
              </w:rPr>
              <w:t>, forværring af nyrefunktionen.</w:t>
            </w:r>
          </w:p>
          <w:p w14:paraId="0FA052A4" w14:textId="77777777" w:rsidR="004873ED" w:rsidRPr="004C0B3B" w:rsidRDefault="004873ED" w:rsidP="00093522">
            <w:pPr>
              <w:widowControl w:val="0"/>
              <w:rPr>
                <w:b/>
                <w:sz w:val="24"/>
                <w:szCs w:val="24"/>
              </w:rPr>
            </w:pPr>
          </w:p>
        </w:tc>
      </w:tr>
      <w:tr w:rsidR="004873ED" w:rsidRPr="004C0B3B" w14:paraId="2E6479D6" w14:textId="77777777" w:rsidTr="007653D9">
        <w:trPr>
          <w:trHeight w:val="533"/>
        </w:trPr>
        <w:tc>
          <w:tcPr>
            <w:tcW w:w="4447" w:type="dxa"/>
          </w:tcPr>
          <w:p w14:paraId="4E9F827E" w14:textId="77777777" w:rsidR="004873ED" w:rsidRPr="004C0B3B" w:rsidRDefault="004873ED" w:rsidP="007653D9">
            <w:pPr>
              <w:pStyle w:val="Titel"/>
              <w:widowControl w:val="0"/>
              <w:ind w:left="34"/>
              <w:jc w:val="left"/>
              <w:rPr>
                <w:i/>
                <w:szCs w:val="24"/>
              </w:rPr>
            </w:pPr>
            <w:r w:rsidRPr="004C0B3B">
              <w:rPr>
                <w:szCs w:val="24"/>
              </w:rPr>
              <w:t xml:space="preserve">Hud og subkutane væv </w:t>
            </w:r>
          </w:p>
          <w:p w14:paraId="585DF1F1" w14:textId="77777777" w:rsidR="004873ED" w:rsidRPr="004C0B3B" w:rsidRDefault="004873ED" w:rsidP="007653D9">
            <w:pPr>
              <w:widowControl w:val="0"/>
              <w:ind w:left="34"/>
              <w:rPr>
                <w:i/>
                <w:sz w:val="24"/>
                <w:szCs w:val="24"/>
              </w:rPr>
            </w:pPr>
            <w:r w:rsidRPr="004C0B3B">
              <w:rPr>
                <w:sz w:val="24"/>
                <w:szCs w:val="24"/>
              </w:rPr>
              <w:t>Almindelig</w:t>
            </w:r>
            <w:r w:rsidRPr="004C0B3B">
              <w:rPr>
                <w:i/>
                <w:sz w:val="24"/>
                <w:szCs w:val="24"/>
              </w:rPr>
              <w:t xml:space="preserve"> </w:t>
            </w:r>
          </w:p>
          <w:p w14:paraId="2717800C" w14:textId="77777777" w:rsidR="004873ED" w:rsidRPr="004C0B3B" w:rsidRDefault="004873ED" w:rsidP="007653D9">
            <w:pPr>
              <w:widowControl w:val="0"/>
              <w:ind w:left="34"/>
              <w:rPr>
                <w:i/>
                <w:sz w:val="24"/>
                <w:szCs w:val="24"/>
              </w:rPr>
            </w:pPr>
          </w:p>
          <w:p w14:paraId="4B980980" w14:textId="77777777" w:rsidR="004873ED" w:rsidRPr="004C0B3B" w:rsidRDefault="004873ED" w:rsidP="007653D9">
            <w:pPr>
              <w:widowControl w:val="0"/>
              <w:ind w:left="34"/>
              <w:rPr>
                <w:sz w:val="24"/>
                <w:szCs w:val="24"/>
              </w:rPr>
            </w:pPr>
          </w:p>
          <w:p w14:paraId="22B155BC" w14:textId="77777777" w:rsidR="004873ED" w:rsidRPr="004C0B3B" w:rsidRDefault="004873ED" w:rsidP="007653D9">
            <w:pPr>
              <w:widowControl w:val="0"/>
              <w:ind w:left="34"/>
              <w:rPr>
                <w:sz w:val="24"/>
                <w:szCs w:val="24"/>
              </w:rPr>
            </w:pPr>
          </w:p>
          <w:p w14:paraId="0832C5CC" w14:textId="77777777" w:rsidR="00291DB8" w:rsidRPr="004C0B3B" w:rsidRDefault="00291DB8" w:rsidP="007653D9">
            <w:pPr>
              <w:widowControl w:val="0"/>
              <w:ind w:left="34"/>
              <w:rPr>
                <w:sz w:val="24"/>
                <w:szCs w:val="24"/>
              </w:rPr>
            </w:pPr>
          </w:p>
          <w:p w14:paraId="1EDAD4F0" w14:textId="77777777" w:rsidR="004873ED" w:rsidRPr="004C0B3B" w:rsidRDefault="004873ED" w:rsidP="007653D9">
            <w:pPr>
              <w:widowControl w:val="0"/>
              <w:ind w:left="34"/>
              <w:rPr>
                <w:sz w:val="24"/>
                <w:szCs w:val="24"/>
              </w:rPr>
            </w:pPr>
          </w:p>
          <w:p w14:paraId="4C27CD02" w14:textId="77777777" w:rsidR="004873ED" w:rsidRPr="004C0B3B" w:rsidRDefault="004873ED" w:rsidP="007653D9">
            <w:pPr>
              <w:widowControl w:val="0"/>
              <w:ind w:left="34"/>
              <w:rPr>
                <w:sz w:val="24"/>
                <w:szCs w:val="24"/>
              </w:rPr>
            </w:pPr>
            <w:r w:rsidRPr="004C0B3B">
              <w:rPr>
                <w:sz w:val="24"/>
                <w:szCs w:val="24"/>
              </w:rPr>
              <w:t xml:space="preserve">Sjælden </w:t>
            </w:r>
          </w:p>
          <w:p w14:paraId="2DF0AD0E" w14:textId="77777777" w:rsidR="004873ED" w:rsidRPr="004C0B3B" w:rsidRDefault="004873ED" w:rsidP="007653D9">
            <w:pPr>
              <w:widowControl w:val="0"/>
              <w:ind w:left="34"/>
              <w:rPr>
                <w:i/>
                <w:sz w:val="24"/>
                <w:szCs w:val="24"/>
              </w:rPr>
            </w:pPr>
          </w:p>
          <w:p w14:paraId="052BB813" w14:textId="77777777" w:rsidR="004873ED" w:rsidRPr="004C0B3B" w:rsidRDefault="004873ED" w:rsidP="007653D9">
            <w:pPr>
              <w:widowControl w:val="0"/>
              <w:ind w:left="34"/>
              <w:rPr>
                <w:sz w:val="24"/>
                <w:szCs w:val="24"/>
              </w:rPr>
            </w:pPr>
            <w:r w:rsidRPr="004C0B3B">
              <w:rPr>
                <w:sz w:val="24"/>
                <w:szCs w:val="24"/>
              </w:rPr>
              <w:t xml:space="preserve">Meget sjælden </w:t>
            </w:r>
          </w:p>
          <w:p w14:paraId="7941570A" w14:textId="77777777" w:rsidR="004873ED" w:rsidRPr="004C0B3B" w:rsidRDefault="004873ED" w:rsidP="007653D9">
            <w:pPr>
              <w:pStyle w:val="Titel"/>
              <w:widowControl w:val="0"/>
              <w:ind w:left="34"/>
              <w:jc w:val="left"/>
              <w:rPr>
                <w:b w:val="0"/>
                <w:szCs w:val="24"/>
              </w:rPr>
            </w:pPr>
          </w:p>
          <w:p w14:paraId="5AB505EE" w14:textId="77777777" w:rsidR="004873ED" w:rsidRPr="004C0B3B" w:rsidRDefault="004873ED" w:rsidP="007653D9">
            <w:pPr>
              <w:pStyle w:val="Titel"/>
              <w:widowControl w:val="0"/>
              <w:ind w:left="34"/>
              <w:jc w:val="left"/>
              <w:rPr>
                <w:b w:val="0"/>
                <w:szCs w:val="24"/>
              </w:rPr>
            </w:pPr>
          </w:p>
          <w:p w14:paraId="6DB1597E" w14:textId="77777777" w:rsidR="004873ED" w:rsidRPr="004C0B3B" w:rsidRDefault="004873ED" w:rsidP="007653D9">
            <w:pPr>
              <w:widowControl w:val="0"/>
              <w:ind w:left="34"/>
              <w:rPr>
                <w:sz w:val="24"/>
                <w:szCs w:val="24"/>
              </w:rPr>
            </w:pPr>
            <w:r w:rsidRPr="004C0B3B">
              <w:rPr>
                <w:sz w:val="24"/>
                <w:szCs w:val="24"/>
              </w:rPr>
              <w:t xml:space="preserve">Ikke kendt </w:t>
            </w:r>
          </w:p>
          <w:p w14:paraId="47C33567" w14:textId="77777777" w:rsidR="004873ED" w:rsidRPr="004C0B3B" w:rsidRDefault="004873ED" w:rsidP="007653D9">
            <w:pPr>
              <w:pStyle w:val="Titel"/>
              <w:widowControl w:val="0"/>
              <w:ind w:left="34"/>
              <w:jc w:val="left"/>
              <w:rPr>
                <w:b w:val="0"/>
                <w:szCs w:val="24"/>
              </w:rPr>
            </w:pPr>
          </w:p>
        </w:tc>
        <w:tc>
          <w:tcPr>
            <w:tcW w:w="4448" w:type="dxa"/>
          </w:tcPr>
          <w:p w14:paraId="26E4895C" w14:textId="77777777" w:rsidR="004873ED" w:rsidRPr="004C0B3B" w:rsidRDefault="004873ED" w:rsidP="00093522">
            <w:pPr>
              <w:widowControl w:val="0"/>
              <w:ind w:left="851"/>
              <w:rPr>
                <w:sz w:val="24"/>
                <w:szCs w:val="24"/>
              </w:rPr>
            </w:pPr>
          </w:p>
          <w:p w14:paraId="28765934" w14:textId="77777777" w:rsidR="004873ED" w:rsidRPr="004C0B3B" w:rsidRDefault="004873ED" w:rsidP="00093522">
            <w:pPr>
              <w:widowControl w:val="0"/>
              <w:rPr>
                <w:sz w:val="24"/>
                <w:szCs w:val="24"/>
              </w:rPr>
            </w:pPr>
            <w:r w:rsidRPr="004C0B3B">
              <w:rPr>
                <w:sz w:val="24"/>
                <w:szCs w:val="24"/>
              </w:rPr>
              <w:t xml:space="preserve">Allergiske hudreaktioner i form af </w:t>
            </w:r>
            <w:proofErr w:type="spellStart"/>
            <w:r w:rsidRPr="004C0B3B">
              <w:rPr>
                <w:sz w:val="24"/>
                <w:szCs w:val="24"/>
              </w:rPr>
              <w:t>eksantem</w:t>
            </w:r>
            <w:proofErr w:type="spellEnd"/>
            <w:r w:rsidRPr="004C0B3B">
              <w:rPr>
                <w:sz w:val="24"/>
                <w:szCs w:val="24"/>
              </w:rPr>
              <w:t xml:space="preserve">. Forbigående hårtab og </w:t>
            </w:r>
            <w:proofErr w:type="spellStart"/>
            <w:r w:rsidRPr="004C0B3B">
              <w:rPr>
                <w:sz w:val="24"/>
                <w:szCs w:val="24"/>
              </w:rPr>
              <w:t>tyndhårethed</w:t>
            </w:r>
            <w:proofErr w:type="spellEnd"/>
            <w:r w:rsidRPr="004C0B3B">
              <w:rPr>
                <w:sz w:val="24"/>
                <w:szCs w:val="24"/>
              </w:rPr>
              <w:t>. Håret mister farve, håret krøller.</w:t>
            </w:r>
          </w:p>
          <w:p w14:paraId="5F48DE01" w14:textId="77777777" w:rsidR="004873ED" w:rsidRPr="004C0B3B" w:rsidRDefault="004873ED" w:rsidP="00093522">
            <w:pPr>
              <w:widowControl w:val="0"/>
              <w:rPr>
                <w:sz w:val="24"/>
                <w:szCs w:val="24"/>
              </w:rPr>
            </w:pPr>
            <w:r w:rsidRPr="004C0B3B">
              <w:rPr>
                <w:sz w:val="24"/>
                <w:szCs w:val="24"/>
              </w:rPr>
              <w:t>Negle- og neglerodslidelser.</w:t>
            </w:r>
          </w:p>
          <w:p w14:paraId="0979BC76" w14:textId="77777777" w:rsidR="004873ED" w:rsidRPr="004C0B3B" w:rsidRDefault="004873ED" w:rsidP="00093522">
            <w:pPr>
              <w:pStyle w:val="Titel"/>
              <w:widowControl w:val="0"/>
              <w:jc w:val="left"/>
              <w:rPr>
                <w:b w:val="0"/>
                <w:szCs w:val="24"/>
              </w:rPr>
            </w:pPr>
          </w:p>
          <w:p w14:paraId="1E3FA428" w14:textId="77777777" w:rsidR="004873ED" w:rsidRPr="004C0B3B" w:rsidRDefault="004873ED" w:rsidP="00093522">
            <w:pPr>
              <w:widowControl w:val="0"/>
              <w:ind w:left="-19" w:firstLine="19"/>
              <w:rPr>
                <w:sz w:val="24"/>
                <w:szCs w:val="24"/>
              </w:rPr>
            </w:pPr>
            <w:proofErr w:type="spellStart"/>
            <w:r w:rsidRPr="004C0B3B">
              <w:rPr>
                <w:sz w:val="24"/>
                <w:szCs w:val="24"/>
              </w:rPr>
              <w:t>Kutan</w:t>
            </w:r>
            <w:proofErr w:type="spellEnd"/>
            <w:r w:rsidRPr="004C0B3B">
              <w:rPr>
                <w:sz w:val="24"/>
                <w:szCs w:val="24"/>
              </w:rPr>
              <w:t xml:space="preserve"> </w:t>
            </w:r>
            <w:proofErr w:type="spellStart"/>
            <w:r w:rsidRPr="004C0B3B">
              <w:rPr>
                <w:sz w:val="24"/>
                <w:szCs w:val="24"/>
              </w:rPr>
              <w:t>vaskulitis</w:t>
            </w:r>
            <w:proofErr w:type="spellEnd"/>
            <w:r w:rsidRPr="004C0B3B">
              <w:rPr>
                <w:sz w:val="24"/>
                <w:szCs w:val="24"/>
              </w:rPr>
              <w:t xml:space="preserve">, </w:t>
            </w:r>
            <w:proofErr w:type="spellStart"/>
            <w:r w:rsidRPr="004C0B3B">
              <w:rPr>
                <w:sz w:val="24"/>
                <w:szCs w:val="24"/>
              </w:rPr>
              <w:t>erythema</w:t>
            </w:r>
            <w:proofErr w:type="spellEnd"/>
            <w:r w:rsidRPr="004C0B3B">
              <w:rPr>
                <w:sz w:val="24"/>
                <w:szCs w:val="24"/>
              </w:rPr>
              <w:t xml:space="preserve"> multiforme. </w:t>
            </w:r>
          </w:p>
          <w:p w14:paraId="0A89493C" w14:textId="77777777" w:rsidR="004873ED" w:rsidRPr="004C0B3B" w:rsidRDefault="004873ED" w:rsidP="00093522">
            <w:pPr>
              <w:widowControl w:val="0"/>
              <w:ind w:left="851"/>
              <w:rPr>
                <w:sz w:val="24"/>
                <w:szCs w:val="24"/>
              </w:rPr>
            </w:pPr>
          </w:p>
          <w:p w14:paraId="4FCB26D6" w14:textId="052F0C2B" w:rsidR="004873ED" w:rsidRPr="004C0B3B" w:rsidRDefault="004873ED" w:rsidP="00093522">
            <w:pPr>
              <w:widowControl w:val="0"/>
              <w:rPr>
                <w:sz w:val="24"/>
                <w:szCs w:val="24"/>
                <w:lang w:val="sv-SE"/>
              </w:rPr>
            </w:pPr>
            <w:proofErr w:type="spellStart"/>
            <w:r w:rsidRPr="004C0B3B">
              <w:rPr>
                <w:sz w:val="24"/>
                <w:szCs w:val="24"/>
                <w:lang w:val="sv-SE"/>
              </w:rPr>
              <w:t>Toksisk</w:t>
            </w:r>
            <w:proofErr w:type="spellEnd"/>
            <w:r w:rsidRPr="004C0B3B">
              <w:rPr>
                <w:sz w:val="24"/>
                <w:szCs w:val="24"/>
                <w:lang w:val="sv-SE"/>
              </w:rPr>
              <w:t xml:space="preserve"> </w:t>
            </w:r>
            <w:proofErr w:type="spellStart"/>
            <w:r w:rsidRPr="004C0B3B">
              <w:rPr>
                <w:sz w:val="24"/>
                <w:szCs w:val="24"/>
                <w:lang w:val="sv-SE"/>
              </w:rPr>
              <w:t>epidermal</w:t>
            </w:r>
            <w:proofErr w:type="spellEnd"/>
            <w:r w:rsidRPr="004C0B3B">
              <w:rPr>
                <w:sz w:val="24"/>
                <w:szCs w:val="24"/>
                <w:lang w:val="sv-SE"/>
              </w:rPr>
              <w:t xml:space="preserve"> </w:t>
            </w:r>
            <w:proofErr w:type="spellStart"/>
            <w:r w:rsidRPr="004C0B3B">
              <w:rPr>
                <w:sz w:val="24"/>
                <w:szCs w:val="24"/>
                <w:lang w:val="sv-SE"/>
              </w:rPr>
              <w:t>nekrolyse</w:t>
            </w:r>
            <w:proofErr w:type="spellEnd"/>
            <w:r w:rsidRPr="004C0B3B">
              <w:rPr>
                <w:sz w:val="24"/>
                <w:szCs w:val="24"/>
                <w:lang w:val="sv-SE"/>
              </w:rPr>
              <w:t xml:space="preserve"> (</w:t>
            </w:r>
            <w:proofErr w:type="spellStart"/>
            <w:r w:rsidRPr="004C0B3B">
              <w:rPr>
                <w:sz w:val="24"/>
                <w:szCs w:val="24"/>
                <w:lang w:val="sv-SE"/>
              </w:rPr>
              <w:t>Lyells</w:t>
            </w:r>
            <w:proofErr w:type="spellEnd"/>
            <w:r w:rsidRPr="004C0B3B">
              <w:rPr>
                <w:sz w:val="24"/>
                <w:szCs w:val="24"/>
                <w:lang w:val="sv-SE"/>
              </w:rPr>
              <w:t xml:space="preserve"> syndrom), Stevens-Johnson</w:t>
            </w:r>
            <w:r w:rsidR="005C31B1">
              <w:rPr>
                <w:sz w:val="24"/>
                <w:szCs w:val="24"/>
                <w:lang w:val="sv-SE"/>
              </w:rPr>
              <w:t>s</w:t>
            </w:r>
            <w:r w:rsidRPr="004C0B3B">
              <w:rPr>
                <w:sz w:val="24"/>
                <w:szCs w:val="24"/>
                <w:lang w:val="sv-SE"/>
              </w:rPr>
              <w:t xml:space="preserve"> syndrom.</w:t>
            </w:r>
          </w:p>
          <w:p w14:paraId="3F9DC7BE" w14:textId="77777777" w:rsidR="004873ED" w:rsidRPr="004C0B3B" w:rsidRDefault="004873ED" w:rsidP="00093522">
            <w:pPr>
              <w:pStyle w:val="Titel"/>
              <w:widowControl w:val="0"/>
              <w:jc w:val="left"/>
              <w:rPr>
                <w:b w:val="0"/>
                <w:szCs w:val="24"/>
                <w:lang w:val="sv-SE"/>
              </w:rPr>
            </w:pPr>
          </w:p>
          <w:p w14:paraId="2304A25C" w14:textId="77777777" w:rsidR="00D22229" w:rsidRDefault="00D22229" w:rsidP="00D22229">
            <w:pPr>
              <w:pStyle w:val="Titel"/>
              <w:widowControl w:val="0"/>
              <w:jc w:val="left"/>
              <w:rPr>
                <w:b w:val="0"/>
                <w:szCs w:val="24"/>
              </w:rPr>
            </w:pPr>
            <w:r>
              <w:rPr>
                <w:b w:val="0"/>
                <w:szCs w:val="24"/>
              </w:rPr>
              <w:t xml:space="preserve">Lægemiddeludslæt med </w:t>
            </w:r>
            <w:proofErr w:type="spellStart"/>
            <w:r>
              <w:rPr>
                <w:b w:val="0"/>
                <w:szCs w:val="24"/>
              </w:rPr>
              <w:t>eosinofili</w:t>
            </w:r>
            <w:proofErr w:type="spellEnd"/>
            <w:r>
              <w:rPr>
                <w:b w:val="0"/>
                <w:szCs w:val="24"/>
              </w:rPr>
              <w:t xml:space="preserve"> og systemiske symptomer (DRESS), </w:t>
            </w:r>
            <w:proofErr w:type="spellStart"/>
            <w:r>
              <w:rPr>
                <w:b w:val="0"/>
                <w:szCs w:val="24"/>
              </w:rPr>
              <w:t>hyperpigmentering</w:t>
            </w:r>
            <w:proofErr w:type="spellEnd"/>
            <w:r>
              <w:rPr>
                <w:szCs w:val="24"/>
              </w:rPr>
              <w:t>.</w:t>
            </w:r>
            <w:r>
              <w:rPr>
                <w:b w:val="0"/>
                <w:szCs w:val="24"/>
              </w:rPr>
              <w:t xml:space="preserve"> </w:t>
            </w:r>
          </w:p>
          <w:p w14:paraId="03D57134" w14:textId="77777777" w:rsidR="004873ED" w:rsidRPr="004C0B3B" w:rsidRDefault="004873ED" w:rsidP="00093522">
            <w:pPr>
              <w:pStyle w:val="Titel"/>
              <w:widowControl w:val="0"/>
              <w:jc w:val="left"/>
              <w:rPr>
                <w:b w:val="0"/>
                <w:szCs w:val="24"/>
              </w:rPr>
            </w:pPr>
          </w:p>
        </w:tc>
      </w:tr>
      <w:tr w:rsidR="004873ED" w:rsidRPr="004C0B3B" w14:paraId="745F8CFB" w14:textId="77777777" w:rsidTr="007653D9">
        <w:trPr>
          <w:trHeight w:val="533"/>
        </w:trPr>
        <w:tc>
          <w:tcPr>
            <w:tcW w:w="4447" w:type="dxa"/>
          </w:tcPr>
          <w:p w14:paraId="5FA2C515" w14:textId="77777777" w:rsidR="004873ED" w:rsidRPr="004C0B3B" w:rsidRDefault="004873ED" w:rsidP="007653D9">
            <w:pPr>
              <w:pStyle w:val="Titel"/>
              <w:widowControl w:val="0"/>
              <w:ind w:left="34"/>
              <w:jc w:val="left"/>
              <w:rPr>
                <w:szCs w:val="24"/>
              </w:rPr>
            </w:pPr>
            <w:r w:rsidRPr="004C0B3B">
              <w:rPr>
                <w:szCs w:val="24"/>
              </w:rPr>
              <w:t>Knogler, led muskler og bindevæv</w:t>
            </w:r>
          </w:p>
          <w:p w14:paraId="026F9544" w14:textId="77777777" w:rsidR="004873ED" w:rsidRPr="004C0B3B" w:rsidRDefault="004873ED" w:rsidP="007653D9">
            <w:pPr>
              <w:widowControl w:val="0"/>
              <w:ind w:left="34"/>
              <w:rPr>
                <w:sz w:val="24"/>
                <w:szCs w:val="24"/>
              </w:rPr>
            </w:pPr>
            <w:r w:rsidRPr="004C0B3B">
              <w:rPr>
                <w:sz w:val="24"/>
                <w:szCs w:val="24"/>
              </w:rPr>
              <w:t>Sjælden</w:t>
            </w:r>
          </w:p>
          <w:p w14:paraId="0DBE14FE" w14:textId="77777777" w:rsidR="004873ED" w:rsidRPr="004C0B3B" w:rsidRDefault="004873ED" w:rsidP="007653D9">
            <w:pPr>
              <w:widowControl w:val="0"/>
              <w:ind w:left="34"/>
              <w:rPr>
                <w:sz w:val="24"/>
                <w:szCs w:val="24"/>
              </w:rPr>
            </w:pPr>
          </w:p>
          <w:p w14:paraId="50380C19" w14:textId="77777777" w:rsidR="004873ED" w:rsidRPr="004C0B3B" w:rsidRDefault="004873ED" w:rsidP="007653D9">
            <w:pPr>
              <w:widowControl w:val="0"/>
              <w:ind w:left="34"/>
              <w:rPr>
                <w:sz w:val="24"/>
                <w:szCs w:val="24"/>
              </w:rPr>
            </w:pPr>
            <w:r w:rsidRPr="004C0B3B">
              <w:rPr>
                <w:sz w:val="24"/>
                <w:szCs w:val="24"/>
              </w:rPr>
              <w:t xml:space="preserve">Meget sjælden </w:t>
            </w:r>
          </w:p>
          <w:p w14:paraId="1134F1ED" w14:textId="77777777" w:rsidR="004873ED" w:rsidRPr="004C0B3B" w:rsidRDefault="004873ED" w:rsidP="007653D9">
            <w:pPr>
              <w:pStyle w:val="Titel"/>
              <w:widowControl w:val="0"/>
              <w:ind w:left="34"/>
              <w:jc w:val="left"/>
              <w:rPr>
                <w:szCs w:val="24"/>
              </w:rPr>
            </w:pPr>
            <w:r w:rsidRPr="004C0B3B">
              <w:rPr>
                <w:szCs w:val="24"/>
              </w:rPr>
              <w:t xml:space="preserve"> </w:t>
            </w:r>
          </w:p>
        </w:tc>
        <w:tc>
          <w:tcPr>
            <w:tcW w:w="4448" w:type="dxa"/>
          </w:tcPr>
          <w:p w14:paraId="3731D895" w14:textId="77777777" w:rsidR="004873ED" w:rsidRPr="004C0B3B" w:rsidRDefault="004873ED" w:rsidP="00093522">
            <w:pPr>
              <w:pStyle w:val="Titel"/>
              <w:widowControl w:val="0"/>
              <w:jc w:val="left"/>
              <w:rPr>
                <w:b w:val="0"/>
                <w:szCs w:val="24"/>
              </w:rPr>
            </w:pPr>
          </w:p>
          <w:p w14:paraId="0E4E8A8C" w14:textId="77777777" w:rsidR="004873ED" w:rsidRPr="004C0B3B" w:rsidRDefault="004873ED" w:rsidP="00093522">
            <w:pPr>
              <w:widowControl w:val="0"/>
              <w:rPr>
                <w:sz w:val="24"/>
                <w:szCs w:val="24"/>
              </w:rPr>
            </w:pPr>
            <w:proofErr w:type="spellStart"/>
            <w:r w:rsidRPr="004C0B3B">
              <w:rPr>
                <w:sz w:val="24"/>
                <w:szCs w:val="24"/>
              </w:rPr>
              <w:t>Rhabdomyolyse</w:t>
            </w:r>
            <w:proofErr w:type="spellEnd"/>
            <w:r w:rsidRPr="004C0B3B">
              <w:rPr>
                <w:sz w:val="24"/>
                <w:szCs w:val="24"/>
              </w:rPr>
              <w:t xml:space="preserve"> (se pkt. 4.4).</w:t>
            </w:r>
          </w:p>
          <w:p w14:paraId="7625DC19" w14:textId="77777777" w:rsidR="004873ED" w:rsidRPr="004C0B3B" w:rsidRDefault="004873ED" w:rsidP="00093522">
            <w:pPr>
              <w:widowControl w:val="0"/>
              <w:rPr>
                <w:sz w:val="24"/>
                <w:szCs w:val="24"/>
              </w:rPr>
            </w:pPr>
          </w:p>
          <w:p w14:paraId="2579909D" w14:textId="77777777" w:rsidR="004873ED" w:rsidRPr="004C0B3B" w:rsidRDefault="004873ED" w:rsidP="00093522">
            <w:pPr>
              <w:widowControl w:val="0"/>
              <w:rPr>
                <w:sz w:val="24"/>
                <w:szCs w:val="24"/>
              </w:rPr>
            </w:pPr>
            <w:r w:rsidRPr="004C0B3B">
              <w:rPr>
                <w:sz w:val="24"/>
                <w:szCs w:val="24"/>
              </w:rPr>
              <w:t xml:space="preserve">Nedsat knogledensitet, </w:t>
            </w:r>
            <w:proofErr w:type="spellStart"/>
            <w:r w:rsidRPr="004C0B3B">
              <w:rPr>
                <w:sz w:val="24"/>
                <w:szCs w:val="24"/>
              </w:rPr>
              <w:t>osteopeni</w:t>
            </w:r>
            <w:proofErr w:type="spellEnd"/>
            <w:r w:rsidRPr="004C0B3B">
              <w:rPr>
                <w:sz w:val="24"/>
                <w:szCs w:val="24"/>
              </w:rPr>
              <w:t xml:space="preserve">, osteoporose og frakturer hos patienter i langtidsbehandling med </w:t>
            </w:r>
            <w:proofErr w:type="spellStart"/>
            <w:r w:rsidRPr="004C0B3B">
              <w:rPr>
                <w:sz w:val="24"/>
                <w:szCs w:val="24"/>
              </w:rPr>
              <w:t>natriumvalproat</w:t>
            </w:r>
            <w:proofErr w:type="spellEnd"/>
            <w:r w:rsidRPr="004C0B3B">
              <w:rPr>
                <w:sz w:val="24"/>
                <w:szCs w:val="24"/>
              </w:rPr>
              <w:t xml:space="preserve">. Mekanismen bag </w:t>
            </w:r>
            <w:proofErr w:type="spellStart"/>
            <w:r w:rsidRPr="004C0B3B">
              <w:rPr>
                <w:sz w:val="24"/>
                <w:szCs w:val="24"/>
              </w:rPr>
              <w:t>natriumvalproats</w:t>
            </w:r>
            <w:proofErr w:type="spellEnd"/>
            <w:r w:rsidRPr="004C0B3B">
              <w:rPr>
                <w:sz w:val="24"/>
                <w:szCs w:val="24"/>
              </w:rPr>
              <w:t xml:space="preserve"> påvirkning af knoglemetabolismen er ikke klarlagt.</w:t>
            </w:r>
          </w:p>
          <w:p w14:paraId="43AD8F4E" w14:textId="77777777" w:rsidR="004873ED" w:rsidRPr="004C0B3B" w:rsidRDefault="004873ED" w:rsidP="00093522">
            <w:pPr>
              <w:widowControl w:val="0"/>
              <w:ind w:left="123"/>
              <w:rPr>
                <w:sz w:val="24"/>
                <w:szCs w:val="24"/>
              </w:rPr>
            </w:pPr>
            <w:r w:rsidRPr="004C0B3B">
              <w:rPr>
                <w:sz w:val="24"/>
                <w:szCs w:val="24"/>
              </w:rPr>
              <w:t xml:space="preserve"> </w:t>
            </w:r>
          </w:p>
        </w:tc>
      </w:tr>
      <w:tr w:rsidR="004873ED" w:rsidRPr="004C0B3B" w14:paraId="18957E4D" w14:textId="77777777" w:rsidTr="007653D9">
        <w:trPr>
          <w:trHeight w:val="533"/>
        </w:trPr>
        <w:tc>
          <w:tcPr>
            <w:tcW w:w="4447" w:type="dxa"/>
            <w:tcBorders>
              <w:bottom w:val="single" w:sz="4" w:space="0" w:color="auto"/>
            </w:tcBorders>
          </w:tcPr>
          <w:p w14:paraId="10B07DBC" w14:textId="77777777" w:rsidR="004873ED" w:rsidRPr="004C0B3B" w:rsidRDefault="004873ED" w:rsidP="007653D9">
            <w:pPr>
              <w:pStyle w:val="Titel"/>
              <w:widowControl w:val="0"/>
              <w:ind w:left="34"/>
              <w:jc w:val="left"/>
              <w:rPr>
                <w:szCs w:val="24"/>
              </w:rPr>
            </w:pPr>
            <w:r w:rsidRPr="004C0B3B">
              <w:rPr>
                <w:szCs w:val="24"/>
              </w:rPr>
              <w:t xml:space="preserve">Metabolisme og ernæring </w:t>
            </w:r>
          </w:p>
          <w:p w14:paraId="5DD45536" w14:textId="77777777" w:rsidR="004873ED" w:rsidRPr="004C0B3B" w:rsidRDefault="004873ED" w:rsidP="007653D9">
            <w:pPr>
              <w:widowControl w:val="0"/>
              <w:tabs>
                <w:tab w:val="num" w:pos="709"/>
              </w:tabs>
              <w:ind w:left="34"/>
              <w:rPr>
                <w:i/>
                <w:sz w:val="24"/>
                <w:szCs w:val="24"/>
              </w:rPr>
            </w:pPr>
            <w:r w:rsidRPr="004C0B3B">
              <w:rPr>
                <w:sz w:val="24"/>
                <w:szCs w:val="24"/>
              </w:rPr>
              <w:t xml:space="preserve">Meget almindelig </w:t>
            </w:r>
          </w:p>
          <w:p w14:paraId="35D5D022" w14:textId="77777777" w:rsidR="004873ED" w:rsidRPr="004C0B3B" w:rsidRDefault="004873ED" w:rsidP="007653D9">
            <w:pPr>
              <w:widowControl w:val="0"/>
              <w:tabs>
                <w:tab w:val="num" w:pos="709"/>
              </w:tabs>
              <w:ind w:left="34"/>
              <w:rPr>
                <w:i/>
                <w:sz w:val="24"/>
                <w:szCs w:val="24"/>
              </w:rPr>
            </w:pPr>
          </w:p>
          <w:p w14:paraId="669E882F" w14:textId="77777777" w:rsidR="004873ED" w:rsidRPr="004C0B3B" w:rsidRDefault="004873ED" w:rsidP="007653D9">
            <w:pPr>
              <w:widowControl w:val="0"/>
              <w:tabs>
                <w:tab w:val="num" w:pos="709"/>
              </w:tabs>
              <w:ind w:left="34"/>
              <w:rPr>
                <w:i/>
                <w:sz w:val="24"/>
                <w:szCs w:val="24"/>
              </w:rPr>
            </w:pPr>
          </w:p>
          <w:p w14:paraId="6ADB5920" w14:textId="77777777" w:rsidR="004873ED" w:rsidRPr="004C0B3B" w:rsidRDefault="004873ED" w:rsidP="007653D9">
            <w:pPr>
              <w:widowControl w:val="0"/>
              <w:tabs>
                <w:tab w:val="num" w:pos="709"/>
              </w:tabs>
              <w:ind w:left="34"/>
              <w:rPr>
                <w:i/>
                <w:sz w:val="24"/>
                <w:szCs w:val="24"/>
              </w:rPr>
            </w:pPr>
          </w:p>
          <w:p w14:paraId="7BF70999" w14:textId="77777777" w:rsidR="004873ED" w:rsidRPr="004C0B3B" w:rsidRDefault="004873ED" w:rsidP="007653D9">
            <w:pPr>
              <w:pStyle w:val="Titel"/>
              <w:widowControl w:val="0"/>
              <w:ind w:left="34"/>
              <w:jc w:val="left"/>
              <w:rPr>
                <w:szCs w:val="24"/>
              </w:rPr>
            </w:pPr>
          </w:p>
          <w:p w14:paraId="4F381EDA" w14:textId="77777777" w:rsidR="004873ED" w:rsidRPr="004C0B3B" w:rsidRDefault="004873ED" w:rsidP="007653D9">
            <w:pPr>
              <w:widowControl w:val="0"/>
              <w:ind w:left="34"/>
              <w:rPr>
                <w:sz w:val="24"/>
                <w:szCs w:val="24"/>
              </w:rPr>
            </w:pPr>
            <w:r w:rsidRPr="004C0B3B">
              <w:rPr>
                <w:sz w:val="24"/>
                <w:szCs w:val="24"/>
              </w:rPr>
              <w:t xml:space="preserve">Sjælden </w:t>
            </w:r>
          </w:p>
          <w:p w14:paraId="37047D2B" w14:textId="77777777" w:rsidR="004873ED" w:rsidRPr="004C0B3B" w:rsidRDefault="004873ED" w:rsidP="007653D9">
            <w:pPr>
              <w:widowControl w:val="0"/>
              <w:ind w:left="34"/>
              <w:rPr>
                <w:sz w:val="24"/>
                <w:szCs w:val="24"/>
              </w:rPr>
            </w:pPr>
          </w:p>
          <w:p w14:paraId="4242AAA5" w14:textId="77777777" w:rsidR="004873ED" w:rsidRPr="004C0B3B" w:rsidRDefault="004873ED" w:rsidP="007653D9">
            <w:pPr>
              <w:widowControl w:val="0"/>
              <w:ind w:left="34"/>
              <w:rPr>
                <w:sz w:val="24"/>
                <w:szCs w:val="24"/>
              </w:rPr>
            </w:pPr>
          </w:p>
          <w:p w14:paraId="1299557C" w14:textId="77777777" w:rsidR="004873ED" w:rsidRPr="004C0B3B" w:rsidRDefault="004873ED" w:rsidP="007653D9">
            <w:pPr>
              <w:widowControl w:val="0"/>
              <w:ind w:left="34"/>
              <w:rPr>
                <w:sz w:val="24"/>
                <w:szCs w:val="24"/>
              </w:rPr>
            </w:pPr>
            <w:r w:rsidRPr="004C0B3B">
              <w:rPr>
                <w:sz w:val="24"/>
                <w:szCs w:val="24"/>
              </w:rPr>
              <w:t xml:space="preserve">Meget sjælden </w:t>
            </w:r>
          </w:p>
          <w:p w14:paraId="1F712BD9" w14:textId="77777777" w:rsidR="004C0B3B" w:rsidRPr="004C0B3B" w:rsidRDefault="004C0B3B" w:rsidP="007653D9">
            <w:pPr>
              <w:widowControl w:val="0"/>
              <w:ind w:left="34"/>
              <w:rPr>
                <w:sz w:val="24"/>
                <w:szCs w:val="24"/>
              </w:rPr>
            </w:pPr>
          </w:p>
          <w:p w14:paraId="53ABE757" w14:textId="77777777" w:rsidR="004C0B3B" w:rsidRPr="004C0B3B" w:rsidRDefault="004C0B3B" w:rsidP="007653D9">
            <w:pPr>
              <w:widowControl w:val="0"/>
              <w:ind w:left="34"/>
              <w:rPr>
                <w:sz w:val="24"/>
                <w:szCs w:val="24"/>
              </w:rPr>
            </w:pPr>
            <w:r w:rsidRPr="004C0B3B">
              <w:rPr>
                <w:sz w:val="24"/>
                <w:szCs w:val="24"/>
              </w:rPr>
              <w:t xml:space="preserve">Ikke kendt </w:t>
            </w:r>
          </w:p>
          <w:p w14:paraId="04D6E7B3" w14:textId="77777777" w:rsidR="004C0B3B" w:rsidRPr="004C0B3B" w:rsidRDefault="004C0B3B" w:rsidP="007653D9">
            <w:pPr>
              <w:widowControl w:val="0"/>
              <w:ind w:left="34"/>
              <w:rPr>
                <w:sz w:val="24"/>
                <w:szCs w:val="24"/>
              </w:rPr>
            </w:pPr>
          </w:p>
          <w:p w14:paraId="43837181" w14:textId="77777777" w:rsidR="004873ED" w:rsidRPr="004C0B3B" w:rsidRDefault="004873ED" w:rsidP="007653D9">
            <w:pPr>
              <w:widowControl w:val="0"/>
              <w:ind w:left="34"/>
              <w:rPr>
                <w:sz w:val="24"/>
                <w:szCs w:val="24"/>
              </w:rPr>
            </w:pPr>
          </w:p>
        </w:tc>
        <w:tc>
          <w:tcPr>
            <w:tcW w:w="4448" w:type="dxa"/>
            <w:tcBorders>
              <w:bottom w:val="single" w:sz="4" w:space="0" w:color="auto"/>
            </w:tcBorders>
          </w:tcPr>
          <w:p w14:paraId="24A6338A" w14:textId="77777777" w:rsidR="004873ED" w:rsidRPr="004C0B3B" w:rsidRDefault="004873ED" w:rsidP="00093522">
            <w:pPr>
              <w:pStyle w:val="Titel"/>
              <w:widowControl w:val="0"/>
              <w:jc w:val="left"/>
              <w:rPr>
                <w:b w:val="0"/>
                <w:szCs w:val="24"/>
              </w:rPr>
            </w:pPr>
          </w:p>
          <w:p w14:paraId="1713E829" w14:textId="77777777" w:rsidR="004873ED" w:rsidRPr="004C0B3B" w:rsidRDefault="004873ED" w:rsidP="00093522">
            <w:pPr>
              <w:widowControl w:val="0"/>
              <w:tabs>
                <w:tab w:val="num" w:pos="709"/>
              </w:tabs>
              <w:rPr>
                <w:sz w:val="24"/>
                <w:szCs w:val="24"/>
              </w:rPr>
            </w:pPr>
            <w:r w:rsidRPr="004C0B3B">
              <w:rPr>
                <w:sz w:val="24"/>
                <w:szCs w:val="24"/>
              </w:rPr>
              <w:t xml:space="preserve">Isoleret </w:t>
            </w:r>
            <w:proofErr w:type="spellStart"/>
            <w:r w:rsidRPr="004C0B3B">
              <w:rPr>
                <w:sz w:val="24"/>
                <w:szCs w:val="24"/>
              </w:rPr>
              <w:t>hyperammoniæmi</w:t>
            </w:r>
            <w:proofErr w:type="spellEnd"/>
            <w:r w:rsidRPr="004C0B3B">
              <w:rPr>
                <w:sz w:val="24"/>
                <w:szCs w:val="24"/>
              </w:rPr>
              <w:t xml:space="preserve">, dvs. uden symptomer på nedsat leverfunktion. Det er ikke nødvendigt at afbryde behandlingen. Ikke-isoleret </w:t>
            </w:r>
            <w:proofErr w:type="spellStart"/>
            <w:r w:rsidRPr="004C0B3B">
              <w:rPr>
                <w:sz w:val="24"/>
                <w:szCs w:val="24"/>
              </w:rPr>
              <w:t>hyperammoniæmi</w:t>
            </w:r>
            <w:proofErr w:type="spellEnd"/>
            <w:r w:rsidRPr="004C0B3B">
              <w:rPr>
                <w:sz w:val="24"/>
                <w:szCs w:val="24"/>
              </w:rPr>
              <w:t xml:space="preserve">, se pkt. 4.4. </w:t>
            </w:r>
          </w:p>
          <w:p w14:paraId="71BE3B1E" w14:textId="77777777" w:rsidR="004873ED" w:rsidRPr="004C0B3B" w:rsidRDefault="004873ED" w:rsidP="00093522">
            <w:pPr>
              <w:widowControl w:val="0"/>
              <w:tabs>
                <w:tab w:val="num" w:pos="709"/>
              </w:tabs>
              <w:rPr>
                <w:sz w:val="24"/>
                <w:szCs w:val="24"/>
              </w:rPr>
            </w:pPr>
          </w:p>
          <w:p w14:paraId="29EEE004" w14:textId="77777777" w:rsidR="004873ED" w:rsidRPr="004C0B3B" w:rsidRDefault="004873ED" w:rsidP="00093522">
            <w:pPr>
              <w:widowControl w:val="0"/>
              <w:tabs>
                <w:tab w:val="num" w:pos="709"/>
              </w:tabs>
              <w:rPr>
                <w:sz w:val="24"/>
                <w:szCs w:val="24"/>
              </w:rPr>
            </w:pPr>
            <w:proofErr w:type="spellStart"/>
            <w:r w:rsidRPr="004C0B3B">
              <w:rPr>
                <w:sz w:val="24"/>
                <w:szCs w:val="24"/>
              </w:rPr>
              <w:t>Hyperinsulinæmi</w:t>
            </w:r>
            <w:proofErr w:type="spellEnd"/>
            <w:r w:rsidRPr="004C0B3B">
              <w:rPr>
                <w:sz w:val="24"/>
                <w:szCs w:val="24"/>
              </w:rPr>
              <w:t>.</w:t>
            </w:r>
          </w:p>
          <w:p w14:paraId="4C14C581" w14:textId="77777777" w:rsidR="004873ED" w:rsidRPr="004C0B3B" w:rsidRDefault="004873ED" w:rsidP="00093522">
            <w:pPr>
              <w:widowControl w:val="0"/>
              <w:tabs>
                <w:tab w:val="num" w:pos="709"/>
              </w:tabs>
              <w:rPr>
                <w:sz w:val="24"/>
                <w:szCs w:val="24"/>
              </w:rPr>
            </w:pPr>
            <w:r w:rsidRPr="004C0B3B">
              <w:rPr>
                <w:sz w:val="24"/>
                <w:szCs w:val="24"/>
              </w:rPr>
              <w:t>Fedme.</w:t>
            </w:r>
          </w:p>
          <w:p w14:paraId="53E9CDB7" w14:textId="77777777" w:rsidR="004873ED" w:rsidRPr="004C0B3B" w:rsidRDefault="004873ED" w:rsidP="00093522">
            <w:pPr>
              <w:widowControl w:val="0"/>
              <w:tabs>
                <w:tab w:val="num" w:pos="709"/>
              </w:tabs>
              <w:rPr>
                <w:sz w:val="24"/>
                <w:szCs w:val="24"/>
              </w:rPr>
            </w:pPr>
          </w:p>
          <w:p w14:paraId="4B85B5E1" w14:textId="77777777" w:rsidR="004873ED" w:rsidRPr="004C0B3B" w:rsidRDefault="004873ED" w:rsidP="00093522">
            <w:pPr>
              <w:widowControl w:val="0"/>
              <w:rPr>
                <w:sz w:val="24"/>
                <w:szCs w:val="24"/>
              </w:rPr>
            </w:pPr>
            <w:proofErr w:type="spellStart"/>
            <w:r w:rsidRPr="004C0B3B">
              <w:rPr>
                <w:sz w:val="24"/>
                <w:szCs w:val="24"/>
              </w:rPr>
              <w:t>Hyponatriæmi</w:t>
            </w:r>
            <w:proofErr w:type="spellEnd"/>
            <w:r w:rsidRPr="004C0B3B">
              <w:rPr>
                <w:sz w:val="24"/>
                <w:szCs w:val="24"/>
              </w:rPr>
              <w:t xml:space="preserve">. </w:t>
            </w:r>
          </w:p>
          <w:p w14:paraId="639F4EC1" w14:textId="77777777" w:rsidR="004873ED" w:rsidRPr="004C0B3B" w:rsidRDefault="004873ED" w:rsidP="00093522">
            <w:pPr>
              <w:widowControl w:val="0"/>
              <w:rPr>
                <w:sz w:val="24"/>
                <w:szCs w:val="24"/>
              </w:rPr>
            </w:pPr>
          </w:p>
          <w:p w14:paraId="719D3008" w14:textId="77777777" w:rsidR="004C0B3B" w:rsidRPr="004C0B3B" w:rsidRDefault="004C0B3B" w:rsidP="004C0B3B">
            <w:pPr>
              <w:widowControl w:val="0"/>
              <w:rPr>
                <w:sz w:val="24"/>
                <w:szCs w:val="24"/>
                <w:lang w:eastAsia="de-DE"/>
              </w:rPr>
            </w:pPr>
            <w:proofErr w:type="spellStart"/>
            <w:r w:rsidRPr="004C0B3B">
              <w:rPr>
                <w:sz w:val="24"/>
                <w:szCs w:val="24"/>
              </w:rPr>
              <w:t>Hypokarnitinæmi</w:t>
            </w:r>
            <w:proofErr w:type="spellEnd"/>
            <w:r w:rsidRPr="004C0B3B">
              <w:rPr>
                <w:sz w:val="24"/>
                <w:szCs w:val="24"/>
              </w:rPr>
              <w:t xml:space="preserve"> (se pkt. 4.3 og 4.4).</w:t>
            </w:r>
          </w:p>
          <w:p w14:paraId="36488EA7" w14:textId="77777777" w:rsidR="004C0B3B" w:rsidRPr="004C0B3B" w:rsidRDefault="004C0B3B" w:rsidP="00093522">
            <w:pPr>
              <w:widowControl w:val="0"/>
              <w:rPr>
                <w:sz w:val="24"/>
                <w:szCs w:val="24"/>
              </w:rPr>
            </w:pPr>
          </w:p>
        </w:tc>
      </w:tr>
      <w:tr w:rsidR="004873ED" w:rsidRPr="004C0B3B" w14:paraId="2CAD4B02" w14:textId="77777777" w:rsidTr="007653D9">
        <w:trPr>
          <w:trHeight w:val="273"/>
        </w:trPr>
        <w:tc>
          <w:tcPr>
            <w:tcW w:w="4447" w:type="dxa"/>
          </w:tcPr>
          <w:p w14:paraId="3A1B1D73" w14:textId="77777777" w:rsidR="004873ED" w:rsidRPr="004C0B3B" w:rsidRDefault="004873ED" w:rsidP="007653D9">
            <w:pPr>
              <w:pStyle w:val="Titel"/>
              <w:widowControl w:val="0"/>
              <w:ind w:left="34"/>
              <w:jc w:val="left"/>
              <w:rPr>
                <w:szCs w:val="24"/>
              </w:rPr>
            </w:pPr>
            <w:r w:rsidRPr="004C0B3B">
              <w:rPr>
                <w:szCs w:val="24"/>
              </w:rPr>
              <w:t xml:space="preserve">Vaskulære sygdomme </w:t>
            </w:r>
          </w:p>
          <w:p w14:paraId="3D459793" w14:textId="77777777" w:rsidR="004873ED" w:rsidRPr="004C0B3B" w:rsidRDefault="004873ED" w:rsidP="007653D9">
            <w:pPr>
              <w:widowControl w:val="0"/>
              <w:ind w:left="34"/>
              <w:rPr>
                <w:b/>
                <w:sz w:val="24"/>
                <w:szCs w:val="24"/>
              </w:rPr>
            </w:pPr>
            <w:r w:rsidRPr="004C0B3B">
              <w:rPr>
                <w:sz w:val="24"/>
                <w:szCs w:val="24"/>
              </w:rPr>
              <w:t xml:space="preserve">Ikke almindelig </w:t>
            </w:r>
          </w:p>
        </w:tc>
        <w:tc>
          <w:tcPr>
            <w:tcW w:w="4448" w:type="dxa"/>
          </w:tcPr>
          <w:p w14:paraId="31D4B13A" w14:textId="77777777" w:rsidR="004873ED" w:rsidRPr="004C0B3B" w:rsidRDefault="004873ED" w:rsidP="00093522">
            <w:pPr>
              <w:pStyle w:val="Titel"/>
              <w:widowControl w:val="0"/>
              <w:jc w:val="left"/>
              <w:rPr>
                <w:b w:val="0"/>
                <w:szCs w:val="24"/>
              </w:rPr>
            </w:pPr>
          </w:p>
          <w:p w14:paraId="479FDB35" w14:textId="77777777" w:rsidR="004873ED" w:rsidRPr="004C0B3B" w:rsidRDefault="004873ED" w:rsidP="00093522">
            <w:pPr>
              <w:widowControl w:val="0"/>
              <w:rPr>
                <w:sz w:val="24"/>
                <w:szCs w:val="24"/>
              </w:rPr>
            </w:pPr>
            <w:r w:rsidRPr="004C0B3B">
              <w:rPr>
                <w:sz w:val="24"/>
                <w:szCs w:val="24"/>
              </w:rPr>
              <w:t>Ikke alvorligt perifert ødem.</w:t>
            </w:r>
          </w:p>
          <w:p w14:paraId="5AA951A0" w14:textId="77777777" w:rsidR="004873ED" w:rsidRPr="004C0B3B" w:rsidRDefault="004873ED" w:rsidP="00093522">
            <w:pPr>
              <w:widowControl w:val="0"/>
              <w:rPr>
                <w:b/>
                <w:sz w:val="24"/>
                <w:szCs w:val="24"/>
              </w:rPr>
            </w:pPr>
          </w:p>
        </w:tc>
      </w:tr>
      <w:tr w:rsidR="004873ED" w:rsidRPr="004C0B3B" w14:paraId="4EB6A510" w14:textId="77777777" w:rsidTr="007653D9">
        <w:trPr>
          <w:trHeight w:val="273"/>
        </w:trPr>
        <w:tc>
          <w:tcPr>
            <w:tcW w:w="4447" w:type="dxa"/>
          </w:tcPr>
          <w:p w14:paraId="0F234413" w14:textId="77777777" w:rsidR="004873ED" w:rsidRPr="004C0B3B" w:rsidRDefault="004873ED" w:rsidP="007653D9">
            <w:pPr>
              <w:pStyle w:val="Titel"/>
              <w:widowControl w:val="0"/>
              <w:ind w:left="34"/>
              <w:jc w:val="left"/>
              <w:rPr>
                <w:szCs w:val="24"/>
              </w:rPr>
            </w:pPr>
            <w:r w:rsidRPr="004C0B3B">
              <w:rPr>
                <w:szCs w:val="24"/>
              </w:rPr>
              <w:t xml:space="preserve">Luftveje, thorax og </w:t>
            </w:r>
            <w:proofErr w:type="spellStart"/>
            <w:r w:rsidRPr="004C0B3B">
              <w:rPr>
                <w:szCs w:val="24"/>
              </w:rPr>
              <w:t>mediastinum</w:t>
            </w:r>
            <w:proofErr w:type="spellEnd"/>
          </w:p>
          <w:p w14:paraId="56F75728" w14:textId="77777777" w:rsidR="004873ED" w:rsidRPr="004C0B3B" w:rsidRDefault="00D22229" w:rsidP="007653D9">
            <w:pPr>
              <w:pStyle w:val="Titel"/>
              <w:widowControl w:val="0"/>
              <w:ind w:left="34"/>
              <w:jc w:val="left"/>
              <w:rPr>
                <w:szCs w:val="24"/>
              </w:rPr>
            </w:pPr>
            <w:r w:rsidRPr="00D22229">
              <w:rPr>
                <w:b w:val="0"/>
                <w:szCs w:val="24"/>
              </w:rPr>
              <w:t>Ikke almindelig</w:t>
            </w:r>
          </w:p>
        </w:tc>
        <w:tc>
          <w:tcPr>
            <w:tcW w:w="4448" w:type="dxa"/>
          </w:tcPr>
          <w:p w14:paraId="69D77398" w14:textId="77777777" w:rsidR="004873ED" w:rsidRPr="004C0B3B" w:rsidRDefault="004873ED" w:rsidP="00093522">
            <w:pPr>
              <w:pStyle w:val="Titel"/>
              <w:widowControl w:val="0"/>
              <w:jc w:val="left"/>
              <w:rPr>
                <w:b w:val="0"/>
                <w:szCs w:val="24"/>
              </w:rPr>
            </w:pPr>
          </w:p>
          <w:p w14:paraId="097A74CD" w14:textId="77777777" w:rsidR="00D22229" w:rsidRDefault="00D22229" w:rsidP="00D22229">
            <w:pPr>
              <w:pStyle w:val="Titel"/>
              <w:widowControl w:val="0"/>
              <w:jc w:val="left"/>
              <w:rPr>
                <w:b w:val="0"/>
                <w:szCs w:val="24"/>
              </w:rPr>
            </w:pPr>
            <w:proofErr w:type="spellStart"/>
            <w:r>
              <w:rPr>
                <w:b w:val="0"/>
                <w:szCs w:val="24"/>
              </w:rPr>
              <w:t>Pleural</w:t>
            </w:r>
            <w:proofErr w:type="spellEnd"/>
            <w:r>
              <w:rPr>
                <w:b w:val="0"/>
                <w:szCs w:val="24"/>
              </w:rPr>
              <w:t xml:space="preserve"> </w:t>
            </w:r>
            <w:proofErr w:type="spellStart"/>
            <w:r>
              <w:rPr>
                <w:b w:val="0"/>
                <w:szCs w:val="24"/>
              </w:rPr>
              <w:t>effusion</w:t>
            </w:r>
            <w:proofErr w:type="spellEnd"/>
            <w:r>
              <w:rPr>
                <w:b w:val="0"/>
                <w:szCs w:val="24"/>
              </w:rPr>
              <w:t xml:space="preserve"> (</w:t>
            </w:r>
            <w:proofErr w:type="spellStart"/>
            <w:r>
              <w:rPr>
                <w:b w:val="0"/>
                <w:szCs w:val="24"/>
              </w:rPr>
              <w:t>eosinofil</w:t>
            </w:r>
            <w:proofErr w:type="spellEnd"/>
            <w:r>
              <w:rPr>
                <w:b w:val="0"/>
                <w:szCs w:val="24"/>
              </w:rPr>
              <w:t>).</w:t>
            </w:r>
          </w:p>
          <w:p w14:paraId="39DF8323" w14:textId="77777777" w:rsidR="004873ED" w:rsidRPr="004C0B3B" w:rsidRDefault="004873ED" w:rsidP="00093522">
            <w:pPr>
              <w:pStyle w:val="Titel"/>
              <w:widowControl w:val="0"/>
              <w:jc w:val="left"/>
              <w:rPr>
                <w:b w:val="0"/>
                <w:szCs w:val="24"/>
              </w:rPr>
            </w:pPr>
          </w:p>
        </w:tc>
      </w:tr>
      <w:tr w:rsidR="004873ED" w:rsidRPr="004C0B3B" w14:paraId="5E848554" w14:textId="77777777" w:rsidTr="007653D9">
        <w:trPr>
          <w:trHeight w:val="146"/>
        </w:trPr>
        <w:tc>
          <w:tcPr>
            <w:tcW w:w="4447" w:type="dxa"/>
            <w:tcBorders>
              <w:bottom w:val="single" w:sz="4" w:space="0" w:color="auto"/>
            </w:tcBorders>
          </w:tcPr>
          <w:p w14:paraId="4FE73E5D" w14:textId="77777777" w:rsidR="004873ED" w:rsidRPr="004C0B3B" w:rsidRDefault="004873ED" w:rsidP="007653D9">
            <w:pPr>
              <w:pStyle w:val="Titel"/>
              <w:widowControl w:val="0"/>
              <w:ind w:left="34"/>
              <w:jc w:val="left"/>
              <w:rPr>
                <w:szCs w:val="24"/>
              </w:rPr>
            </w:pPr>
            <w:r w:rsidRPr="004C0B3B">
              <w:rPr>
                <w:szCs w:val="24"/>
              </w:rPr>
              <w:t>Almene symptomer og reaktioner på administrationsstedet</w:t>
            </w:r>
          </w:p>
          <w:p w14:paraId="755050AC" w14:textId="77777777" w:rsidR="004873ED" w:rsidRPr="004C0B3B" w:rsidRDefault="004873ED" w:rsidP="007653D9">
            <w:pPr>
              <w:widowControl w:val="0"/>
              <w:ind w:left="34"/>
              <w:rPr>
                <w:b/>
                <w:sz w:val="24"/>
                <w:szCs w:val="24"/>
              </w:rPr>
            </w:pPr>
            <w:r w:rsidRPr="004C0B3B">
              <w:rPr>
                <w:sz w:val="24"/>
                <w:szCs w:val="24"/>
              </w:rPr>
              <w:t xml:space="preserve">Almindelig </w:t>
            </w:r>
          </w:p>
          <w:p w14:paraId="2533BCFD" w14:textId="77777777" w:rsidR="004873ED" w:rsidRPr="004C0B3B" w:rsidRDefault="004873ED" w:rsidP="007653D9">
            <w:pPr>
              <w:widowControl w:val="0"/>
              <w:ind w:left="34"/>
              <w:rPr>
                <w:i/>
                <w:sz w:val="24"/>
                <w:szCs w:val="24"/>
              </w:rPr>
            </w:pPr>
          </w:p>
          <w:p w14:paraId="4CE5FBF8" w14:textId="77777777" w:rsidR="004873ED" w:rsidRPr="004C0B3B" w:rsidRDefault="004873ED" w:rsidP="007653D9">
            <w:pPr>
              <w:widowControl w:val="0"/>
              <w:ind w:left="34"/>
              <w:rPr>
                <w:sz w:val="24"/>
                <w:szCs w:val="24"/>
              </w:rPr>
            </w:pPr>
          </w:p>
          <w:p w14:paraId="2E002C91" w14:textId="77777777" w:rsidR="004873ED" w:rsidRPr="004C0B3B" w:rsidRDefault="004873ED" w:rsidP="007653D9">
            <w:pPr>
              <w:widowControl w:val="0"/>
              <w:ind w:left="34"/>
              <w:rPr>
                <w:i/>
                <w:sz w:val="24"/>
                <w:szCs w:val="24"/>
              </w:rPr>
            </w:pPr>
            <w:r w:rsidRPr="004C0B3B">
              <w:rPr>
                <w:sz w:val="24"/>
                <w:szCs w:val="24"/>
              </w:rPr>
              <w:t xml:space="preserve">Sjælden </w:t>
            </w:r>
          </w:p>
          <w:p w14:paraId="57BA777D" w14:textId="77777777" w:rsidR="004873ED" w:rsidRPr="004C0B3B" w:rsidRDefault="004873ED" w:rsidP="007653D9">
            <w:pPr>
              <w:widowControl w:val="0"/>
              <w:ind w:left="34"/>
              <w:rPr>
                <w:b/>
                <w:sz w:val="24"/>
                <w:szCs w:val="24"/>
              </w:rPr>
            </w:pPr>
          </w:p>
        </w:tc>
        <w:tc>
          <w:tcPr>
            <w:tcW w:w="4448" w:type="dxa"/>
            <w:tcBorders>
              <w:bottom w:val="single" w:sz="4" w:space="0" w:color="auto"/>
            </w:tcBorders>
          </w:tcPr>
          <w:p w14:paraId="2786D4D2" w14:textId="77777777" w:rsidR="004873ED" w:rsidRPr="004C0B3B" w:rsidRDefault="004873ED" w:rsidP="00093522">
            <w:pPr>
              <w:widowControl w:val="0"/>
              <w:rPr>
                <w:b/>
                <w:sz w:val="24"/>
                <w:szCs w:val="24"/>
              </w:rPr>
            </w:pPr>
          </w:p>
          <w:p w14:paraId="7A9F5108" w14:textId="77777777" w:rsidR="004873ED" w:rsidRPr="004C0B3B" w:rsidRDefault="004873ED" w:rsidP="00093522">
            <w:pPr>
              <w:pStyle w:val="Titel"/>
              <w:widowControl w:val="0"/>
              <w:jc w:val="left"/>
              <w:rPr>
                <w:b w:val="0"/>
                <w:szCs w:val="24"/>
              </w:rPr>
            </w:pPr>
          </w:p>
          <w:p w14:paraId="4CF48A74" w14:textId="77777777" w:rsidR="004873ED" w:rsidRPr="004C0B3B" w:rsidRDefault="004873ED" w:rsidP="00093522">
            <w:pPr>
              <w:widowControl w:val="0"/>
              <w:rPr>
                <w:sz w:val="24"/>
                <w:szCs w:val="24"/>
              </w:rPr>
            </w:pPr>
            <w:r w:rsidRPr="004C0B3B">
              <w:rPr>
                <w:sz w:val="24"/>
                <w:szCs w:val="24"/>
              </w:rPr>
              <w:t>Vægtøgning (se pkt. 4.4) eller vægttab, forøget eller mindsket appetit.</w:t>
            </w:r>
          </w:p>
          <w:p w14:paraId="5C70695E" w14:textId="77777777" w:rsidR="004873ED" w:rsidRPr="004C0B3B" w:rsidRDefault="004873ED" w:rsidP="00093522">
            <w:pPr>
              <w:widowControl w:val="0"/>
              <w:ind w:left="851"/>
              <w:rPr>
                <w:sz w:val="24"/>
                <w:szCs w:val="24"/>
              </w:rPr>
            </w:pPr>
          </w:p>
          <w:p w14:paraId="5F872432" w14:textId="77777777" w:rsidR="004873ED" w:rsidRPr="004C0B3B" w:rsidRDefault="004873ED" w:rsidP="00093522">
            <w:pPr>
              <w:pStyle w:val="Titel"/>
              <w:widowControl w:val="0"/>
              <w:jc w:val="left"/>
              <w:rPr>
                <w:b w:val="0"/>
                <w:szCs w:val="24"/>
              </w:rPr>
            </w:pPr>
            <w:proofErr w:type="spellStart"/>
            <w:r w:rsidRPr="004C0B3B">
              <w:rPr>
                <w:b w:val="0"/>
                <w:szCs w:val="24"/>
              </w:rPr>
              <w:t>Porfyri</w:t>
            </w:r>
            <w:proofErr w:type="spellEnd"/>
            <w:r w:rsidRPr="004C0B3B">
              <w:rPr>
                <w:b w:val="0"/>
                <w:szCs w:val="24"/>
              </w:rPr>
              <w:t xml:space="preserve">, </w:t>
            </w:r>
            <w:proofErr w:type="spellStart"/>
            <w:r w:rsidRPr="004C0B3B">
              <w:rPr>
                <w:b w:val="0"/>
                <w:szCs w:val="24"/>
              </w:rPr>
              <w:t>hypotermi</w:t>
            </w:r>
            <w:proofErr w:type="spellEnd"/>
            <w:r w:rsidRPr="004C0B3B">
              <w:rPr>
                <w:b w:val="0"/>
                <w:szCs w:val="24"/>
              </w:rPr>
              <w:t>.</w:t>
            </w:r>
          </w:p>
        </w:tc>
      </w:tr>
      <w:tr w:rsidR="004873ED" w:rsidRPr="004C0B3B" w14:paraId="28460C5B" w14:textId="77777777" w:rsidTr="007653D9">
        <w:trPr>
          <w:trHeight w:val="146"/>
        </w:trPr>
        <w:tc>
          <w:tcPr>
            <w:tcW w:w="4447" w:type="dxa"/>
          </w:tcPr>
          <w:p w14:paraId="1CFBC853" w14:textId="77777777" w:rsidR="004873ED" w:rsidRPr="004C0B3B" w:rsidRDefault="004873ED" w:rsidP="007653D9">
            <w:pPr>
              <w:pStyle w:val="Titel"/>
              <w:widowControl w:val="0"/>
              <w:ind w:left="34"/>
              <w:jc w:val="left"/>
              <w:rPr>
                <w:szCs w:val="24"/>
              </w:rPr>
            </w:pPr>
            <w:r w:rsidRPr="004C0B3B">
              <w:rPr>
                <w:szCs w:val="24"/>
              </w:rPr>
              <w:t xml:space="preserve">Immunsystemet   </w:t>
            </w:r>
          </w:p>
          <w:p w14:paraId="0240E5B5" w14:textId="77777777" w:rsidR="004873ED" w:rsidRPr="004C0B3B" w:rsidRDefault="004873ED" w:rsidP="007653D9">
            <w:pPr>
              <w:widowControl w:val="0"/>
              <w:ind w:left="34"/>
              <w:rPr>
                <w:sz w:val="24"/>
                <w:szCs w:val="24"/>
              </w:rPr>
            </w:pPr>
            <w:r w:rsidRPr="004C0B3B">
              <w:rPr>
                <w:sz w:val="24"/>
                <w:szCs w:val="24"/>
              </w:rPr>
              <w:t xml:space="preserve">Sjælden </w:t>
            </w:r>
          </w:p>
          <w:p w14:paraId="0EB90428" w14:textId="77777777" w:rsidR="004873ED" w:rsidRPr="004C0B3B" w:rsidRDefault="004873ED" w:rsidP="007653D9">
            <w:pPr>
              <w:pStyle w:val="Titel"/>
              <w:widowControl w:val="0"/>
              <w:ind w:left="34"/>
              <w:jc w:val="left"/>
              <w:rPr>
                <w:b w:val="0"/>
                <w:szCs w:val="24"/>
              </w:rPr>
            </w:pPr>
          </w:p>
          <w:p w14:paraId="6AE13D3C" w14:textId="77777777" w:rsidR="004873ED" w:rsidRPr="004C0B3B" w:rsidRDefault="004873ED" w:rsidP="007653D9">
            <w:pPr>
              <w:widowControl w:val="0"/>
              <w:ind w:left="34"/>
              <w:rPr>
                <w:sz w:val="24"/>
                <w:szCs w:val="24"/>
              </w:rPr>
            </w:pPr>
            <w:r w:rsidRPr="004C0B3B">
              <w:rPr>
                <w:sz w:val="24"/>
                <w:szCs w:val="24"/>
              </w:rPr>
              <w:t xml:space="preserve">Ikke kendt </w:t>
            </w:r>
          </w:p>
          <w:p w14:paraId="5DF71B4F" w14:textId="77777777" w:rsidR="004873ED" w:rsidRPr="004C0B3B" w:rsidRDefault="004873ED" w:rsidP="007653D9">
            <w:pPr>
              <w:pStyle w:val="Titel"/>
              <w:widowControl w:val="0"/>
              <w:ind w:left="34"/>
              <w:jc w:val="left"/>
              <w:rPr>
                <w:b w:val="0"/>
                <w:szCs w:val="24"/>
              </w:rPr>
            </w:pPr>
          </w:p>
        </w:tc>
        <w:tc>
          <w:tcPr>
            <w:tcW w:w="4448" w:type="dxa"/>
          </w:tcPr>
          <w:p w14:paraId="6BDF90EB" w14:textId="77777777" w:rsidR="004873ED" w:rsidRPr="004C0B3B" w:rsidRDefault="004873ED" w:rsidP="00093522">
            <w:pPr>
              <w:pStyle w:val="Titel"/>
              <w:widowControl w:val="0"/>
              <w:jc w:val="left"/>
              <w:rPr>
                <w:b w:val="0"/>
                <w:szCs w:val="24"/>
              </w:rPr>
            </w:pPr>
          </w:p>
          <w:p w14:paraId="7AC784CC" w14:textId="77777777" w:rsidR="004873ED" w:rsidRPr="004C0B3B" w:rsidRDefault="004873ED" w:rsidP="00093522">
            <w:pPr>
              <w:widowControl w:val="0"/>
              <w:tabs>
                <w:tab w:val="num" w:pos="709"/>
              </w:tabs>
              <w:rPr>
                <w:sz w:val="24"/>
                <w:szCs w:val="24"/>
              </w:rPr>
            </w:pPr>
            <w:r w:rsidRPr="004C0B3B">
              <w:rPr>
                <w:sz w:val="24"/>
                <w:szCs w:val="24"/>
              </w:rPr>
              <w:t xml:space="preserve">Systemisk lupus </w:t>
            </w:r>
            <w:proofErr w:type="spellStart"/>
            <w:r w:rsidRPr="004C0B3B">
              <w:rPr>
                <w:sz w:val="24"/>
                <w:szCs w:val="24"/>
              </w:rPr>
              <w:t>erythematosus</w:t>
            </w:r>
            <w:proofErr w:type="spellEnd"/>
            <w:r w:rsidRPr="004C0B3B">
              <w:rPr>
                <w:sz w:val="24"/>
                <w:szCs w:val="24"/>
              </w:rPr>
              <w:t xml:space="preserve"> (SLE).</w:t>
            </w:r>
          </w:p>
          <w:p w14:paraId="533E8902" w14:textId="77777777" w:rsidR="004873ED" w:rsidRPr="004C0B3B" w:rsidRDefault="004873ED" w:rsidP="00093522">
            <w:pPr>
              <w:widowControl w:val="0"/>
              <w:tabs>
                <w:tab w:val="num" w:pos="709"/>
              </w:tabs>
              <w:rPr>
                <w:sz w:val="24"/>
                <w:szCs w:val="24"/>
              </w:rPr>
            </w:pPr>
          </w:p>
          <w:p w14:paraId="211AF828" w14:textId="77777777" w:rsidR="004873ED" w:rsidRPr="004C0B3B" w:rsidRDefault="004873ED" w:rsidP="00093522">
            <w:pPr>
              <w:widowControl w:val="0"/>
              <w:tabs>
                <w:tab w:val="num" w:pos="709"/>
              </w:tabs>
              <w:rPr>
                <w:sz w:val="24"/>
                <w:szCs w:val="24"/>
              </w:rPr>
            </w:pPr>
            <w:r w:rsidRPr="004C0B3B">
              <w:rPr>
                <w:sz w:val="24"/>
                <w:szCs w:val="24"/>
              </w:rPr>
              <w:t xml:space="preserve">Allergiske reaktioner (se også under Hud og subkutane væv), </w:t>
            </w:r>
            <w:proofErr w:type="spellStart"/>
            <w:r w:rsidRPr="004C0B3B">
              <w:rPr>
                <w:sz w:val="24"/>
                <w:szCs w:val="24"/>
              </w:rPr>
              <w:t>angioødem</w:t>
            </w:r>
            <w:proofErr w:type="spellEnd"/>
            <w:r w:rsidRPr="004C0B3B">
              <w:rPr>
                <w:sz w:val="24"/>
                <w:szCs w:val="24"/>
              </w:rPr>
              <w:t>.</w:t>
            </w:r>
          </w:p>
          <w:p w14:paraId="22AED59F" w14:textId="77777777" w:rsidR="004873ED" w:rsidRPr="004C0B3B" w:rsidRDefault="004873ED" w:rsidP="00093522">
            <w:pPr>
              <w:pStyle w:val="Titel"/>
              <w:widowControl w:val="0"/>
              <w:jc w:val="left"/>
              <w:rPr>
                <w:b w:val="0"/>
                <w:szCs w:val="24"/>
              </w:rPr>
            </w:pPr>
          </w:p>
        </w:tc>
      </w:tr>
      <w:tr w:rsidR="004873ED" w:rsidRPr="004C0B3B" w14:paraId="681B10A6" w14:textId="77777777" w:rsidTr="007653D9">
        <w:trPr>
          <w:trHeight w:val="146"/>
        </w:trPr>
        <w:tc>
          <w:tcPr>
            <w:tcW w:w="4447" w:type="dxa"/>
          </w:tcPr>
          <w:p w14:paraId="2254BF80" w14:textId="77777777" w:rsidR="004873ED" w:rsidRPr="004C0B3B" w:rsidRDefault="004873ED" w:rsidP="007653D9">
            <w:pPr>
              <w:pStyle w:val="Titel"/>
              <w:widowControl w:val="0"/>
              <w:ind w:left="34"/>
              <w:jc w:val="left"/>
              <w:rPr>
                <w:szCs w:val="24"/>
              </w:rPr>
            </w:pPr>
            <w:r w:rsidRPr="004C0B3B">
              <w:rPr>
                <w:szCs w:val="24"/>
              </w:rPr>
              <w:t xml:space="preserve">Lever og galdeveje </w:t>
            </w:r>
          </w:p>
          <w:p w14:paraId="28434D12" w14:textId="77777777" w:rsidR="004873ED" w:rsidRPr="004C0B3B" w:rsidRDefault="004873ED" w:rsidP="007653D9">
            <w:pPr>
              <w:widowControl w:val="0"/>
              <w:ind w:left="34"/>
              <w:rPr>
                <w:b/>
                <w:sz w:val="24"/>
                <w:szCs w:val="24"/>
              </w:rPr>
            </w:pPr>
            <w:r w:rsidRPr="004C0B3B">
              <w:rPr>
                <w:sz w:val="24"/>
                <w:szCs w:val="24"/>
              </w:rPr>
              <w:t xml:space="preserve">Ikke almindelig </w:t>
            </w:r>
          </w:p>
        </w:tc>
        <w:tc>
          <w:tcPr>
            <w:tcW w:w="4448" w:type="dxa"/>
          </w:tcPr>
          <w:p w14:paraId="38F06E87" w14:textId="77777777" w:rsidR="004873ED" w:rsidRPr="004C0B3B" w:rsidRDefault="004873ED" w:rsidP="00093522">
            <w:pPr>
              <w:pStyle w:val="Titel"/>
              <w:widowControl w:val="0"/>
              <w:jc w:val="left"/>
              <w:rPr>
                <w:b w:val="0"/>
                <w:szCs w:val="24"/>
              </w:rPr>
            </w:pPr>
          </w:p>
          <w:p w14:paraId="7ACCF35A" w14:textId="77777777" w:rsidR="004873ED" w:rsidRPr="004C0B3B" w:rsidRDefault="004873ED" w:rsidP="00093522">
            <w:pPr>
              <w:widowControl w:val="0"/>
              <w:tabs>
                <w:tab w:val="num" w:pos="709"/>
              </w:tabs>
              <w:rPr>
                <w:sz w:val="24"/>
                <w:szCs w:val="24"/>
              </w:rPr>
            </w:pPr>
            <w:proofErr w:type="spellStart"/>
            <w:r w:rsidRPr="004C0B3B">
              <w:rPr>
                <w:sz w:val="24"/>
                <w:szCs w:val="24"/>
              </w:rPr>
              <w:t>Hepatisk</w:t>
            </w:r>
            <w:proofErr w:type="spellEnd"/>
            <w:r w:rsidRPr="004C0B3B">
              <w:rPr>
                <w:sz w:val="24"/>
                <w:szCs w:val="24"/>
              </w:rPr>
              <w:t xml:space="preserve"> dysfunktion nogle gange ledsaget af </w:t>
            </w:r>
            <w:proofErr w:type="spellStart"/>
            <w:r w:rsidRPr="004C0B3B">
              <w:rPr>
                <w:sz w:val="24"/>
                <w:szCs w:val="24"/>
              </w:rPr>
              <w:t>hyperammoniæmi</w:t>
            </w:r>
            <w:proofErr w:type="spellEnd"/>
            <w:r w:rsidRPr="004C0B3B">
              <w:rPr>
                <w:sz w:val="24"/>
                <w:szCs w:val="24"/>
              </w:rPr>
              <w:t xml:space="preserve"> og døsighed. Denne dysfunktion kan være meget svær og muligvis fatal, navnlig hos børn, og kan forekomme i løbet af de første 6 måneders behandling. </w:t>
            </w:r>
          </w:p>
          <w:p w14:paraId="23A0BA62" w14:textId="77777777" w:rsidR="004873ED" w:rsidRPr="004C0B3B" w:rsidRDefault="004873ED" w:rsidP="00093522">
            <w:pPr>
              <w:pStyle w:val="Titel"/>
              <w:widowControl w:val="0"/>
              <w:jc w:val="left"/>
              <w:rPr>
                <w:b w:val="0"/>
                <w:szCs w:val="24"/>
              </w:rPr>
            </w:pPr>
          </w:p>
        </w:tc>
      </w:tr>
      <w:tr w:rsidR="004873ED" w:rsidRPr="004C0B3B" w14:paraId="6E436875" w14:textId="77777777" w:rsidTr="007653D9">
        <w:trPr>
          <w:trHeight w:val="146"/>
        </w:trPr>
        <w:tc>
          <w:tcPr>
            <w:tcW w:w="4447" w:type="dxa"/>
          </w:tcPr>
          <w:p w14:paraId="715AA258" w14:textId="77777777" w:rsidR="004873ED" w:rsidRPr="004C0B3B" w:rsidRDefault="004873ED" w:rsidP="007653D9">
            <w:pPr>
              <w:pStyle w:val="Titel"/>
              <w:widowControl w:val="0"/>
              <w:ind w:left="34"/>
              <w:jc w:val="left"/>
              <w:rPr>
                <w:i/>
                <w:szCs w:val="24"/>
              </w:rPr>
            </w:pPr>
            <w:r w:rsidRPr="004C0B3B">
              <w:rPr>
                <w:szCs w:val="24"/>
              </w:rPr>
              <w:t>Det reproduktive system og mammae</w:t>
            </w:r>
          </w:p>
          <w:p w14:paraId="3D12F557" w14:textId="77777777" w:rsidR="004873ED" w:rsidRPr="004C0B3B" w:rsidRDefault="004873ED" w:rsidP="007653D9">
            <w:pPr>
              <w:widowControl w:val="0"/>
              <w:ind w:left="34"/>
              <w:rPr>
                <w:b/>
                <w:sz w:val="24"/>
                <w:szCs w:val="24"/>
              </w:rPr>
            </w:pPr>
            <w:r w:rsidRPr="004C0B3B">
              <w:rPr>
                <w:sz w:val="24"/>
                <w:szCs w:val="24"/>
              </w:rPr>
              <w:t xml:space="preserve">Almindelig </w:t>
            </w:r>
          </w:p>
          <w:p w14:paraId="1B5AEFB0" w14:textId="77777777" w:rsidR="004873ED" w:rsidRPr="004C0B3B" w:rsidRDefault="004873ED" w:rsidP="007653D9">
            <w:pPr>
              <w:widowControl w:val="0"/>
              <w:ind w:left="34"/>
              <w:rPr>
                <w:sz w:val="24"/>
                <w:szCs w:val="24"/>
              </w:rPr>
            </w:pPr>
          </w:p>
          <w:p w14:paraId="0AA9E7B1" w14:textId="77777777" w:rsidR="004873ED" w:rsidRPr="004C0B3B" w:rsidRDefault="004873ED" w:rsidP="007653D9">
            <w:pPr>
              <w:widowControl w:val="0"/>
              <w:ind w:left="34"/>
              <w:rPr>
                <w:sz w:val="24"/>
                <w:szCs w:val="24"/>
              </w:rPr>
            </w:pPr>
            <w:r w:rsidRPr="004C0B3B">
              <w:rPr>
                <w:sz w:val="24"/>
                <w:szCs w:val="24"/>
              </w:rPr>
              <w:t xml:space="preserve">Sjælden </w:t>
            </w:r>
          </w:p>
          <w:p w14:paraId="332A1FFB" w14:textId="77777777" w:rsidR="004873ED" w:rsidRPr="004C0B3B" w:rsidRDefault="004873ED" w:rsidP="007653D9">
            <w:pPr>
              <w:widowControl w:val="0"/>
              <w:ind w:left="34"/>
              <w:rPr>
                <w:sz w:val="24"/>
                <w:szCs w:val="24"/>
              </w:rPr>
            </w:pPr>
          </w:p>
          <w:p w14:paraId="7219C03D" w14:textId="77777777" w:rsidR="004873ED" w:rsidRPr="004C0B3B" w:rsidRDefault="004873ED" w:rsidP="007653D9">
            <w:pPr>
              <w:widowControl w:val="0"/>
              <w:ind w:left="34"/>
              <w:rPr>
                <w:sz w:val="24"/>
                <w:szCs w:val="24"/>
              </w:rPr>
            </w:pPr>
          </w:p>
          <w:p w14:paraId="60F0DF1E" w14:textId="77777777" w:rsidR="004873ED" w:rsidRPr="004C0B3B" w:rsidRDefault="004873ED" w:rsidP="007653D9">
            <w:pPr>
              <w:widowControl w:val="0"/>
              <w:ind w:left="34"/>
              <w:rPr>
                <w:sz w:val="24"/>
                <w:szCs w:val="24"/>
              </w:rPr>
            </w:pPr>
          </w:p>
          <w:p w14:paraId="13AC5E96" w14:textId="77777777" w:rsidR="004873ED" w:rsidRPr="004C0B3B" w:rsidRDefault="004873ED" w:rsidP="007653D9">
            <w:pPr>
              <w:widowControl w:val="0"/>
              <w:ind w:left="34"/>
              <w:rPr>
                <w:sz w:val="24"/>
                <w:szCs w:val="24"/>
              </w:rPr>
            </w:pPr>
          </w:p>
          <w:p w14:paraId="56B56E6B" w14:textId="77777777" w:rsidR="004873ED" w:rsidRPr="004C0B3B" w:rsidRDefault="004873ED" w:rsidP="007653D9">
            <w:pPr>
              <w:widowControl w:val="0"/>
              <w:ind w:left="34"/>
              <w:rPr>
                <w:sz w:val="24"/>
                <w:szCs w:val="24"/>
              </w:rPr>
            </w:pPr>
            <w:r w:rsidRPr="004C0B3B">
              <w:rPr>
                <w:sz w:val="24"/>
                <w:szCs w:val="24"/>
              </w:rPr>
              <w:t xml:space="preserve">Ikke kendt </w:t>
            </w:r>
          </w:p>
          <w:p w14:paraId="0959D51E" w14:textId="77777777" w:rsidR="004873ED" w:rsidRPr="004C0B3B" w:rsidRDefault="004873ED" w:rsidP="007653D9">
            <w:pPr>
              <w:pStyle w:val="Titel"/>
              <w:widowControl w:val="0"/>
              <w:ind w:left="34"/>
              <w:jc w:val="left"/>
              <w:rPr>
                <w:b w:val="0"/>
                <w:szCs w:val="24"/>
              </w:rPr>
            </w:pPr>
          </w:p>
        </w:tc>
        <w:tc>
          <w:tcPr>
            <w:tcW w:w="4448" w:type="dxa"/>
          </w:tcPr>
          <w:p w14:paraId="565195FF" w14:textId="77777777" w:rsidR="004873ED" w:rsidRPr="004C0B3B" w:rsidRDefault="004873ED" w:rsidP="00093522">
            <w:pPr>
              <w:pStyle w:val="Titel"/>
              <w:widowControl w:val="0"/>
              <w:jc w:val="left"/>
              <w:rPr>
                <w:b w:val="0"/>
                <w:szCs w:val="24"/>
              </w:rPr>
            </w:pPr>
          </w:p>
          <w:p w14:paraId="12F43706" w14:textId="77777777" w:rsidR="004873ED" w:rsidRPr="004C0B3B" w:rsidRDefault="004873ED" w:rsidP="00093522">
            <w:pPr>
              <w:widowControl w:val="0"/>
              <w:rPr>
                <w:sz w:val="24"/>
                <w:szCs w:val="24"/>
              </w:rPr>
            </w:pPr>
            <w:r w:rsidRPr="004C0B3B">
              <w:rPr>
                <w:sz w:val="24"/>
                <w:szCs w:val="24"/>
              </w:rPr>
              <w:t xml:space="preserve">Uregelmæssig menstruation, </w:t>
            </w:r>
            <w:proofErr w:type="spellStart"/>
            <w:r w:rsidRPr="004C0B3B">
              <w:rPr>
                <w:sz w:val="24"/>
                <w:szCs w:val="24"/>
              </w:rPr>
              <w:t>dysmenoré</w:t>
            </w:r>
            <w:proofErr w:type="spellEnd"/>
            <w:r w:rsidRPr="004C0B3B">
              <w:rPr>
                <w:sz w:val="24"/>
                <w:szCs w:val="24"/>
              </w:rPr>
              <w:t>.</w:t>
            </w:r>
          </w:p>
          <w:p w14:paraId="3DEF9D6C" w14:textId="77777777" w:rsidR="004873ED" w:rsidRPr="004C0B3B" w:rsidRDefault="004873ED" w:rsidP="00093522">
            <w:pPr>
              <w:widowControl w:val="0"/>
              <w:rPr>
                <w:sz w:val="24"/>
                <w:szCs w:val="24"/>
              </w:rPr>
            </w:pPr>
          </w:p>
          <w:p w14:paraId="2C771393" w14:textId="77777777" w:rsidR="004C0B3B" w:rsidRPr="004C0B3B" w:rsidRDefault="004873ED" w:rsidP="004C0B3B">
            <w:pPr>
              <w:widowControl w:val="0"/>
              <w:tabs>
                <w:tab w:val="num" w:pos="709"/>
              </w:tabs>
              <w:rPr>
                <w:sz w:val="24"/>
                <w:szCs w:val="24"/>
              </w:rPr>
            </w:pPr>
            <w:r w:rsidRPr="004C0B3B">
              <w:rPr>
                <w:sz w:val="24"/>
                <w:szCs w:val="24"/>
              </w:rPr>
              <w:t xml:space="preserve">Forhøjet testosteronniveau, </w:t>
            </w:r>
            <w:proofErr w:type="spellStart"/>
            <w:r w:rsidRPr="004C0B3B">
              <w:rPr>
                <w:sz w:val="24"/>
                <w:szCs w:val="24"/>
              </w:rPr>
              <w:t>amenoré</w:t>
            </w:r>
            <w:proofErr w:type="spellEnd"/>
            <w:r w:rsidRPr="004C0B3B">
              <w:rPr>
                <w:sz w:val="24"/>
                <w:szCs w:val="24"/>
              </w:rPr>
              <w:t>, poly</w:t>
            </w:r>
            <w:r w:rsidRPr="004C0B3B">
              <w:rPr>
                <w:sz w:val="24"/>
                <w:szCs w:val="24"/>
              </w:rPr>
              <w:softHyphen/>
              <w:t xml:space="preserve">cystiske ovarier (PCO)***, med </w:t>
            </w:r>
            <w:proofErr w:type="spellStart"/>
            <w:r w:rsidRPr="004C0B3B">
              <w:rPr>
                <w:sz w:val="24"/>
                <w:szCs w:val="24"/>
              </w:rPr>
              <w:t>hirsutisme</w:t>
            </w:r>
            <w:proofErr w:type="spellEnd"/>
            <w:r w:rsidRPr="004C0B3B">
              <w:rPr>
                <w:sz w:val="24"/>
                <w:szCs w:val="24"/>
              </w:rPr>
              <w:t xml:space="preserve"> som et almindeligt symptom på PCO, </w:t>
            </w:r>
            <w:proofErr w:type="spellStart"/>
            <w:r w:rsidRPr="004C0B3B">
              <w:rPr>
                <w:sz w:val="24"/>
                <w:szCs w:val="24"/>
              </w:rPr>
              <w:t>infertilitet</w:t>
            </w:r>
            <w:proofErr w:type="spellEnd"/>
            <w:r w:rsidRPr="004C0B3B">
              <w:rPr>
                <w:sz w:val="24"/>
                <w:szCs w:val="24"/>
              </w:rPr>
              <w:t xml:space="preserve"> hos </w:t>
            </w:r>
            <w:r w:rsidR="004C0B3B" w:rsidRPr="004C0B3B">
              <w:rPr>
                <w:sz w:val="24"/>
                <w:szCs w:val="24"/>
              </w:rPr>
              <w:t xml:space="preserve">mænd </w:t>
            </w:r>
            <w:r w:rsidR="004C0B3B" w:rsidRPr="004C0B3B">
              <w:rPr>
                <w:sz w:val="24"/>
                <w:szCs w:val="24"/>
                <w:lang w:eastAsia="de-DE"/>
              </w:rPr>
              <w:t>(se pkt. 4.6)</w:t>
            </w:r>
            <w:r w:rsidR="004C0B3B" w:rsidRPr="004C0B3B">
              <w:rPr>
                <w:sz w:val="24"/>
                <w:szCs w:val="24"/>
              </w:rPr>
              <w:t>.</w:t>
            </w:r>
          </w:p>
          <w:p w14:paraId="6F36B1FC" w14:textId="77777777" w:rsidR="004873ED" w:rsidRPr="004C0B3B" w:rsidRDefault="004873ED" w:rsidP="00093522">
            <w:pPr>
              <w:widowControl w:val="0"/>
              <w:rPr>
                <w:sz w:val="24"/>
                <w:szCs w:val="24"/>
              </w:rPr>
            </w:pPr>
          </w:p>
          <w:p w14:paraId="20570A9B" w14:textId="77777777" w:rsidR="004C0B3B" w:rsidRPr="004C0B3B" w:rsidRDefault="004873ED" w:rsidP="004C0B3B">
            <w:pPr>
              <w:widowControl w:val="0"/>
              <w:rPr>
                <w:sz w:val="24"/>
                <w:szCs w:val="24"/>
              </w:rPr>
            </w:pPr>
            <w:r w:rsidRPr="004C0B3B">
              <w:rPr>
                <w:sz w:val="24"/>
                <w:szCs w:val="24"/>
              </w:rPr>
              <w:t xml:space="preserve">Anormal </w:t>
            </w:r>
            <w:proofErr w:type="spellStart"/>
            <w:r w:rsidRPr="004C0B3B">
              <w:rPr>
                <w:sz w:val="24"/>
                <w:szCs w:val="24"/>
              </w:rPr>
              <w:t>spermatogenese</w:t>
            </w:r>
            <w:proofErr w:type="spellEnd"/>
            <w:r w:rsidRPr="004C0B3B">
              <w:rPr>
                <w:sz w:val="24"/>
                <w:szCs w:val="24"/>
              </w:rPr>
              <w:t xml:space="preserve"> (med nedsat </w:t>
            </w:r>
            <w:proofErr w:type="spellStart"/>
            <w:r w:rsidRPr="004C0B3B">
              <w:rPr>
                <w:sz w:val="24"/>
                <w:szCs w:val="24"/>
              </w:rPr>
              <w:t>sædtal</w:t>
            </w:r>
            <w:proofErr w:type="spellEnd"/>
            <w:r w:rsidRPr="004C0B3B">
              <w:rPr>
                <w:sz w:val="24"/>
                <w:szCs w:val="24"/>
              </w:rPr>
              <w:t xml:space="preserve"> og/</w:t>
            </w:r>
            <w:r w:rsidR="004C0B3B" w:rsidRPr="004C0B3B">
              <w:rPr>
                <w:sz w:val="24"/>
                <w:szCs w:val="24"/>
              </w:rPr>
              <w:t xml:space="preserve"> eller </w:t>
            </w:r>
            <w:r w:rsidR="004C0B3B" w:rsidRPr="004C0B3B">
              <w:rPr>
                <w:sz w:val="24"/>
                <w:szCs w:val="24"/>
              </w:rPr>
              <w:noBreakHyphen/>
              <w:t>bevægelighed).</w:t>
            </w:r>
          </w:p>
          <w:p w14:paraId="463EB21A" w14:textId="77777777" w:rsidR="004873ED" w:rsidRPr="004C0B3B" w:rsidRDefault="004873ED" w:rsidP="00093522">
            <w:pPr>
              <w:pStyle w:val="Titel"/>
              <w:widowControl w:val="0"/>
              <w:jc w:val="left"/>
              <w:rPr>
                <w:b w:val="0"/>
                <w:szCs w:val="24"/>
              </w:rPr>
            </w:pPr>
            <w:r w:rsidRPr="004C0B3B">
              <w:rPr>
                <w:b w:val="0"/>
                <w:szCs w:val="24"/>
              </w:rPr>
              <w:t xml:space="preserve"> </w:t>
            </w:r>
          </w:p>
        </w:tc>
      </w:tr>
      <w:tr w:rsidR="004873ED" w:rsidRPr="004C0B3B" w14:paraId="1DC7CCA1" w14:textId="77777777" w:rsidTr="007653D9">
        <w:trPr>
          <w:trHeight w:val="146"/>
        </w:trPr>
        <w:tc>
          <w:tcPr>
            <w:tcW w:w="4447" w:type="dxa"/>
          </w:tcPr>
          <w:p w14:paraId="2B0B489E" w14:textId="77777777" w:rsidR="004873ED" w:rsidRPr="004C0B3B" w:rsidRDefault="004873ED" w:rsidP="007653D9">
            <w:pPr>
              <w:pStyle w:val="Titel"/>
              <w:widowControl w:val="0"/>
              <w:ind w:left="34"/>
              <w:jc w:val="left"/>
              <w:rPr>
                <w:szCs w:val="24"/>
              </w:rPr>
            </w:pPr>
            <w:r w:rsidRPr="004C0B3B">
              <w:rPr>
                <w:szCs w:val="24"/>
              </w:rPr>
              <w:t>Undersøgelser</w:t>
            </w:r>
          </w:p>
          <w:p w14:paraId="6AED8F77" w14:textId="77777777" w:rsidR="004873ED" w:rsidRPr="004C0B3B" w:rsidRDefault="004873ED" w:rsidP="007653D9">
            <w:pPr>
              <w:pStyle w:val="Titel"/>
              <w:widowControl w:val="0"/>
              <w:ind w:left="34"/>
              <w:jc w:val="left"/>
              <w:rPr>
                <w:szCs w:val="24"/>
              </w:rPr>
            </w:pPr>
            <w:r w:rsidRPr="004C0B3B">
              <w:rPr>
                <w:b w:val="0"/>
                <w:szCs w:val="24"/>
              </w:rPr>
              <w:t>Sjælden</w:t>
            </w:r>
          </w:p>
        </w:tc>
        <w:tc>
          <w:tcPr>
            <w:tcW w:w="4448" w:type="dxa"/>
          </w:tcPr>
          <w:p w14:paraId="36A5BFAB" w14:textId="77777777" w:rsidR="004873ED" w:rsidRPr="004C0B3B" w:rsidRDefault="004873ED" w:rsidP="00093522">
            <w:pPr>
              <w:pStyle w:val="Titel"/>
              <w:widowControl w:val="0"/>
              <w:jc w:val="left"/>
              <w:rPr>
                <w:b w:val="0"/>
                <w:szCs w:val="24"/>
              </w:rPr>
            </w:pPr>
          </w:p>
          <w:p w14:paraId="0FB6CB48" w14:textId="77777777" w:rsidR="004C0B3B" w:rsidRPr="004C0B3B" w:rsidRDefault="004C0B3B" w:rsidP="004C0B3B">
            <w:pPr>
              <w:pStyle w:val="Titel"/>
              <w:widowControl w:val="0"/>
              <w:jc w:val="left"/>
              <w:rPr>
                <w:b w:val="0"/>
                <w:szCs w:val="24"/>
              </w:rPr>
            </w:pPr>
            <w:r w:rsidRPr="004C0B3B">
              <w:rPr>
                <w:b w:val="0"/>
                <w:szCs w:val="24"/>
              </w:rPr>
              <w:t xml:space="preserve">Fald i koagulationsfaktorer (mindst en), unormale koagulationstests (såsom forlænget </w:t>
            </w:r>
            <w:proofErr w:type="spellStart"/>
            <w:r w:rsidRPr="004C0B3B">
              <w:rPr>
                <w:b w:val="0"/>
                <w:szCs w:val="24"/>
              </w:rPr>
              <w:t>protrombintid</w:t>
            </w:r>
            <w:proofErr w:type="spellEnd"/>
            <w:r w:rsidRPr="004C0B3B">
              <w:rPr>
                <w:b w:val="0"/>
                <w:szCs w:val="24"/>
              </w:rPr>
              <w:t xml:space="preserve">, forlænget aktiveret partiel </w:t>
            </w:r>
            <w:proofErr w:type="spellStart"/>
            <w:r w:rsidRPr="004C0B3B">
              <w:rPr>
                <w:b w:val="0"/>
                <w:szCs w:val="24"/>
              </w:rPr>
              <w:t>tromboplastintid</w:t>
            </w:r>
            <w:proofErr w:type="spellEnd"/>
            <w:r w:rsidRPr="004C0B3B">
              <w:rPr>
                <w:b w:val="0"/>
                <w:szCs w:val="24"/>
              </w:rPr>
              <w:t xml:space="preserve">, forlænget </w:t>
            </w:r>
            <w:proofErr w:type="spellStart"/>
            <w:r w:rsidRPr="004C0B3B">
              <w:rPr>
                <w:b w:val="0"/>
                <w:szCs w:val="24"/>
              </w:rPr>
              <w:t>trombintid</w:t>
            </w:r>
            <w:proofErr w:type="spellEnd"/>
            <w:r w:rsidRPr="004C0B3B">
              <w:rPr>
                <w:b w:val="0"/>
                <w:szCs w:val="24"/>
              </w:rPr>
              <w:t>, forlænget INR) (se pkt. 4.4 og 4.6).</w:t>
            </w:r>
          </w:p>
          <w:p w14:paraId="72A1398F" w14:textId="77777777" w:rsidR="004C0B3B" w:rsidRPr="004C0B3B" w:rsidRDefault="004C0B3B" w:rsidP="004C0B3B">
            <w:pPr>
              <w:pStyle w:val="Titel"/>
              <w:widowControl w:val="0"/>
              <w:jc w:val="left"/>
              <w:rPr>
                <w:b w:val="0"/>
                <w:szCs w:val="24"/>
              </w:rPr>
            </w:pPr>
            <w:r w:rsidRPr="004C0B3B">
              <w:rPr>
                <w:b w:val="0"/>
                <w:szCs w:val="24"/>
              </w:rPr>
              <w:t>Biotinmangel/</w:t>
            </w:r>
            <w:proofErr w:type="spellStart"/>
            <w:r w:rsidRPr="004C0B3B">
              <w:rPr>
                <w:b w:val="0"/>
                <w:szCs w:val="24"/>
              </w:rPr>
              <w:t>biotinidase</w:t>
            </w:r>
            <w:proofErr w:type="spellEnd"/>
            <w:r w:rsidRPr="004C0B3B">
              <w:rPr>
                <w:b w:val="0"/>
                <w:szCs w:val="24"/>
              </w:rPr>
              <w:t xml:space="preserve"> mangel.</w:t>
            </w:r>
          </w:p>
          <w:p w14:paraId="2E2A09D4" w14:textId="77777777" w:rsidR="004873ED" w:rsidRPr="004C0B3B" w:rsidRDefault="004873ED" w:rsidP="00093522">
            <w:pPr>
              <w:pStyle w:val="Titel"/>
              <w:widowControl w:val="0"/>
              <w:jc w:val="left"/>
              <w:rPr>
                <w:b w:val="0"/>
                <w:szCs w:val="24"/>
              </w:rPr>
            </w:pPr>
          </w:p>
        </w:tc>
      </w:tr>
      <w:tr w:rsidR="0014070B" w:rsidRPr="004C0B3B" w14:paraId="143C23E7" w14:textId="77777777" w:rsidTr="007653D9">
        <w:trPr>
          <w:trHeight w:val="146"/>
        </w:trPr>
        <w:tc>
          <w:tcPr>
            <w:tcW w:w="4447" w:type="dxa"/>
          </w:tcPr>
          <w:p w14:paraId="44BC9B6A" w14:textId="3D7CE21F" w:rsidR="0014070B" w:rsidRPr="004C0B3B" w:rsidRDefault="0014070B" w:rsidP="007653D9">
            <w:pPr>
              <w:pStyle w:val="Titel"/>
              <w:widowControl w:val="0"/>
              <w:ind w:left="34"/>
              <w:jc w:val="left"/>
              <w:rPr>
                <w:szCs w:val="24"/>
              </w:rPr>
            </w:pPr>
            <w:r w:rsidRPr="0014070B">
              <w:rPr>
                <w:szCs w:val="24"/>
              </w:rPr>
              <w:t>Ikke kendt</w:t>
            </w:r>
          </w:p>
        </w:tc>
        <w:tc>
          <w:tcPr>
            <w:tcW w:w="4448" w:type="dxa"/>
          </w:tcPr>
          <w:p w14:paraId="12A30D26" w14:textId="5C127F06" w:rsidR="0014070B" w:rsidRPr="004C0B3B" w:rsidRDefault="0014070B" w:rsidP="00093522">
            <w:pPr>
              <w:pStyle w:val="Titel"/>
              <w:widowControl w:val="0"/>
              <w:jc w:val="left"/>
              <w:rPr>
                <w:b w:val="0"/>
                <w:szCs w:val="24"/>
              </w:rPr>
            </w:pPr>
            <w:r w:rsidRPr="0014070B">
              <w:rPr>
                <w:b w:val="0"/>
                <w:szCs w:val="24"/>
              </w:rPr>
              <w:t xml:space="preserve">Erhvervet </w:t>
            </w:r>
            <w:proofErr w:type="spellStart"/>
            <w:r w:rsidRPr="0014070B">
              <w:rPr>
                <w:b w:val="0"/>
                <w:szCs w:val="24"/>
              </w:rPr>
              <w:t>Pelger</w:t>
            </w:r>
            <w:proofErr w:type="spellEnd"/>
            <w:r w:rsidRPr="0014070B">
              <w:rPr>
                <w:b w:val="0"/>
                <w:szCs w:val="24"/>
              </w:rPr>
              <w:t>-Huet anomali****</w:t>
            </w:r>
          </w:p>
        </w:tc>
      </w:tr>
    </w:tbl>
    <w:p w14:paraId="091FE8B9" w14:textId="77777777" w:rsidR="004873ED" w:rsidRPr="004C0B3B" w:rsidRDefault="004873ED" w:rsidP="004873ED">
      <w:pPr>
        <w:tabs>
          <w:tab w:val="num" w:pos="709"/>
        </w:tabs>
        <w:ind w:left="851"/>
        <w:rPr>
          <w:sz w:val="24"/>
          <w:szCs w:val="24"/>
        </w:rPr>
      </w:pPr>
      <w:r w:rsidRPr="004C0B3B">
        <w:rPr>
          <w:sz w:val="24"/>
          <w:szCs w:val="24"/>
        </w:rPr>
        <w:t xml:space="preserve">*Enkelte, isolerede tilfælde eller tilfælde i forbindelse med forekomst af kramper under behandling. Symptomerne ophørte, når lægemidlet blev seponeret, eller hvis dosis blev reduceret. De fleste af disse tilfælde blev rapporteret i forbindelse med kombinationsbehandling (især med </w:t>
      </w:r>
      <w:proofErr w:type="spellStart"/>
      <w:r w:rsidRPr="004C0B3B">
        <w:rPr>
          <w:sz w:val="24"/>
          <w:szCs w:val="24"/>
        </w:rPr>
        <w:t>phenobarbital</w:t>
      </w:r>
      <w:proofErr w:type="spellEnd"/>
      <w:r w:rsidRPr="004C0B3B">
        <w:rPr>
          <w:sz w:val="24"/>
          <w:szCs w:val="24"/>
        </w:rPr>
        <w:t>) eller efter pludselig forøgelse af dosis.</w:t>
      </w:r>
    </w:p>
    <w:p w14:paraId="282FA806" w14:textId="77777777" w:rsidR="004873ED" w:rsidRDefault="004873ED" w:rsidP="004873ED">
      <w:pPr>
        <w:ind w:left="851"/>
        <w:rPr>
          <w:sz w:val="24"/>
          <w:szCs w:val="24"/>
        </w:rPr>
      </w:pPr>
      <w:r w:rsidRPr="004C0B3B">
        <w:rPr>
          <w:sz w:val="24"/>
          <w:szCs w:val="24"/>
        </w:rPr>
        <w:t>** Disse bivirkninger er normalt forbigående og forekommer i starten af behandlingen. *** Da vægtforøgelse er en risikofaktor for polycystisk ovariesyndrom, skal patientens vægt overvåges nøje (se pkt. 4.4).</w:t>
      </w:r>
    </w:p>
    <w:p w14:paraId="1F0B0318" w14:textId="77777777" w:rsidR="0014070B" w:rsidRPr="0014070B" w:rsidRDefault="0014070B" w:rsidP="0014070B">
      <w:pPr>
        <w:ind w:left="851"/>
        <w:rPr>
          <w:bCs/>
          <w:sz w:val="24"/>
          <w:szCs w:val="24"/>
        </w:rPr>
      </w:pPr>
      <w:r w:rsidRPr="0014070B">
        <w:rPr>
          <w:bCs/>
          <w:sz w:val="24"/>
          <w:szCs w:val="24"/>
        </w:rPr>
        <w:t xml:space="preserve">**** Erhvervet </w:t>
      </w:r>
      <w:proofErr w:type="spellStart"/>
      <w:r w:rsidRPr="0014070B">
        <w:rPr>
          <w:bCs/>
          <w:sz w:val="24"/>
          <w:szCs w:val="24"/>
        </w:rPr>
        <w:t>Pelger</w:t>
      </w:r>
      <w:proofErr w:type="spellEnd"/>
      <w:r w:rsidRPr="0014070B">
        <w:rPr>
          <w:bCs/>
          <w:sz w:val="24"/>
          <w:szCs w:val="24"/>
        </w:rPr>
        <w:t xml:space="preserve">-Huet anomali er rapporteret i tilfælde med og uden </w:t>
      </w:r>
      <w:proofErr w:type="spellStart"/>
      <w:r w:rsidRPr="0014070B">
        <w:rPr>
          <w:bCs/>
          <w:sz w:val="24"/>
          <w:szCs w:val="24"/>
        </w:rPr>
        <w:t>myelodysplastisk</w:t>
      </w:r>
      <w:proofErr w:type="spellEnd"/>
      <w:r w:rsidRPr="0014070B">
        <w:rPr>
          <w:bCs/>
          <w:sz w:val="24"/>
          <w:szCs w:val="24"/>
        </w:rPr>
        <w:t xml:space="preserve"> syndrom.</w:t>
      </w:r>
    </w:p>
    <w:p w14:paraId="474DA51A" w14:textId="77777777" w:rsidR="004873ED" w:rsidRPr="0014070B" w:rsidRDefault="004873ED" w:rsidP="004873ED">
      <w:pPr>
        <w:pStyle w:val="Sidehoved"/>
        <w:tabs>
          <w:tab w:val="clear" w:pos="4819"/>
          <w:tab w:val="clear" w:pos="9638"/>
          <w:tab w:val="left" w:pos="851"/>
        </w:tabs>
        <w:ind w:left="851"/>
        <w:rPr>
          <w:bCs/>
          <w:szCs w:val="24"/>
        </w:rPr>
      </w:pPr>
    </w:p>
    <w:p w14:paraId="08C3B5C2" w14:textId="77777777" w:rsidR="000E7A72" w:rsidRPr="004C0B3B" w:rsidRDefault="000E7A72" w:rsidP="000E7A72">
      <w:pPr>
        <w:ind w:left="851"/>
        <w:rPr>
          <w:sz w:val="24"/>
          <w:szCs w:val="24"/>
          <w:u w:val="single"/>
        </w:rPr>
      </w:pPr>
      <w:r w:rsidRPr="004C0B3B">
        <w:rPr>
          <w:sz w:val="24"/>
          <w:szCs w:val="24"/>
          <w:u w:val="single"/>
        </w:rPr>
        <w:t>Pædiatrisk population</w:t>
      </w:r>
    </w:p>
    <w:p w14:paraId="572088C0" w14:textId="77777777" w:rsidR="000E7A72" w:rsidRPr="004C0B3B" w:rsidRDefault="000E7A72" w:rsidP="000E7A72">
      <w:pPr>
        <w:pStyle w:val="Sidehoved"/>
        <w:tabs>
          <w:tab w:val="left" w:pos="851"/>
        </w:tabs>
        <w:ind w:left="851"/>
        <w:rPr>
          <w:szCs w:val="24"/>
        </w:rPr>
      </w:pPr>
      <w:proofErr w:type="spellStart"/>
      <w:r w:rsidRPr="004C0B3B">
        <w:rPr>
          <w:szCs w:val="24"/>
        </w:rPr>
        <w:t>Valproats</w:t>
      </w:r>
      <w:proofErr w:type="spellEnd"/>
      <w:r w:rsidRPr="004C0B3B">
        <w:rPr>
          <w:szCs w:val="24"/>
        </w:rPr>
        <w:t xml:space="preserve"> sikkerhedsprofil hos den pædiatriske population er sammenlignelig med den hos voksne, men nogle bivirkninger er alvorligere eller ses hovedsageligt hos den pædiatriske population. Der er en særlig risiko for svær leverskade hos spædbørn og små børn, især børn under 3 år. Små børn har også en særlig risiko for </w:t>
      </w:r>
      <w:proofErr w:type="spellStart"/>
      <w:r w:rsidRPr="004C0B3B">
        <w:rPr>
          <w:szCs w:val="24"/>
        </w:rPr>
        <w:t>pancreatitis</w:t>
      </w:r>
      <w:proofErr w:type="spellEnd"/>
      <w:r w:rsidRPr="004C0B3B">
        <w:rPr>
          <w:szCs w:val="24"/>
        </w:rPr>
        <w:t xml:space="preserve">. Disse risici falder med stigende alder (se pkt. 4.4). Psykiske forstyrrelser som aggression, agitation, opmærksomhedsforstyrrelser, unormal adfærd, </w:t>
      </w:r>
      <w:proofErr w:type="spellStart"/>
      <w:r w:rsidRPr="004C0B3B">
        <w:rPr>
          <w:szCs w:val="24"/>
        </w:rPr>
        <w:t>psykomotorisk</w:t>
      </w:r>
      <w:proofErr w:type="spellEnd"/>
      <w:r w:rsidRPr="004C0B3B">
        <w:rPr>
          <w:szCs w:val="24"/>
        </w:rPr>
        <w:t xml:space="preserve"> hyperaktivitet og indlæringsvanskeligheder ses hovedsageligt hos den pædiatriske population.</w:t>
      </w:r>
    </w:p>
    <w:p w14:paraId="162B0D36" w14:textId="77777777" w:rsidR="000E7A72" w:rsidRPr="004C0B3B" w:rsidRDefault="000E7A72" w:rsidP="004873ED">
      <w:pPr>
        <w:pStyle w:val="Sidehoved"/>
        <w:tabs>
          <w:tab w:val="clear" w:pos="4819"/>
          <w:tab w:val="clear" w:pos="9638"/>
          <w:tab w:val="left" w:pos="851"/>
        </w:tabs>
        <w:ind w:left="851"/>
        <w:rPr>
          <w:szCs w:val="24"/>
        </w:rPr>
      </w:pPr>
    </w:p>
    <w:p w14:paraId="0CA693D5" w14:textId="77777777" w:rsidR="004873ED" w:rsidRPr="004C0B3B" w:rsidRDefault="004873ED" w:rsidP="00291DB8">
      <w:pPr>
        <w:pStyle w:val="Sidehoved"/>
        <w:keepNext/>
        <w:tabs>
          <w:tab w:val="left" w:pos="851"/>
        </w:tabs>
        <w:ind w:left="851"/>
        <w:rPr>
          <w:szCs w:val="24"/>
          <w:u w:val="single"/>
        </w:rPr>
      </w:pPr>
      <w:r w:rsidRPr="004C0B3B">
        <w:rPr>
          <w:szCs w:val="24"/>
          <w:u w:val="single"/>
        </w:rPr>
        <w:t>Indberetning af formodede bivirkninger</w:t>
      </w:r>
    </w:p>
    <w:p w14:paraId="6D82033B" w14:textId="77777777" w:rsidR="004873ED" w:rsidRPr="004C0B3B" w:rsidRDefault="004873ED" w:rsidP="004873ED">
      <w:pPr>
        <w:pStyle w:val="Sidehoved"/>
        <w:tabs>
          <w:tab w:val="left" w:pos="851"/>
        </w:tabs>
        <w:ind w:left="851"/>
        <w:rPr>
          <w:szCs w:val="24"/>
        </w:rPr>
      </w:pPr>
      <w:r w:rsidRPr="004C0B3B">
        <w:rPr>
          <w:szCs w:val="24"/>
        </w:rPr>
        <w:t>Når lægemidlet er godkendt, er indberetning af formodede bivirkninger vigtig. Det muliggør løbende overvågning af benefit/</w:t>
      </w:r>
      <w:proofErr w:type="spellStart"/>
      <w:r w:rsidRPr="004C0B3B">
        <w:rPr>
          <w:szCs w:val="24"/>
        </w:rPr>
        <w:t>risk</w:t>
      </w:r>
      <w:proofErr w:type="spellEnd"/>
      <w:r w:rsidRPr="004C0B3B">
        <w:rPr>
          <w:szCs w:val="24"/>
        </w:rPr>
        <w:t>-forholdet for lægemidlet.</w:t>
      </w:r>
      <w:r w:rsidR="00093522" w:rsidRPr="004C0B3B">
        <w:rPr>
          <w:szCs w:val="24"/>
        </w:rPr>
        <w:t xml:space="preserve"> </w:t>
      </w:r>
      <w:r w:rsidR="000E7A72" w:rsidRPr="004C0B3B">
        <w:rPr>
          <w:szCs w:val="24"/>
        </w:rPr>
        <w:t>S</w:t>
      </w:r>
      <w:r w:rsidRPr="004C0B3B">
        <w:rPr>
          <w:szCs w:val="24"/>
        </w:rPr>
        <w:t>undheds</w:t>
      </w:r>
      <w:r w:rsidRPr="004C0B3B">
        <w:rPr>
          <w:szCs w:val="24"/>
        </w:rPr>
        <w:softHyphen/>
        <w:t>person</w:t>
      </w:r>
      <w:r w:rsidR="000E7A72" w:rsidRPr="004C0B3B">
        <w:rPr>
          <w:szCs w:val="24"/>
        </w:rPr>
        <w:t>er</w:t>
      </w:r>
      <w:r w:rsidRPr="004C0B3B">
        <w:rPr>
          <w:szCs w:val="24"/>
        </w:rPr>
        <w:t xml:space="preserve"> anmodes om at indberette alle formodede bivirkninger via: </w:t>
      </w:r>
    </w:p>
    <w:p w14:paraId="2FC2D8C2" w14:textId="77777777" w:rsidR="004873ED" w:rsidRPr="004C0B3B" w:rsidRDefault="004873ED" w:rsidP="004873ED">
      <w:pPr>
        <w:pStyle w:val="Sidehoved"/>
        <w:tabs>
          <w:tab w:val="left" w:pos="851"/>
        </w:tabs>
        <w:ind w:left="851"/>
        <w:rPr>
          <w:szCs w:val="24"/>
        </w:rPr>
      </w:pPr>
    </w:p>
    <w:p w14:paraId="61025AB9" w14:textId="77777777" w:rsidR="004873ED" w:rsidRPr="004C0B3B" w:rsidRDefault="004873ED" w:rsidP="004873ED">
      <w:pPr>
        <w:pStyle w:val="Sidehoved"/>
        <w:tabs>
          <w:tab w:val="left" w:pos="851"/>
        </w:tabs>
        <w:ind w:left="851"/>
        <w:rPr>
          <w:szCs w:val="24"/>
        </w:rPr>
      </w:pPr>
      <w:r w:rsidRPr="004C0B3B">
        <w:rPr>
          <w:szCs w:val="24"/>
        </w:rPr>
        <w:t>Lægemiddelstyrelsen</w:t>
      </w:r>
    </w:p>
    <w:p w14:paraId="325F59A7" w14:textId="77777777" w:rsidR="004873ED" w:rsidRPr="004C0B3B" w:rsidRDefault="004873ED" w:rsidP="004873ED">
      <w:pPr>
        <w:pStyle w:val="Sidehoved"/>
        <w:tabs>
          <w:tab w:val="left" w:pos="851"/>
        </w:tabs>
        <w:ind w:left="851"/>
        <w:rPr>
          <w:szCs w:val="24"/>
        </w:rPr>
      </w:pPr>
      <w:r w:rsidRPr="004C0B3B">
        <w:rPr>
          <w:szCs w:val="24"/>
        </w:rPr>
        <w:t>Axel Heides Gade 1</w:t>
      </w:r>
    </w:p>
    <w:p w14:paraId="0EFF2B78" w14:textId="77777777" w:rsidR="004873ED" w:rsidRPr="004C0B3B" w:rsidRDefault="004873ED" w:rsidP="004873ED">
      <w:pPr>
        <w:pStyle w:val="Sidehoved"/>
        <w:tabs>
          <w:tab w:val="left" w:pos="851"/>
        </w:tabs>
        <w:ind w:left="851"/>
        <w:rPr>
          <w:szCs w:val="24"/>
        </w:rPr>
      </w:pPr>
      <w:r w:rsidRPr="004C0B3B">
        <w:rPr>
          <w:szCs w:val="24"/>
        </w:rPr>
        <w:t>DK-2300 København S</w:t>
      </w:r>
    </w:p>
    <w:p w14:paraId="6E335F3A" w14:textId="77777777" w:rsidR="004873ED" w:rsidRDefault="004873ED" w:rsidP="004873ED">
      <w:pPr>
        <w:pStyle w:val="Sidehoved"/>
        <w:tabs>
          <w:tab w:val="left" w:pos="851"/>
        </w:tabs>
        <w:ind w:left="851"/>
        <w:rPr>
          <w:szCs w:val="24"/>
        </w:rPr>
      </w:pPr>
      <w:r w:rsidRPr="004C0B3B">
        <w:rPr>
          <w:szCs w:val="24"/>
        </w:rPr>
        <w:t xml:space="preserve">Websted: </w:t>
      </w:r>
      <w:hyperlink r:id="rId8" w:history="1">
        <w:r w:rsidR="002E6C7F" w:rsidRPr="000A1ACD">
          <w:rPr>
            <w:rStyle w:val="Hyperlink"/>
            <w:szCs w:val="24"/>
          </w:rPr>
          <w:t>www.meldenbivirkning.dk</w:t>
        </w:r>
      </w:hyperlink>
    </w:p>
    <w:p w14:paraId="43D91C98" w14:textId="77777777" w:rsidR="004873ED" w:rsidRPr="004C0B3B" w:rsidRDefault="004873ED" w:rsidP="004873ED">
      <w:pPr>
        <w:pStyle w:val="Sidehoved"/>
        <w:tabs>
          <w:tab w:val="clear" w:pos="4819"/>
          <w:tab w:val="clear" w:pos="9638"/>
          <w:tab w:val="left" w:pos="851"/>
        </w:tabs>
        <w:ind w:left="851"/>
        <w:rPr>
          <w:szCs w:val="24"/>
        </w:rPr>
      </w:pPr>
    </w:p>
    <w:p w14:paraId="754D7873" w14:textId="77777777" w:rsidR="007653D9" w:rsidRPr="00C84483" w:rsidRDefault="007653D9" w:rsidP="007653D9">
      <w:pPr>
        <w:tabs>
          <w:tab w:val="left" w:pos="851"/>
        </w:tabs>
        <w:ind w:left="851" w:hanging="851"/>
        <w:rPr>
          <w:b/>
          <w:sz w:val="24"/>
          <w:szCs w:val="24"/>
        </w:rPr>
      </w:pPr>
      <w:r w:rsidRPr="00C84483">
        <w:rPr>
          <w:b/>
          <w:sz w:val="24"/>
          <w:szCs w:val="24"/>
        </w:rPr>
        <w:t>4.9</w:t>
      </w:r>
      <w:r w:rsidRPr="00C84483">
        <w:rPr>
          <w:b/>
          <w:sz w:val="24"/>
          <w:szCs w:val="24"/>
        </w:rPr>
        <w:tab/>
        <w:t>Overdosering</w:t>
      </w:r>
    </w:p>
    <w:p w14:paraId="36487042" w14:textId="77777777" w:rsidR="004873ED" w:rsidRPr="004C0B3B" w:rsidRDefault="004873ED" w:rsidP="004873ED">
      <w:pPr>
        <w:ind w:left="851"/>
        <w:rPr>
          <w:sz w:val="24"/>
          <w:szCs w:val="24"/>
        </w:rPr>
      </w:pPr>
      <w:r w:rsidRPr="004C0B3B">
        <w:rPr>
          <w:sz w:val="24"/>
          <w:szCs w:val="24"/>
        </w:rPr>
        <w:t>Ved vurdering af forgiftning bør risikoen for multipel toksicitet som følge af indtagelse af flere stoffer altid overvejes - for eksempel ved selvmordsforsøg.</w:t>
      </w:r>
    </w:p>
    <w:p w14:paraId="14075AF0" w14:textId="77777777" w:rsidR="004873ED" w:rsidRPr="004C0B3B" w:rsidRDefault="004873ED" w:rsidP="004873ED">
      <w:pPr>
        <w:ind w:left="851"/>
        <w:rPr>
          <w:sz w:val="24"/>
          <w:szCs w:val="24"/>
        </w:rPr>
      </w:pPr>
      <w:r w:rsidRPr="004C0B3B">
        <w:rPr>
          <w:sz w:val="24"/>
          <w:szCs w:val="24"/>
        </w:rPr>
        <w:t xml:space="preserve">Akut </w:t>
      </w:r>
      <w:proofErr w:type="spellStart"/>
      <w:r w:rsidRPr="004C0B3B">
        <w:rPr>
          <w:sz w:val="24"/>
          <w:szCs w:val="24"/>
        </w:rPr>
        <w:t>valproatforgiftning</w:t>
      </w:r>
      <w:proofErr w:type="spellEnd"/>
      <w:r w:rsidRPr="004C0B3B">
        <w:rPr>
          <w:sz w:val="24"/>
          <w:szCs w:val="24"/>
        </w:rPr>
        <w:t xml:space="preserve"> med serum</w:t>
      </w:r>
      <w:r w:rsidRPr="004C0B3B">
        <w:rPr>
          <w:sz w:val="24"/>
          <w:szCs w:val="24"/>
        </w:rPr>
        <w:softHyphen/>
        <w:t>niveauer over 100 </w:t>
      </w:r>
      <w:proofErr w:type="spellStart"/>
      <w:r w:rsidRPr="004C0B3B">
        <w:rPr>
          <w:sz w:val="24"/>
          <w:szCs w:val="24"/>
        </w:rPr>
        <w:t>mikrog</w:t>
      </w:r>
      <w:proofErr w:type="spellEnd"/>
      <w:r w:rsidRPr="004C0B3B">
        <w:rPr>
          <w:sz w:val="24"/>
          <w:szCs w:val="24"/>
        </w:rPr>
        <w:t xml:space="preserve">/ml forekommer meget sjældent både hos voksne og børn, men der er rapporteret mere alvorlige tilfælde af akut og kronisk overdosering med dødelig udgang. </w:t>
      </w:r>
    </w:p>
    <w:p w14:paraId="79385D2F" w14:textId="77777777" w:rsidR="004873ED" w:rsidRPr="004C0B3B" w:rsidRDefault="004873ED" w:rsidP="004873ED">
      <w:pPr>
        <w:ind w:left="851"/>
        <w:rPr>
          <w:sz w:val="24"/>
          <w:szCs w:val="24"/>
        </w:rPr>
      </w:pPr>
    </w:p>
    <w:p w14:paraId="025BD687" w14:textId="77777777" w:rsidR="004873ED" w:rsidRPr="004C0B3B" w:rsidRDefault="004873ED" w:rsidP="004873ED">
      <w:pPr>
        <w:ind w:left="851"/>
        <w:rPr>
          <w:i/>
          <w:sz w:val="24"/>
          <w:szCs w:val="24"/>
        </w:rPr>
      </w:pPr>
      <w:r w:rsidRPr="004C0B3B">
        <w:rPr>
          <w:i/>
          <w:sz w:val="24"/>
          <w:szCs w:val="24"/>
        </w:rPr>
        <w:t>Symptomer:</w:t>
      </w:r>
    </w:p>
    <w:p w14:paraId="1841B5AA" w14:textId="77777777" w:rsidR="004873ED" w:rsidRPr="004C0B3B" w:rsidRDefault="004873ED" w:rsidP="004873ED">
      <w:pPr>
        <w:ind w:left="851"/>
        <w:rPr>
          <w:sz w:val="24"/>
          <w:szCs w:val="24"/>
        </w:rPr>
      </w:pPr>
      <w:r w:rsidRPr="004C0B3B">
        <w:rPr>
          <w:sz w:val="24"/>
          <w:szCs w:val="24"/>
        </w:rPr>
        <w:t xml:space="preserve">Typiske symptomer på </w:t>
      </w:r>
      <w:proofErr w:type="spellStart"/>
      <w:r w:rsidRPr="004C0B3B">
        <w:rPr>
          <w:sz w:val="24"/>
          <w:szCs w:val="24"/>
        </w:rPr>
        <w:t>valproatforgiftning</w:t>
      </w:r>
      <w:proofErr w:type="spellEnd"/>
      <w:r w:rsidRPr="004C0B3B">
        <w:rPr>
          <w:sz w:val="24"/>
          <w:szCs w:val="24"/>
        </w:rPr>
        <w:t xml:space="preserve"> er forvirring, sedation stigende til koma, muskelsvaghed, </w:t>
      </w:r>
      <w:proofErr w:type="spellStart"/>
      <w:r w:rsidRPr="004C0B3B">
        <w:rPr>
          <w:sz w:val="24"/>
          <w:szCs w:val="24"/>
        </w:rPr>
        <w:t>hyporefleksi</w:t>
      </w:r>
      <w:proofErr w:type="spellEnd"/>
      <w:r w:rsidRPr="004C0B3B">
        <w:rPr>
          <w:sz w:val="24"/>
          <w:szCs w:val="24"/>
        </w:rPr>
        <w:t xml:space="preserve"> eller </w:t>
      </w:r>
      <w:proofErr w:type="spellStart"/>
      <w:r w:rsidRPr="004C0B3B">
        <w:rPr>
          <w:sz w:val="24"/>
          <w:szCs w:val="24"/>
        </w:rPr>
        <w:t>arefleksi</w:t>
      </w:r>
      <w:proofErr w:type="spellEnd"/>
      <w:r w:rsidRPr="004C0B3B">
        <w:rPr>
          <w:sz w:val="24"/>
          <w:szCs w:val="24"/>
        </w:rPr>
        <w:t>,</w:t>
      </w:r>
      <w:r w:rsidRPr="004C0B3B">
        <w:rPr>
          <w:sz w:val="24"/>
          <w:szCs w:val="24"/>
          <w:lang w:eastAsia="de-DE"/>
        </w:rPr>
        <w:t xml:space="preserve"> </w:t>
      </w:r>
      <w:proofErr w:type="spellStart"/>
      <w:r w:rsidRPr="004C0B3B">
        <w:rPr>
          <w:sz w:val="24"/>
          <w:szCs w:val="24"/>
          <w:lang w:eastAsia="de-DE"/>
        </w:rPr>
        <w:t>miosis</w:t>
      </w:r>
      <w:proofErr w:type="spellEnd"/>
      <w:r w:rsidRPr="004C0B3B">
        <w:rPr>
          <w:sz w:val="24"/>
          <w:szCs w:val="24"/>
          <w:lang w:eastAsia="de-DE"/>
        </w:rPr>
        <w:t xml:space="preserve">, hjerneødem, metabolisk acidose, </w:t>
      </w:r>
      <w:proofErr w:type="spellStart"/>
      <w:r w:rsidRPr="004C0B3B">
        <w:rPr>
          <w:sz w:val="24"/>
          <w:szCs w:val="24"/>
          <w:lang w:eastAsia="de-DE"/>
        </w:rPr>
        <w:t>hypernatriæmi</w:t>
      </w:r>
      <w:proofErr w:type="spellEnd"/>
      <w:r w:rsidRPr="004C0B3B">
        <w:rPr>
          <w:sz w:val="24"/>
          <w:szCs w:val="24"/>
          <w:lang w:eastAsia="de-DE"/>
        </w:rPr>
        <w:t xml:space="preserve"> hypotension, kardiovaskulær og respiratorisk dysfunktion</w:t>
      </w:r>
      <w:r w:rsidRPr="004C0B3B">
        <w:rPr>
          <w:sz w:val="24"/>
          <w:szCs w:val="24"/>
        </w:rPr>
        <w:t>. Høje serumniveauer har medført øget tendens til anfald og adfærdsmæssige ændringer.</w:t>
      </w:r>
    </w:p>
    <w:p w14:paraId="2BE2EC37" w14:textId="77777777" w:rsidR="004873ED" w:rsidRPr="004C0B3B" w:rsidRDefault="004873ED" w:rsidP="004873ED">
      <w:pPr>
        <w:ind w:left="851"/>
        <w:rPr>
          <w:sz w:val="24"/>
          <w:szCs w:val="24"/>
        </w:rPr>
      </w:pPr>
      <w:r w:rsidRPr="004C0B3B">
        <w:rPr>
          <w:sz w:val="24"/>
          <w:szCs w:val="24"/>
        </w:rPr>
        <w:t xml:space="preserve">Tilstedeværelsen af natrium i </w:t>
      </w:r>
      <w:proofErr w:type="spellStart"/>
      <w:r w:rsidRPr="004C0B3B">
        <w:rPr>
          <w:sz w:val="24"/>
          <w:szCs w:val="24"/>
        </w:rPr>
        <w:t>valproatformuleringerne</w:t>
      </w:r>
      <w:proofErr w:type="spellEnd"/>
      <w:r w:rsidRPr="004C0B3B">
        <w:rPr>
          <w:sz w:val="24"/>
          <w:szCs w:val="24"/>
        </w:rPr>
        <w:t xml:space="preserve"> kan forklare </w:t>
      </w:r>
      <w:proofErr w:type="spellStart"/>
      <w:r w:rsidRPr="004C0B3B">
        <w:rPr>
          <w:sz w:val="24"/>
          <w:szCs w:val="24"/>
        </w:rPr>
        <w:t>hypernatriæmi</w:t>
      </w:r>
      <w:proofErr w:type="spellEnd"/>
      <w:r w:rsidRPr="004C0B3B">
        <w:rPr>
          <w:sz w:val="24"/>
          <w:szCs w:val="24"/>
        </w:rPr>
        <w:t xml:space="preserve"> efter overdosering.</w:t>
      </w:r>
    </w:p>
    <w:p w14:paraId="3B8CBFF7" w14:textId="77777777" w:rsidR="004873ED" w:rsidRPr="004C0B3B" w:rsidRDefault="004873ED" w:rsidP="004873ED">
      <w:pPr>
        <w:ind w:left="851"/>
        <w:rPr>
          <w:i/>
          <w:sz w:val="24"/>
          <w:szCs w:val="24"/>
        </w:rPr>
      </w:pPr>
    </w:p>
    <w:p w14:paraId="21AD333C" w14:textId="77777777" w:rsidR="004873ED" w:rsidRPr="004C0B3B" w:rsidRDefault="004873ED" w:rsidP="004873ED">
      <w:pPr>
        <w:ind w:left="851"/>
        <w:rPr>
          <w:i/>
          <w:sz w:val="24"/>
          <w:szCs w:val="24"/>
        </w:rPr>
      </w:pPr>
      <w:r w:rsidRPr="004C0B3B">
        <w:rPr>
          <w:i/>
          <w:sz w:val="24"/>
          <w:szCs w:val="24"/>
        </w:rPr>
        <w:t>Behandling:</w:t>
      </w:r>
    </w:p>
    <w:p w14:paraId="0C9349BC" w14:textId="77777777" w:rsidR="004873ED" w:rsidRPr="004C0B3B" w:rsidRDefault="004873ED" w:rsidP="004873ED">
      <w:pPr>
        <w:ind w:left="851"/>
        <w:rPr>
          <w:sz w:val="24"/>
          <w:szCs w:val="24"/>
        </w:rPr>
      </w:pPr>
      <w:r w:rsidRPr="004C0B3B">
        <w:rPr>
          <w:sz w:val="24"/>
          <w:szCs w:val="24"/>
        </w:rPr>
        <w:t xml:space="preserve">I tilfælde af mistanke om overdosering med </w:t>
      </w:r>
      <w:proofErr w:type="spellStart"/>
      <w:r w:rsidRPr="004C0B3B">
        <w:rPr>
          <w:sz w:val="24"/>
          <w:szCs w:val="24"/>
        </w:rPr>
        <w:t>valproat</w:t>
      </w:r>
      <w:proofErr w:type="spellEnd"/>
      <w:r w:rsidRPr="004C0B3B">
        <w:rPr>
          <w:sz w:val="24"/>
          <w:szCs w:val="24"/>
        </w:rPr>
        <w:t xml:space="preserve"> anbefales monitorering af patientens kliniske og mentale tilstand, respiratoriske tilstand, hjertefunktion (EKG, evt. telemetri) samt overvågning af laboratorieparametre inkl. elektrolytter, syre-base-status, hæmatologi, nyreparametre og leverenzymer. Omhyggelig monitorering er påkrævet for at kunne vurdere patientens tilstand og hurtigt reagere ved behov.</w:t>
      </w:r>
    </w:p>
    <w:p w14:paraId="098068F9" w14:textId="77777777" w:rsidR="004873ED" w:rsidRPr="004C0B3B" w:rsidRDefault="004873ED" w:rsidP="004873ED">
      <w:pPr>
        <w:ind w:left="851"/>
        <w:rPr>
          <w:sz w:val="24"/>
          <w:szCs w:val="24"/>
        </w:rPr>
      </w:pPr>
      <w:r w:rsidRPr="004C0B3B">
        <w:rPr>
          <w:sz w:val="24"/>
          <w:szCs w:val="24"/>
        </w:rPr>
        <w:t xml:space="preserve">Da absorptionen efter en overdosering normalt sker langsommere, bør absorptionshæmmende tiltag som administration af </w:t>
      </w:r>
      <w:proofErr w:type="gramStart"/>
      <w:r w:rsidRPr="004C0B3B">
        <w:rPr>
          <w:sz w:val="24"/>
          <w:szCs w:val="24"/>
        </w:rPr>
        <w:t>aktiv kul</w:t>
      </w:r>
      <w:proofErr w:type="gramEnd"/>
      <w:r w:rsidRPr="004C0B3B">
        <w:rPr>
          <w:sz w:val="24"/>
          <w:szCs w:val="24"/>
        </w:rPr>
        <w:t xml:space="preserve"> (evt. ventrikeltømning) altid overvejes også længe efter indtagelsen (6</w:t>
      </w:r>
      <w:r w:rsidRPr="004C0B3B">
        <w:rPr>
          <w:sz w:val="24"/>
          <w:szCs w:val="24"/>
        </w:rPr>
        <w:noBreakHyphen/>
        <w:t xml:space="preserve">12 timer). Man skal være opmærksom på at forhindre aspiration i forbindelse med de absorptionshæmmende tiltag, der evt. må foregå med anæstesiologisk assistance. </w:t>
      </w:r>
    </w:p>
    <w:p w14:paraId="1E47CA5D" w14:textId="77777777" w:rsidR="004873ED" w:rsidRPr="004C0B3B" w:rsidRDefault="004873ED" w:rsidP="004C0B3B">
      <w:pPr>
        <w:ind w:left="851"/>
        <w:rPr>
          <w:sz w:val="24"/>
          <w:szCs w:val="24"/>
        </w:rPr>
      </w:pPr>
      <w:r w:rsidRPr="004C0B3B">
        <w:rPr>
          <w:sz w:val="24"/>
          <w:szCs w:val="24"/>
        </w:rPr>
        <w:t xml:space="preserve">Forgiftning behandles med almindelig understøttende og symptomatisk behandling. Der skal sikres adækvat diurese. I svære tilfælde kan hæmodialyse eller </w:t>
      </w:r>
      <w:proofErr w:type="spellStart"/>
      <w:r w:rsidRPr="004C0B3B">
        <w:rPr>
          <w:sz w:val="24"/>
          <w:szCs w:val="24"/>
        </w:rPr>
        <w:t>hæmoperfusion</w:t>
      </w:r>
      <w:proofErr w:type="spellEnd"/>
      <w:r w:rsidRPr="004C0B3B">
        <w:rPr>
          <w:sz w:val="24"/>
          <w:szCs w:val="24"/>
        </w:rPr>
        <w:t xml:space="preserve"> fremme eliminationen. </w:t>
      </w:r>
      <w:proofErr w:type="spellStart"/>
      <w:r w:rsidRPr="004C0B3B">
        <w:rPr>
          <w:sz w:val="24"/>
          <w:szCs w:val="24"/>
        </w:rPr>
        <w:t>Naloxon</w:t>
      </w:r>
      <w:proofErr w:type="spellEnd"/>
      <w:r w:rsidRPr="004C0B3B">
        <w:rPr>
          <w:sz w:val="24"/>
          <w:szCs w:val="24"/>
        </w:rPr>
        <w:t xml:space="preserve"> er brugt med succes i nogle tilfælde.</w:t>
      </w:r>
    </w:p>
    <w:p w14:paraId="432B0436" w14:textId="77777777" w:rsidR="004C0B3B" w:rsidRPr="004C0B3B" w:rsidRDefault="004C0B3B" w:rsidP="004C0B3B">
      <w:pPr>
        <w:ind w:left="851"/>
        <w:rPr>
          <w:sz w:val="24"/>
          <w:szCs w:val="24"/>
        </w:rPr>
      </w:pPr>
    </w:p>
    <w:p w14:paraId="644D6ED2" w14:textId="77777777" w:rsidR="004C0B3B" w:rsidRPr="004C0B3B" w:rsidRDefault="004C0B3B" w:rsidP="004C0B3B">
      <w:pPr>
        <w:ind w:left="851"/>
        <w:rPr>
          <w:sz w:val="24"/>
          <w:szCs w:val="24"/>
        </w:rPr>
      </w:pPr>
      <w:r w:rsidRPr="004C0B3B">
        <w:rPr>
          <w:sz w:val="24"/>
          <w:szCs w:val="24"/>
        </w:rPr>
        <w:t xml:space="preserve">Ved </w:t>
      </w:r>
      <w:proofErr w:type="spellStart"/>
      <w:r w:rsidRPr="004C0B3B">
        <w:rPr>
          <w:sz w:val="24"/>
          <w:szCs w:val="24"/>
        </w:rPr>
        <w:t>valproatoverdosering</w:t>
      </w:r>
      <w:proofErr w:type="spellEnd"/>
      <w:r w:rsidRPr="004C0B3B">
        <w:rPr>
          <w:sz w:val="24"/>
          <w:szCs w:val="24"/>
        </w:rPr>
        <w:t xml:space="preserve"> med deraf følgende </w:t>
      </w:r>
      <w:proofErr w:type="spellStart"/>
      <w:r w:rsidRPr="004C0B3B">
        <w:rPr>
          <w:sz w:val="24"/>
          <w:szCs w:val="24"/>
        </w:rPr>
        <w:t>hyperammoniæmi</w:t>
      </w:r>
      <w:proofErr w:type="spellEnd"/>
      <w:r w:rsidRPr="004C0B3B">
        <w:rPr>
          <w:sz w:val="24"/>
          <w:szCs w:val="24"/>
        </w:rPr>
        <w:t xml:space="preserve"> kan der gives </w:t>
      </w:r>
      <w:proofErr w:type="spellStart"/>
      <w:r w:rsidRPr="004C0B3B">
        <w:rPr>
          <w:sz w:val="24"/>
          <w:szCs w:val="24"/>
        </w:rPr>
        <w:t>i.v</w:t>
      </w:r>
      <w:proofErr w:type="spellEnd"/>
      <w:r w:rsidRPr="004C0B3B">
        <w:rPr>
          <w:sz w:val="24"/>
          <w:szCs w:val="24"/>
        </w:rPr>
        <w:t xml:space="preserve">. </w:t>
      </w:r>
      <w:proofErr w:type="spellStart"/>
      <w:r w:rsidRPr="004C0B3B">
        <w:rPr>
          <w:sz w:val="24"/>
          <w:szCs w:val="24"/>
        </w:rPr>
        <w:t>carnitin</w:t>
      </w:r>
      <w:proofErr w:type="spellEnd"/>
      <w:r w:rsidRPr="004C0B3B">
        <w:rPr>
          <w:sz w:val="24"/>
          <w:szCs w:val="24"/>
        </w:rPr>
        <w:t xml:space="preserve"> i et forsøg på at normalisere ammoniumniveauet.</w:t>
      </w:r>
    </w:p>
    <w:p w14:paraId="09A15B03" w14:textId="77777777" w:rsidR="004C0B3B" w:rsidRPr="004C0B3B" w:rsidRDefault="004C0B3B" w:rsidP="004C0B3B">
      <w:pPr>
        <w:ind w:left="851"/>
        <w:rPr>
          <w:sz w:val="24"/>
          <w:szCs w:val="24"/>
        </w:rPr>
      </w:pPr>
    </w:p>
    <w:p w14:paraId="4AE9FD60" w14:textId="77777777" w:rsidR="007653D9" w:rsidRPr="007653D9" w:rsidRDefault="007653D9" w:rsidP="007653D9">
      <w:pPr>
        <w:tabs>
          <w:tab w:val="left" w:pos="851"/>
        </w:tabs>
        <w:ind w:left="851" w:hanging="851"/>
        <w:rPr>
          <w:b/>
          <w:sz w:val="24"/>
          <w:szCs w:val="24"/>
        </w:rPr>
      </w:pPr>
      <w:r w:rsidRPr="007653D9">
        <w:rPr>
          <w:b/>
          <w:sz w:val="24"/>
          <w:szCs w:val="24"/>
        </w:rPr>
        <w:t>4.10</w:t>
      </w:r>
      <w:r w:rsidRPr="007653D9">
        <w:rPr>
          <w:b/>
          <w:sz w:val="24"/>
          <w:szCs w:val="24"/>
        </w:rPr>
        <w:tab/>
        <w:t>Udlevering</w:t>
      </w:r>
    </w:p>
    <w:p w14:paraId="7AA5C83A" w14:textId="77777777" w:rsidR="004873ED" w:rsidRPr="004C0B3B" w:rsidRDefault="004873ED" w:rsidP="004873ED">
      <w:pPr>
        <w:tabs>
          <w:tab w:val="left" w:pos="851"/>
        </w:tabs>
        <w:ind w:left="851" w:hanging="851"/>
        <w:rPr>
          <w:sz w:val="24"/>
          <w:szCs w:val="24"/>
        </w:rPr>
      </w:pPr>
      <w:r w:rsidRPr="004C0B3B">
        <w:rPr>
          <w:sz w:val="24"/>
          <w:szCs w:val="24"/>
        </w:rPr>
        <w:tab/>
        <w:t>B</w:t>
      </w:r>
    </w:p>
    <w:p w14:paraId="265B7FBD" w14:textId="77777777" w:rsidR="002E6C7F" w:rsidRDefault="002E6C7F" w:rsidP="004873ED">
      <w:pPr>
        <w:tabs>
          <w:tab w:val="left" w:pos="851"/>
        </w:tabs>
        <w:rPr>
          <w:sz w:val="24"/>
          <w:szCs w:val="24"/>
        </w:rPr>
      </w:pPr>
    </w:p>
    <w:p w14:paraId="1F402E3C" w14:textId="77777777" w:rsidR="002E6C7F" w:rsidRPr="004C0B3B" w:rsidRDefault="002E6C7F" w:rsidP="004873ED">
      <w:pPr>
        <w:tabs>
          <w:tab w:val="left" w:pos="851"/>
        </w:tabs>
        <w:rPr>
          <w:sz w:val="24"/>
          <w:szCs w:val="24"/>
        </w:rPr>
      </w:pPr>
    </w:p>
    <w:p w14:paraId="50C1F80E" w14:textId="77777777" w:rsidR="007653D9" w:rsidRPr="00C84483" w:rsidRDefault="007653D9" w:rsidP="007653D9">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C560E86" w14:textId="77777777" w:rsidR="007653D9" w:rsidRPr="00C84483" w:rsidRDefault="007653D9" w:rsidP="007653D9">
      <w:pPr>
        <w:tabs>
          <w:tab w:val="left" w:pos="851"/>
        </w:tabs>
        <w:ind w:left="851"/>
        <w:rPr>
          <w:sz w:val="24"/>
          <w:szCs w:val="24"/>
        </w:rPr>
      </w:pPr>
    </w:p>
    <w:p w14:paraId="4C77F190" w14:textId="77777777" w:rsidR="007653D9" w:rsidRPr="00C84483" w:rsidRDefault="007653D9" w:rsidP="007653D9">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34DF0E3C" w14:textId="77777777" w:rsidR="00413496" w:rsidRPr="007653D9" w:rsidRDefault="00413496" w:rsidP="007653D9">
      <w:pPr>
        <w:ind w:left="851"/>
        <w:rPr>
          <w:sz w:val="24"/>
          <w:szCs w:val="24"/>
        </w:rPr>
      </w:pPr>
      <w:proofErr w:type="spellStart"/>
      <w:r w:rsidRPr="007653D9">
        <w:rPr>
          <w:sz w:val="24"/>
          <w:szCs w:val="24"/>
        </w:rPr>
        <w:t>Farmakoterapeutisk</w:t>
      </w:r>
      <w:proofErr w:type="spellEnd"/>
      <w:r w:rsidRPr="007653D9">
        <w:rPr>
          <w:sz w:val="24"/>
          <w:szCs w:val="24"/>
        </w:rPr>
        <w:t xml:space="preserve"> klassifikation: </w:t>
      </w:r>
      <w:proofErr w:type="spellStart"/>
      <w:r w:rsidRPr="007653D9">
        <w:rPr>
          <w:sz w:val="24"/>
          <w:szCs w:val="24"/>
        </w:rPr>
        <w:t>Antiepileptika</w:t>
      </w:r>
      <w:proofErr w:type="spellEnd"/>
      <w:r w:rsidRPr="007653D9">
        <w:rPr>
          <w:sz w:val="24"/>
          <w:szCs w:val="24"/>
        </w:rPr>
        <w:t>, fedtsyre-derivater,</w:t>
      </w:r>
    </w:p>
    <w:p w14:paraId="6C31EDEF" w14:textId="77777777" w:rsidR="00413496" w:rsidRPr="007653D9" w:rsidRDefault="00413496" w:rsidP="007653D9">
      <w:pPr>
        <w:ind w:left="851"/>
        <w:rPr>
          <w:sz w:val="24"/>
          <w:szCs w:val="24"/>
        </w:rPr>
      </w:pPr>
      <w:r w:rsidRPr="007653D9">
        <w:rPr>
          <w:sz w:val="24"/>
          <w:szCs w:val="24"/>
        </w:rPr>
        <w:t>ATC-kode: N03AG01.</w:t>
      </w:r>
    </w:p>
    <w:p w14:paraId="5281D75E" w14:textId="77777777" w:rsidR="00E07968" w:rsidRPr="007653D9" w:rsidRDefault="00E07968" w:rsidP="007653D9">
      <w:pPr>
        <w:ind w:left="851"/>
        <w:rPr>
          <w:sz w:val="24"/>
          <w:szCs w:val="24"/>
        </w:rPr>
      </w:pPr>
    </w:p>
    <w:p w14:paraId="5A302091" w14:textId="77777777" w:rsidR="004873ED" w:rsidRPr="007653D9" w:rsidRDefault="004873ED" w:rsidP="007653D9">
      <w:pPr>
        <w:ind w:left="851"/>
        <w:rPr>
          <w:sz w:val="24"/>
          <w:szCs w:val="24"/>
        </w:rPr>
      </w:pPr>
      <w:proofErr w:type="spellStart"/>
      <w:r w:rsidRPr="007653D9">
        <w:rPr>
          <w:sz w:val="24"/>
          <w:szCs w:val="24"/>
        </w:rPr>
        <w:t>Valproat</w:t>
      </w:r>
      <w:proofErr w:type="spellEnd"/>
      <w:r w:rsidRPr="007653D9">
        <w:rPr>
          <w:sz w:val="24"/>
          <w:szCs w:val="24"/>
        </w:rPr>
        <w:t xml:space="preserve"> er et </w:t>
      </w:r>
      <w:proofErr w:type="spellStart"/>
      <w:r w:rsidRPr="007653D9">
        <w:rPr>
          <w:sz w:val="24"/>
          <w:szCs w:val="24"/>
        </w:rPr>
        <w:t>antiepileptikum</w:t>
      </w:r>
      <w:proofErr w:type="spellEnd"/>
      <w:r w:rsidRPr="007653D9">
        <w:rPr>
          <w:sz w:val="24"/>
          <w:szCs w:val="24"/>
        </w:rPr>
        <w:t xml:space="preserve"> uden strukturel lighed med den aktive komponent i andre </w:t>
      </w:r>
      <w:proofErr w:type="spellStart"/>
      <w:r w:rsidRPr="007653D9">
        <w:rPr>
          <w:sz w:val="24"/>
          <w:szCs w:val="24"/>
        </w:rPr>
        <w:t>antikonvulsiva</w:t>
      </w:r>
      <w:proofErr w:type="spellEnd"/>
      <w:r w:rsidRPr="007653D9">
        <w:rPr>
          <w:sz w:val="24"/>
          <w:szCs w:val="24"/>
        </w:rPr>
        <w:t xml:space="preserve">. </w:t>
      </w:r>
      <w:proofErr w:type="spellStart"/>
      <w:r w:rsidRPr="007653D9">
        <w:rPr>
          <w:sz w:val="24"/>
          <w:szCs w:val="24"/>
        </w:rPr>
        <w:t>Valproat</w:t>
      </w:r>
      <w:proofErr w:type="spellEnd"/>
      <w:r w:rsidRPr="007653D9">
        <w:rPr>
          <w:sz w:val="24"/>
          <w:szCs w:val="24"/>
        </w:rPr>
        <w:t xml:space="preserve"> har påvist </w:t>
      </w:r>
      <w:proofErr w:type="spellStart"/>
      <w:r w:rsidRPr="007653D9">
        <w:rPr>
          <w:sz w:val="24"/>
          <w:szCs w:val="24"/>
        </w:rPr>
        <w:t>antikonvulsiv</w:t>
      </w:r>
      <w:proofErr w:type="spellEnd"/>
      <w:r w:rsidRPr="007653D9">
        <w:rPr>
          <w:sz w:val="24"/>
          <w:szCs w:val="24"/>
        </w:rPr>
        <w:t xml:space="preserve"> effekt hos forsøgsdyr og mennesker. En forøgelse af GABA-formidlet hæmning ved en </w:t>
      </w:r>
      <w:proofErr w:type="spellStart"/>
      <w:r w:rsidRPr="007653D9">
        <w:rPr>
          <w:sz w:val="24"/>
          <w:szCs w:val="24"/>
        </w:rPr>
        <w:t>præsynaptisk</w:t>
      </w:r>
      <w:proofErr w:type="spellEnd"/>
      <w:r w:rsidRPr="007653D9">
        <w:rPr>
          <w:sz w:val="24"/>
          <w:szCs w:val="24"/>
        </w:rPr>
        <w:t xml:space="preserve"> indvirkning på GABA-stofskiftet og/eller en direkte </w:t>
      </w:r>
      <w:proofErr w:type="spellStart"/>
      <w:r w:rsidRPr="007653D9">
        <w:rPr>
          <w:sz w:val="24"/>
          <w:szCs w:val="24"/>
        </w:rPr>
        <w:t>postsynaptisk</w:t>
      </w:r>
      <w:proofErr w:type="spellEnd"/>
      <w:r w:rsidRPr="007653D9">
        <w:rPr>
          <w:sz w:val="24"/>
          <w:szCs w:val="24"/>
        </w:rPr>
        <w:t xml:space="preserve"> effekt på ionkanaler i neuronale membraner er den generelt accepterede forklaring. </w:t>
      </w:r>
    </w:p>
    <w:p w14:paraId="035E3857" w14:textId="77777777" w:rsidR="004873ED" w:rsidRPr="004C0B3B" w:rsidRDefault="004873ED" w:rsidP="004873ED">
      <w:pPr>
        <w:tabs>
          <w:tab w:val="left" w:pos="851"/>
        </w:tabs>
        <w:rPr>
          <w:sz w:val="24"/>
          <w:szCs w:val="24"/>
        </w:rPr>
      </w:pPr>
    </w:p>
    <w:p w14:paraId="2F04212E" w14:textId="77777777" w:rsidR="007653D9" w:rsidRPr="00C84483" w:rsidRDefault="007653D9" w:rsidP="007653D9">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0ABF88B7" w14:textId="77777777" w:rsidR="005C31B1" w:rsidRDefault="005C31B1" w:rsidP="007653D9">
      <w:pPr>
        <w:ind w:left="851"/>
        <w:rPr>
          <w:sz w:val="24"/>
          <w:szCs w:val="24"/>
          <w:u w:val="single"/>
        </w:rPr>
      </w:pPr>
    </w:p>
    <w:p w14:paraId="421454F0" w14:textId="78F28404" w:rsidR="000E7A72" w:rsidRPr="004C0B3B" w:rsidRDefault="000E7A72" w:rsidP="007653D9">
      <w:pPr>
        <w:ind w:left="851"/>
        <w:rPr>
          <w:sz w:val="24"/>
          <w:szCs w:val="24"/>
          <w:u w:val="single"/>
        </w:rPr>
      </w:pPr>
      <w:r w:rsidRPr="004C0B3B">
        <w:rPr>
          <w:sz w:val="24"/>
          <w:szCs w:val="24"/>
          <w:u w:val="single"/>
        </w:rPr>
        <w:t>Absorption</w:t>
      </w:r>
    </w:p>
    <w:p w14:paraId="210B5C86" w14:textId="77777777" w:rsidR="000E7A72" w:rsidRPr="004C0B3B" w:rsidRDefault="000E7A72" w:rsidP="007653D9">
      <w:pPr>
        <w:ind w:left="851"/>
        <w:rPr>
          <w:sz w:val="24"/>
          <w:szCs w:val="24"/>
        </w:rPr>
      </w:pPr>
      <w:proofErr w:type="spellStart"/>
      <w:r w:rsidRPr="004C0B3B">
        <w:rPr>
          <w:sz w:val="24"/>
          <w:szCs w:val="24"/>
        </w:rPr>
        <w:t>Valproat</w:t>
      </w:r>
      <w:proofErr w:type="spellEnd"/>
      <w:r w:rsidRPr="004C0B3B">
        <w:rPr>
          <w:sz w:val="24"/>
          <w:szCs w:val="24"/>
        </w:rPr>
        <w:t xml:space="preserve"> er tungt opløseligt i vand (1:800), mens </w:t>
      </w:r>
      <w:proofErr w:type="spellStart"/>
      <w:r w:rsidRPr="004C0B3B">
        <w:rPr>
          <w:sz w:val="24"/>
          <w:szCs w:val="24"/>
        </w:rPr>
        <w:t>natriumvalproat</w:t>
      </w:r>
      <w:proofErr w:type="spellEnd"/>
      <w:r w:rsidRPr="004C0B3B">
        <w:rPr>
          <w:sz w:val="24"/>
          <w:szCs w:val="24"/>
        </w:rPr>
        <w:t xml:space="preserve"> er let opløseligt i vand (1:0,4).</w:t>
      </w:r>
    </w:p>
    <w:p w14:paraId="4BE93248" w14:textId="77777777" w:rsidR="000E7A72" w:rsidRPr="004C0B3B" w:rsidRDefault="000E7A72" w:rsidP="007653D9">
      <w:pPr>
        <w:keepNext/>
        <w:keepLines/>
        <w:ind w:left="851"/>
        <w:rPr>
          <w:sz w:val="24"/>
          <w:szCs w:val="24"/>
        </w:rPr>
      </w:pPr>
    </w:p>
    <w:p w14:paraId="4C3AD770" w14:textId="77777777" w:rsidR="000E7A72" w:rsidRPr="004C0B3B" w:rsidRDefault="000E7A72" w:rsidP="007653D9">
      <w:pPr>
        <w:keepNext/>
        <w:keepLines/>
        <w:ind w:left="851"/>
        <w:rPr>
          <w:sz w:val="24"/>
          <w:szCs w:val="24"/>
        </w:rPr>
      </w:pPr>
      <w:r w:rsidRPr="004C0B3B">
        <w:rPr>
          <w:sz w:val="24"/>
          <w:szCs w:val="24"/>
        </w:rPr>
        <w:t xml:space="preserve">Prækliniske studier tyder på, at </w:t>
      </w:r>
      <w:proofErr w:type="spellStart"/>
      <w:r w:rsidRPr="004C0B3B">
        <w:rPr>
          <w:sz w:val="24"/>
          <w:szCs w:val="24"/>
        </w:rPr>
        <w:t>valproat</w:t>
      </w:r>
      <w:proofErr w:type="spellEnd"/>
      <w:r w:rsidRPr="004C0B3B">
        <w:rPr>
          <w:sz w:val="24"/>
          <w:szCs w:val="24"/>
        </w:rPr>
        <w:t xml:space="preserve"> ikke fjernes fra hjernen af multidrug-transportører.</w:t>
      </w:r>
    </w:p>
    <w:p w14:paraId="0867B104" w14:textId="77777777" w:rsidR="000E7A72" w:rsidRPr="004C0B3B" w:rsidRDefault="000E7A72" w:rsidP="007653D9">
      <w:pPr>
        <w:tabs>
          <w:tab w:val="left" w:pos="284"/>
          <w:tab w:val="left" w:pos="426"/>
        </w:tabs>
        <w:ind w:left="851"/>
        <w:rPr>
          <w:sz w:val="24"/>
          <w:szCs w:val="24"/>
        </w:rPr>
      </w:pPr>
    </w:p>
    <w:p w14:paraId="0CFEAB51" w14:textId="77777777" w:rsidR="000E7A72" w:rsidRPr="004C0B3B" w:rsidRDefault="000E7A72" w:rsidP="007653D9">
      <w:pPr>
        <w:tabs>
          <w:tab w:val="left" w:pos="284"/>
          <w:tab w:val="left" w:pos="426"/>
        </w:tabs>
        <w:ind w:left="851"/>
        <w:rPr>
          <w:sz w:val="24"/>
          <w:szCs w:val="24"/>
        </w:rPr>
      </w:pPr>
      <w:r w:rsidRPr="004C0B3B">
        <w:rPr>
          <w:sz w:val="24"/>
          <w:szCs w:val="24"/>
        </w:rPr>
        <w:t>Efter oral administration absorberes 90-100 % af dosis. Den maksimale plasmakoncentration opnås med opløsninger i løbet af 0,5</w:t>
      </w:r>
      <w:r w:rsidRPr="004C0B3B">
        <w:rPr>
          <w:sz w:val="24"/>
          <w:szCs w:val="24"/>
        </w:rPr>
        <w:noBreakHyphen/>
        <w:t xml:space="preserve">2 timer, med tabletter i løbet af 1-4 timer og med </w:t>
      </w:r>
      <w:proofErr w:type="spellStart"/>
      <w:r w:rsidRPr="004C0B3B">
        <w:rPr>
          <w:sz w:val="24"/>
          <w:szCs w:val="24"/>
        </w:rPr>
        <w:t>enterotabletter</w:t>
      </w:r>
      <w:proofErr w:type="spellEnd"/>
      <w:r w:rsidRPr="004C0B3B">
        <w:rPr>
          <w:sz w:val="24"/>
          <w:szCs w:val="24"/>
        </w:rPr>
        <w:t xml:space="preserve"> i løbet af 2-8 timer. </w:t>
      </w:r>
    </w:p>
    <w:p w14:paraId="20FEF322" w14:textId="77777777" w:rsidR="000E7A72" w:rsidRPr="004C0B3B" w:rsidRDefault="000E7A72" w:rsidP="007653D9">
      <w:pPr>
        <w:tabs>
          <w:tab w:val="left" w:pos="-1560"/>
        </w:tabs>
        <w:ind w:left="851" w:right="98"/>
        <w:jc w:val="both"/>
        <w:rPr>
          <w:sz w:val="24"/>
          <w:szCs w:val="24"/>
        </w:rPr>
      </w:pPr>
    </w:p>
    <w:p w14:paraId="6FC2155F" w14:textId="77777777" w:rsidR="000E7A72" w:rsidRPr="004C0B3B" w:rsidRDefault="000E7A72" w:rsidP="007653D9">
      <w:pPr>
        <w:tabs>
          <w:tab w:val="left" w:pos="-1560"/>
        </w:tabs>
        <w:ind w:left="851" w:right="98"/>
        <w:jc w:val="both"/>
        <w:rPr>
          <w:sz w:val="24"/>
          <w:szCs w:val="24"/>
        </w:rPr>
      </w:pPr>
      <w:proofErr w:type="spellStart"/>
      <w:r w:rsidRPr="004C0B3B">
        <w:rPr>
          <w:sz w:val="24"/>
          <w:szCs w:val="24"/>
        </w:rPr>
        <w:t>Steady</w:t>
      </w:r>
      <w:proofErr w:type="spellEnd"/>
      <w:r w:rsidRPr="004C0B3B">
        <w:rPr>
          <w:sz w:val="24"/>
          <w:szCs w:val="24"/>
        </w:rPr>
        <w:t xml:space="preserve"> state-koncentration opnås normalt efter 3-4 dages behandling. Tilfredsstillende virkning opnås sædvanligvis ved en plasmakoncentration på 340-700 µmol/l, men der skal tages højde for patientens generelle situation.</w:t>
      </w:r>
    </w:p>
    <w:p w14:paraId="03BADC4B" w14:textId="77777777" w:rsidR="000E7A72" w:rsidRPr="004C0B3B" w:rsidRDefault="000E7A72" w:rsidP="007653D9">
      <w:pPr>
        <w:tabs>
          <w:tab w:val="left" w:pos="0"/>
        </w:tabs>
        <w:ind w:left="851"/>
        <w:rPr>
          <w:sz w:val="24"/>
          <w:szCs w:val="24"/>
        </w:rPr>
      </w:pPr>
    </w:p>
    <w:p w14:paraId="32A1E99C" w14:textId="77777777" w:rsidR="000E7A72" w:rsidRPr="004C0B3B" w:rsidRDefault="000E7A72" w:rsidP="007653D9">
      <w:pPr>
        <w:keepNext/>
        <w:tabs>
          <w:tab w:val="left" w:pos="0"/>
        </w:tabs>
        <w:ind w:left="851"/>
        <w:rPr>
          <w:sz w:val="24"/>
          <w:szCs w:val="24"/>
          <w:u w:val="single"/>
        </w:rPr>
      </w:pPr>
      <w:r w:rsidRPr="004C0B3B">
        <w:rPr>
          <w:sz w:val="24"/>
          <w:szCs w:val="24"/>
          <w:u w:val="single"/>
        </w:rPr>
        <w:t>Fordeling</w:t>
      </w:r>
    </w:p>
    <w:p w14:paraId="088BE0A3" w14:textId="77777777" w:rsidR="000E7A72" w:rsidRPr="004C0B3B" w:rsidRDefault="000E7A72" w:rsidP="007653D9">
      <w:pPr>
        <w:tabs>
          <w:tab w:val="left" w:pos="0"/>
        </w:tabs>
        <w:ind w:left="851"/>
        <w:rPr>
          <w:sz w:val="24"/>
          <w:szCs w:val="24"/>
        </w:rPr>
      </w:pPr>
      <w:r w:rsidRPr="004C0B3B">
        <w:rPr>
          <w:sz w:val="24"/>
          <w:szCs w:val="24"/>
        </w:rPr>
        <w:t xml:space="preserve">Koncentrationen af </w:t>
      </w:r>
      <w:proofErr w:type="spellStart"/>
      <w:r w:rsidRPr="004C0B3B">
        <w:rPr>
          <w:sz w:val="24"/>
          <w:szCs w:val="24"/>
        </w:rPr>
        <w:t>valproat</w:t>
      </w:r>
      <w:proofErr w:type="spellEnd"/>
      <w:r w:rsidRPr="004C0B3B">
        <w:rPr>
          <w:sz w:val="24"/>
          <w:szCs w:val="24"/>
        </w:rPr>
        <w:t xml:space="preserve"> i cerebrospinalvæske er 10 % af den samtidige plasmakoncentration.</w:t>
      </w:r>
    </w:p>
    <w:p w14:paraId="79359452" w14:textId="77777777" w:rsidR="000E7A72" w:rsidRPr="004C0B3B" w:rsidRDefault="000E7A72" w:rsidP="007653D9">
      <w:pPr>
        <w:tabs>
          <w:tab w:val="left" w:pos="0"/>
        </w:tabs>
        <w:ind w:left="851"/>
        <w:rPr>
          <w:sz w:val="24"/>
          <w:szCs w:val="24"/>
        </w:rPr>
      </w:pPr>
    </w:p>
    <w:p w14:paraId="1787F618" w14:textId="77777777" w:rsidR="000E7A72" w:rsidRPr="004C0B3B" w:rsidRDefault="000E7A72" w:rsidP="007653D9">
      <w:pPr>
        <w:tabs>
          <w:tab w:val="left" w:pos="0"/>
        </w:tabs>
        <w:ind w:left="851"/>
        <w:rPr>
          <w:sz w:val="24"/>
          <w:szCs w:val="24"/>
        </w:rPr>
      </w:pPr>
      <w:r w:rsidRPr="004C0B3B">
        <w:rPr>
          <w:sz w:val="24"/>
          <w:szCs w:val="24"/>
        </w:rPr>
        <w:t>Fordelingsvolumen afhænger af alderen og er generelt 0,13</w:t>
      </w:r>
      <w:r w:rsidRPr="004C0B3B">
        <w:rPr>
          <w:sz w:val="24"/>
          <w:szCs w:val="24"/>
        </w:rPr>
        <w:noBreakHyphen/>
        <w:t>0,23 l/kg, dog 0,13-0,19 l/kg hos unge.</w:t>
      </w:r>
    </w:p>
    <w:p w14:paraId="55F8A433" w14:textId="77777777" w:rsidR="000E7A72" w:rsidRPr="004C0B3B" w:rsidRDefault="000E7A72" w:rsidP="007653D9">
      <w:pPr>
        <w:tabs>
          <w:tab w:val="left" w:pos="0"/>
        </w:tabs>
        <w:ind w:left="851"/>
        <w:rPr>
          <w:sz w:val="24"/>
          <w:szCs w:val="24"/>
        </w:rPr>
      </w:pPr>
    </w:p>
    <w:p w14:paraId="3EC01C2F" w14:textId="77777777" w:rsidR="000E7A72" w:rsidRPr="004C0B3B" w:rsidRDefault="000E7A72" w:rsidP="007653D9">
      <w:pPr>
        <w:tabs>
          <w:tab w:val="left" w:pos="0"/>
        </w:tabs>
        <w:ind w:left="851"/>
        <w:rPr>
          <w:sz w:val="24"/>
          <w:szCs w:val="24"/>
        </w:rPr>
      </w:pPr>
      <w:r w:rsidRPr="004C0B3B">
        <w:rPr>
          <w:sz w:val="24"/>
          <w:szCs w:val="24"/>
        </w:rPr>
        <w:t>Op til 90</w:t>
      </w:r>
      <w:r w:rsidRPr="004C0B3B">
        <w:rPr>
          <w:sz w:val="24"/>
          <w:szCs w:val="24"/>
        </w:rPr>
        <w:noBreakHyphen/>
        <w:t xml:space="preserve">95 % af </w:t>
      </w:r>
      <w:proofErr w:type="spellStart"/>
      <w:r w:rsidRPr="004C0B3B">
        <w:rPr>
          <w:sz w:val="24"/>
          <w:szCs w:val="24"/>
        </w:rPr>
        <w:t>valproinsyren</w:t>
      </w:r>
      <w:proofErr w:type="spellEnd"/>
      <w:r w:rsidRPr="004C0B3B">
        <w:rPr>
          <w:sz w:val="24"/>
          <w:szCs w:val="24"/>
        </w:rPr>
        <w:t xml:space="preserve"> bindes til plasmaprotein, primært til albumin. Proteinbindingen falder med stigende doser. Plasmaproteinbindingen er lavere hos ældre patienter samt hos patienter med nedsat nyre- eller leverfunktion. I et studie sås forhøjede værdier af det frie aktive indholdsstof (fra 8,5 % til over 20 %) hos patienter med signifikant nedsat nyrefunktion.</w:t>
      </w:r>
    </w:p>
    <w:p w14:paraId="6B0600E0" w14:textId="77777777" w:rsidR="000E7A72" w:rsidRPr="004C0B3B" w:rsidRDefault="000E7A72" w:rsidP="007653D9">
      <w:pPr>
        <w:tabs>
          <w:tab w:val="left" w:pos="0"/>
        </w:tabs>
        <w:ind w:left="851"/>
        <w:rPr>
          <w:sz w:val="24"/>
          <w:szCs w:val="24"/>
        </w:rPr>
      </w:pPr>
    </w:p>
    <w:p w14:paraId="605C8E5B" w14:textId="77777777" w:rsidR="000E7A72" w:rsidRPr="004C0B3B" w:rsidRDefault="000E7A72" w:rsidP="007653D9">
      <w:pPr>
        <w:keepNext/>
        <w:ind w:left="851"/>
        <w:rPr>
          <w:i/>
          <w:sz w:val="24"/>
          <w:szCs w:val="24"/>
        </w:rPr>
      </w:pPr>
      <w:r w:rsidRPr="004C0B3B">
        <w:rPr>
          <w:i/>
          <w:sz w:val="24"/>
          <w:szCs w:val="24"/>
        </w:rPr>
        <w:t>Placentaoverførsel (se pkt. 4.6)</w:t>
      </w:r>
    </w:p>
    <w:p w14:paraId="59CE11FF" w14:textId="77777777" w:rsidR="000E7A72" w:rsidRPr="004C0B3B" w:rsidRDefault="000E7A72" w:rsidP="000E7A72">
      <w:pPr>
        <w:ind w:left="851"/>
        <w:rPr>
          <w:sz w:val="24"/>
          <w:szCs w:val="24"/>
        </w:rPr>
      </w:pPr>
      <w:proofErr w:type="spellStart"/>
      <w:r w:rsidRPr="004C0B3B">
        <w:rPr>
          <w:sz w:val="24"/>
          <w:szCs w:val="24"/>
        </w:rPr>
        <w:t>Valproat</w:t>
      </w:r>
      <w:proofErr w:type="spellEnd"/>
      <w:r w:rsidRPr="004C0B3B">
        <w:rPr>
          <w:sz w:val="24"/>
          <w:szCs w:val="24"/>
        </w:rPr>
        <w:t xml:space="preserve"> passerer placentabarrieren hos dyr og mennesker.</w:t>
      </w:r>
    </w:p>
    <w:p w14:paraId="519554C7" w14:textId="77777777" w:rsidR="000E7A72" w:rsidRPr="004C0B3B" w:rsidRDefault="000E7A72" w:rsidP="000E7A72">
      <w:pPr>
        <w:numPr>
          <w:ilvl w:val="0"/>
          <w:numId w:val="12"/>
        </w:numPr>
        <w:tabs>
          <w:tab w:val="left" w:pos="0"/>
        </w:tabs>
        <w:ind w:left="1276"/>
        <w:rPr>
          <w:sz w:val="24"/>
          <w:szCs w:val="24"/>
        </w:rPr>
      </w:pPr>
      <w:r w:rsidRPr="004C0B3B">
        <w:rPr>
          <w:sz w:val="24"/>
          <w:szCs w:val="24"/>
        </w:rPr>
        <w:t xml:space="preserve">Hos dyr passerer </w:t>
      </w:r>
      <w:proofErr w:type="spellStart"/>
      <w:r w:rsidRPr="004C0B3B">
        <w:rPr>
          <w:sz w:val="24"/>
          <w:szCs w:val="24"/>
        </w:rPr>
        <w:t>valproat</w:t>
      </w:r>
      <w:proofErr w:type="spellEnd"/>
      <w:r w:rsidRPr="004C0B3B">
        <w:rPr>
          <w:sz w:val="24"/>
          <w:szCs w:val="24"/>
        </w:rPr>
        <w:t xml:space="preserve"> placenta i samme grad som hos mennesker</w:t>
      </w:r>
    </w:p>
    <w:p w14:paraId="68E23AC5" w14:textId="77777777" w:rsidR="000E7A72" w:rsidRPr="004C0B3B" w:rsidRDefault="000E7A72" w:rsidP="000E7A72">
      <w:pPr>
        <w:numPr>
          <w:ilvl w:val="0"/>
          <w:numId w:val="12"/>
        </w:numPr>
        <w:tabs>
          <w:tab w:val="left" w:pos="0"/>
        </w:tabs>
        <w:ind w:left="1276"/>
        <w:rPr>
          <w:sz w:val="24"/>
          <w:szCs w:val="24"/>
        </w:rPr>
      </w:pPr>
      <w:r w:rsidRPr="004C0B3B">
        <w:rPr>
          <w:sz w:val="24"/>
          <w:szCs w:val="24"/>
        </w:rPr>
        <w:t xml:space="preserve">Hos mennesker er koncentrationen af </w:t>
      </w:r>
      <w:proofErr w:type="spellStart"/>
      <w:r w:rsidRPr="004C0B3B">
        <w:rPr>
          <w:sz w:val="24"/>
          <w:szCs w:val="24"/>
        </w:rPr>
        <w:t>valproat</w:t>
      </w:r>
      <w:proofErr w:type="spellEnd"/>
      <w:r w:rsidRPr="004C0B3B">
        <w:rPr>
          <w:sz w:val="24"/>
          <w:szCs w:val="24"/>
        </w:rPr>
        <w:t xml:space="preserve"> i navlestrengen hos nyfødte ved fødslen undersøgt i flere publikationer. </w:t>
      </w:r>
    </w:p>
    <w:p w14:paraId="49F587A9" w14:textId="77777777" w:rsidR="000E7A72" w:rsidRPr="004C0B3B" w:rsidRDefault="000E7A72" w:rsidP="000E7A72">
      <w:pPr>
        <w:tabs>
          <w:tab w:val="left" w:pos="0"/>
        </w:tabs>
        <w:ind w:left="851"/>
        <w:rPr>
          <w:sz w:val="24"/>
          <w:szCs w:val="24"/>
        </w:rPr>
      </w:pPr>
      <w:proofErr w:type="spellStart"/>
      <w:r w:rsidRPr="004C0B3B">
        <w:rPr>
          <w:sz w:val="24"/>
          <w:szCs w:val="24"/>
        </w:rPr>
        <w:t>Valproat</w:t>
      </w:r>
      <w:proofErr w:type="spellEnd"/>
      <w:r w:rsidRPr="004C0B3B">
        <w:rPr>
          <w:sz w:val="24"/>
          <w:szCs w:val="24"/>
        </w:rPr>
        <w:t>-serumkoncentrationen i navlestrengen, som repræsenterer koncentrationen hos fostrene, svarede til eller var lidt højere end hos mødrene.</w:t>
      </w:r>
    </w:p>
    <w:p w14:paraId="6B622E0A" w14:textId="77777777" w:rsidR="000E7A72" w:rsidRPr="004C0B3B" w:rsidRDefault="000E7A72" w:rsidP="000E7A72">
      <w:pPr>
        <w:tabs>
          <w:tab w:val="left" w:pos="0"/>
        </w:tabs>
        <w:ind w:left="851"/>
        <w:rPr>
          <w:sz w:val="24"/>
          <w:szCs w:val="24"/>
        </w:rPr>
      </w:pPr>
    </w:p>
    <w:p w14:paraId="308D390F" w14:textId="77777777" w:rsidR="000E7A72" w:rsidRPr="004C0B3B" w:rsidRDefault="000E7A72" w:rsidP="000E7A72">
      <w:pPr>
        <w:tabs>
          <w:tab w:val="left" w:pos="851"/>
        </w:tabs>
        <w:ind w:left="851"/>
        <w:rPr>
          <w:sz w:val="24"/>
          <w:szCs w:val="24"/>
        </w:rPr>
      </w:pPr>
      <w:proofErr w:type="spellStart"/>
      <w:r w:rsidRPr="004C0B3B">
        <w:rPr>
          <w:sz w:val="24"/>
          <w:szCs w:val="24"/>
        </w:rPr>
        <w:t>Valproat</w:t>
      </w:r>
      <w:proofErr w:type="spellEnd"/>
      <w:r w:rsidRPr="004C0B3B">
        <w:rPr>
          <w:sz w:val="24"/>
          <w:szCs w:val="24"/>
        </w:rPr>
        <w:t xml:space="preserve"> går over i modermælk. Ved </w:t>
      </w:r>
      <w:proofErr w:type="spellStart"/>
      <w:r w:rsidRPr="004C0B3B">
        <w:rPr>
          <w:sz w:val="24"/>
          <w:szCs w:val="24"/>
        </w:rPr>
        <w:t>steady</w:t>
      </w:r>
      <w:proofErr w:type="spellEnd"/>
      <w:r w:rsidRPr="004C0B3B">
        <w:rPr>
          <w:sz w:val="24"/>
          <w:szCs w:val="24"/>
        </w:rPr>
        <w:t xml:space="preserve"> </w:t>
      </w:r>
      <w:proofErr w:type="spellStart"/>
      <w:r w:rsidRPr="004C0B3B">
        <w:rPr>
          <w:sz w:val="24"/>
          <w:szCs w:val="24"/>
        </w:rPr>
        <w:t>state</w:t>
      </w:r>
      <w:proofErr w:type="spellEnd"/>
      <w:r w:rsidRPr="004C0B3B">
        <w:rPr>
          <w:sz w:val="24"/>
          <w:szCs w:val="24"/>
        </w:rPr>
        <w:t xml:space="preserve"> er koncentrationen i modermælk ca. 10 % af plasmakoncentrationen (se pkt. 4.6).</w:t>
      </w:r>
    </w:p>
    <w:p w14:paraId="34D2BF01" w14:textId="77777777" w:rsidR="000E7A72" w:rsidRPr="004C0B3B" w:rsidRDefault="000E7A72" w:rsidP="000E7A72">
      <w:pPr>
        <w:tabs>
          <w:tab w:val="left" w:pos="0"/>
        </w:tabs>
        <w:ind w:left="851"/>
        <w:rPr>
          <w:sz w:val="24"/>
          <w:szCs w:val="24"/>
        </w:rPr>
      </w:pPr>
    </w:p>
    <w:p w14:paraId="13F658F1" w14:textId="77777777" w:rsidR="000E7A72" w:rsidRPr="004C0B3B" w:rsidRDefault="000E7A72" w:rsidP="000E7A72">
      <w:pPr>
        <w:tabs>
          <w:tab w:val="left" w:pos="0"/>
        </w:tabs>
        <w:ind w:left="851"/>
        <w:rPr>
          <w:sz w:val="24"/>
          <w:szCs w:val="24"/>
          <w:u w:val="single"/>
        </w:rPr>
      </w:pPr>
      <w:r w:rsidRPr="004C0B3B">
        <w:rPr>
          <w:sz w:val="24"/>
          <w:szCs w:val="24"/>
          <w:u w:val="single"/>
        </w:rPr>
        <w:t>Biotransformation, elimination</w:t>
      </w:r>
    </w:p>
    <w:p w14:paraId="6CBEC547" w14:textId="77777777" w:rsidR="000E7A72" w:rsidRPr="004C0B3B" w:rsidRDefault="000E7A72" w:rsidP="000E7A72">
      <w:pPr>
        <w:tabs>
          <w:tab w:val="left" w:pos="0"/>
        </w:tabs>
        <w:ind w:left="851"/>
        <w:rPr>
          <w:sz w:val="24"/>
          <w:szCs w:val="24"/>
        </w:rPr>
      </w:pPr>
      <w:r w:rsidRPr="004C0B3B">
        <w:rPr>
          <w:sz w:val="24"/>
          <w:szCs w:val="24"/>
        </w:rPr>
        <w:t xml:space="preserve">Biotransformation foregår ved omdannelse til </w:t>
      </w:r>
      <w:proofErr w:type="spellStart"/>
      <w:r w:rsidRPr="004C0B3B">
        <w:rPr>
          <w:sz w:val="24"/>
          <w:szCs w:val="24"/>
        </w:rPr>
        <w:t>glucuronid</w:t>
      </w:r>
      <w:proofErr w:type="spellEnd"/>
      <w:r w:rsidRPr="004C0B3B">
        <w:rPr>
          <w:sz w:val="24"/>
          <w:szCs w:val="24"/>
        </w:rPr>
        <w:t xml:space="preserve"> og ved beta-, omega- og omega-1-oxidering. Ca. 20 % af den indgivne dosis udskilles i urinen som </w:t>
      </w:r>
      <w:proofErr w:type="spellStart"/>
      <w:r w:rsidRPr="004C0B3B">
        <w:rPr>
          <w:sz w:val="24"/>
          <w:szCs w:val="24"/>
        </w:rPr>
        <w:t>glucuronidester</w:t>
      </w:r>
      <w:proofErr w:type="spellEnd"/>
      <w:r w:rsidRPr="004C0B3B">
        <w:rPr>
          <w:sz w:val="24"/>
          <w:szCs w:val="24"/>
        </w:rPr>
        <w:t xml:space="preserve">. Der findes over 20 metabolitter, hvoraf de, der stammer fra omega-oxidering, anses for at være </w:t>
      </w:r>
      <w:proofErr w:type="spellStart"/>
      <w:r w:rsidRPr="004C0B3B">
        <w:rPr>
          <w:sz w:val="24"/>
          <w:szCs w:val="24"/>
        </w:rPr>
        <w:t>hepatotoksiske</w:t>
      </w:r>
      <w:proofErr w:type="spellEnd"/>
      <w:r w:rsidRPr="004C0B3B">
        <w:rPr>
          <w:sz w:val="24"/>
          <w:szCs w:val="24"/>
        </w:rPr>
        <w:t xml:space="preserve">. Under 5 % af en administreret dosis </w:t>
      </w:r>
      <w:proofErr w:type="spellStart"/>
      <w:r w:rsidRPr="004C0B3B">
        <w:rPr>
          <w:sz w:val="24"/>
          <w:szCs w:val="24"/>
        </w:rPr>
        <w:t>valproat</w:t>
      </w:r>
      <w:proofErr w:type="spellEnd"/>
      <w:r w:rsidRPr="004C0B3B">
        <w:rPr>
          <w:sz w:val="24"/>
          <w:szCs w:val="24"/>
        </w:rPr>
        <w:t xml:space="preserve"> genfindes </w:t>
      </w:r>
      <w:proofErr w:type="spellStart"/>
      <w:r w:rsidRPr="004C0B3B">
        <w:rPr>
          <w:sz w:val="24"/>
          <w:szCs w:val="24"/>
        </w:rPr>
        <w:t>uomdannet</w:t>
      </w:r>
      <w:proofErr w:type="spellEnd"/>
      <w:r w:rsidRPr="004C0B3B">
        <w:rPr>
          <w:sz w:val="24"/>
          <w:szCs w:val="24"/>
        </w:rPr>
        <w:t xml:space="preserve"> i urinen. Hovedmetabolitten er 3-keto-valproat, hvoraf op til 3-60 % genfindes i urinen. Denne metabolit har </w:t>
      </w:r>
      <w:proofErr w:type="spellStart"/>
      <w:r w:rsidRPr="004C0B3B">
        <w:rPr>
          <w:sz w:val="24"/>
          <w:szCs w:val="24"/>
        </w:rPr>
        <w:t>antikonvulsiv</w:t>
      </w:r>
      <w:proofErr w:type="spellEnd"/>
      <w:r w:rsidRPr="004C0B3B">
        <w:rPr>
          <w:sz w:val="24"/>
          <w:szCs w:val="24"/>
        </w:rPr>
        <w:t xml:space="preserve"> virkning hos mus, mens dens virkning hos mennesker endnu ikke er afklaret.</w:t>
      </w:r>
    </w:p>
    <w:p w14:paraId="6DA329AE" w14:textId="77777777" w:rsidR="000E7A72" w:rsidRPr="004C0B3B" w:rsidRDefault="000E7A72" w:rsidP="000E7A72">
      <w:pPr>
        <w:tabs>
          <w:tab w:val="left" w:pos="0"/>
        </w:tabs>
        <w:ind w:left="851"/>
        <w:rPr>
          <w:sz w:val="24"/>
          <w:szCs w:val="24"/>
        </w:rPr>
      </w:pPr>
    </w:p>
    <w:p w14:paraId="2782DFD7" w14:textId="77777777" w:rsidR="000E7A72" w:rsidRPr="004C0B3B" w:rsidRDefault="000E7A72" w:rsidP="000E7A72">
      <w:pPr>
        <w:tabs>
          <w:tab w:val="left" w:pos="0"/>
        </w:tabs>
        <w:ind w:left="851"/>
        <w:rPr>
          <w:sz w:val="24"/>
          <w:szCs w:val="24"/>
        </w:rPr>
      </w:pPr>
      <w:r w:rsidRPr="004C0B3B">
        <w:rPr>
          <w:sz w:val="24"/>
          <w:szCs w:val="24"/>
        </w:rPr>
        <w:t xml:space="preserve">I et studie var </w:t>
      </w:r>
      <w:proofErr w:type="spellStart"/>
      <w:r w:rsidRPr="004C0B3B">
        <w:rPr>
          <w:sz w:val="24"/>
          <w:szCs w:val="24"/>
        </w:rPr>
        <w:t>plasmaclearance</w:t>
      </w:r>
      <w:proofErr w:type="spellEnd"/>
      <w:r w:rsidRPr="004C0B3B">
        <w:rPr>
          <w:sz w:val="24"/>
          <w:szCs w:val="24"/>
        </w:rPr>
        <w:t xml:space="preserve"> 12,7 ml/min hos personer med epilepsi, mens det hos raske forsøgspersoner er 5</w:t>
      </w:r>
      <w:r w:rsidRPr="004C0B3B">
        <w:rPr>
          <w:sz w:val="24"/>
          <w:szCs w:val="24"/>
        </w:rPr>
        <w:noBreakHyphen/>
        <w:t xml:space="preserve">10 ml/min. </w:t>
      </w:r>
      <w:proofErr w:type="spellStart"/>
      <w:r w:rsidRPr="004C0B3B">
        <w:rPr>
          <w:sz w:val="24"/>
          <w:szCs w:val="24"/>
        </w:rPr>
        <w:t>Clearance</w:t>
      </w:r>
      <w:proofErr w:type="spellEnd"/>
      <w:r w:rsidRPr="004C0B3B">
        <w:rPr>
          <w:sz w:val="24"/>
          <w:szCs w:val="24"/>
        </w:rPr>
        <w:t xml:space="preserve"> øges ved indtagelse af enzyminducerende </w:t>
      </w:r>
      <w:proofErr w:type="spellStart"/>
      <w:r w:rsidRPr="004C0B3B">
        <w:rPr>
          <w:sz w:val="24"/>
          <w:szCs w:val="24"/>
        </w:rPr>
        <w:t>antiepileptika</w:t>
      </w:r>
      <w:proofErr w:type="spellEnd"/>
      <w:r w:rsidRPr="004C0B3B">
        <w:rPr>
          <w:sz w:val="24"/>
          <w:szCs w:val="24"/>
        </w:rPr>
        <w:t>. Når lægemidlet gives som monoterapi, har det en gennemsnitlig plasmahalveringstid på 12</w:t>
      </w:r>
      <w:r w:rsidRPr="004C0B3B">
        <w:rPr>
          <w:sz w:val="24"/>
          <w:szCs w:val="24"/>
        </w:rPr>
        <w:noBreakHyphen/>
        <w:t>16 timer, hvilket ikke ændres under langtids</w:t>
      </w:r>
      <w:r w:rsidRPr="004C0B3B">
        <w:rPr>
          <w:sz w:val="24"/>
          <w:szCs w:val="24"/>
        </w:rPr>
        <w:softHyphen/>
        <w:t>behandling.</w:t>
      </w:r>
    </w:p>
    <w:p w14:paraId="62D1F6AC" w14:textId="77777777" w:rsidR="000E7A72" w:rsidRPr="004C0B3B" w:rsidRDefault="000E7A72" w:rsidP="000E7A72">
      <w:pPr>
        <w:tabs>
          <w:tab w:val="left" w:pos="0"/>
        </w:tabs>
        <w:ind w:left="851"/>
        <w:rPr>
          <w:sz w:val="24"/>
          <w:szCs w:val="24"/>
        </w:rPr>
      </w:pPr>
    </w:p>
    <w:p w14:paraId="2BF10DD6" w14:textId="77777777" w:rsidR="000E7A72" w:rsidRPr="004C0B3B" w:rsidRDefault="000E7A72" w:rsidP="000E7A72">
      <w:pPr>
        <w:tabs>
          <w:tab w:val="left" w:pos="0"/>
        </w:tabs>
        <w:ind w:left="851"/>
        <w:rPr>
          <w:sz w:val="24"/>
          <w:szCs w:val="24"/>
        </w:rPr>
      </w:pPr>
      <w:r w:rsidRPr="004C0B3B">
        <w:rPr>
          <w:sz w:val="24"/>
          <w:szCs w:val="24"/>
        </w:rPr>
        <w:t>Når lægemidlet anvendes i kombination med andre lægemidler (</w:t>
      </w:r>
      <w:proofErr w:type="spellStart"/>
      <w:r w:rsidRPr="004C0B3B">
        <w:rPr>
          <w:sz w:val="24"/>
          <w:szCs w:val="24"/>
        </w:rPr>
        <w:t>primidon</w:t>
      </w:r>
      <w:proofErr w:type="spellEnd"/>
      <w:r w:rsidRPr="004C0B3B">
        <w:rPr>
          <w:sz w:val="24"/>
          <w:szCs w:val="24"/>
        </w:rPr>
        <w:t xml:space="preserve">, </w:t>
      </w:r>
      <w:proofErr w:type="spellStart"/>
      <w:r w:rsidRPr="004C0B3B">
        <w:rPr>
          <w:sz w:val="24"/>
          <w:szCs w:val="24"/>
        </w:rPr>
        <w:t>phenytoin</w:t>
      </w:r>
      <w:proofErr w:type="spellEnd"/>
      <w:r w:rsidRPr="004C0B3B">
        <w:rPr>
          <w:sz w:val="24"/>
          <w:szCs w:val="24"/>
        </w:rPr>
        <w:t xml:space="preserve">, </w:t>
      </w:r>
      <w:proofErr w:type="spellStart"/>
      <w:r w:rsidRPr="004C0B3B">
        <w:rPr>
          <w:sz w:val="24"/>
          <w:szCs w:val="24"/>
        </w:rPr>
        <w:t>phenobarbital</w:t>
      </w:r>
      <w:proofErr w:type="spellEnd"/>
      <w:r w:rsidRPr="004C0B3B">
        <w:rPr>
          <w:sz w:val="24"/>
          <w:szCs w:val="24"/>
        </w:rPr>
        <w:t xml:space="preserve"> eller </w:t>
      </w:r>
      <w:proofErr w:type="spellStart"/>
      <w:r w:rsidRPr="004C0B3B">
        <w:rPr>
          <w:sz w:val="24"/>
          <w:szCs w:val="24"/>
        </w:rPr>
        <w:t>carbamazepin</w:t>
      </w:r>
      <w:proofErr w:type="spellEnd"/>
      <w:r w:rsidRPr="004C0B3B">
        <w:rPr>
          <w:sz w:val="24"/>
          <w:szCs w:val="24"/>
        </w:rPr>
        <w:t xml:space="preserve">), falder halveringstiden til mellem 4 og 9 timer afhængigt af enzyminduktionen (se pkt. 4.5).  Hos børn og unge over 10 år svarer </w:t>
      </w:r>
      <w:proofErr w:type="spellStart"/>
      <w:r w:rsidRPr="004C0B3B">
        <w:rPr>
          <w:sz w:val="24"/>
          <w:szCs w:val="24"/>
        </w:rPr>
        <w:t>clearance</w:t>
      </w:r>
      <w:proofErr w:type="spellEnd"/>
      <w:r w:rsidRPr="004C0B3B">
        <w:rPr>
          <w:sz w:val="24"/>
          <w:szCs w:val="24"/>
        </w:rPr>
        <w:t xml:space="preserve"> af </w:t>
      </w:r>
      <w:proofErr w:type="spellStart"/>
      <w:r w:rsidRPr="004C0B3B">
        <w:rPr>
          <w:sz w:val="24"/>
          <w:szCs w:val="24"/>
        </w:rPr>
        <w:t>valproat</w:t>
      </w:r>
      <w:proofErr w:type="spellEnd"/>
      <w:r w:rsidRPr="004C0B3B">
        <w:rPr>
          <w:sz w:val="24"/>
          <w:szCs w:val="24"/>
        </w:rPr>
        <w:t xml:space="preserve"> til den hos voksne. Hos børn under 10 år varierer den systemiske </w:t>
      </w:r>
      <w:proofErr w:type="spellStart"/>
      <w:r w:rsidRPr="004C0B3B">
        <w:rPr>
          <w:sz w:val="24"/>
          <w:szCs w:val="24"/>
        </w:rPr>
        <w:t>clearance</w:t>
      </w:r>
      <w:proofErr w:type="spellEnd"/>
      <w:r w:rsidRPr="004C0B3B">
        <w:rPr>
          <w:sz w:val="24"/>
          <w:szCs w:val="24"/>
        </w:rPr>
        <w:t xml:space="preserve"> af </w:t>
      </w:r>
      <w:proofErr w:type="spellStart"/>
      <w:r w:rsidRPr="004C0B3B">
        <w:rPr>
          <w:sz w:val="24"/>
          <w:szCs w:val="24"/>
        </w:rPr>
        <w:t>valproat</w:t>
      </w:r>
      <w:proofErr w:type="spellEnd"/>
      <w:r w:rsidRPr="004C0B3B">
        <w:rPr>
          <w:sz w:val="24"/>
          <w:szCs w:val="24"/>
        </w:rPr>
        <w:t xml:space="preserve"> med alderen. Hos nyfødte og spædbørn op til 2 måneder er </w:t>
      </w:r>
      <w:proofErr w:type="spellStart"/>
      <w:r w:rsidRPr="004C0B3B">
        <w:rPr>
          <w:sz w:val="24"/>
          <w:szCs w:val="24"/>
        </w:rPr>
        <w:t>clearance</w:t>
      </w:r>
      <w:proofErr w:type="spellEnd"/>
      <w:r w:rsidRPr="004C0B3B">
        <w:rPr>
          <w:sz w:val="24"/>
          <w:szCs w:val="24"/>
        </w:rPr>
        <w:t xml:space="preserve"> af </w:t>
      </w:r>
      <w:proofErr w:type="spellStart"/>
      <w:r w:rsidRPr="004C0B3B">
        <w:rPr>
          <w:sz w:val="24"/>
          <w:szCs w:val="24"/>
        </w:rPr>
        <w:t>valproat</w:t>
      </w:r>
      <w:proofErr w:type="spellEnd"/>
      <w:r w:rsidRPr="004C0B3B">
        <w:rPr>
          <w:sz w:val="24"/>
          <w:szCs w:val="24"/>
        </w:rPr>
        <w:t xml:space="preserve"> nedsat sammenlignet med voksne og er lavest umiddelbart efter fødslen. En gennemgang af den videnskabelige litteratur viser, at </w:t>
      </w:r>
      <w:proofErr w:type="spellStart"/>
      <w:r w:rsidRPr="004C0B3B">
        <w:rPr>
          <w:sz w:val="24"/>
          <w:szCs w:val="24"/>
        </w:rPr>
        <w:t>valproats</w:t>
      </w:r>
      <w:proofErr w:type="spellEnd"/>
      <w:r w:rsidRPr="004C0B3B">
        <w:rPr>
          <w:sz w:val="24"/>
          <w:szCs w:val="24"/>
        </w:rPr>
        <w:t xml:space="preserve"> halveringstid hos spædbørn under to måneder udviser betydelig variabilitet (1-67 timer). Hos børn i alderen 2-10 år er </w:t>
      </w:r>
      <w:proofErr w:type="spellStart"/>
      <w:r w:rsidRPr="004C0B3B">
        <w:rPr>
          <w:sz w:val="24"/>
          <w:szCs w:val="24"/>
        </w:rPr>
        <w:t>valproat-clearance</w:t>
      </w:r>
      <w:proofErr w:type="spellEnd"/>
      <w:r w:rsidRPr="004C0B3B">
        <w:rPr>
          <w:sz w:val="24"/>
          <w:szCs w:val="24"/>
        </w:rPr>
        <w:t xml:space="preserve"> 50 % højere end hos voksne.</w:t>
      </w:r>
    </w:p>
    <w:p w14:paraId="59AC8D0D" w14:textId="77777777" w:rsidR="000E7A72" w:rsidRPr="004C0B3B" w:rsidRDefault="000E7A72" w:rsidP="000E7A72">
      <w:pPr>
        <w:tabs>
          <w:tab w:val="left" w:pos="0"/>
        </w:tabs>
        <w:ind w:left="851"/>
        <w:rPr>
          <w:sz w:val="24"/>
          <w:szCs w:val="24"/>
        </w:rPr>
      </w:pPr>
    </w:p>
    <w:p w14:paraId="4BAC2269" w14:textId="77777777" w:rsidR="000E7A72" w:rsidRPr="004C0B3B" w:rsidRDefault="000E7A72" w:rsidP="000E7A72">
      <w:pPr>
        <w:tabs>
          <w:tab w:val="left" w:pos="0"/>
        </w:tabs>
        <w:ind w:left="851"/>
        <w:rPr>
          <w:sz w:val="24"/>
          <w:szCs w:val="24"/>
        </w:rPr>
      </w:pPr>
      <w:r w:rsidRPr="004C0B3B">
        <w:rPr>
          <w:sz w:val="24"/>
          <w:szCs w:val="24"/>
        </w:rPr>
        <w:t xml:space="preserve">Halveringstiden forlænges hos patienter med nedsat nyre- eller leverfunktion. I forbindelse med overdosering er der set halveringstider på op til 30 timer. </w:t>
      </w:r>
    </w:p>
    <w:p w14:paraId="25B0E532" w14:textId="77777777" w:rsidR="000E7A72" w:rsidRPr="004C0B3B" w:rsidRDefault="000E7A72" w:rsidP="000E7A72">
      <w:pPr>
        <w:tabs>
          <w:tab w:val="left" w:pos="0"/>
        </w:tabs>
        <w:ind w:left="851"/>
        <w:rPr>
          <w:sz w:val="24"/>
          <w:szCs w:val="24"/>
        </w:rPr>
      </w:pPr>
    </w:p>
    <w:p w14:paraId="0E557AD8" w14:textId="77777777" w:rsidR="000E7A72" w:rsidRPr="004C0B3B" w:rsidRDefault="000E7A72" w:rsidP="000E7A72">
      <w:pPr>
        <w:tabs>
          <w:tab w:val="left" w:pos="851"/>
        </w:tabs>
        <w:ind w:left="851"/>
        <w:rPr>
          <w:sz w:val="24"/>
          <w:szCs w:val="24"/>
        </w:rPr>
      </w:pPr>
      <w:r w:rsidRPr="004C0B3B">
        <w:rPr>
          <w:sz w:val="24"/>
          <w:szCs w:val="24"/>
        </w:rPr>
        <w:t xml:space="preserve">I tredje trimester øges fordelingsvolumen. Grundet øget </w:t>
      </w:r>
      <w:proofErr w:type="spellStart"/>
      <w:r w:rsidRPr="004C0B3B">
        <w:rPr>
          <w:sz w:val="24"/>
          <w:szCs w:val="24"/>
        </w:rPr>
        <w:t>hepatisk</w:t>
      </w:r>
      <w:proofErr w:type="spellEnd"/>
      <w:r w:rsidRPr="004C0B3B">
        <w:rPr>
          <w:sz w:val="24"/>
          <w:szCs w:val="24"/>
        </w:rPr>
        <w:t xml:space="preserve"> og </w:t>
      </w:r>
      <w:proofErr w:type="spellStart"/>
      <w:r w:rsidRPr="004C0B3B">
        <w:rPr>
          <w:sz w:val="24"/>
          <w:szCs w:val="24"/>
        </w:rPr>
        <w:t>renal</w:t>
      </w:r>
      <w:proofErr w:type="spellEnd"/>
      <w:r w:rsidRPr="004C0B3B">
        <w:rPr>
          <w:sz w:val="24"/>
          <w:szCs w:val="24"/>
        </w:rPr>
        <w:t xml:space="preserve"> </w:t>
      </w:r>
      <w:proofErr w:type="spellStart"/>
      <w:r w:rsidRPr="004C0B3B">
        <w:rPr>
          <w:sz w:val="24"/>
          <w:szCs w:val="24"/>
        </w:rPr>
        <w:t>clearance</w:t>
      </w:r>
      <w:proofErr w:type="spellEnd"/>
      <w:r w:rsidRPr="004C0B3B">
        <w:rPr>
          <w:sz w:val="24"/>
          <w:szCs w:val="24"/>
        </w:rPr>
        <w:t xml:space="preserve"> kan der forekomme fald i plasmakoncentrationen trods uændret dosering. </w:t>
      </w:r>
    </w:p>
    <w:p w14:paraId="0056757B" w14:textId="77777777" w:rsidR="004873ED" w:rsidRPr="004C0B3B" w:rsidRDefault="004873ED" w:rsidP="004873ED">
      <w:pPr>
        <w:tabs>
          <w:tab w:val="left" w:pos="851"/>
        </w:tabs>
        <w:rPr>
          <w:sz w:val="24"/>
          <w:szCs w:val="24"/>
        </w:rPr>
      </w:pPr>
    </w:p>
    <w:p w14:paraId="5DF3CAB5" w14:textId="77777777" w:rsidR="007653D9" w:rsidRPr="00C84483" w:rsidRDefault="007653D9" w:rsidP="007653D9">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795D7A4C" w14:textId="3C0360DE" w:rsidR="0027509F" w:rsidRPr="004C0B3B" w:rsidRDefault="0027509F" w:rsidP="0027509F">
      <w:pPr>
        <w:tabs>
          <w:tab w:val="left" w:pos="426"/>
        </w:tabs>
        <w:ind w:left="851"/>
        <w:outlineLvl w:val="0"/>
        <w:rPr>
          <w:iCs/>
          <w:sz w:val="24"/>
          <w:szCs w:val="24"/>
        </w:rPr>
      </w:pPr>
      <w:proofErr w:type="spellStart"/>
      <w:r w:rsidRPr="004C0B3B">
        <w:rPr>
          <w:iCs/>
          <w:sz w:val="24"/>
          <w:szCs w:val="24"/>
        </w:rPr>
        <w:t>Valproat</w:t>
      </w:r>
      <w:proofErr w:type="spellEnd"/>
      <w:r w:rsidRPr="004C0B3B">
        <w:rPr>
          <w:iCs/>
          <w:sz w:val="24"/>
          <w:szCs w:val="24"/>
        </w:rPr>
        <w:t xml:space="preserve"> er hverken fundet mutagent i bakterier eller i muse-</w:t>
      </w:r>
      <w:proofErr w:type="spellStart"/>
      <w:r w:rsidRPr="004C0B3B">
        <w:rPr>
          <w:iCs/>
          <w:sz w:val="24"/>
          <w:szCs w:val="24"/>
        </w:rPr>
        <w:t>lymfomtesten</w:t>
      </w:r>
      <w:proofErr w:type="spellEnd"/>
      <w:r w:rsidRPr="004C0B3B">
        <w:rPr>
          <w:iCs/>
          <w:sz w:val="24"/>
          <w:szCs w:val="24"/>
        </w:rPr>
        <w:t xml:space="preserve"> in </w:t>
      </w:r>
      <w:proofErr w:type="spellStart"/>
      <w:r w:rsidRPr="004C0B3B">
        <w:rPr>
          <w:iCs/>
          <w:sz w:val="24"/>
          <w:szCs w:val="24"/>
        </w:rPr>
        <w:t>vitro</w:t>
      </w:r>
      <w:proofErr w:type="spellEnd"/>
      <w:r w:rsidRPr="004C0B3B">
        <w:rPr>
          <w:iCs/>
          <w:sz w:val="24"/>
          <w:szCs w:val="24"/>
        </w:rPr>
        <w:t xml:space="preserve"> og inducerede ikke DNA reparation i primære </w:t>
      </w:r>
      <w:proofErr w:type="spellStart"/>
      <w:r w:rsidRPr="004C0B3B">
        <w:rPr>
          <w:iCs/>
          <w:sz w:val="24"/>
          <w:szCs w:val="24"/>
        </w:rPr>
        <w:t>hepatocytkulturer</w:t>
      </w:r>
      <w:proofErr w:type="spellEnd"/>
      <w:r w:rsidRPr="004C0B3B">
        <w:rPr>
          <w:iCs/>
          <w:sz w:val="24"/>
          <w:szCs w:val="24"/>
        </w:rPr>
        <w:t xml:space="preserve"> fra rotter. In </w:t>
      </w:r>
      <w:proofErr w:type="spellStart"/>
      <w:r w:rsidRPr="004C0B3B">
        <w:rPr>
          <w:iCs/>
          <w:sz w:val="24"/>
          <w:szCs w:val="24"/>
        </w:rPr>
        <w:t>vivo</w:t>
      </w:r>
      <w:proofErr w:type="spellEnd"/>
      <w:r w:rsidRPr="004C0B3B">
        <w:rPr>
          <w:iCs/>
          <w:sz w:val="24"/>
          <w:szCs w:val="24"/>
        </w:rPr>
        <w:t xml:space="preserve"> er der imidlertid fundet modstridende resultater ved </w:t>
      </w:r>
      <w:proofErr w:type="spellStart"/>
      <w:r w:rsidRPr="004C0B3B">
        <w:rPr>
          <w:iCs/>
          <w:sz w:val="24"/>
          <w:szCs w:val="24"/>
        </w:rPr>
        <w:t>teratogene</w:t>
      </w:r>
      <w:proofErr w:type="spellEnd"/>
      <w:r w:rsidRPr="004C0B3B">
        <w:rPr>
          <w:iCs/>
          <w:sz w:val="24"/>
          <w:szCs w:val="24"/>
        </w:rPr>
        <w:t xml:space="preserve"> doser afhængigt af administrationsvejen. Efter oral administration, som er den overvejende administrationsvej hos mennesker, inducerede </w:t>
      </w:r>
      <w:proofErr w:type="spellStart"/>
      <w:r w:rsidRPr="004C0B3B">
        <w:rPr>
          <w:iCs/>
          <w:sz w:val="24"/>
          <w:szCs w:val="24"/>
        </w:rPr>
        <w:t>valproat</w:t>
      </w:r>
      <w:proofErr w:type="spellEnd"/>
      <w:r w:rsidRPr="004C0B3B">
        <w:rPr>
          <w:iCs/>
          <w:sz w:val="24"/>
          <w:szCs w:val="24"/>
        </w:rPr>
        <w:t xml:space="preserve"> ikke kromosomafvigelse i knoglemarv fra rotter eller dominerende dødelige virkninger hos mus. </w:t>
      </w:r>
      <w:proofErr w:type="spellStart"/>
      <w:r w:rsidRPr="004C0B3B">
        <w:rPr>
          <w:iCs/>
          <w:sz w:val="24"/>
          <w:szCs w:val="24"/>
        </w:rPr>
        <w:t>Intraperitoneal</w:t>
      </w:r>
      <w:proofErr w:type="spellEnd"/>
      <w:r w:rsidRPr="004C0B3B">
        <w:rPr>
          <w:iCs/>
          <w:sz w:val="24"/>
          <w:szCs w:val="24"/>
        </w:rPr>
        <w:t xml:space="preserve"> injektion af </w:t>
      </w:r>
      <w:proofErr w:type="spellStart"/>
      <w:r w:rsidRPr="004C0B3B">
        <w:rPr>
          <w:iCs/>
          <w:sz w:val="24"/>
          <w:szCs w:val="24"/>
        </w:rPr>
        <w:t>valproat</w:t>
      </w:r>
      <w:proofErr w:type="spellEnd"/>
      <w:r w:rsidRPr="004C0B3B">
        <w:rPr>
          <w:iCs/>
          <w:sz w:val="24"/>
          <w:szCs w:val="24"/>
        </w:rPr>
        <w:t xml:space="preserve"> øgede brud på DNA-streng og kromosomskade hos gnavere. Derudover er der rapporteret øgede søster-</w:t>
      </w:r>
      <w:proofErr w:type="spellStart"/>
      <w:r w:rsidRPr="004C0B3B">
        <w:rPr>
          <w:iCs/>
          <w:sz w:val="24"/>
          <w:szCs w:val="24"/>
        </w:rPr>
        <w:t>kromatidudvekslinger</w:t>
      </w:r>
      <w:proofErr w:type="spellEnd"/>
      <w:r w:rsidRPr="004C0B3B">
        <w:rPr>
          <w:iCs/>
          <w:sz w:val="24"/>
          <w:szCs w:val="24"/>
        </w:rPr>
        <w:t xml:space="preserve"> hos epileptiske patienter, der blev udsat for </w:t>
      </w:r>
      <w:proofErr w:type="spellStart"/>
      <w:r w:rsidRPr="004C0B3B">
        <w:rPr>
          <w:iCs/>
          <w:sz w:val="24"/>
          <w:szCs w:val="24"/>
        </w:rPr>
        <w:t>valproat</w:t>
      </w:r>
      <w:proofErr w:type="spellEnd"/>
      <w:r w:rsidRPr="004C0B3B">
        <w:rPr>
          <w:iCs/>
          <w:sz w:val="24"/>
          <w:szCs w:val="24"/>
        </w:rPr>
        <w:t xml:space="preserve"> sammenlignet med ubehandlede raske forsøgspersoner i publicerede studier. Imidlertid opnåedes modstridende resultater ved sammenligning af data hos epileptiske patienter behandlet med </w:t>
      </w:r>
      <w:proofErr w:type="spellStart"/>
      <w:r w:rsidRPr="004C0B3B">
        <w:rPr>
          <w:iCs/>
          <w:sz w:val="24"/>
          <w:szCs w:val="24"/>
        </w:rPr>
        <w:t>valproat</w:t>
      </w:r>
      <w:proofErr w:type="spellEnd"/>
      <w:r w:rsidRPr="004C0B3B">
        <w:rPr>
          <w:iCs/>
          <w:sz w:val="24"/>
          <w:szCs w:val="24"/>
        </w:rPr>
        <w:t xml:space="preserve"> og ubehandlede epileptiske patienter. Den kliniske relevans af disse DNA/kromosomfund er ukendt.</w:t>
      </w:r>
    </w:p>
    <w:p w14:paraId="12299D25" w14:textId="77777777" w:rsidR="0027509F" w:rsidRPr="004C0B3B" w:rsidRDefault="0027509F" w:rsidP="0027509F">
      <w:pPr>
        <w:tabs>
          <w:tab w:val="left" w:pos="426"/>
        </w:tabs>
        <w:ind w:left="851"/>
        <w:outlineLvl w:val="0"/>
        <w:rPr>
          <w:iCs/>
          <w:sz w:val="24"/>
          <w:szCs w:val="24"/>
        </w:rPr>
      </w:pPr>
      <w:r w:rsidRPr="004C0B3B">
        <w:rPr>
          <w:iCs/>
          <w:sz w:val="24"/>
          <w:szCs w:val="24"/>
        </w:rPr>
        <w:t xml:space="preserve">Non-kliniske data viser ingen speciel risiko for mennesker vurderet ud fra konventionelle studier af </w:t>
      </w:r>
      <w:proofErr w:type="spellStart"/>
      <w:r w:rsidRPr="004C0B3B">
        <w:rPr>
          <w:iCs/>
          <w:sz w:val="24"/>
          <w:szCs w:val="24"/>
        </w:rPr>
        <w:t>karcinogenicitet</w:t>
      </w:r>
      <w:proofErr w:type="spellEnd"/>
      <w:r w:rsidRPr="004C0B3B">
        <w:rPr>
          <w:iCs/>
          <w:sz w:val="24"/>
          <w:szCs w:val="24"/>
        </w:rPr>
        <w:t>.</w:t>
      </w:r>
    </w:p>
    <w:p w14:paraId="617E50E8" w14:textId="77777777" w:rsidR="0027509F" w:rsidRPr="004C0B3B" w:rsidRDefault="0027509F" w:rsidP="0027509F">
      <w:pPr>
        <w:tabs>
          <w:tab w:val="left" w:pos="426"/>
        </w:tabs>
        <w:ind w:left="851"/>
        <w:outlineLvl w:val="0"/>
        <w:rPr>
          <w:iCs/>
          <w:sz w:val="24"/>
          <w:szCs w:val="24"/>
        </w:rPr>
      </w:pPr>
    </w:p>
    <w:p w14:paraId="45F2C486" w14:textId="77777777" w:rsidR="0027509F" w:rsidRPr="004C0B3B" w:rsidRDefault="0027509F" w:rsidP="0027509F">
      <w:pPr>
        <w:tabs>
          <w:tab w:val="left" w:pos="426"/>
        </w:tabs>
        <w:ind w:left="851"/>
        <w:outlineLvl w:val="0"/>
        <w:rPr>
          <w:iCs/>
          <w:sz w:val="24"/>
          <w:szCs w:val="24"/>
          <w:u w:val="single"/>
        </w:rPr>
      </w:pPr>
      <w:r w:rsidRPr="004C0B3B">
        <w:rPr>
          <w:iCs/>
          <w:sz w:val="24"/>
          <w:szCs w:val="24"/>
          <w:u w:val="single"/>
        </w:rPr>
        <w:t>Reproduktionstoksicitet</w:t>
      </w:r>
    </w:p>
    <w:p w14:paraId="0D6A2645" w14:textId="77777777" w:rsidR="0027509F" w:rsidRPr="004C0B3B" w:rsidRDefault="0027509F" w:rsidP="0027509F">
      <w:pPr>
        <w:tabs>
          <w:tab w:val="left" w:pos="426"/>
        </w:tabs>
        <w:ind w:left="851"/>
        <w:outlineLvl w:val="0"/>
        <w:rPr>
          <w:iCs/>
          <w:sz w:val="24"/>
          <w:szCs w:val="24"/>
        </w:rPr>
      </w:pPr>
      <w:proofErr w:type="spellStart"/>
      <w:r w:rsidRPr="004C0B3B">
        <w:rPr>
          <w:iCs/>
          <w:sz w:val="24"/>
          <w:szCs w:val="24"/>
        </w:rPr>
        <w:t>Teratogent</w:t>
      </w:r>
      <w:proofErr w:type="spellEnd"/>
      <w:r w:rsidRPr="004C0B3B">
        <w:rPr>
          <w:iCs/>
          <w:sz w:val="24"/>
          <w:szCs w:val="24"/>
        </w:rPr>
        <w:t xml:space="preserve"> i dyreforsøg. Hos mennesker er der øget risiko ved anvendelse i første </w:t>
      </w:r>
      <w:proofErr w:type="spellStart"/>
      <w:r w:rsidRPr="004C0B3B">
        <w:rPr>
          <w:iCs/>
          <w:sz w:val="24"/>
          <w:szCs w:val="24"/>
        </w:rPr>
        <w:t>tri</w:t>
      </w:r>
      <w:proofErr w:type="spellEnd"/>
      <w:r w:rsidRPr="004C0B3B">
        <w:rPr>
          <w:iCs/>
          <w:sz w:val="24"/>
          <w:szCs w:val="24"/>
        </w:rPr>
        <w:t xml:space="preserve">-mester. </w:t>
      </w:r>
      <w:proofErr w:type="spellStart"/>
      <w:r w:rsidRPr="004C0B3B">
        <w:rPr>
          <w:iCs/>
          <w:sz w:val="24"/>
          <w:szCs w:val="24"/>
        </w:rPr>
        <w:t>Valproat</w:t>
      </w:r>
      <w:proofErr w:type="spellEnd"/>
      <w:r w:rsidRPr="004C0B3B">
        <w:rPr>
          <w:iCs/>
          <w:sz w:val="24"/>
          <w:szCs w:val="24"/>
        </w:rPr>
        <w:t xml:space="preserve"> inducerer </w:t>
      </w:r>
      <w:proofErr w:type="spellStart"/>
      <w:r w:rsidRPr="004C0B3B">
        <w:rPr>
          <w:iCs/>
          <w:sz w:val="24"/>
          <w:szCs w:val="24"/>
        </w:rPr>
        <w:t>teratogene</w:t>
      </w:r>
      <w:proofErr w:type="spellEnd"/>
      <w:r w:rsidRPr="004C0B3B">
        <w:rPr>
          <w:iCs/>
          <w:sz w:val="24"/>
          <w:szCs w:val="24"/>
        </w:rPr>
        <w:t xml:space="preserve"> virkninger (misdannelser i flere organsystemer) hos mus, rotter og kaniner. Dyrestudier viser, at eksponering for </w:t>
      </w:r>
      <w:proofErr w:type="spellStart"/>
      <w:r w:rsidRPr="004C0B3B">
        <w:rPr>
          <w:iCs/>
          <w:sz w:val="24"/>
          <w:szCs w:val="24"/>
        </w:rPr>
        <w:t>valproat</w:t>
      </w:r>
      <w:proofErr w:type="spellEnd"/>
      <w:r w:rsidRPr="004C0B3B">
        <w:rPr>
          <w:iCs/>
          <w:sz w:val="24"/>
          <w:szCs w:val="24"/>
        </w:rPr>
        <w:t xml:space="preserve"> </w:t>
      </w:r>
      <w:r w:rsidRPr="004C0B3B">
        <w:rPr>
          <w:i/>
          <w:iCs/>
          <w:sz w:val="24"/>
          <w:szCs w:val="24"/>
        </w:rPr>
        <w:t xml:space="preserve">in </w:t>
      </w:r>
      <w:proofErr w:type="spellStart"/>
      <w:r w:rsidRPr="004C0B3B">
        <w:rPr>
          <w:i/>
          <w:iCs/>
          <w:sz w:val="24"/>
          <w:szCs w:val="24"/>
        </w:rPr>
        <w:t>utero</w:t>
      </w:r>
      <w:proofErr w:type="spellEnd"/>
      <w:r w:rsidRPr="004C0B3B">
        <w:rPr>
          <w:iCs/>
          <w:sz w:val="24"/>
          <w:szCs w:val="24"/>
        </w:rPr>
        <w:t xml:space="preserve"> resulterer i morfologiske og funktionelle ændringer af det auditive system hos rotter og mus.</w:t>
      </w:r>
    </w:p>
    <w:p w14:paraId="3C4AD386" w14:textId="77777777" w:rsidR="0027509F" w:rsidRPr="004C0B3B" w:rsidRDefault="0027509F" w:rsidP="0027509F">
      <w:pPr>
        <w:tabs>
          <w:tab w:val="left" w:pos="426"/>
        </w:tabs>
        <w:ind w:left="851"/>
        <w:outlineLvl w:val="0"/>
        <w:rPr>
          <w:iCs/>
          <w:sz w:val="24"/>
          <w:szCs w:val="24"/>
        </w:rPr>
      </w:pPr>
      <w:r w:rsidRPr="004C0B3B">
        <w:rPr>
          <w:iCs/>
          <w:sz w:val="24"/>
          <w:szCs w:val="24"/>
        </w:rPr>
        <w:t xml:space="preserve">Adfærdsmæssige abnormiteter er rapporteret hos førstegenerationsafkom af mus og rotter efter udsættelse in </w:t>
      </w:r>
      <w:proofErr w:type="spellStart"/>
      <w:r w:rsidRPr="004C0B3B">
        <w:rPr>
          <w:iCs/>
          <w:sz w:val="24"/>
          <w:szCs w:val="24"/>
        </w:rPr>
        <w:t>utero</w:t>
      </w:r>
      <w:proofErr w:type="spellEnd"/>
      <w:r w:rsidRPr="004C0B3B">
        <w:rPr>
          <w:iCs/>
          <w:sz w:val="24"/>
          <w:szCs w:val="24"/>
        </w:rPr>
        <w:t xml:space="preserve">. Nogle adfærdsændringer blev også observeret i 2. generation, og de var mindre udtalt i 3. generation af mus efter akut eksponering for </w:t>
      </w:r>
      <w:proofErr w:type="spellStart"/>
      <w:r w:rsidRPr="004C0B3B">
        <w:rPr>
          <w:iCs/>
          <w:sz w:val="24"/>
          <w:szCs w:val="24"/>
        </w:rPr>
        <w:t>teratogene</w:t>
      </w:r>
      <w:proofErr w:type="spellEnd"/>
      <w:r w:rsidRPr="004C0B3B">
        <w:rPr>
          <w:iCs/>
          <w:sz w:val="24"/>
          <w:szCs w:val="24"/>
        </w:rPr>
        <w:t xml:space="preserve"> doser af </w:t>
      </w:r>
      <w:proofErr w:type="spellStart"/>
      <w:r w:rsidRPr="004C0B3B">
        <w:rPr>
          <w:iCs/>
          <w:sz w:val="24"/>
          <w:szCs w:val="24"/>
        </w:rPr>
        <w:t>valproat</w:t>
      </w:r>
      <w:proofErr w:type="spellEnd"/>
      <w:r w:rsidRPr="004C0B3B">
        <w:rPr>
          <w:iCs/>
          <w:sz w:val="24"/>
          <w:szCs w:val="24"/>
        </w:rPr>
        <w:t xml:space="preserve"> in </w:t>
      </w:r>
      <w:proofErr w:type="spellStart"/>
      <w:r w:rsidRPr="004C0B3B">
        <w:rPr>
          <w:iCs/>
          <w:sz w:val="24"/>
          <w:szCs w:val="24"/>
        </w:rPr>
        <w:t>utero</w:t>
      </w:r>
      <w:proofErr w:type="spellEnd"/>
      <w:r w:rsidRPr="004C0B3B">
        <w:rPr>
          <w:iCs/>
          <w:sz w:val="24"/>
          <w:szCs w:val="24"/>
        </w:rPr>
        <w:t xml:space="preserve"> af den første generation. De underliggende mekanismer og den kliniske relevans af disse fund er ukendt.</w:t>
      </w:r>
    </w:p>
    <w:p w14:paraId="1DA186D6" w14:textId="68A7FC63" w:rsidR="005C31B1" w:rsidRDefault="005C31B1">
      <w:pPr>
        <w:rPr>
          <w:iCs/>
          <w:sz w:val="24"/>
          <w:szCs w:val="24"/>
        </w:rPr>
      </w:pPr>
      <w:r>
        <w:rPr>
          <w:iCs/>
          <w:sz w:val="24"/>
          <w:szCs w:val="24"/>
        </w:rPr>
        <w:br w:type="page"/>
      </w:r>
    </w:p>
    <w:p w14:paraId="0F8A56B5" w14:textId="77777777" w:rsidR="0027509F" w:rsidRPr="004C0B3B" w:rsidRDefault="0027509F" w:rsidP="0027509F">
      <w:pPr>
        <w:tabs>
          <w:tab w:val="left" w:pos="426"/>
        </w:tabs>
        <w:ind w:left="851"/>
        <w:outlineLvl w:val="0"/>
        <w:rPr>
          <w:iCs/>
          <w:sz w:val="24"/>
          <w:szCs w:val="24"/>
        </w:rPr>
      </w:pPr>
    </w:p>
    <w:p w14:paraId="58BE7A56" w14:textId="77777777" w:rsidR="0027509F" w:rsidRPr="004C0B3B" w:rsidRDefault="0027509F" w:rsidP="0027509F">
      <w:pPr>
        <w:tabs>
          <w:tab w:val="left" w:pos="426"/>
        </w:tabs>
        <w:ind w:left="851"/>
        <w:outlineLvl w:val="0"/>
        <w:rPr>
          <w:i/>
          <w:sz w:val="24"/>
          <w:szCs w:val="24"/>
        </w:rPr>
      </w:pPr>
      <w:r w:rsidRPr="004C0B3B">
        <w:rPr>
          <w:i/>
          <w:sz w:val="24"/>
          <w:szCs w:val="24"/>
        </w:rPr>
        <w:t>Akut toksicitet</w:t>
      </w:r>
    </w:p>
    <w:p w14:paraId="1E6810BB" w14:textId="77777777" w:rsidR="0027509F" w:rsidRPr="004C0B3B" w:rsidRDefault="0027509F" w:rsidP="0027509F">
      <w:pPr>
        <w:keepLines/>
        <w:ind w:left="851"/>
        <w:rPr>
          <w:sz w:val="24"/>
          <w:szCs w:val="24"/>
        </w:rPr>
      </w:pPr>
      <w:r w:rsidRPr="004C0B3B">
        <w:rPr>
          <w:sz w:val="24"/>
          <w:szCs w:val="24"/>
        </w:rPr>
        <w:t>Studier af akut toksicitet hos forskellige dyrearter har påvist LD50-værdier på mellem 1200 og 1600 mg/kg legemsvægt og 750 og 950 mg/kg legemsvægt efter henholdsvis oral og intravenøs administration.</w:t>
      </w:r>
    </w:p>
    <w:p w14:paraId="1956A775" w14:textId="77777777" w:rsidR="0027509F" w:rsidRPr="004C0B3B" w:rsidRDefault="0027509F" w:rsidP="0027509F">
      <w:pPr>
        <w:tabs>
          <w:tab w:val="left" w:pos="426"/>
        </w:tabs>
        <w:ind w:left="851"/>
        <w:rPr>
          <w:sz w:val="24"/>
          <w:szCs w:val="24"/>
        </w:rPr>
      </w:pPr>
    </w:p>
    <w:p w14:paraId="2C62FEF5" w14:textId="77777777" w:rsidR="0027509F" w:rsidRPr="004C0B3B" w:rsidRDefault="0027509F" w:rsidP="0027509F">
      <w:pPr>
        <w:tabs>
          <w:tab w:val="left" w:pos="426"/>
        </w:tabs>
        <w:ind w:left="851"/>
        <w:outlineLvl w:val="0"/>
        <w:rPr>
          <w:i/>
          <w:sz w:val="24"/>
          <w:szCs w:val="24"/>
        </w:rPr>
      </w:pPr>
      <w:r w:rsidRPr="004C0B3B">
        <w:rPr>
          <w:i/>
          <w:sz w:val="24"/>
          <w:szCs w:val="24"/>
        </w:rPr>
        <w:t>Kronisk toksicitet</w:t>
      </w:r>
    </w:p>
    <w:p w14:paraId="6CDBD378" w14:textId="77777777" w:rsidR="0027509F" w:rsidRPr="004C0B3B" w:rsidRDefault="0027509F" w:rsidP="0027509F">
      <w:pPr>
        <w:keepLines/>
        <w:ind w:left="851"/>
        <w:rPr>
          <w:sz w:val="24"/>
          <w:szCs w:val="24"/>
        </w:rPr>
      </w:pPr>
      <w:r w:rsidRPr="004C0B3B">
        <w:rPr>
          <w:sz w:val="24"/>
          <w:szCs w:val="24"/>
        </w:rPr>
        <w:t xml:space="preserve">Testikelatrofi, degeneration af </w:t>
      </w:r>
      <w:proofErr w:type="spellStart"/>
      <w:r w:rsidRPr="004C0B3B">
        <w:rPr>
          <w:sz w:val="24"/>
          <w:szCs w:val="24"/>
        </w:rPr>
        <w:t>vas</w:t>
      </w:r>
      <w:proofErr w:type="spellEnd"/>
      <w:r w:rsidRPr="004C0B3B">
        <w:rPr>
          <w:sz w:val="24"/>
          <w:szCs w:val="24"/>
        </w:rPr>
        <w:t xml:space="preserve"> </w:t>
      </w:r>
      <w:proofErr w:type="spellStart"/>
      <w:r w:rsidRPr="004C0B3B">
        <w:rPr>
          <w:sz w:val="24"/>
          <w:szCs w:val="24"/>
        </w:rPr>
        <w:t>deferens</w:t>
      </w:r>
      <w:proofErr w:type="spellEnd"/>
      <w:r w:rsidRPr="004C0B3B">
        <w:rPr>
          <w:sz w:val="24"/>
          <w:szCs w:val="24"/>
        </w:rPr>
        <w:t xml:space="preserve"> og utilstrækkelig </w:t>
      </w:r>
      <w:proofErr w:type="spellStart"/>
      <w:r w:rsidRPr="004C0B3B">
        <w:rPr>
          <w:sz w:val="24"/>
          <w:szCs w:val="24"/>
        </w:rPr>
        <w:t>spermatogenese</w:t>
      </w:r>
      <w:proofErr w:type="spellEnd"/>
      <w:r w:rsidRPr="004C0B3B">
        <w:rPr>
          <w:sz w:val="24"/>
          <w:szCs w:val="24"/>
        </w:rPr>
        <w:t xml:space="preserve"> samt forandringer i lunger og prostatakirtel er påvist ved studier af kronisk toksicitet ved doseringer på mere end 250 mg/kg hos rotter og 90 mg/kg hos hunde.</w:t>
      </w:r>
    </w:p>
    <w:p w14:paraId="484C93F6" w14:textId="77777777" w:rsidR="0027509F" w:rsidRPr="004C0B3B" w:rsidRDefault="0027509F" w:rsidP="0027509F">
      <w:pPr>
        <w:keepLines/>
        <w:ind w:left="851"/>
        <w:rPr>
          <w:sz w:val="24"/>
          <w:szCs w:val="24"/>
        </w:rPr>
      </w:pPr>
    </w:p>
    <w:p w14:paraId="3CD51777" w14:textId="77777777" w:rsidR="0027509F" w:rsidRPr="004C0B3B" w:rsidRDefault="0027509F" w:rsidP="0027509F">
      <w:pPr>
        <w:tabs>
          <w:tab w:val="left" w:pos="426"/>
        </w:tabs>
        <w:ind w:left="851"/>
        <w:outlineLvl w:val="0"/>
        <w:rPr>
          <w:i/>
          <w:sz w:val="24"/>
          <w:szCs w:val="24"/>
        </w:rPr>
      </w:pPr>
      <w:r w:rsidRPr="004C0B3B">
        <w:rPr>
          <w:i/>
          <w:sz w:val="24"/>
          <w:szCs w:val="24"/>
        </w:rPr>
        <w:t xml:space="preserve">Mutagent og </w:t>
      </w:r>
      <w:proofErr w:type="spellStart"/>
      <w:r w:rsidRPr="004C0B3B">
        <w:rPr>
          <w:i/>
          <w:sz w:val="24"/>
          <w:szCs w:val="24"/>
        </w:rPr>
        <w:t>karcinogent</w:t>
      </w:r>
      <w:proofErr w:type="spellEnd"/>
      <w:r w:rsidRPr="004C0B3B">
        <w:rPr>
          <w:i/>
          <w:sz w:val="24"/>
          <w:szCs w:val="24"/>
        </w:rPr>
        <w:t xml:space="preserve"> potentiale</w:t>
      </w:r>
    </w:p>
    <w:p w14:paraId="55F1F490" w14:textId="77777777" w:rsidR="0027509F" w:rsidRPr="004C0B3B" w:rsidRDefault="0027509F" w:rsidP="0027509F">
      <w:pPr>
        <w:tabs>
          <w:tab w:val="left" w:pos="851"/>
        </w:tabs>
        <w:ind w:left="851"/>
        <w:rPr>
          <w:sz w:val="24"/>
          <w:szCs w:val="24"/>
        </w:rPr>
      </w:pPr>
      <w:r w:rsidRPr="004C0B3B">
        <w:rPr>
          <w:sz w:val="24"/>
          <w:szCs w:val="24"/>
        </w:rPr>
        <w:t xml:space="preserve">I studier af </w:t>
      </w:r>
      <w:proofErr w:type="spellStart"/>
      <w:r w:rsidRPr="004C0B3B">
        <w:rPr>
          <w:sz w:val="24"/>
          <w:szCs w:val="24"/>
        </w:rPr>
        <w:t>karcinogenicitet</w:t>
      </w:r>
      <w:proofErr w:type="spellEnd"/>
      <w:r w:rsidRPr="004C0B3B">
        <w:rPr>
          <w:sz w:val="24"/>
          <w:szCs w:val="24"/>
        </w:rPr>
        <w:t xml:space="preserve"> hos rotter og mus sås en øget incidens af subkutane </w:t>
      </w:r>
      <w:proofErr w:type="spellStart"/>
      <w:r w:rsidRPr="004C0B3B">
        <w:rPr>
          <w:sz w:val="24"/>
          <w:szCs w:val="24"/>
        </w:rPr>
        <w:t>fibrosarkomer</w:t>
      </w:r>
      <w:proofErr w:type="spellEnd"/>
      <w:r w:rsidRPr="004C0B3B">
        <w:rPr>
          <w:sz w:val="24"/>
          <w:szCs w:val="24"/>
        </w:rPr>
        <w:t xml:space="preserve"> hos hanrotter ved høje doser.</w:t>
      </w:r>
    </w:p>
    <w:p w14:paraId="3E402B54" w14:textId="77777777" w:rsidR="00A74EE4" w:rsidRPr="007653D9" w:rsidRDefault="00A74EE4" w:rsidP="00A74EE4">
      <w:pPr>
        <w:tabs>
          <w:tab w:val="left" w:pos="426"/>
        </w:tabs>
        <w:ind w:left="851"/>
        <w:outlineLvl w:val="0"/>
        <w:rPr>
          <w:bCs/>
          <w:sz w:val="24"/>
          <w:szCs w:val="24"/>
        </w:rPr>
      </w:pPr>
    </w:p>
    <w:p w14:paraId="3ECB0863" w14:textId="77777777" w:rsidR="002E6C7F" w:rsidRPr="00D22229" w:rsidRDefault="002E6C7F" w:rsidP="002E6C7F">
      <w:pPr>
        <w:tabs>
          <w:tab w:val="left" w:pos="426"/>
        </w:tabs>
        <w:ind w:left="851"/>
        <w:outlineLvl w:val="0"/>
        <w:rPr>
          <w:sz w:val="24"/>
          <w:szCs w:val="24"/>
        </w:rPr>
      </w:pPr>
      <w:r>
        <w:rPr>
          <w:sz w:val="24"/>
          <w:szCs w:val="24"/>
        </w:rPr>
        <w:t xml:space="preserve">I toksicitetsstudier med gentagen dosering blev der rapporteret </w:t>
      </w:r>
      <w:proofErr w:type="spellStart"/>
      <w:r>
        <w:rPr>
          <w:sz w:val="24"/>
          <w:szCs w:val="24"/>
        </w:rPr>
        <w:t>testikulær</w:t>
      </w:r>
      <w:proofErr w:type="spellEnd"/>
      <w:r>
        <w:rPr>
          <w:sz w:val="24"/>
          <w:szCs w:val="24"/>
        </w:rPr>
        <w:t xml:space="preserve"> </w:t>
      </w:r>
      <w:r w:rsidRPr="00D22229">
        <w:rPr>
          <w:sz w:val="24"/>
          <w:szCs w:val="24"/>
        </w:rPr>
        <w:t xml:space="preserve">degeneration/atrofi eller anomal </w:t>
      </w:r>
      <w:proofErr w:type="spellStart"/>
      <w:r w:rsidRPr="00D22229">
        <w:rPr>
          <w:sz w:val="24"/>
          <w:szCs w:val="24"/>
        </w:rPr>
        <w:t>spermatogenese</w:t>
      </w:r>
      <w:proofErr w:type="spellEnd"/>
      <w:r w:rsidRPr="00D22229">
        <w:rPr>
          <w:sz w:val="24"/>
          <w:szCs w:val="24"/>
        </w:rPr>
        <w:t xml:space="preserve"> samt nedsat testikelvægt hos voksne rotter og hunde efter oral administration af doser på henholdsvis </w:t>
      </w:r>
      <w:r>
        <w:rPr>
          <w:sz w:val="24"/>
          <w:szCs w:val="24"/>
        </w:rPr>
        <w:t xml:space="preserve">400 mg/kg/dag og 150 mg/kg/dag </w:t>
      </w:r>
      <w:r w:rsidRPr="002E6C7F">
        <w:rPr>
          <w:spacing w:val="-3"/>
          <w:sz w:val="24"/>
          <w:szCs w:val="24"/>
        </w:rPr>
        <w:t xml:space="preserve">med tilhørende </w:t>
      </w:r>
      <w:proofErr w:type="spellStart"/>
      <w:r w:rsidRPr="002E6C7F">
        <w:rPr>
          <w:spacing w:val="-3"/>
          <w:sz w:val="24"/>
          <w:szCs w:val="24"/>
        </w:rPr>
        <w:t>NOAELs</w:t>
      </w:r>
      <w:proofErr w:type="spellEnd"/>
      <w:r w:rsidRPr="002E6C7F">
        <w:rPr>
          <w:spacing w:val="-3"/>
          <w:sz w:val="24"/>
          <w:szCs w:val="24"/>
        </w:rPr>
        <w:t xml:space="preserve"> (</w:t>
      </w:r>
      <w:r w:rsidRPr="002E6C7F">
        <w:rPr>
          <w:i/>
          <w:spacing w:val="-3"/>
          <w:sz w:val="24"/>
          <w:szCs w:val="24"/>
        </w:rPr>
        <w:t xml:space="preserve">no </w:t>
      </w:r>
      <w:proofErr w:type="spellStart"/>
      <w:r w:rsidRPr="002E6C7F">
        <w:rPr>
          <w:i/>
          <w:spacing w:val="-3"/>
          <w:sz w:val="24"/>
          <w:szCs w:val="24"/>
        </w:rPr>
        <w:t>observed</w:t>
      </w:r>
      <w:proofErr w:type="spellEnd"/>
      <w:r w:rsidRPr="002E6C7F">
        <w:rPr>
          <w:i/>
          <w:spacing w:val="-3"/>
          <w:sz w:val="24"/>
          <w:szCs w:val="24"/>
        </w:rPr>
        <w:t xml:space="preserve"> </w:t>
      </w:r>
      <w:proofErr w:type="spellStart"/>
      <w:r w:rsidRPr="002E6C7F">
        <w:rPr>
          <w:i/>
          <w:spacing w:val="-3"/>
          <w:sz w:val="24"/>
          <w:szCs w:val="24"/>
        </w:rPr>
        <w:t>adverse</w:t>
      </w:r>
      <w:proofErr w:type="spellEnd"/>
      <w:r w:rsidRPr="002E6C7F">
        <w:rPr>
          <w:i/>
          <w:spacing w:val="-3"/>
          <w:sz w:val="24"/>
          <w:szCs w:val="24"/>
        </w:rPr>
        <w:t xml:space="preserve"> </w:t>
      </w:r>
      <w:proofErr w:type="spellStart"/>
      <w:r w:rsidRPr="002E6C7F">
        <w:rPr>
          <w:i/>
          <w:spacing w:val="-3"/>
          <w:sz w:val="24"/>
          <w:szCs w:val="24"/>
        </w:rPr>
        <w:t>effect</w:t>
      </w:r>
      <w:proofErr w:type="spellEnd"/>
      <w:r w:rsidRPr="002E6C7F">
        <w:rPr>
          <w:i/>
          <w:spacing w:val="-3"/>
          <w:sz w:val="24"/>
          <w:szCs w:val="24"/>
        </w:rPr>
        <w:t xml:space="preserve"> </w:t>
      </w:r>
      <w:proofErr w:type="spellStart"/>
      <w:r w:rsidRPr="002E6C7F">
        <w:rPr>
          <w:i/>
          <w:spacing w:val="-3"/>
          <w:sz w:val="24"/>
          <w:szCs w:val="24"/>
        </w:rPr>
        <w:t>level</w:t>
      </w:r>
      <w:proofErr w:type="spellEnd"/>
      <w:r w:rsidRPr="002E6C7F">
        <w:rPr>
          <w:spacing w:val="-3"/>
          <w:sz w:val="24"/>
          <w:szCs w:val="24"/>
        </w:rPr>
        <w:t xml:space="preserve">) for påvirkning af testikler på 270 mg/kg/dag hos voksne rotter og 90 mg/kg/dag hos voksne hunde. </w:t>
      </w:r>
      <w:r>
        <w:rPr>
          <w:spacing w:val="-3"/>
          <w:sz w:val="24"/>
          <w:szCs w:val="24"/>
        </w:rPr>
        <w:t>Sammenligningerne af sikkerhedsmargin baseret på ekstrapoleret AUC hos rotter og hunde indikerer, at der muligvis ikke er nogen sikkerhedsmargin</w:t>
      </w:r>
      <w:r>
        <w:rPr>
          <w:sz w:val="24"/>
          <w:szCs w:val="24"/>
        </w:rPr>
        <w:t>.</w:t>
      </w:r>
    </w:p>
    <w:p w14:paraId="0E0D93C3" w14:textId="77777777" w:rsidR="002E6C7F" w:rsidRDefault="002E6C7F" w:rsidP="002E6C7F">
      <w:pPr>
        <w:tabs>
          <w:tab w:val="left" w:pos="426"/>
        </w:tabs>
        <w:ind w:left="851"/>
        <w:outlineLvl w:val="0"/>
        <w:rPr>
          <w:sz w:val="24"/>
          <w:szCs w:val="24"/>
        </w:rPr>
      </w:pPr>
      <w:r w:rsidRPr="00D22229">
        <w:rPr>
          <w:sz w:val="24"/>
          <w:szCs w:val="24"/>
        </w:rPr>
        <w:t xml:space="preserve">Hos juvenile rotter blev nedsat testikelvægt kun observeret ved doser, der oversteg den maksimale tolererede dosis (fra 240 mg/kg/dag ved </w:t>
      </w:r>
      <w:proofErr w:type="spellStart"/>
      <w:r w:rsidRPr="00D22229">
        <w:rPr>
          <w:sz w:val="24"/>
          <w:szCs w:val="24"/>
        </w:rPr>
        <w:t>intraperitoneal</w:t>
      </w:r>
      <w:proofErr w:type="spellEnd"/>
      <w:r w:rsidRPr="00D22229">
        <w:rPr>
          <w:sz w:val="24"/>
          <w:szCs w:val="24"/>
        </w:rPr>
        <w:t xml:space="preserve"> eller intravenøs</w:t>
      </w:r>
      <w:r>
        <w:rPr>
          <w:sz w:val="24"/>
          <w:szCs w:val="24"/>
        </w:rPr>
        <w:t xml:space="preserve"> administration) og uden associerede </w:t>
      </w:r>
      <w:proofErr w:type="spellStart"/>
      <w:r>
        <w:rPr>
          <w:sz w:val="24"/>
          <w:szCs w:val="24"/>
        </w:rPr>
        <w:t>histopatologiske</w:t>
      </w:r>
      <w:proofErr w:type="spellEnd"/>
      <w:r>
        <w:rPr>
          <w:sz w:val="24"/>
          <w:szCs w:val="24"/>
        </w:rPr>
        <w:t xml:space="preserve"> forandringer. Der blev ikke observeret påvirkning af reproduktionsorganerne hos hanner ved de tolererede doser (op til 90 mg/kg/dag). På baggrund af disse data anses juvenile dyr ikke som mere udsatte over for </w:t>
      </w:r>
      <w:proofErr w:type="spellStart"/>
      <w:r>
        <w:rPr>
          <w:sz w:val="24"/>
          <w:szCs w:val="24"/>
        </w:rPr>
        <w:t>testikulær</w:t>
      </w:r>
      <w:proofErr w:type="spellEnd"/>
      <w:r>
        <w:rPr>
          <w:sz w:val="24"/>
          <w:szCs w:val="24"/>
        </w:rPr>
        <w:t xml:space="preserve"> påvirkning end voksne dyr. Relevansen af de </w:t>
      </w:r>
      <w:proofErr w:type="spellStart"/>
      <w:r>
        <w:rPr>
          <w:sz w:val="24"/>
          <w:szCs w:val="24"/>
        </w:rPr>
        <w:t>testikulære</w:t>
      </w:r>
      <w:proofErr w:type="spellEnd"/>
      <w:r>
        <w:rPr>
          <w:sz w:val="24"/>
          <w:szCs w:val="24"/>
        </w:rPr>
        <w:t xml:space="preserve"> fund for den pædiatriske population kendes ikke.</w:t>
      </w:r>
    </w:p>
    <w:p w14:paraId="39EA527E" w14:textId="77777777" w:rsidR="00D22229" w:rsidRDefault="00D22229" w:rsidP="00D22229">
      <w:pPr>
        <w:tabs>
          <w:tab w:val="left" w:pos="426"/>
        </w:tabs>
        <w:ind w:left="851"/>
        <w:outlineLvl w:val="0"/>
        <w:rPr>
          <w:sz w:val="24"/>
          <w:szCs w:val="24"/>
        </w:rPr>
      </w:pPr>
      <w:r>
        <w:rPr>
          <w:sz w:val="24"/>
          <w:szCs w:val="24"/>
        </w:rPr>
        <w:t xml:space="preserve">I fertilitetsstudier med rotter ændrede </w:t>
      </w:r>
      <w:proofErr w:type="spellStart"/>
      <w:r>
        <w:rPr>
          <w:sz w:val="24"/>
          <w:szCs w:val="24"/>
        </w:rPr>
        <w:t>valproat</w:t>
      </w:r>
      <w:proofErr w:type="spellEnd"/>
      <w:r>
        <w:rPr>
          <w:sz w:val="24"/>
          <w:szCs w:val="24"/>
        </w:rPr>
        <w:t xml:space="preserve">-doser på op til 350 mg/kg/dag ikke reproduktionsevnen hos hanner. Mandlig </w:t>
      </w:r>
      <w:proofErr w:type="spellStart"/>
      <w:r>
        <w:rPr>
          <w:sz w:val="24"/>
          <w:szCs w:val="24"/>
        </w:rPr>
        <w:t>infertilitet</w:t>
      </w:r>
      <w:proofErr w:type="spellEnd"/>
      <w:r>
        <w:rPr>
          <w:sz w:val="24"/>
          <w:szCs w:val="24"/>
        </w:rPr>
        <w:t xml:space="preserve"> er imidlertid blevet identificeret som en bivirkning hos mennesker (se pkt. 4.6 og 4.8).</w:t>
      </w:r>
    </w:p>
    <w:p w14:paraId="6D6B7D85" w14:textId="77777777" w:rsidR="004873ED" w:rsidRPr="004C0B3B" w:rsidRDefault="004873ED" w:rsidP="0027509F">
      <w:pPr>
        <w:tabs>
          <w:tab w:val="left" w:pos="426"/>
        </w:tabs>
        <w:ind w:left="851"/>
        <w:outlineLvl w:val="0"/>
        <w:rPr>
          <w:b/>
          <w:sz w:val="24"/>
          <w:szCs w:val="24"/>
        </w:rPr>
      </w:pPr>
    </w:p>
    <w:p w14:paraId="4FBB37AC" w14:textId="77777777" w:rsidR="004873ED" w:rsidRPr="004C0B3B" w:rsidRDefault="004873ED" w:rsidP="004873ED">
      <w:pPr>
        <w:tabs>
          <w:tab w:val="left" w:pos="851"/>
        </w:tabs>
        <w:rPr>
          <w:b/>
          <w:sz w:val="24"/>
          <w:szCs w:val="24"/>
        </w:rPr>
      </w:pPr>
    </w:p>
    <w:p w14:paraId="35A6C971" w14:textId="77777777" w:rsidR="007653D9" w:rsidRPr="00C84483" w:rsidRDefault="007653D9" w:rsidP="007653D9">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A8AC439" w14:textId="77777777" w:rsidR="007653D9" w:rsidRPr="00BA09F1" w:rsidRDefault="007653D9" w:rsidP="007653D9">
      <w:pPr>
        <w:tabs>
          <w:tab w:val="left" w:pos="851"/>
        </w:tabs>
        <w:ind w:left="851"/>
        <w:rPr>
          <w:sz w:val="24"/>
          <w:szCs w:val="24"/>
        </w:rPr>
      </w:pPr>
    </w:p>
    <w:p w14:paraId="1896A630" w14:textId="77777777" w:rsidR="007653D9" w:rsidRPr="00C84483" w:rsidRDefault="007653D9" w:rsidP="007653D9">
      <w:pPr>
        <w:tabs>
          <w:tab w:val="left" w:pos="851"/>
        </w:tabs>
        <w:ind w:left="851" w:hanging="851"/>
        <w:rPr>
          <w:b/>
          <w:sz w:val="24"/>
          <w:szCs w:val="24"/>
        </w:rPr>
      </w:pPr>
      <w:r w:rsidRPr="00C84483">
        <w:rPr>
          <w:b/>
          <w:sz w:val="24"/>
          <w:szCs w:val="24"/>
        </w:rPr>
        <w:t>6.1</w:t>
      </w:r>
      <w:r w:rsidRPr="00C84483">
        <w:rPr>
          <w:b/>
          <w:sz w:val="24"/>
          <w:szCs w:val="24"/>
        </w:rPr>
        <w:tab/>
        <w:t>Hjælpestoffer</w:t>
      </w:r>
    </w:p>
    <w:p w14:paraId="48D930E7" w14:textId="77777777" w:rsidR="007653D9" w:rsidRPr="005C31B1" w:rsidRDefault="007653D9" w:rsidP="007653D9">
      <w:pPr>
        <w:ind w:left="851"/>
        <w:rPr>
          <w:sz w:val="24"/>
          <w:szCs w:val="24"/>
        </w:rPr>
      </w:pPr>
    </w:p>
    <w:p w14:paraId="493059DD" w14:textId="1AE7C765" w:rsidR="00DD442F" w:rsidRPr="005C31B1" w:rsidRDefault="00DD442F" w:rsidP="007653D9">
      <w:pPr>
        <w:ind w:left="851"/>
        <w:rPr>
          <w:sz w:val="24"/>
          <w:szCs w:val="24"/>
          <w:u w:val="single"/>
        </w:rPr>
      </w:pPr>
      <w:r w:rsidRPr="005C31B1">
        <w:rPr>
          <w:sz w:val="24"/>
          <w:szCs w:val="24"/>
          <w:u w:val="single"/>
        </w:rPr>
        <w:t xml:space="preserve">150 mg: </w:t>
      </w:r>
    </w:p>
    <w:p w14:paraId="2417C0B4" w14:textId="77777777" w:rsidR="007653D9" w:rsidRPr="005C31B1" w:rsidRDefault="00DD442F" w:rsidP="007653D9">
      <w:pPr>
        <w:ind w:left="851"/>
        <w:rPr>
          <w:sz w:val="24"/>
          <w:szCs w:val="24"/>
        </w:rPr>
      </w:pPr>
      <w:proofErr w:type="spellStart"/>
      <w:r w:rsidRPr="005C31B1">
        <w:rPr>
          <w:sz w:val="24"/>
          <w:szCs w:val="24"/>
        </w:rPr>
        <w:t>Calciumstearat</w:t>
      </w:r>
      <w:proofErr w:type="spellEnd"/>
    </w:p>
    <w:p w14:paraId="0CAA6A51" w14:textId="77777777" w:rsidR="007653D9" w:rsidRPr="005C31B1" w:rsidRDefault="007653D9" w:rsidP="007653D9">
      <w:pPr>
        <w:ind w:left="851"/>
        <w:rPr>
          <w:sz w:val="24"/>
          <w:szCs w:val="24"/>
        </w:rPr>
      </w:pPr>
      <w:proofErr w:type="spellStart"/>
      <w:r w:rsidRPr="005C31B1">
        <w:rPr>
          <w:sz w:val="24"/>
          <w:szCs w:val="24"/>
        </w:rPr>
        <w:t>S</w:t>
      </w:r>
      <w:r w:rsidR="00DD442F" w:rsidRPr="005C31B1">
        <w:rPr>
          <w:sz w:val="24"/>
          <w:szCs w:val="24"/>
        </w:rPr>
        <w:t>ilica</w:t>
      </w:r>
      <w:proofErr w:type="spellEnd"/>
      <w:r w:rsidR="00DD442F" w:rsidRPr="005C31B1">
        <w:rPr>
          <w:sz w:val="24"/>
          <w:szCs w:val="24"/>
        </w:rPr>
        <w:t xml:space="preserve">, </w:t>
      </w:r>
      <w:proofErr w:type="gramStart"/>
      <w:r w:rsidR="00DD442F" w:rsidRPr="005C31B1">
        <w:rPr>
          <w:sz w:val="24"/>
          <w:szCs w:val="24"/>
        </w:rPr>
        <w:t>hydrofob kolloid</w:t>
      </w:r>
      <w:proofErr w:type="gramEnd"/>
    </w:p>
    <w:p w14:paraId="1BC71F0D" w14:textId="77777777" w:rsidR="007653D9" w:rsidRPr="005C31B1" w:rsidRDefault="007653D9" w:rsidP="007653D9">
      <w:pPr>
        <w:ind w:left="851"/>
        <w:rPr>
          <w:sz w:val="24"/>
          <w:szCs w:val="24"/>
        </w:rPr>
      </w:pPr>
      <w:proofErr w:type="spellStart"/>
      <w:r w:rsidRPr="005C31B1">
        <w:rPr>
          <w:sz w:val="24"/>
          <w:szCs w:val="24"/>
        </w:rPr>
        <w:t>A</w:t>
      </w:r>
      <w:r w:rsidR="00DD442F" w:rsidRPr="005C31B1">
        <w:rPr>
          <w:sz w:val="24"/>
          <w:szCs w:val="24"/>
        </w:rPr>
        <w:t>mmoniummethacrylat</w:t>
      </w:r>
      <w:proofErr w:type="spellEnd"/>
      <w:r w:rsidR="00DD442F" w:rsidRPr="005C31B1">
        <w:rPr>
          <w:sz w:val="24"/>
          <w:szCs w:val="24"/>
        </w:rPr>
        <w:t xml:space="preserve"> </w:t>
      </w:r>
      <w:proofErr w:type="spellStart"/>
      <w:r w:rsidR="00DD442F" w:rsidRPr="005C31B1">
        <w:rPr>
          <w:sz w:val="24"/>
          <w:szCs w:val="24"/>
        </w:rPr>
        <w:t>copolymer</w:t>
      </w:r>
      <w:proofErr w:type="spellEnd"/>
      <w:r w:rsidR="00DD442F" w:rsidRPr="005C31B1">
        <w:rPr>
          <w:sz w:val="24"/>
          <w:szCs w:val="24"/>
        </w:rPr>
        <w:t xml:space="preserve"> type B</w:t>
      </w:r>
    </w:p>
    <w:p w14:paraId="57CE6716" w14:textId="77777777" w:rsidR="007653D9" w:rsidRPr="005C31B1" w:rsidRDefault="007653D9" w:rsidP="007653D9">
      <w:pPr>
        <w:ind w:left="851"/>
        <w:rPr>
          <w:sz w:val="24"/>
          <w:szCs w:val="24"/>
        </w:rPr>
      </w:pPr>
      <w:proofErr w:type="spellStart"/>
      <w:r w:rsidRPr="005C31B1">
        <w:rPr>
          <w:sz w:val="24"/>
          <w:szCs w:val="24"/>
        </w:rPr>
        <w:t>E</w:t>
      </w:r>
      <w:r w:rsidR="00DD442F" w:rsidRPr="005C31B1">
        <w:rPr>
          <w:sz w:val="24"/>
          <w:szCs w:val="24"/>
        </w:rPr>
        <w:t>thylcellulose</w:t>
      </w:r>
      <w:proofErr w:type="spellEnd"/>
    </w:p>
    <w:p w14:paraId="0540396F" w14:textId="77777777" w:rsidR="007653D9" w:rsidRPr="005C31B1" w:rsidRDefault="007653D9" w:rsidP="007653D9">
      <w:pPr>
        <w:ind w:left="851"/>
        <w:rPr>
          <w:sz w:val="24"/>
          <w:szCs w:val="24"/>
        </w:rPr>
      </w:pPr>
      <w:proofErr w:type="spellStart"/>
      <w:r w:rsidRPr="005C31B1">
        <w:rPr>
          <w:sz w:val="24"/>
          <w:szCs w:val="24"/>
        </w:rPr>
        <w:t>D</w:t>
      </w:r>
      <w:r w:rsidR="00DD442F" w:rsidRPr="005C31B1">
        <w:rPr>
          <w:sz w:val="24"/>
          <w:szCs w:val="24"/>
        </w:rPr>
        <w:t>ibutylsebacat</w:t>
      </w:r>
      <w:proofErr w:type="spellEnd"/>
    </w:p>
    <w:p w14:paraId="2E8A4044" w14:textId="77777777" w:rsidR="007653D9" w:rsidRPr="005C31B1" w:rsidRDefault="007653D9" w:rsidP="007653D9">
      <w:pPr>
        <w:ind w:left="851"/>
        <w:rPr>
          <w:sz w:val="24"/>
          <w:szCs w:val="24"/>
        </w:rPr>
      </w:pPr>
      <w:r w:rsidRPr="005C31B1">
        <w:rPr>
          <w:sz w:val="24"/>
          <w:szCs w:val="24"/>
        </w:rPr>
        <w:t>O</w:t>
      </w:r>
      <w:r w:rsidR="00DD442F" w:rsidRPr="005C31B1">
        <w:rPr>
          <w:sz w:val="24"/>
          <w:szCs w:val="24"/>
        </w:rPr>
        <w:t>liesyre</w:t>
      </w:r>
    </w:p>
    <w:p w14:paraId="740D2ECC" w14:textId="77777777" w:rsidR="007653D9" w:rsidRPr="005C31B1" w:rsidRDefault="007653D9" w:rsidP="007653D9">
      <w:pPr>
        <w:ind w:left="851"/>
        <w:rPr>
          <w:sz w:val="24"/>
          <w:szCs w:val="24"/>
        </w:rPr>
      </w:pPr>
      <w:r w:rsidRPr="005C31B1">
        <w:rPr>
          <w:sz w:val="24"/>
          <w:szCs w:val="24"/>
        </w:rPr>
        <w:t>G</w:t>
      </w:r>
      <w:r w:rsidR="00DD442F" w:rsidRPr="005C31B1">
        <w:rPr>
          <w:sz w:val="24"/>
          <w:szCs w:val="24"/>
        </w:rPr>
        <w:t>elatine</w:t>
      </w:r>
    </w:p>
    <w:p w14:paraId="6A78120D" w14:textId="77777777" w:rsidR="007653D9" w:rsidRPr="005C31B1" w:rsidRDefault="007653D9" w:rsidP="007653D9">
      <w:pPr>
        <w:ind w:left="851"/>
        <w:rPr>
          <w:sz w:val="24"/>
          <w:szCs w:val="24"/>
        </w:rPr>
      </w:pPr>
      <w:r w:rsidRPr="005C31B1">
        <w:rPr>
          <w:sz w:val="24"/>
          <w:szCs w:val="24"/>
        </w:rPr>
        <w:t>I</w:t>
      </w:r>
      <w:r w:rsidR="00DD442F" w:rsidRPr="005C31B1">
        <w:rPr>
          <w:sz w:val="24"/>
          <w:szCs w:val="24"/>
        </w:rPr>
        <w:t>ndigotin I (E132)</w:t>
      </w:r>
    </w:p>
    <w:p w14:paraId="2175DA00" w14:textId="77777777" w:rsidR="007653D9" w:rsidRPr="005C31B1" w:rsidRDefault="007653D9" w:rsidP="007653D9">
      <w:pPr>
        <w:ind w:left="851"/>
        <w:rPr>
          <w:sz w:val="24"/>
          <w:szCs w:val="24"/>
        </w:rPr>
      </w:pPr>
      <w:proofErr w:type="spellStart"/>
      <w:r w:rsidRPr="005C31B1">
        <w:rPr>
          <w:sz w:val="24"/>
          <w:szCs w:val="24"/>
        </w:rPr>
        <w:t>N</w:t>
      </w:r>
      <w:r w:rsidR="00DD442F" w:rsidRPr="005C31B1">
        <w:rPr>
          <w:sz w:val="24"/>
          <w:szCs w:val="24"/>
        </w:rPr>
        <w:t>atriumlaurilsulfat</w:t>
      </w:r>
      <w:proofErr w:type="spellEnd"/>
    </w:p>
    <w:p w14:paraId="4CA81AF7" w14:textId="77777777" w:rsidR="007653D9" w:rsidRPr="005C31B1" w:rsidRDefault="007653D9" w:rsidP="007653D9">
      <w:pPr>
        <w:ind w:left="851"/>
        <w:rPr>
          <w:sz w:val="24"/>
          <w:szCs w:val="24"/>
        </w:rPr>
      </w:pPr>
      <w:proofErr w:type="spellStart"/>
      <w:r w:rsidRPr="005C31B1">
        <w:rPr>
          <w:sz w:val="24"/>
          <w:szCs w:val="24"/>
        </w:rPr>
        <w:t>S</w:t>
      </w:r>
      <w:r w:rsidR="00DD442F" w:rsidRPr="005C31B1">
        <w:rPr>
          <w:sz w:val="24"/>
          <w:szCs w:val="24"/>
        </w:rPr>
        <w:t>orbinsyre</w:t>
      </w:r>
      <w:proofErr w:type="spellEnd"/>
    </w:p>
    <w:p w14:paraId="5EF442A3" w14:textId="099CE2CC" w:rsidR="00DD442F" w:rsidRPr="005C31B1" w:rsidRDefault="007653D9" w:rsidP="007653D9">
      <w:pPr>
        <w:ind w:left="851"/>
        <w:rPr>
          <w:sz w:val="24"/>
          <w:szCs w:val="24"/>
        </w:rPr>
      </w:pPr>
      <w:r w:rsidRPr="005C31B1">
        <w:rPr>
          <w:sz w:val="24"/>
          <w:szCs w:val="24"/>
        </w:rPr>
        <w:t>N</w:t>
      </w:r>
      <w:r w:rsidR="00DD442F" w:rsidRPr="005C31B1">
        <w:rPr>
          <w:sz w:val="24"/>
          <w:szCs w:val="24"/>
        </w:rPr>
        <w:t>atriumhydroxid</w:t>
      </w:r>
    </w:p>
    <w:p w14:paraId="5BAD3F67" w14:textId="77777777" w:rsidR="00DD442F" w:rsidRPr="005C31B1" w:rsidRDefault="00DD442F" w:rsidP="007653D9">
      <w:pPr>
        <w:ind w:left="851"/>
        <w:rPr>
          <w:sz w:val="24"/>
          <w:szCs w:val="24"/>
        </w:rPr>
      </w:pPr>
    </w:p>
    <w:p w14:paraId="20664A9B" w14:textId="62B56E1F" w:rsidR="00DD442F" w:rsidRPr="005C31B1" w:rsidRDefault="00DD442F" w:rsidP="007653D9">
      <w:pPr>
        <w:ind w:left="851"/>
        <w:rPr>
          <w:sz w:val="24"/>
          <w:szCs w:val="24"/>
          <w:u w:val="single"/>
        </w:rPr>
      </w:pPr>
      <w:r w:rsidRPr="005C31B1">
        <w:rPr>
          <w:sz w:val="24"/>
          <w:szCs w:val="24"/>
          <w:u w:val="single"/>
        </w:rPr>
        <w:t xml:space="preserve">300 mg: </w:t>
      </w:r>
    </w:p>
    <w:p w14:paraId="46DC10DE" w14:textId="77777777" w:rsidR="007653D9" w:rsidRPr="005C31B1" w:rsidRDefault="00DD442F" w:rsidP="007653D9">
      <w:pPr>
        <w:ind w:left="851"/>
        <w:rPr>
          <w:sz w:val="24"/>
          <w:szCs w:val="24"/>
        </w:rPr>
      </w:pPr>
      <w:proofErr w:type="spellStart"/>
      <w:r w:rsidRPr="005C31B1">
        <w:rPr>
          <w:sz w:val="24"/>
          <w:szCs w:val="24"/>
        </w:rPr>
        <w:t>Calciumstearat</w:t>
      </w:r>
      <w:proofErr w:type="spellEnd"/>
    </w:p>
    <w:p w14:paraId="6FF20525" w14:textId="77777777" w:rsidR="007653D9" w:rsidRPr="005C31B1" w:rsidRDefault="007653D9" w:rsidP="007653D9">
      <w:pPr>
        <w:ind w:left="851"/>
        <w:rPr>
          <w:sz w:val="24"/>
          <w:szCs w:val="24"/>
        </w:rPr>
      </w:pPr>
      <w:proofErr w:type="spellStart"/>
      <w:r w:rsidRPr="005C31B1">
        <w:rPr>
          <w:sz w:val="24"/>
          <w:szCs w:val="24"/>
        </w:rPr>
        <w:t>S</w:t>
      </w:r>
      <w:r w:rsidR="00DD442F" w:rsidRPr="005C31B1">
        <w:rPr>
          <w:sz w:val="24"/>
          <w:szCs w:val="24"/>
        </w:rPr>
        <w:t>ilica</w:t>
      </w:r>
      <w:proofErr w:type="spellEnd"/>
      <w:r w:rsidR="00DD442F" w:rsidRPr="005C31B1">
        <w:rPr>
          <w:sz w:val="24"/>
          <w:szCs w:val="24"/>
        </w:rPr>
        <w:t xml:space="preserve">, </w:t>
      </w:r>
      <w:proofErr w:type="gramStart"/>
      <w:r w:rsidR="00DD442F" w:rsidRPr="005C31B1">
        <w:rPr>
          <w:sz w:val="24"/>
          <w:szCs w:val="24"/>
        </w:rPr>
        <w:t>hydrofob kolloid</w:t>
      </w:r>
      <w:proofErr w:type="gramEnd"/>
    </w:p>
    <w:p w14:paraId="5EF65703" w14:textId="77777777" w:rsidR="007653D9" w:rsidRPr="005C31B1" w:rsidRDefault="007653D9" w:rsidP="007653D9">
      <w:pPr>
        <w:ind w:left="851"/>
        <w:rPr>
          <w:sz w:val="24"/>
          <w:szCs w:val="24"/>
        </w:rPr>
      </w:pPr>
      <w:proofErr w:type="spellStart"/>
      <w:r w:rsidRPr="005C31B1">
        <w:rPr>
          <w:sz w:val="24"/>
          <w:szCs w:val="24"/>
        </w:rPr>
        <w:t>A</w:t>
      </w:r>
      <w:r w:rsidR="00DD442F" w:rsidRPr="005C31B1">
        <w:rPr>
          <w:sz w:val="24"/>
          <w:szCs w:val="24"/>
        </w:rPr>
        <w:t>mmoniummethacrylat</w:t>
      </w:r>
      <w:proofErr w:type="spellEnd"/>
      <w:r w:rsidR="00DD442F" w:rsidRPr="005C31B1">
        <w:rPr>
          <w:sz w:val="24"/>
          <w:szCs w:val="24"/>
        </w:rPr>
        <w:t xml:space="preserve"> </w:t>
      </w:r>
      <w:proofErr w:type="spellStart"/>
      <w:r w:rsidR="00DD442F" w:rsidRPr="005C31B1">
        <w:rPr>
          <w:sz w:val="24"/>
          <w:szCs w:val="24"/>
        </w:rPr>
        <w:t>copolymer</w:t>
      </w:r>
      <w:proofErr w:type="spellEnd"/>
      <w:r w:rsidR="00DD442F" w:rsidRPr="005C31B1">
        <w:rPr>
          <w:sz w:val="24"/>
          <w:szCs w:val="24"/>
        </w:rPr>
        <w:t xml:space="preserve"> type B</w:t>
      </w:r>
    </w:p>
    <w:p w14:paraId="2563FF43" w14:textId="77777777" w:rsidR="007653D9" w:rsidRPr="005C31B1" w:rsidRDefault="007653D9" w:rsidP="007653D9">
      <w:pPr>
        <w:ind w:left="851"/>
        <w:rPr>
          <w:sz w:val="24"/>
          <w:szCs w:val="24"/>
        </w:rPr>
      </w:pPr>
      <w:proofErr w:type="spellStart"/>
      <w:r w:rsidRPr="005C31B1">
        <w:rPr>
          <w:sz w:val="24"/>
          <w:szCs w:val="24"/>
        </w:rPr>
        <w:t>E</w:t>
      </w:r>
      <w:r w:rsidR="00DD442F" w:rsidRPr="005C31B1">
        <w:rPr>
          <w:sz w:val="24"/>
          <w:szCs w:val="24"/>
        </w:rPr>
        <w:t>thylcellulose</w:t>
      </w:r>
      <w:proofErr w:type="spellEnd"/>
    </w:p>
    <w:p w14:paraId="159CE6D7" w14:textId="77777777" w:rsidR="007653D9" w:rsidRPr="005C31B1" w:rsidRDefault="007653D9" w:rsidP="007653D9">
      <w:pPr>
        <w:ind w:left="851"/>
        <w:rPr>
          <w:sz w:val="24"/>
          <w:szCs w:val="24"/>
        </w:rPr>
      </w:pPr>
      <w:proofErr w:type="spellStart"/>
      <w:r w:rsidRPr="005C31B1">
        <w:rPr>
          <w:sz w:val="24"/>
          <w:szCs w:val="24"/>
        </w:rPr>
        <w:t>D</w:t>
      </w:r>
      <w:r w:rsidR="00DD442F" w:rsidRPr="005C31B1">
        <w:rPr>
          <w:sz w:val="24"/>
          <w:szCs w:val="24"/>
        </w:rPr>
        <w:t>ibutylsebacat</w:t>
      </w:r>
      <w:proofErr w:type="spellEnd"/>
    </w:p>
    <w:p w14:paraId="1FE31DA7" w14:textId="77777777" w:rsidR="007653D9" w:rsidRPr="005C31B1" w:rsidRDefault="007653D9" w:rsidP="007653D9">
      <w:pPr>
        <w:ind w:left="851"/>
        <w:rPr>
          <w:sz w:val="24"/>
          <w:szCs w:val="24"/>
        </w:rPr>
      </w:pPr>
      <w:r w:rsidRPr="005C31B1">
        <w:rPr>
          <w:sz w:val="24"/>
          <w:szCs w:val="24"/>
        </w:rPr>
        <w:t>O</w:t>
      </w:r>
      <w:r w:rsidR="00DD442F" w:rsidRPr="005C31B1">
        <w:rPr>
          <w:sz w:val="24"/>
          <w:szCs w:val="24"/>
        </w:rPr>
        <w:t>liesyre</w:t>
      </w:r>
    </w:p>
    <w:p w14:paraId="4D4AEE0B" w14:textId="77777777" w:rsidR="007653D9" w:rsidRPr="005C31B1" w:rsidRDefault="007653D9" w:rsidP="007653D9">
      <w:pPr>
        <w:ind w:left="851"/>
        <w:rPr>
          <w:sz w:val="24"/>
          <w:szCs w:val="24"/>
          <w:lang w:val="en-US"/>
        </w:rPr>
      </w:pPr>
      <w:r w:rsidRPr="005C31B1">
        <w:rPr>
          <w:sz w:val="24"/>
          <w:szCs w:val="24"/>
          <w:lang w:val="en-US"/>
        </w:rPr>
        <w:t>G</w:t>
      </w:r>
      <w:r w:rsidR="00DD442F" w:rsidRPr="005C31B1">
        <w:rPr>
          <w:sz w:val="24"/>
          <w:szCs w:val="24"/>
          <w:lang w:val="en-US"/>
        </w:rPr>
        <w:t>elatine</w:t>
      </w:r>
    </w:p>
    <w:p w14:paraId="74473643" w14:textId="77777777" w:rsidR="007653D9" w:rsidRPr="005C31B1" w:rsidRDefault="007653D9" w:rsidP="007653D9">
      <w:pPr>
        <w:ind w:left="851"/>
        <w:rPr>
          <w:sz w:val="24"/>
          <w:szCs w:val="24"/>
          <w:lang w:val="en-US"/>
        </w:rPr>
      </w:pPr>
      <w:r w:rsidRPr="005C31B1">
        <w:rPr>
          <w:sz w:val="24"/>
          <w:szCs w:val="24"/>
          <w:lang w:val="en-US"/>
        </w:rPr>
        <w:t>I</w:t>
      </w:r>
      <w:r w:rsidR="00DD442F" w:rsidRPr="005C31B1">
        <w:rPr>
          <w:sz w:val="24"/>
          <w:szCs w:val="24"/>
          <w:lang w:val="en-US"/>
        </w:rPr>
        <w:t>ndigotin I (E132)</w:t>
      </w:r>
    </w:p>
    <w:p w14:paraId="696BD3DF" w14:textId="77777777" w:rsidR="007653D9" w:rsidRPr="005C31B1" w:rsidRDefault="007653D9" w:rsidP="007653D9">
      <w:pPr>
        <w:ind w:left="851"/>
        <w:rPr>
          <w:sz w:val="24"/>
          <w:szCs w:val="24"/>
          <w:lang w:val="en-US"/>
        </w:rPr>
      </w:pPr>
      <w:proofErr w:type="spellStart"/>
      <w:r w:rsidRPr="005C31B1">
        <w:rPr>
          <w:sz w:val="24"/>
          <w:szCs w:val="24"/>
          <w:lang w:val="en-US"/>
        </w:rPr>
        <w:t>Q</w:t>
      </w:r>
      <w:r w:rsidR="00DD442F" w:rsidRPr="005C31B1">
        <w:rPr>
          <w:sz w:val="24"/>
          <w:szCs w:val="24"/>
          <w:lang w:val="en-US"/>
        </w:rPr>
        <w:t>uinolingult</w:t>
      </w:r>
      <w:proofErr w:type="spellEnd"/>
      <w:r w:rsidR="00DD442F" w:rsidRPr="005C31B1">
        <w:rPr>
          <w:sz w:val="24"/>
          <w:szCs w:val="24"/>
          <w:lang w:val="en-US"/>
        </w:rPr>
        <w:t xml:space="preserve"> (E104)</w:t>
      </w:r>
    </w:p>
    <w:p w14:paraId="36A99A06" w14:textId="77777777" w:rsidR="007653D9" w:rsidRPr="005C31B1" w:rsidRDefault="007653D9" w:rsidP="007653D9">
      <w:pPr>
        <w:ind w:left="851"/>
        <w:rPr>
          <w:sz w:val="24"/>
          <w:szCs w:val="24"/>
        </w:rPr>
      </w:pPr>
      <w:r w:rsidRPr="005C31B1">
        <w:rPr>
          <w:sz w:val="24"/>
          <w:szCs w:val="24"/>
          <w:lang w:val="en-US"/>
        </w:rPr>
        <w:t>N</w:t>
      </w:r>
      <w:proofErr w:type="spellStart"/>
      <w:r w:rsidR="00DD442F" w:rsidRPr="005C31B1">
        <w:rPr>
          <w:sz w:val="24"/>
          <w:szCs w:val="24"/>
        </w:rPr>
        <w:t>atriumlaurilsulfat</w:t>
      </w:r>
      <w:proofErr w:type="spellEnd"/>
    </w:p>
    <w:p w14:paraId="7EC721D3" w14:textId="77777777" w:rsidR="007653D9" w:rsidRPr="005C31B1" w:rsidRDefault="007653D9" w:rsidP="007653D9">
      <w:pPr>
        <w:ind w:left="851"/>
        <w:rPr>
          <w:sz w:val="24"/>
          <w:szCs w:val="24"/>
        </w:rPr>
      </w:pPr>
      <w:proofErr w:type="spellStart"/>
      <w:r w:rsidRPr="005C31B1">
        <w:rPr>
          <w:sz w:val="24"/>
          <w:szCs w:val="24"/>
        </w:rPr>
        <w:t>S</w:t>
      </w:r>
      <w:r w:rsidR="00DD442F" w:rsidRPr="005C31B1">
        <w:rPr>
          <w:sz w:val="24"/>
          <w:szCs w:val="24"/>
        </w:rPr>
        <w:t>orbinsyre</w:t>
      </w:r>
      <w:proofErr w:type="spellEnd"/>
    </w:p>
    <w:p w14:paraId="0F48DD46" w14:textId="2CC84ABC" w:rsidR="00DD442F" w:rsidRPr="005C31B1" w:rsidRDefault="007653D9" w:rsidP="007653D9">
      <w:pPr>
        <w:ind w:left="851"/>
        <w:rPr>
          <w:sz w:val="24"/>
          <w:szCs w:val="24"/>
        </w:rPr>
      </w:pPr>
      <w:r w:rsidRPr="005C31B1">
        <w:rPr>
          <w:sz w:val="24"/>
          <w:szCs w:val="24"/>
        </w:rPr>
        <w:t>N</w:t>
      </w:r>
      <w:r w:rsidR="00DD442F" w:rsidRPr="005C31B1">
        <w:rPr>
          <w:sz w:val="24"/>
          <w:szCs w:val="24"/>
        </w:rPr>
        <w:t>atriumhydroxid</w:t>
      </w:r>
    </w:p>
    <w:p w14:paraId="795D8C69" w14:textId="77777777" w:rsidR="004873ED" w:rsidRPr="005C31B1" w:rsidRDefault="004873ED" w:rsidP="007653D9">
      <w:pPr>
        <w:ind w:left="851"/>
        <w:rPr>
          <w:spacing w:val="-3"/>
          <w:sz w:val="24"/>
          <w:szCs w:val="24"/>
        </w:rPr>
      </w:pPr>
    </w:p>
    <w:p w14:paraId="68833B19"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6.2</w:t>
      </w:r>
      <w:r w:rsidRPr="007653D9">
        <w:rPr>
          <w:b/>
          <w:spacing w:val="-3"/>
          <w:sz w:val="24"/>
          <w:szCs w:val="24"/>
        </w:rPr>
        <w:tab/>
        <w:t>Uforligeligheder</w:t>
      </w:r>
    </w:p>
    <w:p w14:paraId="0541B71A"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t>Ikke relevant.</w:t>
      </w:r>
    </w:p>
    <w:p w14:paraId="451A1F16" w14:textId="77777777" w:rsidR="004873ED" w:rsidRPr="007653D9"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bCs/>
          <w:spacing w:val="-3"/>
          <w:sz w:val="24"/>
          <w:szCs w:val="24"/>
        </w:rPr>
      </w:pPr>
    </w:p>
    <w:p w14:paraId="2670DFC4"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6.3</w:t>
      </w:r>
      <w:r w:rsidRPr="007653D9">
        <w:rPr>
          <w:b/>
          <w:spacing w:val="-3"/>
          <w:sz w:val="24"/>
          <w:szCs w:val="24"/>
        </w:rPr>
        <w:tab/>
        <w:t>Opbevaringstid</w:t>
      </w:r>
    </w:p>
    <w:p w14:paraId="00130EE2"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r>
      <w:r w:rsidR="0018659C" w:rsidRPr="004C0B3B">
        <w:rPr>
          <w:spacing w:val="-3"/>
          <w:sz w:val="24"/>
          <w:szCs w:val="24"/>
        </w:rPr>
        <w:t>18 måneder.</w:t>
      </w:r>
    </w:p>
    <w:p w14:paraId="762EAD6B"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r>
    </w:p>
    <w:p w14:paraId="290E02AF"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6.4</w:t>
      </w:r>
      <w:r w:rsidRPr="007653D9">
        <w:rPr>
          <w:b/>
          <w:spacing w:val="-3"/>
          <w:sz w:val="24"/>
          <w:szCs w:val="24"/>
        </w:rPr>
        <w:tab/>
        <w:t>Særlige opbevaringsforhold</w:t>
      </w:r>
    </w:p>
    <w:p w14:paraId="170EB557" w14:textId="6344ACD3" w:rsidR="004873ED" w:rsidRPr="004C0B3B" w:rsidRDefault="004873ED" w:rsidP="005C31B1">
      <w:pPr>
        <w:ind w:left="851"/>
        <w:rPr>
          <w:spacing w:val="-3"/>
          <w:sz w:val="24"/>
          <w:szCs w:val="24"/>
        </w:rPr>
      </w:pPr>
      <w:r w:rsidRPr="004C0B3B">
        <w:rPr>
          <w:spacing w:val="-3"/>
          <w:sz w:val="24"/>
          <w:szCs w:val="24"/>
        </w:rPr>
        <w:t xml:space="preserve">Må ikke opbevares ved temperaturer over </w:t>
      </w:r>
      <w:r w:rsidR="0018659C" w:rsidRPr="004C0B3B">
        <w:rPr>
          <w:spacing w:val="-3"/>
          <w:sz w:val="24"/>
          <w:szCs w:val="24"/>
        </w:rPr>
        <w:t>25</w:t>
      </w:r>
      <w:r w:rsidR="005C31B1">
        <w:rPr>
          <w:spacing w:val="-3"/>
          <w:sz w:val="24"/>
          <w:szCs w:val="24"/>
        </w:rPr>
        <w:t xml:space="preserve"> </w:t>
      </w:r>
      <w:r w:rsidRPr="004C0B3B">
        <w:rPr>
          <w:spacing w:val="-3"/>
          <w:sz w:val="24"/>
          <w:szCs w:val="24"/>
        </w:rPr>
        <w:t>°C. Opbevares i den originale</w:t>
      </w:r>
      <w:r w:rsidR="0018659C" w:rsidRPr="004C0B3B">
        <w:rPr>
          <w:spacing w:val="-3"/>
          <w:sz w:val="24"/>
          <w:szCs w:val="24"/>
        </w:rPr>
        <w:t xml:space="preserve"> </w:t>
      </w:r>
      <w:r w:rsidRPr="004C0B3B">
        <w:rPr>
          <w:spacing w:val="-3"/>
          <w:sz w:val="24"/>
          <w:szCs w:val="24"/>
        </w:rPr>
        <w:t>beholde</w:t>
      </w:r>
      <w:r w:rsidR="0018659C" w:rsidRPr="004C0B3B">
        <w:rPr>
          <w:spacing w:val="-3"/>
          <w:sz w:val="24"/>
          <w:szCs w:val="24"/>
        </w:rPr>
        <w:t xml:space="preserve">r. Hold beholderen </w:t>
      </w:r>
      <w:r w:rsidRPr="004C0B3B">
        <w:rPr>
          <w:spacing w:val="-3"/>
          <w:sz w:val="24"/>
          <w:szCs w:val="24"/>
        </w:rPr>
        <w:t>tæt tillukket</w:t>
      </w:r>
      <w:r w:rsidR="0018659C" w:rsidRPr="004C0B3B">
        <w:rPr>
          <w:spacing w:val="-3"/>
          <w:sz w:val="24"/>
          <w:szCs w:val="24"/>
        </w:rPr>
        <w:t xml:space="preserve"> for at beskytte mod fugt</w:t>
      </w:r>
      <w:r w:rsidRPr="004C0B3B">
        <w:rPr>
          <w:spacing w:val="-3"/>
          <w:sz w:val="24"/>
          <w:szCs w:val="24"/>
        </w:rPr>
        <w:t>.</w:t>
      </w:r>
    </w:p>
    <w:p w14:paraId="2A4F7996"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14:paraId="1E86D9FD"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6.5</w:t>
      </w:r>
      <w:r w:rsidRPr="007653D9">
        <w:rPr>
          <w:b/>
          <w:spacing w:val="-3"/>
          <w:sz w:val="24"/>
          <w:szCs w:val="24"/>
        </w:rPr>
        <w:tab/>
        <w:t>Emballagetype og pakningsstørrelser</w:t>
      </w:r>
    </w:p>
    <w:p w14:paraId="607E3AEC" w14:textId="2BF1297F" w:rsidR="004873ED" w:rsidRPr="007653D9" w:rsidRDefault="007653D9" w:rsidP="007653D9">
      <w:pPr>
        <w:ind w:left="851"/>
        <w:rPr>
          <w:sz w:val="24"/>
          <w:szCs w:val="24"/>
        </w:rPr>
      </w:pPr>
      <w:r>
        <w:rPr>
          <w:sz w:val="24"/>
          <w:szCs w:val="24"/>
        </w:rPr>
        <w:t>H</w:t>
      </w:r>
      <w:r w:rsidR="004873ED" w:rsidRPr="007653D9">
        <w:rPr>
          <w:sz w:val="24"/>
          <w:szCs w:val="24"/>
        </w:rPr>
        <w:t>vid plastbeholder</w:t>
      </w:r>
      <w:r w:rsidR="00E348BA" w:rsidRPr="007653D9">
        <w:rPr>
          <w:sz w:val="24"/>
          <w:szCs w:val="24"/>
        </w:rPr>
        <w:t xml:space="preserve"> </w:t>
      </w:r>
      <w:r w:rsidR="004873ED" w:rsidRPr="007653D9">
        <w:rPr>
          <w:sz w:val="24"/>
          <w:szCs w:val="24"/>
        </w:rPr>
        <w:t>(PE) med børnesikret skruelåg (PP), indeholder tørrekapsel</w:t>
      </w:r>
    </w:p>
    <w:p w14:paraId="65A74DD8" w14:textId="52BD02A6" w:rsidR="004873ED" w:rsidRPr="007653D9" w:rsidRDefault="004873ED" w:rsidP="007653D9">
      <w:pPr>
        <w:ind w:left="851"/>
        <w:rPr>
          <w:sz w:val="24"/>
          <w:szCs w:val="24"/>
        </w:rPr>
      </w:pPr>
      <w:r w:rsidRPr="007653D9">
        <w:rPr>
          <w:sz w:val="24"/>
          <w:szCs w:val="24"/>
        </w:rPr>
        <w:t>50 depotkapsler, hårde</w:t>
      </w:r>
    </w:p>
    <w:p w14:paraId="5E6236B3" w14:textId="381B7771" w:rsidR="004873ED" w:rsidRPr="007653D9" w:rsidRDefault="004873ED" w:rsidP="007653D9">
      <w:pPr>
        <w:ind w:left="851"/>
        <w:rPr>
          <w:sz w:val="24"/>
          <w:szCs w:val="24"/>
        </w:rPr>
      </w:pPr>
      <w:r w:rsidRPr="007653D9">
        <w:rPr>
          <w:sz w:val="24"/>
          <w:szCs w:val="24"/>
        </w:rPr>
        <w:t>100 depotkapsler, hårde</w:t>
      </w:r>
    </w:p>
    <w:p w14:paraId="78D96C0E" w14:textId="10C1FB6D" w:rsidR="004873ED" w:rsidRPr="007653D9" w:rsidRDefault="004873ED" w:rsidP="007653D9">
      <w:pPr>
        <w:ind w:left="851"/>
        <w:rPr>
          <w:sz w:val="24"/>
          <w:szCs w:val="24"/>
        </w:rPr>
      </w:pPr>
      <w:r w:rsidRPr="007653D9">
        <w:rPr>
          <w:sz w:val="24"/>
          <w:szCs w:val="24"/>
        </w:rPr>
        <w:t>200 depotkapsler, hårde</w:t>
      </w:r>
    </w:p>
    <w:p w14:paraId="48135F07" w14:textId="77777777" w:rsidR="004873ED" w:rsidRPr="007653D9" w:rsidRDefault="004873ED" w:rsidP="007653D9">
      <w:pPr>
        <w:ind w:left="851"/>
        <w:rPr>
          <w:sz w:val="24"/>
          <w:szCs w:val="24"/>
        </w:rPr>
      </w:pPr>
    </w:p>
    <w:p w14:paraId="2A3178D2" w14:textId="7CD7421C" w:rsidR="004873ED" w:rsidRPr="007653D9" w:rsidRDefault="004873ED" w:rsidP="007653D9">
      <w:pPr>
        <w:ind w:left="851"/>
        <w:rPr>
          <w:sz w:val="24"/>
          <w:szCs w:val="24"/>
        </w:rPr>
      </w:pPr>
      <w:r w:rsidRPr="007653D9">
        <w:rPr>
          <w:sz w:val="24"/>
          <w:szCs w:val="24"/>
        </w:rPr>
        <w:t>Hospitalspakninger</w:t>
      </w:r>
    </w:p>
    <w:p w14:paraId="46F4CBA2" w14:textId="77777777" w:rsidR="004873ED" w:rsidRPr="007653D9" w:rsidRDefault="004873ED" w:rsidP="007653D9">
      <w:pPr>
        <w:ind w:left="851"/>
        <w:rPr>
          <w:sz w:val="24"/>
          <w:szCs w:val="24"/>
        </w:rPr>
      </w:pPr>
    </w:p>
    <w:p w14:paraId="3834DA4C" w14:textId="6910313E" w:rsidR="004873ED" w:rsidRPr="007653D9" w:rsidRDefault="004873ED" w:rsidP="007653D9">
      <w:pPr>
        <w:ind w:left="851"/>
        <w:rPr>
          <w:sz w:val="24"/>
          <w:szCs w:val="24"/>
        </w:rPr>
      </w:pPr>
      <w:r w:rsidRPr="007653D9">
        <w:rPr>
          <w:sz w:val="24"/>
          <w:szCs w:val="24"/>
        </w:rPr>
        <w:t>Ikke alle pakningsstørrelser er nødvendigvis markedsført.</w:t>
      </w:r>
    </w:p>
    <w:p w14:paraId="5EA76448"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14:paraId="582E3A2A" w14:textId="77777777" w:rsidR="007653D9" w:rsidRPr="007653D9" w:rsidRDefault="007653D9" w:rsidP="007653D9">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b/>
          <w:spacing w:val="-3"/>
          <w:sz w:val="24"/>
          <w:szCs w:val="24"/>
        </w:rPr>
      </w:pPr>
      <w:r w:rsidRPr="007653D9">
        <w:rPr>
          <w:b/>
          <w:spacing w:val="-3"/>
          <w:sz w:val="24"/>
          <w:szCs w:val="24"/>
        </w:rPr>
        <w:t>6.6</w:t>
      </w:r>
      <w:r w:rsidRPr="007653D9">
        <w:rPr>
          <w:b/>
          <w:spacing w:val="-3"/>
          <w:sz w:val="24"/>
          <w:szCs w:val="24"/>
        </w:rPr>
        <w:tab/>
        <w:t>Regler for bortskaffelse og anden håndtering</w:t>
      </w:r>
    </w:p>
    <w:p w14:paraId="7B645374"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t>Ingen særlige forholdsregler.</w:t>
      </w:r>
    </w:p>
    <w:p w14:paraId="52E292A2"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14:paraId="592036AE"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4C0B3B">
        <w:rPr>
          <w:spacing w:val="-3"/>
          <w:sz w:val="24"/>
          <w:szCs w:val="24"/>
        </w:rPr>
        <w:tab/>
        <w:t>Ikke anvendte lægemidler samt affald heraf skal bortskaffes i henhold til lokale retningslinjer.</w:t>
      </w:r>
    </w:p>
    <w:p w14:paraId="43DE8548"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14:paraId="2A429E7B" w14:textId="77777777" w:rsidR="007653D9" w:rsidRPr="00C84483" w:rsidRDefault="007653D9" w:rsidP="007653D9">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0BD7980" w14:textId="1FF9CB97" w:rsidR="004873ED" w:rsidRPr="007653D9" w:rsidRDefault="004873ED" w:rsidP="007653D9">
      <w:pPr>
        <w:ind w:left="851"/>
        <w:rPr>
          <w:sz w:val="24"/>
          <w:szCs w:val="24"/>
        </w:rPr>
      </w:pPr>
      <w:proofErr w:type="spellStart"/>
      <w:r w:rsidRPr="007653D9">
        <w:rPr>
          <w:sz w:val="24"/>
          <w:szCs w:val="24"/>
        </w:rPr>
        <w:t>Desitin</w:t>
      </w:r>
      <w:proofErr w:type="spellEnd"/>
      <w:r w:rsidRPr="007653D9">
        <w:rPr>
          <w:sz w:val="24"/>
          <w:szCs w:val="24"/>
        </w:rPr>
        <w:t xml:space="preserve"> </w:t>
      </w:r>
      <w:proofErr w:type="spellStart"/>
      <w:r w:rsidRPr="007653D9">
        <w:rPr>
          <w:sz w:val="24"/>
          <w:szCs w:val="24"/>
        </w:rPr>
        <w:t>Arzneimittel</w:t>
      </w:r>
      <w:proofErr w:type="spellEnd"/>
      <w:r w:rsidRPr="007653D9">
        <w:rPr>
          <w:sz w:val="24"/>
          <w:szCs w:val="24"/>
        </w:rPr>
        <w:t xml:space="preserve"> GmbH</w:t>
      </w:r>
    </w:p>
    <w:p w14:paraId="3FEAFB3E" w14:textId="4D043127" w:rsidR="004873ED" w:rsidRPr="007653D9" w:rsidRDefault="004873ED" w:rsidP="007653D9">
      <w:pPr>
        <w:ind w:left="851"/>
        <w:rPr>
          <w:sz w:val="24"/>
          <w:szCs w:val="24"/>
          <w:lang w:val="de-DE"/>
        </w:rPr>
      </w:pPr>
      <w:r w:rsidRPr="007653D9">
        <w:rPr>
          <w:sz w:val="24"/>
          <w:szCs w:val="24"/>
          <w:lang w:val="de-DE"/>
        </w:rPr>
        <w:t>Weg beim Jäger 214</w:t>
      </w:r>
    </w:p>
    <w:p w14:paraId="34B547E6" w14:textId="34DE8214" w:rsidR="004873ED" w:rsidRPr="007653D9" w:rsidRDefault="004873ED" w:rsidP="007653D9">
      <w:pPr>
        <w:ind w:left="851"/>
        <w:rPr>
          <w:sz w:val="24"/>
          <w:szCs w:val="24"/>
          <w:lang w:val="de-DE"/>
        </w:rPr>
      </w:pPr>
      <w:r w:rsidRPr="007653D9">
        <w:rPr>
          <w:sz w:val="24"/>
          <w:szCs w:val="24"/>
          <w:lang w:val="de-DE"/>
        </w:rPr>
        <w:t>D-22335 Hamburg</w:t>
      </w:r>
    </w:p>
    <w:p w14:paraId="29941C3F" w14:textId="57311C18" w:rsidR="004873ED" w:rsidRPr="007653D9" w:rsidRDefault="004873ED" w:rsidP="007653D9">
      <w:pPr>
        <w:ind w:left="851"/>
        <w:rPr>
          <w:sz w:val="24"/>
          <w:szCs w:val="24"/>
          <w:lang w:val="de-DE"/>
        </w:rPr>
      </w:pPr>
      <w:proofErr w:type="spellStart"/>
      <w:r w:rsidRPr="007653D9">
        <w:rPr>
          <w:sz w:val="24"/>
          <w:szCs w:val="24"/>
          <w:lang w:val="de-DE"/>
        </w:rPr>
        <w:t>Tyskland</w:t>
      </w:r>
      <w:proofErr w:type="spellEnd"/>
    </w:p>
    <w:p w14:paraId="320C60A0" w14:textId="77777777" w:rsidR="004873ED" w:rsidRPr="007653D9" w:rsidRDefault="004873ED" w:rsidP="007653D9">
      <w:pPr>
        <w:ind w:left="851"/>
        <w:rPr>
          <w:sz w:val="24"/>
          <w:szCs w:val="24"/>
          <w:lang w:val="de-DE"/>
        </w:rPr>
      </w:pPr>
    </w:p>
    <w:p w14:paraId="1FE39565" w14:textId="120FB4F7" w:rsidR="004873ED" w:rsidRPr="007653D9" w:rsidRDefault="004873ED" w:rsidP="007653D9">
      <w:pPr>
        <w:ind w:left="851"/>
        <w:rPr>
          <w:b/>
          <w:sz w:val="24"/>
          <w:szCs w:val="24"/>
        </w:rPr>
      </w:pPr>
      <w:r w:rsidRPr="007653D9">
        <w:rPr>
          <w:b/>
          <w:sz w:val="24"/>
          <w:szCs w:val="24"/>
        </w:rPr>
        <w:t>Repræsentant</w:t>
      </w:r>
    </w:p>
    <w:p w14:paraId="78E7112A" w14:textId="7F9E1EF3" w:rsidR="004873ED" w:rsidRPr="007653D9" w:rsidRDefault="004873ED" w:rsidP="007653D9">
      <w:pPr>
        <w:ind w:left="851"/>
        <w:rPr>
          <w:b/>
          <w:sz w:val="24"/>
          <w:szCs w:val="24"/>
        </w:rPr>
      </w:pPr>
      <w:proofErr w:type="spellStart"/>
      <w:r w:rsidRPr="007653D9">
        <w:rPr>
          <w:sz w:val="24"/>
          <w:szCs w:val="24"/>
        </w:rPr>
        <w:t>Desitin</w:t>
      </w:r>
      <w:proofErr w:type="spellEnd"/>
      <w:r w:rsidRPr="007653D9">
        <w:rPr>
          <w:sz w:val="24"/>
          <w:szCs w:val="24"/>
        </w:rPr>
        <w:t xml:space="preserve"> Pharma A/S</w:t>
      </w:r>
    </w:p>
    <w:p w14:paraId="538A716A" w14:textId="70164B75" w:rsidR="007C3301" w:rsidRPr="007653D9" w:rsidRDefault="007C3301" w:rsidP="007653D9">
      <w:pPr>
        <w:ind w:left="851"/>
        <w:rPr>
          <w:sz w:val="24"/>
          <w:szCs w:val="24"/>
        </w:rPr>
      </w:pPr>
      <w:r w:rsidRPr="007653D9">
        <w:rPr>
          <w:sz w:val="24"/>
          <w:szCs w:val="24"/>
        </w:rPr>
        <w:t>Automatikvej 1, 4.</w:t>
      </w:r>
    </w:p>
    <w:p w14:paraId="012DE4C6" w14:textId="2259B906" w:rsidR="007C3301" w:rsidRPr="007653D9" w:rsidRDefault="007C3301" w:rsidP="007653D9">
      <w:pPr>
        <w:ind w:left="851"/>
        <w:rPr>
          <w:sz w:val="24"/>
          <w:szCs w:val="24"/>
        </w:rPr>
      </w:pPr>
      <w:r w:rsidRPr="007653D9">
        <w:rPr>
          <w:sz w:val="24"/>
          <w:szCs w:val="24"/>
        </w:rPr>
        <w:t>2860 Søborg</w:t>
      </w:r>
    </w:p>
    <w:p w14:paraId="58AE3DAB" w14:textId="5CA700C7" w:rsidR="005C31B1" w:rsidRDefault="005C31B1">
      <w:pPr>
        <w:rPr>
          <w:spacing w:val="-3"/>
          <w:sz w:val="24"/>
          <w:szCs w:val="24"/>
        </w:rPr>
      </w:pPr>
      <w:r>
        <w:rPr>
          <w:spacing w:val="-3"/>
          <w:sz w:val="24"/>
          <w:szCs w:val="24"/>
        </w:rPr>
        <w:br w:type="page"/>
      </w:r>
    </w:p>
    <w:p w14:paraId="0DD5C23D" w14:textId="77777777" w:rsidR="004873ED" w:rsidRPr="004C0B3B" w:rsidRDefault="004873ED" w:rsidP="007C3301">
      <w:pPr>
        <w:widowControl w:val="0"/>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14:paraId="1EBDAF5C" w14:textId="77777777" w:rsidR="007653D9" w:rsidRPr="00C84483" w:rsidRDefault="007653D9" w:rsidP="007653D9">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14:paraId="78D56803" w14:textId="5B1A178F" w:rsidR="004873ED" w:rsidRPr="007653D9" w:rsidRDefault="004873ED" w:rsidP="007653D9">
      <w:pPr>
        <w:ind w:left="851"/>
        <w:rPr>
          <w:sz w:val="24"/>
          <w:szCs w:val="24"/>
        </w:rPr>
      </w:pPr>
      <w:r w:rsidRPr="007653D9">
        <w:rPr>
          <w:sz w:val="24"/>
          <w:szCs w:val="24"/>
        </w:rPr>
        <w:t>150 mg: 18324</w:t>
      </w:r>
    </w:p>
    <w:p w14:paraId="2E0434A0" w14:textId="1306B36D" w:rsidR="004873ED" w:rsidRPr="007653D9" w:rsidRDefault="004873ED" w:rsidP="007653D9">
      <w:pPr>
        <w:ind w:left="851"/>
        <w:rPr>
          <w:sz w:val="24"/>
          <w:szCs w:val="24"/>
        </w:rPr>
      </w:pPr>
      <w:r w:rsidRPr="007653D9">
        <w:rPr>
          <w:sz w:val="24"/>
          <w:szCs w:val="24"/>
        </w:rPr>
        <w:t>300 mg: 18325</w:t>
      </w:r>
    </w:p>
    <w:p w14:paraId="7263A993" w14:textId="77777777" w:rsidR="004873ED" w:rsidRPr="004C0B3B" w:rsidRDefault="004873ED" w:rsidP="004873ED">
      <w:pPr>
        <w:rPr>
          <w:sz w:val="24"/>
          <w:szCs w:val="24"/>
        </w:rPr>
      </w:pPr>
    </w:p>
    <w:p w14:paraId="19352D55" w14:textId="77777777" w:rsidR="007653D9" w:rsidRPr="007653D9" w:rsidRDefault="007653D9" w:rsidP="007653D9">
      <w:pPr>
        <w:widowControl w:val="0"/>
        <w:ind w:left="851" w:hanging="851"/>
        <w:rPr>
          <w:b/>
          <w:sz w:val="24"/>
          <w:szCs w:val="24"/>
        </w:rPr>
      </w:pPr>
      <w:r w:rsidRPr="007653D9">
        <w:rPr>
          <w:b/>
          <w:sz w:val="24"/>
          <w:szCs w:val="24"/>
        </w:rPr>
        <w:t>9.</w:t>
      </w:r>
      <w:r w:rsidRPr="007653D9">
        <w:rPr>
          <w:b/>
          <w:sz w:val="24"/>
          <w:szCs w:val="24"/>
        </w:rPr>
        <w:tab/>
        <w:t>DATO FOR FØRSTE MARKEDSFØRINGSTILLADELSE</w:t>
      </w:r>
    </w:p>
    <w:p w14:paraId="246AEDF4" w14:textId="77777777" w:rsidR="004873ED" w:rsidRPr="004C0B3B" w:rsidRDefault="004873ED" w:rsidP="004873ED">
      <w:pPr>
        <w:widowControl w:val="0"/>
        <w:ind w:left="851" w:hanging="851"/>
        <w:rPr>
          <w:sz w:val="24"/>
          <w:szCs w:val="24"/>
        </w:rPr>
      </w:pPr>
      <w:r w:rsidRPr="004C0B3B">
        <w:rPr>
          <w:sz w:val="24"/>
          <w:szCs w:val="24"/>
        </w:rPr>
        <w:tab/>
        <w:t>24. oktober 1979</w:t>
      </w:r>
    </w:p>
    <w:p w14:paraId="3537644F" w14:textId="77777777" w:rsidR="004873ED" w:rsidRPr="004C0B3B" w:rsidRDefault="004873ED" w:rsidP="004873ED">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z w:val="24"/>
          <w:szCs w:val="24"/>
        </w:rPr>
      </w:pPr>
    </w:p>
    <w:p w14:paraId="0EC1192C" w14:textId="77777777" w:rsidR="007653D9" w:rsidRPr="007653D9" w:rsidRDefault="007653D9" w:rsidP="007653D9">
      <w:pPr>
        <w:ind w:left="851" w:hanging="851"/>
        <w:rPr>
          <w:b/>
          <w:sz w:val="24"/>
          <w:szCs w:val="24"/>
        </w:rPr>
      </w:pPr>
      <w:r w:rsidRPr="007653D9">
        <w:rPr>
          <w:b/>
          <w:sz w:val="24"/>
          <w:szCs w:val="24"/>
        </w:rPr>
        <w:t>10.</w:t>
      </w:r>
      <w:r w:rsidRPr="007653D9">
        <w:rPr>
          <w:b/>
          <w:sz w:val="24"/>
          <w:szCs w:val="24"/>
        </w:rPr>
        <w:tab/>
        <w:t>DATO FOR ÆNDRING AF TEKSTEN</w:t>
      </w:r>
    </w:p>
    <w:p w14:paraId="58BC48CC" w14:textId="5CE9628D" w:rsidR="009260DE" w:rsidRPr="00482170" w:rsidRDefault="004873ED" w:rsidP="007653D9">
      <w:pPr>
        <w:ind w:left="851" w:hanging="851"/>
        <w:rPr>
          <w:sz w:val="24"/>
          <w:szCs w:val="24"/>
        </w:rPr>
      </w:pPr>
      <w:r w:rsidRPr="004C0B3B">
        <w:rPr>
          <w:sz w:val="24"/>
          <w:szCs w:val="24"/>
        </w:rPr>
        <w:tab/>
      </w:r>
      <w:r w:rsidR="007653D9">
        <w:rPr>
          <w:sz w:val="24"/>
          <w:szCs w:val="24"/>
        </w:rPr>
        <w:t>8. juni 2026</w:t>
      </w:r>
    </w:p>
    <w:sectPr w:rsidR="009260DE" w:rsidRPr="0048217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F49A" w14:textId="77777777" w:rsidR="00D50212" w:rsidRDefault="00D50212">
      <w:r>
        <w:separator/>
      </w:r>
    </w:p>
  </w:endnote>
  <w:endnote w:type="continuationSeparator" w:id="0">
    <w:p w14:paraId="7F6D2EC2" w14:textId="77777777" w:rsidR="00D50212" w:rsidRDefault="00D5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C1D6" w14:textId="77777777" w:rsidR="007F3E2C" w:rsidRDefault="007F3E2C">
    <w:pPr>
      <w:pStyle w:val="Sidefod"/>
      <w:pBdr>
        <w:bottom w:val="single" w:sz="6" w:space="1" w:color="auto"/>
      </w:pBdr>
    </w:pPr>
  </w:p>
  <w:p w14:paraId="4E3605F5" w14:textId="77777777" w:rsidR="007F3E2C" w:rsidRDefault="007F3E2C" w:rsidP="00C42586">
    <w:pPr>
      <w:pStyle w:val="Sidefod"/>
      <w:tabs>
        <w:tab w:val="clear" w:pos="4819"/>
        <w:tab w:val="left" w:pos="8505"/>
      </w:tabs>
      <w:rPr>
        <w:i/>
        <w:sz w:val="18"/>
        <w:szCs w:val="18"/>
      </w:rPr>
    </w:pPr>
  </w:p>
  <w:p w14:paraId="098F7255" w14:textId="77777777" w:rsidR="007F3E2C" w:rsidRPr="00B373D7" w:rsidRDefault="007F3E2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Orfiril Long, depotkapsler, hårde 150 mg og 300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49F8" w14:textId="77777777" w:rsidR="00D50212" w:rsidRDefault="00D50212">
      <w:r>
        <w:separator/>
      </w:r>
    </w:p>
  </w:footnote>
  <w:footnote w:type="continuationSeparator" w:id="0">
    <w:p w14:paraId="5C852125" w14:textId="77777777" w:rsidR="00D50212" w:rsidRDefault="00D50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226"/>
    <w:multiLevelType w:val="hybridMultilevel"/>
    <w:tmpl w:val="C96E0BFC"/>
    <w:lvl w:ilvl="0" w:tplc="C916FD48">
      <w:start w:val="1"/>
      <w:numFmt w:val="bullet"/>
      <w:lvlText w:val=""/>
      <w:lvlJc w:val="left"/>
      <w:pPr>
        <w:ind w:left="792" w:hanging="360"/>
      </w:pPr>
      <w:rPr>
        <w:rFonts w:ascii="Symbol" w:hAnsi="Symbol" w:cs="Symbol" w:hint="default"/>
      </w:rPr>
    </w:lvl>
    <w:lvl w:ilvl="1" w:tplc="04070003">
      <w:start w:val="1"/>
      <w:numFmt w:val="bullet"/>
      <w:lvlText w:val="o"/>
      <w:lvlJc w:val="left"/>
      <w:pPr>
        <w:ind w:left="1512" w:hanging="360"/>
      </w:pPr>
      <w:rPr>
        <w:rFonts w:ascii="Courier New" w:hAnsi="Courier New" w:cs="Courier New" w:hint="default"/>
      </w:rPr>
    </w:lvl>
    <w:lvl w:ilvl="2" w:tplc="04070005">
      <w:start w:val="1"/>
      <w:numFmt w:val="bullet"/>
      <w:lvlText w:val=""/>
      <w:lvlJc w:val="left"/>
      <w:pPr>
        <w:ind w:left="2232" w:hanging="360"/>
      </w:pPr>
      <w:rPr>
        <w:rFonts w:ascii="Wingdings" w:hAnsi="Wingdings" w:hint="default"/>
      </w:rPr>
    </w:lvl>
    <w:lvl w:ilvl="3" w:tplc="04070001">
      <w:start w:val="1"/>
      <w:numFmt w:val="bullet"/>
      <w:lvlText w:val=""/>
      <w:lvlJc w:val="left"/>
      <w:pPr>
        <w:ind w:left="2952" w:hanging="360"/>
      </w:pPr>
      <w:rPr>
        <w:rFonts w:ascii="Symbol" w:hAnsi="Symbol" w:hint="default"/>
      </w:rPr>
    </w:lvl>
    <w:lvl w:ilvl="4" w:tplc="04070003">
      <w:start w:val="1"/>
      <w:numFmt w:val="bullet"/>
      <w:lvlText w:val="o"/>
      <w:lvlJc w:val="left"/>
      <w:pPr>
        <w:ind w:left="3672" w:hanging="360"/>
      </w:pPr>
      <w:rPr>
        <w:rFonts w:ascii="Courier New" w:hAnsi="Courier New" w:cs="Courier New" w:hint="default"/>
      </w:rPr>
    </w:lvl>
    <w:lvl w:ilvl="5" w:tplc="04070005">
      <w:start w:val="1"/>
      <w:numFmt w:val="bullet"/>
      <w:lvlText w:val=""/>
      <w:lvlJc w:val="left"/>
      <w:pPr>
        <w:ind w:left="4392" w:hanging="360"/>
      </w:pPr>
      <w:rPr>
        <w:rFonts w:ascii="Wingdings" w:hAnsi="Wingdings" w:hint="default"/>
      </w:rPr>
    </w:lvl>
    <w:lvl w:ilvl="6" w:tplc="04070001">
      <w:start w:val="1"/>
      <w:numFmt w:val="bullet"/>
      <w:lvlText w:val=""/>
      <w:lvlJc w:val="left"/>
      <w:pPr>
        <w:ind w:left="5112" w:hanging="360"/>
      </w:pPr>
      <w:rPr>
        <w:rFonts w:ascii="Symbol" w:hAnsi="Symbol" w:hint="default"/>
      </w:rPr>
    </w:lvl>
    <w:lvl w:ilvl="7" w:tplc="04070003">
      <w:start w:val="1"/>
      <w:numFmt w:val="bullet"/>
      <w:lvlText w:val="o"/>
      <w:lvlJc w:val="left"/>
      <w:pPr>
        <w:ind w:left="5832" w:hanging="360"/>
      </w:pPr>
      <w:rPr>
        <w:rFonts w:ascii="Courier New" w:hAnsi="Courier New" w:cs="Courier New" w:hint="default"/>
      </w:rPr>
    </w:lvl>
    <w:lvl w:ilvl="8" w:tplc="04070005">
      <w:start w:val="1"/>
      <w:numFmt w:val="bullet"/>
      <w:lvlText w:val=""/>
      <w:lvlJc w:val="left"/>
      <w:pPr>
        <w:ind w:left="6552"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A339A5"/>
    <w:multiLevelType w:val="hybridMultilevel"/>
    <w:tmpl w:val="7E982416"/>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254867A4"/>
    <w:multiLevelType w:val="hybridMultilevel"/>
    <w:tmpl w:val="B51A3898"/>
    <w:lvl w:ilvl="0" w:tplc="721E8DB6">
      <w:numFmt w:val="bullet"/>
      <w:lvlText w:val="-"/>
      <w:lvlJc w:val="left"/>
      <w:pPr>
        <w:tabs>
          <w:tab w:val="num" w:pos="2062"/>
        </w:tabs>
        <w:ind w:left="2062" w:hanging="360"/>
      </w:pPr>
      <w:rPr>
        <w:rFonts w:ascii="Times New Roman" w:eastAsia="Times New Roman" w:hAnsi="Times New Roman" w:cs="Times New Roman" w:hint="default"/>
      </w:rPr>
    </w:lvl>
    <w:lvl w:ilvl="1" w:tplc="04060003" w:tentative="1">
      <w:start w:val="1"/>
      <w:numFmt w:val="bullet"/>
      <w:lvlText w:val="o"/>
      <w:lvlJc w:val="left"/>
      <w:pPr>
        <w:tabs>
          <w:tab w:val="num" w:pos="2291"/>
        </w:tabs>
        <w:ind w:left="2291" w:hanging="360"/>
      </w:pPr>
      <w:rPr>
        <w:rFonts w:ascii="Courier New" w:hAnsi="Courier New" w:cs="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cs="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cs="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2C770D90"/>
    <w:multiLevelType w:val="hybridMultilevel"/>
    <w:tmpl w:val="E5CC5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4A001ED"/>
    <w:multiLevelType w:val="hybridMultilevel"/>
    <w:tmpl w:val="3F02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E905E9C"/>
    <w:multiLevelType w:val="hybridMultilevel"/>
    <w:tmpl w:val="CB2CECC6"/>
    <w:name w:val="LT_Heading"/>
    <w:lvl w:ilvl="0" w:tplc="28AA84D8">
      <w:start w:val="1"/>
      <w:numFmt w:val="bullet"/>
      <w:lvlText w:val=""/>
      <w:lvlJc w:val="left"/>
      <w:pPr>
        <w:ind w:left="1571" w:hanging="360"/>
      </w:pPr>
      <w:rPr>
        <w:rFonts w:ascii="Symbol" w:hAnsi="Symbol" w:hint="default"/>
        <w:sz w:val="22"/>
        <w:szCs w:val="22"/>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16cid:durableId="8185455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8250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759684">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893225">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42422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933163">
    <w:abstractNumId w:val="6"/>
  </w:num>
  <w:num w:numId="7" w16cid:durableId="807742926">
    <w:abstractNumId w:val="5"/>
  </w:num>
  <w:num w:numId="8" w16cid:durableId="653606522">
    <w:abstractNumId w:val="1"/>
  </w:num>
  <w:num w:numId="9" w16cid:durableId="676076450">
    <w:abstractNumId w:val="2"/>
  </w:num>
  <w:num w:numId="10" w16cid:durableId="2051764187">
    <w:abstractNumId w:val="3"/>
  </w:num>
  <w:num w:numId="11" w16cid:durableId="810709864">
    <w:abstractNumId w:val="0"/>
  </w:num>
  <w:num w:numId="12" w16cid:durableId="1693795692">
    <w:abstractNumId w:val="10"/>
  </w:num>
  <w:num w:numId="13" w16cid:durableId="1459570953">
    <w:abstractNumId w:val="8"/>
  </w:num>
  <w:num w:numId="14" w16cid:durableId="1897158416">
    <w:abstractNumId w:val="4"/>
  </w:num>
  <w:num w:numId="15" w16cid:durableId="1806048945">
    <w:abstractNumId w:val="3"/>
  </w:num>
  <w:num w:numId="16" w16cid:durableId="120197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ED"/>
    <w:rsid w:val="000259B9"/>
    <w:rsid w:val="00041491"/>
    <w:rsid w:val="00050D16"/>
    <w:rsid w:val="00074F2A"/>
    <w:rsid w:val="00093522"/>
    <w:rsid w:val="00093723"/>
    <w:rsid w:val="000A1CA8"/>
    <w:rsid w:val="000A466B"/>
    <w:rsid w:val="000B058C"/>
    <w:rsid w:val="000E4EE6"/>
    <w:rsid w:val="000E7A72"/>
    <w:rsid w:val="0014070B"/>
    <w:rsid w:val="001438F8"/>
    <w:rsid w:val="001454E2"/>
    <w:rsid w:val="001508F2"/>
    <w:rsid w:val="0018659C"/>
    <w:rsid w:val="00192C7B"/>
    <w:rsid w:val="001B1C1A"/>
    <w:rsid w:val="001D5C9E"/>
    <w:rsid w:val="001E062F"/>
    <w:rsid w:val="001E6EA5"/>
    <w:rsid w:val="00206CE8"/>
    <w:rsid w:val="0021526C"/>
    <w:rsid w:val="002314FC"/>
    <w:rsid w:val="0027509F"/>
    <w:rsid w:val="00283A2B"/>
    <w:rsid w:val="00291DB8"/>
    <w:rsid w:val="002B30AD"/>
    <w:rsid w:val="002C2C01"/>
    <w:rsid w:val="002C40DE"/>
    <w:rsid w:val="002D6CB0"/>
    <w:rsid w:val="002E2CEC"/>
    <w:rsid w:val="002E6C7F"/>
    <w:rsid w:val="0031452A"/>
    <w:rsid w:val="00343401"/>
    <w:rsid w:val="003A29AE"/>
    <w:rsid w:val="003A32D7"/>
    <w:rsid w:val="003B4074"/>
    <w:rsid w:val="003C2645"/>
    <w:rsid w:val="003C769A"/>
    <w:rsid w:val="003E6ADE"/>
    <w:rsid w:val="003F1838"/>
    <w:rsid w:val="00413496"/>
    <w:rsid w:val="0045746C"/>
    <w:rsid w:val="00482170"/>
    <w:rsid w:val="004873ED"/>
    <w:rsid w:val="004908C7"/>
    <w:rsid w:val="0049104B"/>
    <w:rsid w:val="004C0B3B"/>
    <w:rsid w:val="004C3C83"/>
    <w:rsid w:val="004E3B12"/>
    <w:rsid w:val="00522563"/>
    <w:rsid w:val="00524F89"/>
    <w:rsid w:val="00532310"/>
    <w:rsid w:val="00560ECC"/>
    <w:rsid w:val="00565F0F"/>
    <w:rsid w:val="00594A86"/>
    <w:rsid w:val="00596D86"/>
    <w:rsid w:val="005C31B1"/>
    <w:rsid w:val="005C3CF4"/>
    <w:rsid w:val="00613335"/>
    <w:rsid w:val="00625614"/>
    <w:rsid w:val="006364FF"/>
    <w:rsid w:val="00637F5A"/>
    <w:rsid w:val="006560B1"/>
    <w:rsid w:val="006756DD"/>
    <w:rsid w:val="006B500F"/>
    <w:rsid w:val="006C7436"/>
    <w:rsid w:val="006D62C2"/>
    <w:rsid w:val="006F18AB"/>
    <w:rsid w:val="00737275"/>
    <w:rsid w:val="00740EEC"/>
    <w:rsid w:val="007627BC"/>
    <w:rsid w:val="00763B99"/>
    <w:rsid w:val="007653D9"/>
    <w:rsid w:val="0078011A"/>
    <w:rsid w:val="007803D0"/>
    <w:rsid w:val="00782AF4"/>
    <w:rsid w:val="00790EE7"/>
    <w:rsid w:val="007B6649"/>
    <w:rsid w:val="007C3301"/>
    <w:rsid w:val="007D35D4"/>
    <w:rsid w:val="007F3E2C"/>
    <w:rsid w:val="0081546F"/>
    <w:rsid w:val="0082576E"/>
    <w:rsid w:val="008D65B0"/>
    <w:rsid w:val="00904809"/>
    <w:rsid w:val="00907F75"/>
    <w:rsid w:val="009260DE"/>
    <w:rsid w:val="0093258A"/>
    <w:rsid w:val="009920E3"/>
    <w:rsid w:val="009C7BA3"/>
    <w:rsid w:val="009D1F5A"/>
    <w:rsid w:val="00A578E3"/>
    <w:rsid w:val="00A74EE4"/>
    <w:rsid w:val="00AD52AC"/>
    <w:rsid w:val="00B003BF"/>
    <w:rsid w:val="00B33DDB"/>
    <w:rsid w:val="00B373D7"/>
    <w:rsid w:val="00B73014"/>
    <w:rsid w:val="00B742FC"/>
    <w:rsid w:val="00B746D6"/>
    <w:rsid w:val="00B767DA"/>
    <w:rsid w:val="00C27FE8"/>
    <w:rsid w:val="00C36276"/>
    <w:rsid w:val="00C42586"/>
    <w:rsid w:val="00C60CCD"/>
    <w:rsid w:val="00C6576E"/>
    <w:rsid w:val="00C84483"/>
    <w:rsid w:val="00C8472D"/>
    <w:rsid w:val="00C95551"/>
    <w:rsid w:val="00CB20D7"/>
    <w:rsid w:val="00CC0B42"/>
    <w:rsid w:val="00D020B0"/>
    <w:rsid w:val="00D11748"/>
    <w:rsid w:val="00D22229"/>
    <w:rsid w:val="00D3556C"/>
    <w:rsid w:val="00D366CF"/>
    <w:rsid w:val="00D50212"/>
    <w:rsid w:val="00D617BD"/>
    <w:rsid w:val="00DB6EBC"/>
    <w:rsid w:val="00DD442F"/>
    <w:rsid w:val="00E07968"/>
    <w:rsid w:val="00E108AA"/>
    <w:rsid w:val="00E31812"/>
    <w:rsid w:val="00E348BA"/>
    <w:rsid w:val="00E3749A"/>
    <w:rsid w:val="00E47902"/>
    <w:rsid w:val="00E506DC"/>
    <w:rsid w:val="00E7437F"/>
    <w:rsid w:val="00E865B8"/>
    <w:rsid w:val="00EC0B9B"/>
    <w:rsid w:val="00ED5E9F"/>
    <w:rsid w:val="00F0083F"/>
    <w:rsid w:val="00F33433"/>
    <w:rsid w:val="00F37984"/>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A2D39"/>
  <w15:chartTrackingRefBased/>
  <w15:docId w15:val="{21330A06-4139-41E1-9C49-A06D0E28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563"/>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rsid w:val="004873ED"/>
    <w:pPr>
      <w:ind w:left="708"/>
    </w:pPr>
    <w:rPr>
      <w:sz w:val="24"/>
      <w:lang w:val="de-DE" w:eastAsia="da-DK"/>
    </w:rPr>
  </w:style>
  <w:style w:type="character" w:customStyle="1" w:styleId="BrdtekstindrykningTegn">
    <w:name w:val="Brødtekstindrykning Tegn"/>
    <w:basedOn w:val="Standardskrifttypeiafsnit"/>
    <w:link w:val="Brdtekstindrykning"/>
    <w:rsid w:val="004873ED"/>
    <w:rPr>
      <w:sz w:val="24"/>
      <w:lang w:val="de-DE"/>
    </w:rPr>
  </w:style>
  <w:style w:type="paragraph" w:customStyle="1" w:styleId="Default">
    <w:name w:val="Default"/>
    <w:rsid w:val="004873ED"/>
    <w:pPr>
      <w:autoSpaceDE w:val="0"/>
      <w:autoSpaceDN w:val="0"/>
      <w:adjustRightInd w:val="0"/>
    </w:pPr>
    <w:rPr>
      <w:rFonts w:ascii="Verdana" w:hAnsi="Verdana" w:cs="Verdana"/>
      <w:color w:val="000000"/>
      <w:sz w:val="24"/>
      <w:szCs w:val="24"/>
      <w:lang w:val="de-DE" w:eastAsia="de-DE"/>
    </w:rPr>
  </w:style>
  <w:style w:type="paragraph" w:styleId="Listeafsnit">
    <w:name w:val="List Paragraph"/>
    <w:basedOn w:val="Normal"/>
    <w:uiPriority w:val="34"/>
    <w:qFormat/>
    <w:rsid w:val="004873ED"/>
    <w:pPr>
      <w:ind w:left="720"/>
      <w:contextualSpacing/>
    </w:pPr>
    <w:rPr>
      <w:sz w:val="24"/>
      <w:lang w:eastAsia="da-DK"/>
    </w:rPr>
  </w:style>
  <w:style w:type="table" w:styleId="Tabel-Gitter">
    <w:name w:val="Table Grid"/>
    <w:basedOn w:val="Tabel-Normal"/>
    <w:uiPriority w:val="59"/>
    <w:rsid w:val="0048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E6C7F"/>
    <w:rPr>
      <w:color w:val="0563C1" w:themeColor="hyperlink"/>
      <w:u w:val="single"/>
    </w:rPr>
  </w:style>
  <w:style w:type="character" w:styleId="Ulstomtale">
    <w:name w:val="Unresolved Mention"/>
    <w:basedOn w:val="Standardskrifttypeiafsnit"/>
    <w:uiPriority w:val="99"/>
    <w:semiHidden/>
    <w:unhideWhenUsed/>
    <w:rsid w:val="002E6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644">
      <w:bodyDiv w:val="1"/>
      <w:marLeft w:val="0"/>
      <w:marRight w:val="0"/>
      <w:marTop w:val="0"/>
      <w:marBottom w:val="0"/>
      <w:divBdr>
        <w:top w:val="none" w:sz="0" w:space="0" w:color="auto"/>
        <w:left w:val="none" w:sz="0" w:space="0" w:color="auto"/>
        <w:bottom w:val="none" w:sz="0" w:space="0" w:color="auto"/>
        <w:right w:val="none" w:sz="0" w:space="0" w:color="auto"/>
      </w:divBdr>
    </w:div>
    <w:div w:id="75251062">
      <w:bodyDiv w:val="1"/>
      <w:marLeft w:val="0"/>
      <w:marRight w:val="0"/>
      <w:marTop w:val="0"/>
      <w:marBottom w:val="0"/>
      <w:divBdr>
        <w:top w:val="none" w:sz="0" w:space="0" w:color="auto"/>
        <w:left w:val="none" w:sz="0" w:space="0" w:color="auto"/>
        <w:bottom w:val="none" w:sz="0" w:space="0" w:color="auto"/>
        <w:right w:val="none" w:sz="0" w:space="0" w:color="auto"/>
      </w:divBdr>
    </w:div>
    <w:div w:id="97994181">
      <w:bodyDiv w:val="1"/>
      <w:marLeft w:val="0"/>
      <w:marRight w:val="0"/>
      <w:marTop w:val="0"/>
      <w:marBottom w:val="0"/>
      <w:divBdr>
        <w:top w:val="none" w:sz="0" w:space="0" w:color="auto"/>
        <w:left w:val="none" w:sz="0" w:space="0" w:color="auto"/>
        <w:bottom w:val="none" w:sz="0" w:space="0" w:color="auto"/>
        <w:right w:val="none" w:sz="0" w:space="0" w:color="auto"/>
      </w:divBdr>
    </w:div>
    <w:div w:id="100154876">
      <w:bodyDiv w:val="1"/>
      <w:marLeft w:val="0"/>
      <w:marRight w:val="0"/>
      <w:marTop w:val="0"/>
      <w:marBottom w:val="0"/>
      <w:divBdr>
        <w:top w:val="none" w:sz="0" w:space="0" w:color="auto"/>
        <w:left w:val="none" w:sz="0" w:space="0" w:color="auto"/>
        <w:bottom w:val="none" w:sz="0" w:space="0" w:color="auto"/>
        <w:right w:val="none" w:sz="0" w:space="0" w:color="auto"/>
      </w:divBdr>
    </w:div>
    <w:div w:id="13017178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7715819">
      <w:bodyDiv w:val="1"/>
      <w:marLeft w:val="0"/>
      <w:marRight w:val="0"/>
      <w:marTop w:val="0"/>
      <w:marBottom w:val="0"/>
      <w:divBdr>
        <w:top w:val="none" w:sz="0" w:space="0" w:color="auto"/>
        <w:left w:val="none" w:sz="0" w:space="0" w:color="auto"/>
        <w:bottom w:val="none" w:sz="0" w:space="0" w:color="auto"/>
        <w:right w:val="none" w:sz="0" w:space="0" w:color="auto"/>
      </w:divBdr>
    </w:div>
    <w:div w:id="169104625">
      <w:bodyDiv w:val="1"/>
      <w:marLeft w:val="0"/>
      <w:marRight w:val="0"/>
      <w:marTop w:val="0"/>
      <w:marBottom w:val="0"/>
      <w:divBdr>
        <w:top w:val="none" w:sz="0" w:space="0" w:color="auto"/>
        <w:left w:val="none" w:sz="0" w:space="0" w:color="auto"/>
        <w:bottom w:val="none" w:sz="0" w:space="0" w:color="auto"/>
        <w:right w:val="none" w:sz="0" w:space="0" w:color="auto"/>
      </w:divBdr>
    </w:div>
    <w:div w:id="190150681">
      <w:bodyDiv w:val="1"/>
      <w:marLeft w:val="0"/>
      <w:marRight w:val="0"/>
      <w:marTop w:val="0"/>
      <w:marBottom w:val="0"/>
      <w:divBdr>
        <w:top w:val="none" w:sz="0" w:space="0" w:color="auto"/>
        <w:left w:val="none" w:sz="0" w:space="0" w:color="auto"/>
        <w:bottom w:val="none" w:sz="0" w:space="0" w:color="auto"/>
        <w:right w:val="none" w:sz="0" w:space="0" w:color="auto"/>
      </w:divBdr>
    </w:div>
    <w:div w:id="233006285">
      <w:bodyDiv w:val="1"/>
      <w:marLeft w:val="0"/>
      <w:marRight w:val="0"/>
      <w:marTop w:val="0"/>
      <w:marBottom w:val="0"/>
      <w:divBdr>
        <w:top w:val="none" w:sz="0" w:space="0" w:color="auto"/>
        <w:left w:val="none" w:sz="0" w:space="0" w:color="auto"/>
        <w:bottom w:val="none" w:sz="0" w:space="0" w:color="auto"/>
        <w:right w:val="none" w:sz="0" w:space="0" w:color="auto"/>
      </w:divBdr>
    </w:div>
    <w:div w:id="300890798">
      <w:bodyDiv w:val="1"/>
      <w:marLeft w:val="0"/>
      <w:marRight w:val="0"/>
      <w:marTop w:val="0"/>
      <w:marBottom w:val="0"/>
      <w:divBdr>
        <w:top w:val="none" w:sz="0" w:space="0" w:color="auto"/>
        <w:left w:val="none" w:sz="0" w:space="0" w:color="auto"/>
        <w:bottom w:val="none" w:sz="0" w:space="0" w:color="auto"/>
        <w:right w:val="none" w:sz="0" w:space="0" w:color="auto"/>
      </w:divBdr>
    </w:div>
    <w:div w:id="318581287">
      <w:bodyDiv w:val="1"/>
      <w:marLeft w:val="0"/>
      <w:marRight w:val="0"/>
      <w:marTop w:val="0"/>
      <w:marBottom w:val="0"/>
      <w:divBdr>
        <w:top w:val="none" w:sz="0" w:space="0" w:color="auto"/>
        <w:left w:val="none" w:sz="0" w:space="0" w:color="auto"/>
        <w:bottom w:val="none" w:sz="0" w:space="0" w:color="auto"/>
        <w:right w:val="none" w:sz="0" w:space="0" w:color="auto"/>
      </w:divBdr>
    </w:div>
    <w:div w:id="332295904">
      <w:bodyDiv w:val="1"/>
      <w:marLeft w:val="0"/>
      <w:marRight w:val="0"/>
      <w:marTop w:val="0"/>
      <w:marBottom w:val="0"/>
      <w:divBdr>
        <w:top w:val="none" w:sz="0" w:space="0" w:color="auto"/>
        <w:left w:val="none" w:sz="0" w:space="0" w:color="auto"/>
        <w:bottom w:val="none" w:sz="0" w:space="0" w:color="auto"/>
        <w:right w:val="none" w:sz="0" w:space="0" w:color="auto"/>
      </w:divBdr>
    </w:div>
    <w:div w:id="346178601">
      <w:bodyDiv w:val="1"/>
      <w:marLeft w:val="0"/>
      <w:marRight w:val="0"/>
      <w:marTop w:val="0"/>
      <w:marBottom w:val="0"/>
      <w:divBdr>
        <w:top w:val="none" w:sz="0" w:space="0" w:color="auto"/>
        <w:left w:val="none" w:sz="0" w:space="0" w:color="auto"/>
        <w:bottom w:val="none" w:sz="0" w:space="0" w:color="auto"/>
        <w:right w:val="none" w:sz="0" w:space="0" w:color="auto"/>
      </w:divBdr>
    </w:div>
    <w:div w:id="405300340">
      <w:bodyDiv w:val="1"/>
      <w:marLeft w:val="0"/>
      <w:marRight w:val="0"/>
      <w:marTop w:val="0"/>
      <w:marBottom w:val="0"/>
      <w:divBdr>
        <w:top w:val="none" w:sz="0" w:space="0" w:color="auto"/>
        <w:left w:val="none" w:sz="0" w:space="0" w:color="auto"/>
        <w:bottom w:val="none" w:sz="0" w:space="0" w:color="auto"/>
        <w:right w:val="none" w:sz="0" w:space="0" w:color="auto"/>
      </w:divBdr>
    </w:div>
    <w:div w:id="470171560">
      <w:bodyDiv w:val="1"/>
      <w:marLeft w:val="0"/>
      <w:marRight w:val="0"/>
      <w:marTop w:val="0"/>
      <w:marBottom w:val="0"/>
      <w:divBdr>
        <w:top w:val="none" w:sz="0" w:space="0" w:color="auto"/>
        <w:left w:val="none" w:sz="0" w:space="0" w:color="auto"/>
        <w:bottom w:val="none" w:sz="0" w:space="0" w:color="auto"/>
        <w:right w:val="none" w:sz="0" w:space="0" w:color="auto"/>
      </w:divBdr>
    </w:div>
    <w:div w:id="518081867">
      <w:bodyDiv w:val="1"/>
      <w:marLeft w:val="0"/>
      <w:marRight w:val="0"/>
      <w:marTop w:val="0"/>
      <w:marBottom w:val="0"/>
      <w:divBdr>
        <w:top w:val="none" w:sz="0" w:space="0" w:color="auto"/>
        <w:left w:val="none" w:sz="0" w:space="0" w:color="auto"/>
        <w:bottom w:val="none" w:sz="0" w:space="0" w:color="auto"/>
        <w:right w:val="none" w:sz="0" w:space="0" w:color="auto"/>
      </w:divBdr>
    </w:div>
    <w:div w:id="873810144">
      <w:bodyDiv w:val="1"/>
      <w:marLeft w:val="0"/>
      <w:marRight w:val="0"/>
      <w:marTop w:val="0"/>
      <w:marBottom w:val="0"/>
      <w:divBdr>
        <w:top w:val="none" w:sz="0" w:space="0" w:color="auto"/>
        <w:left w:val="none" w:sz="0" w:space="0" w:color="auto"/>
        <w:bottom w:val="none" w:sz="0" w:space="0" w:color="auto"/>
        <w:right w:val="none" w:sz="0" w:space="0" w:color="auto"/>
      </w:divBdr>
    </w:div>
    <w:div w:id="899902160">
      <w:bodyDiv w:val="1"/>
      <w:marLeft w:val="0"/>
      <w:marRight w:val="0"/>
      <w:marTop w:val="0"/>
      <w:marBottom w:val="0"/>
      <w:divBdr>
        <w:top w:val="none" w:sz="0" w:space="0" w:color="auto"/>
        <w:left w:val="none" w:sz="0" w:space="0" w:color="auto"/>
        <w:bottom w:val="none" w:sz="0" w:space="0" w:color="auto"/>
        <w:right w:val="none" w:sz="0" w:space="0" w:color="auto"/>
      </w:divBdr>
    </w:div>
    <w:div w:id="1031998701">
      <w:bodyDiv w:val="1"/>
      <w:marLeft w:val="0"/>
      <w:marRight w:val="0"/>
      <w:marTop w:val="0"/>
      <w:marBottom w:val="0"/>
      <w:divBdr>
        <w:top w:val="none" w:sz="0" w:space="0" w:color="auto"/>
        <w:left w:val="none" w:sz="0" w:space="0" w:color="auto"/>
        <w:bottom w:val="none" w:sz="0" w:space="0" w:color="auto"/>
        <w:right w:val="none" w:sz="0" w:space="0" w:color="auto"/>
      </w:divBdr>
    </w:div>
    <w:div w:id="1057970353">
      <w:bodyDiv w:val="1"/>
      <w:marLeft w:val="0"/>
      <w:marRight w:val="0"/>
      <w:marTop w:val="0"/>
      <w:marBottom w:val="0"/>
      <w:divBdr>
        <w:top w:val="none" w:sz="0" w:space="0" w:color="auto"/>
        <w:left w:val="none" w:sz="0" w:space="0" w:color="auto"/>
        <w:bottom w:val="none" w:sz="0" w:space="0" w:color="auto"/>
        <w:right w:val="none" w:sz="0" w:space="0" w:color="auto"/>
      </w:divBdr>
    </w:div>
    <w:div w:id="1070543740">
      <w:bodyDiv w:val="1"/>
      <w:marLeft w:val="0"/>
      <w:marRight w:val="0"/>
      <w:marTop w:val="0"/>
      <w:marBottom w:val="0"/>
      <w:divBdr>
        <w:top w:val="none" w:sz="0" w:space="0" w:color="auto"/>
        <w:left w:val="none" w:sz="0" w:space="0" w:color="auto"/>
        <w:bottom w:val="none" w:sz="0" w:space="0" w:color="auto"/>
        <w:right w:val="none" w:sz="0" w:space="0" w:color="auto"/>
      </w:divBdr>
    </w:div>
    <w:div w:id="1094982858">
      <w:bodyDiv w:val="1"/>
      <w:marLeft w:val="0"/>
      <w:marRight w:val="0"/>
      <w:marTop w:val="0"/>
      <w:marBottom w:val="0"/>
      <w:divBdr>
        <w:top w:val="none" w:sz="0" w:space="0" w:color="auto"/>
        <w:left w:val="none" w:sz="0" w:space="0" w:color="auto"/>
        <w:bottom w:val="none" w:sz="0" w:space="0" w:color="auto"/>
        <w:right w:val="none" w:sz="0" w:space="0" w:color="auto"/>
      </w:divBdr>
    </w:div>
    <w:div w:id="1122578673">
      <w:bodyDiv w:val="1"/>
      <w:marLeft w:val="0"/>
      <w:marRight w:val="0"/>
      <w:marTop w:val="0"/>
      <w:marBottom w:val="0"/>
      <w:divBdr>
        <w:top w:val="none" w:sz="0" w:space="0" w:color="auto"/>
        <w:left w:val="none" w:sz="0" w:space="0" w:color="auto"/>
        <w:bottom w:val="none" w:sz="0" w:space="0" w:color="auto"/>
        <w:right w:val="none" w:sz="0" w:space="0" w:color="auto"/>
      </w:divBdr>
    </w:div>
    <w:div w:id="1217668800">
      <w:bodyDiv w:val="1"/>
      <w:marLeft w:val="0"/>
      <w:marRight w:val="0"/>
      <w:marTop w:val="0"/>
      <w:marBottom w:val="0"/>
      <w:divBdr>
        <w:top w:val="none" w:sz="0" w:space="0" w:color="auto"/>
        <w:left w:val="none" w:sz="0" w:space="0" w:color="auto"/>
        <w:bottom w:val="none" w:sz="0" w:space="0" w:color="auto"/>
        <w:right w:val="none" w:sz="0" w:space="0" w:color="auto"/>
      </w:divBdr>
    </w:div>
    <w:div w:id="1241910421">
      <w:bodyDiv w:val="1"/>
      <w:marLeft w:val="0"/>
      <w:marRight w:val="0"/>
      <w:marTop w:val="0"/>
      <w:marBottom w:val="0"/>
      <w:divBdr>
        <w:top w:val="none" w:sz="0" w:space="0" w:color="auto"/>
        <w:left w:val="none" w:sz="0" w:space="0" w:color="auto"/>
        <w:bottom w:val="none" w:sz="0" w:space="0" w:color="auto"/>
        <w:right w:val="none" w:sz="0" w:space="0" w:color="auto"/>
      </w:divBdr>
    </w:div>
    <w:div w:id="1253973113">
      <w:bodyDiv w:val="1"/>
      <w:marLeft w:val="0"/>
      <w:marRight w:val="0"/>
      <w:marTop w:val="0"/>
      <w:marBottom w:val="0"/>
      <w:divBdr>
        <w:top w:val="none" w:sz="0" w:space="0" w:color="auto"/>
        <w:left w:val="none" w:sz="0" w:space="0" w:color="auto"/>
        <w:bottom w:val="none" w:sz="0" w:space="0" w:color="auto"/>
        <w:right w:val="none" w:sz="0" w:space="0" w:color="auto"/>
      </w:divBdr>
    </w:div>
    <w:div w:id="1297226520">
      <w:bodyDiv w:val="1"/>
      <w:marLeft w:val="0"/>
      <w:marRight w:val="0"/>
      <w:marTop w:val="0"/>
      <w:marBottom w:val="0"/>
      <w:divBdr>
        <w:top w:val="none" w:sz="0" w:space="0" w:color="auto"/>
        <w:left w:val="none" w:sz="0" w:space="0" w:color="auto"/>
        <w:bottom w:val="none" w:sz="0" w:space="0" w:color="auto"/>
        <w:right w:val="none" w:sz="0" w:space="0" w:color="auto"/>
      </w:divBdr>
    </w:div>
    <w:div w:id="1413818361">
      <w:bodyDiv w:val="1"/>
      <w:marLeft w:val="0"/>
      <w:marRight w:val="0"/>
      <w:marTop w:val="0"/>
      <w:marBottom w:val="0"/>
      <w:divBdr>
        <w:top w:val="none" w:sz="0" w:space="0" w:color="auto"/>
        <w:left w:val="none" w:sz="0" w:space="0" w:color="auto"/>
        <w:bottom w:val="none" w:sz="0" w:space="0" w:color="auto"/>
        <w:right w:val="none" w:sz="0" w:space="0" w:color="auto"/>
      </w:divBdr>
    </w:div>
    <w:div w:id="1455446170">
      <w:bodyDiv w:val="1"/>
      <w:marLeft w:val="0"/>
      <w:marRight w:val="0"/>
      <w:marTop w:val="0"/>
      <w:marBottom w:val="0"/>
      <w:divBdr>
        <w:top w:val="none" w:sz="0" w:space="0" w:color="auto"/>
        <w:left w:val="none" w:sz="0" w:space="0" w:color="auto"/>
        <w:bottom w:val="none" w:sz="0" w:space="0" w:color="auto"/>
        <w:right w:val="none" w:sz="0" w:space="0" w:color="auto"/>
      </w:divBdr>
    </w:div>
    <w:div w:id="1483766221">
      <w:bodyDiv w:val="1"/>
      <w:marLeft w:val="0"/>
      <w:marRight w:val="0"/>
      <w:marTop w:val="0"/>
      <w:marBottom w:val="0"/>
      <w:divBdr>
        <w:top w:val="none" w:sz="0" w:space="0" w:color="auto"/>
        <w:left w:val="none" w:sz="0" w:space="0" w:color="auto"/>
        <w:bottom w:val="none" w:sz="0" w:space="0" w:color="auto"/>
        <w:right w:val="none" w:sz="0" w:space="0" w:color="auto"/>
      </w:divBdr>
    </w:div>
    <w:div w:id="1572808251">
      <w:bodyDiv w:val="1"/>
      <w:marLeft w:val="0"/>
      <w:marRight w:val="0"/>
      <w:marTop w:val="0"/>
      <w:marBottom w:val="0"/>
      <w:divBdr>
        <w:top w:val="none" w:sz="0" w:space="0" w:color="auto"/>
        <w:left w:val="none" w:sz="0" w:space="0" w:color="auto"/>
        <w:bottom w:val="none" w:sz="0" w:space="0" w:color="auto"/>
        <w:right w:val="none" w:sz="0" w:space="0" w:color="auto"/>
      </w:divBdr>
    </w:div>
    <w:div w:id="1576358676">
      <w:bodyDiv w:val="1"/>
      <w:marLeft w:val="0"/>
      <w:marRight w:val="0"/>
      <w:marTop w:val="0"/>
      <w:marBottom w:val="0"/>
      <w:divBdr>
        <w:top w:val="none" w:sz="0" w:space="0" w:color="auto"/>
        <w:left w:val="none" w:sz="0" w:space="0" w:color="auto"/>
        <w:bottom w:val="none" w:sz="0" w:space="0" w:color="auto"/>
        <w:right w:val="none" w:sz="0" w:space="0" w:color="auto"/>
      </w:divBdr>
    </w:div>
    <w:div w:id="1581252679">
      <w:bodyDiv w:val="1"/>
      <w:marLeft w:val="0"/>
      <w:marRight w:val="0"/>
      <w:marTop w:val="0"/>
      <w:marBottom w:val="0"/>
      <w:divBdr>
        <w:top w:val="none" w:sz="0" w:space="0" w:color="auto"/>
        <w:left w:val="none" w:sz="0" w:space="0" w:color="auto"/>
        <w:bottom w:val="none" w:sz="0" w:space="0" w:color="auto"/>
        <w:right w:val="none" w:sz="0" w:space="0" w:color="auto"/>
      </w:divBdr>
    </w:div>
    <w:div w:id="1596093104">
      <w:bodyDiv w:val="1"/>
      <w:marLeft w:val="0"/>
      <w:marRight w:val="0"/>
      <w:marTop w:val="0"/>
      <w:marBottom w:val="0"/>
      <w:divBdr>
        <w:top w:val="none" w:sz="0" w:space="0" w:color="auto"/>
        <w:left w:val="none" w:sz="0" w:space="0" w:color="auto"/>
        <w:bottom w:val="none" w:sz="0" w:space="0" w:color="auto"/>
        <w:right w:val="none" w:sz="0" w:space="0" w:color="auto"/>
      </w:divBdr>
    </w:div>
    <w:div w:id="1651910123">
      <w:bodyDiv w:val="1"/>
      <w:marLeft w:val="0"/>
      <w:marRight w:val="0"/>
      <w:marTop w:val="0"/>
      <w:marBottom w:val="0"/>
      <w:divBdr>
        <w:top w:val="none" w:sz="0" w:space="0" w:color="auto"/>
        <w:left w:val="none" w:sz="0" w:space="0" w:color="auto"/>
        <w:bottom w:val="none" w:sz="0" w:space="0" w:color="auto"/>
        <w:right w:val="none" w:sz="0" w:space="0" w:color="auto"/>
      </w:divBdr>
    </w:div>
    <w:div w:id="1653630823">
      <w:bodyDiv w:val="1"/>
      <w:marLeft w:val="0"/>
      <w:marRight w:val="0"/>
      <w:marTop w:val="0"/>
      <w:marBottom w:val="0"/>
      <w:divBdr>
        <w:top w:val="none" w:sz="0" w:space="0" w:color="auto"/>
        <w:left w:val="none" w:sz="0" w:space="0" w:color="auto"/>
        <w:bottom w:val="none" w:sz="0" w:space="0" w:color="auto"/>
        <w:right w:val="none" w:sz="0" w:space="0" w:color="auto"/>
      </w:divBdr>
    </w:div>
    <w:div w:id="1676032051">
      <w:bodyDiv w:val="1"/>
      <w:marLeft w:val="0"/>
      <w:marRight w:val="0"/>
      <w:marTop w:val="0"/>
      <w:marBottom w:val="0"/>
      <w:divBdr>
        <w:top w:val="none" w:sz="0" w:space="0" w:color="auto"/>
        <w:left w:val="none" w:sz="0" w:space="0" w:color="auto"/>
        <w:bottom w:val="none" w:sz="0" w:space="0" w:color="auto"/>
        <w:right w:val="none" w:sz="0" w:space="0" w:color="auto"/>
      </w:divBdr>
    </w:div>
    <w:div w:id="1746141760">
      <w:bodyDiv w:val="1"/>
      <w:marLeft w:val="0"/>
      <w:marRight w:val="0"/>
      <w:marTop w:val="0"/>
      <w:marBottom w:val="0"/>
      <w:divBdr>
        <w:top w:val="none" w:sz="0" w:space="0" w:color="auto"/>
        <w:left w:val="none" w:sz="0" w:space="0" w:color="auto"/>
        <w:bottom w:val="none" w:sz="0" w:space="0" w:color="auto"/>
        <w:right w:val="none" w:sz="0" w:space="0" w:color="auto"/>
      </w:divBdr>
    </w:div>
    <w:div w:id="1784684978">
      <w:bodyDiv w:val="1"/>
      <w:marLeft w:val="0"/>
      <w:marRight w:val="0"/>
      <w:marTop w:val="0"/>
      <w:marBottom w:val="0"/>
      <w:divBdr>
        <w:top w:val="none" w:sz="0" w:space="0" w:color="auto"/>
        <w:left w:val="none" w:sz="0" w:space="0" w:color="auto"/>
        <w:bottom w:val="none" w:sz="0" w:space="0" w:color="auto"/>
        <w:right w:val="none" w:sz="0" w:space="0" w:color="auto"/>
      </w:divBdr>
    </w:div>
    <w:div w:id="1818376657">
      <w:bodyDiv w:val="1"/>
      <w:marLeft w:val="0"/>
      <w:marRight w:val="0"/>
      <w:marTop w:val="0"/>
      <w:marBottom w:val="0"/>
      <w:divBdr>
        <w:top w:val="none" w:sz="0" w:space="0" w:color="auto"/>
        <w:left w:val="none" w:sz="0" w:space="0" w:color="auto"/>
        <w:bottom w:val="none" w:sz="0" w:space="0" w:color="auto"/>
        <w:right w:val="none" w:sz="0" w:space="0" w:color="auto"/>
      </w:divBdr>
    </w:div>
    <w:div w:id="1862815630">
      <w:bodyDiv w:val="1"/>
      <w:marLeft w:val="0"/>
      <w:marRight w:val="0"/>
      <w:marTop w:val="0"/>
      <w:marBottom w:val="0"/>
      <w:divBdr>
        <w:top w:val="none" w:sz="0" w:space="0" w:color="auto"/>
        <w:left w:val="none" w:sz="0" w:space="0" w:color="auto"/>
        <w:bottom w:val="none" w:sz="0" w:space="0" w:color="auto"/>
        <w:right w:val="none" w:sz="0" w:space="0" w:color="auto"/>
      </w:divBdr>
    </w:div>
    <w:div w:id="1917276838">
      <w:bodyDiv w:val="1"/>
      <w:marLeft w:val="0"/>
      <w:marRight w:val="0"/>
      <w:marTop w:val="0"/>
      <w:marBottom w:val="0"/>
      <w:divBdr>
        <w:top w:val="none" w:sz="0" w:space="0" w:color="auto"/>
        <w:left w:val="none" w:sz="0" w:space="0" w:color="auto"/>
        <w:bottom w:val="none" w:sz="0" w:space="0" w:color="auto"/>
        <w:right w:val="none" w:sz="0" w:space="0" w:color="auto"/>
      </w:divBdr>
    </w:div>
    <w:div w:id="1956207437">
      <w:bodyDiv w:val="1"/>
      <w:marLeft w:val="0"/>
      <w:marRight w:val="0"/>
      <w:marTop w:val="0"/>
      <w:marBottom w:val="0"/>
      <w:divBdr>
        <w:top w:val="none" w:sz="0" w:space="0" w:color="auto"/>
        <w:left w:val="none" w:sz="0" w:space="0" w:color="auto"/>
        <w:bottom w:val="none" w:sz="0" w:space="0" w:color="auto"/>
        <w:right w:val="none" w:sz="0" w:space="0" w:color="auto"/>
      </w:divBdr>
    </w:div>
    <w:div w:id="1965503314">
      <w:bodyDiv w:val="1"/>
      <w:marLeft w:val="0"/>
      <w:marRight w:val="0"/>
      <w:marTop w:val="0"/>
      <w:marBottom w:val="0"/>
      <w:divBdr>
        <w:top w:val="none" w:sz="0" w:space="0" w:color="auto"/>
        <w:left w:val="none" w:sz="0" w:space="0" w:color="auto"/>
        <w:bottom w:val="none" w:sz="0" w:space="0" w:color="auto"/>
        <w:right w:val="none" w:sz="0" w:space="0" w:color="auto"/>
      </w:divBdr>
    </w:div>
    <w:div w:id="2077897012">
      <w:bodyDiv w:val="1"/>
      <w:marLeft w:val="0"/>
      <w:marRight w:val="0"/>
      <w:marTop w:val="0"/>
      <w:marBottom w:val="0"/>
      <w:divBdr>
        <w:top w:val="none" w:sz="0" w:space="0" w:color="auto"/>
        <w:left w:val="none" w:sz="0" w:space="0" w:color="auto"/>
        <w:bottom w:val="none" w:sz="0" w:space="0" w:color="auto"/>
        <w:right w:val="none" w:sz="0" w:space="0" w:color="auto"/>
      </w:divBdr>
    </w:div>
    <w:div w:id="2086829961">
      <w:bodyDiv w:val="1"/>
      <w:marLeft w:val="0"/>
      <w:marRight w:val="0"/>
      <w:marTop w:val="0"/>
      <w:marBottom w:val="0"/>
      <w:divBdr>
        <w:top w:val="none" w:sz="0" w:space="0" w:color="auto"/>
        <w:left w:val="none" w:sz="0" w:space="0" w:color="auto"/>
        <w:bottom w:val="none" w:sz="0" w:space="0" w:color="auto"/>
        <w:right w:val="none" w:sz="0" w:space="0" w:color="auto"/>
      </w:divBdr>
    </w:div>
    <w:div w:id="2112773677">
      <w:bodyDiv w:val="1"/>
      <w:marLeft w:val="0"/>
      <w:marRight w:val="0"/>
      <w:marTop w:val="0"/>
      <w:marBottom w:val="0"/>
      <w:divBdr>
        <w:top w:val="none" w:sz="0" w:space="0" w:color="auto"/>
        <w:left w:val="none" w:sz="0" w:space="0" w:color="auto"/>
        <w:bottom w:val="none" w:sz="0" w:space="0" w:color="auto"/>
        <w:right w:val="none" w:sz="0" w:space="0" w:color="auto"/>
      </w:divBdr>
    </w:div>
    <w:div w:id="21473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30</Pages>
  <Words>9427</Words>
  <Characters>62125</Characters>
  <Application>Microsoft Office Word</Application>
  <DocSecurity>0</DocSecurity>
  <Lines>517</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2025091473, WS410, pkt. 4.8</dc:description>
  <cp:lastModifiedBy>Gitte Jørgensen</cp:lastModifiedBy>
  <cp:revision>9</cp:revision>
  <cp:lastPrinted>2012-08-22T08:53:00Z</cp:lastPrinted>
  <dcterms:created xsi:type="dcterms:W3CDTF">2026-06-08T09:06:00Z</dcterms:created>
  <dcterms:modified xsi:type="dcterms:W3CDTF">2026-06-08T11:10:00Z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Kommentar_1">
    <vt:lpwstr>2018081721
SPC pkt. 4.2, 4.3, 4.4, 4.6, 4.8, 9 [Betty Winther Andersen : 27-03-2020 09:49:00]</vt:lpwstr>
  </property>
  <property fmtid="{D5CDD505-2E9C-101B-9397-08002B2CF9AE}" pid="4" name="Kommentar_2">
    <vt:lpwstr>2020020315 SPC pkt. 2, 4.4, 4.5, 4.6, 4.8 [Betty Winther Andersen : 27-03-2020 09:50]</vt:lpwstr>
  </property>
  <property fmtid="{D5CDD505-2E9C-101B-9397-08002B2CF9AE}" pid="5" name="ConvertedFromMacroDocument">
    <vt:lpwstr>True</vt:lpwstr>
  </property>
</Properties>
</file>