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5A6" w:rsidRPr="008F49E1" w:rsidRDefault="00B415A6" w:rsidP="00B415A6">
      <w:pPr>
        <w:rPr>
          <w:sz w:val="24"/>
          <w:szCs w:val="24"/>
        </w:rPr>
      </w:pPr>
      <w:r w:rsidRPr="009260DE">
        <w:rPr>
          <w:noProof/>
          <w:sz w:val="24"/>
          <w:szCs w:val="24"/>
          <w:lang w:eastAsia="da-DK"/>
        </w:rPr>
        <w:drawing>
          <wp:anchor distT="0" distB="0" distL="114300" distR="114300" simplePos="0" relativeHeight="251659264" behindDoc="0" locked="0" layoutInCell="1" allowOverlap="1" wp14:anchorId="56E00E29" wp14:editId="6C8C271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B415A6" w:rsidRPr="00C84483" w:rsidRDefault="00B415A6" w:rsidP="00B415A6">
      <w:pPr>
        <w:pStyle w:val="Titel"/>
        <w:tabs>
          <w:tab w:val="right" w:pos="9356"/>
        </w:tabs>
        <w:jc w:val="left"/>
        <w:rPr>
          <w:b w:val="0"/>
          <w:szCs w:val="24"/>
          <w:lang w:eastAsia="en-US"/>
        </w:rPr>
      </w:pPr>
      <w:r w:rsidRPr="00C84483">
        <w:rPr>
          <w:b w:val="0"/>
          <w:szCs w:val="24"/>
          <w:lang w:eastAsia="en-US"/>
        </w:rPr>
        <w:tab/>
      </w:r>
      <w:r w:rsidR="00570C46">
        <w:rPr>
          <w:szCs w:val="24"/>
        </w:rPr>
        <w:t>12. marts 2024</w:t>
      </w:r>
    </w:p>
    <w:p w:rsidR="00B415A6" w:rsidRPr="00C84483" w:rsidRDefault="00B415A6" w:rsidP="00B415A6">
      <w:pPr>
        <w:pStyle w:val="Titel"/>
        <w:tabs>
          <w:tab w:val="left" w:pos="8222"/>
        </w:tabs>
        <w:jc w:val="left"/>
        <w:rPr>
          <w:b w:val="0"/>
          <w:szCs w:val="24"/>
        </w:rPr>
      </w:pPr>
    </w:p>
    <w:p w:rsidR="00B415A6" w:rsidRDefault="00B415A6" w:rsidP="00B415A6">
      <w:pPr>
        <w:pStyle w:val="Titel"/>
        <w:jc w:val="left"/>
        <w:rPr>
          <w:b w:val="0"/>
          <w:szCs w:val="24"/>
        </w:rPr>
      </w:pPr>
    </w:p>
    <w:p w:rsidR="00570C46" w:rsidRPr="00C84483" w:rsidRDefault="00570C46" w:rsidP="00B415A6">
      <w:pPr>
        <w:pStyle w:val="Titel"/>
        <w:jc w:val="left"/>
        <w:rPr>
          <w:b w:val="0"/>
          <w:szCs w:val="24"/>
        </w:rPr>
      </w:pPr>
    </w:p>
    <w:p w:rsidR="00B415A6" w:rsidRPr="00C84483" w:rsidRDefault="00B415A6" w:rsidP="00B415A6">
      <w:pPr>
        <w:jc w:val="center"/>
        <w:rPr>
          <w:b/>
          <w:sz w:val="24"/>
          <w:szCs w:val="24"/>
        </w:rPr>
      </w:pPr>
      <w:r w:rsidRPr="00C84483">
        <w:rPr>
          <w:b/>
          <w:sz w:val="24"/>
          <w:szCs w:val="24"/>
        </w:rPr>
        <w:t>PRODUKTRESUMÉ</w:t>
      </w:r>
    </w:p>
    <w:p w:rsidR="00B415A6" w:rsidRPr="00C84483" w:rsidRDefault="00B415A6" w:rsidP="00B415A6">
      <w:pPr>
        <w:jc w:val="center"/>
        <w:rPr>
          <w:b/>
          <w:sz w:val="24"/>
          <w:szCs w:val="24"/>
        </w:rPr>
      </w:pPr>
    </w:p>
    <w:p w:rsidR="00B415A6" w:rsidRDefault="00B415A6" w:rsidP="00B415A6">
      <w:pPr>
        <w:jc w:val="center"/>
        <w:rPr>
          <w:b/>
          <w:sz w:val="24"/>
          <w:szCs w:val="24"/>
        </w:rPr>
      </w:pPr>
      <w:r w:rsidRPr="00C84483">
        <w:rPr>
          <w:b/>
          <w:sz w:val="24"/>
          <w:szCs w:val="24"/>
        </w:rPr>
        <w:t>for</w:t>
      </w:r>
    </w:p>
    <w:p w:rsidR="00B415A6" w:rsidRPr="00C84483" w:rsidRDefault="00B415A6" w:rsidP="00B415A6">
      <w:pPr>
        <w:jc w:val="center"/>
        <w:rPr>
          <w:b/>
          <w:sz w:val="24"/>
          <w:szCs w:val="24"/>
        </w:rPr>
      </w:pPr>
    </w:p>
    <w:p w:rsidR="00B415A6" w:rsidRPr="00C84483" w:rsidRDefault="00B415A6" w:rsidP="00B415A6">
      <w:pPr>
        <w:jc w:val="center"/>
        <w:rPr>
          <w:b/>
          <w:sz w:val="24"/>
          <w:szCs w:val="24"/>
        </w:rPr>
      </w:pPr>
      <w:proofErr w:type="spellStart"/>
      <w:r>
        <w:rPr>
          <w:b/>
          <w:sz w:val="24"/>
          <w:szCs w:val="24"/>
        </w:rPr>
        <w:t>Oridecin</w:t>
      </w:r>
      <w:proofErr w:type="spellEnd"/>
      <w:r>
        <w:rPr>
          <w:b/>
          <w:sz w:val="24"/>
          <w:szCs w:val="24"/>
        </w:rPr>
        <w:t>, øjendråber, suspension</w:t>
      </w:r>
    </w:p>
    <w:p w:rsidR="00B415A6" w:rsidRPr="008A44E1" w:rsidRDefault="00B415A6" w:rsidP="00B415A6">
      <w:pPr>
        <w:jc w:val="both"/>
        <w:rPr>
          <w:sz w:val="24"/>
          <w:szCs w:val="24"/>
        </w:rPr>
      </w:pPr>
    </w:p>
    <w:p w:rsidR="00B415A6" w:rsidRPr="008A44E1" w:rsidRDefault="00B415A6" w:rsidP="00B415A6">
      <w:pPr>
        <w:jc w:val="both"/>
        <w:rPr>
          <w:sz w:val="24"/>
          <w:szCs w:val="24"/>
        </w:rPr>
      </w:pPr>
    </w:p>
    <w:p w:rsidR="00B415A6" w:rsidRPr="008A44E1" w:rsidRDefault="00B415A6" w:rsidP="00B415A6">
      <w:pPr>
        <w:tabs>
          <w:tab w:val="left" w:pos="851"/>
        </w:tabs>
        <w:ind w:left="851" w:hanging="851"/>
        <w:rPr>
          <w:b/>
          <w:sz w:val="24"/>
          <w:szCs w:val="24"/>
        </w:rPr>
      </w:pPr>
      <w:r w:rsidRPr="008A44E1">
        <w:rPr>
          <w:b/>
          <w:sz w:val="24"/>
          <w:szCs w:val="24"/>
        </w:rPr>
        <w:t>0.</w:t>
      </w:r>
      <w:r w:rsidRPr="008A44E1">
        <w:rPr>
          <w:b/>
          <w:sz w:val="24"/>
          <w:szCs w:val="24"/>
        </w:rPr>
        <w:tab/>
        <w:t>D.SP.NR.</w:t>
      </w:r>
    </w:p>
    <w:p w:rsidR="00B415A6" w:rsidRPr="008A44E1" w:rsidRDefault="00B415A6" w:rsidP="00B415A6">
      <w:pPr>
        <w:tabs>
          <w:tab w:val="left" w:pos="851"/>
        </w:tabs>
        <w:ind w:left="851"/>
        <w:rPr>
          <w:sz w:val="24"/>
          <w:szCs w:val="24"/>
        </w:rPr>
      </w:pPr>
      <w:r w:rsidRPr="008A44E1">
        <w:rPr>
          <w:sz w:val="24"/>
          <w:szCs w:val="24"/>
        </w:rPr>
        <w:t>31214</w:t>
      </w:r>
    </w:p>
    <w:p w:rsidR="00B415A6" w:rsidRPr="008A44E1" w:rsidRDefault="00B415A6" w:rsidP="00B415A6">
      <w:pPr>
        <w:tabs>
          <w:tab w:val="left" w:pos="851"/>
        </w:tabs>
        <w:ind w:left="851"/>
        <w:rPr>
          <w:sz w:val="24"/>
          <w:szCs w:val="24"/>
        </w:rPr>
      </w:pPr>
    </w:p>
    <w:p w:rsidR="00B415A6" w:rsidRPr="008A44E1" w:rsidRDefault="00B415A6" w:rsidP="00B415A6">
      <w:pPr>
        <w:tabs>
          <w:tab w:val="left" w:pos="851"/>
        </w:tabs>
        <w:ind w:left="851" w:hanging="851"/>
        <w:rPr>
          <w:b/>
          <w:sz w:val="24"/>
          <w:szCs w:val="24"/>
        </w:rPr>
      </w:pPr>
      <w:r w:rsidRPr="008A44E1">
        <w:rPr>
          <w:b/>
          <w:sz w:val="24"/>
          <w:szCs w:val="24"/>
        </w:rPr>
        <w:t>1.</w:t>
      </w:r>
      <w:r w:rsidRPr="008A44E1">
        <w:rPr>
          <w:b/>
          <w:sz w:val="24"/>
          <w:szCs w:val="24"/>
        </w:rPr>
        <w:tab/>
        <w:t>LÆGEMIDLETS NAVN</w:t>
      </w:r>
    </w:p>
    <w:p w:rsidR="00B415A6" w:rsidRPr="008A44E1" w:rsidRDefault="00B415A6" w:rsidP="00B415A6">
      <w:pPr>
        <w:tabs>
          <w:tab w:val="left" w:pos="851"/>
        </w:tabs>
        <w:ind w:left="851"/>
        <w:rPr>
          <w:sz w:val="24"/>
          <w:szCs w:val="24"/>
        </w:rPr>
      </w:pPr>
      <w:proofErr w:type="spellStart"/>
      <w:r w:rsidRPr="008A44E1">
        <w:rPr>
          <w:sz w:val="24"/>
          <w:szCs w:val="24"/>
        </w:rPr>
        <w:t>Oridecin</w:t>
      </w:r>
      <w:proofErr w:type="spellEnd"/>
    </w:p>
    <w:p w:rsidR="00B415A6" w:rsidRPr="008A44E1" w:rsidRDefault="00B415A6" w:rsidP="00B415A6">
      <w:pPr>
        <w:tabs>
          <w:tab w:val="left" w:pos="851"/>
        </w:tabs>
        <w:ind w:left="851"/>
        <w:rPr>
          <w:sz w:val="24"/>
          <w:szCs w:val="24"/>
        </w:rPr>
      </w:pPr>
    </w:p>
    <w:p w:rsidR="00B415A6" w:rsidRPr="008A44E1" w:rsidRDefault="00B415A6" w:rsidP="00B415A6">
      <w:pPr>
        <w:tabs>
          <w:tab w:val="left" w:pos="851"/>
        </w:tabs>
        <w:ind w:left="851" w:hanging="851"/>
        <w:rPr>
          <w:b/>
          <w:sz w:val="24"/>
          <w:szCs w:val="24"/>
        </w:rPr>
      </w:pPr>
      <w:r w:rsidRPr="008A44E1">
        <w:rPr>
          <w:b/>
          <w:sz w:val="24"/>
          <w:szCs w:val="24"/>
        </w:rPr>
        <w:t>2.</w:t>
      </w:r>
      <w:r w:rsidRPr="008A44E1">
        <w:rPr>
          <w:b/>
          <w:sz w:val="24"/>
          <w:szCs w:val="24"/>
        </w:rPr>
        <w:tab/>
        <w:t>KVALITATIV OG KVANTITATIV SAMMENSÆTNING</w:t>
      </w:r>
    </w:p>
    <w:p w:rsidR="00B415A6" w:rsidRPr="00B80C62" w:rsidRDefault="00B415A6" w:rsidP="00B415A6">
      <w:pPr>
        <w:ind w:left="851"/>
        <w:rPr>
          <w:sz w:val="24"/>
          <w:szCs w:val="24"/>
          <w:u w:val="single"/>
        </w:rPr>
      </w:pPr>
      <w:r w:rsidRPr="00B80C62">
        <w:rPr>
          <w:sz w:val="24"/>
          <w:szCs w:val="24"/>
        </w:rPr>
        <w:t xml:space="preserve">1 ml indeholder: </w:t>
      </w:r>
      <w:proofErr w:type="spellStart"/>
      <w:r w:rsidRPr="00B80C62">
        <w:rPr>
          <w:sz w:val="24"/>
          <w:szCs w:val="24"/>
        </w:rPr>
        <w:t>dexamethason</w:t>
      </w:r>
      <w:proofErr w:type="spellEnd"/>
      <w:r w:rsidRPr="00B80C62">
        <w:rPr>
          <w:sz w:val="24"/>
          <w:szCs w:val="24"/>
        </w:rPr>
        <w:t xml:space="preserve"> 1 mg og </w:t>
      </w:r>
      <w:proofErr w:type="spellStart"/>
      <w:r w:rsidRPr="00B80C62">
        <w:rPr>
          <w:sz w:val="24"/>
          <w:szCs w:val="24"/>
        </w:rPr>
        <w:t>tobramycin</w:t>
      </w:r>
      <w:proofErr w:type="spellEnd"/>
      <w:r w:rsidRPr="00B80C62">
        <w:rPr>
          <w:sz w:val="24"/>
          <w:szCs w:val="24"/>
        </w:rPr>
        <w:t xml:space="preserve"> 3 mg.</w:t>
      </w:r>
    </w:p>
    <w:p w:rsidR="00B415A6" w:rsidRDefault="00B415A6" w:rsidP="00B415A6">
      <w:pPr>
        <w:ind w:left="851"/>
        <w:rPr>
          <w:sz w:val="24"/>
          <w:szCs w:val="24"/>
          <w:u w:val="single"/>
        </w:rPr>
      </w:pPr>
    </w:p>
    <w:p w:rsidR="00B415A6" w:rsidRPr="00B80C62" w:rsidRDefault="00B415A6" w:rsidP="00B415A6">
      <w:pPr>
        <w:ind w:left="851"/>
        <w:rPr>
          <w:sz w:val="24"/>
          <w:szCs w:val="24"/>
        </w:rPr>
      </w:pPr>
      <w:r w:rsidRPr="00B80C62">
        <w:rPr>
          <w:sz w:val="24"/>
          <w:szCs w:val="24"/>
          <w:u w:val="single"/>
        </w:rPr>
        <w:t>Hjælpestof, som behandleren skal være opmærksom på</w:t>
      </w:r>
      <w:r w:rsidRPr="00B80C62">
        <w:rPr>
          <w:sz w:val="24"/>
          <w:szCs w:val="24"/>
        </w:rPr>
        <w:t>:</w:t>
      </w:r>
      <w:r w:rsidRPr="00B80C62">
        <w:rPr>
          <w:sz w:val="24"/>
          <w:szCs w:val="24"/>
        </w:rPr>
        <w:br/>
      </w:r>
      <w:proofErr w:type="spellStart"/>
      <w:r w:rsidRPr="00B80C62">
        <w:rPr>
          <w:sz w:val="24"/>
          <w:szCs w:val="24"/>
        </w:rPr>
        <w:t>Benzalkoniumchlorid</w:t>
      </w:r>
      <w:proofErr w:type="spellEnd"/>
      <w:r w:rsidRPr="00B80C62">
        <w:rPr>
          <w:sz w:val="24"/>
          <w:szCs w:val="24"/>
        </w:rPr>
        <w:t xml:space="preserve"> (se pkt. 4.4).</w:t>
      </w:r>
    </w:p>
    <w:p w:rsidR="00B415A6" w:rsidRDefault="00B415A6" w:rsidP="00B415A6">
      <w:pPr>
        <w:ind w:left="851"/>
        <w:rPr>
          <w:sz w:val="24"/>
          <w:szCs w:val="24"/>
        </w:rPr>
      </w:pPr>
    </w:p>
    <w:p w:rsidR="00B415A6" w:rsidRPr="00B80C62" w:rsidRDefault="00B415A6" w:rsidP="00B415A6">
      <w:pPr>
        <w:ind w:left="851"/>
        <w:rPr>
          <w:sz w:val="24"/>
          <w:szCs w:val="24"/>
        </w:rPr>
      </w:pPr>
      <w:r w:rsidRPr="00B80C62">
        <w:rPr>
          <w:sz w:val="24"/>
          <w:szCs w:val="24"/>
        </w:rPr>
        <w:t>Alle hjælpestoffer er anført under pkt. 6.1.</w:t>
      </w:r>
    </w:p>
    <w:p w:rsidR="00B415A6" w:rsidRPr="00B80C62" w:rsidRDefault="00B415A6" w:rsidP="00B415A6">
      <w:pPr>
        <w:ind w:left="851"/>
        <w:rPr>
          <w:sz w:val="24"/>
          <w:szCs w:val="24"/>
        </w:rPr>
      </w:pPr>
    </w:p>
    <w:p w:rsidR="00B415A6" w:rsidRPr="008A44E1" w:rsidRDefault="00B415A6" w:rsidP="00B415A6">
      <w:pPr>
        <w:tabs>
          <w:tab w:val="left" w:pos="851"/>
        </w:tabs>
        <w:ind w:left="851" w:hanging="851"/>
        <w:rPr>
          <w:b/>
          <w:sz w:val="24"/>
          <w:szCs w:val="24"/>
        </w:rPr>
      </w:pPr>
      <w:r w:rsidRPr="008A44E1">
        <w:rPr>
          <w:b/>
          <w:sz w:val="24"/>
          <w:szCs w:val="24"/>
        </w:rPr>
        <w:t>3.</w:t>
      </w:r>
      <w:r w:rsidRPr="008A44E1">
        <w:rPr>
          <w:b/>
          <w:sz w:val="24"/>
          <w:szCs w:val="24"/>
        </w:rPr>
        <w:tab/>
        <w:t>LÆGEMIDDELFORM</w:t>
      </w:r>
    </w:p>
    <w:p w:rsidR="00B415A6" w:rsidRPr="008A44E1" w:rsidRDefault="00B415A6" w:rsidP="00B415A6">
      <w:pPr>
        <w:ind w:left="851"/>
        <w:rPr>
          <w:sz w:val="24"/>
          <w:szCs w:val="24"/>
        </w:rPr>
      </w:pPr>
      <w:r w:rsidRPr="008A44E1">
        <w:rPr>
          <w:sz w:val="24"/>
          <w:szCs w:val="24"/>
        </w:rPr>
        <w:t>Øjendråber, suspension.</w:t>
      </w:r>
    </w:p>
    <w:p w:rsidR="00B415A6" w:rsidRPr="008A44E1" w:rsidRDefault="00B415A6" w:rsidP="00B415A6">
      <w:pPr>
        <w:pStyle w:val="NormalWeb"/>
        <w:ind w:left="851"/>
      </w:pPr>
      <w:r w:rsidRPr="008A44E1">
        <w:t>Hvid suspension.</w:t>
      </w:r>
    </w:p>
    <w:p w:rsidR="00B415A6" w:rsidRPr="008A44E1" w:rsidRDefault="00B415A6" w:rsidP="00B415A6">
      <w:pPr>
        <w:tabs>
          <w:tab w:val="left" w:pos="851"/>
        </w:tabs>
        <w:ind w:left="851"/>
        <w:rPr>
          <w:sz w:val="24"/>
          <w:szCs w:val="24"/>
        </w:rPr>
      </w:pPr>
    </w:p>
    <w:p w:rsidR="00B415A6" w:rsidRPr="008A44E1" w:rsidRDefault="00B415A6" w:rsidP="00B415A6">
      <w:pPr>
        <w:tabs>
          <w:tab w:val="left" w:pos="851"/>
        </w:tabs>
        <w:ind w:left="851"/>
        <w:rPr>
          <w:sz w:val="24"/>
          <w:szCs w:val="24"/>
        </w:rPr>
      </w:pPr>
    </w:p>
    <w:p w:rsidR="00B415A6" w:rsidRPr="008A44E1" w:rsidRDefault="00B415A6" w:rsidP="00B415A6">
      <w:pPr>
        <w:tabs>
          <w:tab w:val="left" w:pos="851"/>
        </w:tabs>
        <w:ind w:left="851" w:hanging="851"/>
        <w:rPr>
          <w:b/>
          <w:sz w:val="24"/>
          <w:szCs w:val="24"/>
        </w:rPr>
      </w:pPr>
      <w:r w:rsidRPr="008A44E1">
        <w:rPr>
          <w:b/>
          <w:sz w:val="24"/>
          <w:szCs w:val="24"/>
        </w:rPr>
        <w:t>4.</w:t>
      </w:r>
      <w:r w:rsidRPr="008A44E1">
        <w:rPr>
          <w:b/>
          <w:sz w:val="24"/>
          <w:szCs w:val="24"/>
        </w:rPr>
        <w:tab/>
        <w:t>KLINISKE OPLYSNINGER</w:t>
      </w:r>
    </w:p>
    <w:p w:rsidR="00B415A6" w:rsidRPr="008A44E1" w:rsidRDefault="00B415A6" w:rsidP="00B415A6">
      <w:pPr>
        <w:tabs>
          <w:tab w:val="left" w:pos="851"/>
        </w:tabs>
        <w:ind w:left="851"/>
        <w:rPr>
          <w:b/>
          <w:sz w:val="24"/>
          <w:szCs w:val="24"/>
        </w:rPr>
      </w:pPr>
    </w:p>
    <w:p w:rsidR="00B415A6" w:rsidRPr="008A44E1" w:rsidRDefault="00B415A6" w:rsidP="00B415A6">
      <w:pPr>
        <w:tabs>
          <w:tab w:val="left" w:pos="851"/>
        </w:tabs>
        <w:ind w:left="851" w:hanging="851"/>
        <w:rPr>
          <w:b/>
          <w:sz w:val="24"/>
          <w:szCs w:val="24"/>
          <w:u w:val="single"/>
        </w:rPr>
      </w:pPr>
      <w:r w:rsidRPr="008A44E1">
        <w:rPr>
          <w:b/>
          <w:sz w:val="24"/>
          <w:szCs w:val="24"/>
        </w:rPr>
        <w:t>4.1</w:t>
      </w:r>
      <w:r w:rsidRPr="008A44E1">
        <w:rPr>
          <w:b/>
          <w:sz w:val="24"/>
          <w:szCs w:val="24"/>
        </w:rPr>
        <w:tab/>
        <w:t>Terapeutiske indikationer</w:t>
      </w:r>
    </w:p>
    <w:p w:rsidR="00B415A6" w:rsidRPr="008A44E1" w:rsidRDefault="00B415A6" w:rsidP="00B415A6">
      <w:pPr>
        <w:ind w:left="851"/>
        <w:rPr>
          <w:sz w:val="24"/>
          <w:szCs w:val="24"/>
        </w:rPr>
      </w:pPr>
      <w:r w:rsidRPr="008A44E1">
        <w:rPr>
          <w:sz w:val="24"/>
          <w:szCs w:val="24"/>
        </w:rPr>
        <w:t>Forebyggelse og behandling af inflammation og forebyggelse af infektion i forbindelse med kataraktoperation hos voksne og børn fra 2 år og opefter.</w:t>
      </w:r>
    </w:p>
    <w:p w:rsidR="00B415A6" w:rsidRPr="008A44E1" w:rsidRDefault="00B415A6" w:rsidP="00B415A6">
      <w:pPr>
        <w:tabs>
          <w:tab w:val="left" w:pos="851"/>
        </w:tabs>
        <w:ind w:left="851"/>
        <w:rPr>
          <w:sz w:val="24"/>
          <w:szCs w:val="24"/>
        </w:rPr>
      </w:pPr>
    </w:p>
    <w:p w:rsidR="00570C46" w:rsidRPr="00C84483" w:rsidRDefault="00570C46" w:rsidP="00570C46">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B415A6" w:rsidRDefault="00B415A6" w:rsidP="00B415A6">
      <w:pPr>
        <w:ind w:left="851"/>
        <w:rPr>
          <w:noProof/>
          <w:sz w:val="24"/>
          <w:szCs w:val="24"/>
          <w:u w:val="single"/>
        </w:rPr>
      </w:pPr>
    </w:p>
    <w:p w:rsidR="00B415A6" w:rsidRPr="008A44E1" w:rsidRDefault="00B415A6" w:rsidP="00B415A6">
      <w:pPr>
        <w:ind w:left="851"/>
        <w:rPr>
          <w:noProof/>
          <w:sz w:val="24"/>
          <w:szCs w:val="24"/>
          <w:u w:val="single"/>
        </w:rPr>
      </w:pPr>
      <w:r w:rsidRPr="008A44E1">
        <w:rPr>
          <w:noProof/>
          <w:sz w:val="24"/>
          <w:szCs w:val="24"/>
          <w:u w:val="single"/>
        </w:rPr>
        <w:t>Dosering</w:t>
      </w:r>
    </w:p>
    <w:p w:rsidR="00B415A6" w:rsidRPr="00B80C62" w:rsidRDefault="00B415A6" w:rsidP="00B415A6">
      <w:pPr>
        <w:suppressAutoHyphens/>
        <w:ind w:left="851"/>
        <w:rPr>
          <w:i/>
          <w:sz w:val="24"/>
          <w:szCs w:val="24"/>
        </w:rPr>
      </w:pPr>
    </w:p>
    <w:p w:rsidR="00B415A6" w:rsidRPr="00B80C62" w:rsidRDefault="00B415A6" w:rsidP="00B415A6">
      <w:pPr>
        <w:suppressAutoHyphens/>
        <w:ind w:left="851"/>
        <w:rPr>
          <w:sz w:val="24"/>
          <w:szCs w:val="24"/>
        </w:rPr>
      </w:pPr>
      <w:r w:rsidRPr="00B80C62">
        <w:rPr>
          <w:i/>
          <w:sz w:val="24"/>
          <w:szCs w:val="24"/>
        </w:rPr>
        <w:t>Voksne</w:t>
      </w:r>
    </w:p>
    <w:p w:rsidR="00B415A6" w:rsidRPr="00B80C62" w:rsidRDefault="00B415A6" w:rsidP="00B415A6">
      <w:pPr>
        <w:suppressAutoHyphens/>
        <w:ind w:left="851"/>
        <w:rPr>
          <w:sz w:val="24"/>
          <w:szCs w:val="24"/>
        </w:rPr>
      </w:pPr>
      <w:r w:rsidRPr="00B80C62">
        <w:rPr>
          <w:sz w:val="24"/>
          <w:szCs w:val="24"/>
        </w:rPr>
        <w:t xml:space="preserve">Én dråbe i </w:t>
      </w:r>
      <w:proofErr w:type="spellStart"/>
      <w:r w:rsidRPr="00B80C62">
        <w:rPr>
          <w:sz w:val="24"/>
          <w:szCs w:val="24"/>
        </w:rPr>
        <w:t>konjunktivalsækken</w:t>
      </w:r>
      <w:proofErr w:type="spellEnd"/>
      <w:r w:rsidRPr="00B80C62">
        <w:rPr>
          <w:sz w:val="24"/>
          <w:szCs w:val="24"/>
        </w:rPr>
        <w:t xml:space="preserve"> hver 4. til 6. time mens patienten er vågen. I løbet af de første 24 til 48 timer kan dosis øges til én dråbe hver 2. time, mens patienten er vågen. Behandling skal fortsættes i 14 dage og ikke længere end 24 dage. Frekvensen bør </w:t>
      </w:r>
      <w:r w:rsidRPr="00B80C62">
        <w:rPr>
          <w:sz w:val="24"/>
          <w:szCs w:val="24"/>
        </w:rPr>
        <w:lastRenderedPageBreak/>
        <w:t>reduceres gradvist ved forbedrede kliniske tegn. Det er vigtigt at behandlingen ikke afsluttes for tidligt.</w:t>
      </w:r>
    </w:p>
    <w:p w:rsidR="00B415A6" w:rsidRPr="00B80C62" w:rsidRDefault="00B415A6" w:rsidP="00B415A6">
      <w:pPr>
        <w:suppressAutoHyphens/>
        <w:ind w:left="851"/>
        <w:rPr>
          <w:sz w:val="24"/>
          <w:szCs w:val="24"/>
        </w:rPr>
      </w:pPr>
    </w:p>
    <w:p w:rsidR="00B415A6" w:rsidRPr="00B80C62" w:rsidRDefault="00B415A6" w:rsidP="00B415A6">
      <w:pPr>
        <w:suppressAutoHyphens/>
        <w:ind w:left="851"/>
        <w:rPr>
          <w:sz w:val="24"/>
          <w:szCs w:val="24"/>
        </w:rPr>
      </w:pPr>
      <w:r w:rsidRPr="00B80C62">
        <w:rPr>
          <w:i/>
          <w:sz w:val="24"/>
          <w:szCs w:val="24"/>
        </w:rPr>
        <w:t>Ældre</w:t>
      </w:r>
    </w:p>
    <w:p w:rsidR="00B415A6" w:rsidRPr="00B80C62" w:rsidRDefault="00B415A6" w:rsidP="00B415A6">
      <w:pPr>
        <w:suppressAutoHyphens/>
        <w:ind w:left="851"/>
        <w:jc w:val="both"/>
        <w:rPr>
          <w:sz w:val="24"/>
          <w:szCs w:val="24"/>
        </w:rPr>
      </w:pPr>
      <w:r w:rsidRPr="00B80C62">
        <w:rPr>
          <w:sz w:val="24"/>
          <w:szCs w:val="24"/>
        </w:rPr>
        <w:t>Kliniske undersøgelser indikerer, at det ikke er nødvendigt med dosisregulering til ældre.</w:t>
      </w:r>
    </w:p>
    <w:p w:rsidR="00B415A6" w:rsidRPr="00B80C62" w:rsidRDefault="00B415A6" w:rsidP="00B415A6">
      <w:pPr>
        <w:suppressAutoHyphens/>
        <w:ind w:left="851"/>
        <w:jc w:val="both"/>
        <w:rPr>
          <w:sz w:val="24"/>
          <w:szCs w:val="24"/>
        </w:rPr>
      </w:pPr>
    </w:p>
    <w:p w:rsidR="00B415A6" w:rsidRPr="00B80C62" w:rsidRDefault="00B415A6" w:rsidP="00B415A6">
      <w:pPr>
        <w:tabs>
          <w:tab w:val="left" w:pos="851"/>
        </w:tabs>
        <w:ind w:left="851"/>
        <w:rPr>
          <w:sz w:val="24"/>
          <w:szCs w:val="24"/>
        </w:rPr>
      </w:pPr>
      <w:r w:rsidRPr="00B80C62">
        <w:rPr>
          <w:i/>
          <w:sz w:val="24"/>
          <w:szCs w:val="24"/>
        </w:rPr>
        <w:t>Pædiatrisk population</w:t>
      </w:r>
      <w:r w:rsidRPr="00B80C62">
        <w:rPr>
          <w:i/>
          <w:sz w:val="24"/>
          <w:szCs w:val="24"/>
        </w:rPr>
        <w:br/>
      </w:r>
      <w:proofErr w:type="spellStart"/>
      <w:r w:rsidRPr="00B80C62">
        <w:rPr>
          <w:sz w:val="24"/>
          <w:szCs w:val="24"/>
        </w:rPr>
        <w:t>Oridecin</w:t>
      </w:r>
      <w:proofErr w:type="spellEnd"/>
      <w:r w:rsidRPr="00B80C62">
        <w:rPr>
          <w:sz w:val="24"/>
          <w:szCs w:val="24"/>
        </w:rPr>
        <w:t xml:space="preserve"> kan anvendes til børn fra 2 år og opefter med samme dosis som til voksne. De nuværende tilgængelige data er beskrevet i pkt. 5.1. </w:t>
      </w:r>
    </w:p>
    <w:p w:rsidR="00B415A6" w:rsidRPr="00B80C62" w:rsidRDefault="00B415A6" w:rsidP="00B415A6">
      <w:pPr>
        <w:ind w:left="851"/>
        <w:rPr>
          <w:sz w:val="24"/>
          <w:szCs w:val="24"/>
        </w:rPr>
      </w:pPr>
      <w:proofErr w:type="spellStart"/>
      <w:r w:rsidRPr="00B80C62">
        <w:rPr>
          <w:sz w:val="24"/>
          <w:szCs w:val="24"/>
        </w:rPr>
        <w:t>Oridecins</w:t>
      </w:r>
      <w:proofErr w:type="spellEnd"/>
      <w:r w:rsidRPr="00B80C62">
        <w:rPr>
          <w:sz w:val="24"/>
          <w:szCs w:val="24"/>
        </w:rPr>
        <w:t xml:space="preserve"> sikkerhed og virkning hos børn yngre end 2 år er endnu ikke klarlagt og der foreligger ingen data.</w:t>
      </w:r>
    </w:p>
    <w:p w:rsidR="00B415A6" w:rsidRDefault="00B415A6" w:rsidP="00B415A6">
      <w:pPr>
        <w:suppressAutoHyphens/>
        <w:ind w:left="851"/>
        <w:jc w:val="both"/>
        <w:rPr>
          <w:bCs/>
          <w:i/>
          <w:sz w:val="24"/>
          <w:szCs w:val="24"/>
        </w:rPr>
      </w:pPr>
    </w:p>
    <w:p w:rsidR="00B415A6" w:rsidRPr="00B80C62" w:rsidRDefault="00B415A6" w:rsidP="00B415A6">
      <w:pPr>
        <w:suppressAutoHyphens/>
        <w:ind w:left="851"/>
        <w:jc w:val="both"/>
        <w:rPr>
          <w:bCs/>
          <w:i/>
          <w:sz w:val="24"/>
          <w:szCs w:val="24"/>
        </w:rPr>
      </w:pPr>
      <w:r w:rsidRPr="00B80C62">
        <w:rPr>
          <w:bCs/>
          <w:i/>
          <w:sz w:val="24"/>
          <w:szCs w:val="24"/>
        </w:rPr>
        <w:t>Nedsat lever- og nyrefunktion</w:t>
      </w:r>
    </w:p>
    <w:p w:rsidR="00B415A6" w:rsidRPr="00B80C62" w:rsidRDefault="00B415A6" w:rsidP="00B415A6">
      <w:pPr>
        <w:suppressAutoHyphens/>
        <w:ind w:left="851"/>
        <w:jc w:val="both"/>
        <w:rPr>
          <w:sz w:val="24"/>
          <w:szCs w:val="24"/>
        </w:rPr>
      </w:pPr>
      <w:proofErr w:type="spellStart"/>
      <w:r w:rsidRPr="00B80C62">
        <w:rPr>
          <w:sz w:val="24"/>
          <w:szCs w:val="24"/>
        </w:rPr>
        <w:t>Oridecin</w:t>
      </w:r>
      <w:proofErr w:type="spellEnd"/>
      <w:r w:rsidRPr="00B80C62">
        <w:rPr>
          <w:sz w:val="24"/>
          <w:szCs w:val="24"/>
        </w:rPr>
        <w:t xml:space="preserve"> er ikke undersøgt hos </w:t>
      </w:r>
      <w:r>
        <w:rPr>
          <w:sz w:val="24"/>
          <w:szCs w:val="24"/>
        </w:rPr>
        <w:t>disse</w:t>
      </w:r>
      <w:r w:rsidRPr="00B80C62">
        <w:rPr>
          <w:sz w:val="24"/>
          <w:szCs w:val="24"/>
        </w:rPr>
        <w:t xml:space="preserve"> patientgrupper.</w:t>
      </w:r>
    </w:p>
    <w:p w:rsidR="00B415A6" w:rsidRPr="00B80C62" w:rsidRDefault="00B415A6" w:rsidP="00B415A6">
      <w:pPr>
        <w:suppressAutoHyphens/>
        <w:ind w:left="851"/>
        <w:rPr>
          <w:sz w:val="24"/>
          <w:szCs w:val="24"/>
        </w:rPr>
      </w:pPr>
    </w:p>
    <w:p w:rsidR="00B415A6" w:rsidRPr="008A44E1" w:rsidRDefault="00B415A6" w:rsidP="00B415A6">
      <w:pPr>
        <w:ind w:left="851"/>
        <w:rPr>
          <w:sz w:val="24"/>
          <w:szCs w:val="24"/>
          <w:u w:val="single"/>
        </w:rPr>
      </w:pPr>
      <w:r w:rsidRPr="008A44E1">
        <w:rPr>
          <w:sz w:val="24"/>
          <w:szCs w:val="24"/>
          <w:u w:val="single"/>
        </w:rPr>
        <w:t xml:space="preserve">Administration </w:t>
      </w:r>
    </w:p>
    <w:p w:rsidR="00324C19" w:rsidRDefault="00324C19" w:rsidP="00324C19">
      <w:pPr>
        <w:pStyle w:val="NormalWeb"/>
        <w:ind w:left="851"/>
      </w:pPr>
      <w:proofErr w:type="spellStart"/>
      <w:r>
        <w:t>Okulær</w:t>
      </w:r>
      <w:proofErr w:type="spellEnd"/>
      <w:r>
        <w:t xml:space="preserve"> anvendelse.</w:t>
      </w:r>
    </w:p>
    <w:p w:rsidR="00324C19" w:rsidRPr="008A44E1" w:rsidRDefault="00324C19" w:rsidP="00324C19">
      <w:pPr>
        <w:pStyle w:val="NormalWeb"/>
        <w:ind w:left="851"/>
      </w:pPr>
      <w:r w:rsidRPr="008A44E1">
        <w:t xml:space="preserve">Ryst flasken grundigt før anvendelse. For at undgå kontaminering af dråbespids og suspension må man være opmærksom på, ikke at berøre øjenlåget, omgivende områder eller andre overflader med spidsen af flasken. Hold flasken tæt lukket, når den ikke er i brug. </w:t>
      </w:r>
      <w:r>
        <w:t xml:space="preserve">Fjern ikke </w:t>
      </w:r>
      <w:r w:rsidRPr="008A44E1">
        <w:t>hættens brudsikre krave efter åbning af flasken.</w:t>
      </w:r>
    </w:p>
    <w:p w:rsidR="00B415A6" w:rsidRPr="008A44E1" w:rsidRDefault="00B415A6" w:rsidP="00B415A6">
      <w:pPr>
        <w:pStyle w:val="NormalWeb"/>
        <w:ind w:left="851"/>
      </w:pPr>
      <w:r w:rsidRPr="008A44E1">
        <w:t xml:space="preserve">Det anbefales at lukke øjet forsigtigt samt anvende </w:t>
      </w:r>
      <w:proofErr w:type="spellStart"/>
      <w:r w:rsidRPr="008A44E1">
        <w:t>nasolakrimal</w:t>
      </w:r>
      <w:proofErr w:type="spellEnd"/>
      <w:r w:rsidRPr="008A44E1">
        <w:t xml:space="preserve"> </w:t>
      </w:r>
      <w:proofErr w:type="spellStart"/>
      <w:r w:rsidRPr="008A44E1">
        <w:t>okklusion</w:t>
      </w:r>
      <w:proofErr w:type="spellEnd"/>
      <w:r w:rsidRPr="008A44E1">
        <w:t xml:space="preserve"> i mindst 1 minut efter administration. Dette kan reducere den systemiske absorption af lægemidler der administreres </w:t>
      </w:r>
      <w:proofErr w:type="spellStart"/>
      <w:r w:rsidRPr="008A44E1">
        <w:t>okulært</w:t>
      </w:r>
      <w:proofErr w:type="spellEnd"/>
      <w:r w:rsidRPr="008A44E1">
        <w:t>, og dermed give færre systemiske bivirkninger.</w:t>
      </w:r>
    </w:p>
    <w:p w:rsidR="00B415A6" w:rsidRPr="008A44E1" w:rsidRDefault="00B415A6" w:rsidP="00B415A6">
      <w:pPr>
        <w:pStyle w:val="NormalWeb"/>
        <w:ind w:left="851"/>
      </w:pPr>
    </w:p>
    <w:p w:rsidR="00B415A6" w:rsidRPr="008A44E1" w:rsidRDefault="00B415A6" w:rsidP="00B415A6">
      <w:pPr>
        <w:pStyle w:val="NormalWeb"/>
        <w:ind w:left="851"/>
      </w:pPr>
      <w:r w:rsidRPr="008A44E1">
        <w:t xml:space="preserve">Ved samtidig behandling med andre lokale øjenmidler bør der være et interval på 5 minutter mellem successive applikationer. </w:t>
      </w:r>
    </w:p>
    <w:p w:rsidR="00B415A6" w:rsidRPr="008A44E1" w:rsidRDefault="00B415A6" w:rsidP="00B415A6">
      <w:pPr>
        <w:pStyle w:val="NormalWeb"/>
        <w:ind w:left="851"/>
      </w:pPr>
      <w:r w:rsidRPr="008A44E1">
        <w:t>Øjensalver skal påføres til sidst.</w:t>
      </w:r>
    </w:p>
    <w:p w:rsidR="00B415A6" w:rsidRPr="008A44E1" w:rsidRDefault="00B415A6" w:rsidP="00B415A6">
      <w:pPr>
        <w:tabs>
          <w:tab w:val="left" w:pos="851"/>
        </w:tabs>
        <w:ind w:left="851"/>
        <w:rPr>
          <w:sz w:val="24"/>
          <w:szCs w:val="24"/>
        </w:rPr>
      </w:pPr>
    </w:p>
    <w:p w:rsidR="00B415A6" w:rsidRPr="008A44E1" w:rsidRDefault="00B415A6" w:rsidP="00B415A6">
      <w:pPr>
        <w:tabs>
          <w:tab w:val="left" w:pos="851"/>
        </w:tabs>
        <w:ind w:left="851" w:hanging="851"/>
        <w:rPr>
          <w:b/>
          <w:sz w:val="24"/>
          <w:szCs w:val="24"/>
        </w:rPr>
      </w:pPr>
      <w:r w:rsidRPr="008A44E1">
        <w:rPr>
          <w:b/>
          <w:sz w:val="24"/>
          <w:szCs w:val="24"/>
        </w:rPr>
        <w:t>4.3</w:t>
      </w:r>
      <w:r w:rsidRPr="008A44E1">
        <w:rPr>
          <w:b/>
          <w:sz w:val="24"/>
          <w:szCs w:val="24"/>
        </w:rPr>
        <w:tab/>
        <w:t>Kontraindikationer</w:t>
      </w:r>
    </w:p>
    <w:p w:rsidR="00B415A6" w:rsidRPr="008A44E1" w:rsidRDefault="00B415A6" w:rsidP="00B415A6">
      <w:pPr>
        <w:pStyle w:val="Listeafsnit"/>
        <w:numPr>
          <w:ilvl w:val="0"/>
          <w:numId w:val="6"/>
        </w:numPr>
        <w:ind w:left="1276" w:hanging="425"/>
        <w:rPr>
          <w:sz w:val="24"/>
          <w:szCs w:val="24"/>
        </w:rPr>
      </w:pPr>
      <w:r w:rsidRPr="008A44E1">
        <w:rPr>
          <w:sz w:val="24"/>
          <w:szCs w:val="24"/>
        </w:rPr>
        <w:t>Overfølsomhed over for de aktive stoffer eller over for et eller flere af hjælpestofferne anført i pkt. 6.1.</w:t>
      </w:r>
    </w:p>
    <w:p w:rsidR="00B415A6" w:rsidRPr="008A44E1" w:rsidRDefault="00B415A6" w:rsidP="00B415A6">
      <w:pPr>
        <w:pStyle w:val="Listeafsnit"/>
        <w:numPr>
          <w:ilvl w:val="0"/>
          <w:numId w:val="6"/>
        </w:numPr>
        <w:ind w:left="1276" w:hanging="425"/>
        <w:rPr>
          <w:sz w:val="24"/>
          <w:szCs w:val="24"/>
          <w:lang w:val="en"/>
        </w:rPr>
      </w:pPr>
      <w:r w:rsidRPr="008A44E1">
        <w:rPr>
          <w:sz w:val="24"/>
          <w:szCs w:val="24"/>
          <w:lang w:val="en"/>
        </w:rPr>
        <w:t xml:space="preserve">Herpes simplex keratitis. </w:t>
      </w:r>
    </w:p>
    <w:p w:rsidR="00B415A6" w:rsidRPr="008A44E1" w:rsidRDefault="00B415A6" w:rsidP="00B415A6">
      <w:pPr>
        <w:pStyle w:val="Listeafsnit"/>
        <w:numPr>
          <w:ilvl w:val="0"/>
          <w:numId w:val="6"/>
        </w:numPr>
        <w:ind w:left="1276" w:hanging="425"/>
        <w:rPr>
          <w:sz w:val="24"/>
          <w:szCs w:val="24"/>
        </w:rPr>
      </w:pPr>
      <w:proofErr w:type="spellStart"/>
      <w:r w:rsidRPr="008A44E1">
        <w:rPr>
          <w:sz w:val="24"/>
          <w:szCs w:val="24"/>
        </w:rPr>
        <w:t>Vaccinia</w:t>
      </w:r>
      <w:proofErr w:type="spellEnd"/>
      <w:r w:rsidRPr="008A44E1">
        <w:rPr>
          <w:sz w:val="24"/>
          <w:szCs w:val="24"/>
        </w:rPr>
        <w:t xml:space="preserve">, </w:t>
      </w:r>
      <w:proofErr w:type="spellStart"/>
      <w:r w:rsidRPr="008A44E1">
        <w:rPr>
          <w:sz w:val="24"/>
          <w:szCs w:val="24"/>
        </w:rPr>
        <w:t>varicellae</w:t>
      </w:r>
      <w:proofErr w:type="spellEnd"/>
      <w:r w:rsidRPr="008A44E1">
        <w:rPr>
          <w:sz w:val="24"/>
          <w:szCs w:val="24"/>
        </w:rPr>
        <w:t xml:space="preserve"> og andre virussygdomme i </w:t>
      </w:r>
      <w:proofErr w:type="spellStart"/>
      <w:r w:rsidRPr="008A44E1">
        <w:rPr>
          <w:sz w:val="24"/>
          <w:szCs w:val="24"/>
        </w:rPr>
        <w:t>cornea</w:t>
      </w:r>
      <w:proofErr w:type="spellEnd"/>
      <w:r w:rsidRPr="008A44E1">
        <w:rPr>
          <w:sz w:val="24"/>
          <w:szCs w:val="24"/>
        </w:rPr>
        <w:t xml:space="preserve"> og </w:t>
      </w:r>
      <w:proofErr w:type="spellStart"/>
      <w:r w:rsidRPr="008A44E1">
        <w:rPr>
          <w:sz w:val="24"/>
          <w:szCs w:val="24"/>
        </w:rPr>
        <w:t>konjunktiva</w:t>
      </w:r>
      <w:proofErr w:type="spellEnd"/>
      <w:r w:rsidRPr="008A44E1">
        <w:rPr>
          <w:sz w:val="24"/>
          <w:szCs w:val="24"/>
        </w:rPr>
        <w:t>.</w:t>
      </w:r>
    </w:p>
    <w:p w:rsidR="00B415A6" w:rsidRPr="008A44E1" w:rsidRDefault="00B415A6" w:rsidP="00B415A6">
      <w:pPr>
        <w:pStyle w:val="Listeafsnit"/>
        <w:numPr>
          <w:ilvl w:val="0"/>
          <w:numId w:val="6"/>
        </w:numPr>
        <w:ind w:left="1276" w:hanging="425"/>
        <w:rPr>
          <w:sz w:val="24"/>
          <w:szCs w:val="24"/>
        </w:rPr>
      </w:pPr>
      <w:proofErr w:type="spellStart"/>
      <w:r w:rsidRPr="008A44E1">
        <w:rPr>
          <w:sz w:val="24"/>
          <w:szCs w:val="24"/>
        </w:rPr>
        <w:t>Mycobakterielle</w:t>
      </w:r>
      <w:proofErr w:type="spellEnd"/>
      <w:r w:rsidRPr="008A44E1">
        <w:rPr>
          <w:sz w:val="24"/>
          <w:szCs w:val="24"/>
        </w:rPr>
        <w:t xml:space="preserve"> infektioner i øjet forårsaget af, men ikke begrænset til, syre-resistente bakterier som </w:t>
      </w:r>
      <w:proofErr w:type="spellStart"/>
      <w:r w:rsidRPr="008A44E1">
        <w:rPr>
          <w:i/>
          <w:sz w:val="24"/>
          <w:szCs w:val="24"/>
        </w:rPr>
        <w:t>Mycobacterium</w:t>
      </w:r>
      <w:proofErr w:type="spellEnd"/>
      <w:r w:rsidRPr="008A44E1">
        <w:rPr>
          <w:i/>
          <w:sz w:val="24"/>
          <w:szCs w:val="24"/>
        </w:rPr>
        <w:t xml:space="preserve"> </w:t>
      </w:r>
      <w:proofErr w:type="spellStart"/>
      <w:r w:rsidRPr="008A44E1">
        <w:rPr>
          <w:i/>
          <w:sz w:val="24"/>
          <w:szCs w:val="24"/>
        </w:rPr>
        <w:t>tuberculosis</w:t>
      </w:r>
      <w:proofErr w:type="spellEnd"/>
      <w:r w:rsidRPr="008A44E1">
        <w:rPr>
          <w:i/>
          <w:sz w:val="24"/>
          <w:szCs w:val="24"/>
        </w:rPr>
        <w:t>,</w:t>
      </w:r>
      <w:r w:rsidRPr="008A44E1">
        <w:rPr>
          <w:sz w:val="24"/>
          <w:szCs w:val="24"/>
        </w:rPr>
        <w:t xml:space="preserve"> </w:t>
      </w:r>
      <w:proofErr w:type="spellStart"/>
      <w:r w:rsidRPr="008A44E1">
        <w:rPr>
          <w:i/>
          <w:sz w:val="24"/>
          <w:szCs w:val="24"/>
        </w:rPr>
        <w:t>Mycobacterium</w:t>
      </w:r>
      <w:proofErr w:type="spellEnd"/>
      <w:r w:rsidRPr="008A44E1">
        <w:rPr>
          <w:i/>
          <w:sz w:val="24"/>
          <w:szCs w:val="24"/>
        </w:rPr>
        <w:t xml:space="preserve"> </w:t>
      </w:r>
      <w:proofErr w:type="spellStart"/>
      <w:r w:rsidRPr="008A44E1">
        <w:rPr>
          <w:i/>
          <w:sz w:val="24"/>
          <w:szCs w:val="24"/>
        </w:rPr>
        <w:t>leprae</w:t>
      </w:r>
      <w:proofErr w:type="spellEnd"/>
      <w:r w:rsidRPr="008A44E1">
        <w:rPr>
          <w:i/>
          <w:sz w:val="24"/>
          <w:szCs w:val="24"/>
        </w:rPr>
        <w:t>,</w:t>
      </w:r>
      <w:r w:rsidRPr="008A44E1">
        <w:rPr>
          <w:sz w:val="24"/>
          <w:szCs w:val="24"/>
        </w:rPr>
        <w:t xml:space="preserve"> eller </w:t>
      </w:r>
      <w:proofErr w:type="spellStart"/>
      <w:r w:rsidRPr="008A44E1">
        <w:rPr>
          <w:i/>
          <w:sz w:val="24"/>
          <w:szCs w:val="24"/>
        </w:rPr>
        <w:t>Mycobacterium</w:t>
      </w:r>
      <w:proofErr w:type="spellEnd"/>
      <w:r w:rsidRPr="008A44E1">
        <w:rPr>
          <w:i/>
          <w:sz w:val="24"/>
          <w:szCs w:val="24"/>
        </w:rPr>
        <w:t xml:space="preserve"> </w:t>
      </w:r>
      <w:proofErr w:type="spellStart"/>
      <w:r w:rsidRPr="008A44E1">
        <w:rPr>
          <w:i/>
          <w:sz w:val="24"/>
          <w:szCs w:val="24"/>
        </w:rPr>
        <w:t>avium</w:t>
      </w:r>
      <w:proofErr w:type="spellEnd"/>
      <w:r w:rsidRPr="008A44E1">
        <w:rPr>
          <w:i/>
          <w:sz w:val="24"/>
          <w:szCs w:val="24"/>
        </w:rPr>
        <w:t>.</w:t>
      </w:r>
    </w:p>
    <w:p w:rsidR="00B415A6" w:rsidRPr="008A44E1" w:rsidRDefault="00B415A6" w:rsidP="00B415A6">
      <w:pPr>
        <w:pStyle w:val="Listeafsnit"/>
        <w:numPr>
          <w:ilvl w:val="0"/>
          <w:numId w:val="6"/>
        </w:numPr>
        <w:ind w:left="1276" w:hanging="425"/>
        <w:rPr>
          <w:sz w:val="24"/>
          <w:szCs w:val="24"/>
        </w:rPr>
      </w:pPr>
      <w:r w:rsidRPr="008A44E1">
        <w:rPr>
          <w:sz w:val="24"/>
          <w:szCs w:val="24"/>
        </w:rPr>
        <w:t xml:space="preserve">Svampesygdomme i øjet eller ubehandlede parasitære øjeninfektioner. </w:t>
      </w:r>
    </w:p>
    <w:p w:rsidR="00B415A6" w:rsidRPr="008A44E1" w:rsidRDefault="00B415A6" w:rsidP="00B415A6">
      <w:pPr>
        <w:pStyle w:val="Listeafsnit"/>
        <w:numPr>
          <w:ilvl w:val="0"/>
          <w:numId w:val="6"/>
        </w:numPr>
        <w:ind w:left="1276" w:hanging="425"/>
        <w:rPr>
          <w:sz w:val="24"/>
          <w:szCs w:val="24"/>
        </w:rPr>
      </w:pPr>
      <w:r w:rsidRPr="008A44E1">
        <w:rPr>
          <w:sz w:val="24"/>
          <w:szCs w:val="24"/>
        </w:rPr>
        <w:t xml:space="preserve">Ubehandlet </w:t>
      </w:r>
      <w:proofErr w:type="spellStart"/>
      <w:r w:rsidRPr="008A44E1">
        <w:rPr>
          <w:sz w:val="24"/>
          <w:szCs w:val="24"/>
        </w:rPr>
        <w:t>purulent</w:t>
      </w:r>
      <w:proofErr w:type="spellEnd"/>
      <w:r w:rsidRPr="008A44E1">
        <w:rPr>
          <w:sz w:val="24"/>
          <w:szCs w:val="24"/>
        </w:rPr>
        <w:t xml:space="preserve"> infektion i øjet. </w:t>
      </w:r>
    </w:p>
    <w:p w:rsidR="00B415A6" w:rsidRPr="008A44E1" w:rsidRDefault="00B415A6" w:rsidP="00B415A6">
      <w:pPr>
        <w:tabs>
          <w:tab w:val="left" w:pos="851"/>
        </w:tabs>
        <w:ind w:left="851"/>
        <w:rPr>
          <w:sz w:val="24"/>
          <w:szCs w:val="24"/>
        </w:rPr>
      </w:pPr>
    </w:p>
    <w:p w:rsidR="00B415A6" w:rsidRPr="008A44E1" w:rsidRDefault="00B415A6" w:rsidP="00B415A6">
      <w:pPr>
        <w:tabs>
          <w:tab w:val="left" w:pos="851"/>
        </w:tabs>
        <w:ind w:left="851" w:hanging="851"/>
        <w:rPr>
          <w:b/>
          <w:sz w:val="24"/>
          <w:szCs w:val="24"/>
        </w:rPr>
      </w:pPr>
      <w:r w:rsidRPr="008A44E1">
        <w:rPr>
          <w:b/>
          <w:sz w:val="24"/>
          <w:szCs w:val="24"/>
        </w:rPr>
        <w:t>4.4</w:t>
      </w:r>
      <w:r w:rsidRPr="008A44E1">
        <w:rPr>
          <w:b/>
          <w:sz w:val="24"/>
          <w:szCs w:val="24"/>
        </w:rPr>
        <w:tab/>
        <w:t>Særlige advarsler og forsigtighedsregler vedrørende brugen</w:t>
      </w:r>
    </w:p>
    <w:p w:rsidR="00B415A6" w:rsidRPr="008A44E1" w:rsidRDefault="00B415A6" w:rsidP="00B415A6">
      <w:pPr>
        <w:ind w:left="851"/>
        <w:rPr>
          <w:sz w:val="24"/>
          <w:szCs w:val="24"/>
        </w:rPr>
      </w:pPr>
      <w:proofErr w:type="spellStart"/>
      <w:r w:rsidRPr="008A44E1">
        <w:rPr>
          <w:sz w:val="24"/>
          <w:szCs w:val="24"/>
        </w:rPr>
        <w:t>Oridecin</w:t>
      </w:r>
      <w:proofErr w:type="spellEnd"/>
      <w:r w:rsidRPr="008A44E1">
        <w:rPr>
          <w:sz w:val="24"/>
          <w:szCs w:val="24"/>
        </w:rPr>
        <w:t xml:space="preserve"> er udelukkende til lokal anvendelse og ikke til injektion eller oral anvendelse. </w:t>
      </w:r>
    </w:p>
    <w:p w:rsidR="00B415A6" w:rsidRPr="008A44E1" w:rsidRDefault="00B415A6" w:rsidP="00B415A6">
      <w:pPr>
        <w:ind w:left="851"/>
        <w:rPr>
          <w:sz w:val="24"/>
          <w:szCs w:val="24"/>
        </w:rPr>
      </w:pPr>
    </w:p>
    <w:p w:rsidR="00B415A6" w:rsidRPr="008A44E1" w:rsidRDefault="00B415A6" w:rsidP="00B415A6">
      <w:pPr>
        <w:ind w:left="851"/>
        <w:rPr>
          <w:sz w:val="24"/>
          <w:szCs w:val="24"/>
        </w:rPr>
      </w:pPr>
      <w:r w:rsidRPr="008A44E1">
        <w:rPr>
          <w:sz w:val="24"/>
          <w:szCs w:val="24"/>
        </w:rPr>
        <w:t xml:space="preserve">Længerevarende anvendelse af </w:t>
      </w:r>
      <w:proofErr w:type="spellStart"/>
      <w:r w:rsidRPr="008A44E1">
        <w:rPr>
          <w:sz w:val="24"/>
          <w:szCs w:val="24"/>
        </w:rPr>
        <w:t>topikale</w:t>
      </w:r>
      <w:proofErr w:type="spellEnd"/>
      <w:r w:rsidRPr="008A44E1">
        <w:rPr>
          <w:sz w:val="24"/>
          <w:szCs w:val="24"/>
        </w:rPr>
        <w:t xml:space="preserve">, </w:t>
      </w:r>
      <w:proofErr w:type="spellStart"/>
      <w:r w:rsidRPr="008A44E1">
        <w:rPr>
          <w:sz w:val="24"/>
          <w:szCs w:val="24"/>
        </w:rPr>
        <w:t>oftalmiske</w:t>
      </w:r>
      <w:proofErr w:type="spellEnd"/>
      <w:r w:rsidRPr="008A44E1">
        <w:rPr>
          <w:sz w:val="24"/>
          <w:szCs w:val="24"/>
        </w:rPr>
        <w:t xml:space="preserve"> </w:t>
      </w:r>
      <w:proofErr w:type="spellStart"/>
      <w:r w:rsidRPr="008A44E1">
        <w:rPr>
          <w:sz w:val="24"/>
          <w:szCs w:val="24"/>
        </w:rPr>
        <w:t>kortikosteroider</w:t>
      </w:r>
      <w:proofErr w:type="spellEnd"/>
      <w:r w:rsidRPr="008A44E1">
        <w:rPr>
          <w:sz w:val="24"/>
          <w:szCs w:val="24"/>
        </w:rPr>
        <w:t xml:space="preserve"> (længere end den maximale varighed anvendt i kliniske undersøgelser (24 dage)) kan resultere i </w:t>
      </w:r>
      <w:proofErr w:type="spellStart"/>
      <w:r w:rsidRPr="008A44E1">
        <w:rPr>
          <w:sz w:val="24"/>
          <w:szCs w:val="24"/>
        </w:rPr>
        <w:t>okulær</w:t>
      </w:r>
      <w:proofErr w:type="spellEnd"/>
      <w:r w:rsidRPr="008A44E1">
        <w:rPr>
          <w:sz w:val="24"/>
          <w:szCs w:val="24"/>
        </w:rPr>
        <w:t xml:space="preserve"> hypertension/</w:t>
      </w:r>
      <w:proofErr w:type="spellStart"/>
      <w:r w:rsidRPr="008A44E1">
        <w:rPr>
          <w:sz w:val="24"/>
          <w:szCs w:val="24"/>
        </w:rPr>
        <w:t>glaukom</w:t>
      </w:r>
      <w:proofErr w:type="spellEnd"/>
      <w:r w:rsidRPr="008A44E1">
        <w:rPr>
          <w:sz w:val="24"/>
          <w:szCs w:val="24"/>
        </w:rPr>
        <w:t xml:space="preserve"> med skade på synsnerven og nedsat synsskarphed og defekter i synsfeltet og kan også resultere i </w:t>
      </w:r>
      <w:proofErr w:type="spellStart"/>
      <w:r w:rsidRPr="008A44E1">
        <w:rPr>
          <w:sz w:val="24"/>
          <w:szCs w:val="24"/>
        </w:rPr>
        <w:t>posterior</w:t>
      </w:r>
      <w:proofErr w:type="spellEnd"/>
      <w:r w:rsidRPr="008A44E1">
        <w:rPr>
          <w:sz w:val="24"/>
          <w:szCs w:val="24"/>
        </w:rPr>
        <w:t xml:space="preserve"> </w:t>
      </w:r>
      <w:proofErr w:type="spellStart"/>
      <w:r w:rsidRPr="008A44E1">
        <w:rPr>
          <w:sz w:val="24"/>
          <w:szCs w:val="24"/>
        </w:rPr>
        <w:t>subkapsulær</w:t>
      </w:r>
      <w:proofErr w:type="spellEnd"/>
      <w:r w:rsidRPr="008A44E1">
        <w:rPr>
          <w:sz w:val="24"/>
          <w:szCs w:val="24"/>
        </w:rPr>
        <w:t xml:space="preserve"> katarakt.</w:t>
      </w:r>
    </w:p>
    <w:p w:rsidR="00B415A6" w:rsidRPr="008A44E1" w:rsidRDefault="00B415A6" w:rsidP="00B415A6">
      <w:pPr>
        <w:ind w:left="851"/>
        <w:rPr>
          <w:sz w:val="24"/>
          <w:szCs w:val="24"/>
        </w:rPr>
      </w:pPr>
    </w:p>
    <w:p w:rsidR="00B415A6" w:rsidRPr="008A44E1" w:rsidRDefault="00B415A6" w:rsidP="00B415A6">
      <w:pPr>
        <w:ind w:left="851"/>
        <w:rPr>
          <w:sz w:val="24"/>
          <w:szCs w:val="24"/>
          <w:u w:val="single"/>
        </w:rPr>
      </w:pPr>
      <w:r w:rsidRPr="008A44E1">
        <w:rPr>
          <w:sz w:val="24"/>
          <w:szCs w:val="24"/>
          <w:u w:val="single"/>
        </w:rPr>
        <w:t>Synsforstyrrelser</w:t>
      </w:r>
    </w:p>
    <w:p w:rsidR="00B415A6" w:rsidRPr="008A44E1" w:rsidRDefault="00B415A6" w:rsidP="00B415A6">
      <w:pPr>
        <w:ind w:left="851"/>
        <w:rPr>
          <w:sz w:val="24"/>
          <w:szCs w:val="24"/>
        </w:rPr>
      </w:pPr>
      <w:r w:rsidRPr="008A44E1">
        <w:rPr>
          <w:sz w:val="24"/>
          <w:szCs w:val="24"/>
        </w:rPr>
        <w:t xml:space="preserve">Ved brug af systemisk og </w:t>
      </w:r>
      <w:proofErr w:type="spellStart"/>
      <w:r w:rsidRPr="008A44E1">
        <w:rPr>
          <w:sz w:val="24"/>
          <w:szCs w:val="24"/>
        </w:rPr>
        <w:t>topikalt</w:t>
      </w:r>
      <w:proofErr w:type="spellEnd"/>
      <w:r w:rsidRPr="008A44E1">
        <w:rPr>
          <w:sz w:val="24"/>
          <w:szCs w:val="24"/>
        </w:rPr>
        <w:t xml:space="preserve"> </w:t>
      </w:r>
      <w:proofErr w:type="spellStart"/>
      <w:r w:rsidRPr="008A44E1">
        <w:rPr>
          <w:sz w:val="24"/>
          <w:szCs w:val="24"/>
        </w:rPr>
        <w:t>kortikosteroid</w:t>
      </w:r>
      <w:proofErr w:type="spellEnd"/>
      <w:r w:rsidRPr="008A44E1">
        <w:rPr>
          <w:sz w:val="24"/>
          <w:szCs w:val="24"/>
        </w:rPr>
        <w:t xml:space="preserve"> kan der blive indberettet synsforstyrrelser. Ved symptomer som sløret syn eller andre synsforstyrrelser bør det overvejes at henvise </w:t>
      </w:r>
      <w:r w:rsidRPr="008A44E1">
        <w:rPr>
          <w:sz w:val="24"/>
          <w:szCs w:val="24"/>
        </w:rPr>
        <w:lastRenderedPageBreak/>
        <w:t xml:space="preserve">patienten til oftalmolog med henblik på vurdering af de mulige årsager; disse kan være grå stær, </w:t>
      </w:r>
      <w:proofErr w:type="spellStart"/>
      <w:r w:rsidRPr="008A44E1">
        <w:rPr>
          <w:sz w:val="24"/>
          <w:szCs w:val="24"/>
        </w:rPr>
        <w:t>glaukom</w:t>
      </w:r>
      <w:proofErr w:type="spellEnd"/>
      <w:r w:rsidRPr="008A44E1">
        <w:rPr>
          <w:sz w:val="24"/>
          <w:szCs w:val="24"/>
        </w:rPr>
        <w:t xml:space="preserve"> eller sjældne sygdomme såsom central serøs </w:t>
      </w:r>
      <w:proofErr w:type="spellStart"/>
      <w:r w:rsidRPr="008A44E1">
        <w:rPr>
          <w:sz w:val="24"/>
          <w:szCs w:val="24"/>
        </w:rPr>
        <w:t>korioretinopati</w:t>
      </w:r>
      <w:proofErr w:type="spellEnd"/>
      <w:r w:rsidRPr="008A44E1">
        <w:rPr>
          <w:sz w:val="24"/>
          <w:szCs w:val="24"/>
        </w:rPr>
        <w:t xml:space="preserve"> (CSCR), som er indberettet efter brug af systemiske og </w:t>
      </w:r>
      <w:proofErr w:type="spellStart"/>
      <w:r w:rsidRPr="008A44E1">
        <w:rPr>
          <w:sz w:val="24"/>
          <w:szCs w:val="24"/>
        </w:rPr>
        <w:t>topikale</w:t>
      </w:r>
      <w:proofErr w:type="spellEnd"/>
      <w:r w:rsidRPr="008A44E1">
        <w:rPr>
          <w:sz w:val="24"/>
          <w:szCs w:val="24"/>
        </w:rPr>
        <w:t xml:space="preserve"> </w:t>
      </w:r>
      <w:proofErr w:type="spellStart"/>
      <w:r w:rsidRPr="008A44E1">
        <w:rPr>
          <w:sz w:val="24"/>
          <w:szCs w:val="24"/>
        </w:rPr>
        <w:t>kortikosteroider</w:t>
      </w:r>
      <w:proofErr w:type="spellEnd"/>
      <w:r w:rsidRPr="008A44E1">
        <w:rPr>
          <w:sz w:val="24"/>
          <w:szCs w:val="24"/>
        </w:rPr>
        <w:t>.</w:t>
      </w:r>
    </w:p>
    <w:p w:rsidR="00B415A6" w:rsidRPr="008A44E1" w:rsidRDefault="00B415A6" w:rsidP="00B415A6">
      <w:pPr>
        <w:ind w:left="851"/>
        <w:rPr>
          <w:sz w:val="24"/>
          <w:szCs w:val="24"/>
        </w:rPr>
      </w:pPr>
    </w:p>
    <w:p w:rsidR="00B415A6" w:rsidRPr="008A44E1" w:rsidRDefault="00B415A6" w:rsidP="00B415A6">
      <w:pPr>
        <w:ind w:left="851"/>
        <w:rPr>
          <w:sz w:val="24"/>
          <w:szCs w:val="24"/>
        </w:rPr>
      </w:pPr>
      <w:r w:rsidRPr="008A44E1">
        <w:rPr>
          <w:sz w:val="24"/>
          <w:szCs w:val="24"/>
        </w:rPr>
        <w:t xml:space="preserve">Det anbefales, at det </w:t>
      </w:r>
      <w:proofErr w:type="spellStart"/>
      <w:r w:rsidRPr="008A44E1">
        <w:rPr>
          <w:sz w:val="24"/>
          <w:szCs w:val="24"/>
        </w:rPr>
        <w:t>intraokulære</w:t>
      </w:r>
      <w:proofErr w:type="spellEnd"/>
      <w:r w:rsidRPr="008A44E1">
        <w:rPr>
          <w:sz w:val="24"/>
          <w:szCs w:val="24"/>
        </w:rPr>
        <w:t xml:space="preserve"> tryk kontrolleres hyppigt. Det er især vigtigt for pædiatriske patienter, der får medicin, der indeholder </w:t>
      </w:r>
      <w:proofErr w:type="spellStart"/>
      <w:r w:rsidRPr="008A44E1">
        <w:rPr>
          <w:sz w:val="24"/>
          <w:szCs w:val="24"/>
        </w:rPr>
        <w:t>dexamethason</w:t>
      </w:r>
      <w:proofErr w:type="spellEnd"/>
      <w:r w:rsidRPr="008A44E1">
        <w:rPr>
          <w:sz w:val="24"/>
          <w:szCs w:val="24"/>
        </w:rPr>
        <w:t xml:space="preserve">, idet risikoen for steroid-induceret </w:t>
      </w:r>
      <w:proofErr w:type="spellStart"/>
      <w:r w:rsidRPr="008A44E1">
        <w:rPr>
          <w:sz w:val="24"/>
          <w:szCs w:val="24"/>
        </w:rPr>
        <w:t>okulær</w:t>
      </w:r>
      <w:proofErr w:type="spellEnd"/>
      <w:r w:rsidRPr="008A44E1">
        <w:rPr>
          <w:sz w:val="24"/>
          <w:szCs w:val="24"/>
        </w:rPr>
        <w:t xml:space="preserve"> hypertension kan være større hos børn under 6 år og kan indtræffe tidligere end en voksens respons på steroider. Behandlingens hyppighed og varighed skal nøje overvejes, og det </w:t>
      </w:r>
      <w:proofErr w:type="spellStart"/>
      <w:r w:rsidRPr="008A44E1">
        <w:rPr>
          <w:sz w:val="24"/>
          <w:szCs w:val="24"/>
        </w:rPr>
        <w:t>intraokulære</w:t>
      </w:r>
      <w:proofErr w:type="spellEnd"/>
      <w:r w:rsidRPr="008A44E1">
        <w:rPr>
          <w:sz w:val="24"/>
          <w:szCs w:val="24"/>
        </w:rPr>
        <w:t xml:space="preserve"> tryk bør overvåges fra behandlingens start, idet der tages højde for risikoen for, at det steroid-inducerede </w:t>
      </w:r>
      <w:proofErr w:type="spellStart"/>
      <w:r w:rsidRPr="008A44E1">
        <w:rPr>
          <w:sz w:val="24"/>
          <w:szCs w:val="24"/>
        </w:rPr>
        <w:t>intraokulære</w:t>
      </w:r>
      <w:proofErr w:type="spellEnd"/>
      <w:r w:rsidRPr="008A44E1">
        <w:rPr>
          <w:sz w:val="24"/>
          <w:szCs w:val="24"/>
        </w:rPr>
        <w:t xml:space="preserve"> tryk stiger tidligere og mere i pædiatriske patienter.  </w:t>
      </w:r>
    </w:p>
    <w:p w:rsidR="00B415A6" w:rsidRPr="008A44E1" w:rsidRDefault="00B415A6" w:rsidP="00B415A6">
      <w:pPr>
        <w:ind w:left="851"/>
        <w:rPr>
          <w:sz w:val="24"/>
          <w:szCs w:val="24"/>
        </w:rPr>
      </w:pPr>
    </w:p>
    <w:p w:rsidR="00B415A6" w:rsidRPr="008A44E1" w:rsidRDefault="00B415A6" w:rsidP="00B415A6">
      <w:pPr>
        <w:ind w:left="851"/>
        <w:rPr>
          <w:sz w:val="24"/>
          <w:szCs w:val="24"/>
        </w:rPr>
      </w:pPr>
      <w:proofErr w:type="spellStart"/>
      <w:r w:rsidRPr="008A44E1">
        <w:rPr>
          <w:sz w:val="24"/>
          <w:szCs w:val="24"/>
        </w:rPr>
        <w:t>Cushings</w:t>
      </w:r>
      <w:proofErr w:type="spellEnd"/>
      <w:r w:rsidRPr="008A44E1">
        <w:rPr>
          <w:sz w:val="24"/>
          <w:szCs w:val="24"/>
        </w:rPr>
        <w:t xml:space="preserve"> syndrom og/eller </w:t>
      </w:r>
      <w:proofErr w:type="spellStart"/>
      <w:r w:rsidRPr="008A44E1">
        <w:rPr>
          <w:sz w:val="24"/>
          <w:szCs w:val="24"/>
        </w:rPr>
        <w:t>adrenal</w:t>
      </w:r>
      <w:proofErr w:type="spellEnd"/>
      <w:r w:rsidRPr="008A44E1">
        <w:rPr>
          <w:sz w:val="24"/>
          <w:szCs w:val="24"/>
        </w:rPr>
        <w:t xml:space="preserve"> suppression forbundet med systemisk absorption af </w:t>
      </w:r>
      <w:proofErr w:type="spellStart"/>
      <w:r w:rsidRPr="008A44E1">
        <w:rPr>
          <w:sz w:val="24"/>
          <w:szCs w:val="24"/>
        </w:rPr>
        <w:t>oculær</w:t>
      </w:r>
      <w:proofErr w:type="spellEnd"/>
      <w:r w:rsidRPr="008A44E1">
        <w:rPr>
          <w:sz w:val="24"/>
          <w:szCs w:val="24"/>
        </w:rPr>
        <w:t xml:space="preserve"> </w:t>
      </w:r>
      <w:proofErr w:type="spellStart"/>
      <w:r w:rsidRPr="008A44E1">
        <w:rPr>
          <w:sz w:val="24"/>
          <w:szCs w:val="24"/>
        </w:rPr>
        <w:t>dexamethason</w:t>
      </w:r>
      <w:proofErr w:type="spellEnd"/>
      <w:r w:rsidRPr="008A44E1">
        <w:rPr>
          <w:sz w:val="24"/>
          <w:szCs w:val="24"/>
        </w:rPr>
        <w:t xml:space="preserve"> kan forekomme efter intensiv eller langvarig kontinuerlig behandling hos prædisponerede patienter, herunder børn og patienter, som behandles med CYP3A4-hæmmere (inklusive </w:t>
      </w:r>
      <w:proofErr w:type="spellStart"/>
      <w:r w:rsidRPr="008A44E1">
        <w:rPr>
          <w:sz w:val="24"/>
          <w:szCs w:val="24"/>
        </w:rPr>
        <w:t>ritonavir</w:t>
      </w:r>
      <w:proofErr w:type="spellEnd"/>
      <w:r w:rsidRPr="008A44E1">
        <w:rPr>
          <w:sz w:val="24"/>
          <w:szCs w:val="24"/>
        </w:rPr>
        <w:t xml:space="preserve"> og </w:t>
      </w:r>
      <w:proofErr w:type="spellStart"/>
      <w:r w:rsidRPr="008A44E1">
        <w:rPr>
          <w:sz w:val="24"/>
          <w:szCs w:val="24"/>
        </w:rPr>
        <w:t>cobicistat</w:t>
      </w:r>
      <w:proofErr w:type="spellEnd"/>
      <w:r w:rsidRPr="008A44E1">
        <w:rPr>
          <w:sz w:val="24"/>
          <w:szCs w:val="24"/>
        </w:rPr>
        <w:t>). I disse tilfælde bør behandlingen seponeres gradvist.</w:t>
      </w:r>
    </w:p>
    <w:p w:rsidR="00B415A6" w:rsidRPr="008A44E1" w:rsidRDefault="00B415A6" w:rsidP="00B415A6">
      <w:pPr>
        <w:ind w:left="851"/>
        <w:rPr>
          <w:sz w:val="24"/>
          <w:szCs w:val="24"/>
        </w:rPr>
      </w:pPr>
    </w:p>
    <w:p w:rsidR="00B415A6" w:rsidRPr="008A44E1" w:rsidRDefault="00B415A6" w:rsidP="00B415A6">
      <w:pPr>
        <w:ind w:left="851"/>
        <w:rPr>
          <w:sz w:val="24"/>
          <w:szCs w:val="24"/>
        </w:rPr>
      </w:pPr>
      <w:r w:rsidRPr="008A44E1">
        <w:rPr>
          <w:sz w:val="24"/>
          <w:szCs w:val="24"/>
        </w:rPr>
        <w:t xml:space="preserve">Risikoen for </w:t>
      </w:r>
      <w:proofErr w:type="spellStart"/>
      <w:r w:rsidRPr="008A44E1">
        <w:rPr>
          <w:sz w:val="24"/>
          <w:szCs w:val="24"/>
        </w:rPr>
        <w:t>kortikosteroid</w:t>
      </w:r>
      <w:proofErr w:type="spellEnd"/>
      <w:r w:rsidRPr="008A44E1">
        <w:rPr>
          <w:sz w:val="24"/>
          <w:szCs w:val="24"/>
        </w:rPr>
        <w:t xml:space="preserve">-induceret forhøjet </w:t>
      </w:r>
      <w:proofErr w:type="spellStart"/>
      <w:r w:rsidRPr="008A44E1">
        <w:rPr>
          <w:sz w:val="24"/>
          <w:szCs w:val="24"/>
        </w:rPr>
        <w:t>intraokulært</w:t>
      </w:r>
      <w:proofErr w:type="spellEnd"/>
      <w:r w:rsidRPr="008A44E1">
        <w:rPr>
          <w:sz w:val="24"/>
          <w:szCs w:val="24"/>
        </w:rPr>
        <w:t xml:space="preserve"> tryk og/eller kataraktdannelse er øget hos prædisponerede patienter (f.eks. diabetikere).</w:t>
      </w:r>
    </w:p>
    <w:p w:rsidR="00B415A6" w:rsidRPr="008A44E1" w:rsidRDefault="00B415A6" w:rsidP="00B415A6">
      <w:pPr>
        <w:ind w:left="851"/>
        <w:rPr>
          <w:sz w:val="24"/>
          <w:szCs w:val="24"/>
        </w:rPr>
      </w:pPr>
    </w:p>
    <w:p w:rsidR="00B415A6" w:rsidRPr="008A44E1" w:rsidRDefault="00B415A6" w:rsidP="00B415A6">
      <w:pPr>
        <w:ind w:left="851"/>
        <w:rPr>
          <w:sz w:val="24"/>
          <w:szCs w:val="24"/>
        </w:rPr>
      </w:pPr>
      <w:r w:rsidRPr="008A44E1">
        <w:rPr>
          <w:sz w:val="24"/>
          <w:szCs w:val="24"/>
        </w:rPr>
        <w:t xml:space="preserve">Langvarig anvendelse kan også medføre sekundære </w:t>
      </w:r>
      <w:proofErr w:type="spellStart"/>
      <w:r w:rsidRPr="008A44E1">
        <w:rPr>
          <w:sz w:val="24"/>
          <w:szCs w:val="24"/>
        </w:rPr>
        <w:t>okulære</w:t>
      </w:r>
      <w:proofErr w:type="spellEnd"/>
      <w:r w:rsidRPr="008A44E1">
        <w:rPr>
          <w:sz w:val="24"/>
          <w:szCs w:val="24"/>
        </w:rPr>
        <w:t xml:space="preserve"> infektioner på grund af hæmmet immunrespons. </w:t>
      </w:r>
      <w:proofErr w:type="spellStart"/>
      <w:r w:rsidRPr="008A44E1">
        <w:rPr>
          <w:sz w:val="24"/>
          <w:szCs w:val="24"/>
        </w:rPr>
        <w:t>Kortikosteroider</w:t>
      </w:r>
      <w:proofErr w:type="spellEnd"/>
      <w:r w:rsidRPr="008A44E1">
        <w:rPr>
          <w:sz w:val="24"/>
          <w:szCs w:val="24"/>
        </w:rPr>
        <w:t xml:space="preserve"> kan forværre og aktivere dannelse af bakterier, vira, svampe- eller parasitinfektioner og maskere kliniske tegn på infektion.</w:t>
      </w:r>
    </w:p>
    <w:p w:rsidR="00B415A6" w:rsidRPr="008A44E1" w:rsidRDefault="00B415A6" w:rsidP="00B415A6">
      <w:pPr>
        <w:ind w:left="851"/>
        <w:rPr>
          <w:sz w:val="24"/>
          <w:szCs w:val="24"/>
        </w:rPr>
      </w:pPr>
    </w:p>
    <w:p w:rsidR="00B415A6" w:rsidRPr="008A44E1" w:rsidRDefault="00B415A6" w:rsidP="00B415A6">
      <w:pPr>
        <w:ind w:left="851"/>
        <w:rPr>
          <w:sz w:val="24"/>
          <w:szCs w:val="24"/>
        </w:rPr>
      </w:pPr>
      <w:r w:rsidRPr="008A44E1">
        <w:rPr>
          <w:sz w:val="24"/>
          <w:szCs w:val="24"/>
        </w:rPr>
        <w:t xml:space="preserve">Overfølsomhed overfor lokalt administrerede aminoglykosider kan opstå hos nogle patienter. Sværhedsgraden af overfølsomhedsreaktioner kan variere fra lokale virkninger til generaliserede reaktioner som </w:t>
      </w:r>
      <w:proofErr w:type="spellStart"/>
      <w:r w:rsidRPr="008A44E1">
        <w:rPr>
          <w:sz w:val="24"/>
          <w:szCs w:val="24"/>
        </w:rPr>
        <w:t>erytem</w:t>
      </w:r>
      <w:proofErr w:type="spellEnd"/>
      <w:r w:rsidRPr="008A44E1">
        <w:rPr>
          <w:sz w:val="24"/>
          <w:szCs w:val="24"/>
        </w:rPr>
        <w:t xml:space="preserve">, kløe, </w:t>
      </w:r>
      <w:proofErr w:type="spellStart"/>
      <w:r w:rsidRPr="008A44E1">
        <w:rPr>
          <w:sz w:val="24"/>
          <w:szCs w:val="24"/>
        </w:rPr>
        <w:t>urticaria</w:t>
      </w:r>
      <w:proofErr w:type="spellEnd"/>
      <w:r w:rsidRPr="008A44E1">
        <w:rPr>
          <w:sz w:val="24"/>
          <w:szCs w:val="24"/>
        </w:rPr>
        <w:t xml:space="preserve">, hududslæt, anafylaksi, </w:t>
      </w:r>
      <w:proofErr w:type="spellStart"/>
      <w:r w:rsidRPr="008A44E1">
        <w:rPr>
          <w:sz w:val="24"/>
          <w:szCs w:val="24"/>
        </w:rPr>
        <w:t>anafylaktoide</w:t>
      </w:r>
      <w:proofErr w:type="spellEnd"/>
      <w:r w:rsidRPr="008A44E1">
        <w:rPr>
          <w:sz w:val="24"/>
          <w:szCs w:val="24"/>
        </w:rPr>
        <w:t xml:space="preserve"> reaktioner eller </w:t>
      </w:r>
      <w:proofErr w:type="spellStart"/>
      <w:r w:rsidRPr="008A44E1">
        <w:rPr>
          <w:sz w:val="24"/>
          <w:szCs w:val="24"/>
        </w:rPr>
        <w:t>bulløse</w:t>
      </w:r>
      <w:proofErr w:type="spellEnd"/>
      <w:r w:rsidRPr="008A44E1">
        <w:rPr>
          <w:sz w:val="24"/>
          <w:szCs w:val="24"/>
        </w:rPr>
        <w:t xml:space="preserve"> reaktioner. Hvis patienten udvikler overfølsomhed over for dette lægemiddel, skal behandlingen seponeres. </w:t>
      </w:r>
    </w:p>
    <w:p w:rsidR="00B415A6" w:rsidRPr="008A44E1" w:rsidRDefault="00B415A6" w:rsidP="00B415A6">
      <w:pPr>
        <w:ind w:left="851"/>
        <w:rPr>
          <w:sz w:val="24"/>
          <w:szCs w:val="24"/>
        </w:rPr>
      </w:pPr>
    </w:p>
    <w:p w:rsidR="00B415A6" w:rsidRPr="008A44E1" w:rsidRDefault="00B415A6" w:rsidP="00B415A6">
      <w:pPr>
        <w:ind w:left="851"/>
        <w:rPr>
          <w:sz w:val="24"/>
          <w:szCs w:val="24"/>
        </w:rPr>
      </w:pPr>
      <w:r w:rsidRPr="008A44E1">
        <w:rPr>
          <w:sz w:val="24"/>
          <w:szCs w:val="24"/>
        </w:rPr>
        <w:t xml:space="preserve">Krydsoverfølsomhed over for andre aminoglykosider kan opstå, og muligheden for, at patienterne, der bliver </w:t>
      </w:r>
      <w:proofErr w:type="spellStart"/>
      <w:r w:rsidRPr="008A44E1">
        <w:rPr>
          <w:sz w:val="24"/>
          <w:szCs w:val="24"/>
        </w:rPr>
        <w:t>sensitiverede</w:t>
      </w:r>
      <w:proofErr w:type="spellEnd"/>
      <w:r w:rsidRPr="008A44E1">
        <w:rPr>
          <w:sz w:val="24"/>
          <w:szCs w:val="24"/>
        </w:rPr>
        <w:t xml:space="preserve"> over for </w:t>
      </w:r>
      <w:proofErr w:type="spellStart"/>
      <w:r w:rsidRPr="008A44E1">
        <w:rPr>
          <w:sz w:val="24"/>
          <w:szCs w:val="24"/>
        </w:rPr>
        <w:t>topikalt</w:t>
      </w:r>
      <w:proofErr w:type="spellEnd"/>
      <w:r w:rsidRPr="008A44E1">
        <w:rPr>
          <w:sz w:val="24"/>
          <w:szCs w:val="24"/>
        </w:rPr>
        <w:t xml:space="preserve"> </w:t>
      </w:r>
      <w:proofErr w:type="spellStart"/>
      <w:r w:rsidRPr="008A44E1">
        <w:rPr>
          <w:sz w:val="24"/>
          <w:szCs w:val="24"/>
        </w:rPr>
        <w:t>tobramycin</w:t>
      </w:r>
      <w:proofErr w:type="spellEnd"/>
      <w:r w:rsidRPr="008A44E1">
        <w:rPr>
          <w:sz w:val="24"/>
          <w:szCs w:val="24"/>
        </w:rPr>
        <w:t xml:space="preserve">, også bliver overfølsomme over for andre </w:t>
      </w:r>
      <w:proofErr w:type="spellStart"/>
      <w:r w:rsidRPr="008A44E1">
        <w:rPr>
          <w:sz w:val="24"/>
          <w:szCs w:val="24"/>
        </w:rPr>
        <w:t>topikale</w:t>
      </w:r>
      <w:proofErr w:type="spellEnd"/>
      <w:r w:rsidRPr="008A44E1">
        <w:rPr>
          <w:sz w:val="24"/>
          <w:szCs w:val="24"/>
        </w:rPr>
        <w:t xml:space="preserve"> og/eller systemiske aminoglykosider, bør indgå i overvejelserne.</w:t>
      </w:r>
    </w:p>
    <w:p w:rsidR="00B415A6" w:rsidRPr="008A44E1" w:rsidRDefault="00B415A6" w:rsidP="00B415A6">
      <w:pPr>
        <w:ind w:left="851"/>
        <w:rPr>
          <w:sz w:val="24"/>
          <w:szCs w:val="24"/>
        </w:rPr>
      </w:pPr>
    </w:p>
    <w:p w:rsidR="00324C19" w:rsidRPr="008A44E1" w:rsidRDefault="00324C19" w:rsidP="00324C19">
      <w:pPr>
        <w:ind w:left="851"/>
        <w:rPr>
          <w:sz w:val="24"/>
          <w:szCs w:val="24"/>
        </w:rPr>
      </w:pPr>
      <w:r w:rsidRPr="008A44E1">
        <w:rPr>
          <w:sz w:val="24"/>
          <w:szCs w:val="24"/>
        </w:rPr>
        <w:t xml:space="preserve">Alvorlige bivirkninger, herunder </w:t>
      </w:r>
      <w:proofErr w:type="spellStart"/>
      <w:r w:rsidRPr="008A44E1">
        <w:rPr>
          <w:sz w:val="24"/>
          <w:szCs w:val="24"/>
        </w:rPr>
        <w:t>neurotoksicitet</w:t>
      </w:r>
      <w:proofErr w:type="spellEnd"/>
      <w:r w:rsidRPr="008A44E1">
        <w:rPr>
          <w:sz w:val="24"/>
          <w:szCs w:val="24"/>
        </w:rPr>
        <w:t xml:space="preserve">, </w:t>
      </w:r>
      <w:proofErr w:type="spellStart"/>
      <w:r w:rsidRPr="008A44E1">
        <w:rPr>
          <w:sz w:val="24"/>
          <w:szCs w:val="24"/>
        </w:rPr>
        <w:t>ototoksicitet</w:t>
      </w:r>
      <w:proofErr w:type="spellEnd"/>
      <w:r w:rsidRPr="008A44E1">
        <w:rPr>
          <w:sz w:val="24"/>
          <w:szCs w:val="24"/>
        </w:rPr>
        <w:t xml:space="preserve"> og </w:t>
      </w:r>
      <w:proofErr w:type="spellStart"/>
      <w:r w:rsidRPr="008A44E1">
        <w:rPr>
          <w:sz w:val="24"/>
          <w:szCs w:val="24"/>
        </w:rPr>
        <w:t>nefrotoksicitet</w:t>
      </w:r>
      <w:proofErr w:type="spellEnd"/>
      <w:r w:rsidRPr="008A44E1">
        <w:rPr>
          <w:sz w:val="24"/>
          <w:szCs w:val="24"/>
        </w:rPr>
        <w:t xml:space="preserve"> er observeret hos patienter, der modtog systemiske aminoglykosider. </w:t>
      </w:r>
      <w:r w:rsidRPr="00FF69E1">
        <w:t>Ved sam</w:t>
      </w:r>
      <w:r>
        <w:t xml:space="preserve">tidig anvendelse af </w:t>
      </w:r>
      <w:proofErr w:type="spellStart"/>
      <w:r>
        <w:t>Oridecin</w:t>
      </w:r>
      <w:proofErr w:type="spellEnd"/>
      <w:r>
        <w:t xml:space="preserve"> </w:t>
      </w:r>
      <w:r w:rsidRPr="007E5454">
        <w:t xml:space="preserve">og systemiske aminoglykosider skal der </w:t>
      </w:r>
      <w:r w:rsidRPr="008A44E1">
        <w:rPr>
          <w:sz w:val="24"/>
          <w:szCs w:val="24"/>
        </w:rPr>
        <w:t>udvises forsigtighed.</w:t>
      </w:r>
    </w:p>
    <w:p w:rsidR="00324C19" w:rsidRPr="008A44E1" w:rsidRDefault="00324C19" w:rsidP="00324C19">
      <w:pPr>
        <w:ind w:left="851"/>
        <w:rPr>
          <w:sz w:val="24"/>
          <w:szCs w:val="24"/>
        </w:rPr>
      </w:pPr>
    </w:p>
    <w:p w:rsidR="00324C19" w:rsidRDefault="00324C19" w:rsidP="00324C19">
      <w:pPr>
        <w:ind w:left="851"/>
        <w:rPr>
          <w:sz w:val="24"/>
          <w:szCs w:val="24"/>
        </w:rPr>
      </w:pPr>
      <w:proofErr w:type="spellStart"/>
      <w:r>
        <w:rPr>
          <w:sz w:val="24"/>
          <w:szCs w:val="24"/>
        </w:rPr>
        <w:t>Oridecin</w:t>
      </w:r>
      <w:proofErr w:type="spellEnd"/>
      <w:r w:rsidRPr="005A3B79">
        <w:rPr>
          <w:sz w:val="24"/>
          <w:szCs w:val="24"/>
        </w:rPr>
        <w:t xml:space="preserve"> skal anvendes med forsigtighed hos patienter med kendt eller formodet </w:t>
      </w:r>
      <w:proofErr w:type="spellStart"/>
      <w:r w:rsidRPr="005A3B79">
        <w:rPr>
          <w:sz w:val="24"/>
          <w:szCs w:val="24"/>
        </w:rPr>
        <w:t>neuromuskulære</w:t>
      </w:r>
      <w:proofErr w:type="spellEnd"/>
      <w:r w:rsidRPr="005A3B79">
        <w:rPr>
          <w:sz w:val="24"/>
          <w:szCs w:val="24"/>
        </w:rPr>
        <w:t xml:space="preserve"> sygdomme som </w:t>
      </w:r>
      <w:proofErr w:type="spellStart"/>
      <w:r w:rsidRPr="005A3B79">
        <w:rPr>
          <w:sz w:val="24"/>
          <w:szCs w:val="24"/>
        </w:rPr>
        <w:t>myasthenia</w:t>
      </w:r>
      <w:proofErr w:type="spellEnd"/>
      <w:r w:rsidRPr="005A3B79">
        <w:rPr>
          <w:sz w:val="24"/>
          <w:szCs w:val="24"/>
        </w:rPr>
        <w:t xml:space="preserve"> </w:t>
      </w:r>
      <w:proofErr w:type="spellStart"/>
      <w:r w:rsidRPr="005A3B79">
        <w:rPr>
          <w:sz w:val="24"/>
          <w:szCs w:val="24"/>
        </w:rPr>
        <w:t>gravis</w:t>
      </w:r>
      <w:proofErr w:type="spellEnd"/>
      <w:r w:rsidRPr="005A3B79">
        <w:rPr>
          <w:sz w:val="24"/>
          <w:szCs w:val="24"/>
        </w:rPr>
        <w:t xml:space="preserve"> eller Parkinsons sygdom. Aminoglykosider kan forværre muskelsvaghed på grund af deres mulige virkning på den </w:t>
      </w:r>
      <w:proofErr w:type="spellStart"/>
      <w:r w:rsidRPr="005A3B79">
        <w:rPr>
          <w:sz w:val="24"/>
          <w:szCs w:val="24"/>
        </w:rPr>
        <w:t>neuromuskulære</w:t>
      </w:r>
      <w:proofErr w:type="spellEnd"/>
      <w:r w:rsidRPr="005A3B79">
        <w:rPr>
          <w:sz w:val="24"/>
          <w:szCs w:val="24"/>
        </w:rPr>
        <w:t xml:space="preserve"> funktion.</w:t>
      </w:r>
    </w:p>
    <w:p w:rsidR="00B415A6" w:rsidRPr="008A44E1" w:rsidRDefault="00B415A6" w:rsidP="00B415A6">
      <w:pPr>
        <w:ind w:left="851"/>
        <w:rPr>
          <w:sz w:val="24"/>
          <w:szCs w:val="24"/>
        </w:rPr>
      </w:pPr>
    </w:p>
    <w:p w:rsidR="00B415A6" w:rsidRPr="008A44E1" w:rsidRDefault="00B415A6" w:rsidP="00B415A6">
      <w:pPr>
        <w:ind w:left="851"/>
        <w:rPr>
          <w:sz w:val="24"/>
          <w:szCs w:val="24"/>
        </w:rPr>
      </w:pPr>
      <w:r w:rsidRPr="008A44E1">
        <w:rPr>
          <w:sz w:val="24"/>
          <w:szCs w:val="24"/>
        </w:rPr>
        <w:t xml:space="preserve">Patienter med vedvarende </w:t>
      </w:r>
      <w:proofErr w:type="spellStart"/>
      <w:r w:rsidRPr="008A44E1">
        <w:rPr>
          <w:sz w:val="24"/>
          <w:szCs w:val="24"/>
        </w:rPr>
        <w:t>hornhindeulcerering</w:t>
      </w:r>
      <w:proofErr w:type="spellEnd"/>
      <w:r w:rsidRPr="008A44E1">
        <w:rPr>
          <w:sz w:val="24"/>
          <w:szCs w:val="24"/>
        </w:rPr>
        <w:t xml:space="preserve"> bør undersøges for svampeinfektion. Hvis der optræder svampeinfektion, skal behandlingen med </w:t>
      </w:r>
      <w:proofErr w:type="spellStart"/>
      <w:r w:rsidRPr="008A44E1">
        <w:rPr>
          <w:sz w:val="24"/>
          <w:szCs w:val="24"/>
        </w:rPr>
        <w:t>kortikosteroider</w:t>
      </w:r>
      <w:proofErr w:type="spellEnd"/>
      <w:r w:rsidRPr="008A44E1">
        <w:rPr>
          <w:sz w:val="24"/>
          <w:szCs w:val="24"/>
        </w:rPr>
        <w:t xml:space="preserve"> seponeres.</w:t>
      </w:r>
    </w:p>
    <w:p w:rsidR="00B415A6" w:rsidRPr="008A44E1" w:rsidRDefault="00B415A6" w:rsidP="00B415A6">
      <w:pPr>
        <w:ind w:left="851"/>
        <w:rPr>
          <w:sz w:val="24"/>
          <w:szCs w:val="24"/>
        </w:rPr>
      </w:pPr>
    </w:p>
    <w:p w:rsidR="00B415A6" w:rsidRPr="008A44E1" w:rsidRDefault="00B415A6" w:rsidP="00B415A6">
      <w:pPr>
        <w:ind w:left="851"/>
        <w:rPr>
          <w:sz w:val="24"/>
          <w:szCs w:val="24"/>
        </w:rPr>
      </w:pPr>
      <w:r w:rsidRPr="008A44E1">
        <w:rPr>
          <w:sz w:val="24"/>
          <w:szCs w:val="24"/>
        </w:rPr>
        <w:t xml:space="preserve">Længerevarende brug af antibiotika, såsom </w:t>
      </w:r>
      <w:proofErr w:type="spellStart"/>
      <w:r w:rsidRPr="008A44E1">
        <w:rPr>
          <w:sz w:val="24"/>
          <w:szCs w:val="24"/>
        </w:rPr>
        <w:t>tobramycin</w:t>
      </w:r>
      <w:proofErr w:type="spellEnd"/>
      <w:r w:rsidRPr="008A44E1">
        <w:rPr>
          <w:sz w:val="24"/>
          <w:szCs w:val="24"/>
        </w:rPr>
        <w:t xml:space="preserve"> kan medføre en overvækst af ikke-modtagelige organismer, herunder svampe</w:t>
      </w:r>
      <w:r w:rsidRPr="008A44E1">
        <w:rPr>
          <w:color w:val="00B050"/>
          <w:sz w:val="24"/>
          <w:szCs w:val="24"/>
        </w:rPr>
        <w:t xml:space="preserve">. </w:t>
      </w:r>
      <w:r w:rsidRPr="008A44E1">
        <w:rPr>
          <w:sz w:val="24"/>
          <w:szCs w:val="24"/>
        </w:rPr>
        <w:t xml:space="preserve">Såfremt der opstår en superinfektion, skal der sættes ind med passende behandling. </w:t>
      </w:r>
    </w:p>
    <w:p w:rsidR="00B415A6" w:rsidRPr="008A44E1" w:rsidRDefault="00B415A6" w:rsidP="00B415A6">
      <w:pPr>
        <w:ind w:left="851"/>
        <w:rPr>
          <w:sz w:val="24"/>
          <w:szCs w:val="24"/>
        </w:rPr>
      </w:pPr>
    </w:p>
    <w:p w:rsidR="00B415A6" w:rsidRPr="008A44E1" w:rsidRDefault="00B415A6" w:rsidP="00B415A6">
      <w:pPr>
        <w:ind w:left="851"/>
        <w:rPr>
          <w:sz w:val="24"/>
          <w:szCs w:val="24"/>
        </w:rPr>
      </w:pPr>
      <w:proofErr w:type="spellStart"/>
      <w:r w:rsidRPr="008A44E1">
        <w:rPr>
          <w:sz w:val="24"/>
          <w:szCs w:val="24"/>
        </w:rPr>
        <w:t>Topikale</w:t>
      </w:r>
      <w:proofErr w:type="spellEnd"/>
      <w:r w:rsidRPr="008A44E1">
        <w:rPr>
          <w:sz w:val="24"/>
          <w:szCs w:val="24"/>
        </w:rPr>
        <w:t xml:space="preserve"> </w:t>
      </w:r>
      <w:proofErr w:type="spellStart"/>
      <w:r w:rsidRPr="008A44E1">
        <w:rPr>
          <w:sz w:val="24"/>
          <w:szCs w:val="24"/>
        </w:rPr>
        <w:t>oftalmiske</w:t>
      </w:r>
      <w:proofErr w:type="spellEnd"/>
      <w:r w:rsidRPr="008A44E1">
        <w:rPr>
          <w:sz w:val="24"/>
          <w:szCs w:val="24"/>
        </w:rPr>
        <w:t xml:space="preserve"> </w:t>
      </w:r>
      <w:proofErr w:type="spellStart"/>
      <w:r w:rsidRPr="008A44E1">
        <w:rPr>
          <w:sz w:val="24"/>
          <w:szCs w:val="24"/>
        </w:rPr>
        <w:t>kortikosteroider</w:t>
      </w:r>
      <w:proofErr w:type="spellEnd"/>
      <w:r w:rsidRPr="008A44E1">
        <w:rPr>
          <w:sz w:val="24"/>
          <w:szCs w:val="24"/>
        </w:rPr>
        <w:t xml:space="preserve"> kan forsinke </w:t>
      </w:r>
      <w:proofErr w:type="spellStart"/>
      <w:r w:rsidRPr="008A44E1">
        <w:rPr>
          <w:sz w:val="24"/>
          <w:szCs w:val="24"/>
        </w:rPr>
        <w:t>sårophelingen</w:t>
      </w:r>
      <w:proofErr w:type="spellEnd"/>
      <w:r w:rsidRPr="008A44E1">
        <w:rPr>
          <w:sz w:val="24"/>
          <w:szCs w:val="24"/>
        </w:rPr>
        <w:t xml:space="preserve"> i hornhinden. </w:t>
      </w:r>
      <w:proofErr w:type="spellStart"/>
      <w:r w:rsidRPr="008A44E1">
        <w:rPr>
          <w:sz w:val="24"/>
          <w:szCs w:val="24"/>
        </w:rPr>
        <w:t>Topikale</w:t>
      </w:r>
      <w:proofErr w:type="spellEnd"/>
      <w:r w:rsidRPr="008A44E1">
        <w:rPr>
          <w:sz w:val="24"/>
          <w:szCs w:val="24"/>
        </w:rPr>
        <w:t xml:space="preserve"> </w:t>
      </w:r>
      <w:proofErr w:type="spellStart"/>
      <w:r w:rsidRPr="008A44E1">
        <w:rPr>
          <w:sz w:val="24"/>
          <w:szCs w:val="24"/>
        </w:rPr>
        <w:t>NSAID’er</w:t>
      </w:r>
      <w:proofErr w:type="spellEnd"/>
      <w:r w:rsidRPr="008A44E1">
        <w:rPr>
          <w:sz w:val="24"/>
          <w:szCs w:val="24"/>
        </w:rPr>
        <w:t xml:space="preserve"> kan også medføre langsom eller forsinket </w:t>
      </w:r>
      <w:proofErr w:type="spellStart"/>
      <w:r w:rsidRPr="008A44E1">
        <w:rPr>
          <w:sz w:val="24"/>
          <w:szCs w:val="24"/>
        </w:rPr>
        <w:t>opheling</w:t>
      </w:r>
      <w:proofErr w:type="spellEnd"/>
      <w:r w:rsidRPr="008A44E1">
        <w:rPr>
          <w:sz w:val="24"/>
          <w:szCs w:val="24"/>
        </w:rPr>
        <w:t xml:space="preserve">. Samtidig brug af </w:t>
      </w:r>
      <w:proofErr w:type="spellStart"/>
      <w:r w:rsidRPr="008A44E1">
        <w:rPr>
          <w:sz w:val="24"/>
          <w:szCs w:val="24"/>
        </w:rPr>
        <w:t>topikale</w:t>
      </w:r>
      <w:proofErr w:type="spellEnd"/>
      <w:r w:rsidRPr="008A44E1">
        <w:rPr>
          <w:sz w:val="24"/>
          <w:szCs w:val="24"/>
        </w:rPr>
        <w:t xml:space="preserve"> </w:t>
      </w:r>
      <w:proofErr w:type="spellStart"/>
      <w:r w:rsidRPr="008A44E1">
        <w:rPr>
          <w:sz w:val="24"/>
          <w:szCs w:val="24"/>
        </w:rPr>
        <w:t>NSAID’er</w:t>
      </w:r>
      <w:proofErr w:type="spellEnd"/>
      <w:r w:rsidRPr="008A44E1">
        <w:rPr>
          <w:sz w:val="24"/>
          <w:szCs w:val="24"/>
        </w:rPr>
        <w:t xml:space="preserve"> og </w:t>
      </w:r>
      <w:proofErr w:type="spellStart"/>
      <w:r w:rsidRPr="008A44E1">
        <w:rPr>
          <w:sz w:val="24"/>
          <w:szCs w:val="24"/>
        </w:rPr>
        <w:t>topikale</w:t>
      </w:r>
      <w:proofErr w:type="spellEnd"/>
      <w:r w:rsidRPr="008A44E1">
        <w:rPr>
          <w:sz w:val="24"/>
          <w:szCs w:val="24"/>
        </w:rPr>
        <w:t xml:space="preserve"> steroider kan øge risikoen for </w:t>
      </w:r>
      <w:proofErr w:type="spellStart"/>
      <w:r w:rsidRPr="008A44E1">
        <w:rPr>
          <w:sz w:val="24"/>
          <w:szCs w:val="24"/>
        </w:rPr>
        <w:t>ophelingsproblemer</w:t>
      </w:r>
      <w:proofErr w:type="spellEnd"/>
      <w:r w:rsidRPr="008A44E1">
        <w:rPr>
          <w:sz w:val="24"/>
          <w:szCs w:val="24"/>
        </w:rPr>
        <w:t xml:space="preserve"> (se pkt. 4.5)</w:t>
      </w:r>
    </w:p>
    <w:p w:rsidR="00B415A6" w:rsidRPr="008A44E1" w:rsidRDefault="00B415A6" w:rsidP="00B415A6">
      <w:pPr>
        <w:ind w:left="851"/>
        <w:rPr>
          <w:sz w:val="24"/>
          <w:szCs w:val="24"/>
        </w:rPr>
      </w:pPr>
    </w:p>
    <w:p w:rsidR="00B415A6" w:rsidRPr="008A44E1" w:rsidRDefault="00B415A6" w:rsidP="00B415A6">
      <w:pPr>
        <w:ind w:left="851"/>
        <w:rPr>
          <w:sz w:val="24"/>
          <w:szCs w:val="24"/>
        </w:rPr>
      </w:pPr>
      <w:r w:rsidRPr="008A44E1">
        <w:rPr>
          <w:sz w:val="24"/>
          <w:szCs w:val="24"/>
        </w:rPr>
        <w:t xml:space="preserve">Ved sygdomme, der medfører udtynding af hornhinden eller </w:t>
      </w:r>
      <w:proofErr w:type="spellStart"/>
      <w:r w:rsidRPr="008A44E1">
        <w:rPr>
          <w:sz w:val="24"/>
          <w:szCs w:val="24"/>
        </w:rPr>
        <w:t>sclera</w:t>
      </w:r>
      <w:proofErr w:type="spellEnd"/>
      <w:r w:rsidRPr="008A44E1">
        <w:rPr>
          <w:sz w:val="24"/>
          <w:szCs w:val="24"/>
        </w:rPr>
        <w:t xml:space="preserve">, er der set perforeringer ved brug af </w:t>
      </w:r>
      <w:proofErr w:type="spellStart"/>
      <w:r w:rsidRPr="008A44E1">
        <w:rPr>
          <w:sz w:val="24"/>
          <w:szCs w:val="24"/>
        </w:rPr>
        <w:t>topikale</w:t>
      </w:r>
      <w:proofErr w:type="spellEnd"/>
      <w:r w:rsidRPr="008A44E1">
        <w:rPr>
          <w:sz w:val="24"/>
          <w:szCs w:val="24"/>
        </w:rPr>
        <w:t xml:space="preserve"> </w:t>
      </w:r>
      <w:proofErr w:type="spellStart"/>
      <w:r w:rsidRPr="008A44E1">
        <w:rPr>
          <w:sz w:val="24"/>
          <w:szCs w:val="24"/>
        </w:rPr>
        <w:t>kortikosteroider</w:t>
      </w:r>
      <w:proofErr w:type="spellEnd"/>
      <w:r w:rsidRPr="008A44E1">
        <w:rPr>
          <w:sz w:val="24"/>
          <w:szCs w:val="24"/>
        </w:rPr>
        <w:t>.</w:t>
      </w:r>
    </w:p>
    <w:p w:rsidR="00B415A6" w:rsidRPr="00B80C62" w:rsidRDefault="00B415A6" w:rsidP="00B415A6">
      <w:pPr>
        <w:ind w:left="851"/>
        <w:rPr>
          <w:i/>
          <w:sz w:val="24"/>
          <w:szCs w:val="24"/>
        </w:rPr>
      </w:pPr>
    </w:p>
    <w:p w:rsidR="00324C19" w:rsidRDefault="00324C19" w:rsidP="00324C19">
      <w:pPr>
        <w:ind w:left="851"/>
        <w:rPr>
          <w:bCs/>
          <w:sz w:val="24"/>
          <w:szCs w:val="24"/>
        </w:rPr>
      </w:pPr>
      <w:r>
        <w:rPr>
          <w:szCs w:val="24"/>
          <w:u w:val="single"/>
        </w:rPr>
        <w:t>Hjælpestoffer</w:t>
      </w:r>
      <w:r w:rsidRPr="008A44E1">
        <w:rPr>
          <w:bCs/>
          <w:sz w:val="24"/>
          <w:szCs w:val="24"/>
        </w:rPr>
        <w:t xml:space="preserve"> </w:t>
      </w:r>
    </w:p>
    <w:p w:rsidR="00B415A6" w:rsidRPr="008A44E1" w:rsidRDefault="00B415A6" w:rsidP="00B415A6">
      <w:pPr>
        <w:ind w:left="851"/>
        <w:rPr>
          <w:bCs/>
          <w:sz w:val="24"/>
          <w:szCs w:val="24"/>
        </w:rPr>
      </w:pPr>
      <w:r w:rsidRPr="008A44E1">
        <w:rPr>
          <w:bCs/>
          <w:sz w:val="24"/>
          <w:szCs w:val="24"/>
        </w:rPr>
        <w:t xml:space="preserve">Dette lægemiddel indeholder 0,10 mg </w:t>
      </w:r>
      <w:proofErr w:type="spellStart"/>
      <w:r w:rsidRPr="008A44E1">
        <w:rPr>
          <w:bCs/>
          <w:sz w:val="24"/>
          <w:szCs w:val="24"/>
        </w:rPr>
        <w:t>benzalkoniumchlorid</w:t>
      </w:r>
      <w:proofErr w:type="spellEnd"/>
      <w:r w:rsidRPr="008A44E1">
        <w:rPr>
          <w:bCs/>
          <w:sz w:val="24"/>
          <w:szCs w:val="24"/>
        </w:rPr>
        <w:t xml:space="preserve"> pr. ml.</w:t>
      </w:r>
    </w:p>
    <w:p w:rsidR="00B415A6" w:rsidRPr="008A44E1" w:rsidRDefault="00B415A6" w:rsidP="00B415A6">
      <w:pPr>
        <w:ind w:left="851"/>
        <w:rPr>
          <w:bCs/>
          <w:i/>
          <w:color w:val="00B050"/>
          <w:sz w:val="24"/>
          <w:szCs w:val="24"/>
        </w:rPr>
      </w:pPr>
      <w:proofErr w:type="spellStart"/>
      <w:r w:rsidRPr="008A44E1">
        <w:rPr>
          <w:bCs/>
          <w:sz w:val="24"/>
          <w:szCs w:val="24"/>
        </w:rPr>
        <w:t>Benzalkoniumchlorid</w:t>
      </w:r>
      <w:proofErr w:type="spellEnd"/>
      <w:r w:rsidRPr="008A44E1">
        <w:rPr>
          <w:bCs/>
          <w:sz w:val="24"/>
          <w:szCs w:val="24"/>
        </w:rPr>
        <w:t xml:space="preserve"> kan absorberes af bløde kontaktlinser og kan ændre farven af kontaktlinserne. Patienten skal tage kontaktlinserne ud, inden lægemidlet bruges, og vente mindst 15 minutter, før de sættes i igen. </w:t>
      </w:r>
      <w:proofErr w:type="spellStart"/>
      <w:r w:rsidRPr="008A44E1">
        <w:rPr>
          <w:bCs/>
          <w:sz w:val="24"/>
          <w:szCs w:val="24"/>
        </w:rPr>
        <w:t>Benzalkoniumchlorid</w:t>
      </w:r>
      <w:proofErr w:type="spellEnd"/>
      <w:r w:rsidRPr="008A44E1">
        <w:rPr>
          <w:bCs/>
          <w:sz w:val="24"/>
          <w:szCs w:val="24"/>
        </w:rPr>
        <w:t xml:space="preserve"> kan give øjenirritation, symptomer på tørre øjne, og det kan påvirke tårefilmen og hornhindeoverfladen. Skal anvendes med forsigtighed til patienter med tørre øjne og hos patienter, hvor hornhinden kan være kompromitteret. Patienter bør monitoreres under langvarig anvendelse.</w:t>
      </w:r>
    </w:p>
    <w:p w:rsidR="00B415A6" w:rsidRPr="008A44E1" w:rsidRDefault="00B415A6" w:rsidP="00B415A6">
      <w:pPr>
        <w:tabs>
          <w:tab w:val="left" w:pos="851"/>
        </w:tabs>
        <w:ind w:left="851"/>
        <w:rPr>
          <w:sz w:val="24"/>
          <w:szCs w:val="24"/>
        </w:rPr>
      </w:pPr>
    </w:p>
    <w:p w:rsidR="00B415A6" w:rsidRPr="008A44E1" w:rsidRDefault="00B415A6" w:rsidP="00B415A6">
      <w:pPr>
        <w:tabs>
          <w:tab w:val="left" w:pos="851"/>
        </w:tabs>
        <w:ind w:left="851" w:hanging="851"/>
        <w:rPr>
          <w:b/>
          <w:sz w:val="24"/>
          <w:szCs w:val="24"/>
        </w:rPr>
      </w:pPr>
      <w:r w:rsidRPr="008A44E1">
        <w:rPr>
          <w:b/>
          <w:sz w:val="24"/>
          <w:szCs w:val="24"/>
        </w:rPr>
        <w:t>4.5</w:t>
      </w:r>
      <w:r w:rsidRPr="008A44E1">
        <w:rPr>
          <w:b/>
          <w:sz w:val="24"/>
          <w:szCs w:val="24"/>
        </w:rPr>
        <w:tab/>
        <w:t>Interaktion med andre lægemidler og andre former for interaktion</w:t>
      </w:r>
    </w:p>
    <w:p w:rsidR="00B415A6" w:rsidRPr="008A44E1" w:rsidRDefault="00B415A6" w:rsidP="00B415A6">
      <w:pPr>
        <w:ind w:left="851"/>
        <w:jc w:val="both"/>
        <w:rPr>
          <w:sz w:val="24"/>
          <w:szCs w:val="24"/>
        </w:rPr>
      </w:pPr>
      <w:r w:rsidRPr="008A44E1">
        <w:rPr>
          <w:sz w:val="24"/>
          <w:szCs w:val="24"/>
        </w:rPr>
        <w:t xml:space="preserve">Ingen klinisk relevante interaktioner er blevet dokumenteret for </w:t>
      </w:r>
      <w:proofErr w:type="spellStart"/>
      <w:r w:rsidRPr="008A44E1">
        <w:rPr>
          <w:sz w:val="24"/>
          <w:szCs w:val="24"/>
        </w:rPr>
        <w:t>topikale</w:t>
      </w:r>
      <w:proofErr w:type="spellEnd"/>
      <w:r w:rsidRPr="008A44E1">
        <w:rPr>
          <w:sz w:val="24"/>
          <w:szCs w:val="24"/>
        </w:rPr>
        <w:t xml:space="preserve"> </w:t>
      </w:r>
      <w:proofErr w:type="spellStart"/>
      <w:r w:rsidRPr="008A44E1">
        <w:rPr>
          <w:sz w:val="24"/>
          <w:szCs w:val="24"/>
        </w:rPr>
        <w:t>okulære</w:t>
      </w:r>
      <w:proofErr w:type="spellEnd"/>
      <w:r w:rsidRPr="008A44E1">
        <w:rPr>
          <w:sz w:val="24"/>
          <w:szCs w:val="24"/>
        </w:rPr>
        <w:t xml:space="preserve"> doser.</w:t>
      </w:r>
    </w:p>
    <w:p w:rsidR="00B415A6" w:rsidRPr="008A44E1" w:rsidRDefault="00B415A6" w:rsidP="00B415A6">
      <w:pPr>
        <w:suppressAutoHyphens/>
        <w:ind w:left="851"/>
        <w:jc w:val="both"/>
        <w:rPr>
          <w:b/>
          <w:sz w:val="24"/>
          <w:szCs w:val="24"/>
        </w:rPr>
      </w:pPr>
      <w:r w:rsidRPr="008A44E1">
        <w:rPr>
          <w:sz w:val="24"/>
          <w:szCs w:val="24"/>
        </w:rPr>
        <w:t xml:space="preserve">Samtidig brug af </w:t>
      </w:r>
      <w:proofErr w:type="spellStart"/>
      <w:r w:rsidRPr="008A44E1">
        <w:rPr>
          <w:sz w:val="24"/>
          <w:szCs w:val="24"/>
        </w:rPr>
        <w:t>topikale</w:t>
      </w:r>
      <w:proofErr w:type="spellEnd"/>
      <w:r w:rsidRPr="008A44E1">
        <w:rPr>
          <w:sz w:val="24"/>
          <w:szCs w:val="24"/>
        </w:rPr>
        <w:t xml:space="preserve"> steroider og </w:t>
      </w:r>
      <w:proofErr w:type="spellStart"/>
      <w:r w:rsidRPr="008A44E1">
        <w:rPr>
          <w:sz w:val="24"/>
          <w:szCs w:val="24"/>
        </w:rPr>
        <w:t>topikale</w:t>
      </w:r>
      <w:proofErr w:type="spellEnd"/>
      <w:r w:rsidRPr="008A44E1">
        <w:rPr>
          <w:sz w:val="24"/>
          <w:szCs w:val="24"/>
        </w:rPr>
        <w:t xml:space="preserve"> </w:t>
      </w:r>
      <w:proofErr w:type="spellStart"/>
      <w:r w:rsidRPr="008A44E1">
        <w:rPr>
          <w:sz w:val="24"/>
          <w:szCs w:val="24"/>
        </w:rPr>
        <w:t>NSAID’er</w:t>
      </w:r>
      <w:proofErr w:type="spellEnd"/>
      <w:r w:rsidRPr="008A44E1">
        <w:rPr>
          <w:sz w:val="24"/>
          <w:szCs w:val="24"/>
        </w:rPr>
        <w:t xml:space="preserve"> kan øge risikoen for problemer med </w:t>
      </w:r>
      <w:proofErr w:type="spellStart"/>
      <w:r w:rsidRPr="008A44E1">
        <w:rPr>
          <w:sz w:val="24"/>
          <w:szCs w:val="24"/>
        </w:rPr>
        <w:t>opheling</w:t>
      </w:r>
      <w:proofErr w:type="spellEnd"/>
      <w:r w:rsidRPr="008A44E1">
        <w:rPr>
          <w:sz w:val="24"/>
          <w:szCs w:val="24"/>
        </w:rPr>
        <w:t xml:space="preserve"> af </w:t>
      </w:r>
      <w:proofErr w:type="spellStart"/>
      <w:r w:rsidRPr="008A44E1">
        <w:rPr>
          <w:sz w:val="24"/>
          <w:szCs w:val="24"/>
        </w:rPr>
        <w:t>cornea</w:t>
      </w:r>
      <w:proofErr w:type="spellEnd"/>
      <w:r w:rsidRPr="008A44E1">
        <w:rPr>
          <w:sz w:val="24"/>
          <w:szCs w:val="24"/>
        </w:rPr>
        <w:t>.</w:t>
      </w:r>
      <w:r w:rsidRPr="008A44E1">
        <w:rPr>
          <w:b/>
          <w:sz w:val="24"/>
          <w:szCs w:val="24"/>
        </w:rPr>
        <w:t xml:space="preserve"> </w:t>
      </w:r>
    </w:p>
    <w:p w:rsidR="00B415A6" w:rsidRPr="008A44E1" w:rsidRDefault="00B415A6" w:rsidP="00B415A6">
      <w:pPr>
        <w:suppressAutoHyphens/>
        <w:ind w:left="851"/>
        <w:rPr>
          <w:sz w:val="24"/>
          <w:szCs w:val="24"/>
        </w:rPr>
      </w:pPr>
    </w:p>
    <w:p w:rsidR="00B415A6" w:rsidRPr="008A44E1" w:rsidRDefault="00B415A6" w:rsidP="00B415A6">
      <w:pPr>
        <w:suppressAutoHyphens/>
        <w:ind w:left="851"/>
        <w:rPr>
          <w:sz w:val="24"/>
          <w:szCs w:val="24"/>
        </w:rPr>
      </w:pPr>
      <w:proofErr w:type="spellStart"/>
      <w:r w:rsidRPr="008A44E1">
        <w:rPr>
          <w:sz w:val="24"/>
          <w:szCs w:val="24"/>
          <w:lang w:val="en-US"/>
        </w:rPr>
        <w:t>Dexamethason</w:t>
      </w:r>
      <w:proofErr w:type="spellEnd"/>
      <w:r w:rsidRPr="008A44E1">
        <w:rPr>
          <w:sz w:val="24"/>
          <w:szCs w:val="24"/>
          <w:lang w:val="en-US"/>
        </w:rPr>
        <w:t xml:space="preserve"> </w:t>
      </w:r>
      <w:proofErr w:type="spellStart"/>
      <w:r w:rsidRPr="008A44E1">
        <w:rPr>
          <w:sz w:val="24"/>
          <w:szCs w:val="24"/>
          <w:lang w:val="en-US"/>
        </w:rPr>
        <w:t>metaboliseres</w:t>
      </w:r>
      <w:proofErr w:type="spellEnd"/>
      <w:r w:rsidRPr="008A44E1">
        <w:rPr>
          <w:sz w:val="24"/>
          <w:szCs w:val="24"/>
          <w:lang w:val="en-US"/>
        </w:rPr>
        <w:t xml:space="preserve"> via </w:t>
      </w:r>
      <w:proofErr w:type="spellStart"/>
      <w:r w:rsidRPr="008A44E1">
        <w:rPr>
          <w:sz w:val="24"/>
          <w:szCs w:val="24"/>
          <w:lang w:val="en-US"/>
        </w:rPr>
        <w:t>cytokrom</w:t>
      </w:r>
      <w:proofErr w:type="spellEnd"/>
      <w:r w:rsidRPr="008A44E1">
        <w:rPr>
          <w:sz w:val="24"/>
          <w:szCs w:val="24"/>
          <w:lang w:val="en-US"/>
        </w:rPr>
        <w:t xml:space="preserve"> P450 3A4 (CYP3A4). </w:t>
      </w:r>
      <w:r w:rsidRPr="008A44E1">
        <w:rPr>
          <w:sz w:val="24"/>
          <w:szCs w:val="24"/>
        </w:rPr>
        <w:t xml:space="preserve">CYP3A4-hæmmere (inklusive </w:t>
      </w:r>
      <w:proofErr w:type="spellStart"/>
      <w:r w:rsidRPr="008A44E1">
        <w:rPr>
          <w:sz w:val="24"/>
          <w:szCs w:val="24"/>
        </w:rPr>
        <w:t>ritonavir</w:t>
      </w:r>
      <w:proofErr w:type="spellEnd"/>
      <w:r w:rsidRPr="008A44E1">
        <w:rPr>
          <w:sz w:val="24"/>
          <w:szCs w:val="24"/>
        </w:rPr>
        <w:t xml:space="preserve"> og </w:t>
      </w:r>
      <w:proofErr w:type="spellStart"/>
      <w:r w:rsidRPr="008A44E1">
        <w:rPr>
          <w:sz w:val="24"/>
          <w:szCs w:val="24"/>
        </w:rPr>
        <w:t>cobicistat</w:t>
      </w:r>
      <w:proofErr w:type="spellEnd"/>
      <w:r w:rsidRPr="008A44E1">
        <w:rPr>
          <w:sz w:val="24"/>
          <w:szCs w:val="24"/>
        </w:rPr>
        <w:t xml:space="preserve">) kan nedsætte </w:t>
      </w:r>
      <w:proofErr w:type="spellStart"/>
      <w:r w:rsidRPr="008A44E1">
        <w:rPr>
          <w:sz w:val="24"/>
          <w:szCs w:val="24"/>
        </w:rPr>
        <w:t>clearance</w:t>
      </w:r>
      <w:proofErr w:type="spellEnd"/>
      <w:r w:rsidRPr="008A44E1">
        <w:rPr>
          <w:sz w:val="24"/>
          <w:szCs w:val="24"/>
        </w:rPr>
        <w:t xml:space="preserve"> af </w:t>
      </w:r>
      <w:proofErr w:type="spellStart"/>
      <w:r w:rsidRPr="008A44E1">
        <w:rPr>
          <w:sz w:val="24"/>
          <w:szCs w:val="24"/>
        </w:rPr>
        <w:t>dexamethason</w:t>
      </w:r>
      <w:proofErr w:type="spellEnd"/>
      <w:r w:rsidRPr="008A44E1">
        <w:rPr>
          <w:sz w:val="24"/>
          <w:szCs w:val="24"/>
        </w:rPr>
        <w:t xml:space="preserve"> og dermed resultere i øgede virkninger og </w:t>
      </w:r>
      <w:proofErr w:type="spellStart"/>
      <w:r w:rsidRPr="008A44E1">
        <w:rPr>
          <w:sz w:val="24"/>
          <w:szCs w:val="24"/>
        </w:rPr>
        <w:t>adrenal</w:t>
      </w:r>
      <w:proofErr w:type="spellEnd"/>
      <w:r w:rsidRPr="008A44E1">
        <w:rPr>
          <w:sz w:val="24"/>
          <w:szCs w:val="24"/>
        </w:rPr>
        <w:t xml:space="preserve"> suppression/</w:t>
      </w:r>
      <w:proofErr w:type="spellStart"/>
      <w:r w:rsidRPr="008A44E1">
        <w:rPr>
          <w:sz w:val="24"/>
          <w:szCs w:val="24"/>
        </w:rPr>
        <w:t>Cushings</w:t>
      </w:r>
      <w:proofErr w:type="spellEnd"/>
      <w:r w:rsidRPr="008A44E1">
        <w:rPr>
          <w:sz w:val="24"/>
          <w:szCs w:val="24"/>
        </w:rPr>
        <w:t xml:space="preserve"> syndrom. Kombinationen bør undgås, medmindre fordelen opvejer den øgede risiko for systemiske bivirkninger af </w:t>
      </w:r>
      <w:proofErr w:type="spellStart"/>
      <w:r w:rsidRPr="008A44E1">
        <w:rPr>
          <w:sz w:val="24"/>
          <w:szCs w:val="24"/>
        </w:rPr>
        <w:t>kortikosteroider</w:t>
      </w:r>
      <w:proofErr w:type="spellEnd"/>
      <w:r w:rsidRPr="008A44E1">
        <w:rPr>
          <w:sz w:val="24"/>
          <w:szCs w:val="24"/>
        </w:rPr>
        <w:t>. I sådanne</w:t>
      </w:r>
      <w:r w:rsidRPr="008A44E1">
        <w:rPr>
          <w:color w:val="00B050"/>
          <w:sz w:val="24"/>
          <w:szCs w:val="24"/>
        </w:rPr>
        <w:t xml:space="preserve"> </w:t>
      </w:r>
      <w:r w:rsidRPr="008A44E1">
        <w:rPr>
          <w:sz w:val="24"/>
          <w:szCs w:val="24"/>
        </w:rPr>
        <w:t xml:space="preserve">tilfælde bør patienterne monitoreres for systemiske bivirkninger af </w:t>
      </w:r>
      <w:proofErr w:type="spellStart"/>
      <w:r w:rsidRPr="008A44E1">
        <w:rPr>
          <w:sz w:val="24"/>
          <w:szCs w:val="24"/>
        </w:rPr>
        <w:t>kortikosteroider</w:t>
      </w:r>
      <w:proofErr w:type="spellEnd"/>
      <w:r w:rsidRPr="008A44E1">
        <w:rPr>
          <w:sz w:val="24"/>
          <w:szCs w:val="24"/>
        </w:rPr>
        <w:t>.</w:t>
      </w:r>
    </w:p>
    <w:p w:rsidR="00B415A6" w:rsidRPr="008A44E1" w:rsidRDefault="00B415A6" w:rsidP="00B415A6">
      <w:pPr>
        <w:tabs>
          <w:tab w:val="left" w:pos="851"/>
        </w:tabs>
        <w:ind w:left="851"/>
        <w:rPr>
          <w:sz w:val="24"/>
          <w:szCs w:val="24"/>
        </w:rPr>
      </w:pPr>
    </w:p>
    <w:p w:rsidR="00570C46" w:rsidRPr="00C84483" w:rsidRDefault="00570C46" w:rsidP="00570C46">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B415A6" w:rsidRDefault="00B415A6" w:rsidP="00B415A6">
      <w:pPr>
        <w:ind w:left="851"/>
        <w:rPr>
          <w:sz w:val="24"/>
          <w:szCs w:val="24"/>
        </w:rPr>
      </w:pPr>
    </w:p>
    <w:p w:rsidR="00B415A6" w:rsidRPr="00081827" w:rsidRDefault="00B415A6" w:rsidP="00B415A6">
      <w:pPr>
        <w:ind w:left="851"/>
        <w:rPr>
          <w:sz w:val="24"/>
          <w:szCs w:val="24"/>
          <w:u w:val="single"/>
        </w:rPr>
      </w:pPr>
      <w:r w:rsidRPr="00081827">
        <w:rPr>
          <w:sz w:val="24"/>
          <w:szCs w:val="24"/>
          <w:u w:val="single"/>
        </w:rPr>
        <w:t>Graviditet</w:t>
      </w:r>
    </w:p>
    <w:p w:rsidR="00B415A6" w:rsidRPr="008A44E1" w:rsidRDefault="00B415A6" w:rsidP="00B415A6">
      <w:pPr>
        <w:ind w:left="851"/>
        <w:rPr>
          <w:sz w:val="24"/>
          <w:szCs w:val="24"/>
        </w:rPr>
      </w:pPr>
      <w:r w:rsidRPr="008A44E1">
        <w:rPr>
          <w:sz w:val="24"/>
          <w:szCs w:val="24"/>
        </w:rPr>
        <w:t xml:space="preserve">Der er ingen eller utilstrækkelige data ved brug af lokal </w:t>
      </w:r>
      <w:proofErr w:type="spellStart"/>
      <w:r w:rsidRPr="008A44E1">
        <w:rPr>
          <w:sz w:val="24"/>
          <w:szCs w:val="24"/>
        </w:rPr>
        <w:t>okulær</w:t>
      </w:r>
      <w:proofErr w:type="spellEnd"/>
      <w:r w:rsidRPr="008A44E1">
        <w:rPr>
          <w:sz w:val="24"/>
          <w:szCs w:val="24"/>
        </w:rPr>
        <w:t xml:space="preserve"> anvendelse af </w:t>
      </w:r>
      <w:proofErr w:type="spellStart"/>
      <w:r w:rsidRPr="008A44E1">
        <w:rPr>
          <w:sz w:val="24"/>
          <w:szCs w:val="24"/>
        </w:rPr>
        <w:t>tobramycin</w:t>
      </w:r>
      <w:proofErr w:type="spellEnd"/>
      <w:r w:rsidRPr="008A44E1">
        <w:rPr>
          <w:sz w:val="24"/>
          <w:szCs w:val="24"/>
        </w:rPr>
        <w:t xml:space="preserve"> og </w:t>
      </w:r>
      <w:proofErr w:type="spellStart"/>
      <w:r w:rsidRPr="008A44E1">
        <w:rPr>
          <w:sz w:val="24"/>
          <w:szCs w:val="24"/>
        </w:rPr>
        <w:t>dexamethason</w:t>
      </w:r>
      <w:proofErr w:type="spellEnd"/>
      <w:r w:rsidRPr="008A44E1">
        <w:rPr>
          <w:sz w:val="24"/>
          <w:szCs w:val="24"/>
        </w:rPr>
        <w:t xml:space="preserve"> til gravide kvinder. </w:t>
      </w:r>
      <w:proofErr w:type="spellStart"/>
      <w:r w:rsidRPr="008A44E1">
        <w:rPr>
          <w:sz w:val="24"/>
          <w:szCs w:val="24"/>
        </w:rPr>
        <w:t>Tobramycin</w:t>
      </w:r>
      <w:proofErr w:type="spellEnd"/>
      <w:r w:rsidRPr="008A44E1">
        <w:rPr>
          <w:sz w:val="24"/>
          <w:szCs w:val="24"/>
        </w:rPr>
        <w:t xml:space="preserve"> krydser placenta og overføres til fosteret efter intravenøs dosering hos gravide kvinder. </w:t>
      </w:r>
      <w:proofErr w:type="spellStart"/>
      <w:r w:rsidRPr="008A44E1">
        <w:rPr>
          <w:sz w:val="24"/>
          <w:szCs w:val="24"/>
        </w:rPr>
        <w:t>Tobramycin</w:t>
      </w:r>
      <w:proofErr w:type="spellEnd"/>
      <w:r w:rsidRPr="008A44E1">
        <w:rPr>
          <w:sz w:val="24"/>
          <w:szCs w:val="24"/>
        </w:rPr>
        <w:t xml:space="preserve"> forventes ikke at forårsage </w:t>
      </w:r>
      <w:proofErr w:type="spellStart"/>
      <w:r w:rsidRPr="008A44E1">
        <w:rPr>
          <w:sz w:val="24"/>
          <w:szCs w:val="24"/>
        </w:rPr>
        <w:t>ototoksicitet</w:t>
      </w:r>
      <w:proofErr w:type="spellEnd"/>
      <w:r w:rsidRPr="008A44E1">
        <w:rPr>
          <w:sz w:val="24"/>
          <w:szCs w:val="24"/>
        </w:rPr>
        <w:t xml:space="preserve"> som følge af in </w:t>
      </w:r>
      <w:proofErr w:type="spellStart"/>
      <w:r w:rsidRPr="008A44E1">
        <w:rPr>
          <w:sz w:val="24"/>
          <w:szCs w:val="24"/>
        </w:rPr>
        <w:t>utero</w:t>
      </w:r>
      <w:proofErr w:type="spellEnd"/>
      <w:r w:rsidRPr="008A44E1">
        <w:rPr>
          <w:sz w:val="24"/>
          <w:szCs w:val="24"/>
        </w:rPr>
        <w:t xml:space="preserve">-eksponering. Langvarig eller gentagen </w:t>
      </w:r>
      <w:proofErr w:type="spellStart"/>
      <w:r w:rsidRPr="008A44E1">
        <w:rPr>
          <w:sz w:val="24"/>
          <w:szCs w:val="24"/>
        </w:rPr>
        <w:t>kortikoidbrug</w:t>
      </w:r>
      <w:proofErr w:type="spellEnd"/>
      <w:r w:rsidRPr="008A44E1">
        <w:rPr>
          <w:sz w:val="24"/>
          <w:szCs w:val="24"/>
        </w:rPr>
        <w:t xml:space="preserve"> under graviditet, er forbundet med en forhøjet risiko for intrauterin væksthæmning. Spædbørn født af mødre, som har modtaget betydelige doser af </w:t>
      </w:r>
      <w:proofErr w:type="spellStart"/>
      <w:r w:rsidRPr="008A44E1">
        <w:rPr>
          <w:sz w:val="24"/>
          <w:szCs w:val="24"/>
        </w:rPr>
        <w:t>kortikosteroider</w:t>
      </w:r>
      <w:proofErr w:type="spellEnd"/>
      <w:r w:rsidRPr="008A44E1">
        <w:rPr>
          <w:sz w:val="24"/>
          <w:szCs w:val="24"/>
        </w:rPr>
        <w:t xml:space="preserve"> under graviditeten, bør observeres omhyggeligt for tegn på </w:t>
      </w:r>
      <w:proofErr w:type="spellStart"/>
      <w:r w:rsidRPr="008A44E1">
        <w:rPr>
          <w:sz w:val="24"/>
          <w:szCs w:val="24"/>
        </w:rPr>
        <w:t>hypoadrenalisme</w:t>
      </w:r>
      <w:proofErr w:type="spellEnd"/>
      <w:r w:rsidRPr="008A44E1">
        <w:rPr>
          <w:sz w:val="24"/>
          <w:szCs w:val="24"/>
        </w:rPr>
        <w:t>.</w:t>
      </w:r>
    </w:p>
    <w:p w:rsidR="00B415A6" w:rsidRPr="008A44E1" w:rsidRDefault="00B415A6" w:rsidP="00B415A6">
      <w:pPr>
        <w:ind w:left="851"/>
        <w:rPr>
          <w:sz w:val="24"/>
          <w:szCs w:val="24"/>
        </w:rPr>
      </w:pPr>
    </w:p>
    <w:p w:rsidR="00B415A6" w:rsidRPr="008A44E1" w:rsidRDefault="00B415A6" w:rsidP="00B415A6">
      <w:pPr>
        <w:ind w:left="851"/>
        <w:rPr>
          <w:sz w:val="24"/>
          <w:szCs w:val="24"/>
        </w:rPr>
      </w:pPr>
      <w:r w:rsidRPr="008A44E1">
        <w:rPr>
          <w:sz w:val="24"/>
          <w:szCs w:val="24"/>
        </w:rPr>
        <w:t xml:space="preserve">Dyreforsøg har påvist reproduktionstoksicitet efter systemisk administration af </w:t>
      </w:r>
      <w:proofErr w:type="spellStart"/>
      <w:r w:rsidRPr="008A44E1">
        <w:rPr>
          <w:sz w:val="24"/>
          <w:szCs w:val="24"/>
        </w:rPr>
        <w:t>tobramycin</w:t>
      </w:r>
      <w:proofErr w:type="spellEnd"/>
      <w:r w:rsidRPr="008A44E1">
        <w:rPr>
          <w:sz w:val="24"/>
          <w:szCs w:val="24"/>
        </w:rPr>
        <w:t xml:space="preserve"> og </w:t>
      </w:r>
      <w:proofErr w:type="spellStart"/>
      <w:r w:rsidRPr="008A44E1">
        <w:rPr>
          <w:sz w:val="24"/>
          <w:szCs w:val="24"/>
        </w:rPr>
        <w:t>dexamethason</w:t>
      </w:r>
      <w:proofErr w:type="spellEnd"/>
      <w:r w:rsidRPr="008A44E1">
        <w:rPr>
          <w:sz w:val="24"/>
          <w:szCs w:val="24"/>
        </w:rPr>
        <w:t xml:space="preserve">. Disse virkninger blev observeret ved doser, der betragtes som tilstrækkeligt over den maksimale </w:t>
      </w:r>
      <w:proofErr w:type="spellStart"/>
      <w:r w:rsidRPr="008A44E1">
        <w:rPr>
          <w:sz w:val="24"/>
          <w:szCs w:val="24"/>
        </w:rPr>
        <w:t>okulære</w:t>
      </w:r>
      <w:proofErr w:type="spellEnd"/>
      <w:r w:rsidRPr="008A44E1">
        <w:rPr>
          <w:sz w:val="24"/>
          <w:szCs w:val="24"/>
        </w:rPr>
        <w:t xml:space="preserve"> dosis til mennesker ved </w:t>
      </w:r>
      <w:proofErr w:type="spellStart"/>
      <w:r w:rsidRPr="008A44E1">
        <w:rPr>
          <w:sz w:val="24"/>
          <w:szCs w:val="24"/>
        </w:rPr>
        <w:t>maternel</w:t>
      </w:r>
      <w:proofErr w:type="spellEnd"/>
      <w:r w:rsidRPr="008A44E1">
        <w:rPr>
          <w:sz w:val="24"/>
          <w:szCs w:val="24"/>
        </w:rPr>
        <w:t xml:space="preserve"> anvendelse af produktet (se pkt. 5.3). </w:t>
      </w:r>
    </w:p>
    <w:p w:rsidR="00B415A6" w:rsidRPr="008A44E1" w:rsidRDefault="00B415A6" w:rsidP="00B415A6">
      <w:pPr>
        <w:ind w:left="851"/>
        <w:rPr>
          <w:sz w:val="24"/>
          <w:szCs w:val="24"/>
        </w:rPr>
      </w:pPr>
    </w:p>
    <w:p w:rsidR="00B415A6" w:rsidRPr="008A44E1" w:rsidRDefault="00B415A6" w:rsidP="00B415A6">
      <w:pPr>
        <w:ind w:left="851"/>
        <w:rPr>
          <w:sz w:val="24"/>
          <w:szCs w:val="24"/>
        </w:rPr>
      </w:pPr>
      <w:proofErr w:type="spellStart"/>
      <w:r w:rsidRPr="008A44E1">
        <w:rPr>
          <w:sz w:val="24"/>
          <w:szCs w:val="24"/>
        </w:rPr>
        <w:t>Oridecin</w:t>
      </w:r>
      <w:proofErr w:type="spellEnd"/>
      <w:r w:rsidRPr="008A44E1">
        <w:rPr>
          <w:sz w:val="24"/>
          <w:szCs w:val="24"/>
        </w:rPr>
        <w:t xml:space="preserve"> bør ikke anvendes under graviditet.</w:t>
      </w:r>
    </w:p>
    <w:p w:rsidR="00B415A6" w:rsidRPr="00081827" w:rsidRDefault="00B415A6" w:rsidP="00B415A6">
      <w:pPr>
        <w:ind w:left="851"/>
        <w:rPr>
          <w:sz w:val="24"/>
          <w:szCs w:val="24"/>
        </w:rPr>
      </w:pPr>
    </w:p>
    <w:p w:rsidR="00B415A6" w:rsidRPr="00081827" w:rsidRDefault="00B415A6" w:rsidP="00B415A6">
      <w:pPr>
        <w:ind w:left="851"/>
        <w:rPr>
          <w:sz w:val="24"/>
          <w:szCs w:val="24"/>
          <w:u w:val="single"/>
        </w:rPr>
      </w:pPr>
      <w:r w:rsidRPr="00081827">
        <w:rPr>
          <w:sz w:val="24"/>
          <w:szCs w:val="24"/>
          <w:u w:val="single"/>
        </w:rPr>
        <w:t>Amning</w:t>
      </w:r>
    </w:p>
    <w:p w:rsidR="00B415A6" w:rsidRPr="008A44E1" w:rsidRDefault="00B415A6" w:rsidP="00B415A6">
      <w:pPr>
        <w:ind w:left="851"/>
        <w:rPr>
          <w:sz w:val="24"/>
          <w:szCs w:val="24"/>
        </w:rPr>
      </w:pPr>
      <w:proofErr w:type="spellStart"/>
      <w:r w:rsidRPr="008A44E1">
        <w:rPr>
          <w:sz w:val="24"/>
          <w:szCs w:val="24"/>
        </w:rPr>
        <w:t>Tobramycin</w:t>
      </w:r>
      <w:proofErr w:type="spellEnd"/>
      <w:r w:rsidRPr="008A44E1">
        <w:rPr>
          <w:sz w:val="24"/>
          <w:szCs w:val="24"/>
        </w:rPr>
        <w:t xml:space="preserve"> udskilles i human mælk efter systemisk administration. Der foreligger ingen data for udskillelse af </w:t>
      </w:r>
      <w:proofErr w:type="spellStart"/>
      <w:r w:rsidRPr="008A44E1">
        <w:rPr>
          <w:sz w:val="24"/>
          <w:szCs w:val="24"/>
        </w:rPr>
        <w:t>dexamethason</w:t>
      </w:r>
      <w:proofErr w:type="spellEnd"/>
      <w:r w:rsidRPr="008A44E1">
        <w:rPr>
          <w:sz w:val="24"/>
          <w:szCs w:val="24"/>
        </w:rPr>
        <w:t xml:space="preserve"> i human mælk. Det vides ikke, om </w:t>
      </w:r>
      <w:proofErr w:type="spellStart"/>
      <w:r w:rsidRPr="008A44E1">
        <w:rPr>
          <w:sz w:val="24"/>
          <w:szCs w:val="24"/>
        </w:rPr>
        <w:t>tobramycin</w:t>
      </w:r>
      <w:proofErr w:type="spellEnd"/>
      <w:r w:rsidRPr="008A44E1">
        <w:rPr>
          <w:sz w:val="24"/>
          <w:szCs w:val="24"/>
        </w:rPr>
        <w:t xml:space="preserve"> og </w:t>
      </w:r>
      <w:proofErr w:type="spellStart"/>
      <w:r w:rsidRPr="008A44E1">
        <w:rPr>
          <w:sz w:val="24"/>
          <w:szCs w:val="24"/>
        </w:rPr>
        <w:t>dexamethason</w:t>
      </w:r>
      <w:proofErr w:type="spellEnd"/>
      <w:r w:rsidRPr="008A44E1">
        <w:rPr>
          <w:sz w:val="24"/>
          <w:szCs w:val="24"/>
        </w:rPr>
        <w:t xml:space="preserve"> udskilles i human mælk efter </w:t>
      </w:r>
      <w:proofErr w:type="spellStart"/>
      <w:r w:rsidRPr="008A44E1">
        <w:rPr>
          <w:sz w:val="24"/>
          <w:szCs w:val="24"/>
        </w:rPr>
        <w:t>topikal</w:t>
      </w:r>
      <w:proofErr w:type="spellEnd"/>
      <w:r w:rsidRPr="008A44E1">
        <w:rPr>
          <w:sz w:val="24"/>
          <w:szCs w:val="24"/>
        </w:rPr>
        <w:t xml:space="preserve"> </w:t>
      </w:r>
      <w:proofErr w:type="spellStart"/>
      <w:r w:rsidRPr="008A44E1">
        <w:rPr>
          <w:sz w:val="24"/>
          <w:szCs w:val="24"/>
        </w:rPr>
        <w:t>okulær</w:t>
      </w:r>
      <w:proofErr w:type="spellEnd"/>
      <w:r w:rsidRPr="008A44E1">
        <w:rPr>
          <w:sz w:val="24"/>
          <w:szCs w:val="24"/>
        </w:rPr>
        <w:t xml:space="preserve"> administration. Mængden af </w:t>
      </w:r>
      <w:proofErr w:type="spellStart"/>
      <w:r w:rsidRPr="008A44E1">
        <w:rPr>
          <w:sz w:val="24"/>
          <w:szCs w:val="24"/>
        </w:rPr>
        <w:t>tobramycin</w:t>
      </w:r>
      <w:proofErr w:type="spellEnd"/>
      <w:r w:rsidRPr="008A44E1">
        <w:rPr>
          <w:sz w:val="24"/>
          <w:szCs w:val="24"/>
        </w:rPr>
        <w:t xml:space="preserve"> og </w:t>
      </w:r>
      <w:proofErr w:type="spellStart"/>
      <w:r w:rsidRPr="008A44E1">
        <w:rPr>
          <w:sz w:val="24"/>
          <w:szCs w:val="24"/>
        </w:rPr>
        <w:t>dexamethason</w:t>
      </w:r>
      <w:proofErr w:type="spellEnd"/>
      <w:r w:rsidRPr="008A44E1">
        <w:rPr>
          <w:sz w:val="24"/>
          <w:szCs w:val="24"/>
        </w:rPr>
        <w:t xml:space="preserve"> vil sandsynligvis ikke kunne påvises i human mælk eller fremkalde kliniske virkninger hos spædbarnet efter </w:t>
      </w:r>
      <w:proofErr w:type="spellStart"/>
      <w:r w:rsidRPr="008A44E1">
        <w:rPr>
          <w:sz w:val="24"/>
          <w:szCs w:val="24"/>
        </w:rPr>
        <w:t>topikal</w:t>
      </w:r>
      <w:proofErr w:type="spellEnd"/>
      <w:r w:rsidRPr="008A44E1">
        <w:rPr>
          <w:sz w:val="24"/>
          <w:szCs w:val="24"/>
        </w:rPr>
        <w:t xml:space="preserve"> anvendelse af produktet.</w:t>
      </w:r>
    </w:p>
    <w:p w:rsidR="00B415A6" w:rsidRPr="008A44E1" w:rsidRDefault="00B415A6" w:rsidP="00B415A6">
      <w:pPr>
        <w:ind w:left="851"/>
        <w:rPr>
          <w:sz w:val="24"/>
          <w:szCs w:val="24"/>
        </w:rPr>
      </w:pPr>
    </w:p>
    <w:p w:rsidR="00B415A6" w:rsidRPr="008A44E1" w:rsidRDefault="00B415A6" w:rsidP="00B415A6">
      <w:pPr>
        <w:ind w:left="851"/>
        <w:rPr>
          <w:sz w:val="24"/>
          <w:szCs w:val="24"/>
        </w:rPr>
      </w:pPr>
      <w:r w:rsidRPr="008A44E1">
        <w:rPr>
          <w:sz w:val="24"/>
          <w:szCs w:val="24"/>
        </w:rPr>
        <w:t>En risiko for det ammede barn kan ikke udelukkes. Det skal besluttes, om amningen skal ophøre, eller om behandlingen skal ophøre/undlades, idet der tages højde for fordelene ved amning for barnet i forhold til de terapeutiske fordele for moderen.</w:t>
      </w:r>
    </w:p>
    <w:p w:rsidR="00B415A6" w:rsidRPr="00081827" w:rsidRDefault="00B415A6" w:rsidP="00B415A6">
      <w:pPr>
        <w:ind w:left="851"/>
        <w:rPr>
          <w:sz w:val="24"/>
          <w:szCs w:val="24"/>
        </w:rPr>
      </w:pPr>
    </w:p>
    <w:p w:rsidR="00B415A6" w:rsidRPr="00081827" w:rsidRDefault="00B415A6" w:rsidP="00B415A6">
      <w:pPr>
        <w:ind w:left="851"/>
        <w:rPr>
          <w:sz w:val="24"/>
          <w:szCs w:val="24"/>
          <w:u w:val="single"/>
        </w:rPr>
      </w:pPr>
      <w:r w:rsidRPr="00081827">
        <w:rPr>
          <w:sz w:val="24"/>
          <w:szCs w:val="24"/>
          <w:u w:val="single"/>
        </w:rPr>
        <w:t>Fertilitet</w:t>
      </w:r>
    </w:p>
    <w:p w:rsidR="00B415A6" w:rsidRPr="008A44E1" w:rsidRDefault="00B415A6" w:rsidP="00B415A6">
      <w:pPr>
        <w:ind w:left="851"/>
        <w:rPr>
          <w:sz w:val="24"/>
          <w:szCs w:val="24"/>
        </w:rPr>
      </w:pPr>
      <w:r w:rsidRPr="008A44E1">
        <w:rPr>
          <w:sz w:val="24"/>
          <w:szCs w:val="24"/>
        </w:rPr>
        <w:t xml:space="preserve">Der er ikke blevet udført studier for at evaluere virkningen af </w:t>
      </w:r>
      <w:proofErr w:type="spellStart"/>
      <w:r w:rsidRPr="008A44E1">
        <w:rPr>
          <w:sz w:val="24"/>
          <w:szCs w:val="24"/>
        </w:rPr>
        <w:t>tobramycin</w:t>
      </w:r>
      <w:proofErr w:type="spellEnd"/>
      <w:r w:rsidRPr="008A44E1">
        <w:rPr>
          <w:sz w:val="24"/>
          <w:szCs w:val="24"/>
        </w:rPr>
        <w:t xml:space="preserve"> på fertiliteten hos mennesker eller dyr. Der foreligger begrænsede kliniske data for evaluering af virkningen af </w:t>
      </w:r>
      <w:proofErr w:type="spellStart"/>
      <w:r w:rsidRPr="008A44E1">
        <w:rPr>
          <w:sz w:val="24"/>
          <w:szCs w:val="24"/>
        </w:rPr>
        <w:t>dexamethason</w:t>
      </w:r>
      <w:proofErr w:type="spellEnd"/>
      <w:r w:rsidRPr="008A44E1">
        <w:rPr>
          <w:sz w:val="24"/>
          <w:szCs w:val="24"/>
        </w:rPr>
        <w:t xml:space="preserve"> på fertiliteten hos mænd eller kvinder.</w:t>
      </w:r>
    </w:p>
    <w:p w:rsidR="00B415A6" w:rsidRPr="008A44E1" w:rsidRDefault="00B415A6" w:rsidP="00B415A6">
      <w:pPr>
        <w:tabs>
          <w:tab w:val="left" w:pos="851"/>
        </w:tabs>
        <w:ind w:left="851"/>
        <w:rPr>
          <w:sz w:val="24"/>
          <w:szCs w:val="24"/>
        </w:rPr>
      </w:pPr>
    </w:p>
    <w:p w:rsidR="00570C46" w:rsidRPr="00C84483" w:rsidRDefault="00570C46" w:rsidP="00570C46">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B415A6" w:rsidRDefault="00B415A6" w:rsidP="00B415A6">
      <w:pPr>
        <w:ind w:left="851"/>
        <w:rPr>
          <w:sz w:val="24"/>
          <w:szCs w:val="24"/>
        </w:rPr>
      </w:pPr>
      <w:r>
        <w:rPr>
          <w:sz w:val="24"/>
          <w:szCs w:val="24"/>
        </w:rPr>
        <w:t>Ikke mærkning.</w:t>
      </w:r>
    </w:p>
    <w:p w:rsidR="00B415A6" w:rsidRPr="008A44E1" w:rsidRDefault="00B415A6" w:rsidP="00B415A6">
      <w:pPr>
        <w:ind w:left="851"/>
        <w:rPr>
          <w:sz w:val="24"/>
          <w:szCs w:val="24"/>
        </w:rPr>
      </w:pPr>
      <w:proofErr w:type="spellStart"/>
      <w:r w:rsidRPr="008A44E1">
        <w:rPr>
          <w:sz w:val="24"/>
          <w:szCs w:val="24"/>
        </w:rPr>
        <w:t>Oridecin</w:t>
      </w:r>
      <w:proofErr w:type="spellEnd"/>
      <w:r w:rsidRPr="008A44E1">
        <w:rPr>
          <w:sz w:val="24"/>
          <w:szCs w:val="24"/>
        </w:rPr>
        <w:t xml:space="preserve"> påvirker ikke eller kun i ubetydelig grad evnen til at føre motorkøretøj og betjene maskiner.</w:t>
      </w:r>
    </w:p>
    <w:p w:rsidR="00B415A6" w:rsidRPr="00081827" w:rsidRDefault="00B415A6" w:rsidP="00B415A6">
      <w:pPr>
        <w:ind w:left="851"/>
        <w:rPr>
          <w:sz w:val="24"/>
          <w:szCs w:val="24"/>
        </w:rPr>
      </w:pPr>
    </w:p>
    <w:p w:rsidR="00B415A6" w:rsidRPr="008A44E1" w:rsidRDefault="00B415A6" w:rsidP="00B415A6">
      <w:pPr>
        <w:ind w:left="851"/>
        <w:rPr>
          <w:sz w:val="24"/>
          <w:szCs w:val="24"/>
        </w:rPr>
      </w:pPr>
      <w:r w:rsidRPr="008A44E1">
        <w:rPr>
          <w:sz w:val="24"/>
          <w:szCs w:val="24"/>
        </w:rPr>
        <w:t>Der er ikke udført undersøgelser af virkningen på evnen til at føre motorkøretøj eller betjene maskiner. Som for andre lokale øjenmidler kan der opstå forbigående sløret syn eller andre synsforstyrrelser, som kan påvirke evnen til at føre motorkøretøj eller betjene maskiner. Hvis der opstår sløret syn, bør patienten vente med at køre bil eller betjene maskiner til synet er klart igen.</w:t>
      </w:r>
    </w:p>
    <w:p w:rsidR="00B415A6" w:rsidRPr="008A44E1" w:rsidRDefault="00B415A6" w:rsidP="00B415A6">
      <w:pPr>
        <w:tabs>
          <w:tab w:val="left" w:pos="851"/>
        </w:tabs>
        <w:ind w:left="851"/>
        <w:rPr>
          <w:sz w:val="24"/>
          <w:szCs w:val="24"/>
        </w:rPr>
      </w:pPr>
    </w:p>
    <w:p w:rsidR="00B415A6" w:rsidRPr="008A44E1" w:rsidRDefault="00B415A6" w:rsidP="00B415A6">
      <w:pPr>
        <w:tabs>
          <w:tab w:val="left" w:pos="851"/>
        </w:tabs>
        <w:ind w:left="851" w:hanging="851"/>
        <w:rPr>
          <w:b/>
          <w:sz w:val="24"/>
          <w:szCs w:val="24"/>
        </w:rPr>
      </w:pPr>
      <w:r w:rsidRPr="008A44E1">
        <w:rPr>
          <w:b/>
          <w:sz w:val="24"/>
          <w:szCs w:val="24"/>
        </w:rPr>
        <w:t>4.8</w:t>
      </w:r>
      <w:r w:rsidRPr="008A44E1">
        <w:rPr>
          <w:b/>
          <w:sz w:val="24"/>
          <w:szCs w:val="24"/>
        </w:rPr>
        <w:tab/>
        <w:t>Bivirkninger</w:t>
      </w:r>
    </w:p>
    <w:p w:rsidR="00B415A6" w:rsidRDefault="00B415A6" w:rsidP="00B415A6">
      <w:pPr>
        <w:ind w:left="851"/>
        <w:rPr>
          <w:sz w:val="24"/>
          <w:szCs w:val="24"/>
          <w:u w:val="single"/>
        </w:rPr>
      </w:pPr>
    </w:p>
    <w:p w:rsidR="00B415A6" w:rsidRPr="008A44E1" w:rsidRDefault="00B415A6" w:rsidP="00B415A6">
      <w:pPr>
        <w:ind w:left="851"/>
        <w:rPr>
          <w:sz w:val="24"/>
          <w:szCs w:val="24"/>
          <w:u w:val="single"/>
        </w:rPr>
      </w:pPr>
      <w:r w:rsidRPr="008A44E1">
        <w:rPr>
          <w:sz w:val="24"/>
          <w:szCs w:val="24"/>
          <w:u w:val="single"/>
        </w:rPr>
        <w:t xml:space="preserve">Sammendrag af sikkerhedsprofilen </w:t>
      </w:r>
    </w:p>
    <w:p w:rsidR="00B415A6" w:rsidRPr="008A44E1" w:rsidRDefault="00B415A6" w:rsidP="00B415A6">
      <w:pPr>
        <w:ind w:left="851"/>
        <w:rPr>
          <w:sz w:val="24"/>
          <w:szCs w:val="24"/>
        </w:rPr>
      </w:pPr>
      <w:r w:rsidRPr="008A44E1">
        <w:rPr>
          <w:sz w:val="24"/>
          <w:szCs w:val="24"/>
        </w:rPr>
        <w:t xml:space="preserve">I kliniske undersøgelser med mere end 1600 patienter blev </w:t>
      </w:r>
      <w:proofErr w:type="spellStart"/>
      <w:r w:rsidRPr="008A44E1">
        <w:rPr>
          <w:sz w:val="24"/>
          <w:szCs w:val="24"/>
        </w:rPr>
        <w:t>dexamethason</w:t>
      </w:r>
      <w:proofErr w:type="spellEnd"/>
      <w:r w:rsidRPr="008A44E1">
        <w:rPr>
          <w:sz w:val="24"/>
          <w:szCs w:val="24"/>
        </w:rPr>
        <w:t>/</w:t>
      </w:r>
      <w:proofErr w:type="spellStart"/>
      <w:r w:rsidRPr="008A44E1">
        <w:rPr>
          <w:sz w:val="24"/>
          <w:szCs w:val="24"/>
        </w:rPr>
        <w:t>tobramycin</w:t>
      </w:r>
      <w:proofErr w:type="spellEnd"/>
      <w:r w:rsidRPr="008A44E1">
        <w:rPr>
          <w:sz w:val="24"/>
          <w:szCs w:val="24"/>
        </w:rPr>
        <w:t xml:space="preserve"> øjendråber administreret op til 6 gange dagligt. I kliniske undersøgelser rapporteredes der ingen alvorlige lokale eller systemiske bivirkninger i forbindelse med </w:t>
      </w:r>
      <w:proofErr w:type="spellStart"/>
      <w:r w:rsidRPr="008A44E1">
        <w:rPr>
          <w:sz w:val="24"/>
          <w:szCs w:val="24"/>
        </w:rPr>
        <w:t>dexamethason</w:t>
      </w:r>
      <w:proofErr w:type="spellEnd"/>
      <w:r w:rsidRPr="008A44E1">
        <w:rPr>
          <w:sz w:val="24"/>
          <w:szCs w:val="24"/>
        </w:rPr>
        <w:t>/</w:t>
      </w:r>
      <w:proofErr w:type="spellStart"/>
      <w:r w:rsidRPr="008A44E1">
        <w:rPr>
          <w:sz w:val="24"/>
          <w:szCs w:val="24"/>
        </w:rPr>
        <w:t>tobra</w:t>
      </w:r>
      <w:r w:rsidR="00DA7A1F">
        <w:rPr>
          <w:sz w:val="24"/>
          <w:szCs w:val="24"/>
        </w:rPr>
        <w:softHyphen/>
      </w:r>
      <w:r w:rsidRPr="008A44E1">
        <w:rPr>
          <w:sz w:val="24"/>
          <w:szCs w:val="24"/>
        </w:rPr>
        <w:t>mycin</w:t>
      </w:r>
      <w:proofErr w:type="spellEnd"/>
      <w:r w:rsidRPr="008A44E1">
        <w:rPr>
          <w:sz w:val="24"/>
          <w:szCs w:val="24"/>
        </w:rPr>
        <w:t xml:space="preserve"> øjendråber eller indholdsstofferne i kombinationen. Den hyppigst rapporterede bivirkninger med </w:t>
      </w:r>
      <w:proofErr w:type="spellStart"/>
      <w:r w:rsidRPr="008A44E1">
        <w:rPr>
          <w:sz w:val="24"/>
          <w:szCs w:val="24"/>
        </w:rPr>
        <w:t>dexamethason</w:t>
      </w:r>
      <w:proofErr w:type="spellEnd"/>
      <w:r w:rsidRPr="008A44E1">
        <w:rPr>
          <w:sz w:val="24"/>
          <w:szCs w:val="24"/>
        </w:rPr>
        <w:t>/</w:t>
      </w:r>
      <w:proofErr w:type="spellStart"/>
      <w:r w:rsidRPr="008A44E1">
        <w:rPr>
          <w:sz w:val="24"/>
          <w:szCs w:val="24"/>
        </w:rPr>
        <w:t>tobramycin</w:t>
      </w:r>
      <w:proofErr w:type="spellEnd"/>
      <w:r w:rsidRPr="008A44E1">
        <w:rPr>
          <w:sz w:val="24"/>
          <w:szCs w:val="24"/>
        </w:rPr>
        <w:t xml:space="preserve"> øjendråber var øjensmerter, øget </w:t>
      </w:r>
      <w:proofErr w:type="spellStart"/>
      <w:r w:rsidRPr="008A44E1">
        <w:rPr>
          <w:sz w:val="24"/>
          <w:szCs w:val="24"/>
        </w:rPr>
        <w:t>intraokulært</w:t>
      </w:r>
      <w:proofErr w:type="spellEnd"/>
      <w:r w:rsidRPr="008A44E1">
        <w:rPr>
          <w:sz w:val="24"/>
          <w:szCs w:val="24"/>
        </w:rPr>
        <w:t xml:space="preserve"> tryk, irritation i øjet (svie ved drypning), og øjenkløe, som forekom hos mindre end 1 % af patienterne</w:t>
      </w:r>
      <w:r>
        <w:rPr>
          <w:sz w:val="24"/>
          <w:szCs w:val="24"/>
        </w:rPr>
        <w:t>.</w:t>
      </w:r>
    </w:p>
    <w:p w:rsidR="00B415A6" w:rsidRPr="008A44E1" w:rsidRDefault="00B415A6" w:rsidP="00B415A6">
      <w:pPr>
        <w:ind w:left="851"/>
        <w:rPr>
          <w:sz w:val="24"/>
          <w:szCs w:val="24"/>
        </w:rPr>
      </w:pPr>
    </w:p>
    <w:p w:rsidR="00B415A6" w:rsidRPr="008A44E1" w:rsidRDefault="00B415A6" w:rsidP="00B415A6">
      <w:pPr>
        <w:ind w:left="851"/>
        <w:rPr>
          <w:sz w:val="24"/>
          <w:szCs w:val="24"/>
          <w:u w:val="single"/>
        </w:rPr>
      </w:pPr>
      <w:r w:rsidRPr="008A44E1">
        <w:rPr>
          <w:sz w:val="24"/>
          <w:szCs w:val="24"/>
          <w:u w:val="single"/>
        </w:rPr>
        <w:t>Liste over bivirkninger i tabelform</w:t>
      </w:r>
    </w:p>
    <w:p w:rsidR="00B415A6" w:rsidRDefault="00B415A6" w:rsidP="00B415A6">
      <w:pPr>
        <w:ind w:left="851"/>
        <w:rPr>
          <w:sz w:val="24"/>
          <w:szCs w:val="24"/>
        </w:rPr>
      </w:pPr>
      <w:r w:rsidRPr="008A44E1">
        <w:rPr>
          <w:sz w:val="24"/>
          <w:szCs w:val="24"/>
        </w:rPr>
        <w:t xml:space="preserve">Følgende bivirkninger er rapporteret for </w:t>
      </w:r>
      <w:proofErr w:type="spellStart"/>
      <w:r w:rsidRPr="008A44E1">
        <w:rPr>
          <w:sz w:val="24"/>
          <w:szCs w:val="24"/>
        </w:rPr>
        <w:t>dexamethason</w:t>
      </w:r>
      <w:proofErr w:type="spellEnd"/>
      <w:r w:rsidRPr="008A44E1">
        <w:rPr>
          <w:sz w:val="24"/>
          <w:szCs w:val="24"/>
        </w:rPr>
        <w:t>/</w:t>
      </w:r>
      <w:proofErr w:type="spellStart"/>
      <w:r w:rsidRPr="008A44E1">
        <w:rPr>
          <w:sz w:val="24"/>
          <w:szCs w:val="24"/>
        </w:rPr>
        <w:t>tobramycin</w:t>
      </w:r>
      <w:proofErr w:type="spellEnd"/>
      <w:r w:rsidRPr="008A44E1">
        <w:rPr>
          <w:sz w:val="24"/>
          <w:szCs w:val="24"/>
        </w:rPr>
        <w:t xml:space="preserve"> øjendråber enten i kliniske undersøgelser eller ved erfaring efter markedsføring og er opstillet i he</w:t>
      </w:r>
      <w:r>
        <w:rPr>
          <w:sz w:val="24"/>
          <w:szCs w:val="24"/>
        </w:rPr>
        <w:t xml:space="preserve">nhold til følgende konvention: </w:t>
      </w:r>
    </w:p>
    <w:p w:rsidR="00B415A6" w:rsidRPr="008A44E1" w:rsidRDefault="00B415A6" w:rsidP="00B415A6">
      <w:pPr>
        <w:ind w:left="851"/>
        <w:rPr>
          <w:sz w:val="24"/>
          <w:szCs w:val="24"/>
        </w:rPr>
      </w:pPr>
      <w:r>
        <w:rPr>
          <w:sz w:val="24"/>
          <w:szCs w:val="24"/>
        </w:rPr>
        <w:t>M</w:t>
      </w:r>
      <w:r w:rsidRPr="008A44E1">
        <w:rPr>
          <w:sz w:val="24"/>
          <w:szCs w:val="24"/>
        </w:rPr>
        <w:t>eget almindelig (≥ 1/10), almindelig (≥1/100 til &lt;1/10), ikke almindelig (≥1/1.000 til &lt;1/100), sjælden (≥1/10.000 til &lt;1/1.000)</w:t>
      </w:r>
      <w:r>
        <w:rPr>
          <w:sz w:val="24"/>
          <w:szCs w:val="24"/>
        </w:rPr>
        <w:t xml:space="preserve">, </w:t>
      </w:r>
      <w:r w:rsidRPr="008A44E1">
        <w:rPr>
          <w:sz w:val="24"/>
          <w:szCs w:val="24"/>
        </w:rPr>
        <w:t xml:space="preserve">meget sjælden (&lt;1/10.000) </w:t>
      </w:r>
      <w:r>
        <w:rPr>
          <w:sz w:val="24"/>
          <w:szCs w:val="24"/>
        </w:rPr>
        <w:t xml:space="preserve">og </w:t>
      </w:r>
      <w:r w:rsidRPr="008A44E1">
        <w:rPr>
          <w:sz w:val="24"/>
          <w:szCs w:val="24"/>
        </w:rPr>
        <w:t xml:space="preserve">ikke kendt (kan ikke estimeres ud fra forhåndenværende data).  </w:t>
      </w:r>
    </w:p>
    <w:p w:rsidR="00B415A6" w:rsidRPr="008A44E1" w:rsidRDefault="00B415A6" w:rsidP="00B415A6">
      <w:pPr>
        <w:ind w:left="851"/>
        <w:rPr>
          <w:sz w:val="24"/>
          <w:szCs w:val="24"/>
        </w:rPr>
      </w:pPr>
      <w:r w:rsidRPr="008A44E1">
        <w:rPr>
          <w:sz w:val="24"/>
          <w:szCs w:val="24"/>
        </w:rPr>
        <w:t>Inden for hver hyppighedsgruppe er bivirkningerne opstillet efter aftagende alvorlighed</w:t>
      </w:r>
      <w:r>
        <w:rPr>
          <w:sz w:val="24"/>
          <w:szCs w:val="24"/>
        </w:rPr>
        <w:t>.</w:t>
      </w:r>
    </w:p>
    <w:p w:rsidR="00B415A6" w:rsidRPr="00081827" w:rsidRDefault="00B415A6" w:rsidP="00B415A6">
      <w:pPr>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0"/>
        <w:gridCol w:w="2251"/>
        <w:gridCol w:w="3437"/>
      </w:tblGrid>
      <w:tr w:rsidR="00B415A6" w:rsidRPr="00081827" w:rsidTr="003B4BCE">
        <w:trPr>
          <w:trHeight w:val="331"/>
          <w:jc w:val="center"/>
        </w:trPr>
        <w:tc>
          <w:tcPr>
            <w:tcW w:w="2046" w:type="pct"/>
          </w:tcPr>
          <w:p w:rsidR="00B415A6" w:rsidRPr="00081827" w:rsidRDefault="00B415A6" w:rsidP="003B4BCE">
            <w:pPr>
              <w:rPr>
                <w:b/>
                <w:sz w:val="24"/>
                <w:szCs w:val="24"/>
              </w:rPr>
            </w:pPr>
            <w:r w:rsidRPr="00081827">
              <w:rPr>
                <w:b/>
                <w:bCs/>
                <w:sz w:val="24"/>
                <w:szCs w:val="24"/>
              </w:rPr>
              <w:t>Systemorganklasse</w:t>
            </w:r>
          </w:p>
        </w:tc>
        <w:tc>
          <w:tcPr>
            <w:tcW w:w="1169" w:type="pct"/>
          </w:tcPr>
          <w:p w:rsidR="00B415A6" w:rsidRPr="00081827" w:rsidRDefault="00B415A6" w:rsidP="003B4BCE">
            <w:pPr>
              <w:rPr>
                <w:b/>
                <w:sz w:val="24"/>
                <w:szCs w:val="24"/>
              </w:rPr>
            </w:pPr>
            <w:r w:rsidRPr="00081827">
              <w:rPr>
                <w:b/>
                <w:bCs/>
                <w:sz w:val="24"/>
                <w:szCs w:val="24"/>
              </w:rPr>
              <w:t>Hyppighed</w:t>
            </w:r>
          </w:p>
        </w:tc>
        <w:tc>
          <w:tcPr>
            <w:tcW w:w="1785" w:type="pct"/>
          </w:tcPr>
          <w:p w:rsidR="00B415A6" w:rsidRPr="00081827" w:rsidRDefault="00B415A6" w:rsidP="003B4BCE">
            <w:pPr>
              <w:rPr>
                <w:b/>
                <w:sz w:val="24"/>
                <w:szCs w:val="24"/>
              </w:rPr>
            </w:pPr>
            <w:r w:rsidRPr="00081827">
              <w:rPr>
                <w:b/>
                <w:bCs/>
                <w:sz w:val="24"/>
                <w:szCs w:val="24"/>
              </w:rPr>
              <w:t>Bivirkning</w:t>
            </w:r>
          </w:p>
        </w:tc>
      </w:tr>
      <w:tr w:rsidR="00B415A6" w:rsidRPr="00081827" w:rsidTr="003B4BCE">
        <w:trPr>
          <w:trHeight w:val="375"/>
          <w:jc w:val="center"/>
        </w:trPr>
        <w:tc>
          <w:tcPr>
            <w:tcW w:w="2046" w:type="pct"/>
          </w:tcPr>
          <w:p w:rsidR="00B415A6" w:rsidRPr="00081827" w:rsidRDefault="00B415A6" w:rsidP="003B4BCE">
            <w:pPr>
              <w:rPr>
                <w:sz w:val="24"/>
                <w:szCs w:val="24"/>
              </w:rPr>
            </w:pPr>
            <w:r w:rsidRPr="00081827">
              <w:rPr>
                <w:noProof/>
                <w:sz w:val="24"/>
                <w:szCs w:val="24"/>
              </w:rPr>
              <w:t>Immunsystemet</w:t>
            </w:r>
          </w:p>
        </w:tc>
        <w:tc>
          <w:tcPr>
            <w:tcW w:w="1169" w:type="pct"/>
          </w:tcPr>
          <w:p w:rsidR="00B415A6" w:rsidRPr="00081827" w:rsidRDefault="00B415A6" w:rsidP="003B4BCE">
            <w:pPr>
              <w:rPr>
                <w:sz w:val="24"/>
                <w:szCs w:val="24"/>
              </w:rPr>
            </w:pPr>
            <w:r w:rsidRPr="00081827">
              <w:rPr>
                <w:sz w:val="24"/>
                <w:szCs w:val="24"/>
              </w:rPr>
              <w:t>Ikke kendt</w:t>
            </w:r>
          </w:p>
        </w:tc>
        <w:tc>
          <w:tcPr>
            <w:tcW w:w="1785" w:type="pct"/>
          </w:tcPr>
          <w:p w:rsidR="00B415A6" w:rsidRPr="00081827" w:rsidRDefault="00B415A6" w:rsidP="003B4BCE">
            <w:pPr>
              <w:rPr>
                <w:sz w:val="24"/>
                <w:szCs w:val="24"/>
              </w:rPr>
            </w:pPr>
            <w:proofErr w:type="spellStart"/>
            <w:r w:rsidRPr="00081827">
              <w:rPr>
                <w:sz w:val="24"/>
                <w:szCs w:val="24"/>
              </w:rPr>
              <w:t>Anafylaktisk</w:t>
            </w:r>
            <w:proofErr w:type="spellEnd"/>
            <w:r w:rsidRPr="00081827">
              <w:rPr>
                <w:sz w:val="24"/>
                <w:szCs w:val="24"/>
              </w:rPr>
              <w:t xml:space="preserve"> reaktion, hypersensitivitet.</w:t>
            </w:r>
          </w:p>
        </w:tc>
      </w:tr>
      <w:tr w:rsidR="00B415A6" w:rsidRPr="00081827" w:rsidTr="003B4BCE">
        <w:trPr>
          <w:trHeight w:val="375"/>
          <w:jc w:val="center"/>
        </w:trPr>
        <w:tc>
          <w:tcPr>
            <w:tcW w:w="2046" w:type="pct"/>
          </w:tcPr>
          <w:p w:rsidR="00B415A6" w:rsidRPr="00081827" w:rsidRDefault="00B415A6" w:rsidP="003B4BCE">
            <w:pPr>
              <w:rPr>
                <w:sz w:val="24"/>
                <w:szCs w:val="24"/>
              </w:rPr>
            </w:pPr>
            <w:r w:rsidRPr="00081827">
              <w:rPr>
                <w:noProof/>
                <w:sz w:val="24"/>
                <w:szCs w:val="24"/>
              </w:rPr>
              <w:t>Det endokrine system</w:t>
            </w:r>
          </w:p>
        </w:tc>
        <w:tc>
          <w:tcPr>
            <w:tcW w:w="1169" w:type="pct"/>
          </w:tcPr>
          <w:p w:rsidR="00B415A6" w:rsidRPr="00081827" w:rsidRDefault="00B415A6" w:rsidP="003B4BCE">
            <w:pPr>
              <w:rPr>
                <w:sz w:val="24"/>
                <w:szCs w:val="24"/>
              </w:rPr>
            </w:pPr>
            <w:r w:rsidRPr="00081827">
              <w:rPr>
                <w:sz w:val="24"/>
                <w:szCs w:val="24"/>
              </w:rPr>
              <w:t>Ikke kendt</w:t>
            </w:r>
          </w:p>
        </w:tc>
        <w:tc>
          <w:tcPr>
            <w:tcW w:w="1785" w:type="pct"/>
          </w:tcPr>
          <w:p w:rsidR="00B415A6" w:rsidRPr="00081827" w:rsidRDefault="00B415A6" w:rsidP="003B4BCE">
            <w:pPr>
              <w:rPr>
                <w:sz w:val="24"/>
                <w:szCs w:val="24"/>
                <w:lang w:val="sv-SE"/>
              </w:rPr>
            </w:pPr>
            <w:r w:rsidRPr="00081827">
              <w:rPr>
                <w:sz w:val="24"/>
                <w:szCs w:val="24"/>
                <w:lang w:val="fr-FR"/>
              </w:rPr>
              <w:t>Cushings syndrom, adrenal suppression (se pkt. 4.4).</w:t>
            </w:r>
          </w:p>
        </w:tc>
      </w:tr>
      <w:tr w:rsidR="00B415A6" w:rsidRPr="00081827" w:rsidTr="003B4BCE">
        <w:trPr>
          <w:trHeight w:val="558"/>
          <w:jc w:val="center"/>
        </w:trPr>
        <w:tc>
          <w:tcPr>
            <w:tcW w:w="2046" w:type="pct"/>
          </w:tcPr>
          <w:p w:rsidR="00B415A6" w:rsidRPr="00081827" w:rsidRDefault="00B415A6" w:rsidP="003B4BCE">
            <w:pPr>
              <w:rPr>
                <w:sz w:val="24"/>
                <w:szCs w:val="24"/>
              </w:rPr>
            </w:pPr>
            <w:r w:rsidRPr="00081827">
              <w:rPr>
                <w:bCs/>
                <w:noProof/>
                <w:sz w:val="24"/>
                <w:szCs w:val="24"/>
              </w:rPr>
              <w:t>Nervesystemet</w:t>
            </w:r>
          </w:p>
        </w:tc>
        <w:tc>
          <w:tcPr>
            <w:tcW w:w="1169" w:type="pct"/>
          </w:tcPr>
          <w:p w:rsidR="00B415A6" w:rsidRPr="00081827" w:rsidRDefault="00B415A6" w:rsidP="003B4BCE">
            <w:pPr>
              <w:rPr>
                <w:sz w:val="24"/>
                <w:szCs w:val="24"/>
              </w:rPr>
            </w:pPr>
            <w:r w:rsidRPr="00081827">
              <w:rPr>
                <w:sz w:val="24"/>
                <w:szCs w:val="24"/>
              </w:rPr>
              <w:t xml:space="preserve">Ikke almindelig </w:t>
            </w:r>
          </w:p>
          <w:p w:rsidR="00B415A6" w:rsidRPr="00081827" w:rsidRDefault="00B415A6" w:rsidP="003B4BCE">
            <w:pPr>
              <w:rPr>
                <w:sz w:val="24"/>
                <w:szCs w:val="24"/>
              </w:rPr>
            </w:pPr>
          </w:p>
          <w:p w:rsidR="00B415A6" w:rsidRPr="00081827" w:rsidRDefault="00B415A6" w:rsidP="003B4BCE">
            <w:pPr>
              <w:rPr>
                <w:sz w:val="24"/>
                <w:szCs w:val="24"/>
              </w:rPr>
            </w:pPr>
            <w:r w:rsidRPr="00081827">
              <w:rPr>
                <w:sz w:val="24"/>
                <w:szCs w:val="24"/>
              </w:rPr>
              <w:t>Ikke kendt</w:t>
            </w:r>
          </w:p>
        </w:tc>
        <w:tc>
          <w:tcPr>
            <w:tcW w:w="1785" w:type="pct"/>
          </w:tcPr>
          <w:p w:rsidR="00B415A6" w:rsidRPr="00081827" w:rsidRDefault="00B415A6" w:rsidP="003B4BCE">
            <w:pPr>
              <w:rPr>
                <w:sz w:val="24"/>
                <w:szCs w:val="24"/>
              </w:rPr>
            </w:pPr>
            <w:r w:rsidRPr="00081827">
              <w:rPr>
                <w:sz w:val="24"/>
                <w:szCs w:val="24"/>
              </w:rPr>
              <w:t>Hovedpine.</w:t>
            </w:r>
          </w:p>
          <w:p w:rsidR="00B415A6" w:rsidRPr="00081827" w:rsidRDefault="00B415A6" w:rsidP="003B4BCE">
            <w:pPr>
              <w:rPr>
                <w:sz w:val="24"/>
                <w:szCs w:val="24"/>
              </w:rPr>
            </w:pPr>
          </w:p>
          <w:p w:rsidR="00B415A6" w:rsidRPr="00081827" w:rsidRDefault="00B415A6" w:rsidP="003B4BCE">
            <w:pPr>
              <w:rPr>
                <w:sz w:val="24"/>
                <w:szCs w:val="24"/>
              </w:rPr>
            </w:pPr>
            <w:r w:rsidRPr="00081827">
              <w:rPr>
                <w:sz w:val="24"/>
                <w:szCs w:val="24"/>
              </w:rPr>
              <w:t>Svimmelhed.</w:t>
            </w:r>
          </w:p>
        </w:tc>
      </w:tr>
      <w:tr w:rsidR="00B415A6" w:rsidRPr="00081827" w:rsidTr="003B4BCE">
        <w:trPr>
          <w:trHeight w:val="616"/>
          <w:jc w:val="center"/>
        </w:trPr>
        <w:tc>
          <w:tcPr>
            <w:tcW w:w="2046" w:type="pct"/>
          </w:tcPr>
          <w:p w:rsidR="00B415A6" w:rsidRPr="00081827" w:rsidRDefault="00B415A6" w:rsidP="003B4BCE">
            <w:pPr>
              <w:rPr>
                <w:sz w:val="24"/>
                <w:szCs w:val="24"/>
              </w:rPr>
            </w:pPr>
            <w:r w:rsidRPr="00081827">
              <w:rPr>
                <w:sz w:val="24"/>
                <w:szCs w:val="24"/>
              </w:rPr>
              <w:t>Øjne</w:t>
            </w:r>
          </w:p>
        </w:tc>
        <w:tc>
          <w:tcPr>
            <w:tcW w:w="1169" w:type="pct"/>
          </w:tcPr>
          <w:p w:rsidR="00B415A6" w:rsidRPr="00081827" w:rsidRDefault="00B415A6" w:rsidP="003B4BCE">
            <w:pPr>
              <w:rPr>
                <w:sz w:val="24"/>
                <w:szCs w:val="24"/>
              </w:rPr>
            </w:pPr>
            <w:r w:rsidRPr="00081827">
              <w:rPr>
                <w:sz w:val="24"/>
                <w:szCs w:val="24"/>
              </w:rPr>
              <w:t xml:space="preserve">Ikke almindelig </w:t>
            </w:r>
          </w:p>
          <w:p w:rsidR="00B415A6" w:rsidRPr="00081827" w:rsidRDefault="00B415A6" w:rsidP="003B4BCE">
            <w:pPr>
              <w:rPr>
                <w:sz w:val="24"/>
                <w:szCs w:val="24"/>
              </w:rPr>
            </w:pPr>
          </w:p>
          <w:p w:rsidR="00B415A6" w:rsidRPr="00081827" w:rsidRDefault="00B415A6" w:rsidP="003B4BCE">
            <w:pPr>
              <w:rPr>
                <w:sz w:val="24"/>
                <w:szCs w:val="24"/>
              </w:rPr>
            </w:pPr>
          </w:p>
          <w:p w:rsidR="00B415A6" w:rsidRPr="00081827" w:rsidRDefault="00B415A6" w:rsidP="003B4BCE">
            <w:pPr>
              <w:rPr>
                <w:sz w:val="24"/>
                <w:szCs w:val="24"/>
              </w:rPr>
            </w:pPr>
          </w:p>
          <w:p w:rsidR="00B415A6" w:rsidRPr="00081827" w:rsidRDefault="00B415A6" w:rsidP="003B4BCE">
            <w:pPr>
              <w:rPr>
                <w:sz w:val="24"/>
                <w:szCs w:val="24"/>
              </w:rPr>
            </w:pPr>
          </w:p>
          <w:p w:rsidR="00B415A6" w:rsidRPr="00081827" w:rsidRDefault="00B415A6" w:rsidP="003B4BCE">
            <w:pPr>
              <w:rPr>
                <w:sz w:val="24"/>
                <w:szCs w:val="24"/>
              </w:rPr>
            </w:pPr>
          </w:p>
          <w:p w:rsidR="00B415A6" w:rsidRPr="00081827" w:rsidRDefault="00B415A6" w:rsidP="003B4BCE">
            <w:pPr>
              <w:rPr>
                <w:sz w:val="24"/>
                <w:szCs w:val="24"/>
              </w:rPr>
            </w:pPr>
            <w:r w:rsidRPr="00081827">
              <w:rPr>
                <w:sz w:val="24"/>
                <w:szCs w:val="24"/>
              </w:rPr>
              <w:t>Sjælden</w:t>
            </w:r>
          </w:p>
          <w:p w:rsidR="00B415A6" w:rsidRPr="00081827" w:rsidRDefault="00B415A6" w:rsidP="003B4BCE">
            <w:pPr>
              <w:rPr>
                <w:sz w:val="24"/>
                <w:szCs w:val="24"/>
              </w:rPr>
            </w:pPr>
          </w:p>
          <w:p w:rsidR="00B415A6" w:rsidRPr="00081827" w:rsidRDefault="00B415A6" w:rsidP="003B4BCE">
            <w:pPr>
              <w:rPr>
                <w:sz w:val="24"/>
                <w:szCs w:val="24"/>
              </w:rPr>
            </w:pPr>
          </w:p>
          <w:p w:rsidR="00B415A6" w:rsidRPr="00081827" w:rsidRDefault="00B415A6" w:rsidP="003B4BCE">
            <w:pPr>
              <w:rPr>
                <w:sz w:val="24"/>
                <w:szCs w:val="24"/>
              </w:rPr>
            </w:pPr>
          </w:p>
          <w:p w:rsidR="00B415A6" w:rsidRPr="00081827" w:rsidRDefault="00B415A6" w:rsidP="003B4BCE">
            <w:pPr>
              <w:rPr>
                <w:sz w:val="24"/>
                <w:szCs w:val="24"/>
              </w:rPr>
            </w:pPr>
            <w:r w:rsidRPr="00081827">
              <w:rPr>
                <w:sz w:val="24"/>
                <w:szCs w:val="24"/>
              </w:rPr>
              <w:t>Ikke kendt</w:t>
            </w:r>
          </w:p>
        </w:tc>
        <w:tc>
          <w:tcPr>
            <w:tcW w:w="1785" w:type="pct"/>
          </w:tcPr>
          <w:p w:rsidR="00B415A6" w:rsidRPr="00081827" w:rsidRDefault="00B415A6" w:rsidP="003B4BCE">
            <w:pPr>
              <w:rPr>
                <w:sz w:val="24"/>
                <w:szCs w:val="24"/>
              </w:rPr>
            </w:pPr>
            <w:r w:rsidRPr="00081827">
              <w:rPr>
                <w:sz w:val="24"/>
                <w:szCs w:val="24"/>
              </w:rPr>
              <w:t xml:space="preserve">Øjensmerter, øjenkløe, </w:t>
            </w:r>
          </w:p>
          <w:p w:rsidR="00B415A6" w:rsidRPr="00081827" w:rsidRDefault="00B415A6" w:rsidP="003B4BCE">
            <w:pPr>
              <w:rPr>
                <w:sz w:val="24"/>
                <w:szCs w:val="24"/>
              </w:rPr>
            </w:pPr>
            <w:proofErr w:type="spellStart"/>
            <w:r w:rsidRPr="00081827">
              <w:rPr>
                <w:sz w:val="24"/>
                <w:szCs w:val="24"/>
              </w:rPr>
              <w:t>okulært</w:t>
            </w:r>
            <w:proofErr w:type="spellEnd"/>
            <w:r w:rsidRPr="00081827">
              <w:rPr>
                <w:sz w:val="24"/>
                <w:szCs w:val="24"/>
              </w:rPr>
              <w:t xml:space="preserve"> ubehag, </w:t>
            </w:r>
            <w:proofErr w:type="spellStart"/>
            <w:r w:rsidRPr="00081827">
              <w:rPr>
                <w:sz w:val="24"/>
                <w:szCs w:val="24"/>
              </w:rPr>
              <w:t>okulær</w:t>
            </w:r>
            <w:proofErr w:type="spellEnd"/>
            <w:r w:rsidRPr="00081827">
              <w:rPr>
                <w:sz w:val="24"/>
                <w:szCs w:val="24"/>
              </w:rPr>
              <w:t xml:space="preserve"> hypertension, konjunktivalt ødem, øget </w:t>
            </w:r>
            <w:proofErr w:type="spellStart"/>
            <w:r w:rsidRPr="00081827">
              <w:rPr>
                <w:sz w:val="24"/>
                <w:szCs w:val="24"/>
              </w:rPr>
              <w:t>intraokulært</w:t>
            </w:r>
            <w:proofErr w:type="spellEnd"/>
            <w:r w:rsidRPr="00081827">
              <w:rPr>
                <w:sz w:val="24"/>
                <w:szCs w:val="24"/>
              </w:rPr>
              <w:t xml:space="preserve"> tryk, øjenirritation.</w:t>
            </w:r>
          </w:p>
          <w:p w:rsidR="00B415A6" w:rsidRPr="00081827" w:rsidRDefault="00B415A6" w:rsidP="003B4BCE">
            <w:pPr>
              <w:rPr>
                <w:sz w:val="24"/>
                <w:szCs w:val="24"/>
              </w:rPr>
            </w:pPr>
          </w:p>
          <w:p w:rsidR="00B415A6" w:rsidRPr="00081827" w:rsidRDefault="00B415A6" w:rsidP="003B4BCE">
            <w:pPr>
              <w:rPr>
                <w:sz w:val="24"/>
                <w:szCs w:val="24"/>
              </w:rPr>
            </w:pPr>
            <w:proofErr w:type="spellStart"/>
            <w:r w:rsidRPr="00081827">
              <w:rPr>
                <w:sz w:val="24"/>
                <w:szCs w:val="24"/>
              </w:rPr>
              <w:t>Keratitis</w:t>
            </w:r>
            <w:proofErr w:type="spellEnd"/>
            <w:r w:rsidRPr="00081827">
              <w:rPr>
                <w:sz w:val="24"/>
                <w:szCs w:val="24"/>
              </w:rPr>
              <w:t xml:space="preserve">, øjenallergi, sløret syn (se også pkt. 4.4), øjentørhed, </w:t>
            </w:r>
            <w:proofErr w:type="spellStart"/>
            <w:r w:rsidRPr="00081827">
              <w:rPr>
                <w:sz w:val="24"/>
                <w:szCs w:val="24"/>
              </w:rPr>
              <w:t>okulær</w:t>
            </w:r>
            <w:proofErr w:type="spellEnd"/>
            <w:r w:rsidRPr="00081827">
              <w:rPr>
                <w:sz w:val="24"/>
                <w:szCs w:val="24"/>
              </w:rPr>
              <w:t xml:space="preserve"> </w:t>
            </w:r>
            <w:proofErr w:type="spellStart"/>
            <w:r w:rsidRPr="00081827">
              <w:rPr>
                <w:sz w:val="24"/>
                <w:szCs w:val="24"/>
              </w:rPr>
              <w:t>hyperæmi</w:t>
            </w:r>
            <w:proofErr w:type="spellEnd"/>
            <w:r w:rsidRPr="00081827">
              <w:rPr>
                <w:sz w:val="24"/>
                <w:szCs w:val="24"/>
              </w:rPr>
              <w:t>.</w:t>
            </w:r>
          </w:p>
          <w:p w:rsidR="00B415A6" w:rsidRPr="00081827" w:rsidRDefault="00B415A6" w:rsidP="003B4BCE">
            <w:pPr>
              <w:rPr>
                <w:sz w:val="24"/>
                <w:szCs w:val="24"/>
              </w:rPr>
            </w:pPr>
          </w:p>
          <w:p w:rsidR="00B415A6" w:rsidRPr="00081827" w:rsidRDefault="00B415A6" w:rsidP="003B4BCE">
            <w:pPr>
              <w:rPr>
                <w:sz w:val="24"/>
                <w:szCs w:val="24"/>
              </w:rPr>
            </w:pPr>
            <w:r w:rsidRPr="00081827">
              <w:rPr>
                <w:sz w:val="24"/>
                <w:szCs w:val="24"/>
              </w:rPr>
              <w:t xml:space="preserve">Øjenlågsødem, </w:t>
            </w:r>
            <w:proofErr w:type="spellStart"/>
            <w:r w:rsidRPr="00081827">
              <w:rPr>
                <w:sz w:val="24"/>
                <w:szCs w:val="24"/>
              </w:rPr>
              <w:t>erytem</w:t>
            </w:r>
            <w:proofErr w:type="spellEnd"/>
            <w:r w:rsidRPr="00081827">
              <w:rPr>
                <w:sz w:val="24"/>
                <w:szCs w:val="24"/>
              </w:rPr>
              <w:t xml:space="preserve"> i øjenlåget, </w:t>
            </w:r>
            <w:proofErr w:type="spellStart"/>
            <w:r w:rsidRPr="00081827">
              <w:rPr>
                <w:sz w:val="24"/>
                <w:szCs w:val="24"/>
              </w:rPr>
              <w:t>mydriasis</w:t>
            </w:r>
            <w:proofErr w:type="spellEnd"/>
            <w:r w:rsidRPr="00081827">
              <w:rPr>
                <w:sz w:val="24"/>
                <w:szCs w:val="24"/>
              </w:rPr>
              <w:t>, øget tåreflod.</w:t>
            </w:r>
          </w:p>
        </w:tc>
      </w:tr>
      <w:tr w:rsidR="00B415A6" w:rsidRPr="00081827" w:rsidTr="003B4BCE">
        <w:trPr>
          <w:trHeight w:val="93"/>
          <w:jc w:val="center"/>
        </w:trPr>
        <w:tc>
          <w:tcPr>
            <w:tcW w:w="2046" w:type="pct"/>
          </w:tcPr>
          <w:p w:rsidR="00B415A6" w:rsidRPr="00081827" w:rsidRDefault="00B415A6" w:rsidP="003B4BCE">
            <w:pPr>
              <w:rPr>
                <w:rFonts w:eastAsia="MS Mincho"/>
                <w:sz w:val="24"/>
                <w:szCs w:val="24"/>
                <w:lang w:val="en-US"/>
              </w:rPr>
            </w:pPr>
            <w:r w:rsidRPr="00081827">
              <w:rPr>
                <w:noProof/>
                <w:sz w:val="24"/>
                <w:szCs w:val="24"/>
              </w:rPr>
              <w:t xml:space="preserve">Luftveje, thorax og mediastinum  </w:t>
            </w:r>
          </w:p>
        </w:tc>
        <w:tc>
          <w:tcPr>
            <w:tcW w:w="1169" w:type="pct"/>
          </w:tcPr>
          <w:p w:rsidR="00B415A6" w:rsidRPr="00081827" w:rsidRDefault="00B415A6" w:rsidP="003B4BCE">
            <w:pPr>
              <w:rPr>
                <w:sz w:val="24"/>
                <w:szCs w:val="24"/>
              </w:rPr>
            </w:pPr>
            <w:r w:rsidRPr="00081827">
              <w:rPr>
                <w:sz w:val="24"/>
                <w:szCs w:val="24"/>
              </w:rPr>
              <w:t>Ikke almindelig</w:t>
            </w:r>
          </w:p>
        </w:tc>
        <w:tc>
          <w:tcPr>
            <w:tcW w:w="1785" w:type="pct"/>
          </w:tcPr>
          <w:p w:rsidR="00B415A6" w:rsidRPr="00081827" w:rsidRDefault="00B415A6" w:rsidP="003B4BCE">
            <w:pPr>
              <w:rPr>
                <w:sz w:val="24"/>
                <w:szCs w:val="24"/>
              </w:rPr>
            </w:pPr>
            <w:proofErr w:type="spellStart"/>
            <w:r w:rsidRPr="00081827">
              <w:rPr>
                <w:sz w:val="24"/>
                <w:szCs w:val="24"/>
              </w:rPr>
              <w:t>Rinorré</w:t>
            </w:r>
            <w:proofErr w:type="spellEnd"/>
            <w:r w:rsidRPr="00081827">
              <w:rPr>
                <w:sz w:val="24"/>
                <w:szCs w:val="24"/>
              </w:rPr>
              <w:t xml:space="preserve">, </w:t>
            </w:r>
            <w:proofErr w:type="spellStart"/>
            <w:r w:rsidRPr="00081827">
              <w:rPr>
                <w:sz w:val="24"/>
                <w:szCs w:val="24"/>
              </w:rPr>
              <w:t>laryngospasmer</w:t>
            </w:r>
            <w:proofErr w:type="spellEnd"/>
            <w:r w:rsidRPr="00081827">
              <w:rPr>
                <w:sz w:val="24"/>
                <w:szCs w:val="24"/>
              </w:rPr>
              <w:t>.</w:t>
            </w:r>
          </w:p>
        </w:tc>
      </w:tr>
      <w:tr w:rsidR="00B415A6" w:rsidRPr="00081827" w:rsidTr="003B4BCE">
        <w:trPr>
          <w:trHeight w:val="616"/>
          <w:jc w:val="center"/>
        </w:trPr>
        <w:tc>
          <w:tcPr>
            <w:tcW w:w="2046" w:type="pct"/>
          </w:tcPr>
          <w:p w:rsidR="00B415A6" w:rsidRPr="00081827" w:rsidRDefault="00B415A6" w:rsidP="003B4BCE">
            <w:pPr>
              <w:rPr>
                <w:sz w:val="24"/>
                <w:szCs w:val="24"/>
              </w:rPr>
            </w:pPr>
            <w:r w:rsidRPr="00081827">
              <w:rPr>
                <w:noProof/>
                <w:sz w:val="24"/>
                <w:szCs w:val="24"/>
              </w:rPr>
              <w:t xml:space="preserve">Mave-tarm-kanalen  </w:t>
            </w:r>
            <w:r w:rsidRPr="00081827">
              <w:rPr>
                <w:noProof/>
                <w:sz w:val="24"/>
                <w:szCs w:val="24"/>
                <w:lang w:val="el-GR"/>
              </w:rPr>
              <w:t xml:space="preserve"> </w:t>
            </w:r>
          </w:p>
        </w:tc>
        <w:tc>
          <w:tcPr>
            <w:tcW w:w="1169" w:type="pct"/>
          </w:tcPr>
          <w:p w:rsidR="00B415A6" w:rsidRPr="00081827" w:rsidRDefault="00B415A6" w:rsidP="003B4BCE">
            <w:pPr>
              <w:rPr>
                <w:sz w:val="24"/>
                <w:szCs w:val="24"/>
              </w:rPr>
            </w:pPr>
            <w:r w:rsidRPr="00081827">
              <w:rPr>
                <w:sz w:val="24"/>
                <w:szCs w:val="24"/>
              </w:rPr>
              <w:t>Sjælden</w:t>
            </w:r>
          </w:p>
          <w:p w:rsidR="00B415A6" w:rsidRPr="00081827" w:rsidRDefault="00B415A6" w:rsidP="003B4BCE">
            <w:pPr>
              <w:rPr>
                <w:sz w:val="24"/>
                <w:szCs w:val="24"/>
              </w:rPr>
            </w:pPr>
          </w:p>
          <w:p w:rsidR="00B415A6" w:rsidRPr="00081827" w:rsidRDefault="00B415A6" w:rsidP="003B4BCE">
            <w:pPr>
              <w:rPr>
                <w:sz w:val="24"/>
                <w:szCs w:val="24"/>
              </w:rPr>
            </w:pPr>
            <w:r w:rsidRPr="00081827">
              <w:rPr>
                <w:sz w:val="24"/>
                <w:szCs w:val="24"/>
              </w:rPr>
              <w:t>Ikke kendt</w:t>
            </w:r>
          </w:p>
        </w:tc>
        <w:tc>
          <w:tcPr>
            <w:tcW w:w="1785" w:type="pct"/>
          </w:tcPr>
          <w:p w:rsidR="00B415A6" w:rsidRPr="00081827" w:rsidRDefault="00B415A6" w:rsidP="003B4BCE">
            <w:pPr>
              <w:rPr>
                <w:sz w:val="24"/>
                <w:szCs w:val="24"/>
              </w:rPr>
            </w:pPr>
            <w:proofErr w:type="spellStart"/>
            <w:r w:rsidRPr="00081827">
              <w:rPr>
                <w:sz w:val="24"/>
                <w:szCs w:val="24"/>
              </w:rPr>
              <w:t>Dysgeusi</w:t>
            </w:r>
            <w:proofErr w:type="spellEnd"/>
            <w:r w:rsidRPr="00081827">
              <w:rPr>
                <w:sz w:val="24"/>
                <w:szCs w:val="24"/>
              </w:rPr>
              <w:t>.</w:t>
            </w:r>
          </w:p>
          <w:p w:rsidR="00B415A6" w:rsidRPr="00081827" w:rsidRDefault="00B415A6" w:rsidP="003B4BCE">
            <w:pPr>
              <w:rPr>
                <w:sz w:val="24"/>
                <w:szCs w:val="24"/>
              </w:rPr>
            </w:pPr>
          </w:p>
          <w:p w:rsidR="00B415A6" w:rsidRPr="00081827" w:rsidRDefault="00B415A6" w:rsidP="003B4BCE">
            <w:pPr>
              <w:rPr>
                <w:sz w:val="24"/>
                <w:szCs w:val="24"/>
              </w:rPr>
            </w:pPr>
            <w:r w:rsidRPr="00081827">
              <w:rPr>
                <w:sz w:val="24"/>
                <w:szCs w:val="24"/>
              </w:rPr>
              <w:t xml:space="preserve">Kvalme, </w:t>
            </w:r>
            <w:proofErr w:type="spellStart"/>
            <w:r w:rsidRPr="00081827">
              <w:rPr>
                <w:sz w:val="24"/>
                <w:szCs w:val="24"/>
              </w:rPr>
              <w:t>abdominalt</w:t>
            </w:r>
            <w:proofErr w:type="spellEnd"/>
            <w:r w:rsidRPr="00081827">
              <w:rPr>
                <w:sz w:val="24"/>
                <w:szCs w:val="24"/>
              </w:rPr>
              <w:t xml:space="preserve"> ubehag.</w:t>
            </w:r>
          </w:p>
        </w:tc>
      </w:tr>
      <w:tr w:rsidR="00B415A6" w:rsidRPr="00081827" w:rsidTr="003B4BCE">
        <w:trPr>
          <w:trHeight w:val="296"/>
          <w:jc w:val="center"/>
        </w:trPr>
        <w:tc>
          <w:tcPr>
            <w:tcW w:w="2046" w:type="pct"/>
          </w:tcPr>
          <w:p w:rsidR="00B415A6" w:rsidRPr="00081827" w:rsidRDefault="00B415A6" w:rsidP="003B4BCE">
            <w:pPr>
              <w:rPr>
                <w:sz w:val="24"/>
                <w:szCs w:val="24"/>
                <w:lang w:val="en-US"/>
              </w:rPr>
            </w:pPr>
            <w:r w:rsidRPr="00081827">
              <w:rPr>
                <w:noProof/>
                <w:sz w:val="24"/>
                <w:szCs w:val="24"/>
                <w:lang w:val="de-DE"/>
              </w:rPr>
              <w:t>Hud og subkutane væv</w:t>
            </w:r>
          </w:p>
        </w:tc>
        <w:tc>
          <w:tcPr>
            <w:tcW w:w="1169" w:type="pct"/>
          </w:tcPr>
          <w:p w:rsidR="00B415A6" w:rsidRPr="00081827" w:rsidRDefault="00B415A6" w:rsidP="003B4BCE">
            <w:pPr>
              <w:rPr>
                <w:sz w:val="24"/>
                <w:szCs w:val="24"/>
              </w:rPr>
            </w:pPr>
            <w:r w:rsidRPr="00081827">
              <w:rPr>
                <w:sz w:val="24"/>
                <w:szCs w:val="24"/>
              </w:rPr>
              <w:t>Ikke kendt</w:t>
            </w:r>
          </w:p>
        </w:tc>
        <w:tc>
          <w:tcPr>
            <w:tcW w:w="1785" w:type="pct"/>
          </w:tcPr>
          <w:p w:rsidR="00B415A6" w:rsidRPr="00081827" w:rsidRDefault="00B415A6" w:rsidP="003B4BCE">
            <w:pPr>
              <w:rPr>
                <w:sz w:val="24"/>
                <w:szCs w:val="24"/>
              </w:rPr>
            </w:pPr>
            <w:proofErr w:type="spellStart"/>
            <w:r w:rsidRPr="00081827">
              <w:rPr>
                <w:sz w:val="24"/>
                <w:szCs w:val="24"/>
              </w:rPr>
              <w:t>Erythema</w:t>
            </w:r>
            <w:proofErr w:type="spellEnd"/>
            <w:r w:rsidRPr="00081827">
              <w:rPr>
                <w:sz w:val="24"/>
                <w:szCs w:val="24"/>
              </w:rPr>
              <w:t xml:space="preserve"> multiforme, udslæt, hævelse i ansigtet, kløe.</w:t>
            </w:r>
          </w:p>
        </w:tc>
      </w:tr>
    </w:tbl>
    <w:p w:rsidR="00B415A6" w:rsidRPr="000D02F4" w:rsidRDefault="00B415A6" w:rsidP="00B415A6">
      <w:pPr>
        <w:tabs>
          <w:tab w:val="left" w:pos="1061"/>
          <w:tab w:val="left" w:pos="1628"/>
          <w:tab w:val="left" w:pos="2195"/>
          <w:tab w:val="left" w:pos="2915"/>
          <w:tab w:val="left" w:pos="3635"/>
          <w:tab w:val="left" w:pos="4355"/>
          <w:tab w:val="left" w:pos="5075"/>
          <w:tab w:val="left" w:pos="10862"/>
          <w:tab w:val="left" w:pos="12158"/>
          <w:tab w:val="left" w:pos="13454"/>
          <w:tab w:val="left" w:pos="14750"/>
          <w:tab w:val="left" w:pos="16046"/>
          <w:tab w:val="left" w:pos="17342"/>
          <w:tab w:val="left" w:pos="18638"/>
          <w:tab w:val="left" w:pos="19934"/>
          <w:tab w:val="left" w:pos="21230"/>
          <w:tab w:val="left" w:pos="22526"/>
          <w:tab w:val="left" w:pos="23822"/>
          <w:tab w:val="left" w:pos="25118"/>
          <w:tab w:val="left" w:pos="26414"/>
          <w:tab w:val="left" w:pos="27710"/>
          <w:tab w:val="left" w:pos="29006"/>
          <w:tab w:val="left" w:pos="30302"/>
          <w:tab w:val="left" w:pos="30474"/>
        </w:tabs>
        <w:rPr>
          <w:sz w:val="24"/>
          <w:szCs w:val="24"/>
        </w:rPr>
      </w:pPr>
    </w:p>
    <w:p w:rsidR="00B415A6" w:rsidRPr="000D02F4" w:rsidRDefault="00B415A6" w:rsidP="00B415A6">
      <w:pPr>
        <w:ind w:left="851"/>
        <w:rPr>
          <w:b/>
          <w:sz w:val="24"/>
          <w:szCs w:val="24"/>
          <w:u w:val="single"/>
        </w:rPr>
      </w:pPr>
      <w:r w:rsidRPr="000D02F4">
        <w:rPr>
          <w:b/>
          <w:sz w:val="24"/>
          <w:szCs w:val="24"/>
          <w:u w:val="single"/>
        </w:rPr>
        <w:t>Beskrivelse af udvalgte bivirkninger</w:t>
      </w:r>
    </w:p>
    <w:p w:rsidR="00B415A6" w:rsidRPr="000D02F4" w:rsidRDefault="00B415A6" w:rsidP="00B415A6">
      <w:pPr>
        <w:ind w:left="851"/>
        <w:rPr>
          <w:sz w:val="24"/>
          <w:szCs w:val="24"/>
        </w:rPr>
      </w:pPr>
      <w:r w:rsidRPr="000D02F4">
        <w:rPr>
          <w:sz w:val="24"/>
          <w:szCs w:val="24"/>
        </w:rPr>
        <w:t xml:space="preserve">Følgende bivirkninger er blevet observeret efter brug med </w:t>
      </w:r>
      <w:proofErr w:type="spellStart"/>
      <w:r w:rsidRPr="000D02F4">
        <w:rPr>
          <w:sz w:val="24"/>
          <w:szCs w:val="24"/>
        </w:rPr>
        <w:t>dexamethason</w:t>
      </w:r>
      <w:proofErr w:type="spellEnd"/>
      <w:r w:rsidRPr="000D02F4">
        <w:rPr>
          <w:sz w:val="24"/>
          <w:szCs w:val="24"/>
        </w:rPr>
        <w:t xml:space="preserve"> øjendråber, opløsning:</w:t>
      </w:r>
    </w:p>
    <w:p w:rsidR="00B415A6" w:rsidRPr="000D02F4" w:rsidRDefault="00B415A6" w:rsidP="00B415A6">
      <w:pPr>
        <w:tabs>
          <w:tab w:val="left" w:pos="1061"/>
          <w:tab w:val="left" w:pos="1628"/>
          <w:tab w:val="left" w:pos="2195"/>
          <w:tab w:val="left" w:pos="2915"/>
          <w:tab w:val="left" w:pos="3635"/>
          <w:tab w:val="left" w:pos="4355"/>
          <w:tab w:val="left" w:pos="5075"/>
          <w:tab w:val="left" w:pos="10862"/>
          <w:tab w:val="left" w:pos="12158"/>
          <w:tab w:val="left" w:pos="13454"/>
          <w:tab w:val="left" w:pos="14750"/>
          <w:tab w:val="left" w:pos="16046"/>
          <w:tab w:val="left" w:pos="17342"/>
          <w:tab w:val="left" w:pos="18638"/>
          <w:tab w:val="left" w:pos="19934"/>
          <w:tab w:val="left" w:pos="21230"/>
          <w:tab w:val="left" w:pos="22526"/>
          <w:tab w:val="left" w:pos="23822"/>
          <w:tab w:val="left" w:pos="25118"/>
          <w:tab w:val="left" w:pos="26414"/>
          <w:tab w:val="left" w:pos="27710"/>
          <w:tab w:val="left" w:pos="29006"/>
          <w:tab w:val="left" w:pos="30302"/>
          <w:tab w:val="left" w:pos="30474"/>
        </w:tabs>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2"/>
        <w:gridCol w:w="2853"/>
        <w:gridCol w:w="2863"/>
      </w:tblGrid>
      <w:tr w:rsidR="00B415A6" w:rsidRPr="000D02F4" w:rsidTr="003B4BCE">
        <w:trPr>
          <w:jc w:val="center"/>
        </w:trPr>
        <w:tc>
          <w:tcPr>
            <w:tcW w:w="2031" w:type="pct"/>
          </w:tcPr>
          <w:p w:rsidR="00B415A6" w:rsidRPr="000D02F4" w:rsidRDefault="00B415A6" w:rsidP="003B4BCE">
            <w:pPr>
              <w:pStyle w:val="Normalindrykning"/>
              <w:tabs>
                <w:tab w:val="left" w:pos="2321"/>
              </w:tabs>
              <w:spacing w:after="0"/>
              <w:ind w:left="0"/>
              <w:rPr>
                <w:b/>
                <w:sz w:val="24"/>
                <w:szCs w:val="24"/>
                <w:lang w:val="da-DK"/>
              </w:rPr>
            </w:pPr>
            <w:proofErr w:type="spellStart"/>
            <w:r w:rsidRPr="000D02F4">
              <w:rPr>
                <w:b/>
                <w:bCs/>
                <w:sz w:val="24"/>
                <w:szCs w:val="24"/>
              </w:rPr>
              <w:t>Systemorganklasse</w:t>
            </w:r>
            <w:proofErr w:type="spellEnd"/>
          </w:p>
        </w:tc>
        <w:tc>
          <w:tcPr>
            <w:tcW w:w="1481" w:type="pct"/>
          </w:tcPr>
          <w:p w:rsidR="00B415A6" w:rsidRPr="000D02F4" w:rsidRDefault="00B415A6" w:rsidP="003B4BCE">
            <w:pPr>
              <w:pStyle w:val="Normalindrykning"/>
              <w:tabs>
                <w:tab w:val="left" w:pos="2321"/>
              </w:tabs>
              <w:spacing w:after="0"/>
              <w:ind w:left="0"/>
              <w:rPr>
                <w:b/>
                <w:sz w:val="24"/>
                <w:szCs w:val="24"/>
                <w:lang w:val="da-DK"/>
              </w:rPr>
            </w:pPr>
            <w:proofErr w:type="spellStart"/>
            <w:r w:rsidRPr="000D02F4">
              <w:rPr>
                <w:b/>
                <w:bCs/>
                <w:sz w:val="24"/>
                <w:szCs w:val="24"/>
              </w:rPr>
              <w:t>Hyppighed</w:t>
            </w:r>
            <w:proofErr w:type="spellEnd"/>
          </w:p>
        </w:tc>
        <w:tc>
          <w:tcPr>
            <w:tcW w:w="1487" w:type="pct"/>
          </w:tcPr>
          <w:p w:rsidR="00B415A6" w:rsidRPr="000D02F4" w:rsidRDefault="00B415A6" w:rsidP="003B4BCE">
            <w:pPr>
              <w:pStyle w:val="Normalindrykning"/>
              <w:tabs>
                <w:tab w:val="left" w:pos="2321"/>
              </w:tabs>
              <w:spacing w:after="0"/>
              <w:ind w:left="0"/>
              <w:rPr>
                <w:b/>
                <w:sz w:val="24"/>
                <w:szCs w:val="24"/>
                <w:lang w:val="da-DK"/>
              </w:rPr>
            </w:pPr>
            <w:proofErr w:type="spellStart"/>
            <w:r w:rsidRPr="000D02F4">
              <w:rPr>
                <w:b/>
                <w:bCs/>
                <w:sz w:val="24"/>
                <w:szCs w:val="24"/>
              </w:rPr>
              <w:t>Bivirkning</w:t>
            </w:r>
            <w:proofErr w:type="spellEnd"/>
          </w:p>
        </w:tc>
      </w:tr>
      <w:tr w:rsidR="00B415A6" w:rsidRPr="000D02F4" w:rsidTr="003B4BCE">
        <w:trPr>
          <w:jc w:val="center"/>
        </w:trPr>
        <w:tc>
          <w:tcPr>
            <w:tcW w:w="2031" w:type="pct"/>
          </w:tcPr>
          <w:p w:rsidR="00B415A6" w:rsidRPr="000D02F4" w:rsidRDefault="00B415A6" w:rsidP="003B4BCE">
            <w:pPr>
              <w:pStyle w:val="Normalindrykning"/>
              <w:tabs>
                <w:tab w:val="left" w:pos="2321"/>
              </w:tabs>
              <w:spacing w:after="0"/>
              <w:ind w:left="0"/>
              <w:rPr>
                <w:b/>
                <w:sz w:val="24"/>
                <w:szCs w:val="24"/>
                <w:lang w:val="da-DK"/>
              </w:rPr>
            </w:pPr>
            <w:r w:rsidRPr="000D02F4">
              <w:rPr>
                <w:bCs/>
                <w:noProof/>
                <w:sz w:val="24"/>
                <w:szCs w:val="24"/>
                <w:lang w:val="da-DK"/>
              </w:rPr>
              <w:t>Nervesystemet</w:t>
            </w:r>
          </w:p>
        </w:tc>
        <w:tc>
          <w:tcPr>
            <w:tcW w:w="1481" w:type="pct"/>
          </w:tcPr>
          <w:p w:rsidR="00B415A6" w:rsidRPr="000D02F4" w:rsidRDefault="00B415A6" w:rsidP="003B4BCE">
            <w:pPr>
              <w:pStyle w:val="Normalindrykning"/>
              <w:tabs>
                <w:tab w:val="left" w:pos="2321"/>
              </w:tabs>
              <w:spacing w:after="0"/>
              <w:ind w:left="0"/>
              <w:rPr>
                <w:sz w:val="24"/>
                <w:szCs w:val="24"/>
                <w:lang w:val="da-DK"/>
              </w:rPr>
            </w:pPr>
            <w:r w:rsidRPr="000D02F4">
              <w:rPr>
                <w:sz w:val="24"/>
                <w:szCs w:val="24"/>
                <w:lang w:val="da-DK"/>
              </w:rPr>
              <w:t>Almindelig</w:t>
            </w:r>
          </w:p>
        </w:tc>
        <w:tc>
          <w:tcPr>
            <w:tcW w:w="1487" w:type="pct"/>
          </w:tcPr>
          <w:p w:rsidR="00B415A6" w:rsidRPr="000D02F4" w:rsidRDefault="00B415A6" w:rsidP="003B4BCE">
            <w:pPr>
              <w:pStyle w:val="Normalindrykning"/>
              <w:tabs>
                <w:tab w:val="left" w:pos="2321"/>
              </w:tabs>
              <w:spacing w:after="0"/>
              <w:ind w:left="0"/>
              <w:rPr>
                <w:sz w:val="24"/>
                <w:szCs w:val="24"/>
                <w:lang w:val="da-DK"/>
              </w:rPr>
            </w:pPr>
            <w:proofErr w:type="spellStart"/>
            <w:r w:rsidRPr="000D02F4">
              <w:rPr>
                <w:sz w:val="24"/>
                <w:szCs w:val="24"/>
              </w:rPr>
              <w:t>Hovedpine</w:t>
            </w:r>
            <w:proofErr w:type="spellEnd"/>
            <w:r w:rsidRPr="000D02F4">
              <w:rPr>
                <w:sz w:val="24"/>
                <w:szCs w:val="24"/>
              </w:rPr>
              <w:t>.</w:t>
            </w:r>
          </w:p>
        </w:tc>
      </w:tr>
      <w:tr w:rsidR="00B415A6" w:rsidRPr="000D02F4" w:rsidTr="003B4BCE">
        <w:trPr>
          <w:jc w:val="center"/>
        </w:trPr>
        <w:tc>
          <w:tcPr>
            <w:tcW w:w="2031" w:type="pct"/>
          </w:tcPr>
          <w:p w:rsidR="00B415A6" w:rsidRPr="000D02F4" w:rsidRDefault="00B415A6" w:rsidP="003B4BCE">
            <w:pPr>
              <w:pStyle w:val="Normalindrykning"/>
              <w:tabs>
                <w:tab w:val="left" w:pos="2321"/>
              </w:tabs>
              <w:spacing w:after="0"/>
              <w:ind w:left="0"/>
              <w:rPr>
                <w:sz w:val="24"/>
                <w:szCs w:val="24"/>
                <w:lang w:val="da-DK"/>
              </w:rPr>
            </w:pPr>
            <w:proofErr w:type="spellStart"/>
            <w:r w:rsidRPr="000D02F4">
              <w:rPr>
                <w:sz w:val="24"/>
                <w:szCs w:val="24"/>
              </w:rPr>
              <w:t>Øjne</w:t>
            </w:r>
            <w:proofErr w:type="spellEnd"/>
          </w:p>
        </w:tc>
        <w:tc>
          <w:tcPr>
            <w:tcW w:w="1481" w:type="pct"/>
          </w:tcPr>
          <w:p w:rsidR="00B415A6" w:rsidRPr="000D02F4" w:rsidRDefault="00B415A6" w:rsidP="003B4BCE">
            <w:pPr>
              <w:pStyle w:val="Normalindrykning"/>
              <w:tabs>
                <w:tab w:val="left" w:pos="2321"/>
              </w:tabs>
              <w:spacing w:after="0"/>
              <w:ind w:left="0"/>
              <w:rPr>
                <w:sz w:val="24"/>
                <w:szCs w:val="24"/>
                <w:lang w:val="da-DK"/>
              </w:rPr>
            </w:pPr>
            <w:r w:rsidRPr="000D02F4">
              <w:rPr>
                <w:sz w:val="24"/>
                <w:szCs w:val="24"/>
                <w:lang w:val="da-DK"/>
              </w:rPr>
              <w:t>Almindelig</w:t>
            </w:r>
          </w:p>
        </w:tc>
        <w:tc>
          <w:tcPr>
            <w:tcW w:w="1487" w:type="pct"/>
          </w:tcPr>
          <w:p w:rsidR="00B415A6" w:rsidRPr="000D02F4" w:rsidRDefault="00B415A6" w:rsidP="003B4BCE">
            <w:pPr>
              <w:pStyle w:val="Normalindrykning"/>
              <w:spacing w:after="0"/>
              <w:ind w:left="0"/>
              <w:rPr>
                <w:sz w:val="24"/>
                <w:szCs w:val="24"/>
                <w:lang w:val="da-DK"/>
              </w:rPr>
            </w:pPr>
            <w:r w:rsidRPr="000D02F4">
              <w:rPr>
                <w:sz w:val="24"/>
                <w:szCs w:val="24"/>
                <w:lang w:val="da-DK"/>
              </w:rPr>
              <w:t xml:space="preserve">Øjenirritation*, </w:t>
            </w:r>
            <w:proofErr w:type="spellStart"/>
            <w:r w:rsidRPr="000D02F4">
              <w:rPr>
                <w:sz w:val="24"/>
                <w:szCs w:val="24"/>
                <w:lang w:val="da-DK"/>
              </w:rPr>
              <w:t>okulær</w:t>
            </w:r>
            <w:proofErr w:type="spellEnd"/>
            <w:r w:rsidRPr="000D02F4">
              <w:rPr>
                <w:sz w:val="24"/>
                <w:szCs w:val="24"/>
                <w:lang w:val="da-DK"/>
              </w:rPr>
              <w:t xml:space="preserve"> </w:t>
            </w:r>
            <w:proofErr w:type="spellStart"/>
            <w:r w:rsidRPr="000D02F4">
              <w:rPr>
                <w:sz w:val="24"/>
                <w:szCs w:val="24"/>
                <w:lang w:val="da-DK"/>
              </w:rPr>
              <w:t>hyperæmi</w:t>
            </w:r>
            <w:proofErr w:type="spellEnd"/>
            <w:r w:rsidRPr="000D02F4">
              <w:rPr>
                <w:sz w:val="24"/>
                <w:szCs w:val="24"/>
                <w:lang w:val="da-DK"/>
              </w:rPr>
              <w:t xml:space="preserve">*, </w:t>
            </w:r>
            <w:proofErr w:type="spellStart"/>
            <w:r w:rsidRPr="000D02F4">
              <w:rPr>
                <w:sz w:val="24"/>
                <w:szCs w:val="24"/>
                <w:lang w:val="da-DK"/>
              </w:rPr>
              <w:t>erytem</w:t>
            </w:r>
            <w:proofErr w:type="spellEnd"/>
            <w:r w:rsidRPr="000D02F4">
              <w:rPr>
                <w:sz w:val="24"/>
                <w:szCs w:val="24"/>
                <w:lang w:val="da-DK"/>
              </w:rPr>
              <w:t xml:space="preserve"> i øjenlåget, unormal fornemmelse i øjet*.</w:t>
            </w:r>
          </w:p>
        </w:tc>
      </w:tr>
      <w:tr w:rsidR="00B415A6" w:rsidRPr="000D02F4" w:rsidTr="003B4BCE">
        <w:trPr>
          <w:jc w:val="center"/>
        </w:trPr>
        <w:tc>
          <w:tcPr>
            <w:tcW w:w="2031" w:type="pct"/>
          </w:tcPr>
          <w:p w:rsidR="00B415A6" w:rsidRPr="000D02F4" w:rsidRDefault="00B415A6" w:rsidP="003B4BCE">
            <w:pPr>
              <w:rPr>
                <w:rFonts w:eastAsia="MS Mincho"/>
                <w:sz w:val="24"/>
                <w:szCs w:val="24"/>
              </w:rPr>
            </w:pPr>
            <w:r w:rsidRPr="000D02F4">
              <w:rPr>
                <w:noProof/>
                <w:sz w:val="24"/>
                <w:szCs w:val="24"/>
              </w:rPr>
              <w:t xml:space="preserve">Luftveje, thorax og mediastinum  </w:t>
            </w:r>
          </w:p>
        </w:tc>
        <w:tc>
          <w:tcPr>
            <w:tcW w:w="1481" w:type="pct"/>
          </w:tcPr>
          <w:p w:rsidR="00B415A6" w:rsidRPr="000D02F4" w:rsidRDefault="00B415A6" w:rsidP="003B4BCE">
            <w:pPr>
              <w:pStyle w:val="Normalindrykning"/>
              <w:tabs>
                <w:tab w:val="left" w:pos="2321"/>
              </w:tabs>
              <w:spacing w:after="0"/>
              <w:ind w:left="0"/>
              <w:rPr>
                <w:sz w:val="24"/>
                <w:szCs w:val="24"/>
                <w:lang w:val="da-DK"/>
              </w:rPr>
            </w:pPr>
            <w:r w:rsidRPr="000D02F4">
              <w:rPr>
                <w:sz w:val="24"/>
                <w:szCs w:val="24"/>
                <w:lang w:val="da-DK"/>
              </w:rPr>
              <w:t>Almindelig</w:t>
            </w:r>
          </w:p>
        </w:tc>
        <w:tc>
          <w:tcPr>
            <w:tcW w:w="1487" w:type="pct"/>
          </w:tcPr>
          <w:p w:rsidR="00B415A6" w:rsidRPr="000D02F4" w:rsidRDefault="00B415A6" w:rsidP="003B4BCE">
            <w:pPr>
              <w:pStyle w:val="Normalindrykning"/>
              <w:spacing w:after="0"/>
              <w:ind w:left="0"/>
              <w:rPr>
                <w:sz w:val="24"/>
                <w:szCs w:val="24"/>
                <w:lang w:val="da-DK"/>
              </w:rPr>
            </w:pPr>
            <w:r w:rsidRPr="000D02F4">
              <w:rPr>
                <w:sz w:val="24"/>
                <w:szCs w:val="24"/>
              </w:rPr>
              <w:t>Post-</w:t>
            </w:r>
            <w:proofErr w:type="spellStart"/>
            <w:r w:rsidRPr="000D02F4">
              <w:rPr>
                <w:sz w:val="24"/>
                <w:szCs w:val="24"/>
              </w:rPr>
              <w:t>nasalt</w:t>
            </w:r>
            <w:proofErr w:type="spellEnd"/>
            <w:r w:rsidRPr="000D02F4">
              <w:rPr>
                <w:sz w:val="24"/>
                <w:szCs w:val="24"/>
              </w:rPr>
              <w:t xml:space="preserve"> </w:t>
            </w:r>
            <w:proofErr w:type="spellStart"/>
            <w:r w:rsidRPr="000D02F4">
              <w:rPr>
                <w:sz w:val="24"/>
                <w:szCs w:val="24"/>
              </w:rPr>
              <w:t>dryp</w:t>
            </w:r>
            <w:proofErr w:type="spellEnd"/>
            <w:r w:rsidRPr="000D02F4">
              <w:rPr>
                <w:sz w:val="24"/>
                <w:szCs w:val="24"/>
              </w:rPr>
              <w:t>.</w:t>
            </w:r>
          </w:p>
        </w:tc>
      </w:tr>
    </w:tbl>
    <w:p w:rsidR="00B415A6" w:rsidRPr="000D02F4" w:rsidRDefault="00B415A6" w:rsidP="00B415A6">
      <w:pPr>
        <w:ind w:left="567" w:hanging="567"/>
        <w:rPr>
          <w:b/>
          <w:sz w:val="24"/>
          <w:szCs w:val="24"/>
        </w:rPr>
      </w:pPr>
    </w:p>
    <w:p w:rsidR="00B415A6" w:rsidRPr="000D02F4" w:rsidRDefault="00B415A6" w:rsidP="00B415A6">
      <w:pPr>
        <w:ind w:left="851"/>
        <w:rPr>
          <w:sz w:val="24"/>
          <w:szCs w:val="24"/>
        </w:rPr>
      </w:pPr>
      <w:r w:rsidRPr="000D02F4">
        <w:rPr>
          <w:sz w:val="24"/>
          <w:szCs w:val="24"/>
        </w:rPr>
        <w:t xml:space="preserve">Følgende bivirkninger er blevet observeret efter brug af </w:t>
      </w:r>
      <w:proofErr w:type="spellStart"/>
      <w:r w:rsidRPr="000D02F4">
        <w:rPr>
          <w:sz w:val="24"/>
          <w:szCs w:val="24"/>
        </w:rPr>
        <w:t>tobramycin</w:t>
      </w:r>
      <w:proofErr w:type="spellEnd"/>
      <w:r w:rsidRPr="000D02F4">
        <w:rPr>
          <w:sz w:val="24"/>
          <w:szCs w:val="24"/>
        </w:rPr>
        <w:t>, øjendråber, opløsning:</w:t>
      </w:r>
    </w:p>
    <w:p w:rsidR="00B415A6" w:rsidRPr="000D02F4" w:rsidRDefault="00B415A6" w:rsidP="00B415A6">
      <w:pPr>
        <w:tabs>
          <w:tab w:val="left" w:pos="1061"/>
          <w:tab w:val="left" w:pos="1628"/>
          <w:tab w:val="left" w:pos="2195"/>
          <w:tab w:val="left" w:pos="2915"/>
          <w:tab w:val="left" w:pos="3635"/>
          <w:tab w:val="left" w:pos="4355"/>
          <w:tab w:val="left" w:pos="5075"/>
          <w:tab w:val="left" w:pos="10862"/>
          <w:tab w:val="left" w:pos="12158"/>
          <w:tab w:val="left" w:pos="13454"/>
          <w:tab w:val="left" w:pos="14750"/>
          <w:tab w:val="left" w:pos="16046"/>
          <w:tab w:val="left" w:pos="17342"/>
          <w:tab w:val="left" w:pos="18638"/>
          <w:tab w:val="left" w:pos="19934"/>
          <w:tab w:val="left" w:pos="21230"/>
          <w:tab w:val="left" w:pos="22526"/>
          <w:tab w:val="left" w:pos="23822"/>
          <w:tab w:val="left" w:pos="25118"/>
          <w:tab w:val="left" w:pos="26414"/>
          <w:tab w:val="left" w:pos="27710"/>
          <w:tab w:val="left" w:pos="29006"/>
          <w:tab w:val="left" w:pos="30302"/>
          <w:tab w:val="left" w:pos="30474"/>
        </w:tabs>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6"/>
        <w:gridCol w:w="2916"/>
        <w:gridCol w:w="2916"/>
      </w:tblGrid>
      <w:tr w:rsidR="00B415A6" w:rsidRPr="000D02F4" w:rsidTr="003B4BCE">
        <w:trPr>
          <w:trHeight w:val="397"/>
          <w:jc w:val="center"/>
        </w:trPr>
        <w:tc>
          <w:tcPr>
            <w:tcW w:w="1971" w:type="pct"/>
          </w:tcPr>
          <w:p w:rsidR="00B415A6" w:rsidRPr="000D02F4" w:rsidRDefault="00B415A6" w:rsidP="003B4BCE">
            <w:pPr>
              <w:pStyle w:val="Normalindrykning"/>
              <w:tabs>
                <w:tab w:val="left" w:pos="2321"/>
              </w:tabs>
              <w:spacing w:after="0"/>
              <w:ind w:left="0"/>
              <w:rPr>
                <w:b/>
                <w:sz w:val="24"/>
                <w:szCs w:val="24"/>
                <w:lang w:val="da-DK"/>
              </w:rPr>
            </w:pPr>
            <w:proofErr w:type="spellStart"/>
            <w:r w:rsidRPr="000D02F4">
              <w:rPr>
                <w:b/>
                <w:bCs/>
                <w:sz w:val="24"/>
                <w:szCs w:val="24"/>
              </w:rPr>
              <w:t>Systemorganklasse</w:t>
            </w:r>
            <w:proofErr w:type="spellEnd"/>
          </w:p>
        </w:tc>
        <w:tc>
          <w:tcPr>
            <w:tcW w:w="1514" w:type="pct"/>
          </w:tcPr>
          <w:p w:rsidR="00B415A6" w:rsidRPr="000D02F4" w:rsidRDefault="00B415A6" w:rsidP="003B4BCE">
            <w:pPr>
              <w:pStyle w:val="Normalindrykning"/>
              <w:tabs>
                <w:tab w:val="left" w:pos="2321"/>
              </w:tabs>
              <w:spacing w:after="0"/>
              <w:ind w:left="0"/>
              <w:rPr>
                <w:b/>
                <w:sz w:val="24"/>
                <w:szCs w:val="24"/>
                <w:lang w:val="da-DK"/>
              </w:rPr>
            </w:pPr>
            <w:proofErr w:type="spellStart"/>
            <w:r w:rsidRPr="000D02F4">
              <w:rPr>
                <w:b/>
                <w:bCs/>
                <w:sz w:val="24"/>
                <w:szCs w:val="24"/>
              </w:rPr>
              <w:t>Hyppighed</w:t>
            </w:r>
            <w:proofErr w:type="spellEnd"/>
          </w:p>
        </w:tc>
        <w:tc>
          <w:tcPr>
            <w:tcW w:w="1514" w:type="pct"/>
          </w:tcPr>
          <w:p w:rsidR="00B415A6" w:rsidRPr="000D02F4" w:rsidRDefault="00B415A6" w:rsidP="003B4BCE">
            <w:pPr>
              <w:pStyle w:val="Normalindrykning"/>
              <w:tabs>
                <w:tab w:val="left" w:pos="2321"/>
              </w:tabs>
              <w:spacing w:after="0"/>
              <w:ind w:left="0"/>
              <w:rPr>
                <w:b/>
                <w:sz w:val="24"/>
                <w:szCs w:val="24"/>
                <w:lang w:val="da-DK"/>
              </w:rPr>
            </w:pPr>
            <w:proofErr w:type="spellStart"/>
            <w:r w:rsidRPr="000D02F4">
              <w:rPr>
                <w:b/>
                <w:bCs/>
                <w:sz w:val="24"/>
                <w:szCs w:val="24"/>
              </w:rPr>
              <w:t>Bivirkning</w:t>
            </w:r>
            <w:proofErr w:type="spellEnd"/>
          </w:p>
        </w:tc>
      </w:tr>
      <w:tr w:rsidR="00B415A6" w:rsidRPr="000D02F4" w:rsidTr="003B4BCE">
        <w:trPr>
          <w:trHeight w:val="2299"/>
          <w:jc w:val="center"/>
        </w:trPr>
        <w:tc>
          <w:tcPr>
            <w:tcW w:w="1971" w:type="pct"/>
          </w:tcPr>
          <w:p w:rsidR="00B415A6" w:rsidRPr="000D02F4" w:rsidRDefault="00B415A6" w:rsidP="003B4BCE">
            <w:pPr>
              <w:pStyle w:val="Normalindrykning"/>
              <w:tabs>
                <w:tab w:val="left" w:pos="2321"/>
              </w:tabs>
              <w:spacing w:after="0"/>
              <w:ind w:left="0"/>
              <w:rPr>
                <w:sz w:val="24"/>
                <w:szCs w:val="24"/>
                <w:lang w:val="da-DK"/>
              </w:rPr>
            </w:pPr>
            <w:proofErr w:type="spellStart"/>
            <w:r w:rsidRPr="000D02F4">
              <w:rPr>
                <w:sz w:val="24"/>
                <w:szCs w:val="24"/>
              </w:rPr>
              <w:t>Øjne</w:t>
            </w:r>
            <w:proofErr w:type="spellEnd"/>
          </w:p>
        </w:tc>
        <w:tc>
          <w:tcPr>
            <w:tcW w:w="1514" w:type="pct"/>
          </w:tcPr>
          <w:p w:rsidR="00B415A6" w:rsidRPr="000D02F4" w:rsidRDefault="00B415A6" w:rsidP="003B4BCE">
            <w:pPr>
              <w:pStyle w:val="Normalindrykning"/>
              <w:tabs>
                <w:tab w:val="left" w:pos="2321"/>
              </w:tabs>
              <w:spacing w:after="0"/>
              <w:ind w:left="0"/>
              <w:rPr>
                <w:sz w:val="24"/>
                <w:szCs w:val="24"/>
              </w:rPr>
            </w:pPr>
            <w:r w:rsidRPr="000D02F4">
              <w:rPr>
                <w:sz w:val="24"/>
                <w:szCs w:val="24"/>
                <w:lang w:val="da-DK"/>
              </w:rPr>
              <w:t>Almindelig</w:t>
            </w:r>
            <w:r w:rsidRPr="000D02F4">
              <w:rPr>
                <w:sz w:val="24"/>
                <w:szCs w:val="24"/>
              </w:rPr>
              <w:t xml:space="preserve"> </w:t>
            </w:r>
          </w:p>
          <w:p w:rsidR="00B415A6" w:rsidRPr="000D02F4" w:rsidRDefault="00B415A6" w:rsidP="003B4BCE">
            <w:pPr>
              <w:pStyle w:val="Normalindrykning"/>
              <w:tabs>
                <w:tab w:val="left" w:pos="2321"/>
              </w:tabs>
              <w:spacing w:after="0"/>
              <w:ind w:left="0"/>
              <w:rPr>
                <w:sz w:val="24"/>
                <w:szCs w:val="24"/>
              </w:rPr>
            </w:pPr>
          </w:p>
          <w:p w:rsidR="00B415A6" w:rsidRPr="000D02F4" w:rsidRDefault="00B415A6" w:rsidP="003B4BCE">
            <w:pPr>
              <w:pStyle w:val="Normalindrykning"/>
              <w:tabs>
                <w:tab w:val="left" w:pos="2321"/>
              </w:tabs>
              <w:spacing w:after="0"/>
              <w:ind w:left="0"/>
              <w:rPr>
                <w:sz w:val="24"/>
                <w:szCs w:val="24"/>
              </w:rPr>
            </w:pPr>
          </w:p>
          <w:p w:rsidR="00B415A6" w:rsidRPr="000D02F4" w:rsidRDefault="00B415A6" w:rsidP="003B4BCE">
            <w:pPr>
              <w:pStyle w:val="Normalindrykning"/>
              <w:tabs>
                <w:tab w:val="left" w:pos="2321"/>
              </w:tabs>
              <w:spacing w:after="0"/>
              <w:ind w:left="0"/>
              <w:rPr>
                <w:sz w:val="24"/>
                <w:szCs w:val="24"/>
              </w:rPr>
            </w:pPr>
            <w:r w:rsidRPr="000D02F4">
              <w:rPr>
                <w:sz w:val="24"/>
                <w:szCs w:val="24"/>
                <w:lang w:val="da-DK"/>
              </w:rPr>
              <w:t>Ikke almindelig</w:t>
            </w:r>
          </w:p>
        </w:tc>
        <w:tc>
          <w:tcPr>
            <w:tcW w:w="1514" w:type="pct"/>
          </w:tcPr>
          <w:p w:rsidR="00B415A6" w:rsidRPr="000D02F4" w:rsidRDefault="00B415A6" w:rsidP="003B4BCE">
            <w:pPr>
              <w:pStyle w:val="Normalindrykning"/>
              <w:spacing w:after="0"/>
              <w:ind w:left="0"/>
              <w:rPr>
                <w:sz w:val="24"/>
                <w:szCs w:val="24"/>
                <w:lang w:val="da-DK"/>
              </w:rPr>
            </w:pPr>
            <w:proofErr w:type="spellStart"/>
            <w:r w:rsidRPr="000D02F4">
              <w:rPr>
                <w:sz w:val="24"/>
                <w:szCs w:val="24"/>
                <w:lang w:val="da-DK"/>
              </w:rPr>
              <w:t>Okulær</w:t>
            </w:r>
            <w:proofErr w:type="spellEnd"/>
            <w:r w:rsidRPr="000D02F4">
              <w:rPr>
                <w:sz w:val="24"/>
                <w:szCs w:val="24"/>
                <w:lang w:val="da-DK"/>
              </w:rPr>
              <w:t xml:space="preserve"> </w:t>
            </w:r>
            <w:proofErr w:type="spellStart"/>
            <w:r w:rsidRPr="000D02F4">
              <w:rPr>
                <w:sz w:val="24"/>
                <w:szCs w:val="24"/>
                <w:lang w:val="da-DK"/>
              </w:rPr>
              <w:t>hyperæmi</w:t>
            </w:r>
            <w:proofErr w:type="spellEnd"/>
            <w:r w:rsidRPr="000D02F4">
              <w:rPr>
                <w:sz w:val="24"/>
                <w:szCs w:val="24"/>
                <w:lang w:val="da-DK"/>
              </w:rPr>
              <w:t>*,</w:t>
            </w:r>
            <w:r>
              <w:rPr>
                <w:sz w:val="24"/>
                <w:szCs w:val="24"/>
                <w:lang w:val="da-DK"/>
              </w:rPr>
              <w:t xml:space="preserve"> </w:t>
            </w:r>
            <w:r w:rsidRPr="000D02F4">
              <w:rPr>
                <w:sz w:val="24"/>
                <w:szCs w:val="24"/>
                <w:lang w:val="da-DK"/>
              </w:rPr>
              <w:t>øjensmerter*.</w:t>
            </w:r>
          </w:p>
          <w:p w:rsidR="00B415A6" w:rsidRPr="000D02F4" w:rsidRDefault="00B415A6" w:rsidP="003B4BCE">
            <w:pPr>
              <w:pStyle w:val="Normalindrykning"/>
              <w:spacing w:after="0"/>
              <w:ind w:left="0"/>
              <w:rPr>
                <w:sz w:val="24"/>
                <w:szCs w:val="24"/>
                <w:lang w:val="da-DK"/>
              </w:rPr>
            </w:pPr>
          </w:p>
          <w:p w:rsidR="00B415A6" w:rsidRPr="000D02F4" w:rsidRDefault="00B415A6" w:rsidP="003B4BCE">
            <w:pPr>
              <w:pStyle w:val="Normalindrykning"/>
              <w:spacing w:after="0"/>
              <w:ind w:left="0"/>
              <w:rPr>
                <w:sz w:val="24"/>
                <w:szCs w:val="24"/>
                <w:lang w:val="da-DK"/>
              </w:rPr>
            </w:pPr>
            <w:r w:rsidRPr="000D02F4">
              <w:rPr>
                <w:sz w:val="24"/>
                <w:szCs w:val="24"/>
                <w:lang w:val="da-DK"/>
              </w:rPr>
              <w:t xml:space="preserve">Øjenkløe*, </w:t>
            </w:r>
            <w:proofErr w:type="spellStart"/>
            <w:r w:rsidRPr="000D02F4">
              <w:rPr>
                <w:sz w:val="24"/>
                <w:szCs w:val="24"/>
                <w:lang w:val="da-DK"/>
              </w:rPr>
              <w:t>okulært</w:t>
            </w:r>
            <w:proofErr w:type="spellEnd"/>
            <w:r w:rsidRPr="000D02F4">
              <w:rPr>
                <w:sz w:val="24"/>
                <w:szCs w:val="24"/>
                <w:lang w:val="da-DK"/>
              </w:rPr>
              <w:t xml:space="preserve"> ubehag, øjenallergi*, øjenlågsødem*, </w:t>
            </w:r>
            <w:proofErr w:type="spellStart"/>
            <w:r w:rsidRPr="000D02F4">
              <w:rPr>
                <w:sz w:val="24"/>
                <w:szCs w:val="24"/>
                <w:lang w:val="da-DK"/>
              </w:rPr>
              <w:t>konjunktivitis</w:t>
            </w:r>
            <w:proofErr w:type="spellEnd"/>
            <w:r w:rsidRPr="000D02F4">
              <w:rPr>
                <w:sz w:val="24"/>
                <w:szCs w:val="24"/>
                <w:lang w:val="da-DK"/>
              </w:rPr>
              <w:t xml:space="preserve">*, blænding, øget tåreflod*, </w:t>
            </w:r>
            <w:proofErr w:type="spellStart"/>
            <w:r w:rsidRPr="000D02F4">
              <w:rPr>
                <w:sz w:val="24"/>
                <w:szCs w:val="24"/>
                <w:lang w:val="da-DK"/>
              </w:rPr>
              <w:t>keratitis</w:t>
            </w:r>
            <w:proofErr w:type="spellEnd"/>
            <w:r w:rsidRPr="000D02F4">
              <w:rPr>
                <w:sz w:val="24"/>
                <w:szCs w:val="24"/>
                <w:lang w:val="da-DK"/>
              </w:rPr>
              <w:t>*.</w:t>
            </w:r>
          </w:p>
        </w:tc>
      </w:tr>
    </w:tbl>
    <w:p w:rsidR="00B415A6" w:rsidRPr="000D02F4" w:rsidRDefault="00B415A6" w:rsidP="00DA7A1F">
      <w:pPr>
        <w:pStyle w:val="Normalindrykning"/>
        <w:spacing w:before="20" w:after="60"/>
        <w:ind w:left="284" w:hanging="284"/>
        <w:rPr>
          <w:sz w:val="24"/>
          <w:szCs w:val="24"/>
          <w:lang w:val="da-DK"/>
        </w:rPr>
      </w:pPr>
      <w:r w:rsidRPr="000D02F4">
        <w:rPr>
          <w:sz w:val="24"/>
          <w:szCs w:val="24"/>
          <w:lang w:val="da-DK"/>
        </w:rPr>
        <w:t>*</w:t>
      </w:r>
      <w:r w:rsidR="00DA7A1F">
        <w:rPr>
          <w:sz w:val="24"/>
          <w:szCs w:val="24"/>
          <w:lang w:val="da-DK"/>
        </w:rPr>
        <w:tab/>
      </w:r>
      <w:r w:rsidRPr="000D02F4">
        <w:rPr>
          <w:sz w:val="24"/>
          <w:szCs w:val="24"/>
          <w:lang w:val="da-DK"/>
        </w:rPr>
        <w:t xml:space="preserve">Disse bivirkninger blev også observeret for </w:t>
      </w:r>
      <w:proofErr w:type="spellStart"/>
      <w:r w:rsidRPr="000D02F4">
        <w:rPr>
          <w:sz w:val="24"/>
          <w:szCs w:val="24"/>
          <w:lang w:val="da-DK"/>
        </w:rPr>
        <w:t>dexamethason</w:t>
      </w:r>
      <w:proofErr w:type="spellEnd"/>
      <w:r w:rsidRPr="000D02F4">
        <w:rPr>
          <w:sz w:val="24"/>
          <w:szCs w:val="24"/>
          <w:lang w:val="da-DK"/>
        </w:rPr>
        <w:t>/</w:t>
      </w:r>
      <w:proofErr w:type="spellStart"/>
      <w:r w:rsidRPr="000D02F4">
        <w:rPr>
          <w:sz w:val="24"/>
          <w:szCs w:val="24"/>
          <w:lang w:val="da-DK"/>
        </w:rPr>
        <w:t>tobramycin</w:t>
      </w:r>
      <w:proofErr w:type="spellEnd"/>
      <w:r w:rsidRPr="000D02F4">
        <w:rPr>
          <w:sz w:val="24"/>
          <w:szCs w:val="24"/>
          <w:lang w:val="da-DK"/>
        </w:rPr>
        <w:t xml:space="preserve"> øjendråber efter markedsføring.</w:t>
      </w:r>
    </w:p>
    <w:p w:rsidR="00B415A6" w:rsidRPr="000D02F4" w:rsidRDefault="00B415A6" w:rsidP="00B415A6">
      <w:pPr>
        <w:ind w:left="851"/>
        <w:contextualSpacing/>
        <w:rPr>
          <w:sz w:val="24"/>
          <w:szCs w:val="24"/>
        </w:rPr>
      </w:pPr>
    </w:p>
    <w:p w:rsidR="00B415A6" w:rsidRPr="000D02F4" w:rsidRDefault="00B415A6" w:rsidP="00B415A6">
      <w:pPr>
        <w:ind w:left="851"/>
        <w:contextualSpacing/>
        <w:rPr>
          <w:i/>
          <w:sz w:val="24"/>
          <w:szCs w:val="24"/>
        </w:rPr>
      </w:pPr>
      <w:r w:rsidRPr="000D02F4">
        <w:rPr>
          <w:sz w:val="24"/>
          <w:szCs w:val="24"/>
        </w:rPr>
        <w:t xml:space="preserve">Længerevarende brug af </w:t>
      </w:r>
      <w:proofErr w:type="spellStart"/>
      <w:r w:rsidRPr="000D02F4">
        <w:rPr>
          <w:sz w:val="24"/>
          <w:szCs w:val="24"/>
        </w:rPr>
        <w:t>topikale</w:t>
      </w:r>
      <w:proofErr w:type="spellEnd"/>
      <w:r w:rsidRPr="000D02F4">
        <w:rPr>
          <w:sz w:val="24"/>
          <w:szCs w:val="24"/>
        </w:rPr>
        <w:t xml:space="preserve"> </w:t>
      </w:r>
      <w:proofErr w:type="spellStart"/>
      <w:r w:rsidRPr="000D02F4">
        <w:rPr>
          <w:sz w:val="24"/>
          <w:szCs w:val="24"/>
        </w:rPr>
        <w:t>oftalmiske</w:t>
      </w:r>
      <w:proofErr w:type="spellEnd"/>
      <w:r w:rsidRPr="000D02F4">
        <w:rPr>
          <w:sz w:val="24"/>
          <w:szCs w:val="24"/>
        </w:rPr>
        <w:t xml:space="preserve"> </w:t>
      </w:r>
      <w:proofErr w:type="spellStart"/>
      <w:r w:rsidRPr="000D02F4">
        <w:rPr>
          <w:sz w:val="24"/>
          <w:szCs w:val="24"/>
        </w:rPr>
        <w:t>kortikosteroider</w:t>
      </w:r>
      <w:proofErr w:type="spellEnd"/>
      <w:r w:rsidRPr="000D02F4">
        <w:rPr>
          <w:sz w:val="24"/>
          <w:szCs w:val="24"/>
        </w:rPr>
        <w:t xml:space="preserve"> kan medføre øget </w:t>
      </w:r>
      <w:proofErr w:type="spellStart"/>
      <w:r w:rsidRPr="000D02F4">
        <w:rPr>
          <w:sz w:val="24"/>
          <w:szCs w:val="24"/>
        </w:rPr>
        <w:t>intraokulært</w:t>
      </w:r>
      <w:proofErr w:type="spellEnd"/>
      <w:r w:rsidRPr="000D02F4">
        <w:rPr>
          <w:sz w:val="24"/>
          <w:szCs w:val="24"/>
        </w:rPr>
        <w:t xml:space="preserve"> tryk med beskadigelse af synsnerven, nedsat synsskarphed og defekter i synsfeltet, </w:t>
      </w:r>
      <w:proofErr w:type="spellStart"/>
      <w:r w:rsidRPr="000D02F4">
        <w:rPr>
          <w:sz w:val="24"/>
          <w:szCs w:val="24"/>
        </w:rPr>
        <w:t>posterior</w:t>
      </w:r>
      <w:proofErr w:type="spellEnd"/>
      <w:r w:rsidRPr="000D02F4">
        <w:rPr>
          <w:sz w:val="24"/>
          <w:szCs w:val="24"/>
        </w:rPr>
        <w:t xml:space="preserve"> </w:t>
      </w:r>
      <w:proofErr w:type="spellStart"/>
      <w:r w:rsidRPr="000D02F4">
        <w:rPr>
          <w:sz w:val="24"/>
          <w:szCs w:val="24"/>
        </w:rPr>
        <w:t>subkapsulær</w:t>
      </w:r>
      <w:proofErr w:type="spellEnd"/>
      <w:r w:rsidRPr="000D02F4">
        <w:rPr>
          <w:sz w:val="24"/>
          <w:szCs w:val="24"/>
        </w:rPr>
        <w:t xml:space="preserve"> katarakt og forsinket sårheling</w:t>
      </w:r>
      <w:r w:rsidRPr="000D02F4">
        <w:rPr>
          <w:i/>
          <w:sz w:val="24"/>
          <w:szCs w:val="24"/>
        </w:rPr>
        <w:t>.</w:t>
      </w:r>
    </w:p>
    <w:p w:rsidR="00B415A6" w:rsidRPr="000D02F4" w:rsidRDefault="00B415A6" w:rsidP="00B415A6">
      <w:pPr>
        <w:ind w:left="851"/>
        <w:rPr>
          <w:sz w:val="24"/>
          <w:szCs w:val="24"/>
        </w:rPr>
      </w:pPr>
    </w:p>
    <w:p w:rsidR="00B415A6" w:rsidRPr="000D02F4" w:rsidRDefault="00B415A6" w:rsidP="00B415A6">
      <w:pPr>
        <w:ind w:left="851"/>
        <w:rPr>
          <w:sz w:val="24"/>
          <w:szCs w:val="24"/>
        </w:rPr>
      </w:pPr>
      <w:r w:rsidRPr="000D02F4">
        <w:rPr>
          <w:sz w:val="24"/>
          <w:szCs w:val="24"/>
        </w:rPr>
        <w:t xml:space="preserve">Som følge af </w:t>
      </w:r>
      <w:proofErr w:type="spellStart"/>
      <w:r w:rsidRPr="000D02F4">
        <w:rPr>
          <w:sz w:val="24"/>
          <w:szCs w:val="24"/>
        </w:rPr>
        <w:t>kortikosteroid</w:t>
      </w:r>
      <w:proofErr w:type="spellEnd"/>
      <w:r w:rsidRPr="000D02F4">
        <w:rPr>
          <w:sz w:val="24"/>
          <w:szCs w:val="24"/>
        </w:rPr>
        <w:t xml:space="preserve">-komponenten er der en øget risiko for perforering efter længerevarende behandling ved sygdomme, der medfører udtynding af hornhinden eller </w:t>
      </w:r>
      <w:proofErr w:type="spellStart"/>
      <w:r w:rsidRPr="000D02F4">
        <w:rPr>
          <w:sz w:val="24"/>
          <w:szCs w:val="24"/>
        </w:rPr>
        <w:t>sklera</w:t>
      </w:r>
      <w:proofErr w:type="spellEnd"/>
      <w:r w:rsidRPr="000D02F4">
        <w:rPr>
          <w:sz w:val="24"/>
          <w:szCs w:val="24"/>
        </w:rPr>
        <w:t xml:space="preserve"> (se pkt. 4.4). </w:t>
      </w:r>
    </w:p>
    <w:p w:rsidR="00B415A6" w:rsidRPr="008A44E1" w:rsidRDefault="00B415A6" w:rsidP="00B415A6">
      <w:pPr>
        <w:ind w:left="851"/>
        <w:rPr>
          <w:sz w:val="24"/>
          <w:szCs w:val="24"/>
        </w:rPr>
      </w:pPr>
    </w:p>
    <w:p w:rsidR="00B415A6" w:rsidRPr="008A44E1" w:rsidRDefault="00B415A6" w:rsidP="00B415A6">
      <w:pPr>
        <w:ind w:left="851"/>
        <w:rPr>
          <w:sz w:val="24"/>
          <w:szCs w:val="24"/>
        </w:rPr>
      </w:pPr>
      <w:r w:rsidRPr="008A44E1">
        <w:rPr>
          <w:sz w:val="24"/>
          <w:szCs w:val="24"/>
        </w:rPr>
        <w:t xml:space="preserve">Udvikling af en sekundær infektion er forekommet efter brug af kombinationer af </w:t>
      </w:r>
      <w:proofErr w:type="spellStart"/>
      <w:r w:rsidRPr="008A44E1">
        <w:rPr>
          <w:sz w:val="24"/>
          <w:szCs w:val="24"/>
        </w:rPr>
        <w:t>kortikosteroider</w:t>
      </w:r>
      <w:proofErr w:type="spellEnd"/>
      <w:r w:rsidRPr="008A44E1">
        <w:rPr>
          <w:sz w:val="24"/>
          <w:szCs w:val="24"/>
        </w:rPr>
        <w:t xml:space="preserve"> og antimikrobielle lægemidler. Svampeinfektioner i hornhinden forekommer især sammen med langvarig anvendelse af steroider.</w:t>
      </w:r>
    </w:p>
    <w:p w:rsidR="00B415A6" w:rsidRPr="008A44E1" w:rsidRDefault="00B415A6" w:rsidP="00B415A6">
      <w:pPr>
        <w:ind w:left="851"/>
        <w:rPr>
          <w:sz w:val="24"/>
          <w:szCs w:val="24"/>
        </w:rPr>
      </w:pPr>
    </w:p>
    <w:p w:rsidR="00B415A6" w:rsidRPr="008A44E1" w:rsidRDefault="00B415A6" w:rsidP="00B415A6">
      <w:pPr>
        <w:ind w:left="851"/>
        <w:rPr>
          <w:sz w:val="24"/>
          <w:szCs w:val="24"/>
        </w:rPr>
      </w:pPr>
      <w:r w:rsidRPr="008A44E1">
        <w:rPr>
          <w:sz w:val="24"/>
          <w:szCs w:val="24"/>
        </w:rPr>
        <w:t xml:space="preserve">Alvorlige bivirkninger herunder </w:t>
      </w:r>
      <w:proofErr w:type="spellStart"/>
      <w:r w:rsidRPr="008A44E1">
        <w:rPr>
          <w:sz w:val="24"/>
          <w:szCs w:val="24"/>
        </w:rPr>
        <w:t>neurotoksicitet</w:t>
      </w:r>
      <w:proofErr w:type="spellEnd"/>
      <w:r w:rsidRPr="008A44E1">
        <w:rPr>
          <w:sz w:val="24"/>
          <w:szCs w:val="24"/>
        </w:rPr>
        <w:t xml:space="preserve">, </w:t>
      </w:r>
      <w:proofErr w:type="spellStart"/>
      <w:r w:rsidRPr="008A44E1">
        <w:rPr>
          <w:sz w:val="24"/>
          <w:szCs w:val="24"/>
        </w:rPr>
        <w:t>ototoksicitet</w:t>
      </w:r>
      <w:proofErr w:type="spellEnd"/>
      <w:r w:rsidRPr="008A44E1">
        <w:rPr>
          <w:sz w:val="24"/>
          <w:szCs w:val="24"/>
        </w:rPr>
        <w:t xml:space="preserve"> og </w:t>
      </w:r>
      <w:proofErr w:type="spellStart"/>
      <w:r w:rsidRPr="008A44E1">
        <w:rPr>
          <w:sz w:val="24"/>
          <w:szCs w:val="24"/>
        </w:rPr>
        <w:t>nefrotoksicitet</w:t>
      </w:r>
      <w:proofErr w:type="spellEnd"/>
      <w:r w:rsidRPr="008A44E1">
        <w:rPr>
          <w:sz w:val="24"/>
          <w:szCs w:val="24"/>
        </w:rPr>
        <w:t xml:space="preserve"> er observeret hos patienter, der modtager systemisk </w:t>
      </w:r>
      <w:proofErr w:type="spellStart"/>
      <w:r w:rsidRPr="008A44E1">
        <w:rPr>
          <w:sz w:val="24"/>
          <w:szCs w:val="24"/>
        </w:rPr>
        <w:t>tobramycin</w:t>
      </w:r>
      <w:proofErr w:type="spellEnd"/>
      <w:r w:rsidRPr="008A44E1">
        <w:rPr>
          <w:sz w:val="24"/>
          <w:szCs w:val="24"/>
        </w:rPr>
        <w:t xml:space="preserve"> (se pkt. 4.4).</w:t>
      </w:r>
    </w:p>
    <w:p w:rsidR="00B415A6" w:rsidRPr="008A44E1" w:rsidRDefault="00B415A6" w:rsidP="00B415A6">
      <w:pPr>
        <w:ind w:left="851"/>
        <w:rPr>
          <w:sz w:val="24"/>
          <w:szCs w:val="24"/>
        </w:rPr>
      </w:pPr>
    </w:p>
    <w:p w:rsidR="00B415A6" w:rsidRPr="008A44E1" w:rsidRDefault="00B415A6" w:rsidP="00B415A6">
      <w:pPr>
        <w:ind w:left="851"/>
        <w:rPr>
          <w:sz w:val="24"/>
          <w:szCs w:val="24"/>
        </w:rPr>
      </w:pPr>
      <w:r w:rsidRPr="008A44E1">
        <w:rPr>
          <w:sz w:val="24"/>
          <w:szCs w:val="24"/>
        </w:rPr>
        <w:t xml:space="preserve">Følsomhed over for </w:t>
      </w:r>
      <w:proofErr w:type="spellStart"/>
      <w:r w:rsidRPr="008A44E1">
        <w:rPr>
          <w:sz w:val="24"/>
          <w:szCs w:val="24"/>
        </w:rPr>
        <w:t>topikalt</w:t>
      </w:r>
      <w:proofErr w:type="spellEnd"/>
      <w:r w:rsidRPr="008A44E1">
        <w:rPr>
          <w:sz w:val="24"/>
          <w:szCs w:val="24"/>
        </w:rPr>
        <w:t xml:space="preserve"> administrerede aminoglykosider kan forekomme hos patienter (se pkt. 4.4).</w:t>
      </w:r>
    </w:p>
    <w:p w:rsidR="00B415A6" w:rsidRPr="000D02F4" w:rsidRDefault="00B415A6" w:rsidP="00B415A6">
      <w:pPr>
        <w:ind w:left="851"/>
        <w:rPr>
          <w:b/>
          <w:sz w:val="24"/>
          <w:szCs w:val="24"/>
        </w:rPr>
      </w:pPr>
    </w:p>
    <w:p w:rsidR="00B415A6" w:rsidRPr="008A44E1" w:rsidRDefault="00B415A6" w:rsidP="00B415A6">
      <w:pPr>
        <w:autoSpaceDE w:val="0"/>
        <w:autoSpaceDN w:val="0"/>
        <w:adjustRightInd w:val="0"/>
        <w:ind w:left="851"/>
        <w:rPr>
          <w:sz w:val="24"/>
          <w:szCs w:val="24"/>
          <w:u w:val="single"/>
        </w:rPr>
      </w:pPr>
      <w:r w:rsidRPr="008A44E1">
        <w:rPr>
          <w:noProof/>
          <w:sz w:val="24"/>
          <w:szCs w:val="24"/>
          <w:u w:val="single"/>
        </w:rPr>
        <w:t>Indberetning af formodede bivirkninger</w:t>
      </w:r>
    </w:p>
    <w:p w:rsidR="00B415A6" w:rsidRPr="008A44E1" w:rsidRDefault="00B415A6" w:rsidP="00B415A6">
      <w:pPr>
        <w:ind w:left="851"/>
        <w:rPr>
          <w:bCs/>
          <w:sz w:val="24"/>
          <w:szCs w:val="24"/>
        </w:rPr>
      </w:pPr>
      <w:r w:rsidRPr="008A44E1">
        <w:rPr>
          <w:noProof/>
          <w:sz w:val="24"/>
          <w:szCs w:val="24"/>
        </w:rPr>
        <w:t>Når lægemidlet er godkendt, er indberetning af formodede bivirkninger vigtig.</w:t>
      </w:r>
      <w:r w:rsidRPr="008A44E1">
        <w:rPr>
          <w:sz w:val="24"/>
          <w:szCs w:val="24"/>
        </w:rPr>
        <w:t xml:space="preserve"> </w:t>
      </w:r>
      <w:r w:rsidRPr="008A44E1">
        <w:rPr>
          <w:noProof/>
          <w:sz w:val="24"/>
          <w:szCs w:val="24"/>
        </w:rPr>
        <w:t>Det muliggør løbende overvågning af benefit/risk-forholdet for lægemidlet.</w:t>
      </w:r>
      <w:r w:rsidRPr="008A44E1">
        <w:rPr>
          <w:sz w:val="24"/>
          <w:szCs w:val="24"/>
        </w:rPr>
        <w:t xml:space="preserve"> </w:t>
      </w:r>
      <w:r w:rsidR="00DA7A1F">
        <w:rPr>
          <w:noProof/>
          <w:sz w:val="24"/>
          <w:szCs w:val="24"/>
        </w:rPr>
        <w:t>S</w:t>
      </w:r>
      <w:r w:rsidRPr="008A44E1">
        <w:rPr>
          <w:noProof/>
          <w:sz w:val="24"/>
          <w:szCs w:val="24"/>
        </w:rPr>
        <w:t>undhedsperson</w:t>
      </w:r>
      <w:r w:rsidR="00DA7A1F">
        <w:rPr>
          <w:noProof/>
          <w:sz w:val="24"/>
          <w:szCs w:val="24"/>
        </w:rPr>
        <w:t>er</w:t>
      </w:r>
      <w:r w:rsidRPr="008A44E1">
        <w:rPr>
          <w:noProof/>
          <w:sz w:val="24"/>
          <w:szCs w:val="24"/>
        </w:rPr>
        <w:t xml:space="preserve"> anmodes om at indberette alle formodede bivirkninger via:</w:t>
      </w:r>
    </w:p>
    <w:p w:rsidR="00B415A6" w:rsidRPr="008A44E1" w:rsidRDefault="00B415A6" w:rsidP="00B415A6">
      <w:pPr>
        <w:ind w:left="851"/>
        <w:rPr>
          <w:bCs/>
          <w:sz w:val="24"/>
          <w:szCs w:val="24"/>
        </w:rPr>
      </w:pPr>
    </w:p>
    <w:p w:rsidR="00B415A6" w:rsidRPr="008A44E1" w:rsidRDefault="00B415A6" w:rsidP="00B415A6">
      <w:pPr>
        <w:ind w:left="851"/>
        <w:rPr>
          <w:bCs/>
          <w:sz w:val="24"/>
          <w:szCs w:val="24"/>
        </w:rPr>
      </w:pPr>
      <w:r w:rsidRPr="008A44E1">
        <w:rPr>
          <w:bCs/>
          <w:sz w:val="24"/>
          <w:szCs w:val="24"/>
        </w:rPr>
        <w:t>Lægemiddelstyrelsen</w:t>
      </w:r>
    </w:p>
    <w:p w:rsidR="00B415A6" w:rsidRPr="008A44E1" w:rsidRDefault="00B415A6" w:rsidP="00B415A6">
      <w:pPr>
        <w:ind w:left="851"/>
        <w:rPr>
          <w:bCs/>
          <w:sz w:val="24"/>
          <w:szCs w:val="24"/>
        </w:rPr>
      </w:pPr>
      <w:r w:rsidRPr="008A44E1">
        <w:rPr>
          <w:bCs/>
          <w:sz w:val="24"/>
          <w:szCs w:val="24"/>
        </w:rPr>
        <w:t>Axel Heides Gade 1</w:t>
      </w:r>
    </w:p>
    <w:p w:rsidR="00B415A6" w:rsidRPr="008A44E1" w:rsidRDefault="00B415A6" w:rsidP="00B415A6">
      <w:pPr>
        <w:ind w:left="851"/>
        <w:rPr>
          <w:bCs/>
          <w:sz w:val="24"/>
          <w:szCs w:val="24"/>
        </w:rPr>
      </w:pPr>
      <w:r w:rsidRPr="008A44E1">
        <w:rPr>
          <w:bCs/>
          <w:sz w:val="24"/>
          <w:szCs w:val="24"/>
        </w:rPr>
        <w:t>DK-2300 København S</w:t>
      </w:r>
    </w:p>
    <w:p w:rsidR="00B415A6" w:rsidRPr="008A44E1" w:rsidRDefault="00B415A6" w:rsidP="00B415A6">
      <w:pPr>
        <w:ind w:left="851"/>
        <w:rPr>
          <w:bCs/>
          <w:sz w:val="24"/>
          <w:szCs w:val="24"/>
          <w:lang w:val="en-US"/>
        </w:rPr>
      </w:pPr>
      <w:proofErr w:type="spellStart"/>
      <w:r w:rsidRPr="008A44E1">
        <w:rPr>
          <w:bCs/>
          <w:sz w:val="24"/>
          <w:szCs w:val="24"/>
          <w:lang w:val="en-US"/>
        </w:rPr>
        <w:t>Websted</w:t>
      </w:r>
      <w:proofErr w:type="spellEnd"/>
      <w:r w:rsidRPr="008A44E1">
        <w:rPr>
          <w:bCs/>
          <w:sz w:val="24"/>
          <w:szCs w:val="24"/>
          <w:lang w:val="en-US"/>
        </w:rPr>
        <w:t>: www.meldenbivirkning.dk</w:t>
      </w:r>
    </w:p>
    <w:p w:rsidR="00B415A6" w:rsidRPr="008A44E1" w:rsidRDefault="00B415A6" w:rsidP="00B415A6">
      <w:pPr>
        <w:pStyle w:val="Sidehoved"/>
        <w:tabs>
          <w:tab w:val="left" w:pos="851"/>
        </w:tabs>
        <w:ind w:left="851"/>
        <w:rPr>
          <w:szCs w:val="24"/>
          <w:lang w:val="en-US"/>
        </w:rPr>
      </w:pPr>
    </w:p>
    <w:p w:rsidR="00B415A6" w:rsidRPr="008A44E1" w:rsidRDefault="00B415A6" w:rsidP="00B415A6">
      <w:pPr>
        <w:tabs>
          <w:tab w:val="left" w:pos="851"/>
        </w:tabs>
        <w:ind w:left="851" w:hanging="851"/>
        <w:rPr>
          <w:b/>
          <w:sz w:val="24"/>
          <w:szCs w:val="24"/>
        </w:rPr>
      </w:pPr>
      <w:r w:rsidRPr="008A44E1">
        <w:rPr>
          <w:b/>
          <w:sz w:val="24"/>
          <w:szCs w:val="24"/>
        </w:rPr>
        <w:t>4.9</w:t>
      </w:r>
      <w:r w:rsidRPr="008A44E1">
        <w:rPr>
          <w:b/>
          <w:sz w:val="24"/>
          <w:szCs w:val="24"/>
        </w:rPr>
        <w:tab/>
        <w:t>Overdosering</w:t>
      </w:r>
    </w:p>
    <w:p w:rsidR="00B415A6" w:rsidRPr="008A44E1" w:rsidRDefault="00B415A6" w:rsidP="00B415A6">
      <w:pPr>
        <w:ind w:left="851"/>
        <w:rPr>
          <w:sz w:val="24"/>
          <w:szCs w:val="24"/>
        </w:rPr>
      </w:pPr>
      <w:r w:rsidRPr="008A44E1">
        <w:rPr>
          <w:sz w:val="24"/>
          <w:szCs w:val="24"/>
        </w:rPr>
        <w:t xml:space="preserve">På grund dette lægemiddels karakteristika vil ingen toksisk virkning kunne forventes i forbindelse med en </w:t>
      </w:r>
      <w:proofErr w:type="spellStart"/>
      <w:r w:rsidRPr="008A44E1">
        <w:rPr>
          <w:sz w:val="24"/>
          <w:szCs w:val="24"/>
        </w:rPr>
        <w:t>okulær</w:t>
      </w:r>
      <w:proofErr w:type="spellEnd"/>
      <w:r w:rsidRPr="008A44E1">
        <w:rPr>
          <w:sz w:val="24"/>
          <w:szCs w:val="24"/>
        </w:rPr>
        <w:t xml:space="preserve"> overdosering af dette produkt, eller ved indtagelse af flaskens indhold ved et uheld. </w:t>
      </w:r>
    </w:p>
    <w:p w:rsidR="00B415A6" w:rsidRPr="008A44E1" w:rsidRDefault="00B415A6" w:rsidP="00B415A6">
      <w:pPr>
        <w:tabs>
          <w:tab w:val="left" w:pos="851"/>
        </w:tabs>
        <w:ind w:left="851"/>
        <w:rPr>
          <w:sz w:val="24"/>
          <w:szCs w:val="24"/>
        </w:rPr>
      </w:pPr>
    </w:p>
    <w:p w:rsidR="00B415A6" w:rsidRPr="008A44E1" w:rsidRDefault="00B415A6" w:rsidP="00B415A6">
      <w:pPr>
        <w:tabs>
          <w:tab w:val="left" w:pos="851"/>
        </w:tabs>
        <w:ind w:left="851" w:hanging="851"/>
        <w:rPr>
          <w:b/>
          <w:sz w:val="24"/>
          <w:szCs w:val="24"/>
        </w:rPr>
      </w:pPr>
      <w:r w:rsidRPr="008A44E1">
        <w:rPr>
          <w:b/>
          <w:sz w:val="24"/>
          <w:szCs w:val="24"/>
        </w:rPr>
        <w:t>4.10</w:t>
      </w:r>
      <w:r w:rsidRPr="008A44E1">
        <w:rPr>
          <w:b/>
          <w:sz w:val="24"/>
          <w:szCs w:val="24"/>
        </w:rPr>
        <w:tab/>
        <w:t>Udlevering</w:t>
      </w:r>
    </w:p>
    <w:p w:rsidR="00B415A6" w:rsidRPr="008A44E1" w:rsidRDefault="00B415A6" w:rsidP="00B415A6">
      <w:pPr>
        <w:tabs>
          <w:tab w:val="left" w:pos="851"/>
        </w:tabs>
        <w:ind w:left="851"/>
        <w:rPr>
          <w:sz w:val="24"/>
          <w:szCs w:val="24"/>
        </w:rPr>
      </w:pPr>
      <w:r w:rsidRPr="008A44E1">
        <w:rPr>
          <w:sz w:val="24"/>
          <w:szCs w:val="24"/>
        </w:rPr>
        <w:t>B</w:t>
      </w:r>
    </w:p>
    <w:p w:rsidR="00B415A6" w:rsidRPr="008A44E1" w:rsidRDefault="00B415A6" w:rsidP="00B415A6">
      <w:pPr>
        <w:tabs>
          <w:tab w:val="left" w:pos="851"/>
        </w:tabs>
        <w:ind w:left="851"/>
        <w:rPr>
          <w:sz w:val="24"/>
          <w:szCs w:val="24"/>
        </w:rPr>
      </w:pPr>
    </w:p>
    <w:p w:rsidR="00B415A6" w:rsidRPr="008A44E1" w:rsidRDefault="00B415A6" w:rsidP="00B415A6">
      <w:pPr>
        <w:tabs>
          <w:tab w:val="left" w:pos="851"/>
        </w:tabs>
        <w:ind w:left="851"/>
        <w:rPr>
          <w:sz w:val="24"/>
          <w:szCs w:val="24"/>
        </w:rPr>
      </w:pPr>
    </w:p>
    <w:p w:rsidR="00570C46" w:rsidRPr="00C84483" w:rsidRDefault="00570C46" w:rsidP="00570C46">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570C46" w:rsidRPr="00C84483" w:rsidRDefault="00570C46" w:rsidP="00570C46">
      <w:pPr>
        <w:tabs>
          <w:tab w:val="left" w:pos="851"/>
        </w:tabs>
        <w:ind w:left="851"/>
        <w:rPr>
          <w:sz w:val="24"/>
          <w:szCs w:val="24"/>
        </w:rPr>
      </w:pPr>
    </w:p>
    <w:p w:rsidR="00570C46" w:rsidRPr="00C84483" w:rsidRDefault="00570C46" w:rsidP="00570C46">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324C19" w:rsidRPr="00324C19" w:rsidRDefault="00324C19" w:rsidP="00324C19">
      <w:pPr>
        <w:ind w:left="851"/>
        <w:rPr>
          <w:sz w:val="24"/>
          <w:szCs w:val="24"/>
        </w:rPr>
      </w:pPr>
      <w:proofErr w:type="spellStart"/>
      <w:r w:rsidRPr="00324C19">
        <w:rPr>
          <w:sz w:val="24"/>
          <w:szCs w:val="24"/>
        </w:rPr>
        <w:t>Farmakoterapeutisk</w:t>
      </w:r>
      <w:proofErr w:type="spellEnd"/>
      <w:r w:rsidRPr="00324C19">
        <w:rPr>
          <w:sz w:val="24"/>
          <w:szCs w:val="24"/>
        </w:rPr>
        <w:t xml:space="preserve"> klassifikation:</w:t>
      </w:r>
      <w:r w:rsidRPr="00324C19">
        <w:t xml:space="preserve"> </w:t>
      </w:r>
      <w:proofErr w:type="spellStart"/>
      <w:r w:rsidRPr="00324C19">
        <w:rPr>
          <w:sz w:val="24"/>
          <w:szCs w:val="24"/>
        </w:rPr>
        <w:t>Oftalmologica</w:t>
      </w:r>
      <w:proofErr w:type="spellEnd"/>
      <w:r w:rsidRPr="00324C19">
        <w:rPr>
          <w:sz w:val="24"/>
          <w:szCs w:val="24"/>
        </w:rPr>
        <w:t xml:space="preserve">, </w:t>
      </w:r>
      <w:proofErr w:type="spellStart"/>
      <w:r w:rsidRPr="00324C19">
        <w:rPr>
          <w:sz w:val="24"/>
          <w:szCs w:val="24"/>
        </w:rPr>
        <w:t>corticosteroider</w:t>
      </w:r>
      <w:proofErr w:type="spellEnd"/>
      <w:r w:rsidRPr="00324C19">
        <w:rPr>
          <w:sz w:val="24"/>
          <w:szCs w:val="24"/>
        </w:rPr>
        <w:t xml:space="preserve"> og </w:t>
      </w:r>
      <w:proofErr w:type="spellStart"/>
      <w:r w:rsidRPr="00324C19">
        <w:rPr>
          <w:sz w:val="24"/>
          <w:szCs w:val="24"/>
        </w:rPr>
        <w:t>antiinfectiva</w:t>
      </w:r>
      <w:proofErr w:type="spellEnd"/>
      <w:r w:rsidRPr="00324C19">
        <w:rPr>
          <w:sz w:val="24"/>
          <w:szCs w:val="24"/>
        </w:rPr>
        <w:t xml:space="preserve"> kombination. ATC-kode: S 01 CA 01.</w:t>
      </w:r>
    </w:p>
    <w:p w:rsidR="00B415A6" w:rsidRPr="00324C19" w:rsidRDefault="00B415A6" w:rsidP="00B415A6">
      <w:pPr>
        <w:ind w:left="851"/>
        <w:rPr>
          <w:sz w:val="24"/>
          <w:szCs w:val="24"/>
        </w:rPr>
      </w:pPr>
    </w:p>
    <w:p w:rsidR="00B415A6" w:rsidRPr="008A44E1" w:rsidRDefault="00B415A6" w:rsidP="00B415A6">
      <w:pPr>
        <w:ind w:left="851"/>
        <w:rPr>
          <w:sz w:val="24"/>
          <w:szCs w:val="24"/>
          <w:u w:val="single"/>
        </w:rPr>
      </w:pPr>
      <w:proofErr w:type="spellStart"/>
      <w:r w:rsidRPr="008A44E1">
        <w:rPr>
          <w:sz w:val="24"/>
          <w:szCs w:val="24"/>
          <w:u w:val="single"/>
        </w:rPr>
        <w:t>Dexamethason</w:t>
      </w:r>
      <w:proofErr w:type="spellEnd"/>
    </w:p>
    <w:p w:rsidR="00B415A6" w:rsidRPr="008A44E1" w:rsidRDefault="00B415A6" w:rsidP="00B415A6">
      <w:pPr>
        <w:ind w:left="851"/>
        <w:rPr>
          <w:color w:val="FF0000"/>
          <w:sz w:val="24"/>
          <w:szCs w:val="24"/>
        </w:rPr>
      </w:pPr>
      <w:r w:rsidRPr="008A44E1">
        <w:rPr>
          <w:sz w:val="24"/>
          <w:szCs w:val="24"/>
        </w:rPr>
        <w:t xml:space="preserve">Effekten af </w:t>
      </w:r>
      <w:proofErr w:type="spellStart"/>
      <w:r w:rsidRPr="008A44E1">
        <w:rPr>
          <w:sz w:val="24"/>
          <w:szCs w:val="24"/>
        </w:rPr>
        <w:t>kortikosteroider</w:t>
      </w:r>
      <w:proofErr w:type="spellEnd"/>
      <w:r w:rsidRPr="008A44E1">
        <w:rPr>
          <w:sz w:val="24"/>
          <w:szCs w:val="24"/>
        </w:rPr>
        <w:t xml:space="preserve"> til behandling af inflammatoriske tilstande i øjet er velkendt. </w:t>
      </w:r>
      <w:proofErr w:type="spellStart"/>
      <w:r w:rsidRPr="008A44E1">
        <w:rPr>
          <w:sz w:val="24"/>
          <w:szCs w:val="24"/>
        </w:rPr>
        <w:t>Kortikosteroider</w:t>
      </w:r>
      <w:proofErr w:type="spellEnd"/>
      <w:r w:rsidRPr="008A44E1">
        <w:rPr>
          <w:sz w:val="24"/>
          <w:szCs w:val="24"/>
        </w:rPr>
        <w:t xml:space="preserve"> udøver deres anti-inflammatoriske effekt ved undertrykkelse af </w:t>
      </w:r>
      <w:proofErr w:type="spellStart"/>
      <w:r w:rsidRPr="008A44E1">
        <w:rPr>
          <w:sz w:val="24"/>
          <w:szCs w:val="24"/>
        </w:rPr>
        <w:t>vaskulære</w:t>
      </w:r>
      <w:proofErr w:type="spellEnd"/>
      <w:r w:rsidRPr="008A44E1">
        <w:rPr>
          <w:sz w:val="24"/>
          <w:szCs w:val="24"/>
        </w:rPr>
        <w:t xml:space="preserve"> </w:t>
      </w:r>
      <w:proofErr w:type="spellStart"/>
      <w:r w:rsidRPr="008A44E1">
        <w:rPr>
          <w:sz w:val="24"/>
          <w:szCs w:val="24"/>
        </w:rPr>
        <w:t>endoteliske</w:t>
      </w:r>
      <w:proofErr w:type="spellEnd"/>
      <w:r w:rsidRPr="008A44E1">
        <w:rPr>
          <w:sz w:val="24"/>
          <w:szCs w:val="24"/>
        </w:rPr>
        <w:t xml:space="preserve"> celleadhæsionsmolekyler, </w:t>
      </w:r>
      <w:proofErr w:type="spellStart"/>
      <w:r w:rsidRPr="008A44E1">
        <w:rPr>
          <w:sz w:val="24"/>
          <w:szCs w:val="24"/>
        </w:rPr>
        <w:t>cyclooxygenase</w:t>
      </w:r>
      <w:proofErr w:type="spellEnd"/>
      <w:r w:rsidRPr="008A44E1">
        <w:rPr>
          <w:sz w:val="24"/>
          <w:szCs w:val="24"/>
        </w:rPr>
        <w:t xml:space="preserve"> I eller II, og cytokin </w:t>
      </w:r>
      <w:proofErr w:type="spellStart"/>
      <w:r w:rsidRPr="008A44E1">
        <w:rPr>
          <w:sz w:val="24"/>
          <w:szCs w:val="24"/>
        </w:rPr>
        <w:t>expression</w:t>
      </w:r>
      <w:proofErr w:type="spellEnd"/>
      <w:r w:rsidRPr="008A44E1">
        <w:rPr>
          <w:sz w:val="24"/>
          <w:szCs w:val="24"/>
        </w:rPr>
        <w:t xml:space="preserve">. Denne virkning resulterer i en reduceret ekspression af pro-inflammatoriske </w:t>
      </w:r>
      <w:proofErr w:type="spellStart"/>
      <w:r w:rsidRPr="008A44E1">
        <w:rPr>
          <w:sz w:val="24"/>
          <w:szCs w:val="24"/>
        </w:rPr>
        <w:t>mediatorer</w:t>
      </w:r>
      <w:proofErr w:type="spellEnd"/>
      <w:r w:rsidRPr="008A44E1">
        <w:rPr>
          <w:sz w:val="24"/>
          <w:szCs w:val="24"/>
        </w:rPr>
        <w:t xml:space="preserve"> samt en nedsat vedhæftning af cirkulerende leukocytter til det </w:t>
      </w:r>
      <w:proofErr w:type="spellStart"/>
      <w:r w:rsidRPr="008A44E1">
        <w:rPr>
          <w:sz w:val="24"/>
          <w:szCs w:val="24"/>
        </w:rPr>
        <w:t>vaskulære</w:t>
      </w:r>
      <w:proofErr w:type="spellEnd"/>
      <w:r w:rsidRPr="008A44E1">
        <w:rPr>
          <w:sz w:val="24"/>
          <w:szCs w:val="24"/>
        </w:rPr>
        <w:t xml:space="preserve"> </w:t>
      </w:r>
      <w:proofErr w:type="spellStart"/>
      <w:r w:rsidRPr="008A44E1">
        <w:rPr>
          <w:sz w:val="24"/>
          <w:szCs w:val="24"/>
        </w:rPr>
        <w:t>endotelium</w:t>
      </w:r>
      <w:proofErr w:type="spellEnd"/>
      <w:r w:rsidRPr="008A44E1">
        <w:rPr>
          <w:sz w:val="24"/>
          <w:szCs w:val="24"/>
        </w:rPr>
        <w:t xml:space="preserve">, hvorved migration ind i inflammeret </w:t>
      </w:r>
      <w:proofErr w:type="spellStart"/>
      <w:r w:rsidRPr="008A44E1">
        <w:rPr>
          <w:sz w:val="24"/>
          <w:szCs w:val="24"/>
        </w:rPr>
        <w:t>okulært</w:t>
      </w:r>
      <w:proofErr w:type="spellEnd"/>
      <w:r w:rsidRPr="008A44E1">
        <w:rPr>
          <w:sz w:val="24"/>
          <w:szCs w:val="24"/>
        </w:rPr>
        <w:t xml:space="preserve"> væv forhindres. </w:t>
      </w:r>
      <w:proofErr w:type="spellStart"/>
      <w:r w:rsidRPr="008A44E1">
        <w:rPr>
          <w:sz w:val="24"/>
          <w:szCs w:val="24"/>
        </w:rPr>
        <w:t>Dexamethason</w:t>
      </w:r>
      <w:proofErr w:type="spellEnd"/>
      <w:r w:rsidRPr="008A44E1">
        <w:rPr>
          <w:sz w:val="24"/>
          <w:szCs w:val="24"/>
        </w:rPr>
        <w:t xml:space="preserve"> har en markant anti-inflammatorisk virkning med begrænset </w:t>
      </w:r>
      <w:proofErr w:type="spellStart"/>
      <w:r w:rsidRPr="008A44E1">
        <w:rPr>
          <w:sz w:val="24"/>
          <w:szCs w:val="24"/>
        </w:rPr>
        <w:t>mineralkortikoid</w:t>
      </w:r>
      <w:proofErr w:type="spellEnd"/>
      <w:r w:rsidRPr="008A44E1">
        <w:rPr>
          <w:sz w:val="24"/>
          <w:szCs w:val="24"/>
        </w:rPr>
        <w:t xml:space="preserve"> aktivitet sammenlignet med andre steroider, og er et af de mest potente anti-inflammatoriske midler.</w:t>
      </w:r>
    </w:p>
    <w:p w:rsidR="00B415A6" w:rsidRDefault="00B415A6" w:rsidP="00B415A6">
      <w:pPr>
        <w:rPr>
          <w:snapToGrid w:val="0"/>
          <w:sz w:val="24"/>
          <w:szCs w:val="24"/>
        </w:rPr>
      </w:pPr>
      <w:r>
        <w:rPr>
          <w:snapToGrid w:val="0"/>
          <w:sz w:val="24"/>
          <w:szCs w:val="24"/>
        </w:rPr>
        <w:br w:type="page"/>
      </w:r>
    </w:p>
    <w:p w:rsidR="00B415A6" w:rsidRPr="000D02F4" w:rsidRDefault="00B415A6" w:rsidP="00B415A6">
      <w:pPr>
        <w:ind w:left="851"/>
        <w:rPr>
          <w:snapToGrid w:val="0"/>
          <w:sz w:val="24"/>
          <w:szCs w:val="24"/>
        </w:rPr>
      </w:pPr>
    </w:p>
    <w:p w:rsidR="00B415A6" w:rsidRPr="008A44E1" w:rsidRDefault="00B415A6" w:rsidP="00B415A6">
      <w:pPr>
        <w:ind w:left="851"/>
        <w:rPr>
          <w:snapToGrid w:val="0"/>
          <w:sz w:val="24"/>
          <w:szCs w:val="24"/>
          <w:u w:val="single"/>
        </w:rPr>
      </w:pPr>
      <w:proofErr w:type="spellStart"/>
      <w:r w:rsidRPr="008A44E1">
        <w:rPr>
          <w:snapToGrid w:val="0"/>
          <w:sz w:val="24"/>
          <w:szCs w:val="24"/>
          <w:u w:val="single"/>
        </w:rPr>
        <w:t>Tobramycin</w:t>
      </w:r>
      <w:proofErr w:type="spellEnd"/>
      <w:r w:rsidRPr="008A44E1">
        <w:rPr>
          <w:snapToGrid w:val="0"/>
          <w:sz w:val="24"/>
          <w:szCs w:val="24"/>
          <w:u w:val="single"/>
        </w:rPr>
        <w:t xml:space="preserve"> </w:t>
      </w:r>
    </w:p>
    <w:p w:rsidR="00B415A6" w:rsidRPr="008A44E1" w:rsidRDefault="00B415A6" w:rsidP="00B415A6">
      <w:pPr>
        <w:ind w:left="851"/>
        <w:rPr>
          <w:snapToGrid w:val="0"/>
          <w:sz w:val="24"/>
          <w:szCs w:val="24"/>
        </w:rPr>
      </w:pPr>
      <w:proofErr w:type="spellStart"/>
      <w:r w:rsidRPr="008A44E1">
        <w:rPr>
          <w:snapToGrid w:val="0"/>
          <w:sz w:val="24"/>
          <w:szCs w:val="24"/>
        </w:rPr>
        <w:t>Tobramycin</w:t>
      </w:r>
      <w:proofErr w:type="spellEnd"/>
      <w:r w:rsidRPr="008A44E1">
        <w:rPr>
          <w:snapToGrid w:val="0"/>
          <w:sz w:val="24"/>
          <w:szCs w:val="24"/>
        </w:rPr>
        <w:t xml:space="preserve"> er et potent, bredspektret, hurtigtvirkende baktericid </w:t>
      </w:r>
      <w:proofErr w:type="spellStart"/>
      <w:r w:rsidRPr="008A44E1">
        <w:rPr>
          <w:snapToGrid w:val="0"/>
          <w:sz w:val="24"/>
          <w:szCs w:val="24"/>
        </w:rPr>
        <w:t>aminoglycosid</w:t>
      </w:r>
      <w:proofErr w:type="spellEnd"/>
      <w:r w:rsidRPr="008A44E1">
        <w:rPr>
          <w:snapToGrid w:val="0"/>
          <w:sz w:val="24"/>
          <w:szCs w:val="24"/>
        </w:rPr>
        <w:t xml:space="preserve"> antibiotikum. Det udøver sin primære effekt på bakterielle celler ved at hæmme polypeptidsamling og syntese på ribosomet. </w:t>
      </w:r>
      <w:proofErr w:type="spellStart"/>
      <w:r w:rsidRPr="008A44E1">
        <w:rPr>
          <w:snapToGrid w:val="0"/>
          <w:sz w:val="24"/>
          <w:szCs w:val="24"/>
        </w:rPr>
        <w:t>Tobramycin</w:t>
      </w:r>
      <w:proofErr w:type="spellEnd"/>
      <w:r w:rsidRPr="008A44E1">
        <w:rPr>
          <w:snapToGrid w:val="0"/>
          <w:sz w:val="24"/>
          <w:szCs w:val="24"/>
        </w:rPr>
        <w:t xml:space="preserve"> i denne kombination giver antibakteriel beskyttelse mod følsomme bakterier. Følgende MIC </w:t>
      </w:r>
      <w:proofErr w:type="spellStart"/>
      <w:r w:rsidRPr="008A44E1">
        <w:rPr>
          <w:snapToGrid w:val="0"/>
          <w:sz w:val="24"/>
          <w:szCs w:val="24"/>
        </w:rPr>
        <w:t>breakpoints</w:t>
      </w:r>
      <w:proofErr w:type="spellEnd"/>
      <w:r w:rsidRPr="008A44E1">
        <w:rPr>
          <w:snapToGrid w:val="0"/>
          <w:sz w:val="24"/>
          <w:szCs w:val="24"/>
        </w:rPr>
        <w:t xml:space="preserve">, som opdeler følsomme fra delvist følsomme organismer og delvist følsomme fra resistente organismer foreslås: S </w:t>
      </w:r>
      <w:r w:rsidRPr="008A44E1">
        <w:rPr>
          <w:sz w:val="24"/>
          <w:szCs w:val="24"/>
        </w:rPr>
        <w:t>≤</w:t>
      </w:r>
      <w:r w:rsidRPr="008A44E1">
        <w:rPr>
          <w:snapToGrid w:val="0"/>
          <w:sz w:val="24"/>
          <w:szCs w:val="24"/>
        </w:rPr>
        <w:t xml:space="preserve"> 4 </w:t>
      </w:r>
      <w:proofErr w:type="spellStart"/>
      <w:r w:rsidRPr="008A44E1">
        <w:rPr>
          <w:sz w:val="24"/>
          <w:szCs w:val="24"/>
        </w:rPr>
        <w:t>μ</w:t>
      </w:r>
      <w:r w:rsidRPr="008A44E1">
        <w:rPr>
          <w:snapToGrid w:val="0"/>
          <w:sz w:val="24"/>
          <w:szCs w:val="24"/>
        </w:rPr>
        <w:t>g</w:t>
      </w:r>
      <w:proofErr w:type="spellEnd"/>
      <w:r w:rsidRPr="008A44E1">
        <w:rPr>
          <w:snapToGrid w:val="0"/>
          <w:sz w:val="24"/>
          <w:szCs w:val="24"/>
        </w:rPr>
        <w:t xml:space="preserve">/ml, R </w:t>
      </w:r>
      <w:r w:rsidRPr="008A44E1">
        <w:rPr>
          <w:sz w:val="24"/>
          <w:szCs w:val="24"/>
        </w:rPr>
        <w:t>≥</w:t>
      </w:r>
      <w:r w:rsidRPr="008A44E1">
        <w:rPr>
          <w:snapToGrid w:val="0"/>
          <w:sz w:val="24"/>
          <w:szCs w:val="24"/>
        </w:rPr>
        <w:t xml:space="preserve"> 8 </w:t>
      </w:r>
      <w:proofErr w:type="spellStart"/>
      <w:r w:rsidRPr="008A44E1">
        <w:rPr>
          <w:sz w:val="24"/>
          <w:szCs w:val="24"/>
        </w:rPr>
        <w:t>μ</w:t>
      </w:r>
      <w:r w:rsidRPr="008A44E1">
        <w:rPr>
          <w:snapToGrid w:val="0"/>
          <w:sz w:val="24"/>
          <w:szCs w:val="24"/>
        </w:rPr>
        <w:t>g</w:t>
      </w:r>
      <w:proofErr w:type="spellEnd"/>
      <w:r w:rsidRPr="008A44E1">
        <w:rPr>
          <w:snapToGrid w:val="0"/>
          <w:sz w:val="24"/>
          <w:szCs w:val="24"/>
        </w:rPr>
        <w:t xml:space="preserve">/ml. </w:t>
      </w:r>
    </w:p>
    <w:p w:rsidR="00B415A6" w:rsidRPr="008A44E1" w:rsidRDefault="00B415A6" w:rsidP="00B415A6">
      <w:pPr>
        <w:ind w:left="851"/>
        <w:rPr>
          <w:snapToGrid w:val="0"/>
          <w:sz w:val="24"/>
          <w:szCs w:val="24"/>
        </w:rPr>
      </w:pPr>
      <w:r w:rsidRPr="008A44E1">
        <w:rPr>
          <w:snapToGrid w:val="0"/>
          <w:sz w:val="24"/>
          <w:szCs w:val="24"/>
        </w:rPr>
        <w:t>Resistensforekomsten kan variere geografisk og over tid for udvalgte arter og lokal information om resistens er ønskværdig, specielt når alvorlige infektioner skal behandles. Om nødvendigt bør der søges råd fra eksperter, når den lokale resistensforekomst er således, at anvendelse af midlet i det mindste til nogle typer af infektioner er usikker. Følgende informationer gives udelukkende som vejledende retningslin</w:t>
      </w:r>
      <w:r w:rsidR="00DA7A1F">
        <w:rPr>
          <w:snapToGrid w:val="0"/>
          <w:sz w:val="24"/>
          <w:szCs w:val="24"/>
        </w:rPr>
        <w:t>j</w:t>
      </w:r>
      <w:r w:rsidRPr="008A44E1">
        <w:rPr>
          <w:snapToGrid w:val="0"/>
          <w:sz w:val="24"/>
          <w:szCs w:val="24"/>
        </w:rPr>
        <w:t xml:space="preserve">er for sandsynligheden for, at bakterier vil være følsomme for </w:t>
      </w:r>
      <w:proofErr w:type="spellStart"/>
      <w:r w:rsidRPr="008A44E1">
        <w:rPr>
          <w:snapToGrid w:val="0"/>
          <w:sz w:val="24"/>
          <w:szCs w:val="24"/>
        </w:rPr>
        <w:t>tobramycin</w:t>
      </w:r>
      <w:proofErr w:type="spellEnd"/>
      <w:r w:rsidRPr="008A44E1">
        <w:rPr>
          <w:snapToGrid w:val="0"/>
          <w:sz w:val="24"/>
          <w:szCs w:val="24"/>
        </w:rPr>
        <w:t>.</w:t>
      </w:r>
    </w:p>
    <w:p w:rsidR="00B415A6" w:rsidRPr="008A44E1" w:rsidRDefault="00B415A6" w:rsidP="00B415A6">
      <w:pPr>
        <w:ind w:left="851"/>
        <w:rPr>
          <w:snapToGrid w:val="0"/>
          <w:sz w:val="24"/>
          <w:szCs w:val="24"/>
        </w:rPr>
      </w:pPr>
    </w:p>
    <w:p w:rsidR="00B415A6" w:rsidRPr="008A44E1" w:rsidRDefault="00B415A6" w:rsidP="00B415A6">
      <w:pPr>
        <w:ind w:left="851"/>
        <w:rPr>
          <w:snapToGrid w:val="0"/>
          <w:sz w:val="24"/>
          <w:szCs w:val="24"/>
        </w:rPr>
      </w:pPr>
      <w:proofErr w:type="spellStart"/>
      <w:r w:rsidRPr="008A44E1">
        <w:rPr>
          <w:snapToGrid w:val="0"/>
          <w:sz w:val="24"/>
          <w:szCs w:val="24"/>
        </w:rPr>
        <w:t>Breakpoint</w:t>
      </w:r>
      <w:proofErr w:type="spellEnd"/>
      <w:r w:rsidRPr="008A44E1">
        <w:rPr>
          <w:snapToGrid w:val="0"/>
          <w:sz w:val="24"/>
          <w:szCs w:val="24"/>
        </w:rPr>
        <w:t xml:space="preserve"> definitionerne, som klassificerer </w:t>
      </w:r>
      <w:proofErr w:type="spellStart"/>
      <w:r w:rsidRPr="008A44E1">
        <w:rPr>
          <w:snapToGrid w:val="0"/>
          <w:sz w:val="24"/>
          <w:szCs w:val="24"/>
        </w:rPr>
        <w:t>isolater</w:t>
      </w:r>
      <w:proofErr w:type="spellEnd"/>
      <w:r w:rsidRPr="008A44E1">
        <w:rPr>
          <w:snapToGrid w:val="0"/>
          <w:sz w:val="24"/>
          <w:szCs w:val="24"/>
        </w:rPr>
        <w:t xml:space="preserve"> som værende følsomme eller resistente er anvendelige når man vil forudsige den kliniske effekt af systemisk administrerede antibiotika. Når antibiotikummet administreres lokalt i meget høje koncentrationer direkte på infektionsstedet, er disse </w:t>
      </w:r>
      <w:proofErr w:type="spellStart"/>
      <w:r w:rsidRPr="008A44E1">
        <w:rPr>
          <w:snapToGrid w:val="0"/>
          <w:sz w:val="24"/>
          <w:szCs w:val="24"/>
        </w:rPr>
        <w:t>breakpoint</w:t>
      </w:r>
      <w:proofErr w:type="spellEnd"/>
      <w:r w:rsidRPr="008A44E1">
        <w:rPr>
          <w:snapToGrid w:val="0"/>
          <w:sz w:val="24"/>
          <w:szCs w:val="24"/>
        </w:rPr>
        <w:t xml:space="preserve"> definitioner sandsynligvis ikke anvendelige. De fleste </w:t>
      </w:r>
      <w:proofErr w:type="spellStart"/>
      <w:r w:rsidRPr="008A44E1">
        <w:rPr>
          <w:snapToGrid w:val="0"/>
          <w:sz w:val="24"/>
          <w:szCs w:val="24"/>
        </w:rPr>
        <w:t>isolater</w:t>
      </w:r>
      <w:proofErr w:type="spellEnd"/>
      <w:r w:rsidRPr="008A44E1">
        <w:rPr>
          <w:snapToGrid w:val="0"/>
          <w:sz w:val="24"/>
          <w:szCs w:val="24"/>
        </w:rPr>
        <w:t xml:space="preserve"> der klassificeres som resistente ved systemiske </w:t>
      </w:r>
      <w:proofErr w:type="spellStart"/>
      <w:r w:rsidRPr="008A44E1">
        <w:rPr>
          <w:snapToGrid w:val="0"/>
          <w:sz w:val="24"/>
          <w:szCs w:val="24"/>
        </w:rPr>
        <w:t>breakpoints</w:t>
      </w:r>
      <w:proofErr w:type="spellEnd"/>
      <w:r w:rsidRPr="008A44E1">
        <w:rPr>
          <w:snapToGrid w:val="0"/>
          <w:sz w:val="24"/>
          <w:szCs w:val="24"/>
        </w:rPr>
        <w:t xml:space="preserve"> kan behandles lokalt med succes.</w:t>
      </w:r>
    </w:p>
    <w:p w:rsidR="00B415A6" w:rsidRDefault="00B415A6" w:rsidP="00DA7A1F">
      <w:pPr>
        <w:ind w:left="851"/>
        <w:rPr>
          <w:snapToGrid w:val="0"/>
          <w:sz w:val="24"/>
          <w:szCs w:val="24"/>
        </w:rPr>
      </w:pPr>
      <w:r w:rsidRPr="008A44E1">
        <w:rPr>
          <w:i/>
          <w:snapToGrid w:val="0"/>
          <w:sz w:val="24"/>
          <w:szCs w:val="24"/>
        </w:rPr>
        <w:t xml:space="preserve">In </w:t>
      </w:r>
      <w:proofErr w:type="spellStart"/>
      <w:r w:rsidRPr="008A44E1">
        <w:rPr>
          <w:i/>
          <w:snapToGrid w:val="0"/>
          <w:sz w:val="24"/>
          <w:szCs w:val="24"/>
        </w:rPr>
        <w:t>vitro</w:t>
      </w:r>
      <w:proofErr w:type="spellEnd"/>
      <w:r w:rsidRPr="008A44E1">
        <w:rPr>
          <w:snapToGrid w:val="0"/>
          <w:sz w:val="24"/>
          <w:szCs w:val="24"/>
        </w:rPr>
        <w:t xml:space="preserve">-undersøgelser har vist at </w:t>
      </w:r>
      <w:proofErr w:type="spellStart"/>
      <w:r w:rsidRPr="008A44E1">
        <w:rPr>
          <w:snapToGrid w:val="0"/>
          <w:sz w:val="24"/>
          <w:szCs w:val="24"/>
        </w:rPr>
        <w:t>tobramycin</w:t>
      </w:r>
      <w:proofErr w:type="spellEnd"/>
      <w:r w:rsidRPr="008A44E1">
        <w:rPr>
          <w:snapToGrid w:val="0"/>
          <w:sz w:val="24"/>
          <w:szCs w:val="24"/>
        </w:rPr>
        <w:t xml:space="preserve"> er aktiv over</w:t>
      </w:r>
      <w:r>
        <w:rPr>
          <w:snapToGrid w:val="0"/>
          <w:sz w:val="24"/>
          <w:szCs w:val="24"/>
        </w:rPr>
        <w:t xml:space="preserve"> </w:t>
      </w:r>
      <w:r w:rsidRPr="008A44E1">
        <w:rPr>
          <w:snapToGrid w:val="0"/>
          <w:sz w:val="24"/>
          <w:szCs w:val="24"/>
        </w:rPr>
        <w:t xml:space="preserve">for de fleste stammer af almindelige </w:t>
      </w:r>
      <w:proofErr w:type="spellStart"/>
      <w:r w:rsidRPr="008A44E1">
        <w:rPr>
          <w:snapToGrid w:val="0"/>
          <w:sz w:val="24"/>
          <w:szCs w:val="24"/>
        </w:rPr>
        <w:t>okulære</w:t>
      </w:r>
      <w:proofErr w:type="spellEnd"/>
      <w:r w:rsidRPr="008A44E1">
        <w:rPr>
          <w:snapToGrid w:val="0"/>
          <w:sz w:val="24"/>
          <w:szCs w:val="24"/>
        </w:rPr>
        <w:t xml:space="preserve"> </w:t>
      </w:r>
      <w:proofErr w:type="spellStart"/>
      <w:r w:rsidRPr="008A44E1">
        <w:rPr>
          <w:snapToGrid w:val="0"/>
          <w:sz w:val="24"/>
          <w:szCs w:val="24"/>
        </w:rPr>
        <w:t>patogener</w:t>
      </w:r>
      <w:proofErr w:type="spellEnd"/>
      <w:r w:rsidRPr="008A44E1">
        <w:rPr>
          <w:snapToGrid w:val="0"/>
          <w:sz w:val="24"/>
          <w:szCs w:val="24"/>
        </w:rPr>
        <w:t xml:space="preserve"> og almindelige hudflora bakterier som anført i nedenstående tabel.</w:t>
      </w:r>
    </w:p>
    <w:p w:rsidR="00DA7A1F" w:rsidRDefault="00DA7A1F">
      <w:pPr>
        <w:rPr>
          <w:snapToGrid w:val="0"/>
          <w:sz w:val="24"/>
          <w:szCs w:val="24"/>
        </w:rPr>
      </w:pPr>
      <w:r>
        <w:rPr>
          <w:snapToGrid w:val="0"/>
          <w:sz w:val="24"/>
          <w:szCs w:val="24"/>
        </w:rPr>
        <w:br w:type="page"/>
      </w:r>
    </w:p>
    <w:p w:rsidR="00B415A6" w:rsidRPr="008A44E1" w:rsidRDefault="00B415A6" w:rsidP="00B415A6">
      <w:pPr>
        <w:rPr>
          <w:snapToGrid w:val="0"/>
          <w:sz w:val="24"/>
          <w:szCs w:val="24"/>
        </w:rPr>
      </w:pPr>
    </w:p>
    <w:tbl>
      <w:tblPr>
        <w:tblStyle w:val="Tabel-Gitter"/>
        <w:tblW w:w="0" w:type="auto"/>
        <w:tblInd w:w="846" w:type="dxa"/>
        <w:tblLook w:val="0600" w:firstRow="0" w:lastRow="0" w:firstColumn="0" w:lastColumn="0" w:noHBand="1" w:noVBand="1"/>
      </w:tblPr>
      <w:tblGrid>
        <w:gridCol w:w="4957"/>
        <w:gridCol w:w="3260"/>
      </w:tblGrid>
      <w:tr w:rsidR="00B415A6" w:rsidRPr="008A44E1" w:rsidTr="003B4BCE">
        <w:tc>
          <w:tcPr>
            <w:tcW w:w="4957" w:type="dxa"/>
          </w:tcPr>
          <w:p w:rsidR="00B415A6" w:rsidRPr="008A44E1" w:rsidRDefault="00B415A6" w:rsidP="003B4BCE">
            <w:pPr>
              <w:rPr>
                <w:b/>
                <w:snapToGrid w:val="0"/>
                <w:sz w:val="24"/>
                <w:szCs w:val="24"/>
                <w:lang w:val="da-DK"/>
              </w:rPr>
            </w:pPr>
            <w:r w:rsidRPr="008A44E1">
              <w:rPr>
                <w:b/>
                <w:snapToGrid w:val="0"/>
                <w:sz w:val="24"/>
                <w:szCs w:val="24"/>
                <w:lang w:val="da-DK"/>
              </w:rPr>
              <w:t>Kategori</w:t>
            </w:r>
          </w:p>
        </w:tc>
        <w:tc>
          <w:tcPr>
            <w:tcW w:w="3260" w:type="dxa"/>
          </w:tcPr>
          <w:p w:rsidR="00B415A6" w:rsidRPr="008A44E1" w:rsidRDefault="00B415A6" w:rsidP="003B4BCE">
            <w:pPr>
              <w:rPr>
                <w:b/>
                <w:snapToGrid w:val="0"/>
                <w:sz w:val="24"/>
                <w:szCs w:val="24"/>
                <w:lang w:val="da-DK"/>
              </w:rPr>
            </w:pPr>
            <w:r w:rsidRPr="008A44E1">
              <w:rPr>
                <w:b/>
                <w:snapToGrid w:val="0"/>
                <w:sz w:val="24"/>
                <w:szCs w:val="24"/>
                <w:lang w:val="da-DK"/>
              </w:rPr>
              <w:t>Hyppighed for opnået resistens i Europa</w:t>
            </w:r>
          </w:p>
        </w:tc>
      </w:tr>
      <w:tr w:rsidR="00B415A6" w:rsidRPr="008A44E1" w:rsidTr="003B4BCE">
        <w:tc>
          <w:tcPr>
            <w:tcW w:w="4957" w:type="dxa"/>
          </w:tcPr>
          <w:p w:rsidR="00B415A6" w:rsidRPr="008A44E1" w:rsidRDefault="00B415A6" w:rsidP="003B4BCE">
            <w:pPr>
              <w:pStyle w:val="Overskrift2"/>
              <w:tabs>
                <w:tab w:val="clear" w:pos="567"/>
                <w:tab w:val="left" w:pos="1304"/>
              </w:tabs>
              <w:spacing w:before="0" w:after="0" w:line="240" w:lineRule="auto"/>
              <w:outlineLvl w:val="1"/>
              <w:rPr>
                <w:rFonts w:ascii="Times New Roman" w:hAnsi="Times New Roman"/>
                <w:b w:val="0"/>
                <w:szCs w:val="24"/>
              </w:rPr>
            </w:pPr>
            <w:r w:rsidRPr="00DA7A1F">
              <w:rPr>
                <w:rFonts w:ascii="Times New Roman" w:hAnsi="Times New Roman"/>
                <w:i w:val="0"/>
              </w:rPr>
              <w:t>FØLSOMME ARTER</w:t>
            </w:r>
            <w:r w:rsidRPr="008A44E1">
              <w:rPr>
                <w:rFonts w:ascii="Times New Roman" w:hAnsi="Times New Roman"/>
                <w:szCs w:val="24"/>
              </w:rPr>
              <w:br/>
              <w:t xml:space="preserve">Aerobe Gram-Positive </w:t>
            </w:r>
            <w:proofErr w:type="spellStart"/>
            <w:r w:rsidRPr="008A44E1">
              <w:rPr>
                <w:rFonts w:ascii="Times New Roman" w:hAnsi="Times New Roman"/>
                <w:szCs w:val="24"/>
              </w:rPr>
              <w:t>Mikroorganismer</w:t>
            </w:r>
            <w:proofErr w:type="spellEnd"/>
            <w:r w:rsidRPr="008A44E1">
              <w:rPr>
                <w:rFonts w:ascii="Times New Roman" w:hAnsi="Times New Roman"/>
                <w:szCs w:val="24"/>
              </w:rPr>
              <w:br/>
            </w:r>
            <w:r w:rsidRPr="008A44E1">
              <w:rPr>
                <w:rFonts w:ascii="Times New Roman" w:hAnsi="Times New Roman"/>
                <w:b w:val="0"/>
                <w:szCs w:val="24"/>
              </w:rPr>
              <w:t xml:space="preserve">Corynebacterium </w:t>
            </w:r>
            <w:proofErr w:type="spellStart"/>
            <w:r w:rsidRPr="008A44E1">
              <w:rPr>
                <w:rFonts w:ascii="Times New Roman" w:hAnsi="Times New Roman"/>
                <w:b w:val="0"/>
                <w:i w:val="0"/>
                <w:szCs w:val="24"/>
              </w:rPr>
              <w:t>arter</w:t>
            </w:r>
            <w:proofErr w:type="spellEnd"/>
          </w:p>
          <w:p w:rsidR="00B415A6" w:rsidRPr="008A44E1" w:rsidRDefault="00B415A6" w:rsidP="003B4BCE">
            <w:pPr>
              <w:rPr>
                <w:sz w:val="24"/>
                <w:szCs w:val="24"/>
              </w:rPr>
            </w:pPr>
            <w:r w:rsidRPr="008A44E1">
              <w:rPr>
                <w:i/>
                <w:sz w:val="24"/>
                <w:szCs w:val="24"/>
              </w:rPr>
              <w:t>Staphylococcus aureus</w:t>
            </w:r>
            <w:r w:rsidRPr="008A44E1">
              <w:rPr>
                <w:sz w:val="24"/>
                <w:szCs w:val="24"/>
              </w:rPr>
              <w:t xml:space="preserve"> Methicillin -S </w:t>
            </w:r>
            <w:r w:rsidRPr="008A44E1">
              <w:rPr>
                <w:sz w:val="24"/>
                <w:szCs w:val="24"/>
                <w:vertAlign w:val="superscript"/>
              </w:rPr>
              <w:t>a</w:t>
            </w:r>
          </w:p>
          <w:p w:rsidR="00B415A6" w:rsidRPr="008A44E1" w:rsidRDefault="00B415A6" w:rsidP="003B4BCE">
            <w:pPr>
              <w:rPr>
                <w:sz w:val="24"/>
                <w:szCs w:val="24"/>
              </w:rPr>
            </w:pPr>
            <w:r w:rsidRPr="008A44E1">
              <w:rPr>
                <w:i/>
                <w:sz w:val="24"/>
                <w:szCs w:val="24"/>
              </w:rPr>
              <w:t>Staphylococcus epidermidis</w:t>
            </w:r>
            <w:r w:rsidRPr="008A44E1">
              <w:rPr>
                <w:sz w:val="24"/>
                <w:szCs w:val="24"/>
              </w:rPr>
              <w:t xml:space="preserve"> Methicillin -S </w:t>
            </w:r>
            <w:r w:rsidRPr="008A44E1">
              <w:rPr>
                <w:sz w:val="24"/>
                <w:szCs w:val="24"/>
                <w:vertAlign w:val="superscript"/>
              </w:rPr>
              <w:t>a</w:t>
            </w:r>
          </w:p>
          <w:p w:rsidR="00B415A6" w:rsidRPr="008A44E1" w:rsidRDefault="00B415A6" w:rsidP="003B4BCE">
            <w:pPr>
              <w:rPr>
                <w:sz w:val="24"/>
                <w:szCs w:val="24"/>
              </w:rPr>
            </w:pPr>
            <w:r w:rsidRPr="008A44E1">
              <w:rPr>
                <w:sz w:val="24"/>
                <w:szCs w:val="24"/>
              </w:rPr>
              <w:t xml:space="preserve">Andre </w:t>
            </w:r>
            <w:proofErr w:type="spellStart"/>
            <w:r w:rsidRPr="008A44E1">
              <w:rPr>
                <w:sz w:val="24"/>
                <w:szCs w:val="24"/>
              </w:rPr>
              <w:t>koagulase</w:t>
            </w:r>
            <w:proofErr w:type="spellEnd"/>
            <w:r w:rsidRPr="008A44E1">
              <w:rPr>
                <w:sz w:val="24"/>
                <w:szCs w:val="24"/>
              </w:rPr>
              <w:t>-negative Staphylococci</w:t>
            </w:r>
          </w:p>
          <w:p w:rsidR="00B415A6" w:rsidRPr="008A44E1" w:rsidRDefault="00B415A6" w:rsidP="003B4BCE">
            <w:pPr>
              <w:pStyle w:val="Overskrift2"/>
              <w:tabs>
                <w:tab w:val="clear" w:pos="567"/>
                <w:tab w:val="left" w:pos="1304"/>
              </w:tabs>
              <w:spacing w:before="0" w:after="0" w:line="240" w:lineRule="auto"/>
              <w:outlineLvl w:val="1"/>
              <w:rPr>
                <w:rFonts w:ascii="Times New Roman" w:hAnsi="Times New Roman"/>
                <w:szCs w:val="24"/>
              </w:rPr>
            </w:pPr>
            <w:r w:rsidRPr="008A44E1">
              <w:rPr>
                <w:rFonts w:ascii="Times New Roman" w:hAnsi="Times New Roman"/>
                <w:szCs w:val="24"/>
              </w:rPr>
              <w:t xml:space="preserve">Aerobe Gram-Negative </w:t>
            </w:r>
            <w:proofErr w:type="spellStart"/>
            <w:r w:rsidRPr="008A44E1">
              <w:rPr>
                <w:rFonts w:ascii="Times New Roman" w:hAnsi="Times New Roman"/>
                <w:szCs w:val="24"/>
              </w:rPr>
              <w:t>Mikroorganismer</w:t>
            </w:r>
            <w:proofErr w:type="spellEnd"/>
          </w:p>
          <w:p w:rsidR="00B415A6" w:rsidRPr="008A44E1" w:rsidRDefault="00B415A6" w:rsidP="003B4BCE">
            <w:pPr>
              <w:rPr>
                <w:sz w:val="24"/>
                <w:szCs w:val="24"/>
              </w:rPr>
            </w:pPr>
            <w:r w:rsidRPr="008A44E1">
              <w:rPr>
                <w:i/>
                <w:sz w:val="24"/>
                <w:szCs w:val="24"/>
              </w:rPr>
              <w:t>Acinetobacter</w:t>
            </w:r>
            <w:r w:rsidRPr="008A44E1">
              <w:rPr>
                <w:sz w:val="24"/>
                <w:szCs w:val="24"/>
              </w:rPr>
              <w:t xml:space="preserve"> </w:t>
            </w:r>
            <w:proofErr w:type="spellStart"/>
            <w:r w:rsidRPr="008A44E1">
              <w:rPr>
                <w:sz w:val="24"/>
                <w:szCs w:val="24"/>
              </w:rPr>
              <w:t>arter</w:t>
            </w:r>
            <w:proofErr w:type="spellEnd"/>
          </w:p>
          <w:p w:rsidR="00B415A6" w:rsidRPr="008A44E1" w:rsidRDefault="00B415A6" w:rsidP="003B4BCE">
            <w:pPr>
              <w:rPr>
                <w:snapToGrid w:val="0"/>
                <w:sz w:val="24"/>
                <w:szCs w:val="24"/>
              </w:rPr>
            </w:pPr>
          </w:p>
          <w:p w:rsidR="00B415A6" w:rsidRPr="008A44E1" w:rsidRDefault="00B415A6" w:rsidP="003B4BCE">
            <w:pPr>
              <w:rPr>
                <w:snapToGrid w:val="0"/>
                <w:sz w:val="24"/>
                <w:szCs w:val="24"/>
              </w:rPr>
            </w:pPr>
            <w:r w:rsidRPr="008A44E1">
              <w:rPr>
                <w:b/>
                <w:sz w:val="24"/>
                <w:szCs w:val="24"/>
              </w:rPr>
              <w:t xml:space="preserve">Citrobacter </w:t>
            </w:r>
            <w:proofErr w:type="spellStart"/>
            <w:r w:rsidRPr="008A44E1">
              <w:rPr>
                <w:b/>
                <w:sz w:val="24"/>
                <w:szCs w:val="24"/>
              </w:rPr>
              <w:t>arter</w:t>
            </w:r>
            <w:proofErr w:type="spellEnd"/>
          </w:p>
          <w:p w:rsidR="00B415A6" w:rsidRPr="008A44E1" w:rsidRDefault="00B415A6" w:rsidP="003B4BCE">
            <w:pPr>
              <w:rPr>
                <w:i/>
                <w:sz w:val="24"/>
                <w:szCs w:val="24"/>
              </w:rPr>
            </w:pPr>
            <w:r w:rsidRPr="008A44E1">
              <w:rPr>
                <w:i/>
                <w:sz w:val="24"/>
                <w:szCs w:val="24"/>
              </w:rPr>
              <w:t>Escherichia coli</w:t>
            </w:r>
          </w:p>
          <w:p w:rsidR="00B415A6" w:rsidRPr="008A44E1" w:rsidRDefault="00B415A6" w:rsidP="003B4BCE">
            <w:pPr>
              <w:rPr>
                <w:sz w:val="24"/>
                <w:szCs w:val="24"/>
              </w:rPr>
            </w:pPr>
            <w:r w:rsidRPr="008A44E1">
              <w:rPr>
                <w:i/>
                <w:sz w:val="24"/>
                <w:szCs w:val="24"/>
              </w:rPr>
              <w:t xml:space="preserve">Enterobacter </w:t>
            </w:r>
            <w:proofErr w:type="spellStart"/>
            <w:r w:rsidRPr="008A44E1">
              <w:rPr>
                <w:sz w:val="24"/>
                <w:szCs w:val="24"/>
              </w:rPr>
              <w:t>arter</w:t>
            </w:r>
            <w:proofErr w:type="spellEnd"/>
          </w:p>
          <w:p w:rsidR="00B415A6" w:rsidRPr="008A44E1" w:rsidRDefault="00B415A6" w:rsidP="003B4BCE">
            <w:pPr>
              <w:rPr>
                <w:i/>
                <w:sz w:val="24"/>
                <w:szCs w:val="24"/>
              </w:rPr>
            </w:pPr>
            <w:proofErr w:type="spellStart"/>
            <w:r w:rsidRPr="008A44E1">
              <w:rPr>
                <w:i/>
                <w:sz w:val="24"/>
                <w:szCs w:val="24"/>
              </w:rPr>
              <w:t>Haemophilus</w:t>
            </w:r>
            <w:proofErr w:type="spellEnd"/>
            <w:r w:rsidRPr="008A44E1">
              <w:rPr>
                <w:i/>
                <w:sz w:val="24"/>
                <w:szCs w:val="24"/>
              </w:rPr>
              <w:t xml:space="preserve"> influenzae</w:t>
            </w:r>
          </w:p>
          <w:p w:rsidR="00B415A6" w:rsidRPr="008A44E1" w:rsidRDefault="00B415A6" w:rsidP="003B4BCE">
            <w:pPr>
              <w:rPr>
                <w:sz w:val="24"/>
                <w:szCs w:val="24"/>
              </w:rPr>
            </w:pPr>
            <w:r w:rsidRPr="008A44E1">
              <w:rPr>
                <w:i/>
                <w:sz w:val="24"/>
                <w:szCs w:val="24"/>
              </w:rPr>
              <w:t xml:space="preserve">Klebsiella </w:t>
            </w:r>
            <w:proofErr w:type="spellStart"/>
            <w:r w:rsidRPr="008A44E1">
              <w:rPr>
                <w:sz w:val="24"/>
                <w:szCs w:val="24"/>
              </w:rPr>
              <w:t>arter</w:t>
            </w:r>
            <w:proofErr w:type="spellEnd"/>
          </w:p>
          <w:p w:rsidR="00B415A6" w:rsidRPr="008A44E1" w:rsidRDefault="00B415A6" w:rsidP="003B4BCE">
            <w:pPr>
              <w:rPr>
                <w:i/>
                <w:sz w:val="24"/>
                <w:szCs w:val="24"/>
                <w:lang w:val="sv-SE"/>
              </w:rPr>
            </w:pPr>
            <w:proofErr w:type="spellStart"/>
            <w:r w:rsidRPr="008A44E1">
              <w:rPr>
                <w:i/>
                <w:sz w:val="24"/>
                <w:szCs w:val="24"/>
                <w:lang w:val="sv-SE"/>
              </w:rPr>
              <w:t>Moraxella</w:t>
            </w:r>
            <w:proofErr w:type="spellEnd"/>
            <w:r w:rsidRPr="008A44E1">
              <w:rPr>
                <w:i/>
                <w:sz w:val="24"/>
                <w:szCs w:val="24"/>
                <w:lang w:val="sv-SE"/>
              </w:rPr>
              <w:t xml:space="preserve"> </w:t>
            </w:r>
            <w:r w:rsidRPr="008A44E1">
              <w:rPr>
                <w:sz w:val="24"/>
                <w:szCs w:val="24"/>
                <w:lang w:val="sv-SE"/>
              </w:rPr>
              <w:t>arter</w:t>
            </w:r>
          </w:p>
          <w:p w:rsidR="00B415A6" w:rsidRPr="008A44E1" w:rsidRDefault="00B415A6" w:rsidP="003B4BCE">
            <w:pPr>
              <w:rPr>
                <w:sz w:val="24"/>
                <w:szCs w:val="24"/>
                <w:lang w:val="sv-SE"/>
              </w:rPr>
            </w:pPr>
            <w:proofErr w:type="spellStart"/>
            <w:r w:rsidRPr="008A44E1">
              <w:rPr>
                <w:i/>
                <w:sz w:val="24"/>
                <w:szCs w:val="24"/>
                <w:lang w:val="sv-SE"/>
              </w:rPr>
              <w:t>Proteus</w:t>
            </w:r>
            <w:proofErr w:type="spellEnd"/>
            <w:r w:rsidRPr="008A44E1">
              <w:rPr>
                <w:i/>
                <w:sz w:val="24"/>
                <w:szCs w:val="24"/>
                <w:lang w:val="sv-SE"/>
              </w:rPr>
              <w:t xml:space="preserve"> </w:t>
            </w:r>
            <w:r w:rsidRPr="008A44E1">
              <w:rPr>
                <w:sz w:val="24"/>
                <w:szCs w:val="24"/>
                <w:lang w:val="sv-SE"/>
              </w:rPr>
              <w:t>arter</w:t>
            </w:r>
          </w:p>
          <w:p w:rsidR="00B415A6" w:rsidRPr="008A44E1" w:rsidRDefault="00B415A6" w:rsidP="003B4BCE">
            <w:pPr>
              <w:rPr>
                <w:snapToGrid w:val="0"/>
                <w:sz w:val="24"/>
                <w:szCs w:val="24"/>
                <w:lang w:val="sv-SE"/>
              </w:rPr>
            </w:pPr>
          </w:p>
          <w:p w:rsidR="00B415A6" w:rsidRPr="008A44E1" w:rsidRDefault="00B415A6" w:rsidP="003B4BCE">
            <w:pPr>
              <w:rPr>
                <w:snapToGrid w:val="0"/>
                <w:sz w:val="24"/>
                <w:szCs w:val="24"/>
                <w:lang w:val="sv-SE"/>
              </w:rPr>
            </w:pPr>
            <w:r w:rsidRPr="008A44E1">
              <w:rPr>
                <w:b/>
                <w:i/>
                <w:sz w:val="24"/>
                <w:szCs w:val="24"/>
              </w:rPr>
              <w:t>Pseudomonas aeruginosa</w:t>
            </w:r>
          </w:p>
        </w:tc>
        <w:tc>
          <w:tcPr>
            <w:tcW w:w="3260" w:type="dxa"/>
          </w:tcPr>
          <w:p w:rsidR="00B415A6" w:rsidRPr="008A44E1" w:rsidRDefault="00B415A6" w:rsidP="003B4BCE">
            <w:pPr>
              <w:rPr>
                <w:snapToGrid w:val="0"/>
                <w:sz w:val="24"/>
                <w:szCs w:val="24"/>
                <w:lang w:val="sv-SE"/>
              </w:rPr>
            </w:pPr>
          </w:p>
          <w:p w:rsidR="00B415A6" w:rsidRPr="008A44E1" w:rsidRDefault="00B415A6" w:rsidP="003B4BCE">
            <w:pPr>
              <w:rPr>
                <w:snapToGrid w:val="0"/>
                <w:sz w:val="24"/>
                <w:szCs w:val="24"/>
                <w:lang w:val="sv-SE"/>
              </w:rPr>
            </w:pPr>
          </w:p>
          <w:p w:rsidR="00B415A6" w:rsidRPr="008A44E1" w:rsidRDefault="00B415A6" w:rsidP="003B4BCE">
            <w:pPr>
              <w:rPr>
                <w:sz w:val="24"/>
                <w:szCs w:val="24"/>
              </w:rPr>
            </w:pPr>
            <w:r w:rsidRPr="008A44E1">
              <w:rPr>
                <w:sz w:val="24"/>
                <w:szCs w:val="24"/>
              </w:rPr>
              <w:t>0-3%</w:t>
            </w:r>
          </w:p>
          <w:p w:rsidR="00B415A6" w:rsidRPr="008A44E1" w:rsidRDefault="00B415A6" w:rsidP="003B4BCE">
            <w:pPr>
              <w:rPr>
                <w:sz w:val="24"/>
                <w:szCs w:val="24"/>
              </w:rPr>
            </w:pPr>
            <w:r w:rsidRPr="008A44E1">
              <w:rPr>
                <w:sz w:val="24"/>
                <w:szCs w:val="24"/>
              </w:rPr>
              <w:t>0-3%</w:t>
            </w:r>
          </w:p>
          <w:p w:rsidR="00B415A6" w:rsidRPr="008A44E1" w:rsidRDefault="00B415A6" w:rsidP="003B4BCE">
            <w:pPr>
              <w:rPr>
                <w:sz w:val="24"/>
                <w:szCs w:val="24"/>
              </w:rPr>
            </w:pPr>
            <w:r w:rsidRPr="008A44E1">
              <w:rPr>
                <w:sz w:val="24"/>
                <w:szCs w:val="24"/>
              </w:rPr>
              <w:t>0-28%</w:t>
            </w:r>
          </w:p>
          <w:p w:rsidR="00B415A6" w:rsidRPr="008A44E1" w:rsidRDefault="00B415A6" w:rsidP="003B4BCE">
            <w:pPr>
              <w:rPr>
                <w:sz w:val="24"/>
                <w:szCs w:val="24"/>
              </w:rPr>
            </w:pPr>
            <w:r w:rsidRPr="008A44E1">
              <w:rPr>
                <w:sz w:val="24"/>
                <w:szCs w:val="24"/>
              </w:rPr>
              <w:t>0-40%</w:t>
            </w:r>
          </w:p>
          <w:p w:rsidR="00B415A6" w:rsidRPr="008A44E1" w:rsidRDefault="00B415A6" w:rsidP="003B4BCE">
            <w:pPr>
              <w:rPr>
                <w:snapToGrid w:val="0"/>
                <w:sz w:val="24"/>
                <w:szCs w:val="24"/>
                <w:lang w:val="sv-SE"/>
              </w:rPr>
            </w:pPr>
          </w:p>
          <w:p w:rsidR="00B415A6" w:rsidRPr="008A44E1" w:rsidRDefault="00B415A6" w:rsidP="003B4BCE">
            <w:pPr>
              <w:rPr>
                <w:snapToGrid w:val="0"/>
                <w:sz w:val="24"/>
                <w:szCs w:val="24"/>
                <w:lang w:val="sv-SE"/>
              </w:rPr>
            </w:pPr>
          </w:p>
          <w:p w:rsidR="00B415A6" w:rsidRPr="008A44E1" w:rsidRDefault="00B415A6" w:rsidP="003B4BCE">
            <w:pPr>
              <w:rPr>
                <w:snapToGrid w:val="0"/>
                <w:sz w:val="24"/>
                <w:szCs w:val="24"/>
                <w:lang w:val="sv-SE"/>
              </w:rPr>
            </w:pPr>
            <w:r w:rsidRPr="008A44E1">
              <w:rPr>
                <w:snapToGrid w:val="0"/>
                <w:sz w:val="24"/>
                <w:szCs w:val="24"/>
                <w:lang w:val="sv-SE"/>
              </w:rPr>
              <w:t>0%</w:t>
            </w:r>
          </w:p>
          <w:p w:rsidR="00B415A6" w:rsidRPr="008A44E1" w:rsidRDefault="00B415A6" w:rsidP="003B4BCE">
            <w:pPr>
              <w:rPr>
                <w:snapToGrid w:val="0"/>
                <w:sz w:val="24"/>
                <w:szCs w:val="24"/>
                <w:lang w:val="sv-SE"/>
              </w:rPr>
            </w:pPr>
          </w:p>
          <w:p w:rsidR="00B415A6" w:rsidRPr="008A44E1" w:rsidRDefault="00B415A6" w:rsidP="003B4BCE">
            <w:pPr>
              <w:rPr>
                <w:sz w:val="24"/>
                <w:szCs w:val="24"/>
              </w:rPr>
            </w:pPr>
            <w:r w:rsidRPr="008A44E1">
              <w:rPr>
                <w:sz w:val="24"/>
                <w:szCs w:val="24"/>
              </w:rPr>
              <w:t>0%</w:t>
            </w:r>
          </w:p>
          <w:p w:rsidR="00B415A6" w:rsidRPr="008A44E1" w:rsidRDefault="00B415A6" w:rsidP="003B4BCE">
            <w:pPr>
              <w:rPr>
                <w:sz w:val="24"/>
                <w:szCs w:val="24"/>
              </w:rPr>
            </w:pPr>
            <w:r w:rsidRPr="008A44E1">
              <w:rPr>
                <w:sz w:val="24"/>
                <w:szCs w:val="24"/>
              </w:rPr>
              <w:t>0%</w:t>
            </w:r>
          </w:p>
          <w:p w:rsidR="00B415A6" w:rsidRPr="008A44E1" w:rsidRDefault="00B415A6" w:rsidP="003B4BCE">
            <w:pPr>
              <w:rPr>
                <w:sz w:val="24"/>
                <w:szCs w:val="24"/>
              </w:rPr>
            </w:pPr>
            <w:r w:rsidRPr="008A44E1">
              <w:rPr>
                <w:sz w:val="24"/>
                <w:szCs w:val="24"/>
              </w:rPr>
              <w:t>0%</w:t>
            </w:r>
          </w:p>
          <w:p w:rsidR="00B415A6" w:rsidRPr="008A44E1" w:rsidRDefault="00B415A6" w:rsidP="003B4BCE">
            <w:pPr>
              <w:rPr>
                <w:sz w:val="24"/>
                <w:szCs w:val="24"/>
              </w:rPr>
            </w:pPr>
            <w:r w:rsidRPr="008A44E1">
              <w:rPr>
                <w:sz w:val="24"/>
                <w:szCs w:val="24"/>
              </w:rPr>
              <w:t>0%</w:t>
            </w:r>
          </w:p>
          <w:p w:rsidR="00B415A6" w:rsidRPr="008A44E1" w:rsidRDefault="00B415A6" w:rsidP="003B4BCE">
            <w:pPr>
              <w:rPr>
                <w:sz w:val="24"/>
                <w:szCs w:val="24"/>
              </w:rPr>
            </w:pPr>
            <w:r w:rsidRPr="008A44E1">
              <w:rPr>
                <w:sz w:val="24"/>
                <w:szCs w:val="24"/>
              </w:rPr>
              <w:t>0%</w:t>
            </w:r>
          </w:p>
          <w:p w:rsidR="00B415A6" w:rsidRPr="008A44E1" w:rsidRDefault="00B415A6" w:rsidP="003B4BCE">
            <w:pPr>
              <w:rPr>
                <w:sz w:val="24"/>
                <w:szCs w:val="24"/>
              </w:rPr>
            </w:pPr>
            <w:r w:rsidRPr="008A44E1">
              <w:rPr>
                <w:sz w:val="24"/>
                <w:szCs w:val="24"/>
              </w:rPr>
              <w:t>0%</w:t>
            </w:r>
          </w:p>
          <w:p w:rsidR="00B415A6" w:rsidRPr="008A44E1" w:rsidRDefault="00B415A6" w:rsidP="003B4BCE">
            <w:pPr>
              <w:rPr>
                <w:sz w:val="24"/>
                <w:szCs w:val="24"/>
              </w:rPr>
            </w:pPr>
            <w:r w:rsidRPr="008A44E1">
              <w:rPr>
                <w:sz w:val="24"/>
                <w:szCs w:val="24"/>
              </w:rPr>
              <w:t>0%</w:t>
            </w:r>
          </w:p>
          <w:p w:rsidR="00B415A6" w:rsidRPr="008A44E1" w:rsidRDefault="00B415A6" w:rsidP="003B4BCE">
            <w:pPr>
              <w:rPr>
                <w:snapToGrid w:val="0"/>
                <w:sz w:val="24"/>
                <w:szCs w:val="24"/>
                <w:lang w:val="sv-SE"/>
              </w:rPr>
            </w:pPr>
          </w:p>
          <w:p w:rsidR="00B415A6" w:rsidRPr="008A44E1" w:rsidRDefault="00B415A6" w:rsidP="003B4BCE">
            <w:pPr>
              <w:rPr>
                <w:snapToGrid w:val="0"/>
                <w:sz w:val="24"/>
                <w:szCs w:val="24"/>
                <w:lang w:val="sv-SE"/>
              </w:rPr>
            </w:pPr>
            <w:r w:rsidRPr="008A44E1">
              <w:rPr>
                <w:sz w:val="24"/>
                <w:szCs w:val="24"/>
              </w:rPr>
              <w:t>0%</w:t>
            </w:r>
          </w:p>
        </w:tc>
      </w:tr>
      <w:tr w:rsidR="00B415A6" w:rsidRPr="008A44E1" w:rsidTr="003B4BCE">
        <w:tc>
          <w:tcPr>
            <w:tcW w:w="4957" w:type="dxa"/>
          </w:tcPr>
          <w:p w:rsidR="00B415A6" w:rsidRPr="008A44E1" w:rsidRDefault="00B415A6" w:rsidP="003B4BCE">
            <w:pPr>
              <w:pStyle w:val="Overskrift2"/>
              <w:tabs>
                <w:tab w:val="clear" w:pos="567"/>
                <w:tab w:val="left" w:pos="1304"/>
              </w:tabs>
              <w:spacing w:before="0" w:after="0" w:line="240" w:lineRule="auto"/>
              <w:outlineLvl w:val="1"/>
              <w:rPr>
                <w:rFonts w:ascii="Times New Roman" w:hAnsi="Times New Roman"/>
                <w:szCs w:val="24"/>
                <w:lang w:val="da-DK"/>
              </w:rPr>
            </w:pPr>
            <w:r w:rsidRPr="008A44E1">
              <w:rPr>
                <w:rFonts w:ascii="Times New Roman" w:hAnsi="Times New Roman"/>
                <w:i w:val="0"/>
                <w:szCs w:val="24"/>
                <w:lang w:val="da-DK"/>
              </w:rPr>
              <w:t>MODERAT FØLSOMME ARTER</w:t>
            </w:r>
            <w:r w:rsidRPr="008A44E1">
              <w:rPr>
                <w:rFonts w:ascii="Times New Roman" w:hAnsi="Times New Roman"/>
                <w:szCs w:val="24"/>
                <w:lang w:val="da-DK"/>
              </w:rPr>
              <w:br/>
            </w:r>
            <w:r w:rsidRPr="008A44E1">
              <w:rPr>
                <w:rFonts w:ascii="Times New Roman" w:hAnsi="Times New Roman"/>
                <w:b w:val="0"/>
                <w:i w:val="0"/>
                <w:szCs w:val="24"/>
                <w:lang w:val="da-DK"/>
              </w:rPr>
              <w:t>(</w:t>
            </w:r>
            <w:r w:rsidRPr="008A44E1">
              <w:rPr>
                <w:rFonts w:ascii="Times New Roman" w:hAnsi="Times New Roman"/>
                <w:b w:val="0"/>
                <w:szCs w:val="24"/>
                <w:lang w:val="da-DK"/>
              </w:rPr>
              <w:t xml:space="preserve">in </w:t>
            </w:r>
            <w:proofErr w:type="spellStart"/>
            <w:r w:rsidRPr="008A44E1">
              <w:rPr>
                <w:rFonts w:ascii="Times New Roman" w:hAnsi="Times New Roman"/>
                <w:b w:val="0"/>
                <w:szCs w:val="24"/>
                <w:lang w:val="da-DK"/>
              </w:rPr>
              <w:t>vitro</w:t>
            </w:r>
            <w:proofErr w:type="spellEnd"/>
            <w:r w:rsidRPr="008A44E1">
              <w:rPr>
                <w:rFonts w:ascii="Times New Roman" w:hAnsi="Times New Roman"/>
                <w:b w:val="0"/>
                <w:szCs w:val="24"/>
                <w:lang w:val="da-DK"/>
              </w:rPr>
              <w:t>,</w:t>
            </w:r>
            <w:r w:rsidRPr="008A44E1">
              <w:rPr>
                <w:rFonts w:ascii="Times New Roman" w:hAnsi="Times New Roman"/>
                <w:b w:val="0"/>
                <w:i w:val="0"/>
                <w:szCs w:val="24"/>
                <w:lang w:val="da-DK"/>
              </w:rPr>
              <w:t xml:space="preserve"> delvist følsomme)</w:t>
            </w:r>
          </w:p>
          <w:p w:rsidR="00B415A6" w:rsidRPr="008A44E1" w:rsidRDefault="00B415A6" w:rsidP="003B4BCE">
            <w:pPr>
              <w:pStyle w:val="Overskrift2"/>
              <w:tabs>
                <w:tab w:val="clear" w:pos="567"/>
                <w:tab w:val="left" w:pos="1304"/>
              </w:tabs>
              <w:spacing w:before="0" w:after="0" w:line="240" w:lineRule="auto"/>
              <w:outlineLvl w:val="1"/>
              <w:rPr>
                <w:rFonts w:ascii="Times New Roman" w:hAnsi="Times New Roman"/>
                <w:szCs w:val="24"/>
                <w:lang w:val="da-DK"/>
              </w:rPr>
            </w:pPr>
            <w:r w:rsidRPr="008A44E1">
              <w:rPr>
                <w:rFonts w:ascii="Times New Roman" w:hAnsi="Times New Roman"/>
                <w:szCs w:val="24"/>
                <w:lang w:val="da-DK"/>
              </w:rPr>
              <w:t xml:space="preserve">Aerobic </w:t>
            </w:r>
            <w:proofErr w:type="spellStart"/>
            <w:r w:rsidRPr="008A44E1">
              <w:rPr>
                <w:rFonts w:ascii="Times New Roman" w:hAnsi="Times New Roman"/>
                <w:szCs w:val="24"/>
                <w:lang w:val="da-DK"/>
              </w:rPr>
              <w:t>Gram-Negative</w:t>
            </w:r>
            <w:proofErr w:type="spellEnd"/>
            <w:r w:rsidRPr="008A44E1">
              <w:rPr>
                <w:rFonts w:ascii="Times New Roman" w:hAnsi="Times New Roman"/>
                <w:szCs w:val="24"/>
                <w:lang w:val="da-DK"/>
              </w:rPr>
              <w:t xml:space="preserve"> Mikroorganismer</w:t>
            </w:r>
          </w:p>
          <w:p w:rsidR="00B415A6" w:rsidRPr="008A44E1" w:rsidRDefault="00B415A6" w:rsidP="003B4BCE">
            <w:pPr>
              <w:rPr>
                <w:snapToGrid w:val="0"/>
                <w:sz w:val="24"/>
                <w:szCs w:val="24"/>
                <w:lang w:val="sv-SE"/>
              </w:rPr>
            </w:pPr>
            <w:r w:rsidRPr="008A44E1">
              <w:rPr>
                <w:i/>
                <w:sz w:val="24"/>
                <w:szCs w:val="24"/>
              </w:rPr>
              <w:t>Serratia marcescens</w:t>
            </w:r>
          </w:p>
        </w:tc>
        <w:tc>
          <w:tcPr>
            <w:tcW w:w="3260" w:type="dxa"/>
          </w:tcPr>
          <w:p w:rsidR="00B415A6" w:rsidRPr="008A44E1" w:rsidRDefault="00B415A6" w:rsidP="003B4BCE">
            <w:pPr>
              <w:rPr>
                <w:snapToGrid w:val="0"/>
                <w:sz w:val="24"/>
                <w:szCs w:val="24"/>
                <w:lang w:val="sv-SE"/>
              </w:rPr>
            </w:pPr>
          </w:p>
        </w:tc>
      </w:tr>
      <w:tr w:rsidR="00B415A6" w:rsidRPr="008A44E1" w:rsidTr="003B4BCE">
        <w:tc>
          <w:tcPr>
            <w:tcW w:w="4957" w:type="dxa"/>
          </w:tcPr>
          <w:p w:rsidR="00B415A6" w:rsidRPr="008A44E1" w:rsidRDefault="00B415A6" w:rsidP="003B4BCE">
            <w:pPr>
              <w:pStyle w:val="Overskrift2"/>
              <w:tabs>
                <w:tab w:val="clear" w:pos="567"/>
                <w:tab w:val="left" w:pos="1304"/>
              </w:tabs>
              <w:spacing w:before="0" w:after="0" w:line="240" w:lineRule="auto"/>
              <w:outlineLvl w:val="1"/>
              <w:rPr>
                <w:rFonts w:ascii="Times New Roman" w:hAnsi="Times New Roman"/>
                <w:i w:val="0"/>
                <w:szCs w:val="24"/>
                <w:lang w:val="da-DK"/>
              </w:rPr>
            </w:pPr>
            <w:r w:rsidRPr="008A44E1">
              <w:rPr>
                <w:rFonts w:ascii="Times New Roman" w:hAnsi="Times New Roman"/>
                <w:i w:val="0"/>
                <w:szCs w:val="24"/>
                <w:lang w:val="da-DK"/>
              </w:rPr>
              <w:t>NATURLIGT RESISTENTE ARTER</w:t>
            </w:r>
          </w:p>
          <w:p w:rsidR="00B415A6" w:rsidRPr="008A44E1" w:rsidRDefault="00B415A6" w:rsidP="003B4BCE">
            <w:pPr>
              <w:pStyle w:val="Overskrift2"/>
              <w:tabs>
                <w:tab w:val="clear" w:pos="567"/>
                <w:tab w:val="left" w:pos="1304"/>
              </w:tabs>
              <w:spacing w:before="0" w:after="0" w:line="240" w:lineRule="auto"/>
              <w:outlineLvl w:val="1"/>
              <w:rPr>
                <w:rFonts w:ascii="Times New Roman" w:hAnsi="Times New Roman"/>
                <w:szCs w:val="24"/>
                <w:lang w:val="da-DK"/>
              </w:rPr>
            </w:pPr>
            <w:r w:rsidRPr="008A44E1">
              <w:rPr>
                <w:rFonts w:ascii="Times New Roman" w:hAnsi="Times New Roman"/>
                <w:szCs w:val="24"/>
                <w:lang w:val="da-DK"/>
              </w:rPr>
              <w:t xml:space="preserve">Aerobic </w:t>
            </w:r>
            <w:proofErr w:type="spellStart"/>
            <w:r w:rsidRPr="008A44E1">
              <w:rPr>
                <w:rFonts w:ascii="Times New Roman" w:hAnsi="Times New Roman"/>
                <w:szCs w:val="24"/>
                <w:lang w:val="da-DK"/>
              </w:rPr>
              <w:t>Gram-Positive</w:t>
            </w:r>
            <w:proofErr w:type="spellEnd"/>
            <w:r w:rsidRPr="008A44E1">
              <w:rPr>
                <w:rFonts w:ascii="Times New Roman" w:hAnsi="Times New Roman"/>
                <w:szCs w:val="24"/>
                <w:lang w:val="da-DK"/>
              </w:rPr>
              <w:t xml:space="preserve"> </w:t>
            </w:r>
            <w:proofErr w:type="spellStart"/>
            <w:r w:rsidRPr="008A44E1">
              <w:rPr>
                <w:rFonts w:ascii="Times New Roman" w:hAnsi="Times New Roman"/>
                <w:szCs w:val="24"/>
                <w:lang w:val="da-DK"/>
              </w:rPr>
              <w:t>Microorganismer</w:t>
            </w:r>
            <w:proofErr w:type="spellEnd"/>
          </w:p>
          <w:p w:rsidR="00B415A6" w:rsidRPr="008A44E1" w:rsidRDefault="00B415A6" w:rsidP="003B4BCE">
            <w:pPr>
              <w:rPr>
                <w:sz w:val="24"/>
                <w:szCs w:val="24"/>
              </w:rPr>
            </w:pPr>
            <w:r w:rsidRPr="008A44E1">
              <w:rPr>
                <w:sz w:val="24"/>
                <w:szCs w:val="24"/>
              </w:rPr>
              <w:t>Enterococcus</w:t>
            </w:r>
            <w:r w:rsidRPr="008A44E1">
              <w:rPr>
                <w:i/>
                <w:sz w:val="24"/>
                <w:szCs w:val="24"/>
              </w:rPr>
              <w:t xml:space="preserve"> </w:t>
            </w:r>
            <w:proofErr w:type="spellStart"/>
            <w:r w:rsidRPr="008A44E1">
              <w:rPr>
                <w:sz w:val="24"/>
                <w:szCs w:val="24"/>
              </w:rPr>
              <w:t>arter</w:t>
            </w:r>
            <w:proofErr w:type="spellEnd"/>
          </w:p>
          <w:p w:rsidR="00B415A6" w:rsidRPr="008A44E1" w:rsidRDefault="00B415A6" w:rsidP="003B4BCE">
            <w:pPr>
              <w:rPr>
                <w:sz w:val="24"/>
                <w:szCs w:val="24"/>
              </w:rPr>
            </w:pPr>
            <w:r w:rsidRPr="008A44E1">
              <w:rPr>
                <w:i/>
                <w:sz w:val="24"/>
                <w:szCs w:val="24"/>
              </w:rPr>
              <w:t xml:space="preserve">Staphylococcus aureus </w:t>
            </w:r>
            <w:r w:rsidRPr="008A44E1">
              <w:rPr>
                <w:sz w:val="24"/>
                <w:szCs w:val="24"/>
              </w:rPr>
              <w:t xml:space="preserve">Methicillin –R </w:t>
            </w:r>
            <w:r w:rsidRPr="008A44E1">
              <w:rPr>
                <w:sz w:val="24"/>
                <w:szCs w:val="24"/>
                <w:vertAlign w:val="superscript"/>
              </w:rPr>
              <w:t>a</w:t>
            </w:r>
          </w:p>
          <w:p w:rsidR="00B415A6" w:rsidRPr="008A44E1" w:rsidRDefault="00B415A6" w:rsidP="003B4BCE">
            <w:pPr>
              <w:rPr>
                <w:i/>
                <w:sz w:val="24"/>
                <w:szCs w:val="24"/>
              </w:rPr>
            </w:pPr>
            <w:r w:rsidRPr="008A44E1">
              <w:rPr>
                <w:i/>
                <w:sz w:val="24"/>
                <w:szCs w:val="24"/>
              </w:rPr>
              <w:t xml:space="preserve">Staphylococcus epidermidis </w:t>
            </w:r>
            <w:r w:rsidRPr="008A44E1">
              <w:rPr>
                <w:sz w:val="24"/>
                <w:szCs w:val="24"/>
              </w:rPr>
              <w:t xml:space="preserve">Methicillin –R </w:t>
            </w:r>
            <w:r w:rsidRPr="008A44E1">
              <w:rPr>
                <w:sz w:val="24"/>
                <w:szCs w:val="24"/>
                <w:vertAlign w:val="superscript"/>
              </w:rPr>
              <w:t>a</w:t>
            </w:r>
          </w:p>
          <w:p w:rsidR="00B415A6" w:rsidRPr="008A44E1" w:rsidRDefault="00B415A6" w:rsidP="003B4BCE">
            <w:pPr>
              <w:rPr>
                <w:i/>
                <w:sz w:val="24"/>
                <w:szCs w:val="24"/>
              </w:rPr>
            </w:pPr>
            <w:r w:rsidRPr="008A44E1">
              <w:rPr>
                <w:i/>
                <w:sz w:val="24"/>
                <w:szCs w:val="24"/>
              </w:rPr>
              <w:t>Streptococcus pneumoniae</w:t>
            </w:r>
          </w:p>
          <w:p w:rsidR="00B415A6" w:rsidRPr="008A44E1" w:rsidRDefault="00B415A6" w:rsidP="003B4BCE">
            <w:pPr>
              <w:rPr>
                <w:i/>
                <w:sz w:val="24"/>
                <w:szCs w:val="24"/>
                <w:lang w:val="da-DK"/>
              </w:rPr>
            </w:pPr>
            <w:r w:rsidRPr="008A44E1">
              <w:rPr>
                <w:i/>
                <w:sz w:val="24"/>
                <w:szCs w:val="24"/>
              </w:rPr>
              <w:t>Streptococcus</w:t>
            </w:r>
            <w:r w:rsidRPr="008A44E1">
              <w:rPr>
                <w:sz w:val="24"/>
                <w:szCs w:val="24"/>
              </w:rPr>
              <w:t xml:space="preserve"> </w:t>
            </w:r>
            <w:proofErr w:type="spellStart"/>
            <w:r w:rsidRPr="008A44E1">
              <w:rPr>
                <w:sz w:val="24"/>
                <w:szCs w:val="24"/>
              </w:rPr>
              <w:t>arter</w:t>
            </w:r>
            <w:proofErr w:type="spellEnd"/>
          </w:p>
          <w:p w:rsidR="00B415A6" w:rsidRPr="008A44E1" w:rsidRDefault="00B415A6" w:rsidP="003B4BCE">
            <w:pPr>
              <w:rPr>
                <w:snapToGrid w:val="0"/>
                <w:sz w:val="24"/>
                <w:szCs w:val="24"/>
                <w:lang w:val="sv-SE"/>
              </w:rPr>
            </w:pPr>
          </w:p>
        </w:tc>
        <w:tc>
          <w:tcPr>
            <w:tcW w:w="3260" w:type="dxa"/>
          </w:tcPr>
          <w:p w:rsidR="00B415A6" w:rsidRPr="008A44E1" w:rsidRDefault="00B415A6" w:rsidP="003B4BCE">
            <w:pPr>
              <w:rPr>
                <w:sz w:val="24"/>
                <w:szCs w:val="24"/>
              </w:rPr>
            </w:pPr>
          </w:p>
          <w:p w:rsidR="00B415A6" w:rsidRPr="008A44E1" w:rsidRDefault="00B415A6" w:rsidP="003B4BCE">
            <w:pPr>
              <w:rPr>
                <w:sz w:val="24"/>
                <w:szCs w:val="24"/>
              </w:rPr>
            </w:pPr>
          </w:p>
          <w:p w:rsidR="00B415A6" w:rsidRPr="008A44E1" w:rsidRDefault="00B415A6" w:rsidP="003B4BCE">
            <w:pPr>
              <w:rPr>
                <w:sz w:val="24"/>
                <w:szCs w:val="24"/>
              </w:rPr>
            </w:pPr>
          </w:p>
          <w:p w:rsidR="00B415A6" w:rsidRPr="008A44E1" w:rsidRDefault="00B415A6" w:rsidP="003B4BCE">
            <w:pPr>
              <w:rPr>
                <w:sz w:val="24"/>
                <w:szCs w:val="24"/>
              </w:rPr>
            </w:pPr>
          </w:p>
          <w:p w:rsidR="00B415A6" w:rsidRPr="008A44E1" w:rsidRDefault="00B415A6" w:rsidP="003B4BCE">
            <w:pPr>
              <w:rPr>
                <w:sz w:val="24"/>
                <w:szCs w:val="24"/>
              </w:rPr>
            </w:pPr>
            <w:r w:rsidRPr="008A44E1">
              <w:rPr>
                <w:sz w:val="24"/>
                <w:szCs w:val="24"/>
              </w:rPr>
              <w:t>50 – 70%</w:t>
            </w:r>
          </w:p>
          <w:p w:rsidR="00B415A6" w:rsidRPr="008A44E1" w:rsidRDefault="00B415A6" w:rsidP="003B4BCE">
            <w:pPr>
              <w:rPr>
                <w:snapToGrid w:val="0"/>
                <w:sz w:val="24"/>
                <w:szCs w:val="24"/>
                <w:lang w:val="sv-SE"/>
              </w:rPr>
            </w:pPr>
            <w:r w:rsidRPr="008A44E1">
              <w:rPr>
                <w:sz w:val="24"/>
                <w:szCs w:val="24"/>
              </w:rPr>
              <w:t>30 – 40%</w:t>
            </w:r>
          </w:p>
        </w:tc>
      </w:tr>
      <w:tr w:rsidR="00B415A6" w:rsidRPr="008A44E1" w:rsidTr="003B4BCE">
        <w:trPr>
          <w:cantSplit/>
        </w:trPr>
        <w:tc>
          <w:tcPr>
            <w:tcW w:w="4957" w:type="dxa"/>
          </w:tcPr>
          <w:p w:rsidR="00B415A6" w:rsidRPr="008A44E1" w:rsidRDefault="00B415A6" w:rsidP="003B4BCE">
            <w:pPr>
              <w:pStyle w:val="Overskrift2"/>
              <w:tabs>
                <w:tab w:val="clear" w:pos="567"/>
                <w:tab w:val="left" w:pos="1304"/>
              </w:tabs>
              <w:spacing w:before="0" w:after="0" w:line="240" w:lineRule="auto"/>
              <w:outlineLvl w:val="1"/>
              <w:rPr>
                <w:rFonts w:ascii="Times New Roman" w:hAnsi="Times New Roman"/>
                <w:szCs w:val="24"/>
                <w:lang w:val="da-DK"/>
              </w:rPr>
            </w:pPr>
            <w:r w:rsidRPr="008A44E1">
              <w:rPr>
                <w:rFonts w:ascii="Times New Roman" w:hAnsi="Times New Roman"/>
                <w:szCs w:val="24"/>
                <w:lang w:val="da-DK"/>
              </w:rPr>
              <w:t xml:space="preserve">Aerobe </w:t>
            </w:r>
            <w:proofErr w:type="spellStart"/>
            <w:r w:rsidRPr="008A44E1">
              <w:rPr>
                <w:rFonts w:ascii="Times New Roman" w:hAnsi="Times New Roman"/>
                <w:szCs w:val="24"/>
                <w:lang w:val="da-DK"/>
              </w:rPr>
              <w:t>Gram-Negative</w:t>
            </w:r>
            <w:proofErr w:type="spellEnd"/>
            <w:r w:rsidRPr="008A44E1">
              <w:rPr>
                <w:rFonts w:ascii="Times New Roman" w:hAnsi="Times New Roman"/>
                <w:szCs w:val="24"/>
                <w:lang w:val="da-DK"/>
              </w:rPr>
              <w:t xml:space="preserve"> mikroorganismer</w:t>
            </w:r>
          </w:p>
          <w:p w:rsidR="00B415A6" w:rsidRPr="008A44E1" w:rsidRDefault="00B415A6" w:rsidP="003B4BCE">
            <w:pPr>
              <w:rPr>
                <w:i/>
                <w:snapToGrid w:val="0"/>
                <w:sz w:val="24"/>
                <w:szCs w:val="24"/>
                <w:lang w:val="da-DK"/>
              </w:rPr>
            </w:pPr>
            <w:proofErr w:type="spellStart"/>
            <w:r w:rsidRPr="008A44E1">
              <w:rPr>
                <w:i/>
                <w:snapToGrid w:val="0"/>
                <w:sz w:val="24"/>
                <w:szCs w:val="24"/>
                <w:lang w:val="da-DK"/>
              </w:rPr>
              <w:t>Burjholderia</w:t>
            </w:r>
            <w:proofErr w:type="spellEnd"/>
            <w:r w:rsidRPr="008A44E1">
              <w:rPr>
                <w:i/>
                <w:snapToGrid w:val="0"/>
                <w:sz w:val="24"/>
                <w:szCs w:val="24"/>
                <w:lang w:val="da-DK"/>
              </w:rPr>
              <w:t xml:space="preserve"> </w:t>
            </w:r>
            <w:proofErr w:type="spellStart"/>
            <w:r w:rsidRPr="008A44E1">
              <w:rPr>
                <w:i/>
                <w:snapToGrid w:val="0"/>
                <w:sz w:val="24"/>
                <w:szCs w:val="24"/>
                <w:lang w:val="da-DK"/>
              </w:rPr>
              <w:t>cepacia</w:t>
            </w:r>
            <w:proofErr w:type="spellEnd"/>
          </w:p>
          <w:p w:rsidR="00B415A6" w:rsidRPr="008A44E1" w:rsidRDefault="00B415A6" w:rsidP="003B4BCE">
            <w:pPr>
              <w:rPr>
                <w:i/>
                <w:sz w:val="24"/>
                <w:szCs w:val="24"/>
              </w:rPr>
            </w:pPr>
            <w:r w:rsidRPr="008A44E1">
              <w:rPr>
                <w:i/>
                <w:sz w:val="24"/>
                <w:szCs w:val="24"/>
              </w:rPr>
              <w:t xml:space="preserve">Stenotrophomonas </w:t>
            </w:r>
            <w:proofErr w:type="spellStart"/>
            <w:r w:rsidRPr="008A44E1">
              <w:rPr>
                <w:i/>
                <w:sz w:val="24"/>
                <w:szCs w:val="24"/>
              </w:rPr>
              <w:t>maltophilia</w:t>
            </w:r>
            <w:proofErr w:type="spellEnd"/>
          </w:p>
          <w:p w:rsidR="00B415A6" w:rsidRPr="008A44E1" w:rsidRDefault="00B415A6" w:rsidP="003B4BCE">
            <w:pPr>
              <w:rPr>
                <w:i/>
                <w:snapToGrid w:val="0"/>
                <w:sz w:val="24"/>
                <w:szCs w:val="24"/>
                <w:lang w:val="da-DK"/>
              </w:rPr>
            </w:pPr>
          </w:p>
        </w:tc>
        <w:tc>
          <w:tcPr>
            <w:tcW w:w="3260" w:type="dxa"/>
          </w:tcPr>
          <w:p w:rsidR="00B415A6" w:rsidRPr="008A44E1" w:rsidRDefault="00B415A6" w:rsidP="003B4BCE">
            <w:pPr>
              <w:rPr>
                <w:snapToGrid w:val="0"/>
                <w:sz w:val="24"/>
                <w:szCs w:val="24"/>
                <w:lang w:val="da-DK"/>
              </w:rPr>
            </w:pPr>
          </w:p>
        </w:tc>
      </w:tr>
      <w:tr w:rsidR="00B415A6" w:rsidRPr="008A44E1" w:rsidTr="003B4BCE">
        <w:trPr>
          <w:cantSplit/>
        </w:trPr>
        <w:tc>
          <w:tcPr>
            <w:tcW w:w="4957" w:type="dxa"/>
          </w:tcPr>
          <w:p w:rsidR="00B415A6" w:rsidRPr="008A44E1" w:rsidRDefault="00B415A6" w:rsidP="003B4BCE">
            <w:pPr>
              <w:pStyle w:val="Overskrift4"/>
              <w:tabs>
                <w:tab w:val="clear" w:pos="567"/>
                <w:tab w:val="left" w:pos="1304"/>
              </w:tabs>
              <w:spacing w:line="240" w:lineRule="auto"/>
              <w:jc w:val="left"/>
              <w:outlineLvl w:val="3"/>
              <w:rPr>
                <w:noProof w:val="0"/>
                <w:sz w:val="24"/>
                <w:szCs w:val="24"/>
                <w:lang w:val="da-DK"/>
              </w:rPr>
            </w:pPr>
            <w:r w:rsidRPr="008A44E1">
              <w:rPr>
                <w:noProof w:val="0"/>
                <w:sz w:val="24"/>
                <w:szCs w:val="24"/>
                <w:lang w:val="da-DK"/>
              </w:rPr>
              <w:t>Anaerobe mikroorganismer</w:t>
            </w:r>
          </w:p>
          <w:p w:rsidR="00B415A6" w:rsidRPr="008A44E1" w:rsidRDefault="00B415A6" w:rsidP="003B4BCE">
            <w:pPr>
              <w:rPr>
                <w:sz w:val="24"/>
                <w:szCs w:val="24"/>
              </w:rPr>
            </w:pPr>
            <w:r w:rsidRPr="008A44E1">
              <w:rPr>
                <w:sz w:val="24"/>
                <w:szCs w:val="24"/>
              </w:rPr>
              <w:t>Strict anaerob</w:t>
            </w:r>
            <w:r>
              <w:rPr>
                <w:sz w:val="24"/>
                <w:szCs w:val="24"/>
              </w:rPr>
              <w:t>e</w:t>
            </w:r>
            <w:r w:rsidRPr="008A44E1">
              <w:rPr>
                <w:sz w:val="24"/>
                <w:szCs w:val="24"/>
              </w:rPr>
              <w:t xml:space="preserve"> </w:t>
            </w:r>
            <w:proofErr w:type="spellStart"/>
            <w:r w:rsidRPr="008A44E1">
              <w:rPr>
                <w:sz w:val="24"/>
                <w:szCs w:val="24"/>
              </w:rPr>
              <w:t>ba</w:t>
            </w:r>
            <w:r>
              <w:rPr>
                <w:sz w:val="24"/>
                <w:szCs w:val="24"/>
              </w:rPr>
              <w:t>kterier</w:t>
            </w:r>
            <w:proofErr w:type="spellEnd"/>
          </w:p>
          <w:p w:rsidR="00B415A6" w:rsidRPr="008A44E1" w:rsidRDefault="00B415A6" w:rsidP="003B4BCE">
            <w:pPr>
              <w:rPr>
                <w:sz w:val="24"/>
                <w:szCs w:val="24"/>
                <w:lang w:val="da-DK"/>
              </w:rPr>
            </w:pPr>
          </w:p>
        </w:tc>
        <w:tc>
          <w:tcPr>
            <w:tcW w:w="3260" w:type="dxa"/>
          </w:tcPr>
          <w:p w:rsidR="00B415A6" w:rsidRPr="008A44E1" w:rsidRDefault="00B415A6" w:rsidP="003B4BCE">
            <w:pPr>
              <w:rPr>
                <w:snapToGrid w:val="0"/>
                <w:sz w:val="24"/>
                <w:szCs w:val="24"/>
                <w:lang w:val="da-DK"/>
              </w:rPr>
            </w:pPr>
          </w:p>
        </w:tc>
      </w:tr>
      <w:tr w:rsidR="00B415A6" w:rsidRPr="00324C19" w:rsidTr="003B4BCE">
        <w:trPr>
          <w:cantSplit/>
        </w:trPr>
        <w:tc>
          <w:tcPr>
            <w:tcW w:w="4957" w:type="dxa"/>
          </w:tcPr>
          <w:p w:rsidR="00B415A6" w:rsidRPr="008A44E1" w:rsidRDefault="00B415A6" w:rsidP="003B4BCE">
            <w:pPr>
              <w:pStyle w:val="Overskrift7"/>
              <w:tabs>
                <w:tab w:val="clear" w:pos="-720"/>
                <w:tab w:val="clear" w:pos="567"/>
                <w:tab w:val="left" w:pos="1304"/>
              </w:tabs>
              <w:spacing w:line="240" w:lineRule="auto"/>
              <w:jc w:val="left"/>
              <w:outlineLvl w:val="6"/>
              <w:rPr>
                <w:b/>
                <w:i w:val="0"/>
                <w:sz w:val="24"/>
                <w:szCs w:val="24"/>
                <w:lang w:val="sv-SE"/>
              </w:rPr>
            </w:pPr>
            <w:r w:rsidRPr="008A44E1">
              <w:rPr>
                <w:b/>
                <w:i w:val="0"/>
                <w:sz w:val="24"/>
                <w:szCs w:val="24"/>
                <w:lang w:val="sv-SE"/>
              </w:rPr>
              <w:t>Andre</w:t>
            </w:r>
          </w:p>
          <w:p w:rsidR="00B415A6" w:rsidRPr="008A44E1" w:rsidRDefault="00B415A6" w:rsidP="003B4BCE">
            <w:pPr>
              <w:rPr>
                <w:i/>
                <w:sz w:val="24"/>
                <w:szCs w:val="24"/>
                <w:lang w:val="sv-SE"/>
              </w:rPr>
            </w:pPr>
            <w:proofErr w:type="spellStart"/>
            <w:r w:rsidRPr="008A44E1">
              <w:rPr>
                <w:i/>
                <w:sz w:val="24"/>
                <w:szCs w:val="24"/>
                <w:lang w:val="sv-SE"/>
              </w:rPr>
              <w:t>Chlamydia</w:t>
            </w:r>
            <w:proofErr w:type="spellEnd"/>
            <w:r w:rsidRPr="008A44E1">
              <w:rPr>
                <w:i/>
                <w:sz w:val="24"/>
                <w:szCs w:val="24"/>
                <w:lang w:val="sv-SE"/>
              </w:rPr>
              <w:t xml:space="preserve"> </w:t>
            </w:r>
            <w:r w:rsidRPr="008A44E1">
              <w:rPr>
                <w:sz w:val="24"/>
                <w:szCs w:val="24"/>
                <w:lang w:val="sv-SE"/>
              </w:rPr>
              <w:t>arter</w:t>
            </w:r>
          </w:p>
          <w:p w:rsidR="00B415A6" w:rsidRPr="008A44E1" w:rsidRDefault="00B415A6" w:rsidP="003B4BCE">
            <w:pPr>
              <w:rPr>
                <w:sz w:val="24"/>
                <w:szCs w:val="24"/>
                <w:lang w:val="sv-SE"/>
              </w:rPr>
            </w:pPr>
            <w:r w:rsidRPr="008A44E1">
              <w:rPr>
                <w:i/>
                <w:sz w:val="24"/>
                <w:szCs w:val="24"/>
                <w:lang w:val="sv-SE"/>
              </w:rPr>
              <w:t xml:space="preserve">Mycoplasma </w:t>
            </w:r>
            <w:r w:rsidRPr="008A44E1">
              <w:rPr>
                <w:sz w:val="24"/>
                <w:szCs w:val="24"/>
                <w:lang w:val="sv-SE"/>
              </w:rPr>
              <w:t>arter</w:t>
            </w:r>
          </w:p>
          <w:p w:rsidR="00B415A6" w:rsidRPr="008A44E1" w:rsidRDefault="00B415A6" w:rsidP="003B4BCE">
            <w:pPr>
              <w:pStyle w:val="Overskrift2"/>
              <w:tabs>
                <w:tab w:val="clear" w:pos="567"/>
                <w:tab w:val="left" w:pos="1304"/>
              </w:tabs>
              <w:spacing w:before="0" w:after="0" w:line="240" w:lineRule="auto"/>
              <w:outlineLvl w:val="1"/>
              <w:rPr>
                <w:rFonts w:ascii="Times New Roman" w:hAnsi="Times New Roman"/>
                <w:szCs w:val="24"/>
                <w:lang w:val="sv-SE"/>
              </w:rPr>
            </w:pPr>
            <w:proofErr w:type="spellStart"/>
            <w:r w:rsidRPr="008A44E1">
              <w:rPr>
                <w:rFonts w:ascii="Times New Roman" w:hAnsi="Times New Roman"/>
                <w:b w:val="0"/>
                <w:szCs w:val="24"/>
                <w:lang w:val="sv-SE"/>
              </w:rPr>
              <w:t>Rickettsia</w:t>
            </w:r>
            <w:proofErr w:type="spellEnd"/>
            <w:r w:rsidRPr="008A44E1">
              <w:rPr>
                <w:rFonts w:ascii="Times New Roman" w:hAnsi="Times New Roman"/>
                <w:b w:val="0"/>
                <w:i w:val="0"/>
                <w:szCs w:val="24"/>
                <w:lang w:val="sv-SE"/>
              </w:rPr>
              <w:t xml:space="preserve"> arter</w:t>
            </w:r>
          </w:p>
        </w:tc>
        <w:tc>
          <w:tcPr>
            <w:tcW w:w="3260" w:type="dxa"/>
          </w:tcPr>
          <w:p w:rsidR="00B415A6" w:rsidRPr="008A44E1" w:rsidRDefault="00B415A6" w:rsidP="003B4BCE">
            <w:pPr>
              <w:rPr>
                <w:snapToGrid w:val="0"/>
                <w:sz w:val="24"/>
                <w:szCs w:val="24"/>
                <w:lang w:val="sv-SE"/>
              </w:rPr>
            </w:pPr>
          </w:p>
        </w:tc>
      </w:tr>
    </w:tbl>
    <w:p w:rsidR="00B415A6" w:rsidRPr="00123C0F" w:rsidRDefault="00B415A6" w:rsidP="00B415A6">
      <w:pPr>
        <w:autoSpaceDE w:val="0"/>
        <w:autoSpaceDN w:val="0"/>
        <w:adjustRightInd w:val="0"/>
        <w:ind w:left="851"/>
        <w:rPr>
          <w:snapToGrid w:val="0"/>
          <w:sz w:val="24"/>
          <w:szCs w:val="24"/>
        </w:rPr>
      </w:pPr>
      <w:r w:rsidRPr="008A44E1">
        <w:rPr>
          <w:snapToGrid w:val="0"/>
          <w:sz w:val="24"/>
          <w:szCs w:val="24"/>
          <w:vertAlign w:val="superscript"/>
          <w:lang w:val="en-US"/>
        </w:rPr>
        <w:t>a</w:t>
      </w:r>
      <w:r w:rsidRPr="008A44E1">
        <w:rPr>
          <w:snapToGrid w:val="0"/>
          <w:sz w:val="24"/>
          <w:szCs w:val="24"/>
          <w:lang w:val="en-US"/>
        </w:rPr>
        <w:t xml:space="preserve"> </w:t>
      </w:r>
      <w:r w:rsidRPr="008A44E1">
        <w:rPr>
          <w:sz w:val="24"/>
          <w:szCs w:val="24"/>
          <w:lang w:val="en-US"/>
        </w:rPr>
        <w:t>Methicillin-</w:t>
      </w:r>
      <w:proofErr w:type="spellStart"/>
      <w:r w:rsidRPr="008A44E1">
        <w:rPr>
          <w:sz w:val="24"/>
          <w:szCs w:val="24"/>
          <w:lang w:val="en-US"/>
        </w:rPr>
        <w:t>følsomme</w:t>
      </w:r>
      <w:proofErr w:type="spellEnd"/>
      <w:r w:rsidRPr="008A44E1">
        <w:rPr>
          <w:sz w:val="24"/>
          <w:szCs w:val="24"/>
          <w:lang w:val="en-US"/>
        </w:rPr>
        <w:t xml:space="preserve"> (S), Methicillin-</w:t>
      </w:r>
      <w:proofErr w:type="spellStart"/>
      <w:r w:rsidRPr="008A44E1">
        <w:rPr>
          <w:sz w:val="24"/>
          <w:szCs w:val="24"/>
          <w:lang w:val="en-US"/>
        </w:rPr>
        <w:t>resistente</w:t>
      </w:r>
      <w:proofErr w:type="spellEnd"/>
      <w:r w:rsidRPr="008A44E1">
        <w:rPr>
          <w:sz w:val="24"/>
          <w:szCs w:val="24"/>
          <w:lang w:val="en-US"/>
        </w:rPr>
        <w:t xml:space="preserve"> (R). </w:t>
      </w:r>
      <w:proofErr w:type="spellStart"/>
      <w:r>
        <w:rPr>
          <w:sz w:val="24"/>
          <w:szCs w:val="24"/>
        </w:rPr>
        <w:t>Betalactam</w:t>
      </w:r>
      <w:proofErr w:type="spellEnd"/>
      <w:r>
        <w:rPr>
          <w:sz w:val="24"/>
          <w:szCs w:val="24"/>
        </w:rPr>
        <w:t xml:space="preserve"> (d</w:t>
      </w:r>
      <w:r w:rsidRPr="008A44E1">
        <w:rPr>
          <w:sz w:val="24"/>
          <w:szCs w:val="24"/>
        </w:rPr>
        <w:t xml:space="preserve">vs. </w:t>
      </w:r>
      <w:proofErr w:type="spellStart"/>
      <w:r w:rsidRPr="008A44E1">
        <w:rPr>
          <w:sz w:val="24"/>
          <w:szCs w:val="24"/>
        </w:rPr>
        <w:t>methicillin</w:t>
      </w:r>
      <w:proofErr w:type="spellEnd"/>
      <w:r w:rsidRPr="008A44E1">
        <w:rPr>
          <w:sz w:val="24"/>
          <w:szCs w:val="24"/>
        </w:rPr>
        <w:t xml:space="preserve">; penicillin) resistent </w:t>
      </w:r>
      <w:proofErr w:type="spellStart"/>
      <w:r w:rsidRPr="008A44E1">
        <w:rPr>
          <w:sz w:val="24"/>
          <w:szCs w:val="24"/>
        </w:rPr>
        <w:t>fenotype</w:t>
      </w:r>
      <w:proofErr w:type="spellEnd"/>
      <w:r w:rsidRPr="008A44E1">
        <w:rPr>
          <w:sz w:val="24"/>
          <w:szCs w:val="24"/>
        </w:rPr>
        <w:t xml:space="preserve"> er uden forbindelse med aminoglykosid resistent </w:t>
      </w:r>
      <w:proofErr w:type="spellStart"/>
      <w:r w:rsidRPr="008A44E1">
        <w:rPr>
          <w:sz w:val="24"/>
          <w:szCs w:val="24"/>
        </w:rPr>
        <w:t>fenotype</w:t>
      </w:r>
      <w:proofErr w:type="spellEnd"/>
      <w:r w:rsidRPr="008A44E1">
        <w:rPr>
          <w:sz w:val="24"/>
          <w:szCs w:val="24"/>
        </w:rPr>
        <w:t xml:space="preserve">, og begge er uden forbindelse til virulens </w:t>
      </w:r>
      <w:proofErr w:type="spellStart"/>
      <w:r w:rsidRPr="008A44E1">
        <w:rPr>
          <w:sz w:val="24"/>
          <w:szCs w:val="24"/>
        </w:rPr>
        <w:t>fenotyper</w:t>
      </w:r>
      <w:proofErr w:type="spellEnd"/>
      <w:r w:rsidRPr="008A44E1">
        <w:rPr>
          <w:sz w:val="24"/>
          <w:szCs w:val="24"/>
        </w:rPr>
        <w:t xml:space="preserve">. Nogle </w:t>
      </w:r>
      <w:proofErr w:type="spellStart"/>
      <w:r w:rsidRPr="008A44E1">
        <w:rPr>
          <w:sz w:val="24"/>
          <w:szCs w:val="24"/>
        </w:rPr>
        <w:t>methicillin</w:t>
      </w:r>
      <w:proofErr w:type="spellEnd"/>
      <w:r w:rsidRPr="008A44E1">
        <w:rPr>
          <w:sz w:val="24"/>
          <w:szCs w:val="24"/>
        </w:rPr>
        <w:t xml:space="preserve"> resistente (R) </w:t>
      </w:r>
      <w:r w:rsidRPr="008A44E1">
        <w:rPr>
          <w:i/>
          <w:sz w:val="24"/>
          <w:szCs w:val="24"/>
        </w:rPr>
        <w:t xml:space="preserve">S. aureus </w:t>
      </w:r>
      <w:r w:rsidRPr="008A44E1">
        <w:rPr>
          <w:sz w:val="24"/>
          <w:szCs w:val="24"/>
        </w:rPr>
        <w:t>st</w:t>
      </w:r>
      <w:r>
        <w:rPr>
          <w:sz w:val="24"/>
          <w:szCs w:val="24"/>
        </w:rPr>
        <w:t>amme</w:t>
      </w:r>
      <w:r w:rsidRPr="008A44E1">
        <w:rPr>
          <w:sz w:val="24"/>
          <w:szCs w:val="24"/>
        </w:rPr>
        <w:t xml:space="preserve"> (MRSA) er modtagelige for </w:t>
      </w:r>
      <w:proofErr w:type="spellStart"/>
      <w:r w:rsidRPr="008A44E1">
        <w:rPr>
          <w:sz w:val="24"/>
          <w:szCs w:val="24"/>
        </w:rPr>
        <w:t>tobramycin</w:t>
      </w:r>
      <w:proofErr w:type="spellEnd"/>
      <w:r w:rsidRPr="008A44E1">
        <w:rPr>
          <w:sz w:val="24"/>
          <w:szCs w:val="24"/>
        </w:rPr>
        <w:t xml:space="preserve"> (MIC: S&lt;4); omvendt er nogle stammer af </w:t>
      </w:r>
      <w:proofErr w:type="spellStart"/>
      <w:r w:rsidRPr="008A44E1">
        <w:rPr>
          <w:sz w:val="24"/>
          <w:szCs w:val="24"/>
        </w:rPr>
        <w:t>methicillin</w:t>
      </w:r>
      <w:proofErr w:type="spellEnd"/>
      <w:r w:rsidRPr="008A44E1">
        <w:rPr>
          <w:sz w:val="24"/>
          <w:szCs w:val="24"/>
        </w:rPr>
        <w:t xml:space="preserve">-følsomme (S) </w:t>
      </w:r>
      <w:r w:rsidRPr="008A44E1">
        <w:rPr>
          <w:i/>
          <w:sz w:val="24"/>
          <w:szCs w:val="24"/>
        </w:rPr>
        <w:t>S. aureus</w:t>
      </w:r>
      <w:r w:rsidRPr="008A44E1">
        <w:rPr>
          <w:sz w:val="24"/>
          <w:szCs w:val="24"/>
        </w:rPr>
        <w:t xml:space="preserve"> (MSSA) resistente over</w:t>
      </w:r>
      <w:r>
        <w:rPr>
          <w:sz w:val="24"/>
          <w:szCs w:val="24"/>
        </w:rPr>
        <w:t xml:space="preserve"> </w:t>
      </w:r>
      <w:r w:rsidRPr="008A44E1">
        <w:rPr>
          <w:sz w:val="24"/>
          <w:szCs w:val="24"/>
        </w:rPr>
        <w:t xml:space="preserve">for </w:t>
      </w:r>
      <w:proofErr w:type="spellStart"/>
      <w:r w:rsidRPr="008A44E1">
        <w:rPr>
          <w:sz w:val="24"/>
          <w:szCs w:val="24"/>
        </w:rPr>
        <w:t>tobramycin</w:t>
      </w:r>
      <w:proofErr w:type="spellEnd"/>
      <w:r w:rsidRPr="008A44E1">
        <w:rPr>
          <w:sz w:val="24"/>
          <w:szCs w:val="24"/>
        </w:rPr>
        <w:t xml:space="preserve"> (MIC: S &gt;8).</w:t>
      </w:r>
    </w:p>
    <w:p w:rsidR="00B415A6" w:rsidRPr="00123C0F" w:rsidRDefault="00B415A6" w:rsidP="00B415A6">
      <w:pPr>
        <w:autoSpaceDE w:val="0"/>
        <w:autoSpaceDN w:val="0"/>
        <w:adjustRightInd w:val="0"/>
        <w:rPr>
          <w:sz w:val="24"/>
          <w:szCs w:val="24"/>
        </w:rPr>
      </w:pPr>
    </w:p>
    <w:p w:rsidR="00B415A6" w:rsidRPr="008A44E1" w:rsidRDefault="00B415A6" w:rsidP="00B415A6">
      <w:pPr>
        <w:autoSpaceDE w:val="0"/>
        <w:autoSpaceDN w:val="0"/>
        <w:adjustRightInd w:val="0"/>
        <w:ind w:left="851"/>
        <w:rPr>
          <w:sz w:val="24"/>
          <w:szCs w:val="24"/>
        </w:rPr>
      </w:pPr>
      <w:r w:rsidRPr="008A44E1">
        <w:rPr>
          <w:sz w:val="24"/>
          <w:szCs w:val="24"/>
        </w:rPr>
        <w:t xml:space="preserve">Frekvensen af </w:t>
      </w:r>
      <w:proofErr w:type="spellStart"/>
      <w:r w:rsidRPr="008A44E1">
        <w:rPr>
          <w:sz w:val="24"/>
          <w:szCs w:val="24"/>
        </w:rPr>
        <w:t>methicillin</w:t>
      </w:r>
      <w:proofErr w:type="spellEnd"/>
      <w:r w:rsidRPr="008A44E1">
        <w:rPr>
          <w:sz w:val="24"/>
          <w:szCs w:val="24"/>
        </w:rPr>
        <w:t xml:space="preserve"> resistens (R) kan være op til 50% af alle </w:t>
      </w:r>
      <w:proofErr w:type="spellStart"/>
      <w:r w:rsidRPr="008A44E1">
        <w:rPr>
          <w:sz w:val="24"/>
          <w:szCs w:val="24"/>
        </w:rPr>
        <w:t>staphyloccoci</w:t>
      </w:r>
      <w:proofErr w:type="spellEnd"/>
      <w:r w:rsidRPr="008A44E1">
        <w:rPr>
          <w:sz w:val="24"/>
          <w:szCs w:val="24"/>
        </w:rPr>
        <w:t xml:space="preserve"> i nogle europæiske lande.</w:t>
      </w:r>
    </w:p>
    <w:p w:rsidR="00B415A6" w:rsidRPr="00123C0F" w:rsidRDefault="00B415A6" w:rsidP="00B415A6">
      <w:pPr>
        <w:ind w:left="851"/>
        <w:rPr>
          <w:snapToGrid w:val="0"/>
          <w:sz w:val="24"/>
          <w:szCs w:val="24"/>
        </w:rPr>
      </w:pPr>
    </w:p>
    <w:p w:rsidR="00B415A6" w:rsidRPr="008A44E1" w:rsidRDefault="00B415A6" w:rsidP="00B415A6">
      <w:pPr>
        <w:autoSpaceDE w:val="0"/>
        <w:autoSpaceDN w:val="0"/>
        <w:adjustRightInd w:val="0"/>
        <w:ind w:left="851"/>
        <w:rPr>
          <w:bCs/>
          <w:noProof/>
          <w:sz w:val="24"/>
          <w:szCs w:val="24"/>
          <w:u w:val="single"/>
        </w:rPr>
      </w:pPr>
      <w:r w:rsidRPr="008A44E1">
        <w:rPr>
          <w:bCs/>
          <w:noProof/>
          <w:sz w:val="24"/>
          <w:szCs w:val="24"/>
          <w:u w:val="single"/>
        </w:rPr>
        <w:t>Pædiatrisk population</w:t>
      </w:r>
    </w:p>
    <w:p w:rsidR="00B415A6" w:rsidRPr="008A44E1" w:rsidRDefault="00B415A6" w:rsidP="00B415A6">
      <w:pPr>
        <w:ind w:left="851"/>
        <w:rPr>
          <w:snapToGrid w:val="0"/>
          <w:sz w:val="24"/>
          <w:szCs w:val="24"/>
        </w:rPr>
      </w:pPr>
      <w:proofErr w:type="spellStart"/>
      <w:r w:rsidRPr="008A44E1">
        <w:rPr>
          <w:sz w:val="24"/>
          <w:szCs w:val="24"/>
        </w:rPr>
        <w:t>Dexamethason</w:t>
      </w:r>
      <w:proofErr w:type="spellEnd"/>
      <w:r w:rsidRPr="008A44E1">
        <w:rPr>
          <w:sz w:val="24"/>
          <w:szCs w:val="24"/>
        </w:rPr>
        <w:t>/</w:t>
      </w:r>
      <w:proofErr w:type="spellStart"/>
      <w:r w:rsidRPr="008A44E1">
        <w:rPr>
          <w:sz w:val="24"/>
          <w:szCs w:val="24"/>
        </w:rPr>
        <w:t>tobramycin</w:t>
      </w:r>
      <w:proofErr w:type="spellEnd"/>
      <w:r w:rsidRPr="008A44E1">
        <w:rPr>
          <w:snapToGrid w:val="0"/>
          <w:sz w:val="24"/>
          <w:szCs w:val="24"/>
        </w:rPr>
        <w:t xml:space="preserve"> øjendråbers sikkerhed og virkning hos børn er klarlagt ved bred klinisk erfaring, men der foreligger kun begrænsede data. I et klinisk studie med </w:t>
      </w:r>
      <w:proofErr w:type="spellStart"/>
      <w:r w:rsidRPr="008A44E1">
        <w:rPr>
          <w:sz w:val="24"/>
          <w:szCs w:val="24"/>
        </w:rPr>
        <w:t>dexamethason</w:t>
      </w:r>
      <w:proofErr w:type="spellEnd"/>
      <w:r w:rsidRPr="008A44E1">
        <w:rPr>
          <w:sz w:val="24"/>
          <w:szCs w:val="24"/>
        </w:rPr>
        <w:t>/</w:t>
      </w:r>
      <w:proofErr w:type="spellStart"/>
      <w:r w:rsidRPr="008A44E1">
        <w:rPr>
          <w:sz w:val="24"/>
          <w:szCs w:val="24"/>
        </w:rPr>
        <w:t>tobramycin</w:t>
      </w:r>
      <w:proofErr w:type="spellEnd"/>
      <w:r w:rsidRPr="008A44E1">
        <w:rPr>
          <w:sz w:val="24"/>
          <w:szCs w:val="24"/>
        </w:rPr>
        <w:t xml:space="preserve"> øjendråber </w:t>
      </w:r>
      <w:r w:rsidRPr="008A44E1">
        <w:rPr>
          <w:snapToGrid w:val="0"/>
          <w:sz w:val="24"/>
          <w:szCs w:val="24"/>
        </w:rPr>
        <w:t xml:space="preserve">til behandling af bakteriel </w:t>
      </w:r>
      <w:proofErr w:type="spellStart"/>
      <w:r w:rsidRPr="008A44E1">
        <w:rPr>
          <w:snapToGrid w:val="0"/>
          <w:sz w:val="24"/>
          <w:szCs w:val="24"/>
        </w:rPr>
        <w:t>konjunktivitis</w:t>
      </w:r>
      <w:proofErr w:type="spellEnd"/>
      <w:r w:rsidRPr="008A44E1">
        <w:rPr>
          <w:snapToGrid w:val="0"/>
          <w:sz w:val="24"/>
          <w:szCs w:val="24"/>
        </w:rPr>
        <w:t xml:space="preserve"> blev 29 patienter i alderen 1-17 år behandlet med 1 eller 2 dråber</w:t>
      </w:r>
      <w:r w:rsidRPr="008A44E1">
        <w:rPr>
          <w:sz w:val="24"/>
          <w:szCs w:val="24"/>
        </w:rPr>
        <w:t xml:space="preserve"> </w:t>
      </w:r>
      <w:proofErr w:type="spellStart"/>
      <w:r w:rsidRPr="008A44E1">
        <w:rPr>
          <w:sz w:val="24"/>
          <w:szCs w:val="24"/>
        </w:rPr>
        <w:t>dexamethason</w:t>
      </w:r>
      <w:proofErr w:type="spellEnd"/>
      <w:r w:rsidRPr="008A44E1">
        <w:rPr>
          <w:sz w:val="24"/>
          <w:szCs w:val="24"/>
        </w:rPr>
        <w:t>/</w:t>
      </w:r>
      <w:proofErr w:type="spellStart"/>
      <w:r w:rsidRPr="008A44E1">
        <w:rPr>
          <w:sz w:val="24"/>
          <w:szCs w:val="24"/>
        </w:rPr>
        <w:t>tobramycin</w:t>
      </w:r>
      <w:proofErr w:type="spellEnd"/>
      <w:r w:rsidRPr="008A44E1">
        <w:rPr>
          <w:sz w:val="24"/>
          <w:szCs w:val="24"/>
        </w:rPr>
        <w:t xml:space="preserve"> </w:t>
      </w:r>
      <w:r w:rsidRPr="008A44E1">
        <w:rPr>
          <w:snapToGrid w:val="0"/>
          <w:sz w:val="24"/>
          <w:szCs w:val="24"/>
        </w:rPr>
        <w:t>hver 4. eller 6. time i 5 eller 7 dage. I dette studie blev der ikke observeret forskelle i sikkerhedsprofilen mellem voksne og pædiatriske patienter.</w:t>
      </w:r>
    </w:p>
    <w:p w:rsidR="00B415A6" w:rsidRPr="008A44E1" w:rsidRDefault="00B415A6" w:rsidP="00B415A6">
      <w:pPr>
        <w:ind w:left="851"/>
        <w:rPr>
          <w:snapToGrid w:val="0"/>
          <w:sz w:val="24"/>
          <w:szCs w:val="24"/>
        </w:rPr>
      </w:pPr>
    </w:p>
    <w:p w:rsidR="00B415A6" w:rsidRPr="008A44E1" w:rsidRDefault="00B415A6" w:rsidP="00B415A6">
      <w:pPr>
        <w:ind w:left="851"/>
        <w:rPr>
          <w:i/>
          <w:snapToGrid w:val="0"/>
          <w:sz w:val="24"/>
          <w:szCs w:val="24"/>
        </w:rPr>
      </w:pPr>
      <w:r w:rsidRPr="008A44E1">
        <w:rPr>
          <w:i/>
          <w:snapToGrid w:val="0"/>
          <w:sz w:val="24"/>
          <w:szCs w:val="24"/>
        </w:rPr>
        <w:t>Anden information</w:t>
      </w:r>
    </w:p>
    <w:p w:rsidR="00B415A6" w:rsidRPr="008A44E1" w:rsidRDefault="00B415A6" w:rsidP="00B415A6">
      <w:pPr>
        <w:ind w:left="851"/>
        <w:rPr>
          <w:sz w:val="24"/>
          <w:szCs w:val="24"/>
        </w:rPr>
      </w:pPr>
      <w:r w:rsidRPr="008A44E1">
        <w:rPr>
          <w:snapToGrid w:val="0"/>
          <w:sz w:val="24"/>
          <w:szCs w:val="24"/>
        </w:rPr>
        <w:t xml:space="preserve">Krydsresistens mellem </w:t>
      </w:r>
      <w:proofErr w:type="spellStart"/>
      <w:r w:rsidRPr="008A44E1">
        <w:rPr>
          <w:snapToGrid w:val="0"/>
          <w:sz w:val="24"/>
          <w:szCs w:val="24"/>
        </w:rPr>
        <w:t>aminoglycosider</w:t>
      </w:r>
      <w:proofErr w:type="spellEnd"/>
      <w:r w:rsidRPr="008A44E1">
        <w:rPr>
          <w:snapToGrid w:val="0"/>
          <w:sz w:val="24"/>
          <w:szCs w:val="24"/>
        </w:rPr>
        <w:t xml:space="preserve"> (</w:t>
      </w:r>
      <w:r>
        <w:rPr>
          <w:snapToGrid w:val="0"/>
          <w:sz w:val="24"/>
          <w:szCs w:val="24"/>
        </w:rPr>
        <w:t>f.</w:t>
      </w:r>
      <w:r w:rsidRPr="008A44E1">
        <w:rPr>
          <w:snapToGrid w:val="0"/>
          <w:sz w:val="24"/>
          <w:szCs w:val="24"/>
        </w:rPr>
        <w:t xml:space="preserve">eks. </w:t>
      </w:r>
      <w:proofErr w:type="spellStart"/>
      <w:r w:rsidRPr="008A44E1">
        <w:rPr>
          <w:snapToGrid w:val="0"/>
          <w:sz w:val="24"/>
          <w:szCs w:val="24"/>
        </w:rPr>
        <w:t>gentamycin</w:t>
      </w:r>
      <w:proofErr w:type="spellEnd"/>
      <w:r w:rsidRPr="008A44E1">
        <w:rPr>
          <w:snapToGrid w:val="0"/>
          <w:sz w:val="24"/>
          <w:szCs w:val="24"/>
        </w:rPr>
        <w:t xml:space="preserve"> og </w:t>
      </w:r>
      <w:proofErr w:type="spellStart"/>
      <w:r w:rsidRPr="008A44E1">
        <w:rPr>
          <w:snapToGrid w:val="0"/>
          <w:sz w:val="24"/>
          <w:szCs w:val="24"/>
        </w:rPr>
        <w:t>tobramycin</w:t>
      </w:r>
      <w:proofErr w:type="spellEnd"/>
      <w:r w:rsidRPr="008A44E1">
        <w:rPr>
          <w:snapToGrid w:val="0"/>
          <w:sz w:val="24"/>
          <w:szCs w:val="24"/>
        </w:rPr>
        <w:t xml:space="preserve">) skyldes specificiteten af enzymmodifikationerne </w:t>
      </w:r>
      <w:proofErr w:type="spellStart"/>
      <w:r w:rsidRPr="008A44E1">
        <w:rPr>
          <w:snapToGrid w:val="0"/>
          <w:sz w:val="24"/>
          <w:szCs w:val="24"/>
        </w:rPr>
        <w:t>adenyltransferase</w:t>
      </w:r>
      <w:proofErr w:type="spellEnd"/>
      <w:r w:rsidRPr="008A44E1">
        <w:rPr>
          <w:snapToGrid w:val="0"/>
          <w:sz w:val="24"/>
          <w:szCs w:val="24"/>
        </w:rPr>
        <w:t xml:space="preserve"> (ANT) og acetyltransferase (ACC). Krydsresistensen kan dog variere mellem </w:t>
      </w:r>
      <w:proofErr w:type="spellStart"/>
      <w:r w:rsidRPr="008A44E1">
        <w:rPr>
          <w:snapToGrid w:val="0"/>
          <w:sz w:val="24"/>
          <w:szCs w:val="24"/>
        </w:rPr>
        <w:t>aminoglycoside</w:t>
      </w:r>
      <w:proofErr w:type="spellEnd"/>
      <w:r w:rsidRPr="008A44E1">
        <w:rPr>
          <w:snapToGrid w:val="0"/>
          <w:sz w:val="24"/>
          <w:szCs w:val="24"/>
        </w:rPr>
        <w:t xml:space="preserve"> antibiotika på grund af den forskellige specificitet over</w:t>
      </w:r>
      <w:r>
        <w:rPr>
          <w:snapToGrid w:val="0"/>
          <w:sz w:val="24"/>
          <w:szCs w:val="24"/>
        </w:rPr>
        <w:t xml:space="preserve"> </w:t>
      </w:r>
      <w:r w:rsidRPr="008A44E1">
        <w:rPr>
          <w:snapToGrid w:val="0"/>
          <w:sz w:val="24"/>
          <w:szCs w:val="24"/>
        </w:rPr>
        <w:t xml:space="preserve">for de forskellige modificerende enzymer. Den mest almindelige erhvervede resistensmekanisme overfor </w:t>
      </w:r>
      <w:proofErr w:type="spellStart"/>
      <w:r w:rsidRPr="008A44E1">
        <w:rPr>
          <w:snapToGrid w:val="0"/>
          <w:sz w:val="24"/>
          <w:szCs w:val="24"/>
        </w:rPr>
        <w:t>aminoglycosider</w:t>
      </w:r>
      <w:proofErr w:type="spellEnd"/>
      <w:r w:rsidRPr="008A44E1">
        <w:rPr>
          <w:snapToGrid w:val="0"/>
          <w:sz w:val="24"/>
          <w:szCs w:val="24"/>
        </w:rPr>
        <w:t xml:space="preserve"> er inaktivering af antibiotika ved plasmid og </w:t>
      </w:r>
      <w:proofErr w:type="spellStart"/>
      <w:r w:rsidRPr="008A44E1">
        <w:rPr>
          <w:snapToGrid w:val="0"/>
          <w:sz w:val="24"/>
          <w:szCs w:val="24"/>
        </w:rPr>
        <w:t>transposon</w:t>
      </w:r>
      <w:proofErr w:type="spellEnd"/>
      <w:r w:rsidRPr="008A44E1">
        <w:rPr>
          <w:snapToGrid w:val="0"/>
          <w:sz w:val="24"/>
          <w:szCs w:val="24"/>
        </w:rPr>
        <w:t>-kodede modificerende enzymer.</w:t>
      </w:r>
    </w:p>
    <w:p w:rsidR="00B415A6" w:rsidRPr="008A44E1" w:rsidRDefault="00B415A6" w:rsidP="00B415A6">
      <w:pPr>
        <w:tabs>
          <w:tab w:val="left" w:pos="851"/>
        </w:tabs>
        <w:ind w:left="851"/>
        <w:rPr>
          <w:sz w:val="24"/>
          <w:szCs w:val="24"/>
        </w:rPr>
      </w:pPr>
    </w:p>
    <w:p w:rsidR="00B415A6" w:rsidRPr="008A44E1" w:rsidRDefault="00B415A6" w:rsidP="00B415A6">
      <w:pPr>
        <w:tabs>
          <w:tab w:val="left" w:pos="851"/>
        </w:tabs>
        <w:ind w:left="851" w:hanging="851"/>
        <w:rPr>
          <w:b/>
          <w:sz w:val="24"/>
          <w:szCs w:val="24"/>
        </w:rPr>
      </w:pPr>
      <w:r w:rsidRPr="008A44E1">
        <w:rPr>
          <w:b/>
          <w:sz w:val="24"/>
          <w:szCs w:val="24"/>
        </w:rPr>
        <w:t>5.2</w:t>
      </w:r>
      <w:r w:rsidRPr="008A44E1">
        <w:rPr>
          <w:b/>
          <w:sz w:val="24"/>
          <w:szCs w:val="24"/>
        </w:rPr>
        <w:tab/>
      </w:r>
      <w:proofErr w:type="spellStart"/>
      <w:r w:rsidRPr="008A44E1">
        <w:rPr>
          <w:b/>
          <w:sz w:val="24"/>
          <w:szCs w:val="24"/>
        </w:rPr>
        <w:t>Farmakokinetiske</w:t>
      </w:r>
      <w:proofErr w:type="spellEnd"/>
      <w:r w:rsidRPr="008A44E1">
        <w:rPr>
          <w:b/>
          <w:sz w:val="24"/>
          <w:szCs w:val="24"/>
        </w:rPr>
        <w:t xml:space="preserve"> egenskaber</w:t>
      </w:r>
    </w:p>
    <w:p w:rsidR="00B415A6" w:rsidRDefault="00B415A6" w:rsidP="00B415A6">
      <w:pPr>
        <w:ind w:left="851"/>
        <w:rPr>
          <w:sz w:val="24"/>
          <w:szCs w:val="24"/>
          <w:u w:val="single"/>
        </w:rPr>
      </w:pPr>
    </w:p>
    <w:p w:rsidR="00B415A6" w:rsidRPr="008A44E1" w:rsidRDefault="00B415A6" w:rsidP="00B415A6">
      <w:pPr>
        <w:ind w:left="851"/>
        <w:rPr>
          <w:sz w:val="24"/>
          <w:szCs w:val="24"/>
          <w:u w:val="single"/>
        </w:rPr>
      </w:pPr>
      <w:proofErr w:type="spellStart"/>
      <w:r w:rsidRPr="008A44E1">
        <w:rPr>
          <w:sz w:val="24"/>
          <w:szCs w:val="24"/>
          <w:u w:val="single"/>
        </w:rPr>
        <w:t>Tobramycin</w:t>
      </w:r>
      <w:proofErr w:type="spellEnd"/>
    </w:p>
    <w:p w:rsidR="00B415A6" w:rsidRPr="008A44E1" w:rsidRDefault="00B415A6" w:rsidP="00B415A6">
      <w:pPr>
        <w:ind w:left="851"/>
        <w:rPr>
          <w:sz w:val="24"/>
          <w:szCs w:val="24"/>
        </w:rPr>
      </w:pPr>
      <w:r w:rsidRPr="008A44E1">
        <w:rPr>
          <w:sz w:val="24"/>
          <w:szCs w:val="24"/>
        </w:rPr>
        <w:t xml:space="preserve">Dyrestudier har vist, at </w:t>
      </w:r>
      <w:proofErr w:type="spellStart"/>
      <w:r w:rsidRPr="008A44E1">
        <w:rPr>
          <w:sz w:val="24"/>
          <w:szCs w:val="24"/>
        </w:rPr>
        <w:t>tobramycin</w:t>
      </w:r>
      <w:proofErr w:type="spellEnd"/>
      <w:r w:rsidRPr="008A44E1">
        <w:rPr>
          <w:sz w:val="24"/>
          <w:szCs w:val="24"/>
        </w:rPr>
        <w:t xml:space="preserve"> absorberes i </w:t>
      </w:r>
      <w:proofErr w:type="spellStart"/>
      <w:r w:rsidRPr="008A44E1">
        <w:rPr>
          <w:sz w:val="24"/>
          <w:szCs w:val="24"/>
        </w:rPr>
        <w:t>cornea</w:t>
      </w:r>
      <w:proofErr w:type="spellEnd"/>
      <w:r w:rsidRPr="008A44E1">
        <w:rPr>
          <w:sz w:val="24"/>
          <w:szCs w:val="24"/>
        </w:rPr>
        <w:t xml:space="preserve"> efter </w:t>
      </w:r>
      <w:proofErr w:type="spellStart"/>
      <w:r w:rsidRPr="008A44E1">
        <w:rPr>
          <w:sz w:val="24"/>
          <w:szCs w:val="24"/>
        </w:rPr>
        <w:t>okulær</w:t>
      </w:r>
      <w:proofErr w:type="spellEnd"/>
      <w:r w:rsidRPr="008A44E1">
        <w:rPr>
          <w:sz w:val="24"/>
          <w:szCs w:val="24"/>
        </w:rPr>
        <w:t xml:space="preserve"> administration. Efter systemisk administration til patienter med normal nyrefunktion observeredes en plasmahalveringstid på ca. 2 timer. </w:t>
      </w:r>
      <w:proofErr w:type="spellStart"/>
      <w:r w:rsidRPr="008A44E1">
        <w:rPr>
          <w:sz w:val="24"/>
          <w:szCs w:val="24"/>
        </w:rPr>
        <w:t>Tobramycin</w:t>
      </w:r>
      <w:proofErr w:type="spellEnd"/>
      <w:r w:rsidRPr="008A44E1">
        <w:rPr>
          <w:sz w:val="24"/>
          <w:szCs w:val="24"/>
        </w:rPr>
        <w:t xml:space="preserve"> elimineres næsten udelukkende ved </w:t>
      </w:r>
      <w:proofErr w:type="spellStart"/>
      <w:r w:rsidRPr="008A44E1">
        <w:rPr>
          <w:sz w:val="24"/>
          <w:szCs w:val="24"/>
        </w:rPr>
        <w:t>glomerulær</w:t>
      </w:r>
      <w:proofErr w:type="spellEnd"/>
      <w:r w:rsidRPr="008A44E1">
        <w:rPr>
          <w:sz w:val="24"/>
          <w:szCs w:val="24"/>
        </w:rPr>
        <w:t xml:space="preserve"> filtration med lille, om nogen, biotransformation. Plasmakoncentrationerne af </w:t>
      </w:r>
      <w:proofErr w:type="spellStart"/>
      <w:r w:rsidRPr="008A44E1">
        <w:rPr>
          <w:sz w:val="24"/>
          <w:szCs w:val="24"/>
        </w:rPr>
        <w:t>tobramycin</w:t>
      </w:r>
      <w:proofErr w:type="spellEnd"/>
      <w:r w:rsidRPr="008A44E1">
        <w:rPr>
          <w:sz w:val="24"/>
          <w:szCs w:val="24"/>
        </w:rPr>
        <w:t xml:space="preserve"> var under grænsen for kvantificering hos de fleste arter eller lav (&lt;</w:t>
      </w:r>
      <w:r w:rsidR="00DA7A1F">
        <w:rPr>
          <w:sz w:val="24"/>
          <w:szCs w:val="24"/>
        </w:rPr>
        <w:t> </w:t>
      </w:r>
      <w:r w:rsidRPr="008A44E1">
        <w:rPr>
          <w:sz w:val="24"/>
          <w:szCs w:val="24"/>
        </w:rPr>
        <w:t>0,25</w:t>
      </w:r>
      <w:r w:rsidR="00DA7A1F">
        <w:rPr>
          <w:sz w:val="24"/>
          <w:szCs w:val="24"/>
        </w:rPr>
        <w:t> </w:t>
      </w:r>
      <w:r w:rsidRPr="008A44E1">
        <w:rPr>
          <w:sz w:val="24"/>
          <w:szCs w:val="24"/>
        </w:rPr>
        <w:t xml:space="preserve">mikrogram/ml) efter 2 dages lokal, </w:t>
      </w:r>
      <w:proofErr w:type="spellStart"/>
      <w:r w:rsidRPr="008A44E1">
        <w:rPr>
          <w:sz w:val="24"/>
          <w:szCs w:val="24"/>
        </w:rPr>
        <w:t>okulær</w:t>
      </w:r>
      <w:proofErr w:type="spellEnd"/>
      <w:r w:rsidRPr="008A44E1">
        <w:rPr>
          <w:sz w:val="24"/>
          <w:szCs w:val="24"/>
        </w:rPr>
        <w:t xml:space="preserve"> behandling med </w:t>
      </w:r>
      <w:proofErr w:type="spellStart"/>
      <w:r w:rsidRPr="008A44E1">
        <w:rPr>
          <w:sz w:val="24"/>
          <w:szCs w:val="24"/>
        </w:rPr>
        <w:t>dexamethason</w:t>
      </w:r>
      <w:proofErr w:type="spellEnd"/>
      <w:r w:rsidRPr="008A44E1">
        <w:rPr>
          <w:sz w:val="24"/>
          <w:szCs w:val="24"/>
        </w:rPr>
        <w:t>/</w:t>
      </w:r>
      <w:proofErr w:type="spellStart"/>
      <w:r w:rsidRPr="008A44E1">
        <w:rPr>
          <w:sz w:val="24"/>
          <w:szCs w:val="24"/>
        </w:rPr>
        <w:t>tobra</w:t>
      </w:r>
      <w:r w:rsidR="00DA7A1F">
        <w:rPr>
          <w:sz w:val="24"/>
          <w:szCs w:val="24"/>
        </w:rPr>
        <w:softHyphen/>
      </w:r>
      <w:r w:rsidRPr="008A44E1">
        <w:rPr>
          <w:sz w:val="24"/>
          <w:szCs w:val="24"/>
        </w:rPr>
        <w:t>mycin</w:t>
      </w:r>
      <w:proofErr w:type="spellEnd"/>
      <w:r w:rsidRPr="008A44E1">
        <w:rPr>
          <w:sz w:val="24"/>
          <w:szCs w:val="24"/>
        </w:rPr>
        <w:t xml:space="preserve"> øjendråber.</w:t>
      </w:r>
    </w:p>
    <w:p w:rsidR="00B415A6" w:rsidRPr="00123C0F" w:rsidRDefault="00B415A6" w:rsidP="00B415A6">
      <w:pPr>
        <w:ind w:left="851"/>
        <w:rPr>
          <w:sz w:val="24"/>
          <w:szCs w:val="24"/>
        </w:rPr>
      </w:pPr>
    </w:p>
    <w:p w:rsidR="00B415A6" w:rsidRPr="008A44E1" w:rsidRDefault="00B415A6" w:rsidP="00B415A6">
      <w:pPr>
        <w:ind w:left="851"/>
        <w:rPr>
          <w:sz w:val="24"/>
          <w:szCs w:val="24"/>
          <w:u w:val="single"/>
        </w:rPr>
      </w:pPr>
      <w:proofErr w:type="spellStart"/>
      <w:r w:rsidRPr="008A44E1">
        <w:rPr>
          <w:sz w:val="24"/>
          <w:szCs w:val="24"/>
          <w:u w:val="single"/>
        </w:rPr>
        <w:t>Dexamethason</w:t>
      </w:r>
      <w:proofErr w:type="spellEnd"/>
    </w:p>
    <w:p w:rsidR="00B415A6" w:rsidRPr="008A44E1" w:rsidRDefault="00B415A6" w:rsidP="00B415A6">
      <w:pPr>
        <w:ind w:left="851"/>
        <w:rPr>
          <w:sz w:val="24"/>
          <w:szCs w:val="24"/>
        </w:rPr>
      </w:pPr>
      <w:r w:rsidRPr="008A44E1">
        <w:rPr>
          <w:sz w:val="24"/>
          <w:szCs w:val="24"/>
        </w:rPr>
        <w:t xml:space="preserve">Efter </w:t>
      </w:r>
      <w:proofErr w:type="spellStart"/>
      <w:r w:rsidRPr="008A44E1">
        <w:rPr>
          <w:sz w:val="24"/>
          <w:szCs w:val="24"/>
        </w:rPr>
        <w:t>okulær</w:t>
      </w:r>
      <w:proofErr w:type="spellEnd"/>
      <w:r w:rsidRPr="008A44E1">
        <w:rPr>
          <w:sz w:val="24"/>
          <w:szCs w:val="24"/>
        </w:rPr>
        <w:t xml:space="preserve"> administration absorberes </w:t>
      </w:r>
      <w:proofErr w:type="spellStart"/>
      <w:r w:rsidRPr="008A44E1">
        <w:rPr>
          <w:sz w:val="24"/>
          <w:szCs w:val="24"/>
        </w:rPr>
        <w:t>dexamethason</w:t>
      </w:r>
      <w:proofErr w:type="spellEnd"/>
      <w:r w:rsidRPr="008A44E1">
        <w:rPr>
          <w:sz w:val="24"/>
          <w:szCs w:val="24"/>
        </w:rPr>
        <w:t xml:space="preserve"> i øjet og maximale koncentrationer i </w:t>
      </w:r>
      <w:proofErr w:type="spellStart"/>
      <w:r w:rsidRPr="008A44E1">
        <w:rPr>
          <w:sz w:val="24"/>
          <w:szCs w:val="24"/>
        </w:rPr>
        <w:t>kornea</w:t>
      </w:r>
      <w:proofErr w:type="spellEnd"/>
      <w:r w:rsidRPr="008A44E1">
        <w:rPr>
          <w:sz w:val="24"/>
          <w:szCs w:val="24"/>
        </w:rPr>
        <w:t xml:space="preserve"> og kammervæsken opnås indenfor 1-2 timer. Plasmahalveringstiden for </w:t>
      </w:r>
      <w:proofErr w:type="spellStart"/>
      <w:r w:rsidRPr="008A44E1">
        <w:rPr>
          <w:sz w:val="24"/>
          <w:szCs w:val="24"/>
        </w:rPr>
        <w:t>dexamethason</w:t>
      </w:r>
      <w:proofErr w:type="spellEnd"/>
      <w:r w:rsidRPr="008A44E1">
        <w:rPr>
          <w:sz w:val="24"/>
          <w:szCs w:val="24"/>
        </w:rPr>
        <w:t xml:space="preserve"> er ca. 3 timer. </w:t>
      </w:r>
      <w:proofErr w:type="spellStart"/>
      <w:r w:rsidRPr="008A44E1">
        <w:rPr>
          <w:sz w:val="24"/>
          <w:szCs w:val="24"/>
        </w:rPr>
        <w:t>Dexamethason</w:t>
      </w:r>
      <w:proofErr w:type="spellEnd"/>
      <w:r w:rsidRPr="008A44E1">
        <w:rPr>
          <w:sz w:val="24"/>
          <w:szCs w:val="24"/>
        </w:rPr>
        <w:t xml:space="preserve"> elimineres i vid udstrækning som metabolitter. Systemisk eksponering for </w:t>
      </w:r>
      <w:proofErr w:type="spellStart"/>
      <w:r w:rsidRPr="008A44E1">
        <w:rPr>
          <w:sz w:val="24"/>
          <w:szCs w:val="24"/>
        </w:rPr>
        <w:t>dexamethason</w:t>
      </w:r>
      <w:proofErr w:type="spellEnd"/>
      <w:r w:rsidRPr="008A44E1">
        <w:rPr>
          <w:sz w:val="24"/>
          <w:szCs w:val="24"/>
        </w:rPr>
        <w:t xml:space="preserve"> er lav efter lokal </w:t>
      </w:r>
      <w:proofErr w:type="spellStart"/>
      <w:r w:rsidRPr="008A44E1">
        <w:rPr>
          <w:sz w:val="24"/>
          <w:szCs w:val="24"/>
        </w:rPr>
        <w:t>okulær</w:t>
      </w:r>
      <w:proofErr w:type="spellEnd"/>
      <w:r w:rsidRPr="008A44E1">
        <w:rPr>
          <w:sz w:val="24"/>
          <w:szCs w:val="24"/>
        </w:rPr>
        <w:t xml:space="preserve"> administration af </w:t>
      </w:r>
      <w:proofErr w:type="spellStart"/>
      <w:r w:rsidRPr="008A44E1">
        <w:rPr>
          <w:sz w:val="24"/>
          <w:szCs w:val="24"/>
        </w:rPr>
        <w:t>dexamethason</w:t>
      </w:r>
      <w:proofErr w:type="spellEnd"/>
      <w:r w:rsidRPr="008A44E1">
        <w:rPr>
          <w:sz w:val="24"/>
          <w:szCs w:val="24"/>
        </w:rPr>
        <w:t>/</w:t>
      </w:r>
      <w:proofErr w:type="spellStart"/>
      <w:r w:rsidRPr="008A44E1">
        <w:rPr>
          <w:sz w:val="24"/>
          <w:szCs w:val="24"/>
        </w:rPr>
        <w:t>tobramycin</w:t>
      </w:r>
      <w:proofErr w:type="spellEnd"/>
      <w:r w:rsidRPr="008A44E1">
        <w:rPr>
          <w:sz w:val="24"/>
          <w:szCs w:val="24"/>
        </w:rPr>
        <w:t xml:space="preserve"> øjendråber. Peak </w:t>
      </w:r>
      <w:proofErr w:type="spellStart"/>
      <w:r w:rsidRPr="008A44E1">
        <w:rPr>
          <w:sz w:val="24"/>
          <w:szCs w:val="24"/>
        </w:rPr>
        <w:t>dexamethason</w:t>
      </w:r>
      <w:proofErr w:type="spellEnd"/>
      <w:r w:rsidRPr="008A44E1">
        <w:rPr>
          <w:sz w:val="24"/>
          <w:szCs w:val="24"/>
        </w:rPr>
        <w:t xml:space="preserve"> plasmaniveauer efter sidste lokale dosering var fra 220 til 888 </w:t>
      </w:r>
      <w:proofErr w:type="spellStart"/>
      <w:r w:rsidRPr="008A44E1">
        <w:rPr>
          <w:sz w:val="24"/>
          <w:szCs w:val="24"/>
        </w:rPr>
        <w:t>pg</w:t>
      </w:r>
      <w:proofErr w:type="spellEnd"/>
      <w:r w:rsidRPr="008A44E1">
        <w:rPr>
          <w:sz w:val="24"/>
          <w:szCs w:val="24"/>
        </w:rPr>
        <w:t xml:space="preserve">/ml (gennemsnit 555 + 217 </w:t>
      </w:r>
      <w:proofErr w:type="spellStart"/>
      <w:r w:rsidRPr="008A44E1">
        <w:rPr>
          <w:sz w:val="24"/>
          <w:szCs w:val="24"/>
        </w:rPr>
        <w:t>pg</w:t>
      </w:r>
      <w:proofErr w:type="spellEnd"/>
      <w:r w:rsidRPr="008A44E1">
        <w:rPr>
          <w:sz w:val="24"/>
          <w:szCs w:val="24"/>
        </w:rPr>
        <w:t xml:space="preserve">/ml) efter administration af en dråbe indeholdende en kombination af </w:t>
      </w:r>
      <w:proofErr w:type="spellStart"/>
      <w:r w:rsidRPr="008A44E1">
        <w:rPr>
          <w:sz w:val="24"/>
          <w:szCs w:val="24"/>
        </w:rPr>
        <w:t>tobramycin</w:t>
      </w:r>
      <w:proofErr w:type="spellEnd"/>
      <w:r w:rsidRPr="008A44E1">
        <w:rPr>
          <w:sz w:val="24"/>
          <w:szCs w:val="24"/>
        </w:rPr>
        <w:t xml:space="preserve"> (3 mg</w:t>
      </w:r>
      <w:r>
        <w:rPr>
          <w:sz w:val="24"/>
          <w:szCs w:val="24"/>
        </w:rPr>
        <w:t>/ml</w:t>
      </w:r>
      <w:r w:rsidRPr="008A44E1">
        <w:rPr>
          <w:sz w:val="24"/>
          <w:szCs w:val="24"/>
        </w:rPr>
        <w:t xml:space="preserve">) og </w:t>
      </w:r>
      <w:proofErr w:type="spellStart"/>
      <w:r w:rsidRPr="008A44E1">
        <w:rPr>
          <w:sz w:val="24"/>
          <w:szCs w:val="24"/>
        </w:rPr>
        <w:t>dexamethason</w:t>
      </w:r>
      <w:proofErr w:type="spellEnd"/>
      <w:r w:rsidRPr="008A44E1">
        <w:rPr>
          <w:sz w:val="24"/>
          <w:szCs w:val="24"/>
        </w:rPr>
        <w:t xml:space="preserve"> (1 mg/ml) i hvert øje fire gange dagligt i to fortløbende dage.</w:t>
      </w:r>
    </w:p>
    <w:p w:rsidR="00B415A6" w:rsidRPr="008A44E1" w:rsidRDefault="00B415A6" w:rsidP="00B415A6">
      <w:pPr>
        <w:tabs>
          <w:tab w:val="left" w:pos="851"/>
        </w:tabs>
        <w:ind w:left="851"/>
        <w:rPr>
          <w:sz w:val="24"/>
          <w:szCs w:val="24"/>
        </w:rPr>
      </w:pPr>
    </w:p>
    <w:p w:rsidR="00570C46" w:rsidRPr="00C84483" w:rsidRDefault="00570C46" w:rsidP="00570C46">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B415A6" w:rsidRPr="008A44E1" w:rsidRDefault="00324C19" w:rsidP="00B415A6">
      <w:pPr>
        <w:ind w:left="851"/>
        <w:rPr>
          <w:sz w:val="24"/>
          <w:szCs w:val="24"/>
        </w:rPr>
      </w:pPr>
      <w:r>
        <w:rPr>
          <w:sz w:val="24"/>
          <w:szCs w:val="24"/>
        </w:rPr>
        <w:t>Non-</w:t>
      </w:r>
      <w:r w:rsidRPr="008A44E1">
        <w:rPr>
          <w:sz w:val="24"/>
          <w:szCs w:val="24"/>
        </w:rPr>
        <w:t>kliniske</w:t>
      </w:r>
      <w:r w:rsidR="00B415A6" w:rsidRPr="008A44E1">
        <w:rPr>
          <w:sz w:val="24"/>
          <w:szCs w:val="24"/>
        </w:rPr>
        <w:t xml:space="preserve"> data viser ingen speciel risiko for mennesker ved </w:t>
      </w:r>
      <w:proofErr w:type="spellStart"/>
      <w:r w:rsidR="00B415A6" w:rsidRPr="008A44E1">
        <w:rPr>
          <w:sz w:val="24"/>
          <w:szCs w:val="24"/>
        </w:rPr>
        <w:t>topikal</w:t>
      </w:r>
      <w:proofErr w:type="spellEnd"/>
      <w:r w:rsidR="00B415A6" w:rsidRPr="008A44E1">
        <w:rPr>
          <w:sz w:val="24"/>
          <w:szCs w:val="24"/>
        </w:rPr>
        <w:t xml:space="preserve"> </w:t>
      </w:r>
      <w:proofErr w:type="spellStart"/>
      <w:r w:rsidR="00B415A6" w:rsidRPr="008A44E1">
        <w:rPr>
          <w:sz w:val="24"/>
          <w:szCs w:val="24"/>
        </w:rPr>
        <w:t>okulær</w:t>
      </w:r>
      <w:proofErr w:type="spellEnd"/>
      <w:r w:rsidR="00B415A6" w:rsidRPr="008A44E1">
        <w:rPr>
          <w:sz w:val="24"/>
          <w:szCs w:val="24"/>
        </w:rPr>
        <w:t xml:space="preserve"> eksponering for </w:t>
      </w:r>
      <w:proofErr w:type="spellStart"/>
      <w:r w:rsidR="00B415A6" w:rsidRPr="008A44E1">
        <w:rPr>
          <w:sz w:val="24"/>
          <w:szCs w:val="24"/>
        </w:rPr>
        <w:t>tobramycin</w:t>
      </w:r>
      <w:proofErr w:type="spellEnd"/>
      <w:r w:rsidR="00B415A6" w:rsidRPr="008A44E1">
        <w:rPr>
          <w:sz w:val="24"/>
          <w:szCs w:val="24"/>
        </w:rPr>
        <w:t xml:space="preserve"> eller </w:t>
      </w:r>
      <w:proofErr w:type="spellStart"/>
      <w:r w:rsidR="00B415A6" w:rsidRPr="008A44E1">
        <w:rPr>
          <w:sz w:val="24"/>
          <w:szCs w:val="24"/>
        </w:rPr>
        <w:t>dexamethason</w:t>
      </w:r>
      <w:proofErr w:type="spellEnd"/>
      <w:r w:rsidR="00B415A6" w:rsidRPr="008A44E1">
        <w:rPr>
          <w:sz w:val="24"/>
          <w:szCs w:val="24"/>
        </w:rPr>
        <w:t xml:space="preserve"> vurderet ud fra konventionelle studier af </w:t>
      </w:r>
      <w:proofErr w:type="spellStart"/>
      <w:r w:rsidR="00B415A6" w:rsidRPr="008A44E1">
        <w:rPr>
          <w:sz w:val="24"/>
          <w:szCs w:val="24"/>
        </w:rPr>
        <w:t>topikal</w:t>
      </w:r>
      <w:proofErr w:type="spellEnd"/>
      <w:r w:rsidR="00B415A6" w:rsidRPr="008A44E1">
        <w:rPr>
          <w:sz w:val="24"/>
          <w:szCs w:val="24"/>
        </w:rPr>
        <w:t xml:space="preserve"> </w:t>
      </w:r>
      <w:proofErr w:type="spellStart"/>
      <w:r w:rsidR="00B415A6" w:rsidRPr="008A44E1">
        <w:rPr>
          <w:sz w:val="24"/>
          <w:szCs w:val="24"/>
        </w:rPr>
        <w:t>okulær</w:t>
      </w:r>
      <w:proofErr w:type="spellEnd"/>
      <w:r w:rsidR="00B415A6" w:rsidRPr="008A44E1">
        <w:rPr>
          <w:sz w:val="24"/>
          <w:szCs w:val="24"/>
        </w:rPr>
        <w:t xml:space="preserve"> toksicitet efter gentagne doser, </w:t>
      </w:r>
      <w:proofErr w:type="spellStart"/>
      <w:r w:rsidR="00B415A6" w:rsidRPr="008A44E1">
        <w:rPr>
          <w:sz w:val="24"/>
          <w:szCs w:val="24"/>
        </w:rPr>
        <w:t>genotoksicitetstudier</w:t>
      </w:r>
      <w:proofErr w:type="spellEnd"/>
      <w:r w:rsidR="00B415A6" w:rsidRPr="008A44E1">
        <w:rPr>
          <w:sz w:val="24"/>
          <w:szCs w:val="24"/>
        </w:rPr>
        <w:t xml:space="preserve"> eller </w:t>
      </w:r>
      <w:proofErr w:type="spellStart"/>
      <w:r w:rsidR="00B415A6" w:rsidRPr="008A44E1">
        <w:rPr>
          <w:sz w:val="24"/>
          <w:szCs w:val="24"/>
        </w:rPr>
        <w:t>karcinogenicitetstudier</w:t>
      </w:r>
      <w:proofErr w:type="spellEnd"/>
      <w:r w:rsidR="00B415A6" w:rsidRPr="008A44E1">
        <w:rPr>
          <w:sz w:val="24"/>
          <w:szCs w:val="24"/>
        </w:rPr>
        <w:t xml:space="preserve">. I prækliniske reproduktions- og udviklingsstudier med </w:t>
      </w:r>
      <w:proofErr w:type="spellStart"/>
      <w:r w:rsidR="00B415A6" w:rsidRPr="008A44E1">
        <w:rPr>
          <w:sz w:val="24"/>
          <w:szCs w:val="24"/>
        </w:rPr>
        <w:t>tobramycin</w:t>
      </w:r>
      <w:proofErr w:type="spellEnd"/>
      <w:r w:rsidR="00B415A6" w:rsidRPr="008A44E1">
        <w:rPr>
          <w:sz w:val="24"/>
          <w:szCs w:val="24"/>
        </w:rPr>
        <w:t xml:space="preserve"> og </w:t>
      </w:r>
      <w:proofErr w:type="spellStart"/>
      <w:r w:rsidR="00B415A6" w:rsidRPr="008A44E1">
        <w:rPr>
          <w:sz w:val="24"/>
          <w:szCs w:val="24"/>
        </w:rPr>
        <w:t>dexamethason</w:t>
      </w:r>
      <w:proofErr w:type="spellEnd"/>
      <w:r w:rsidR="00B415A6" w:rsidRPr="008A44E1">
        <w:rPr>
          <w:sz w:val="24"/>
          <w:szCs w:val="24"/>
        </w:rPr>
        <w:t xml:space="preserve"> blev der kun observeret virkninger ved doser, der anses for at overstige den maksimale humane </w:t>
      </w:r>
      <w:proofErr w:type="spellStart"/>
      <w:r w:rsidR="00B415A6" w:rsidRPr="008A44E1">
        <w:rPr>
          <w:sz w:val="24"/>
          <w:szCs w:val="24"/>
        </w:rPr>
        <w:t>okulære</w:t>
      </w:r>
      <w:proofErr w:type="spellEnd"/>
      <w:r w:rsidR="00B415A6" w:rsidRPr="008A44E1">
        <w:rPr>
          <w:sz w:val="24"/>
          <w:szCs w:val="24"/>
        </w:rPr>
        <w:t xml:space="preserve"> eksponering i væsentlig grad. Disse virkninger vurderes derfor til at være af ringe klinisk relevans ved behandling med lave doser over kort tid.</w:t>
      </w:r>
    </w:p>
    <w:p w:rsidR="00B415A6" w:rsidRPr="008A44E1" w:rsidRDefault="00B415A6" w:rsidP="00B415A6">
      <w:pPr>
        <w:ind w:left="851"/>
        <w:rPr>
          <w:sz w:val="24"/>
          <w:szCs w:val="24"/>
        </w:rPr>
      </w:pPr>
    </w:p>
    <w:p w:rsidR="00B415A6" w:rsidRPr="008A44E1" w:rsidRDefault="00B415A6" w:rsidP="00B415A6">
      <w:pPr>
        <w:ind w:left="851"/>
        <w:rPr>
          <w:sz w:val="24"/>
          <w:szCs w:val="24"/>
        </w:rPr>
      </w:pPr>
      <w:proofErr w:type="spellStart"/>
      <w:r w:rsidRPr="008A44E1">
        <w:rPr>
          <w:sz w:val="24"/>
          <w:szCs w:val="24"/>
        </w:rPr>
        <w:t>Tobramycin</w:t>
      </w:r>
      <w:proofErr w:type="spellEnd"/>
      <w:r w:rsidRPr="008A44E1">
        <w:rPr>
          <w:sz w:val="24"/>
          <w:szCs w:val="24"/>
        </w:rPr>
        <w:t xml:space="preserve"> har ikke vist sig at fremkalde </w:t>
      </w:r>
      <w:proofErr w:type="spellStart"/>
      <w:r w:rsidRPr="008A44E1">
        <w:rPr>
          <w:sz w:val="24"/>
          <w:szCs w:val="24"/>
        </w:rPr>
        <w:t>teratogenicitet</w:t>
      </w:r>
      <w:proofErr w:type="spellEnd"/>
      <w:r w:rsidRPr="008A44E1">
        <w:rPr>
          <w:sz w:val="24"/>
          <w:szCs w:val="24"/>
        </w:rPr>
        <w:t xml:space="preserve"> hos rotter eller kaniner. </w:t>
      </w:r>
      <w:proofErr w:type="spellStart"/>
      <w:r w:rsidRPr="008A44E1">
        <w:rPr>
          <w:sz w:val="24"/>
          <w:szCs w:val="24"/>
        </w:rPr>
        <w:t>Okulær</w:t>
      </w:r>
      <w:proofErr w:type="spellEnd"/>
      <w:r w:rsidRPr="008A44E1">
        <w:rPr>
          <w:sz w:val="24"/>
          <w:szCs w:val="24"/>
        </w:rPr>
        <w:t xml:space="preserve"> administration af 0,1 % </w:t>
      </w:r>
      <w:proofErr w:type="spellStart"/>
      <w:r w:rsidRPr="008A44E1">
        <w:rPr>
          <w:sz w:val="24"/>
          <w:szCs w:val="24"/>
        </w:rPr>
        <w:t>dexamethason</w:t>
      </w:r>
      <w:proofErr w:type="spellEnd"/>
      <w:r w:rsidRPr="008A44E1">
        <w:rPr>
          <w:sz w:val="24"/>
          <w:szCs w:val="24"/>
        </w:rPr>
        <w:t xml:space="preserve"> resulterede i fostermisdannelser hos kaniner. </w:t>
      </w:r>
      <w:proofErr w:type="spellStart"/>
      <w:r w:rsidRPr="008A44E1">
        <w:rPr>
          <w:sz w:val="24"/>
          <w:szCs w:val="24"/>
        </w:rPr>
        <w:t>Dexamethason</w:t>
      </w:r>
      <w:proofErr w:type="spellEnd"/>
      <w:r w:rsidRPr="008A44E1">
        <w:rPr>
          <w:sz w:val="24"/>
          <w:szCs w:val="24"/>
        </w:rPr>
        <w:t xml:space="preserve"> havde ingen utilsigtede virkninger på hunners fertilitet i en </w:t>
      </w:r>
      <w:proofErr w:type="spellStart"/>
      <w:r w:rsidRPr="008A44E1">
        <w:rPr>
          <w:sz w:val="24"/>
          <w:szCs w:val="24"/>
        </w:rPr>
        <w:t>chorion</w:t>
      </w:r>
      <w:r>
        <w:rPr>
          <w:sz w:val="24"/>
          <w:szCs w:val="24"/>
        </w:rPr>
        <w:softHyphen/>
      </w:r>
      <w:r w:rsidRPr="008A44E1">
        <w:rPr>
          <w:sz w:val="24"/>
          <w:szCs w:val="24"/>
        </w:rPr>
        <w:t>gonadotropin-primet</w:t>
      </w:r>
      <w:proofErr w:type="spellEnd"/>
      <w:r w:rsidRPr="008A44E1">
        <w:rPr>
          <w:sz w:val="24"/>
          <w:szCs w:val="24"/>
        </w:rPr>
        <w:t xml:space="preserve"> rottemodel.</w:t>
      </w:r>
    </w:p>
    <w:p w:rsidR="00B415A6" w:rsidRPr="008A44E1" w:rsidRDefault="00B415A6" w:rsidP="00B415A6">
      <w:pPr>
        <w:tabs>
          <w:tab w:val="left" w:pos="851"/>
        </w:tabs>
        <w:ind w:left="851"/>
        <w:rPr>
          <w:sz w:val="24"/>
          <w:szCs w:val="24"/>
        </w:rPr>
      </w:pPr>
    </w:p>
    <w:p w:rsidR="00B415A6" w:rsidRPr="008A44E1" w:rsidRDefault="00B415A6" w:rsidP="00B415A6">
      <w:pPr>
        <w:tabs>
          <w:tab w:val="left" w:pos="851"/>
        </w:tabs>
        <w:ind w:left="851"/>
        <w:rPr>
          <w:sz w:val="24"/>
          <w:szCs w:val="24"/>
        </w:rPr>
      </w:pPr>
    </w:p>
    <w:p w:rsidR="00B415A6" w:rsidRPr="008A44E1" w:rsidRDefault="00B415A6" w:rsidP="00B415A6">
      <w:pPr>
        <w:tabs>
          <w:tab w:val="left" w:pos="851"/>
        </w:tabs>
        <w:ind w:left="851" w:hanging="851"/>
        <w:rPr>
          <w:b/>
          <w:sz w:val="24"/>
          <w:szCs w:val="24"/>
        </w:rPr>
      </w:pPr>
      <w:r w:rsidRPr="008A44E1">
        <w:rPr>
          <w:b/>
          <w:sz w:val="24"/>
          <w:szCs w:val="24"/>
        </w:rPr>
        <w:t>6.</w:t>
      </w:r>
      <w:r w:rsidRPr="008A44E1">
        <w:rPr>
          <w:b/>
          <w:sz w:val="24"/>
          <w:szCs w:val="24"/>
        </w:rPr>
        <w:tab/>
        <w:t>FARMACEUTISKE OPLYSNINGER</w:t>
      </w:r>
    </w:p>
    <w:p w:rsidR="00B415A6" w:rsidRPr="008A44E1" w:rsidRDefault="00B415A6" w:rsidP="00B415A6">
      <w:pPr>
        <w:tabs>
          <w:tab w:val="left" w:pos="851"/>
        </w:tabs>
        <w:ind w:left="851"/>
        <w:rPr>
          <w:sz w:val="24"/>
          <w:szCs w:val="24"/>
        </w:rPr>
      </w:pPr>
    </w:p>
    <w:p w:rsidR="00B415A6" w:rsidRPr="008A44E1" w:rsidRDefault="00B415A6" w:rsidP="00B415A6">
      <w:pPr>
        <w:tabs>
          <w:tab w:val="left" w:pos="851"/>
        </w:tabs>
        <w:ind w:left="851" w:hanging="851"/>
        <w:rPr>
          <w:b/>
          <w:sz w:val="24"/>
          <w:szCs w:val="24"/>
        </w:rPr>
      </w:pPr>
      <w:r w:rsidRPr="008A44E1">
        <w:rPr>
          <w:b/>
          <w:sz w:val="24"/>
          <w:szCs w:val="24"/>
        </w:rPr>
        <w:t>6.1</w:t>
      </w:r>
      <w:r w:rsidRPr="008A44E1">
        <w:rPr>
          <w:b/>
          <w:sz w:val="24"/>
          <w:szCs w:val="24"/>
        </w:rPr>
        <w:tab/>
        <w:t>Hjælpestoffer</w:t>
      </w:r>
    </w:p>
    <w:p w:rsidR="00B415A6" w:rsidRPr="008A44E1" w:rsidRDefault="00B415A6" w:rsidP="00B415A6">
      <w:pPr>
        <w:ind w:left="851"/>
        <w:rPr>
          <w:noProof/>
          <w:sz w:val="24"/>
          <w:szCs w:val="24"/>
        </w:rPr>
      </w:pPr>
      <w:r w:rsidRPr="008A44E1">
        <w:rPr>
          <w:noProof/>
          <w:sz w:val="24"/>
          <w:szCs w:val="24"/>
        </w:rPr>
        <w:t>Benzalkoniumchlorid</w:t>
      </w:r>
    </w:p>
    <w:p w:rsidR="00B415A6" w:rsidRPr="008A44E1" w:rsidRDefault="00B415A6" w:rsidP="00B415A6">
      <w:pPr>
        <w:ind w:left="851"/>
        <w:rPr>
          <w:noProof/>
          <w:sz w:val="24"/>
          <w:szCs w:val="24"/>
        </w:rPr>
      </w:pPr>
      <w:r w:rsidRPr="008A44E1">
        <w:rPr>
          <w:noProof/>
          <w:sz w:val="24"/>
          <w:szCs w:val="24"/>
        </w:rPr>
        <w:t>Hydroxyethylcellulose</w:t>
      </w:r>
    </w:p>
    <w:p w:rsidR="00B415A6" w:rsidRPr="008A44E1" w:rsidRDefault="00B415A6" w:rsidP="00B415A6">
      <w:pPr>
        <w:ind w:left="851"/>
        <w:rPr>
          <w:noProof/>
          <w:sz w:val="24"/>
          <w:szCs w:val="24"/>
        </w:rPr>
      </w:pPr>
      <w:r w:rsidRPr="008A44E1">
        <w:rPr>
          <w:noProof/>
          <w:sz w:val="24"/>
          <w:szCs w:val="24"/>
        </w:rPr>
        <w:t>Dinatriumedetat</w:t>
      </w:r>
    </w:p>
    <w:p w:rsidR="00B415A6" w:rsidRPr="008A44E1" w:rsidRDefault="00B415A6" w:rsidP="00B415A6">
      <w:pPr>
        <w:ind w:left="851"/>
        <w:rPr>
          <w:noProof/>
          <w:sz w:val="24"/>
          <w:szCs w:val="24"/>
        </w:rPr>
      </w:pPr>
      <w:r w:rsidRPr="008A44E1">
        <w:rPr>
          <w:noProof/>
          <w:sz w:val="24"/>
          <w:szCs w:val="24"/>
        </w:rPr>
        <w:t>Tyloxapol</w:t>
      </w:r>
    </w:p>
    <w:p w:rsidR="00B415A6" w:rsidRPr="008A44E1" w:rsidRDefault="00B415A6" w:rsidP="00B415A6">
      <w:pPr>
        <w:ind w:left="851"/>
        <w:rPr>
          <w:noProof/>
          <w:sz w:val="24"/>
          <w:szCs w:val="24"/>
        </w:rPr>
      </w:pPr>
      <w:r w:rsidRPr="008A44E1">
        <w:rPr>
          <w:noProof/>
          <w:sz w:val="24"/>
          <w:szCs w:val="24"/>
        </w:rPr>
        <w:t>Natriumchlorid</w:t>
      </w:r>
    </w:p>
    <w:p w:rsidR="00B415A6" w:rsidRPr="008A44E1" w:rsidRDefault="00B415A6" w:rsidP="00B415A6">
      <w:pPr>
        <w:ind w:left="851"/>
        <w:rPr>
          <w:noProof/>
          <w:sz w:val="24"/>
          <w:szCs w:val="24"/>
        </w:rPr>
      </w:pPr>
      <w:r w:rsidRPr="008A44E1">
        <w:rPr>
          <w:noProof/>
          <w:sz w:val="24"/>
          <w:szCs w:val="24"/>
        </w:rPr>
        <w:t xml:space="preserve">Natriumsulfat </w:t>
      </w:r>
    </w:p>
    <w:p w:rsidR="00B415A6" w:rsidRPr="008A44E1" w:rsidRDefault="00B415A6" w:rsidP="00B415A6">
      <w:pPr>
        <w:ind w:left="851"/>
        <w:rPr>
          <w:noProof/>
          <w:sz w:val="24"/>
          <w:szCs w:val="24"/>
        </w:rPr>
      </w:pPr>
      <w:r w:rsidRPr="008A44E1">
        <w:rPr>
          <w:noProof/>
          <w:sz w:val="24"/>
          <w:szCs w:val="24"/>
        </w:rPr>
        <w:t xml:space="preserve">Natriumhydroxid og/eller svovlsyre til pH justering </w:t>
      </w:r>
    </w:p>
    <w:p w:rsidR="00B415A6" w:rsidRPr="008A44E1" w:rsidRDefault="00B415A6" w:rsidP="00B415A6">
      <w:pPr>
        <w:ind w:left="851"/>
        <w:rPr>
          <w:noProof/>
          <w:sz w:val="24"/>
          <w:szCs w:val="24"/>
        </w:rPr>
      </w:pPr>
      <w:r w:rsidRPr="008A44E1">
        <w:rPr>
          <w:noProof/>
          <w:sz w:val="24"/>
          <w:szCs w:val="24"/>
        </w:rPr>
        <w:t>Vand til injektionsvæsker</w:t>
      </w:r>
    </w:p>
    <w:p w:rsidR="00B415A6" w:rsidRPr="008A44E1" w:rsidRDefault="00B415A6" w:rsidP="00B415A6">
      <w:pPr>
        <w:tabs>
          <w:tab w:val="left" w:pos="851"/>
        </w:tabs>
        <w:ind w:left="851"/>
        <w:rPr>
          <w:sz w:val="24"/>
          <w:szCs w:val="24"/>
        </w:rPr>
      </w:pPr>
    </w:p>
    <w:p w:rsidR="00B415A6" w:rsidRPr="008A44E1" w:rsidRDefault="00B415A6" w:rsidP="00B415A6">
      <w:pPr>
        <w:tabs>
          <w:tab w:val="left" w:pos="851"/>
        </w:tabs>
        <w:ind w:left="851" w:hanging="851"/>
        <w:rPr>
          <w:b/>
          <w:sz w:val="24"/>
          <w:szCs w:val="24"/>
        </w:rPr>
      </w:pPr>
      <w:r w:rsidRPr="008A44E1">
        <w:rPr>
          <w:b/>
          <w:sz w:val="24"/>
          <w:szCs w:val="24"/>
        </w:rPr>
        <w:t>6.2</w:t>
      </w:r>
      <w:r w:rsidRPr="008A44E1">
        <w:rPr>
          <w:b/>
          <w:sz w:val="24"/>
          <w:szCs w:val="24"/>
        </w:rPr>
        <w:tab/>
        <w:t>Uforligeligheder</w:t>
      </w:r>
    </w:p>
    <w:p w:rsidR="00B415A6" w:rsidRPr="008A44E1" w:rsidRDefault="00B415A6" w:rsidP="00B415A6">
      <w:pPr>
        <w:ind w:firstLine="851"/>
        <w:rPr>
          <w:sz w:val="24"/>
          <w:szCs w:val="24"/>
        </w:rPr>
      </w:pPr>
      <w:r w:rsidRPr="008A44E1">
        <w:rPr>
          <w:sz w:val="24"/>
          <w:szCs w:val="24"/>
        </w:rPr>
        <w:t>Ikke relevant.</w:t>
      </w:r>
    </w:p>
    <w:p w:rsidR="00B415A6" w:rsidRPr="008A44E1" w:rsidRDefault="00B415A6" w:rsidP="00B415A6">
      <w:pPr>
        <w:tabs>
          <w:tab w:val="left" w:pos="851"/>
        </w:tabs>
        <w:ind w:left="851"/>
        <w:rPr>
          <w:sz w:val="24"/>
          <w:szCs w:val="24"/>
        </w:rPr>
      </w:pPr>
    </w:p>
    <w:p w:rsidR="00B415A6" w:rsidRPr="008A44E1" w:rsidRDefault="00B415A6" w:rsidP="00B415A6">
      <w:pPr>
        <w:tabs>
          <w:tab w:val="left" w:pos="851"/>
        </w:tabs>
        <w:ind w:left="851" w:hanging="851"/>
        <w:rPr>
          <w:b/>
          <w:sz w:val="24"/>
          <w:szCs w:val="24"/>
        </w:rPr>
      </w:pPr>
      <w:r w:rsidRPr="008A44E1">
        <w:rPr>
          <w:b/>
          <w:sz w:val="24"/>
          <w:szCs w:val="24"/>
        </w:rPr>
        <w:t>6.3</w:t>
      </w:r>
      <w:r w:rsidRPr="008A44E1">
        <w:rPr>
          <w:b/>
          <w:sz w:val="24"/>
          <w:szCs w:val="24"/>
        </w:rPr>
        <w:tab/>
        <w:t>Opbevaringstid</w:t>
      </w:r>
    </w:p>
    <w:p w:rsidR="00B415A6" w:rsidRPr="008A44E1" w:rsidRDefault="00B415A6" w:rsidP="00B415A6">
      <w:pPr>
        <w:ind w:firstLine="851"/>
        <w:jc w:val="both"/>
        <w:rPr>
          <w:sz w:val="24"/>
          <w:szCs w:val="24"/>
        </w:rPr>
      </w:pPr>
      <w:r w:rsidRPr="008A44E1">
        <w:rPr>
          <w:sz w:val="24"/>
          <w:szCs w:val="24"/>
        </w:rPr>
        <w:t>2 år.</w:t>
      </w:r>
    </w:p>
    <w:p w:rsidR="00B415A6" w:rsidRPr="008A44E1" w:rsidRDefault="00B415A6" w:rsidP="00B415A6">
      <w:pPr>
        <w:ind w:firstLine="851"/>
        <w:rPr>
          <w:sz w:val="24"/>
          <w:szCs w:val="24"/>
        </w:rPr>
      </w:pPr>
      <w:r w:rsidRPr="008A44E1">
        <w:rPr>
          <w:sz w:val="24"/>
          <w:szCs w:val="24"/>
        </w:rPr>
        <w:t>Efter anbrud: 4 uger.</w:t>
      </w:r>
    </w:p>
    <w:p w:rsidR="00B415A6" w:rsidRPr="008A44E1" w:rsidRDefault="00B415A6" w:rsidP="00B415A6">
      <w:pPr>
        <w:tabs>
          <w:tab w:val="left" w:pos="851"/>
        </w:tabs>
        <w:ind w:left="851"/>
        <w:rPr>
          <w:sz w:val="24"/>
          <w:szCs w:val="24"/>
        </w:rPr>
      </w:pPr>
    </w:p>
    <w:p w:rsidR="00B415A6" w:rsidRPr="008A44E1" w:rsidRDefault="00B415A6" w:rsidP="00B415A6">
      <w:pPr>
        <w:tabs>
          <w:tab w:val="left" w:pos="851"/>
        </w:tabs>
        <w:ind w:left="851" w:hanging="851"/>
        <w:rPr>
          <w:b/>
          <w:sz w:val="24"/>
          <w:szCs w:val="24"/>
        </w:rPr>
      </w:pPr>
      <w:r w:rsidRPr="008A44E1">
        <w:rPr>
          <w:b/>
          <w:sz w:val="24"/>
          <w:szCs w:val="24"/>
        </w:rPr>
        <w:t>6.4</w:t>
      </w:r>
      <w:r w:rsidRPr="008A44E1">
        <w:rPr>
          <w:b/>
          <w:sz w:val="24"/>
          <w:szCs w:val="24"/>
        </w:rPr>
        <w:tab/>
        <w:t>Særlige opbevaringsforhold</w:t>
      </w:r>
    </w:p>
    <w:p w:rsidR="00B415A6" w:rsidRPr="008A44E1" w:rsidRDefault="00B415A6" w:rsidP="00B415A6">
      <w:pPr>
        <w:ind w:firstLine="851"/>
        <w:rPr>
          <w:sz w:val="24"/>
          <w:szCs w:val="24"/>
        </w:rPr>
      </w:pPr>
      <w:r w:rsidRPr="008A44E1">
        <w:rPr>
          <w:sz w:val="24"/>
          <w:szCs w:val="24"/>
        </w:rPr>
        <w:t>Dette lægemiddel kræver ingen særlige forholdsregler vedrørende opbevaringen.</w:t>
      </w:r>
    </w:p>
    <w:p w:rsidR="00B415A6" w:rsidRPr="008A44E1" w:rsidRDefault="00B415A6" w:rsidP="00B415A6">
      <w:pPr>
        <w:tabs>
          <w:tab w:val="left" w:pos="851"/>
        </w:tabs>
        <w:ind w:left="851"/>
        <w:rPr>
          <w:sz w:val="24"/>
          <w:szCs w:val="24"/>
        </w:rPr>
      </w:pPr>
    </w:p>
    <w:p w:rsidR="00570C46" w:rsidRPr="00C84483" w:rsidRDefault="00570C46" w:rsidP="00570C46">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B415A6" w:rsidRPr="008A44E1" w:rsidRDefault="00B415A6" w:rsidP="00B415A6">
      <w:pPr>
        <w:ind w:left="851"/>
        <w:rPr>
          <w:sz w:val="24"/>
          <w:szCs w:val="24"/>
        </w:rPr>
      </w:pPr>
      <w:r w:rsidRPr="008A44E1">
        <w:rPr>
          <w:sz w:val="24"/>
          <w:szCs w:val="24"/>
        </w:rPr>
        <w:t>Hvid flaske (LDPE) med hvidt låg (HDPE/LDPE) og hvid dråbespids (LDPE).</w:t>
      </w:r>
    </w:p>
    <w:p w:rsidR="00B415A6" w:rsidRDefault="00B415A6" w:rsidP="00B415A6">
      <w:pPr>
        <w:suppressAutoHyphens/>
        <w:ind w:left="851"/>
        <w:jc w:val="both"/>
        <w:rPr>
          <w:sz w:val="24"/>
          <w:szCs w:val="24"/>
        </w:rPr>
      </w:pPr>
    </w:p>
    <w:p w:rsidR="00B415A6" w:rsidRPr="008A44E1" w:rsidRDefault="00B415A6" w:rsidP="00B415A6">
      <w:pPr>
        <w:suppressAutoHyphens/>
        <w:ind w:left="851"/>
        <w:jc w:val="both"/>
        <w:rPr>
          <w:sz w:val="24"/>
          <w:szCs w:val="24"/>
        </w:rPr>
      </w:pPr>
      <w:r w:rsidRPr="008A44E1">
        <w:rPr>
          <w:sz w:val="24"/>
          <w:szCs w:val="24"/>
        </w:rPr>
        <w:t>Pakningsstørrelse: 5 ml</w:t>
      </w:r>
    </w:p>
    <w:p w:rsidR="00B415A6" w:rsidRPr="008A44E1" w:rsidRDefault="00B415A6" w:rsidP="00B415A6">
      <w:pPr>
        <w:tabs>
          <w:tab w:val="left" w:pos="851"/>
        </w:tabs>
        <w:ind w:left="851"/>
        <w:rPr>
          <w:sz w:val="24"/>
          <w:szCs w:val="24"/>
        </w:rPr>
      </w:pPr>
    </w:p>
    <w:p w:rsidR="00570C46" w:rsidRPr="00C84483" w:rsidRDefault="00570C46" w:rsidP="00570C46">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B415A6" w:rsidRPr="008A44E1" w:rsidRDefault="00B415A6" w:rsidP="00B415A6">
      <w:pPr>
        <w:ind w:firstLine="851"/>
        <w:rPr>
          <w:sz w:val="24"/>
          <w:szCs w:val="24"/>
        </w:rPr>
      </w:pPr>
      <w:r w:rsidRPr="008A44E1">
        <w:rPr>
          <w:sz w:val="24"/>
          <w:szCs w:val="24"/>
        </w:rPr>
        <w:t>Ingen særlige forholdsregler.</w:t>
      </w:r>
    </w:p>
    <w:p w:rsidR="00B415A6" w:rsidRPr="008A44E1" w:rsidRDefault="00B415A6" w:rsidP="00B415A6">
      <w:pPr>
        <w:tabs>
          <w:tab w:val="left" w:pos="851"/>
        </w:tabs>
        <w:ind w:left="851"/>
        <w:jc w:val="both"/>
        <w:rPr>
          <w:sz w:val="24"/>
          <w:szCs w:val="24"/>
        </w:rPr>
      </w:pPr>
    </w:p>
    <w:p w:rsidR="00B415A6" w:rsidRPr="008A44E1" w:rsidRDefault="00B415A6" w:rsidP="00B415A6">
      <w:pPr>
        <w:tabs>
          <w:tab w:val="left" w:pos="851"/>
        </w:tabs>
        <w:ind w:left="851" w:hanging="851"/>
        <w:rPr>
          <w:b/>
          <w:sz w:val="24"/>
          <w:szCs w:val="24"/>
        </w:rPr>
      </w:pPr>
      <w:r w:rsidRPr="008A44E1">
        <w:rPr>
          <w:b/>
          <w:sz w:val="24"/>
          <w:szCs w:val="24"/>
        </w:rPr>
        <w:t>7.</w:t>
      </w:r>
      <w:r w:rsidRPr="008A44E1">
        <w:rPr>
          <w:b/>
          <w:sz w:val="24"/>
          <w:szCs w:val="24"/>
        </w:rPr>
        <w:tab/>
        <w:t>INDEHAVER AF MARKEDSFØRINGSTILLADELSEN</w:t>
      </w:r>
    </w:p>
    <w:p w:rsidR="00B415A6" w:rsidRPr="00D67E36" w:rsidRDefault="00B415A6" w:rsidP="00B415A6">
      <w:pPr>
        <w:ind w:firstLine="851"/>
        <w:rPr>
          <w:sz w:val="24"/>
          <w:szCs w:val="24"/>
          <w:lang w:val="en-US"/>
        </w:rPr>
      </w:pPr>
      <w:r w:rsidRPr="00D67E36">
        <w:rPr>
          <w:sz w:val="24"/>
          <w:szCs w:val="24"/>
          <w:lang w:val="en-US"/>
        </w:rPr>
        <w:t xml:space="preserve">Orifarm Generics A/S </w:t>
      </w:r>
    </w:p>
    <w:p w:rsidR="00B415A6" w:rsidRPr="00D67E36" w:rsidRDefault="00B415A6" w:rsidP="00B415A6">
      <w:pPr>
        <w:ind w:firstLine="851"/>
        <w:rPr>
          <w:sz w:val="24"/>
          <w:szCs w:val="24"/>
          <w:lang w:val="en-US"/>
        </w:rPr>
      </w:pPr>
      <w:proofErr w:type="spellStart"/>
      <w:r w:rsidRPr="00D67E36">
        <w:rPr>
          <w:sz w:val="24"/>
          <w:szCs w:val="24"/>
          <w:lang w:val="en-US"/>
        </w:rPr>
        <w:t>Energivej</w:t>
      </w:r>
      <w:proofErr w:type="spellEnd"/>
      <w:r w:rsidRPr="00D67E36">
        <w:rPr>
          <w:sz w:val="24"/>
          <w:szCs w:val="24"/>
          <w:lang w:val="en-US"/>
        </w:rPr>
        <w:t xml:space="preserve"> 15</w:t>
      </w:r>
    </w:p>
    <w:p w:rsidR="00B415A6" w:rsidRPr="008A44E1" w:rsidRDefault="00B415A6" w:rsidP="00B415A6">
      <w:pPr>
        <w:ind w:firstLine="851"/>
        <w:rPr>
          <w:sz w:val="24"/>
          <w:szCs w:val="24"/>
        </w:rPr>
      </w:pPr>
      <w:r w:rsidRPr="008A44E1">
        <w:rPr>
          <w:sz w:val="24"/>
          <w:szCs w:val="24"/>
        </w:rPr>
        <w:t>5260 Odense S</w:t>
      </w:r>
    </w:p>
    <w:p w:rsidR="00B415A6" w:rsidRPr="008A44E1" w:rsidRDefault="00B415A6" w:rsidP="00B415A6">
      <w:pPr>
        <w:tabs>
          <w:tab w:val="left" w:pos="851"/>
        </w:tabs>
        <w:ind w:left="851"/>
        <w:rPr>
          <w:sz w:val="24"/>
          <w:szCs w:val="24"/>
        </w:rPr>
      </w:pPr>
    </w:p>
    <w:p w:rsidR="00896CD5" w:rsidRPr="00C84483" w:rsidRDefault="00896CD5" w:rsidP="00896CD5">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B415A6" w:rsidRPr="008A44E1" w:rsidRDefault="00B415A6" w:rsidP="00B415A6">
      <w:pPr>
        <w:tabs>
          <w:tab w:val="left" w:pos="851"/>
        </w:tabs>
        <w:ind w:left="851"/>
        <w:rPr>
          <w:sz w:val="24"/>
          <w:szCs w:val="24"/>
        </w:rPr>
      </w:pPr>
      <w:bookmarkStart w:id="0" w:name="_GoBack"/>
      <w:bookmarkEnd w:id="0"/>
      <w:r w:rsidRPr="008A44E1">
        <w:rPr>
          <w:sz w:val="24"/>
          <w:szCs w:val="24"/>
        </w:rPr>
        <w:t>61236</w:t>
      </w:r>
    </w:p>
    <w:p w:rsidR="00B415A6" w:rsidRPr="008A44E1" w:rsidRDefault="00B415A6" w:rsidP="00B415A6">
      <w:pPr>
        <w:tabs>
          <w:tab w:val="left" w:pos="851"/>
        </w:tabs>
        <w:ind w:left="851"/>
        <w:jc w:val="both"/>
        <w:rPr>
          <w:sz w:val="24"/>
          <w:szCs w:val="24"/>
        </w:rPr>
      </w:pPr>
    </w:p>
    <w:p w:rsidR="00B415A6" w:rsidRPr="008A44E1" w:rsidRDefault="00B415A6" w:rsidP="00B415A6">
      <w:pPr>
        <w:tabs>
          <w:tab w:val="left" w:pos="851"/>
        </w:tabs>
        <w:ind w:left="851" w:hanging="851"/>
        <w:rPr>
          <w:b/>
          <w:sz w:val="24"/>
          <w:szCs w:val="24"/>
        </w:rPr>
      </w:pPr>
      <w:r w:rsidRPr="008A44E1">
        <w:rPr>
          <w:b/>
          <w:sz w:val="24"/>
          <w:szCs w:val="24"/>
        </w:rPr>
        <w:t>9.</w:t>
      </w:r>
      <w:r w:rsidRPr="008A44E1">
        <w:rPr>
          <w:b/>
          <w:sz w:val="24"/>
          <w:szCs w:val="24"/>
        </w:rPr>
        <w:tab/>
        <w:t>DATO FOR FØRSTE MARKEDSFØRINGSTILLADELSE</w:t>
      </w:r>
    </w:p>
    <w:p w:rsidR="00B415A6" w:rsidRPr="008A44E1" w:rsidRDefault="00B415A6" w:rsidP="00B415A6">
      <w:pPr>
        <w:tabs>
          <w:tab w:val="left" w:pos="851"/>
        </w:tabs>
        <w:ind w:left="851"/>
        <w:rPr>
          <w:sz w:val="24"/>
          <w:szCs w:val="24"/>
        </w:rPr>
      </w:pPr>
      <w:r w:rsidRPr="008A44E1">
        <w:rPr>
          <w:sz w:val="24"/>
          <w:szCs w:val="24"/>
        </w:rPr>
        <w:t>12. juni 2019</w:t>
      </w:r>
    </w:p>
    <w:p w:rsidR="00B415A6" w:rsidRPr="008A44E1" w:rsidRDefault="00B415A6" w:rsidP="00B415A6">
      <w:pPr>
        <w:tabs>
          <w:tab w:val="left" w:pos="851"/>
        </w:tabs>
        <w:ind w:left="851"/>
        <w:rPr>
          <w:sz w:val="24"/>
          <w:szCs w:val="24"/>
        </w:rPr>
      </w:pPr>
    </w:p>
    <w:p w:rsidR="00B415A6" w:rsidRPr="008A44E1" w:rsidRDefault="00B415A6" w:rsidP="00B415A6">
      <w:pPr>
        <w:tabs>
          <w:tab w:val="left" w:pos="851"/>
        </w:tabs>
        <w:ind w:left="851" w:hanging="851"/>
        <w:rPr>
          <w:b/>
          <w:sz w:val="24"/>
          <w:szCs w:val="24"/>
        </w:rPr>
      </w:pPr>
      <w:r w:rsidRPr="008A44E1">
        <w:rPr>
          <w:b/>
          <w:sz w:val="24"/>
          <w:szCs w:val="24"/>
        </w:rPr>
        <w:t>10.</w:t>
      </w:r>
      <w:r w:rsidRPr="008A44E1">
        <w:rPr>
          <w:b/>
          <w:sz w:val="24"/>
          <w:szCs w:val="24"/>
        </w:rPr>
        <w:tab/>
        <w:t>DATO FOR ÆNDRING AF TEKSTEN</w:t>
      </w:r>
    </w:p>
    <w:p w:rsidR="00B415A6" w:rsidRPr="008A44E1" w:rsidRDefault="00570C46" w:rsidP="00B415A6">
      <w:pPr>
        <w:tabs>
          <w:tab w:val="left" w:pos="851"/>
        </w:tabs>
        <w:ind w:left="851"/>
        <w:rPr>
          <w:sz w:val="24"/>
          <w:szCs w:val="24"/>
        </w:rPr>
      </w:pPr>
      <w:r>
        <w:rPr>
          <w:sz w:val="24"/>
          <w:szCs w:val="24"/>
        </w:rPr>
        <w:t>12. marts 2024</w:t>
      </w:r>
    </w:p>
    <w:p w:rsidR="00B415A6" w:rsidRPr="00074BC6" w:rsidRDefault="00B415A6" w:rsidP="00B415A6"/>
    <w:p w:rsidR="00B415A6" w:rsidRPr="006420F1" w:rsidRDefault="00B415A6" w:rsidP="00B415A6"/>
    <w:p w:rsidR="009260DE" w:rsidRPr="00B415A6" w:rsidRDefault="009260DE" w:rsidP="00B415A6"/>
    <w:sectPr w:rsidR="009260DE" w:rsidRPr="00B415A6"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5A6" w:rsidRDefault="00B415A6">
      <w:r>
        <w:separator/>
      </w:r>
    </w:p>
  </w:endnote>
  <w:endnote w:type="continuationSeparator" w:id="0">
    <w:p w:rsidR="00B415A6" w:rsidRDefault="00B4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A7A1F">
      <w:rPr>
        <w:i/>
        <w:noProof/>
        <w:sz w:val="18"/>
        <w:szCs w:val="18"/>
      </w:rPr>
      <w:t>Oridecin, øjendråber, suspension 1+3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5A6" w:rsidRDefault="00B415A6">
      <w:r>
        <w:separator/>
      </w:r>
    </w:p>
  </w:footnote>
  <w:footnote w:type="continuationSeparator" w:id="0">
    <w:p w:rsidR="00B415A6" w:rsidRDefault="00B41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01D3CF4"/>
    <w:multiLevelType w:val="hybridMultilevel"/>
    <w:tmpl w:val="1C72C8BA"/>
    <w:lvl w:ilvl="0" w:tplc="90381C30">
      <w:start w:val="4"/>
      <w:numFmt w:val="bullet"/>
      <w:lvlText w:val="-"/>
      <w:lvlJc w:val="left"/>
      <w:pPr>
        <w:ind w:left="720" w:hanging="360"/>
      </w:pPr>
      <w:rPr>
        <w:rFonts w:ascii="Times New Roman" w:eastAsia="Times New Roman" w:hAnsi="Times New Roman" w:cs="Times New Roman" w:hint="default"/>
        <w:color w:val="0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5A6"/>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24C19"/>
    <w:rsid w:val="003678E0"/>
    <w:rsid w:val="003A29AE"/>
    <w:rsid w:val="003A32D7"/>
    <w:rsid w:val="003B4074"/>
    <w:rsid w:val="003C769A"/>
    <w:rsid w:val="003F1838"/>
    <w:rsid w:val="0045746C"/>
    <w:rsid w:val="0049104B"/>
    <w:rsid w:val="004E3B12"/>
    <w:rsid w:val="00532310"/>
    <w:rsid w:val="00560ECC"/>
    <w:rsid w:val="00565F0F"/>
    <w:rsid w:val="00570C46"/>
    <w:rsid w:val="00594A86"/>
    <w:rsid w:val="00596D86"/>
    <w:rsid w:val="005A10F1"/>
    <w:rsid w:val="00637F5A"/>
    <w:rsid w:val="006560B1"/>
    <w:rsid w:val="006756DD"/>
    <w:rsid w:val="00737275"/>
    <w:rsid w:val="00740EEC"/>
    <w:rsid w:val="0078011A"/>
    <w:rsid w:val="00782AF4"/>
    <w:rsid w:val="00790EE7"/>
    <w:rsid w:val="007B6649"/>
    <w:rsid w:val="0081546F"/>
    <w:rsid w:val="0082576E"/>
    <w:rsid w:val="00896CD5"/>
    <w:rsid w:val="00907F75"/>
    <w:rsid w:val="009260DE"/>
    <w:rsid w:val="0093258A"/>
    <w:rsid w:val="009C7BA3"/>
    <w:rsid w:val="009D1F5A"/>
    <w:rsid w:val="00B003BF"/>
    <w:rsid w:val="00B373D7"/>
    <w:rsid w:val="00B415A6"/>
    <w:rsid w:val="00C36276"/>
    <w:rsid w:val="00C42586"/>
    <w:rsid w:val="00C60CCD"/>
    <w:rsid w:val="00C84483"/>
    <w:rsid w:val="00C95551"/>
    <w:rsid w:val="00CB20D7"/>
    <w:rsid w:val="00D020B0"/>
    <w:rsid w:val="00D11748"/>
    <w:rsid w:val="00D366CF"/>
    <w:rsid w:val="00DA7A1F"/>
    <w:rsid w:val="00E108AA"/>
    <w:rsid w:val="00E31812"/>
    <w:rsid w:val="00E3749A"/>
    <w:rsid w:val="00E7437F"/>
    <w:rsid w:val="00E865B8"/>
    <w:rsid w:val="00EC0B9B"/>
    <w:rsid w:val="00ED5E9F"/>
    <w:rsid w:val="00F66D4F"/>
    <w:rsid w:val="00FB6D01"/>
    <w:rsid w:val="00FC78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9778C"/>
  <w15:chartTrackingRefBased/>
  <w15:docId w15:val="{19EEFA0A-9782-40CF-8D50-E88ADA6E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qFormat/>
    <w:rsid w:val="00B415A6"/>
    <w:pPr>
      <w:keepNext/>
      <w:tabs>
        <w:tab w:val="left" w:pos="567"/>
      </w:tabs>
      <w:spacing w:before="240" w:after="60" w:line="260" w:lineRule="exact"/>
      <w:outlineLvl w:val="1"/>
    </w:pPr>
    <w:rPr>
      <w:rFonts w:ascii="Helvetica" w:hAnsi="Helvetica"/>
      <w:b/>
      <w:i/>
      <w:sz w:val="24"/>
      <w:lang w:val="en-GB"/>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qFormat/>
    <w:rsid w:val="00B415A6"/>
    <w:pPr>
      <w:keepNext/>
      <w:tabs>
        <w:tab w:val="left" w:pos="567"/>
      </w:tabs>
      <w:spacing w:line="260" w:lineRule="exact"/>
      <w:jc w:val="both"/>
      <w:outlineLvl w:val="3"/>
    </w:pPr>
    <w:rPr>
      <w:b/>
      <w:noProof/>
      <w:sz w:val="22"/>
      <w:lang w:val="en-GB"/>
    </w:rPr>
  </w:style>
  <w:style w:type="paragraph" w:styleId="Overskrift7">
    <w:name w:val="heading 7"/>
    <w:basedOn w:val="Normal"/>
    <w:next w:val="Normal"/>
    <w:link w:val="Overskrift7Tegn"/>
    <w:qFormat/>
    <w:rsid w:val="00B415A6"/>
    <w:pPr>
      <w:keepNext/>
      <w:tabs>
        <w:tab w:val="left" w:pos="-720"/>
        <w:tab w:val="left" w:pos="567"/>
        <w:tab w:val="left" w:pos="4536"/>
      </w:tabs>
      <w:suppressAutoHyphens/>
      <w:spacing w:line="260" w:lineRule="exact"/>
      <w:jc w:val="both"/>
      <w:outlineLvl w:val="6"/>
    </w:pPr>
    <w:rPr>
      <w:i/>
      <w:sz w:val="22"/>
      <w:lang w:val="en-GB"/>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rsid w:val="00B415A6"/>
    <w:rPr>
      <w:rFonts w:ascii="Helvetica" w:hAnsi="Helvetica"/>
      <w:b/>
      <w:i/>
      <w:sz w:val="24"/>
      <w:lang w:val="en-GB" w:eastAsia="en-US"/>
    </w:rPr>
  </w:style>
  <w:style w:type="character" w:customStyle="1" w:styleId="Overskrift4Tegn">
    <w:name w:val="Overskrift 4 Tegn"/>
    <w:basedOn w:val="Standardskrifttypeiafsnit"/>
    <w:link w:val="Overskrift4"/>
    <w:rsid w:val="00B415A6"/>
    <w:rPr>
      <w:b/>
      <w:noProof/>
      <w:sz w:val="22"/>
      <w:lang w:val="en-GB" w:eastAsia="en-US"/>
    </w:rPr>
  </w:style>
  <w:style w:type="character" w:customStyle="1" w:styleId="Overskrift7Tegn">
    <w:name w:val="Overskrift 7 Tegn"/>
    <w:basedOn w:val="Standardskrifttypeiafsnit"/>
    <w:link w:val="Overskrift7"/>
    <w:rsid w:val="00B415A6"/>
    <w:rPr>
      <w:i/>
      <w:sz w:val="22"/>
      <w:lang w:val="en-GB" w:eastAsia="en-US"/>
    </w:rPr>
  </w:style>
  <w:style w:type="paragraph" w:styleId="NormalWeb">
    <w:name w:val="Normal (Web)"/>
    <w:basedOn w:val="Normal"/>
    <w:uiPriority w:val="99"/>
    <w:unhideWhenUsed/>
    <w:rsid w:val="00B415A6"/>
    <w:rPr>
      <w:sz w:val="24"/>
      <w:szCs w:val="24"/>
      <w:lang w:eastAsia="da-DK"/>
    </w:rPr>
  </w:style>
  <w:style w:type="paragraph" w:styleId="Normalindrykning">
    <w:name w:val="Normal Indent"/>
    <w:basedOn w:val="Normal"/>
    <w:rsid w:val="00B415A6"/>
    <w:pPr>
      <w:spacing w:after="120"/>
      <w:ind w:left="720"/>
    </w:pPr>
    <w:rPr>
      <w:sz w:val="22"/>
      <w:lang w:val="en-GB" w:eastAsia="en-GB"/>
    </w:rPr>
  </w:style>
  <w:style w:type="table" w:styleId="Tabel-Gitter">
    <w:name w:val="Table Grid"/>
    <w:basedOn w:val="Tabel-Normal"/>
    <w:rsid w:val="00B415A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B415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2949</Words>
  <Characters>20228</Characters>
  <Application>Microsoft Office Word</Application>
  <DocSecurity>0</DocSecurity>
  <Lines>168</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2023071497, var. 6, opdatering iht reference produkt</dc:description>
  <cp:lastModifiedBy>Gitte Jørgensen</cp:lastModifiedBy>
  <cp:revision>8</cp:revision>
  <cp:lastPrinted>2012-08-22T08:53:00Z</cp:lastPrinted>
  <dcterms:created xsi:type="dcterms:W3CDTF">2024-03-12T11:32:00Z</dcterms:created>
  <dcterms:modified xsi:type="dcterms:W3CDTF">2024-03-12T11:43:00Z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