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0DE" w:rsidRPr="008F49E1" w:rsidRDefault="0021526C" w:rsidP="009260D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5B87791" wp14:editId="24D10A07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3E564B">
        <w:rPr>
          <w:szCs w:val="24"/>
        </w:rPr>
        <w:t>23</w:t>
      </w:r>
      <w:r w:rsidR="00CD4406">
        <w:rPr>
          <w:szCs w:val="24"/>
        </w:rPr>
        <w:t xml:space="preserve">. </w:t>
      </w:r>
      <w:r w:rsidR="003E564B">
        <w:rPr>
          <w:szCs w:val="24"/>
        </w:rPr>
        <w:t>marts</w:t>
      </w:r>
      <w:r w:rsidR="00CD4406">
        <w:rPr>
          <w:szCs w:val="24"/>
        </w:rPr>
        <w:t xml:space="preserve"> 2023</w:t>
      </w:r>
    </w:p>
    <w:p w:rsidR="009260DE" w:rsidRPr="00C8448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9260DE" w:rsidRDefault="009260DE" w:rsidP="009260DE">
      <w:pPr>
        <w:pStyle w:val="Titel"/>
        <w:jc w:val="left"/>
        <w:rPr>
          <w:b w:val="0"/>
          <w:szCs w:val="24"/>
        </w:rPr>
      </w:pPr>
    </w:p>
    <w:p w:rsidR="00FB43F2" w:rsidRPr="00C84483" w:rsidRDefault="00FB43F2" w:rsidP="009260DE">
      <w:pPr>
        <w:pStyle w:val="Titel"/>
        <w:jc w:val="left"/>
        <w:rPr>
          <w:b w:val="0"/>
          <w:szCs w:val="24"/>
        </w:rPr>
      </w:pPr>
    </w:p>
    <w:p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9260DE" w:rsidRPr="00C84483" w:rsidRDefault="009260DE" w:rsidP="009260DE">
      <w:pPr>
        <w:jc w:val="center"/>
        <w:rPr>
          <w:b/>
          <w:sz w:val="24"/>
          <w:szCs w:val="24"/>
        </w:rPr>
      </w:pPr>
    </w:p>
    <w:p w:rsidR="009260DE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0B058C" w:rsidRPr="00C84483" w:rsidRDefault="000B058C" w:rsidP="009260DE">
      <w:pPr>
        <w:jc w:val="center"/>
        <w:rPr>
          <w:b/>
          <w:sz w:val="24"/>
          <w:szCs w:val="24"/>
        </w:rPr>
      </w:pPr>
    </w:p>
    <w:p w:rsidR="009260DE" w:rsidRPr="00C84483" w:rsidRDefault="00FF5AB2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Orilaxal</w:t>
      </w:r>
      <w:proofErr w:type="spellEnd"/>
      <w:r>
        <w:rPr>
          <w:b/>
          <w:sz w:val="24"/>
          <w:szCs w:val="24"/>
        </w:rPr>
        <w:t>, orale dråber, opløsning</w:t>
      </w:r>
    </w:p>
    <w:p w:rsidR="009260DE" w:rsidRPr="00C84483" w:rsidRDefault="009260DE" w:rsidP="009260DE">
      <w:pPr>
        <w:jc w:val="both"/>
        <w:rPr>
          <w:sz w:val="24"/>
          <w:szCs w:val="24"/>
        </w:rPr>
      </w:pPr>
    </w:p>
    <w:p w:rsidR="009260DE" w:rsidRPr="00C84483" w:rsidRDefault="009260DE" w:rsidP="009260DE">
      <w:pPr>
        <w:jc w:val="both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9260DE" w:rsidRPr="00C84483" w:rsidRDefault="00FF5AB2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31246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9260DE" w:rsidRPr="00C84483" w:rsidRDefault="00FF5AB2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Orilaxal</w:t>
      </w:r>
      <w:proofErr w:type="spellEnd"/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5C3240" w:rsidRPr="005C3240" w:rsidRDefault="005C3240" w:rsidP="005C324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C3240">
        <w:rPr>
          <w:sz w:val="24"/>
          <w:szCs w:val="24"/>
        </w:rPr>
        <w:t>Natriumpicosulfat</w:t>
      </w:r>
      <w:proofErr w:type="spellEnd"/>
      <w:r w:rsidRPr="005C3240">
        <w:rPr>
          <w:sz w:val="24"/>
          <w:szCs w:val="24"/>
        </w:rPr>
        <w:t xml:space="preserve"> 7,5 mg/ml</w:t>
      </w:r>
      <w:r>
        <w:rPr>
          <w:sz w:val="24"/>
          <w:szCs w:val="24"/>
        </w:rPr>
        <w:t>.</w:t>
      </w:r>
    </w:p>
    <w:p w:rsidR="005C3240" w:rsidRPr="005C3240" w:rsidRDefault="005C3240" w:rsidP="005C3240">
      <w:pPr>
        <w:tabs>
          <w:tab w:val="left" w:pos="851"/>
        </w:tabs>
        <w:ind w:left="851"/>
        <w:rPr>
          <w:sz w:val="24"/>
          <w:szCs w:val="24"/>
        </w:rPr>
      </w:pPr>
    </w:p>
    <w:p w:rsidR="005C3240" w:rsidRDefault="005C3240" w:rsidP="005C3240">
      <w:pPr>
        <w:tabs>
          <w:tab w:val="left" w:pos="851"/>
        </w:tabs>
        <w:ind w:left="851"/>
        <w:rPr>
          <w:sz w:val="24"/>
          <w:szCs w:val="24"/>
        </w:rPr>
      </w:pPr>
      <w:r w:rsidRPr="005C3240">
        <w:rPr>
          <w:sz w:val="24"/>
          <w:szCs w:val="24"/>
          <w:u w:val="single"/>
        </w:rPr>
        <w:t>Hjælpestoffer, som behandleren skal være opmærksom på</w:t>
      </w:r>
    </w:p>
    <w:p w:rsidR="005C3240" w:rsidRDefault="005C3240" w:rsidP="005C3240">
      <w:pPr>
        <w:tabs>
          <w:tab w:val="left" w:pos="851"/>
        </w:tabs>
        <w:ind w:left="851"/>
        <w:rPr>
          <w:sz w:val="24"/>
          <w:szCs w:val="24"/>
        </w:rPr>
      </w:pPr>
      <w:r w:rsidRPr="005C3240">
        <w:rPr>
          <w:sz w:val="24"/>
          <w:szCs w:val="24"/>
        </w:rPr>
        <w:t>Sorbitol 450 mg/ml (20 dråber indeholder 600 mg) og natriumbenzoat 2 mg/ml (20 dråber indeholder 2,7 mg)</w:t>
      </w:r>
      <w:r w:rsidR="000E76B4">
        <w:rPr>
          <w:sz w:val="24"/>
          <w:szCs w:val="24"/>
        </w:rPr>
        <w:t>.</w:t>
      </w:r>
    </w:p>
    <w:p w:rsidR="000E76B4" w:rsidRPr="005C3240" w:rsidRDefault="000E76B4" w:rsidP="005C3240">
      <w:pPr>
        <w:tabs>
          <w:tab w:val="left" w:pos="851"/>
        </w:tabs>
        <w:ind w:left="851"/>
        <w:rPr>
          <w:sz w:val="24"/>
          <w:szCs w:val="24"/>
        </w:rPr>
      </w:pPr>
    </w:p>
    <w:p w:rsidR="005C3240" w:rsidRPr="005C3240" w:rsidRDefault="005C3240" w:rsidP="005C3240">
      <w:pPr>
        <w:tabs>
          <w:tab w:val="left" w:pos="851"/>
        </w:tabs>
        <w:ind w:left="851"/>
        <w:rPr>
          <w:sz w:val="24"/>
          <w:szCs w:val="24"/>
        </w:rPr>
      </w:pPr>
      <w:r w:rsidRPr="005C3240">
        <w:rPr>
          <w:sz w:val="24"/>
          <w:szCs w:val="24"/>
        </w:rPr>
        <w:t>Alle hjælpestoffer er anført under pkt. 6.1.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0E76B4" w:rsidRPr="000E76B4" w:rsidRDefault="000E76B4" w:rsidP="000E76B4">
      <w:pPr>
        <w:tabs>
          <w:tab w:val="left" w:pos="851"/>
        </w:tabs>
        <w:ind w:left="851"/>
        <w:rPr>
          <w:sz w:val="24"/>
          <w:szCs w:val="24"/>
        </w:rPr>
      </w:pPr>
      <w:r w:rsidRPr="000E76B4">
        <w:rPr>
          <w:sz w:val="24"/>
          <w:szCs w:val="24"/>
        </w:rPr>
        <w:t>Orale dråber, opløsning</w:t>
      </w:r>
    </w:p>
    <w:p w:rsidR="000E76B4" w:rsidRPr="000E76B4" w:rsidRDefault="000E76B4" w:rsidP="000E76B4">
      <w:pPr>
        <w:tabs>
          <w:tab w:val="left" w:pos="851"/>
        </w:tabs>
        <w:ind w:left="851"/>
        <w:rPr>
          <w:sz w:val="24"/>
          <w:szCs w:val="24"/>
        </w:rPr>
      </w:pPr>
    </w:p>
    <w:p w:rsidR="000E76B4" w:rsidRPr="000E76B4" w:rsidRDefault="000E76B4" w:rsidP="000E76B4">
      <w:pPr>
        <w:tabs>
          <w:tab w:val="left" w:pos="851"/>
        </w:tabs>
        <w:ind w:left="851"/>
        <w:rPr>
          <w:sz w:val="24"/>
          <w:szCs w:val="24"/>
        </w:rPr>
      </w:pPr>
      <w:r w:rsidRPr="000E76B4">
        <w:rPr>
          <w:sz w:val="24"/>
          <w:szCs w:val="24"/>
        </w:rPr>
        <w:t>Klar, farveløs eller svag gul væske.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9260DE" w:rsidRPr="00C84483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0E76B4" w:rsidRPr="000E76B4" w:rsidRDefault="000E76B4" w:rsidP="000E76B4">
      <w:pPr>
        <w:tabs>
          <w:tab w:val="left" w:pos="851"/>
        </w:tabs>
        <w:ind w:left="851"/>
        <w:rPr>
          <w:sz w:val="24"/>
          <w:szCs w:val="24"/>
        </w:rPr>
      </w:pPr>
      <w:r w:rsidRPr="000E76B4">
        <w:rPr>
          <w:sz w:val="24"/>
          <w:szCs w:val="24"/>
        </w:rPr>
        <w:t>Obstipation.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 w:rsidR="00CD4406">
        <w:rPr>
          <w:b/>
          <w:sz w:val="24"/>
          <w:szCs w:val="24"/>
        </w:rPr>
        <w:t>administration</w:t>
      </w:r>
    </w:p>
    <w:p w:rsidR="00A51226" w:rsidRDefault="00A51226" w:rsidP="000E76B4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0E76B4" w:rsidRPr="000E76B4" w:rsidRDefault="000E76B4" w:rsidP="000E76B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E76B4">
        <w:rPr>
          <w:sz w:val="24"/>
          <w:szCs w:val="24"/>
          <w:u w:val="single"/>
        </w:rPr>
        <w:t>Dosering</w:t>
      </w:r>
    </w:p>
    <w:p w:rsidR="000E76B4" w:rsidRPr="000E76B4" w:rsidRDefault="000E76B4" w:rsidP="000E76B4">
      <w:pPr>
        <w:tabs>
          <w:tab w:val="left" w:pos="851"/>
        </w:tabs>
        <w:ind w:left="851"/>
        <w:rPr>
          <w:sz w:val="24"/>
          <w:szCs w:val="24"/>
        </w:rPr>
      </w:pPr>
      <w:r w:rsidRPr="000E76B4">
        <w:rPr>
          <w:sz w:val="24"/>
          <w:szCs w:val="24"/>
        </w:rPr>
        <w:t>Dråberne bør tages om aftenen, hvis virkning ønskes den følgende morgen.</w:t>
      </w:r>
    </w:p>
    <w:p w:rsidR="000E76B4" w:rsidRPr="000E76B4" w:rsidRDefault="000E76B4" w:rsidP="000E76B4">
      <w:pPr>
        <w:tabs>
          <w:tab w:val="left" w:pos="851"/>
        </w:tabs>
        <w:ind w:left="851"/>
        <w:rPr>
          <w:sz w:val="24"/>
          <w:szCs w:val="24"/>
        </w:rPr>
      </w:pPr>
    </w:p>
    <w:p w:rsidR="000E76B4" w:rsidRPr="000E76B4" w:rsidRDefault="000E76B4" w:rsidP="000E76B4">
      <w:pPr>
        <w:tabs>
          <w:tab w:val="left" w:pos="851"/>
        </w:tabs>
        <w:ind w:left="851"/>
        <w:rPr>
          <w:sz w:val="24"/>
          <w:szCs w:val="24"/>
        </w:rPr>
      </w:pPr>
      <w:r w:rsidRPr="000E76B4">
        <w:rPr>
          <w:sz w:val="24"/>
          <w:szCs w:val="24"/>
        </w:rPr>
        <w:t>Det anbefales at begynde med den laveste dosis. Dosis kan øges til den højeste anbefalede dosis, som giver regelmæssig afføring.</w:t>
      </w:r>
    </w:p>
    <w:p w:rsidR="000E76B4" w:rsidRPr="000E76B4" w:rsidRDefault="000E76B4" w:rsidP="000E76B4">
      <w:pPr>
        <w:tabs>
          <w:tab w:val="left" w:pos="851"/>
        </w:tabs>
        <w:ind w:left="851"/>
        <w:rPr>
          <w:sz w:val="24"/>
          <w:szCs w:val="24"/>
        </w:rPr>
      </w:pPr>
    </w:p>
    <w:p w:rsidR="000E76B4" w:rsidRPr="000E76B4" w:rsidRDefault="000E76B4" w:rsidP="000E76B4">
      <w:pPr>
        <w:tabs>
          <w:tab w:val="left" w:pos="851"/>
        </w:tabs>
        <w:ind w:left="851"/>
        <w:rPr>
          <w:sz w:val="24"/>
          <w:szCs w:val="24"/>
        </w:rPr>
      </w:pPr>
      <w:r w:rsidRPr="000E76B4">
        <w:rPr>
          <w:sz w:val="24"/>
          <w:szCs w:val="24"/>
        </w:rPr>
        <w:lastRenderedPageBreak/>
        <w:t>Den maksimalt anbefalede daglige dosis bør ikke overskrides.</w:t>
      </w:r>
    </w:p>
    <w:p w:rsidR="000E76B4" w:rsidRDefault="000E76B4" w:rsidP="000E76B4">
      <w:pPr>
        <w:tabs>
          <w:tab w:val="left" w:pos="851"/>
        </w:tabs>
        <w:ind w:left="851"/>
        <w:rPr>
          <w:sz w:val="24"/>
          <w:szCs w:val="24"/>
        </w:rPr>
      </w:pPr>
    </w:p>
    <w:p w:rsidR="00CD4406" w:rsidRDefault="00CD4406" w:rsidP="00CD4406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Flasken må ikke rystes.</w:t>
      </w:r>
    </w:p>
    <w:p w:rsidR="00CD4406" w:rsidRPr="000E76B4" w:rsidRDefault="00CD4406" w:rsidP="000E76B4">
      <w:pPr>
        <w:tabs>
          <w:tab w:val="left" w:pos="851"/>
        </w:tabs>
        <w:ind w:left="851"/>
        <w:rPr>
          <w:sz w:val="24"/>
          <w:szCs w:val="24"/>
        </w:rPr>
      </w:pPr>
    </w:p>
    <w:p w:rsidR="00A51226" w:rsidRPr="00A51226" w:rsidRDefault="000E76B4" w:rsidP="000E76B4">
      <w:pPr>
        <w:tabs>
          <w:tab w:val="left" w:pos="851"/>
        </w:tabs>
        <w:ind w:left="851"/>
        <w:rPr>
          <w:i/>
          <w:sz w:val="24"/>
          <w:szCs w:val="24"/>
        </w:rPr>
      </w:pPr>
      <w:r w:rsidRPr="00A51226">
        <w:rPr>
          <w:i/>
          <w:sz w:val="24"/>
          <w:szCs w:val="24"/>
        </w:rPr>
        <w:t>Voksne</w:t>
      </w:r>
    </w:p>
    <w:p w:rsidR="000E76B4" w:rsidRPr="000E76B4" w:rsidRDefault="000E76B4" w:rsidP="000E76B4">
      <w:pPr>
        <w:tabs>
          <w:tab w:val="left" w:pos="851"/>
        </w:tabs>
        <w:ind w:left="851"/>
        <w:rPr>
          <w:sz w:val="24"/>
          <w:szCs w:val="24"/>
        </w:rPr>
      </w:pPr>
      <w:r w:rsidRPr="000E76B4">
        <w:rPr>
          <w:sz w:val="24"/>
          <w:szCs w:val="24"/>
        </w:rPr>
        <w:t>5-10 mg (10-20 dråber) daglig.</w:t>
      </w:r>
    </w:p>
    <w:p w:rsidR="000E76B4" w:rsidRPr="000E76B4" w:rsidRDefault="000E76B4" w:rsidP="000E76B4">
      <w:pPr>
        <w:tabs>
          <w:tab w:val="left" w:pos="851"/>
        </w:tabs>
        <w:ind w:left="851"/>
        <w:rPr>
          <w:sz w:val="24"/>
          <w:szCs w:val="24"/>
        </w:rPr>
      </w:pPr>
    </w:p>
    <w:p w:rsidR="000E76B4" w:rsidRPr="000E76B4" w:rsidRDefault="000E76B4" w:rsidP="000E76B4">
      <w:pPr>
        <w:tabs>
          <w:tab w:val="left" w:pos="851"/>
        </w:tabs>
        <w:ind w:left="851"/>
        <w:rPr>
          <w:sz w:val="24"/>
          <w:szCs w:val="24"/>
        </w:rPr>
      </w:pPr>
      <w:r w:rsidRPr="000E76B4">
        <w:rPr>
          <w:i/>
          <w:sz w:val="24"/>
          <w:szCs w:val="24"/>
        </w:rPr>
        <w:t>Pædiatrisk population</w:t>
      </w:r>
    </w:p>
    <w:p w:rsidR="000E76B4" w:rsidRPr="000E76B4" w:rsidRDefault="000E76B4" w:rsidP="000E76B4">
      <w:pPr>
        <w:tabs>
          <w:tab w:val="left" w:pos="851"/>
        </w:tabs>
        <w:ind w:left="851"/>
        <w:rPr>
          <w:sz w:val="24"/>
          <w:szCs w:val="24"/>
        </w:rPr>
      </w:pPr>
      <w:r w:rsidRPr="000E76B4">
        <w:rPr>
          <w:sz w:val="24"/>
          <w:szCs w:val="24"/>
        </w:rPr>
        <w:t>Børn over 10 år: 5-10 mg (10-20 dråber) daglig.</w:t>
      </w:r>
    </w:p>
    <w:p w:rsidR="000E76B4" w:rsidRPr="000E76B4" w:rsidRDefault="000E76B4" w:rsidP="000E76B4">
      <w:pPr>
        <w:tabs>
          <w:tab w:val="left" w:pos="851"/>
        </w:tabs>
        <w:ind w:left="851"/>
        <w:rPr>
          <w:sz w:val="24"/>
          <w:szCs w:val="24"/>
        </w:rPr>
      </w:pPr>
      <w:r w:rsidRPr="000E76B4">
        <w:rPr>
          <w:sz w:val="24"/>
          <w:szCs w:val="24"/>
        </w:rPr>
        <w:t>Børn 4-10 år: 2,5-5 mg (5-10 dråber) daglig.</w:t>
      </w:r>
    </w:p>
    <w:p w:rsidR="000E76B4" w:rsidRPr="000E76B4" w:rsidRDefault="000E76B4" w:rsidP="000E76B4">
      <w:pPr>
        <w:tabs>
          <w:tab w:val="left" w:pos="851"/>
        </w:tabs>
        <w:ind w:left="851"/>
        <w:rPr>
          <w:sz w:val="24"/>
          <w:szCs w:val="24"/>
        </w:rPr>
      </w:pPr>
    </w:p>
    <w:p w:rsidR="000E76B4" w:rsidRPr="000E76B4" w:rsidRDefault="000E76B4" w:rsidP="000E76B4">
      <w:pPr>
        <w:tabs>
          <w:tab w:val="left" w:pos="851"/>
        </w:tabs>
        <w:ind w:left="851"/>
        <w:rPr>
          <w:sz w:val="24"/>
          <w:szCs w:val="24"/>
        </w:rPr>
      </w:pPr>
      <w:r w:rsidRPr="000E76B4">
        <w:rPr>
          <w:sz w:val="24"/>
          <w:szCs w:val="24"/>
        </w:rPr>
        <w:t xml:space="preserve">For børn under 4 år er den anbefalede dosis 0,25 mg pr. kg legemsvægt daglig (1 dråbe indeholder 0,5 mg </w:t>
      </w:r>
      <w:proofErr w:type="spellStart"/>
      <w:r w:rsidRPr="000E76B4">
        <w:rPr>
          <w:sz w:val="24"/>
          <w:szCs w:val="24"/>
        </w:rPr>
        <w:t>natriumpicosulfat</w:t>
      </w:r>
      <w:proofErr w:type="spellEnd"/>
      <w:r w:rsidRPr="000E76B4">
        <w:rPr>
          <w:sz w:val="24"/>
          <w:szCs w:val="24"/>
        </w:rPr>
        <w:t>).</w:t>
      </w:r>
    </w:p>
    <w:p w:rsidR="000E76B4" w:rsidRPr="000E76B4" w:rsidRDefault="000E76B4" w:rsidP="000E76B4">
      <w:pPr>
        <w:tabs>
          <w:tab w:val="left" w:pos="851"/>
        </w:tabs>
        <w:ind w:left="851"/>
        <w:rPr>
          <w:sz w:val="24"/>
          <w:szCs w:val="24"/>
        </w:rPr>
      </w:pPr>
    </w:p>
    <w:p w:rsidR="000E76B4" w:rsidRPr="000E76B4" w:rsidRDefault="000E76B4" w:rsidP="000E76B4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0E76B4">
        <w:rPr>
          <w:sz w:val="24"/>
          <w:szCs w:val="24"/>
          <w:u w:val="single"/>
        </w:rPr>
        <w:t>Administration</w:t>
      </w:r>
    </w:p>
    <w:p w:rsidR="000E76B4" w:rsidRPr="000E76B4" w:rsidRDefault="000E76B4" w:rsidP="000E76B4">
      <w:pPr>
        <w:tabs>
          <w:tab w:val="left" w:pos="851"/>
        </w:tabs>
        <w:ind w:left="851"/>
        <w:rPr>
          <w:sz w:val="24"/>
          <w:szCs w:val="24"/>
        </w:rPr>
      </w:pPr>
      <w:r w:rsidRPr="000E76B4">
        <w:rPr>
          <w:sz w:val="24"/>
          <w:szCs w:val="24"/>
        </w:rPr>
        <w:t>Dråberne kan tages med mad eller drikke.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A51226" w:rsidRPr="00A51226" w:rsidRDefault="00A51226" w:rsidP="00A51226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A51226">
        <w:rPr>
          <w:sz w:val="24"/>
          <w:szCs w:val="24"/>
        </w:rPr>
        <w:t>Overfølsomhed over for det aktive stof eller over for et eller flere af hjælpestofferne anført i pkt. 6.1</w:t>
      </w:r>
    </w:p>
    <w:p w:rsidR="00A51226" w:rsidRPr="00A51226" w:rsidRDefault="00A51226" w:rsidP="00A51226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proofErr w:type="spellStart"/>
      <w:r w:rsidRPr="00A51226">
        <w:rPr>
          <w:sz w:val="24"/>
          <w:szCs w:val="24"/>
        </w:rPr>
        <w:t>Ileus</w:t>
      </w:r>
      <w:proofErr w:type="spellEnd"/>
      <w:r w:rsidRPr="00A51226">
        <w:rPr>
          <w:sz w:val="24"/>
          <w:szCs w:val="24"/>
        </w:rPr>
        <w:t xml:space="preserve"> eller </w:t>
      </w:r>
      <w:proofErr w:type="spellStart"/>
      <w:r w:rsidRPr="00A51226">
        <w:rPr>
          <w:sz w:val="24"/>
          <w:szCs w:val="24"/>
        </w:rPr>
        <w:t>gastrointestinal</w:t>
      </w:r>
      <w:proofErr w:type="spellEnd"/>
      <w:r w:rsidRPr="00A51226">
        <w:rPr>
          <w:sz w:val="24"/>
          <w:szCs w:val="24"/>
        </w:rPr>
        <w:t xml:space="preserve"> obstruktion</w:t>
      </w:r>
    </w:p>
    <w:p w:rsidR="00A51226" w:rsidRPr="00A51226" w:rsidRDefault="00A51226" w:rsidP="00A51226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A51226">
        <w:rPr>
          <w:sz w:val="24"/>
          <w:szCs w:val="24"/>
        </w:rPr>
        <w:t xml:space="preserve">Alvorlig </w:t>
      </w:r>
      <w:proofErr w:type="spellStart"/>
      <w:r w:rsidRPr="00A51226">
        <w:rPr>
          <w:sz w:val="24"/>
          <w:szCs w:val="24"/>
        </w:rPr>
        <w:t>abdominal</w:t>
      </w:r>
      <w:proofErr w:type="spellEnd"/>
      <w:r w:rsidRPr="00A51226">
        <w:rPr>
          <w:sz w:val="24"/>
          <w:szCs w:val="24"/>
        </w:rPr>
        <w:t xml:space="preserve"> smerte og/eller akutte </w:t>
      </w:r>
      <w:proofErr w:type="spellStart"/>
      <w:r w:rsidRPr="00A51226">
        <w:rPr>
          <w:sz w:val="24"/>
          <w:szCs w:val="24"/>
        </w:rPr>
        <w:t>abdominale</w:t>
      </w:r>
      <w:proofErr w:type="spellEnd"/>
      <w:r w:rsidRPr="00A51226">
        <w:rPr>
          <w:sz w:val="24"/>
          <w:szCs w:val="24"/>
        </w:rPr>
        <w:t xml:space="preserve"> tilstande med feber såsom appendicitis </w:t>
      </w:r>
      <w:r w:rsidRPr="00A51226">
        <w:rPr>
          <w:bCs/>
          <w:sz w:val="24"/>
          <w:szCs w:val="24"/>
        </w:rPr>
        <w:t>potentielt forbundet</w:t>
      </w:r>
      <w:r w:rsidRPr="00A51226">
        <w:rPr>
          <w:sz w:val="24"/>
          <w:szCs w:val="24"/>
        </w:rPr>
        <w:t xml:space="preserve"> med kvalme og opkastning</w:t>
      </w:r>
    </w:p>
    <w:p w:rsidR="00A51226" w:rsidRPr="00A51226" w:rsidRDefault="00A51226" w:rsidP="00A51226">
      <w:pPr>
        <w:numPr>
          <w:ilvl w:val="0"/>
          <w:numId w:val="6"/>
        </w:numPr>
        <w:tabs>
          <w:tab w:val="left" w:pos="851"/>
        </w:tabs>
        <w:ind w:left="1134" w:hanging="283"/>
        <w:rPr>
          <w:sz w:val="24"/>
          <w:szCs w:val="24"/>
        </w:rPr>
      </w:pPr>
      <w:r w:rsidRPr="00A51226">
        <w:rPr>
          <w:sz w:val="24"/>
          <w:szCs w:val="24"/>
        </w:rPr>
        <w:t>Svær dehydrering.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9818FE" w:rsidRPr="009818FE" w:rsidRDefault="009818FE" w:rsidP="009818FE">
      <w:pPr>
        <w:tabs>
          <w:tab w:val="left" w:pos="851"/>
        </w:tabs>
        <w:ind w:left="851"/>
        <w:rPr>
          <w:sz w:val="24"/>
          <w:szCs w:val="24"/>
        </w:rPr>
      </w:pPr>
      <w:r w:rsidRPr="009818FE">
        <w:rPr>
          <w:sz w:val="24"/>
          <w:szCs w:val="24"/>
        </w:rPr>
        <w:t>Bør ikke anvendes ved akutte inflammatoriske mave-tarm</w:t>
      </w:r>
      <w:r>
        <w:rPr>
          <w:sz w:val="24"/>
          <w:szCs w:val="24"/>
        </w:rPr>
        <w:t>-</w:t>
      </w:r>
      <w:r w:rsidRPr="009818FE">
        <w:rPr>
          <w:sz w:val="24"/>
          <w:szCs w:val="24"/>
        </w:rPr>
        <w:t xml:space="preserve">sygdomme eller ved forstyrrelser i væske/elektrolytbalancen. </w:t>
      </w:r>
    </w:p>
    <w:p w:rsidR="009818FE" w:rsidRPr="009818FE" w:rsidRDefault="009818FE" w:rsidP="009818FE">
      <w:pPr>
        <w:tabs>
          <w:tab w:val="left" w:pos="851"/>
        </w:tabs>
        <w:ind w:left="851"/>
        <w:rPr>
          <w:sz w:val="24"/>
          <w:szCs w:val="24"/>
        </w:rPr>
      </w:pPr>
    </w:p>
    <w:p w:rsidR="009818FE" w:rsidRPr="009818FE" w:rsidRDefault="009818FE" w:rsidP="009818FE">
      <w:pPr>
        <w:tabs>
          <w:tab w:val="left" w:pos="851"/>
        </w:tabs>
        <w:ind w:left="851"/>
        <w:rPr>
          <w:sz w:val="24"/>
          <w:szCs w:val="24"/>
        </w:rPr>
      </w:pPr>
      <w:r w:rsidRPr="009818FE">
        <w:rPr>
          <w:sz w:val="24"/>
          <w:szCs w:val="24"/>
        </w:rPr>
        <w:t xml:space="preserve">Overdreven langvarig brug kan medføre forstyrrelser i væske- og elektrolytbalancen herunder </w:t>
      </w:r>
      <w:proofErr w:type="spellStart"/>
      <w:r w:rsidRPr="009818FE">
        <w:rPr>
          <w:sz w:val="24"/>
          <w:szCs w:val="24"/>
        </w:rPr>
        <w:t>hypokaliæmi</w:t>
      </w:r>
      <w:proofErr w:type="spellEnd"/>
      <w:r w:rsidRPr="009818FE">
        <w:rPr>
          <w:sz w:val="24"/>
          <w:szCs w:val="24"/>
        </w:rPr>
        <w:t xml:space="preserve">. Årsagen til obstipationen bør undersøges, hvis der dagligt er behov for </w:t>
      </w:r>
      <w:proofErr w:type="spellStart"/>
      <w:r w:rsidRPr="009818FE">
        <w:rPr>
          <w:sz w:val="24"/>
          <w:szCs w:val="24"/>
        </w:rPr>
        <w:t>laksantia</w:t>
      </w:r>
      <w:proofErr w:type="spellEnd"/>
      <w:r w:rsidRPr="009818FE">
        <w:rPr>
          <w:sz w:val="24"/>
          <w:szCs w:val="24"/>
        </w:rPr>
        <w:t xml:space="preserve">. Patienten bør informeres om, at </w:t>
      </w:r>
      <w:proofErr w:type="spellStart"/>
      <w:r w:rsidRPr="009818FE">
        <w:rPr>
          <w:sz w:val="24"/>
          <w:szCs w:val="24"/>
        </w:rPr>
        <w:t>Orilaxal</w:t>
      </w:r>
      <w:proofErr w:type="spellEnd"/>
      <w:r w:rsidRPr="009818FE">
        <w:rPr>
          <w:sz w:val="24"/>
          <w:szCs w:val="24"/>
        </w:rPr>
        <w:t xml:space="preserve"> kun bør indtages dagligt over længere perioder efter aftale med læge.</w:t>
      </w:r>
    </w:p>
    <w:p w:rsidR="009818FE" w:rsidRPr="009818FE" w:rsidRDefault="009818FE" w:rsidP="009818FE">
      <w:pPr>
        <w:tabs>
          <w:tab w:val="left" w:pos="851"/>
        </w:tabs>
        <w:ind w:left="851"/>
        <w:rPr>
          <w:sz w:val="24"/>
          <w:szCs w:val="24"/>
        </w:rPr>
      </w:pPr>
    </w:p>
    <w:p w:rsidR="009818FE" w:rsidRPr="009818FE" w:rsidRDefault="009818FE" w:rsidP="009818FE">
      <w:pPr>
        <w:tabs>
          <w:tab w:val="left" w:pos="851"/>
        </w:tabs>
        <w:ind w:left="851"/>
        <w:rPr>
          <w:sz w:val="24"/>
          <w:szCs w:val="24"/>
        </w:rPr>
      </w:pPr>
      <w:r w:rsidRPr="009818FE">
        <w:rPr>
          <w:sz w:val="24"/>
          <w:szCs w:val="24"/>
        </w:rPr>
        <w:t xml:space="preserve">Svimmelhed og/eller besvimelse har været rapporteret hos patienter, som har anvendt </w:t>
      </w:r>
      <w:proofErr w:type="spellStart"/>
      <w:r w:rsidRPr="009818FE">
        <w:rPr>
          <w:sz w:val="24"/>
          <w:szCs w:val="24"/>
        </w:rPr>
        <w:t>natriumpicosulfat</w:t>
      </w:r>
      <w:proofErr w:type="spellEnd"/>
      <w:r w:rsidRPr="009818FE">
        <w:rPr>
          <w:sz w:val="24"/>
          <w:szCs w:val="24"/>
        </w:rPr>
        <w:t xml:space="preserve">. Den tilgrundliggende årsag til disse tilfælde kan være defækationssynkope eller en </w:t>
      </w:r>
      <w:proofErr w:type="spellStart"/>
      <w:r w:rsidRPr="009818FE">
        <w:rPr>
          <w:sz w:val="24"/>
          <w:szCs w:val="24"/>
        </w:rPr>
        <w:t>vasovagal</w:t>
      </w:r>
      <w:proofErr w:type="spellEnd"/>
      <w:r w:rsidRPr="009818FE">
        <w:rPr>
          <w:sz w:val="24"/>
          <w:szCs w:val="24"/>
        </w:rPr>
        <w:t xml:space="preserve"> reaktion på </w:t>
      </w:r>
      <w:proofErr w:type="spellStart"/>
      <w:r w:rsidRPr="009818FE">
        <w:rPr>
          <w:sz w:val="24"/>
          <w:szCs w:val="24"/>
        </w:rPr>
        <w:t>abdominal</w:t>
      </w:r>
      <w:proofErr w:type="spellEnd"/>
      <w:r w:rsidRPr="009818FE">
        <w:rPr>
          <w:sz w:val="24"/>
          <w:szCs w:val="24"/>
        </w:rPr>
        <w:t xml:space="preserve"> smerte.</w:t>
      </w:r>
    </w:p>
    <w:p w:rsidR="009818FE" w:rsidRPr="009818FE" w:rsidRDefault="009818FE" w:rsidP="009818FE">
      <w:pPr>
        <w:tabs>
          <w:tab w:val="left" w:pos="851"/>
        </w:tabs>
        <w:ind w:left="851"/>
        <w:rPr>
          <w:sz w:val="24"/>
          <w:szCs w:val="24"/>
        </w:rPr>
      </w:pPr>
    </w:p>
    <w:p w:rsidR="009818FE" w:rsidRPr="009818FE" w:rsidRDefault="009818FE" w:rsidP="009818FE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9818FE">
        <w:rPr>
          <w:sz w:val="24"/>
          <w:szCs w:val="24"/>
          <w:u w:val="single"/>
        </w:rPr>
        <w:t>Pædiatrisk population</w:t>
      </w:r>
    </w:p>
    <w:p w:rsidR="009818FE" w:rsidRPr="009818FE" w:rsidRDefault="009818FE" w:rsidP="009818F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818FE">
        <w:rPr>
          <w:sz w:val="24"/>
          <w:szCs w:val="24"/>
        </w:rPr>
        <w:t>Orilaxal</w:t>
      </w:r>
      <w:proofErr w:type="spellEnd"/>
      <w:r w:rsidRPr="009818FE">
        <w:rPr>
          <w:sz w:val="24"/>
          <w:szCs w:val="24"/>
        </w:rPr>
        <w:t xml:space="preserve"> bør </w:t>
      </w:r>
      <w:r w:rsidR="00CE69AB">
        <w:rPr>
          <w:sz w:val="24"/>
          <w:szCs w:val="24"/>
        </w:rPr>
        <w:t xml:space="preserve">kun </w:t>
      </w:r>
      <w:r w:rsidRPr="009818FE">
        <w:rPr>
          <w:sz w:val="24"/>
          <w:szCs w:val="24"/>
        </w:rPr>
        <w:t>anvendes til børn efter aftale med læge</w:t>
      </w:r>
      <w:r w:rsidR="00CE69AB">
        <w:rPr>
          <w:sz w:val="24"/>
          <w:szCs w:val="24"/>
        </w:rPr>
        <w:t>n</w:t>
      </w:r>
      <w:r w:rsidRPr="009818FE">
        <w:rPr>
          <w:sz w:val="24"/>
          <w:szCs w:val="24"/>
        </w:rPr>
        <w:t>.</w:t>
      </w:r>
    </w:p>
    <w:p w:rsidR="009818FE" w:rsidRPr="009818FE" w:rsidRDefault="009818FE" w:rsidP="009818FE">
      <w:pPr>
        <w:tabs>
          <w:tab w:val="left" w:pos="851"/>
        </w:tabs>
        <w:ind w:left="851"/>
        <w:rPr>
          <w:sz w:val="24"/>
          <w:szCs w:val="24"/>
        </w:rPr>
      </w:pPr>
    </w:p>
    <w:p w:rsidR="009818FE" w:rsidRPr="009818FE" w:rsidRDefault="009818FE" w:rsidP="009818F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305DA">
        <w:rPr>
          <w:sz w:val="24"/>
          <w:szCs w:val="24"/>
          <w:u w:val="single"/>
        </w:rPr>
        <w:t>Orilaxal</w:t>
      </w:r>
      <w:proofErr w:type="spellEnd"/>
      <w:r w:rsidRPr="001305DA">
        <w:rPr>
          <w:sz w:val="24"/>
          <w:szCs w:val="24"/>
          <w:u w:val="single"/>
        </w:rPr>
        <w:t xml:space="preserve"> indeholder natriumbenzoat</w:t>
      </w:r>
      <w:r w:rsidRPr="009818FE">
        <w:rPr>
          <w:sz w:val="24"/>
          <w:szCs w:val="24"/>
        </w:rPr>
        <w:t>, hvilket kan øge gulsot (</w:t>
      </w:r>
      <w:proofErr w:type="spellStart"/>
      <w:r w:rsidRPr="009818FE">
        <w:rPr>
          <w:sz w:val="24"/>
          <w:szCs w:val="24"/>
        </w:rPr>
        <w:t>gulning</w:t>
      </w:r>
      <w:proofErr w:type="spellEnd"/>
      <w:r w:rsidRPr="009818FE">
        <w:rPr>
          <w:sz w:val="24"/>
          <w:szCs w:val="24"/>
        </w:rPr>
        <w:t xml:space="preserve"> af huden og øjnene) hos nyfødte (op til 4 uger). Forøgelse af </w:t>
      </w:r>
      <w:proofErr w:type="spellStart"/>
      <w:r w:rsidRPr="009818FE">
        <w:rPr>
          <w:sz w:val="24"/>
          <w:szCs w:val="24"/>
        </w:rPr>
        <w:t>bilirubinæmi</w:t>
      </w:r>
      <w:proofErr w:type="spellEnd"/>
      <w:r w:rsidRPr="009818FE">
        <w:rPr>
          <w:sz w:val="24"/>
          <w:szCs w:val="24"/>
        </w:rPr>
        <w:t xml:space="preserve"> efter dets forskydning fra albumin kan øge neonatal gulsot, der kan udvikle sig til </w:t>
      </w:r>
      <w:proofErr w:type="spellStart"/>
      <w:r w:rsidRPr="009818FE">
        <w:rPr>
          <w:sz w:val="24"/>
          <w:szCs w:val="24"/>
        </w:rPr>
        <w:t>kernicterus</w:t>
      </w:r>
      <w:proofErr w:type="spellEnd"/>
      <w:r w:rsidRPr="009818FE">
        <w:rPr>
          <w:sz w:val="24"/>
          <w:szCs w:val="24"/>
        </w:rPr>
        <w:t xml:space="preserve"> (</w:t>
      </w:r>
      <w:proofErr w:type="spellStart"/>
      <w:r w:rsidRPr="009818FE">
        <w:rPr>
          <w:sz w:val="24"/>
          <w:szCs w:val="24"/>
        </w:rPr>
        <w:t>ukonjugerede</w:t>
      </w:r>
      <w:proofErr w:type="spellEnd"/>
      <w:r w:rsidRPr="009818FE">
        <w:rPr>
          <w:sz w:val="24"/>
          <w:szCs w:val="24"/>
        </w:rPr>
        <w:t xml:space="preserve"> bilirubinaflejringer i hjernevæv).</w:t>
      </w:r>
    </w:p>
    <w:p w:rsidR="009818FE" w:rsidRPr="009818FE" w:rsidRDefault="009818FE" w:rsidP="009818FE">
      <w:pPr>
        <w:tabs>
          <w:tab w:val="left" w:pos="851"/>
        </w:tabs>
        <w:ind w:left="851"/>
        <w:rPr>
          <w:sz w:val="24"/>
          <w:szCs w:val="24"/>
        </w:rPr>
      </w:pPr>
    </w:p>
    <w:p w:rsidR="009818FE" w:rsidRPr="009818FE" w:rsidRDefault="009818FE" w:rsidP="009818F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9818FE">
        <w:rPr>
          <w:sz w:val="24"/>
          <w:szCs w:val="24"/>
          <w:u w:val="single"/>
        </w:rPr>
        <w:t>Orilaxal</w:t>
      </w:r>
      <w:proofErr w:type="spellEnd"/>
      <w:r w:rsidRPr="009818FE">
        <w:rPr>
          <w:sz w:val="24"/>
          <w:szCs w:val="24"/>
          <w:u w:val="single"/>
        </w:rPr>
        <w:t xml:space="preserve"> indeholder sorbitol</w:t>
      </w:r>
      <w:r w:rsidR="0088645C">
        <w:rPr>
          <w:sz w:val="24"/>
          <w:szCs w:val="24"/>
          <w:u w:val="single"/>
        </w:rPr>
        <w:t>.</w:t>
      </w:r>
      <w:r w:rsidR="0088645C" w:rsidRPr="00CD2E72">
        <w:rPr>
          <w:sz w:val="24"/>
          <w:szCs w:val="24"/>
        </w:rPr>
        <w:t xml:space="preserve"> </w:t>
      </w:r>
      <w:r w:rsidRPr="009818FE">
        <w:rPr>
          <w:sz w:val="24"/>
          <w:szCs w:val="24"/>
        </w:rPr>
        <w:t xml:space="preserve">Den </w:t>
      </w:r>
      <w:proofErr w:type="spellStart"/>
      <w:r w:rsidRPr="009818FE">
        <w:rPr>
          <w:sz w:val="24"/>
          <w:szCs w:val="24"/>
        </w:rPr>
        <w:t>additive</w:t>
      </w:r>
      <w:proofErr w:type="spellEnd"/>
      <w:r w:rsidRPr="009818FE">
        <w:rPr>
          <w:sz w:val="24"/>
          <w:szCs w:val="24"/>
        </w:rPr>
        <w:t xml:space="preserve"> virkning af samtidig administrerede produkter indeholdende sorbitol (eller </w:t>
      </w:r>
      <w:proofErr w:type="spellStart"/>
      <w:r w:rsidRPr="009818FE">
        <w:rPr>
          <w:sz w:val="24"/>
          <w:szCs w:val="24"/>
        </w:rPr>
        <w:t>fructose</w:t>
      </w:r>
      <w:proofErr w:type="spellEnd"/>
      <w:r w:rsidRPr="009818FE">
        <w:rPr>
          <w:sz w:val="24"/>
          <w:szCs w:val="24"/>
        </w:rPr>
        <w:t xml:space="preserve">) og indtagelse af sorbitol (eller </w:t>
      </w:r>
      <w:proofErr w:type="spellStart"/>
      <w:r w:rsidRPr="009818FE">
        <w:rPr>
          <w:sz w:val="24"/>
          <w:szCs w:val="24"/>
        </w:rPr>
        <w:t>fructose</w:t>
      </w:r>
      <w:proofErr w:type="spellEnd"/>
      <w:r w:rsidRPr="009818FE">
        <w:rPr>
          <w:sz w:val="24"/>
          <w:szCs w:val="24"/>
        </w:rPr>
        <w:t xml:space="preserve">) </w:t>
      </w:r>
      <w:r w:rsidR="00CD2E72" w:rsidRPr="009818FE">
        <w:rPr>
          <w:sz w:val="24"/>
          <w:szCs w:val="24"/>
        </w:rPr>
        <w:t xml:space="preserve">i kosten </w:t>
      </w:r>
      <w:r w:rsidRPr="009818FE">
        <w:rPr>
          <w:sz w:val="24"/>
          <w:szCs w:val="24"/>
        </w:rPr>
        <w:t xml:space="preserve">bør tages i betragtning. Indholdet af sorbitol i lægemidler til oral brug kan påvirke biotilgængeligheden af andre lægemidler til oral brug hvis indgivet samtidig. Patienter med hereditær </w:t>
      </w:r>
      <w:proofErr w:type="spellStart"/>
      <w:r w:rsidRPr="009818FE">
        <w:rPr>
          <w:sz w:val="24"/>
          <w:szCs w:val="24"/>
        </w:rPr>
        <w:t>fructoseintolerans</w:t>
      </w:r>
      <w:proofErr w:type="spellEnd"/>
      <w:r w:rsidRPr="009818FE">
        <w:rPr>
          <w:sz w:val="24"/>
          <w:szCs w:val="24"/>
        </w:rPr>
        <w:t xml:space="preserve"> (HFI) bør ikke tage/få dette lægemiddel.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1305DA" w:rsidRDefault="001305DA" w:rsidP="001305DA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1305DA" w:rsidRPr="001305DA" w:rsidRDefault="001305DA" w:rsidP="001305DA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1305DA">
        <w:rPr>
          <w:sz w:val="24"/>
          <w:szCs w:val="24"/>
          <w:u w:val="single"/>
        </w:rPr>
        <w:t>Diuretika</w:t>
      </w:r>
      <w:proofErr w:type="spellEnd"/>
      <w:r w:rsidRPr="001305DA">
        <w:rPr>
          <w:sz w:val="24"/>
          <w:szCs w:val="24"/>
          <w:u w:val="single"/>
        </w:rPr>
        <w:t xml:space="preserve"> og </w:t>
      </w:r>
      <w:proofErr w:type="spellStart"/>
      <w:r w:rsidRPr="001305DA">
        <w:rPr>
          <w:sz w:val="24"/>
          <w:szCs w:val="24"/>
          <w:u w:val="single"/>
        </w:rPr>
        <w:t>kortikosteroider</w:t>
      </w:r>
      <w:proofErr w:type="spellEnd"/>
    </w:p>
    <w:p w:rsidR="001305DA" w:rsidRPr="001305DA" w:rsidRDefault="001305DA" w:rsidP="001305DA">
      <w:pPr>
        <w:tabs>
          <w:tab w:val="left" w:pos="851"/>
        </w:tabs>
        <w:ind w:left="851"/>
        <w:rPr>
          <w:sz w:val="24"/>
          <w:szCs w:val="24"/>
        </w:rPr>
      </w:pPr>
      <w:r w:rsidRPr="001305DA">
        <w:rPr>
          <w:sz w:val="24"/>
          <w:szCs w:val="24"/>
        </w:rPr>
        <w:t xml:space="preserve">Samtidig indtagelse af store doser </w:t>
      </w:r>
      <w:proofErr w:type="spellStart"/>
      <w:r w:rsidRPr="001305DA">
        <w:rPr>
          <w:sz w:val="24"/>
          <w:szCs w:val="24"/>
        </w:rPr>
        <w:t>natriumpicosulfat</w:t>
      </w:r>
      <w:proofErr w:type="spellEnd"/>
      <w:r w:rsidRPr="001305DA">
        <w:rPr>
          <w:sz w:val="24"/>
          <w:szCs w:val="24"/>
        </w:rPr>
        <w:t xml:space="preserve"> og </w:t>
      </w:r>
      <w:proofErr w:type="spellStart"/>
      <w:r w:rsidRPr="001305DA">
        <w:rPr>
          <w:sz w:val="24"/>
          <w:szCs w:val="24"/>
        </w:rPr>
        <w:t>diuretika</w:t>
      </w:r>
      <w:proofErr w:type="spellEnd"/>
      <w:r w:rsidRPr="001305DA">
        <w:rPr>
          <w:sz w:val="24"/>
          <w:szCs w:val="24"/>
        </w:rPr>
        <w:t xml:space="preserve"> eller </w:t>
      </w:r>
      <w:proofErr w:type="spellStart"/>
      <w:r w:rsidRPr="001305DA">
        <w:rPr>
          <w:sz w:val="24"/>
          <w:szCs w:val="24"/>
        </w:rPr>
        <w:t>kortikosteroider</w:t>
      </w:r>
      <w:proofErr w:type="spellEnd"/>
      <w:r w:rsidRPr="001305DA">
        <w:rPr>
          <w:sz w:val="24"/>
          <w:szCs w:val="24"/>
        </w:rPr>
        <w:t xml:space="preserve"> kan medføre forstyrrelser i elektrolytbalancen. </w:t>
      </w:r>
    </w:p>
    <w:p w:rsidR="001305DA" w:rsidRPr="001305DA" w:rsidRDefault="001305DA" w:rsidP="001305DA">
      <w:pPr>
        <w:tabs>
          <w:tab w:val="left" w:pos="851"/>
        </w:tabs>
        <w:ind w:left="851"/>
        <w:rPr>
          <w:i/>
          <w:sz w:val="24"/>
          <w:szCs w:val="24"/>
        </w:rPr>
      </w:pPr>
    </w:p>
    <w:p w:rsidR="001305DA" w:rsidRPr="001305DA" w:rsidRDefault="001305DA" w:rsidP="001305DA">
      <w:pPr>
        <w:tabs>
          <w:tab w:val="left" w:pos="851"/>
        </w:tabs>
        <w:ind w:left="851"/>
        <w:rPr>
          <w:sz w:val="24"/>
          <w:szCs w:val="24"/>
          <w:u w:val="single"/>
        </w:rPr>
      </w:pPr>
      <w:proofErr w:type="spellStart"/>
      <w:r w:rsidRPr="001305DA">
        <w:rPr>
          <w:sz w:val="24"/>
          <w:szCs w:val="24"/>
          <w:u w:val="single"/>
        </w:rPr>
        <w:t>Digoxin</w:t>
      </w:r>
      <w:proofErr w:type="spellEnd"/>
    </w:p>
    <w:p w:rsidR="001305DA" w:rsidRPr="001305DA" w:rsidRDefault="001305DA" w:rsidP="001305DA">
      <w:pPr>
        <w:tabs>
          <w:tab w:val="left" w:pos="851"/>
        </w:tabs>
        <w:ind w:left="851"/>
        <w:rPr>
          <w:sz w:val="24"/>
          <w:szCs w:val="24"/>
        </w:rPr>
      </w:pPr>
      <w:r w:rsidRPr="001305DA">
        <w:rPr>
          <w:sz w:val="24"/>
          <w:szCs w:val="24"/>
        </w:rPr>
        <w:t xml:space="preserve">Forstyrrelser i elektrolytbalancen kan medføre øget følsomhed over for </w:t>
      </w:r>
      <w:proofErr w:type="spellStart"/>
      <w:r w:rsidRPr="001305DA">
        <w:rPr>
          <w:sz w:val="24"/>
          <w:szCs w:val="24"/>
        </w:rPr>
        <w:t>digoxin</w:t>
      </w:r>
      <w:proofErr w:type="spellEnd"/>
      <w:r w:rsidRPr="001305DA">
        <w:rPr>
          <w:sz w:val="24"/>
          <w:szCs w:val="24"/>
        </w:rPr>
        <w:t>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 w:rsidR="00CD4406"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1305DA" w:rsidRPr="001305DA" w:rsidRDefault="001305DA" w:rsidP="001305DA">
      <w:pPr>
        <w:tabs>
          <w:tab w:val="left" w:pos="851"/>
        </w:tabs>
        <w:ind w:left="851"/>
        <w:rPr>
          <w:sz w:val="24"/>
          <w:szCs w:val="24"/>
          <w:u w:val="single"/>
          <w:lang w:val="nb-NO"/>
        </w:rPr>
      </w:pPr>
    </w:p>
    <w:p w:rsidR="001305DA" w:rsidRPr="001305DA" w:rsidRDefault="001305DA" w:rsidP="001305DA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305DA">
        <w:rPr>
          <w:sz w:val="24"/>
          <w:szCs w:val="24"/>
          <w:u w:val="single"/>
        </w:rPr>
        <w:t>Graviditet</w:t>
      </w:r>
    </w:p>
    <w:p w:rsidR="001305DA" w:rsidRPr="001305DA" w:rsidRDefault="001305DA" w:rsidP="001305DA">
      <w:pPr>
        <w:tabs>
          <w:tab w:val="left" w:pos="851"/>
        </w:tabs>
        <w:ind w:left="851"/>
        <w:rPr>
          <w:sz w:val="24"/>
          <w:szCs w:val="24"/>
        </w:rPr>
      </w:pPr>
      <w:r w:rsidRPr="001305DA">
        <w:rPr>
          <w:sz w:val="24"/>
          <w:szCs w:val="24"/>
        </w:rPr>
        <w:t xml:space="preserve">Ordination til gravide bør ske med forsigtighed. Data fra anvendelse af </w:t>
      </w:r>
      <w:proofErr w:type="spellStart"/>
      <w:r w:rsidRPr="001305DA">
        <w:rPr>
          <w:sz w:val="24"/>
          <w:szCs w:val="24"/>
        </w:rPr>
        <w:t>natriumpicosulfat</w:t>
      </w:r>
      <w:proofErr w:type="spellEnd"/>
      <w:r w:rsidRPr="001305DA">
        <w:rPr>
          <w:sz w:val="24"/>
          <w:szCs w:val="24"/>
        </w:rPr>
        <w:t xml:space="preserve"> hos et stort antal gravide viser ingen skadelige virkninger på graviditeten eller fostrets/det nyfødte barns sundhedstilstand. Der foreligger på nuværende tidspunkt ikke andre relevante epidemiologiske data.</w:t>
      </w:r>
    </w:p>
    <w:p w:rsidR="001305DA" w:rsidRPr="001305DA" w:rsidRDefault="001305DA" w:rsidP="001305DA">
      <w:pPr>
        <w:tabs>
          <w:tab w:val="left" w:pos="851"/>
        </w:tabs>
        <w:ind w:left="851"/>
        <w:rPr>
          <w:sz w:val="24"/>
          <w:szCs w:val="24"/>
        </w:rPr>
      </w:pPr>
    </w:p>
    <w:p w:rsidR="001305DA" w:rsidRPr="001305DA" w:rsidRDefault="001305DA" w:rsidP="001305DA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1305DA">
        <w:rPr>
          <w:sz w:val="24"/>
          <w:szCs w:val="24"/>
          <w:u w:val="single"/>
        </w:rPr>
        <w:t>Amning</w:t>
      </w:r>
    </w:p>
    <w:p w:rsidR="001305DA" w:rsidRDefault="001305DA" w:rsidP="001305DA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1305DA">
        <w:rPr>
          <w:sz w:val="24"/>
          <w:szCs w:val="24"/>
        </w:rPr>
        <w:t>Orilaxal</w:t>
      </w:r>
      <w:proofErr w:type="spellEnd"/>
      <w:r w:rsidRPr="001305DA">
        <w:rPr>
          <w:sz w:val="24"/>
          <w:szCs w:val="24"/>
        </w:rPr>
        <w:t xml:space="preserve"> kan anvendes ved amning. Kliniske data viser, at hverken den aktive del af </w:t>
      </w:r>
      <w:proofErr w:type="spellStart"/>
      <w:r w:rsidRPr="001305DA">
        <w:rPr>
          <w:sz w:val="24"/>
          <w:szCs w:val="24"/>
        </w:rPr>
        <w:t>natriumpicosulfat</w:t>
      </w:r>
      <w:proofErr w:type="spellEnd"/>
      <w:r w:rsidRPr="001305DA">
        <w:rPr>
          <w:sz w:val="24"/>
          <w:szCs w:val="24"/>
        </w:rPr>
        <w:t xml:space="preserve"> BHPM (</w:t>
      </w:r>
      <w:proofErr w:type="spellStart"/>
      <w:r w:rsidRPr="001305DA">
        <w:rPr>
          <w:sz w:val="24"/>
          <w:szCs w:val="24"/>
        </w:rPr>
        <w:t>bis-</w:t>
      </w:r>
      <w:proofErr w:type="spellEnd"/>
      <w:r w:rsidRPr="001305DA">
        <w:rPr>
          <w:sz w:val="24"/>
          <w:szCs w:val="24"/>
        </w:rPr>
        <w:t>(p-</w:t>
      </w:r>
      <w:proofErr w:type="spellStart"/>
      <w:proofErr w:type="gramStart"/>
      <w:r w:rsidRPr="001305DA">
        <w:rPr>
          <w:sz w:val="24"/>
          <w:szCs w:val="24"/>
        </w:rPr>
        <w:t>hydroxyphenyl</w:t>
      </w:r>
      <w:proofErr w:type="spellEnd"/>
      <w:r w:rsidRPr="001305DA">
        <w:rPr>
          <w:sz w:val="24"/>
          <w:szCs w:val="24"/>
        </w:rPr>
        <w:t>)-</w:t>
      </w:r>
      <w:proofErr w:type="gramEnd"/>
      <w:r w:rsidRPr="001305DA">
        <w:rPr>
          <w:sz w:val="24"/>
          <w:szCs w:val="24"/>
        </w:rPr>
        <w:t xml:space="preserve">pyridyl-2-methan) eller </w:t>
      </w:r>
      <w:proofErr w:type="spellStart"/>
      <w:r w:rsidRPr="001305DA">
        <w:rPr>
          <w:sz w:val="24"/>
          <w:szCs w:val="24"/>
        </w:rPr>
        <w:t>glukoronider</w:t>
      </w:r>
      <w:proofErr w:type="spellEnd"/>
      <w:r w:rsidRPr="001305DA">
        <w:rPr>
          <w:sz w:val="24"/>
          <w:szCs w:val="24"/>
        </w:rPr>
        <w:t xml:space="preserve"> udskilles i brystmælk fra raske ammende kvinder.</w:t>
      </w:r>
    </w:p>
    <w:p w:rsidR="00CD2E72" w:rsidRDefault="00CD2E72" w:rsidP="00CD2E72">
      <w:pPr>
        <w:tabs>
          <w:tab w:val="left" w:pos="851"/>
        </w:tabs>
        <w:ind w:left="851"/>
        <w:rPr>
          <w:sz w:val="24"/>
          <w:szCs w:val="24"/>
          <w:u w:val="single"/>
          <w:lang w:val="nb-NO"/>
        </w:rPr>
      </w:pPr>
    </w:p>
    <w:p w:rsidR="00CD2E72" w:rsidRPr="001305DA" w:rsidRDefault="00CD2E72" w:rsidP="00CD2E72">
      <w:pPr>
        <w:tabs>
          <w:tab w:val="left" w:pos="851"/>
        </w:tabs>
        <w:ind w:left="851"/>
        <w:rPr>
          <w:sz w:val="24"/>
          <w:szCs w:val="24"/>
          <w:u w:val="single"/>
          <w:lang w:val="nb-NO"/>
        </w:rPr>
      </w:pPr>
      <w:r w:rsidRPr="001305DA">
        <w:rPr>
          <w:sz w:val="24"/>
          <w:szCs w:val="24"/>
          <w:u w:val="single"/>
          <w:lang w:val="nb-NO"/>
        </w:rPr>
        <w:t>Fertilitet</w:t>
      </w:r>
    </w:p>
    <w:p w:rsidR="00CD2E72" w:rsidRPr="001305DA" w:rsidRDefault="00CD2E72" w:rsidP="00CD2E72">
      <w:pPr>
        <w:tabs>
          <w:tab w:val="left" w:pos="851"/>
        </w:tabs>
        <w:ind w:left="851"/>
        <w:rPr>
          <w:sz w:val="24"/>
          <w:szCs w:val="24"/>
          <w:lang w:val="nb-NO"/>
        </w:rPr>
      </w:pPr>
      <w:r w:rsidRPr="001305DA">
        <w:rPr>
          <w:sz w:val="24"/>
          <w:szCs w:val="24"/>
          <w:lang w:val="nb-NO"/>
        </w:rPr>
        <w:t>Der findes ingen data vedrørende human fertilitet. Fra dyrestudier ses at der ikke er nogen påvirkning af fertiliteten (se pkt 5.3).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 w:rsidR="00CD4406"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1305DA" w:rsidRPr="001305DA" w:rsidRDefault="001305DA" w:rsidP="001305DA">
      <w:pPr>
        <w:tabs>
          <w:tab w:val="left" w:pos="851"/>
        </w:tabs>
        <w:ind w:left="851"/>
        <w:rPr>
          <w:sz w:val="24"/>
          <w:szCs w:val="24"/>
        </w:rPr>
      </w:pPr>
      <w:r w:rsidRPr="001305DA">
        <w:rPr>
          <w:sz w:val="24"/>
          <w:szCs w:val="24"/>
        </w:rPr>
        <w:t>Ikke mærkning.</w:t>
      </w:r>
    </w:p>
    <w:p w:rsidR="001305DA" w:rsidRPr="001305DA" w:rsidRDefault="001305DA" w:rsidP="001305DA">
      <w:pPr>
        <w:tabs>
          <w:tab w:val="left" w:pos="851"/>
        </w:tabs>
        <w:ind w:left="851"/>
        <w:rPr>
          <w:sz w:val="24"/>
          <w:szCs w:val="24"/>
        </w:rPr>
      </w:pPr>
      <w:r w:rsidRPr="001305DA">
        <w:rPr>
          <w:sz w:val="24"/>
          <w:szCs w:val="24"/>
        </w:rPr>
        <w:t xml:space="preserve">På grund af </w:t>
      </w:r>
      <w:proofErr w:type="spellStart"/>
      <w:r w:rsidRPr="001305DA">
        <w:rPr>
          <w:sz w:val="24"/>
          <w:szCs w:val="24"/>
        </w:rPr>
        <w:t>vasovagal</w:t>
      </w:r>
      <w:proofErr w:type="spellEnd"/>
      <w:r w:rsidRPr="001305DA">
        <w:rPr>
          <w:sz w:val="24"/>
          <w:szCs w:val="24"/>
        </w:rPr>
        <w:t xml:space="preserve"> reaktion på </w:t>
      </w:r>
      <w:proofErr w:type="spellStart"/>
      <w:r w:rsidRPr="001305DA">
        <w:rPr>
          <w:sz w:val="24"/>
          <w:szCs w:val="24"/>
        </w:rPr>
        <w:t>abdominal</w:t>
      </w:r>
      <w:proofErr w:type="spellEnd"/>
      <w:r w:rsidRPr="001305DA">
        <w:rPr>
          <w:sz w:val="24"/>
          <w:szCs w:val="24"/>
        </w:rPr>
        <w:t xml:space="preserve"> smerte kan der forekomme svimmelhed og/eller besvimelse. Patienter, der oplever dette, bør undgå at føre motorkøretøj og/eller betjene maskiner.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C375C1" w:rsidRPr="00C375C1" w:rsidRDefault="00C375C1" w:rsidP="00C375C1">
      <w:pPr>
        <w:pStyle w:val="Sidehoved"/>
        <w:ind w:left="851"/>
        <w:rPr>
          <w:szCs w:val="24"/>
        </w:rPr>
      </w:pPr>
      <w:r w:rsidRPr="00C375C1">
        <w:rPr>
          <w:szCs w:val="24"/>
        </w:rPr>
        <w:t xml:space="preserve">Den mest almindelige bivirkning er </w:t>
      </w:r>
      <w:proofErr w:type="spellStart"/>
      <w:r w:rsidRPr="00C375C1">
        <w:rPr>
          <w:szCs w:val="24"/>
        </w:rPr>
        <w:t>abdominal</w:t>
      </w:r>
      <w:proofErr w:type="spellEnd"/>
      <w:r w:rsidRPr="00C375C1">
        <w:rPr>
          <w:szCs w:val="24"/>
        </w:rPr>
        <w:t xml:space="preserve"> smerte, som ses hos 9,8 % af patienterne. </w:t>
      </w:r>
    </w:p>
    <w:p w:rsidR="00C375C1" w:rsidRPr="00C375C1" w:rsidRDefault="00C375C1" w:rsidP="00C375C1">
      <w:pPr>
        <w:pStyle w:val="Sidehoved"/>
        <w:ind w:left="851"/>
        <w:rPr>
          <w:szCs w:val="24"/>
        </w:rPr>
      </w:pPr>
    </w:p>
    <w:p w:rsidR="00C375C1" w:rsidRPr="00C375C1" w:rsidRDefault="00C375C1" w:rsidP="00C375C1">
      <w:pPr>
        <w:pStyle w:val="Sidehoved"/>
        <w:tabs>
          <w:tab w:val="left" w:pos="851"/>
        </w:tabs>
        <w:ind w:left="851"/>
        <w:rPr>
          <w:szCs w:val="24"/>
        </w:rPr>
      </w:pPr>
      <w:r w:rsidRPr="00C375C1">
        <w:rPr>
          <w:szCs w:val="24"/>
        </w:rPr>
        <w:t>Bivirkningerne er opdelt efter hyppighed ud fra følgende konvention: Meget almindelig (≥ 1/10), almindelig (≥ 1/100 til &lt; 1/10), ikke almindelig (≥ 1/1.000 til &lt; 1/100), sjælden (≥ 1/10.000 til &lt;1/1.000), meget sjælden (&lt; 1/10.000) og ikke kendt (kan ikke estimeres ud fra forhåndenværende data).</w:t>
      </w:r>
    </w:p>
    <w:p w:rsidR="00C375C1" w:rsidRPr="00C375C1" w:rsidRDefault="00C375C1" w:rsidP="00C375C1">
      <w:pPr>
        <w:pStyle w:val="Sidehoved"/>
        <w:tabs>
          <w:tab w:val="left" w:pos="851"/>
        </w:tabs>
        <w:ind w:left="851"/>
        <w:rPr>
          <w:szCs w:val="24"/>
        </w:rPr>
      </w:pPr>
    </w:p>
    <w:tbl>
      <w:tblPr>
        <w:tblW w:w="878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7"/>
        <w:gridCol w:w="4592"/>
      </w:tblGrid>
      <w:tr w:rsidR="00C375C1" w:rsidRPr="00C375C1" w:rsidTr="0096186A">
        <w:trPr>
          <w:trHeight w:val="483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C1" w:rsidRPr="00C375C1" w:rsidRDefault="00C375C1" w:rsidP="0096186A">
            <w:pPr>
              <w:pStyle w:val="Sidehoved"/>
              <w:ind w:left="33"/>
              <w:rPr>
                <w:b/>
                <w:szCs w:val="24"/>
              </w:rPr>
            </w:pPr>
            <w:r w:rsidRPr="00C375C1">
              <w:rPr>
                <w:b/>
                <w:szCs w:val="24"/>
              </w:rPr>
              <w:t>Immunsystemet</w:t>
            </w:r>
          </w:p>
          <w:p w:rsidR="00C375C1" w:rsidRPr="00C375C1" w:rsidRDefault="00C375C1" w:rsidP="0096186A">
            <w:pPr>
              <w:pStyle w:val="Sidehoved"/>
              <w:ind w:left="33"/>
              <w:rPr>
                <w:szCs w:val="24"/>
              </w:rPr>
            </w:pPr>
            <w:r w:rsidRPr="00C375C1">
              <w:rPr>
                <w:szCs w:val="24"/>
              </w:rPr>
              <w:t>Ikke kendt*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1" w:rsidRPr="00C375C1" w:rsidRDefault="00C375C1" w:rsidP="0096186A">
            <w:pPr>
              <w:pStyle w:val="Sidehoved"/>
              <w:rPr>
                <w:szCs w:val="24"/>
              </w:rPr>
            </w:pPr>
          </w:p>
          <w:p w:rsidR="00C375C1" w:rsidRPr="00C375C1" w:rsidRDefault="00C375C1" w:rsidP="0096186A">
            <w:pPr>
              <w:pStyle w:val="Sidehoved"/>
              <w:rPr>
                <w:szCs w:val="24"/>
              </w:rPr>
            </w:pPr>
            <w:r w:rsidRPr="00C375C1">
              <w:rPr>
                <w:szCs w:val="24"/>
              </w:rPr>
              <w:t xml:space="preserve">Overfølsomhedsreaktioner </w:t>
            </w:r>
          </w:p>
        </w:tc>
      </w:tr>
      <w:tr w:rsidR="00C375C1" w:rsidRPr="00C375C1" w:rsidTr="0096186A">
        <w:trPr>
          <w:trHeight w:val="77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C1" w:rsidRPr="00C375C1" w:rsidRDefault="00C375C1" w:rsidP="0096186A">
            <w:pPr>
              <w:pStyle w:val="Sidehoved"/>
              <w:ind w:left="33"/>
              <w:rPr>
                <w:b/>
                <w:szCs w:val="24"/>
              </w:rPr>
            </w:pPr>
            <w:r w:rsidRPr="00C375C1">
              <w:rPr>
                <w:b/>
                <w:szCs w:val="24"/>
              </w:rPr>
              <w:t>Nervesystemet</w:t>
            </w:r>
          </w:p>
          <w:p w:rsidR="00C375C1" w:rsidRPr="00C375C1" w:rsidRDefault="00C375C1" w:rsidP="0096186A">
            <w:pPr>
              <w:pStyle w:val="Sidehoved"/>
              <w:ind w:left="33"/>
              <w:rPr>
                <w:szCs w:val="24"/>
              </w:rPr>
            </w:pPr>
            <w:r w:rsidRPr="00C375C1">
              <w:rPr>
                <w:szCs w:val="24"/>
              </w:rPr>
              <w:t>Ikke almindelig</w:t>
            </w:r>
          </w:p>
          <w:p w:rsidR="00C375C1" w:rsidRPr="00C375C1" w:rsidRDefault="00C375C1" w:rsidP="0096186A">
            <w:pPr>
              <w:pStyle w:val="Sidehoved"/>
              <w:ind w:left="33"/>
              <w:rPr>
                <w:szCs w:val="24"/>
              </w:rPr>
            </w:pPr>
            <w:r w:rsidRPr="00C375C1">
              <w:rPr>
                <w:szCs w:val="24"/>
              </w:rPr>
              <w:t>Ikke kendt*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1" w:rsidRPr="00C375C1" w:rsidRDefault="00C375C1" w:rsidP="0096186A">
            <w:pPr>
              <w:pStyle w:val="Sidehoved"/>
              <w:rPr>
                <w:szCs w:val="24"/>
              </w:rPr>
            </w:pPr>
          </w:p>
          <w:p w:rsidR="00C375C1" w:rsidRPr="00C375C1" w:rsidRDefault="00C375C1" w:rsidP="0096186A">
            <w:pPr>
              <w:pStyle w:val="Sidehoved"/>
              <w:rPr>
                <w:szCs w:val="24"/>
              </w:rPr>
            </w:pPr>
            <w:r w:rsidRPr="00C375C1">
              <w:rPr>
                <w:szCs w:val="24"/>
              </w:rPr>
              <w:t>Svimmelhed**</w:t>
            </w:r>
          </w:p>
          <w:p w:rsidR="00C375C1" w:rsidRPr="00C375C1" w:rsidRDefault="00C375C1" w:rsidP="0096186A">
            <w:pPr>
              <w:pStyle w:val="Sidehoved"/>
              <w:rPr>
                <w:szCs w:val="24"/>
              </w:rPr>
            </w:pPr>
            <w:r w:rsidRPr="00C375C1">
              <w:rPr>
                <w:szCs w:val="24"/>
              </w:rPr>
              <w:t>Besvimelse**</w:t>
            </w:r>
          </w:p>
        </w:tc>
      </w:tr>
      <w:tr w:rsidR="00C375C1" w:rsidRPr="00C375C1" w:rsidTr="0096186A">
        <w:trPr>
          <w:trHeight w:val="772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1" w:rsidRPr="00C375C1" w:rsidRDefault="00C375C1" w:rsidP="0096186A">
            <w:pPr>
              <w:pStyle w:val="Sidehoved"/>
              <w:ind w:left="33"/>
              <w:rPr>
                <w:b/>
                <w:szCs w:val="24"/>
              </w:rPr>
            </w:pPr>
            <w:r w:rsidRPr="00C375C1">
              <w:rPr>
                <w:b/>
                <w:szCs w:val="24"/>
              </w:rPr>
              <w:t>Mave-tarm</w:t>
            </w:r>
            <w:r w:rsidR="0096186A">
              <w:rPr>
                <w:b/>
                <w:szCs w:val="24"/>
              </w:rPr>
              <w:t>-</w:t>
            </w:r>
            <w:r w:rsidRPr="00C375C1">
              <w:rPr>
                <w:b/>
                <w:szCs w:val="24"/>
              </w:rPr>
              <w:t>kanalen</w:t>
            </w:r>
          </w:p>
          <w:p w:rsidR="00C375C1" w:rsidRPr="00C375C1" w:rsidRDefault="00C375C1" w:rsidP="0096186A">
            <w:pPr>
              <w:pStyle w:val="Sidehoved"/>
              <w:ind w:left="33"/>
              <w:rPr>
                <w:szCs w:val="24"/>
              </w:rPr>
            </w:pPr>
            <w:r w:rsidRPr="00C375C1">
              <w:rPr>
                <w:szCs w:val="24"/>
              </w:rPr>
              <w:t>Meget almindelig</w:t>
            </w:r>
          </w:p>
          <w:p w:rsidR="00C375C1" w:rsidRPr="00C375C1" w:rsidRDefault="00C375C1" w:rsidP="0096186A">
            <w:pPr>
              <w:pStyle w:val="Sidehoved"/>
              <w:ind w:left="33"/>
              <w:rPr>
                <w:szCs w:val="24"/>
              </w:rPr>
            </w:pPr>
            <w:r w:rsidRPr="00C375C1">
              <w:rPr>
                <w:szCs w:val="24"/>
              </w:rPr>
              <w:t>Almindelig</w:t>
            </w:r>
          </w:p>
          <w:p w:rsidR="00C375C1" w:rsidRPr="00C375C1" w:rsidRDefault="00C375C1" w:rsidP="0096186A">
            <w:pPr>
              <w:pStyle w:val="Sidehoved"/>
              <w:ind w:left="33"/>
              <w:rPr>
                <w:szCs w:val="24"/>
              </w:rPr>
            </w:pPr>
          </w:p>
          <w:p w:rsidR="00C375C1" w:rsidRPr="00C375C1" w:rsidRDefault="00C375C1" w:rsidP="0096186A">
            <w:pPr>
              <w:pStyle w:val="Sidehoved"/>
              <w:ind w:left="33"/>
              <w:rPr>
                <w:szCs w:val="24"/>
              </w:rPr>
            </w:pPr>
          </w:p>
          <w:p w:rsidR="00C375C1" w:rsidRPr="00C375C1" w:rsidRDefault="00C375C1" w:rsidP="0096186A">
            <w:pPr>
              <w:pStyle w:val="Sidehoved"/>
              <w:ind w:left="33"/>
              <w:rPr>
                <w:szCs w:val="24"/>
              </w:rPr>
            </w:pPr>
            <w:r w:rsidRPr="00C375C1">
              <w:rPr>
                <w:szCs w:val="24"/>
              </w:rPr>
              <w:lastRenderedPageBreak/>
              <w:t>Ikke almindelig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1" w:rsidRPr="00C375C1" w:rsidRDefault="00C375C1" w:rsidP="0096186A">
            <w:pPr>
              <w:pStyle w:val="Sidehoved"/>
              <w:rPr>
                <w:szCs w:val="24"/>
              </w:rPr>
            </w:pPr>
          </w:p>
          <w:p w:rsidR="00C375C1" w:rsidRPr="00C375C1" w:rsidRDefault="00C375C1" w:rsidP="0096186A">
            <w:pPr>
              <w:pStyle w:val="Sidehoved"/>
              <w:rPr>
                <w:szCs w:val="24"/>
                <w:lang w:val="nb-NO"/>
              </w:rPr>
            </w:pPr>
            <w:r w:rsidRPr="00C375C1">
              <w:rPr>
                <w:szCs w:val="24"/>
                <w:lang w:val="nb-NO"/>
              </w:rPr>
              <w:t>Diarré</w:t>
            </w:r>
          </w:p>
          <w:p w:rsidR="00C375C1" w:rsidRPr="00C375C1" w:rsidRDefault="00C375C1" w:rsidP="0096186A">
            <w:pPr>
              <w:pStyle w:val="Sidehoved"/>
              <w:rPr>
                <w:szCs w:val="24"/>
                <w:lang w:val="nb-NO"/>
              </w:rPr>
            </w:pPr>
            <w:r w:rsidRPr="00C375C1">
              <w:rPr>
                <w:szCs w:val="24"/>
                <w:lang w:val="nb-NO"/>
              </w:rPr>
              <w:t>Abdominale kramper</w:t>
            </w:r>
          </w:p>
          <w:p w:rsidR="00C375C1" w:rsidRPr="00C375C1" w:rsidRDefault="00C375C1" w:rsidP="0096186A">
            <w:pPr>
              <w:pStyle w:val="Sidehoved"/>
              <w:rPr>
                <w:szCs w:val="24"/>
                <w:lang w:val="nb-NO"/>
              </w:rPr>
            </w:pPr>
            <w:r w:rsidRPr="00C375C1">
              <w:rPr>
                <w:szCs w:val="24"/>
                <w:lang w:val="nb-NO"/>
              </w:rPr>
              <w:t xml:space="preserve">Abdominale smerter  </w:t>
            </w:r>
          </w:p>
          <w:p w:rsidR="00C375C1" w:rsidRPr="00C375C1" w:rsidRDefault="00C375C1" w:rsidP="0096186A">
            <w:pPr>
              <w:pStyle w:val="Sidehoved"/>
              <w:rPr>
                <w:szCs w:val="24"/>
                <w:lang w:val="nb-NO"/>
              </w:rPr>
            </w:pPr>
            <w:r w:rsidRPr="00C375C1">
              <w:rPr>
                <w:szCs w:val="24"/>
                <w:lang w:val="nb-NO"/>
              </w:rPr>
              <w:t>Abdominalt ubehag</w:t>
            </w:r>
          </w:p>
          <w:p w:rsidR="00C375C1" w:rsidRPr="00C375C1" w:rsidRDefault="00C375C1" w:rsidP="0096186A">
            <w:pPr>
              <w:pStyle w:val="Sidehoved"/>
              <w:rPr>
                <w:szCs w:val="24"/>
                <w:lang w:val="nb-NO"/>
              </w:rPr>
            </w:pPr>
            <w:r w:rsidRPr="00C375C1">
              <w:rPr>
                <w:szCs w:val="24"/>
                <w:lang w:val="nb-NO"/>
              </w:rPr>
              <w:lastRenderedPageBreak/>
              <w:t>Opkastning</w:t>
            </w:r>
          </w:p>
          <w:p w:rsidR="00C375C1" w:rsidRPr="00C375C1" w:rsidRDefault="00C375C1" w:rsidP="0096186A">
            <w:pPr>
              <w:pStyle w:val="Sidehoved"/>
              <w:rPr>
                <w:szCs w:val="24"/>
                <w:lang w:val="nb-NO"/>
              </w:rPr>
            </w:pPr>
            <w:r w:rsidRPr="00C375C1">
              <w:rPr>
                <w:szCs w:val="24"/>
                <w:lang w:val="nb-NO"/>
              </w:rPr>
              <w:t>Kvalme</w:t>
            </w:r>
          </w:p>
        </w:tc>
      </w:tr>
      <w:tr w:rsidR="00C375C1" w:rsidRPr="00C375C1" w:rsidTr="0096186A">
        <w:trPr>
          <w:trHeight w:val="537"/>
        </w:trPr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5C1" w:rsidRPr="00C375C1" w:rsidRDefault="00C375C1" w:rsidP="0096186A">
            <w:pPr>
              <w:pStyle w:val="Sidehoved"/>
              <w:ind w:left="33"/>
              <w:rPr>
                <w:b/>
                <w:szCs w:val="24"/>
              </w:rPr>
            </w:pPr>
            <w:r w:rsidRPr="00C375C1">
              <w:rPr>
                <w:b/>
                <w:szCs w:val="24"/>
              </w:rPr>
              <w:lastRenderedPageBreak/>
              <w:t>Hud og subkutane væv</w:t>
            </w:r>
          </w:p>
          <w:p w:rsidR="00C375C1" w:rsidRPr="00C375C1" w:rsidRDefault="00C375C1" w:rsidP="0096186A">
            <w:pPr>
              <w:pStyle w:val="Sidehoved"/>
              <w:ind w:left="33"/>
              <w:rPr>
                <w:bCs/>
                <w:szCs w:val="24"/>
              </w:rPr>
            </w:pPr>
            <w:r w:rsidRPr="00C375C1">
              <w:rPr>
                <w:bCs/>
                <w:szCs w:val="24"/>
              </w:rPr>
              <w:t>Ikke kendt*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5C1" w:rsidRPr="00C375C1" w:rsidRDefault="00C375C1" w:rsidP="0096186A">
            <w:pPr>
              <w:pStyle w:val="Sidehoved"/>
              <w:rPr>
                <w:szCs w:val="24"/>
              </w:rPr>
            </w:pPr>
          </w:p>
          <w:p w:rsidR="00C375C1" w:rsidRPr="00C375C1" w:rsidRDefault="00C375C1" w:rsidP="0096186A">
            <w:pPr>
              <w:pStyle w:val="Sidehoved"/>
              <w:rPr>
                <w:szCs w:val="24"/>
              </w:rPr>
            </w:pPr>
            <w:r w:rsidRPr="00C375C1">
              <w:rPr>
                <w:szCs w:val="24"/>
              </w:rPr>
              <w:t xml:space="preserve">Hudreaktioner som </w:t>
            </w:r>
            <w:proofErr w:type="spellStart"/>
            <w:r w:rsidRPr="00C375C1">
              <w:rPr>
                <w:szCs w:val="24"/>
              </w:rPr>
              <w:t>angioødem</w:t>
            </w:r>
            <w:proofErr w:type="spellEnd"/>
            <w:r w:rsidRPr="00C375C1">
              <w:rPr>
                <w:szCs w:val="24"/>
              </w:rPr>
              <w:t xml:space="preserve">, udslæt, </w:t>
            </w:r>
            <w:proofErr w:type="spellStart"/>
            <w:r w:rsidRPr="00C375C1">
              <w:rPr>
                <w:szCs w:val="24"/>
              </w:rPr>
              <w:t>pruritus</w:t>
            </w:r>
            <w:proofErr w:type="spellEnd"/>
            <w:r w:rsidRPr="00C375C1">
              <w:rPr>
                <w:szCs w:val="24"/>
              </w:rPr>
              <w:t>.</w:t>
            </w:r>
          </w:p>
        </w:tc>
      </w:tr>
    </w:tbl>
    <w:p w:rsidR="00C375C1" w:rsidRPr="0096186A" w:rsidRDefault="00C375C1" w:rsidP="005770C9">
      <w:pPr>
        <w:pStyle w:val="Sidehoved"/>
        <w:tabs>
          <w:tab w:val="left" w:pos="1134"/>
        </w:tabs>
        <w:ind w:left="1134" w:hanging="283"/>
        <w:rPr>
          <w:sz w:val="20"/>
        </w:rPr>
      </w:pPr>
      <w:r w:rsidRPr="0096186A">
        <w:rPr>
          <w:sz w:val="20"/>
        </w:rPr>
        <w:t>*</w:t>
      </w:r>
      <w:r w:rsidR="0096186A">
        <w:rPr>
          <w:sz w:val="20"/>
        </w:rPr>
        <w:tab/>
      </w:r>
      <w:r w:rsidRPr="0096186A">
        <w:rPr>
          <w:sz w:val="20"/>
        </w:rPr>
        <w:t xml:space="preserve">Denne bivirkning er set efter markedsføring. Med 95 % sandsynlighed er frekvensen ’ikke almindelig’, muligvis lavere. </w:t>
      </w:r>
    </w:p>
    <w:p w:rsidR="00C375C1" w:rsidRPr="0096186A" w:rsidRDefault="00C375C1" w:rsidP="0096186A">
      <w:pPr>
        <w:pStyle w:val="Sidehoved"/>
        <w:tabs>
          <w:tab w:val="left" w:pos="1134"/>
        </w:tabs>
        <w:ind w:left="1134" w:hanging="283"/>
        <w:rPr>
          <w:sz w:val="20"/>
        </w:rPr>
      </w:pPr>
      <w:r w:rsidRPr="0096186A">
        <w:rPr>
          <w:sz w:val="20"/>
        </w:rPr>
        <w:t>**</w:t>
      </w:r>
      <w:r w:rsidR="0096186A">
        <w:rPr>
          <w:sz w:val="20"/>
        </w:rPr>
        <w:tab/>
      </w:r>
      <w:r w:rsidRPr="0096186A">
        <w:rPr>
          <w:sz w:val="20"/>
        </w:rPr>
        <w:t xml:space="preserve">Den tilgrundliggende årsag til svimmelhed og besvimelse kan være en </w:t>
      </w:r>
      <w:proofErr w:type="spellStart"/>
      <w:r w:rsidRPr="0096186A">
        <w:rPr>
          <w:sz w:val="20"/>
        </w:rPr>
        <w:t>vasovagal</w:t>
      </w:r>
      <w:proofErr w:type="spellEnd"/>
      <w:r w:rsidRPr="0096186A">
        <w:rPr>
          <w:sz w:val="20"/>
        </w:rPr>
        <w:t xml:space="preserve"> reaktion (f.eks. </w:t>
      </w:r>
      <w:proofErr w:type="spellStart"/>
      <w:r w:rsidRPr="0096186A">
        <w:rPr>
          <w:sz w:val="20"/>
        </w:rPr>
        <w:t>abdominal</w:t>
      </w:r>
      <w:proofErr w:type="spellEnd"/>
      <w:r w:rsidRPr="0096186A">
        <w:rPr>
          <w:sz w:val="20"/>
        </w:rPr>
        <w:t xml:space="preserve"> krampe eller defækationssynkope).</w:t>
      </w:r>
    </w:p>
    <w:p w:rsidR="00C375C1" w:rsidRPr="00C375C1" w:rsidRDefault="00C375C1" w:rsidP="00C375C1">
      <w:pPr>
        <w:pStyle w:val="Sidehoved"/>
        <w:tabs>
          <w:tab w:val="left" w:pos="851"/>
        </w:tabs>
        <w:ind w:left="851"/>
        <w:rPr>
          <w:szCs w:val="24"/>
        </w:rPr>
      </w:pPr>
    </w:p>
    <w:p w:rsidR="00C375C1" w:rsidRPr="00C375C1" w:rsidRDefault="00C375C1" w:rsidP="00C375C1">
      <w:pPr>
        <w:pStyle w:val="Sidehoved"/>
        <w:tabs>
          <w:tab w:val="left" w:pos="851"/>
        </w:tabs>
        <w:ind w:left="851"/>
        <w:rPr>
          <w:szCs w:val="24"/>
          <w:u w:val="single"/>
        </w:rPr>
      </w:pPr>
      <w:r w:rsidRPr="00C375C1">
        <w:rPr>
          <w:szCs w:val="24"/>
          <w:u w:val="single"/>
        </w:rPr>
        <w:t>Indberetning af formodede bivirkninger</w:t>
      </w:r>
    </w:p>
    <w:p w:rsidR="00C375C1" w:rsidRPr="00C375C1" w:rsidRDefault="00C375C1" w:rsidP="00C375C1">
      <w:pPr>
        <w:pStyle w:val="Sidehoved"/>
        <w:tabs>
          <w:tab w:val="left" w:pos="851"/>
        </w:tabs>
        <w:ind w:left="851"/>
        <w:rPr>
          <w:bCs/>
          <w:szCs w:val="24"/>
        </w:rPr>
      </w:pPr>
      <w:r w:rsidRPr="00C375C1">
        <w:rPr>
          <w:szCs w:val="24"/>
        </w:rPr>
        <w:t>Når lægemidlet er godkendt, er indberetning af formodede bivirkninger vigtig. Det muliggør løbende overvågning af benefit/</w:t>
      </w:r>
      <w:proofErr w:type="spellStart"/>
      <w:r w:rsidRPr="00C375C1">
        <w:rPr>
          <w:szCs w:val="24"/>
        </w:rPr>
        <w:t>risk</w:t>
      </w:r>
      <w:proofErr w:type="spellEnd"/>
      <w:r w:rsidRPr="00C375C1">
        <w:rPr>
          <w:szCs w:val="24"/>
        </w:rPr>
        <w:t xml:space="preserve">-forholdet for lægemidlet. </w:t>
      </w:r>
      <w:r w:rsidR="00CD4406">
        <w:rPr>
          <w:szCs w:val="24"/>
        </w:rPr>
        <w:t>S</w:t>
      </w:r>
      <w:r w:rsidRPr="00C375C1">
        <w:rPr>
          <w:szCs w:val="24"/>
        </w:rPr>
        <w:t>undhedsperson</w:t>
      </w:r>
      <w:r w:rsidR="00CD4406">
        <w:rPr>
          <w:szCs w:val="24"/>
        </w:rPr>
        <w:t>er</w:t>
      </w:r>
      <w:r w:rsidRPr="00C375C1">
        <w:rPr>
          <w:szCs w:val="24"/>
        </w:rPr>
        <w:t xml:space="preserve"> anmodes om at indberette alle formodede bivirkninger via:</w:t>
      </w:r>
    </w:p>
    <w:p w:rsidR="00C375C1" w:rsidRPr="00C375C1" w:rsidRDefault="00C375C1" w:rsidP="00C375C1">
      <w:pPr>
        <w:pStyle w:val="Sidehoved"/>
        <w:tabs>
          <w:tab w:val="left" w:pos="851"/>
        </w:tabs>
        <w:ind w:left="851"/>
        <w:rPr>
          <w:bCs/>
          <w:szCs w:val="24"/>
        </w:rPr>
      </w:pPr>
    </w:p>
    <w:p w:rsidR="00C375C1" w:rsidRPr="00C375C1" w:rsidRDefault="00C375C1" w:rsidP="00C375C1">
      <w:pPr>
        <w:pStyle w:val="Sidehoved"/>
        <w:tabs>
          <w:tab w:val="left" w:pos="851"/>
        </w:tabs>
        <w:ind w:left="851"/>
        <w:rPr>
          <w:bCs/>
          <w:szCs w:val="24"/>
        </w:rPr>
      </w:pPr>
      <w:r w:rsidRPr="00C375C1">
        <w:rPr>
          <w:bCs/>
          <w:szCs w:val="24"/>
        </w:rPr>
        <w:t>Lægemiddelstyrelsen</w:t>
      </w:r>
    </w:p>
    <w:p w:rsidR="00C375C1" w:rsidRPr="00C375C1" w:rsidRDefault="00C375C1" w:rsidP="00C375C1">
      <w:pPr>
        <w:pStyle w:val="Sidehoved"/>
        <w:tabs>
          <w:tab w:val="left" w:pos="851"/>
        </w:tabs>
        <w:ind w:left="851"/>
        <w:rPr>
          <w:bCs/>
          <w:szCs w:val="24"/>
        </w:rPr>
      </w:pPr>
      <w:r w:rsidRPr="00C375C1">
        <w:rPr>
          <w:bCs/>
          <w:szCs w:val="24"/>
        </w:rPr>
        <w:t>Axel Heides Gade 1</w:t>
      </w:r>
    </w:p>
    <w:p w:rsidR="00C375C1" w:rsidRPr="00C375C1" w:rsidRDefault="00C375C1" w:rsidP="00C375C1">
      <w:pPr>
        <w:pStyle w:val="Sidehoved"/>
        <w:tabs>
          <w:tab w:val="left" w:pos="851"/>
        </w:tabs>
        <w:ind w:left="851"/>
        <w:rPr>
          <w:bCs/>
          <w:szCs w:val="24"/>
        </w:rPr>
      </w:pPr>
      <w:r w:rsidRPr="00C375C1">
        <w:rPr>
          <w:bCs/>
          <w:szCs w:val="24"/>
        </w:rPr>
        <w:t>DK-2300 København S</w:t>
      </w:r>
    </w:p>
    <w:p w:rsidR="00C375C1" w:rsidRPr="00B131DE" w:rsidRDefault="00C375C1" w:rsidP="00C375C1">
      <w:pPr>
        <w:pStyle w:val="Sidehoved"/>
        <w:tabs>
          <w:tab w:val="left" w:pos="851"/>
        </w:tabs>
        <w:ind w:left="851"/>
        <w:rPr>
          <w:bCs/>
          <w:szCs w:val="24"/>
        </w:rPr>
      </w:pPr>
      <w:r w:rsidRPr="00B131DE">
        <w:rPr>
          <w:bCs/>
          <w:szCs w:val="24"/>
        </w:rPr>
        <w:t>Websted: www.meldenbivirkning.dk</w:t>
      </w:r>
    </w:p>
    <w:p w:rsidR="009260DE" w:rsidRPr="00B131DE" w:rsidRDefault="009260DE" w:rsidP="009260DE">
      <w:pPr>
        <w:pStyle w:val="Sidehoved"/>
        <w:tabs>
          <w:tab w:val="left" w:pos="851"/>
        </w:tabs>
        <w:ind w:left="851"/>
        <w:rPr>
          <w:szCs w:val="24"/>
        </w:rPr>
      </w:pPr>
    </w:p>
    <w:p w:rsidR="009260DE" w:rsidRPr="00B131DE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B131DE">
        <w:rPr>
          <w:b/>
          <w:sz w:val="24"/>
          <w:szCs w:val="24"/>
        </w:rPr>
        <w:t>4.9</w:t>
      </w:r>
      <w:r w:rsidRPr="00B131DE">
        <w:rPr>
          <w:b/>
          <w:sz w:val="24"/>
          <w:szCs w:val="24"/>
        </w:rPr>
        <w:tab/>
        <w:t>Overdosering</w:t>
      </w:r>
    </w:p>
    <w:p w:rsidR="005770C9" w:rsidRPr="00B131DE" w:rsidRDefault="005770C9" w:rsidP="005770C9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5770C9" w:rsidRPr="00B131DE" w:rsidRDefault="005770C9" w:rsidP="005770C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B131DE">
        <w:rPr>
          <w:sz w:val="24"/>
          <w:szCs w:val="24"/>
          <w:u w:val="single"/>
        </w:rPr>
        <w:t>Symptomer</w:t>
      </w:r>
    </w:p>
    <w:p w:rsidR="005770C9" w:rsidRPr="005770C9" w:rsidRDefault="005770C9" w:rsidP="005770C9">
      <w:pPr>
        <w:tabs>
          <w:tab w:val="left" w:pos="851"/>
        </w:tabs>
        <w:ind w:left="851"/>
        <w:rPr>
          <w:sz w:val="24"/>
          <w:szCs w:val="24"/>
        </w:rPr>
      </w:pPr>
      <w:r w:rsidRPr="005770C9">
        <w:rPr>
          <w:sz w:val="24"/>
          <w:szCs w:val="24"/>
        </w:rPr>
        <w:t xml:space="preserve">Ved overdosering kan der forekomme diarré, </w:t>
      </w:r>
      <w:proofErr w:type="spellStart"/>
      <w:r w:rsidRPr="005770C9">
        <w:rPr>
          <w:sz w:val="24"/>
          <w:szCs w:val="24"/>
        </w:rPr>
        <w:t>abdominale</w:t>
      </w:r>
      <w:proofErr w:type="spellEnd"/>
      <w:r w:rsidRPr="005770C9">
        <w:rPr>
          <w:sz w:val="24"/>
          <w:szCs w:val="24"/>
        </w:rPr>
        <w:t xml:space="preserve"> kramper og klinisk signifikant væsketab, tab af kalium og af andre elektrolytter.</w:t>
      </w:r>
    </w:p>
    <w:p w:rsidR="005770C9" w:rsidRPr="005770C9" w:rsidRDefault="005770C9" w:rsidP="005770C9">
      <w:pPr>
        <w:tabs>
          <w:tab w:val="left" w:pos="851"/>
        </w:tabs>
        <w:ind w:left="851"/>
        <w:rPr>
          <w:sz w:val="24"/>
          <w:szCs w:val="24"/>
        </w:rPr>
      </w:pPr>
      <w:r w:rsidRPr="005770C9">
        <w:rPr>
          <w:sz w:val="24"/>
          <w:szCs w:val="24"/>
        </w:rPr>
        <w:t xml:space="preserve">Derudover er der beskrevet iskæmi i </w:t>
      </w:r>
      <w:proofErr w:type="spellStart"/>
      <w:r w:rsidRPr="005770C9">
        <w:rPr>
          <w:sz w:val="24"/>
          <w:szCs w:val="24"/>
        </w:rPr>
        <w:t>colons</w:t>
      </w:r>
      <w:proofErr w:type="spellEnd"/>
      <w:r w:rsidRPr="005770C9">
        <w:rPr>
          <w:sz w:val="24"/>
          <w:szCs w:val="24"/>
        </w:rPr>
        <w:t xml:space="preserve"> slimhinde i forbindelse med brug af </w:t>
      </w:r>
      <w:proofErr w:type="spellStart"/>
      <w:r w:rsidRPr="005770C9">
        <w:rPr>
          <w:sz w:val="24"/>
          <w:szCs w:val="24"/>
        </w:rPr>
        <w:t>natriumpicosulfat</w:t>
      </w:r>
      <w:proofErr w:type="spellEnd"/>
      <w:r w:rsidRPr="005770C9">
        <w:rPr>
          <w:sz w:val="24"/>
          <w:szCs w:val="24"/>
        </w:rPr>
        <w:t xml:space="preserve"> i betydeligt højere doser end den anbefalede.</w:t>
      </w:r>
    </w:p>
    <w:p w:rsidR="005770C9" w:rsidRPr="005770C9" w:rsidRDefault="005770C9" w:rsidP="005770C9">
      <w:pPr>
        <w:tabs>
          <w:tab w:val="left" w:pos="851"/>
        </w:tabs>
        <w:ind w:left="851"/>
        <w:rPr>
          <w:sz w:val="24"/>
          <w:szCs w:val="24"/>
        </w:rPr>
      </w:pPr>
      <w:r w:rsidRPr="005770C9">
        <w:rPr>
          <w:sz w:val="24"/>
          <w:szCs w:val="24"/>
        </w:rPr>
        <w:t xml:space="preserve">Ved kronisk overdosering kan </w:t>
      </w:r>
      <w:proofErr w:type="spellStart"/>
      <w:r w:rsidRPr="005770C9">
        <w:rPr>
          <w:sz w:val="24"/>
          <w:szCs w:val="24"/>
        </w:rPr>
        <w:t>Orilaxal</w:t>
      </w:r>
      <w:proofErr w:type="spellEnd"/>
      <w:r w:rsidRPr="005770C9">
        <w:rPr>
          <w:sz w:val="24"/>
          <w:szCs w:val="24"/>
        </w:rPr>
        <w:t xml:space="preserve">, som andre </w:t>
      </w:r>
      <w:proofErr w:type="spellStart"/>
      <w:r w:rsidRPr="005770C9">
        <w:rPr>
          <w:sz w:val="24"/>
          <w:szCs w:val="24"/>
        </w:rPr>
        <w:t>laksantia</w:t>
      </w:r>
      <w:proofErr w:type="spellEnd"/>
      <w:r w:rsidRPr="005770C9">
        <w:rPr>
          <w:sz w:val="24"/>
          <w:szCs w:val="24"/>
        </w:rPr>
        <w:t xml:space="preserve">, forårsage kronisk diarré, smerter i maven, </w:t>
      </w:r>
      <w:proofErr w:type="spellStart"/>
      <w:r w:rsidRPr="005770C9">
        <w:rPr>
          <w:sz w:val="24"/>
          <w:szCs w:val="24"/>
        </w:rPr>
        <w:t>hypokaliæmi</w:t>
      </w:r>
      <w:proofErr w:type="spellEnd"/>
      <w:r w:rsidRPr="005770C9">
        <w:rPr>
          <w:sz w:val="24"/>
          <w:szCs w:val="24"/>
        </w:rPr>
        <w:t xml:space="preserve">, sekundær </w:t>
      </w:r>
      <w:proofErr w:type="spellStart"/>
      <w:r w:rsidRPr="005770C9">
        <w:rPr>
          <w:sz w:val="24"/>
          <w:szCs w:val="24"/>
        </w:rPr>
        <w:t>hyperaldosteronisme</w:t>
      </w:r>
      <w:proofErr w:type="spellEnd"/>
      <w:r w:rsidRPr="005770C9">
        <w:rPr>
          <w:sz w:val="24"/>
          <w:szCs w:val="24"/>
        </w:rPr>
        <w:t xml:space="preserve"> og nyresten. Beskadigelse af </w:t>
      </w:r>
      <w:proofErr w:type="spellStart"/>
      <w:r w:rsidRPr="005770C9">
        <w:rPr>
          <w:sz w:val="24"/>
          <w:szCs w:val="24"/>
        </w:rPr>
        <w:t>nyretubuli</w:t>
      </w:r>
      <w:proofErr w:type="spellEnd"/>
      <w:r w:rsidRPr="005770C9">
        <w:rPr>
          <w:sz w:val="24"/>
          <w:szCs w:val="24"/>
        </w:rPr>
        <w:t xml:space="preserve">, metabolisk </w:t>
      </w:r>
      <w:proofErr w:type="spellStart"/>
      <w:r w:rsidRPr="005770C9">
        <w:rPr>
          <w:sz w:val="24"/>
          <w:szCs w:val="24"/>
        </w:rPr>
        <w:t>alkalose</w:t>
      </w:r>
      <w:proofErr w:type="spellEnd"/>
      <w:r w:rsidRPr="005770C9">
        <w:rPr>
          <w:sz w:val="24"/>
          <w:szCs w:val="24"/>
        </w:rPr>
        <w:t xml:space="preserve"> og muskeltræthed på grund af </w:t>
      </w:r>
      <w:proofErr w:type="spellStart"/>
      <w:r w:rsidRPr="005770C9">
        <w:rPr>
          <w:sz w:val="24"/>
          <w:szCs w:val="24"/>
        </w:rPr>
        <w:t>hypokaliæmi</w:t>
      </w:r>
      <w:proofErr w:type="spellEnd"/>
      <w:r w:rsidRPr="005770C9">
        <w:rPr>
          <w:sz w:val="24"/>
          <w:szCs w:val="24"/>
        </w:rPr>
        <w:t xml:space="preserve"> har også været beskrevet i forbindelse med kronisk misbrug af </w:t>
      </w:r>
      <w:proofErr w:type="spellStart"/>
      <w:r w:rsidRPr="005770C9">
        <w:rPr>
          <w:sz w:val="24"/>
          <w:szCs w:val="24"/>
        </w:rPr>
        <w:t>laksantia</w:t>
      </w:r>
      <w:proofErr w:type="spellEnd"/>
      <w:r w:rsidRPr="005770C9">
        <w:rPr>
          <w:sz w:val="24"/>
          <w:szCs w:val="24"/>
        </w:rPr>
        <w:t>.</w:t>
      </w:r>
    </w:p>
    <w:p w:rsidR="005770C9" w:rsidRPr="005770C9" w:rsidRDefault="005770C9" w:rsidP="005770C9">
      <w:pPr>
        <w:tabs>
          <w:tab w:val="left" w:pos="851"/>
        </w:tabs>
        <w:ind w:left="851"/>
        <w:rPr>
          <w:sz w:val="24"/>
          <w:szCs w:val="24"/>
        </w:rPr>
      </w:pPr>
    </w:p>
    <w:p w:rsidR="005770C9" w:rsidRPr="005770C9" w:rsidRDefault="005770C9" w:rsidP="005770C9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5770C9">
        <w:rPr>
          <w:sz w:val="24"/>
          <w:szCs w:val="24"/>
          <w:u w:val="single"/>
        </w:rPr>
        <w:t>Behandling</w:t>
      </w:r>
    </w:p>
    <w:p w:rsidR="005770C9" w:rsidRPr="005770C9" w:rsidRDefault="005770C9" w:rsidP="005770C9">
      <w:pPr>
        <w:tabs>
          <w:tab w:val="left" w:pos="851"/>
        </w:tabs>
        <w:ind w:left="851"/>
        <w:rPr>
          <w:sz w:val="24"/>
          <w:szCs w:val="24"/>
        </w:rPr>
      </w:pPr>
      <w:r w:rsidRPr="005770C9">
        <w:rPr>
          <w:sz w:val="24"/>
          <w:szCs w:val="24"/>
        </w:rPr>
        <w:t xml:space="preserve">Ventrikeltømning inden for kort tid efter indtagelse. Genoprettelse af væske- og elektrolytbalancen kan være påkrævet, specielt hos ældre og børn. Administration af </w:t>
      </w:r>
      <w:proofErr w:type="spellStart"/>
      <w:r w:rsidRPr="005770C9">
        <w:rPr>
          <w:sz w:val="24"/>
          <w:szCs w:val="24"/>
        </w:rPr>
        <w:t>spasmolytika</w:t>
      </w:r>
      <w:proofErr w:type="spellEnd"/>
      <w:r w:rsidRPr="005770C9">
        <w:rPr>
          <w:sz w:val="24"/>
          <w:szCs w:val="24"/>
        </w:rPr>
        <w:t xml:space="preserve"> kan have nogen effekt.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9260DE" w:rsidRPr="00C84483" w:rsidRDefault="005770C9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HF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E00718" w:rsidRPr="00C84483" w:rsidRDefault="00E00718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CD4406" w:rsidRDefault="00CD4406" w:rsidP="00CD4406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CD4406">
        <w:rPr>
          <w:sz w:val="24"/>
          <w:szCs w:val="24"/>
        </w:rPr>
        <w:t>Farmakoterapeutisk</w:t>
      </w:r>
      <w:proofErr w:type="spellEnd"/>
      <w:r w:rsidRPr="00CD4406">
        <w:rPr>
          <w:sz w:val="24"/>
          <w:szCs w:val="24"/>
        </w:rPr>
        <w:t xml:space="preserve"> klassifikation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K</w:t>
      </w:r>
      <w:r w:rsidRPr="00E00718">
        <w:rPr>
          <w:sz w:val="24"/>
          <w:szCs w:val="24"/>
        </w:rPr>
        <w:t>ontaktlaksantia</w:t>
      </w:r>
      <w:proofErr w:type="spellEnd"/>
      <w:r>
        <w:rPr>
          <w:sz w:val="24"/>
          <w:szCs w:val="24"/>
        </w:rPr>
        <w:t xml:space="preserve">. ATC-kode: </w:t>
      </w:r>
      <w:r w:rsidRPr="00E00718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E00718">
        <w:rPr>
          <w:sz w:val="24"/>
          <w:szCs w:val="24"/>
        </w:rPr>
        <w:t>06</w:t>
      </w:r>
      <w:r>
        <w:rPr>
          <w:sz w:val="24"/>
          <w:szCs w:val="24"/>
        </w:rPr>
        <w:t xml:space="preserve"> </w:t>
      </w:r>
      <w:r w:rsidRPr="00E00718">
        <w:rPr>
          <w:sz w:val="24"/>
          <w:szCs w:val="24"/>
        </w:rPr>
        <w:t>AB</w:t>
      </w:r>
      <w:r>
        <w:rPr>
          <w:sz w:val="24"/>
          <w:szCs w:val="24"/>
        </w:rPr>
        <w:t xml:space="preserve"> </w:t>
      </w:r>
      <w:r w:rsidRPr="00E00718">
        <w:rPr>
          <w:sz w:val="24"/>
          <w:szCs w:val="24"/>
        </w:rPr>
        <w:t>08</w:t>
      </w:r>
      <w:r>
        <w:rPr>
          <w:sz w:val="24"/>
          <w:szCs w:val="24"/>
        </w:rPr>
        <w:t>.</w:t>
      </w:r>
    </w:p>
    <w:p w:rsidR="00CD4406" w:rsidRDefault="00CD4406" w:rsidP="00774E60">
      <w:pPr>
        <w:tabs>
          <w:tab w:val="left" w:pos="851"/>
        </w:tabs>
        <w:ind w:left="851"/>
        <w:rPr>
          <w:sz w:val="24"/>
          <w:szCs w:val="24"/>
        </w:rPr>
      </w:pPr>
    </w:p>
    <w:p w:rsidR="00774E60" w:rsidRPr="00774E60" w:rsidRDefault="00774E60" w:rsidP="00774E6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74E60">
        <w:rPr>
          <w:sz w:val="24"/>
          <w:szCs w:val="24"/>
        </w:rPr>
        <w:t>Natriumpicosulfat</w:t>
      </w:r>
      <w:proofErr w:type="spellEnd"/>
      <w:r w:rsidRPr="00774E60">
        <w:rPr>
          <w:sz w:val="24"/>
          <w:szCs w:val="24"/>
        </w:rPr>
        <w:t xml:space="preserve"> er et </w:t>
      </w:r>
      <w:proofErr w:type="spellStart"/>
      <w:r w:rsidRPr="00774E60">
        <w:rPr>
          <w:sz w:val="24"/>
          <w:szCs w:val="24"/>
        </w:rPr>
        <w:t>lokaltvirkende</w:t>
      </w:r>
      <w:proofErr w:type="spellEnd"/>
      <w:r w:rsidRPr="00774E60">
        <w:rPr>
          <w:sz w:val="24"/>
          <w:szCs w:val="24"/>
        </w:rPr>
        <w:t xml:space="preserve"> </w:t>
      </w:r>
      <w:proofErr w:type="spellStart"/>
      <w:r w:rsidRPr="00774E60">
        <w:rPr>
          <w:sz w:val="24"/>
          <w:szCs w:val="24"/>
        </w:rPr>
        <w:t>laksans</w:t>
      </w:r>
      <w:proofErr w:type="spellEnd"/>
      <w:r w:rsidRPr="00774E60">
        <w:rPr>
          <w:sz w:val="24"/>
          <w:szCs w:val="24"/>
        </w:rPr>
        <w:t xml:space="preserve"> af </w:t>
      </w:r>
      <w:proofErr w:type="spellStart"/>
      <w:r w:rsidRPr="00774E60">
        <w:rPr>
          <w:sz w:val="24"/>
          <w:szCs w:val="24"/>
        </w:rPr>
        <w:t>triarylmethangruppen</w:t>
      </w:r>
      <w:proofErr w:type="spellEnd"/>
      <w:r w:rsidRPr="00774E60">
        <w:rPr>
          <w:sz w:val="24"/>
          <w:szCs w:val="24"/>
        </w:rPr>
        <w:t xml:space="preserve">, som efter bakteriel spaltning i </w:t>
      </w:r>
      <w:proofErr w:type="spellStart"/>
      <w:r w:rsidRPr="00774E60">
        <w:rPr>
          <w:sz w:val="24"/>
          <w:szCs w:val="24"/>
        </w:rPr>
        <w:t>colon</w:t>
      </w:r>
      <w:proofErr w:type="spellEnd"/>
      <w:r w:rsidRPr="00774E60">
        <w:rPr>
          <w:sz w:val="24"/>
          <w:szCs w:val="24"/>
        </w:rPr>
        <w:t xml:space="preserve"> stimulerer tyktarmens slimhinde og derved øges tarmperistaltikken og forårsager akkumulation af vand og elektrolytter i </w:t>
      </w:r>
      <w:proofErr w:type="spellStart"/>
      <w:r w:rsidRPr="00774E60">
        <w:rPr>
          <w:sz w:val="24"/>
          <w:szCs w:val="24"/>
        </w:rPr>
        <w:t>colon</w:t>
      </w:r>
      <w:proofErr w:type="spellEnd"/>
      <w:r w:rsidRPr="00774E60">
        <w:rPr>
          <w:sz w:val="24"/>
          <w:szCs w:val="24"/>
        </w:rPr>
        <w:t>. Dette resulterer i stimulation af tarmtømning, reduktion af transittiden og blødere afføring.</w:t>
      </w:r>
    </w:p>
    <w:p w:rsidR="00774E60" w:rsidRPr="00774E60" w:rsidRDefault="00774E60" w:rsidP="00774E60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774E60" w:rsidRPr="00774E60" w:rsidRDefault="00774E60" w:rsidP="00774E60">
      <w:pPr>
        <w:tabs>
          <w:tab w:val="left" w:pos="851"/>
        </w:tabs>
        <w:ind w:left="851"/>
        <w:rPr>
          <w:sz w:val="24"/>
          <w:szCs w:val="24"/>
        </w:rPr>
      </w:pPr>
      <w:r w:rsidRPr="00774E60">
        <w:rPr>
          <w:sz w:val="24"/>
          <w:szCs w:val="24"/>
        </w:rPr>
        <w:lastRenderedPageBreak/>
        <w:t xml:space="preserve">Anvendelsen af </w:t>
      </w:r>
      <w:proofErr w:type="spellStart"/>
      <w:r w:rsidRPr="00774E60">
        <w:rPr>
          <w:sz w:val="24"/>
          <w:szCs w:val="24"/>
        </w:rPr>
        <w:t>natriumpicosulfat</w:t>
      </w:r>
      <w:proofErr w:type="spellEnd"/>
      <w:r w:rsidRPr="00774E60">
        <w:rPr>
          <w:sz w:val="24"/>
          <w:szCs w:val="24"/>
        </w:rPr>
        <w:t xml:space="preserve"> medfører ingen ændringer i fordøjelse eller i absorption af kalorier og essentielle næringsstoffer i tyndtarmen, da </w:t>
      </w:r>
      <w:proofErr w:type="spellStart"/>
      <w:r w:rsidRPr="00774E60">
        <w:rPr>
          <w:sz w:val="24"/>
          <w:szCs w:val="24"/>
        </w:rPr>
        <w:t>natriumpicosulfat</w:t>
      </w:r>
      <w:proofErr w:type="spellEnd"/>
      <w:r w:rsidRPr="00774E60">
        <w:rPr>
          <w:sz w:val="24"/>
          <w:szCs w:val="24"/>
        </w:rPr>
        <w:t xml:space="preserve"> virker på tyktarmen ved specifikt at stimulere den naturlige tarmtømning fra den nedre del af </w:t>
      </w:r>
      <w:proofErr w:type="spellStart"/>
      <w:r w:rsidRPr="00774E60">
        <w:rPr>
          <w:sz w:val="24"/>
          <w:szCs w:val="24"/>
        </w:rPr>
        <w:t>mave-tarmkanalen</w:t>
      </w:r>
      <w:proofErr w:type="spellEnd"/>
      <w:r w:rsidRPr="00774E60">
        <w:rPr>
          <w:sz w:val="24"/>
          <w:szCs w:val="24"/>
        </w:rPr>
        <w:t>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774E60" w:rsidRDefault="00774E60" w:rsidP="00774E60">
      <w:pPr>
        <w:tabs>
          <w:tab w:val="left" w:pos="851"/>
        </w:tabs>
        <w:ind w:left="851"/>
        <w:rPr>
          <w:sz w:val="24"/>
          <w:szCs w:val="24"/>
          <w:u w:val="single"/>
        </w:rPr>
      </w:pPr>
    </w:p>
    <w:p w:rsidR="00774E60" w:rsidRPr="00774E60" w:rsidRDefault="00774E60" w:rsidP="00774E6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74E60">
        <w:rPr>
          <w:sz w:val="24"/>
          <w:szCs w:val="24"/>
          <w:u w:val="single"/>
        </w:rPr>
        <w:t>Absorption og fordeling</w:t>
      </w:r>
    </w:p>
    <w:p w:rsidR="00774E60" w:rsidRPr="00774E60" w:rsidRDefault="00774E60" w:rsidP="00774E60">
      <w:pPr>
        <w:tabs>
          <w:tab w:val="left" w:pos="851"/>
        </w:tabs>
        <w:ind w:left="851"/>
        <w:rPr>
          <w:sz w:val="24"/>
          <w:szCs w:val="24"/>
        </w:rPr>
      </w:pPr>
      <w:r w:rsidRPr="00774E60">
        <w:rPr>
          <w:sz w:val="24"/>
          <w:szCs w:val="24"/>
        </w:rPr>
        <w:t xml:space="preserve">Efter oral administration absorberes </w:t>
      </w:r>
      <w:proofErr w:type="spellStart"/>
      <w:r w:rsidRPr="00774E60">
        <w:rPr>
          <w:sz w:val="24"/>
          <w:szCs w:val="24"/>
        </w:rPr>
        <w:t>natriumpicosulfat</w:t>
      </w:r>
      <w:proofErr w:type="spellEnd"/>
      <w:r w:rsidRPr="00774E60">
        <w:rPr>
          <w:sz w:val="24"/>
          <w:szCs w:val="24"/>
        </w:rPr>
        <w:t xml:space="preserve"> kun i ringe grad. Således undgås </w:t>
      </w:r>
      <w:proofErr w:type="spellStart"/>
      <w:r w:rsidRPr="00774E60">
        <w:rPr>
          <w:sz w:val="24"/>
          <w:szCs w:val="24"/>
        </w:rPr>
        <w:t>enterohepatisk</w:t>
      </w:r>
      <w:proofErr w:type="spellEnd"/>
      <w:r w:rsidRPr="00774E60">
        <w:rPr>
          <w:sz w:val="24"/>
          <w:szCs w:val="24"/>
        </w:rPr>
        <w:t xml:space="preserve"> cirkulation.</w:t>
      </w:r>
    </w:p>
    <w:p w:rsidR="00774E60" w:rsidRPr="00774E60" w:rsidRDefault="00774E60" w:rsidP="00774E60">
      <w:pPr>
        <w:tabs>
          <w:tab w:val="left" w:pos="851"/>
        </w:tabs>
        <w:ind w:left="851"/>
        <w:rPr>
          <w:sz w:val="24"/>
          <w:szCs w:val="24"/>
        </w:rPr>
      </w:pPr>
    </w:p>
    <w:p w:rsidR="00774E60" w:rsidRPr="00774E60" w:rsidRDefault="00774E60" w:rsidP="00774E6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74E60">
        <w:rPr>
          <w:sz w:val="24"/>
          <w:szCs w:val="24"/>
          <w:u w:val="single"/>
        </w:rPr>
        <w:t>Biotransformation</w:t>
      </w:r>
    </w:p>
    <w:p w:rsidR="00774E60" w:rsidRPr="00774E60" w:rsidRDefault="00774E60" w:rsidP="00774E6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74E60">
        <w:rPr>
          <w:sz w:val="24"/>
          <w:szCs w:val="24"/>
        </w:rPr>
        <w:t>Natriumpicosulfat</w:t>
      </w:r>
      <w:proofErr w:type="spellEnd"/>
      <w:r w:rsidRPr="00774E60">
        <w:rPr>
          <w:sz w:val="24"/>
          <w:szCs w:val="24"/>
        </w:rPr>
        <w:t xml:space="preserve"> omdannes ved bakteriel spaltning i den </w:t>
      </w:r>
      <w:proofErr w:type="spellStart"/>
      <w:r w:rsidRPr="00774E60">
        <w:rPr>
          <w:sz w:val="24"/>
          <w:szCs w:val="24"/>
        </w:rPr>
        <w:t>distale</w:t>
      </w:r>
      <w:proofErr w:type="spellEnd"/>
      <w:r w:rsidRPr="00774E60">
        <w:rPr>
          <w:sz w:val="24"/>
          <w:szCs w:val="24"/>
        </w:rPr>
        <w:t xml:space="preserve"> del af tyndtarmen til den aktive form, </w:t>
      </w:r>
      <w:proofErr w:type="spellStart"/>
      <w:r w:rsidRPr="00774E60">
        <w:rPr>
          <w:sz w:val="24"/>
          <w:szCs w:val="24"/>
        </w:rPr>
        <w:t>bis-</w:t>
      </w:r>
      <w:proofErr w:type="spellEnd"/>
      <w:r w:rsidRPr="00774E60">
        <w:rPr>
          <w:sz w:val="24"/>
          <w:szCs w:val="24"/>
        </w:rPr>
        <w:t>(p-</w:t>
      </w:r>
      <w:proofErr w:type="spellStart"/>
      <w:proofErr w:type="gramStart"/>
      <w:r w:rsidRPr="00774E60">
        <w:rPr>
          <w:sz w:val="24"/>
          <w:szCs w:val="24"/>
        </w:rPr>
        <w:t>hydroxyphenyl</w:t>
      </w:r>
      <w:proofErr w:type="spellEnd"/>
      <w:r w:rsidRPr="00774E60">
        <w:rPr>
          <w:sz w:val="24"/>
          <w:szCs w:val="24"/>
        </w:rPr>
        <w:t>)-</w:t>
      </w:r>
      <w:proofErr w:type="gramEnd"/>
      <w:r w:rsidRPr="00774E60">
        <w:rPr>
          <w:sz w:val="24"/>
          <w:szCs w:val="24"/>
        </w:rPr>
        <w:t xml:space="preserve">pyridyl-2-methan (BHPM). </w:t>
      </w:r>
    </w:p>
    <w:p w:rsidR="00774E60" w:rsidRPr="00774E60" w:rsidRDefault="00774E60" w:rsidP="00774E60">
      <w:pPr>
        <w:tabs>
          <w:tab w:val="left" w:pos="851"/>
        </w:tabs>
        <w:ind w:left="851"/>
        <w:rPr>
          <w:sz w:val="24"/>
          <w:szCs w:val="24"/>
        </w:rPr>
      </w:pPr>
    </w:p>
    <w:p w:rsidR="00774E60" w:rsidRPr="00774E60" w:rsidRDefault="00774E60" w:rsidP="00774E60">
      <w:pPr>
        <w:tabs>
          <w:tab w:val="left" w:pos="851"/>
        </w:tabs>
        <w:ind w:left="851"/>
        <w:rPr>
          <w:sz w:val="24"/>
          <w:szCs w:val="24"/>
          <w:u w:val="single"/>
        </w:rPr>
      </w:pPr>
      <w:r w:rsidRPr="00774E60">
        <w:rPr>
          <w:sz w:val="24"/>
          <w:szCs w:val="24"/>
          <w:u w:val="single"/>
        </w:rPr>
        <w:t>Elimination</w:t>
      </w:r>
    </w:p>
    <w:p w:rsidR="00774E60" w:rsidRPr="00774E60" w:rsidRDefault="00774E60" w:rsidP="00774E60">
      <w:pPr>
        <w:tabs>
          <w:tab w:val="left" w:pos="851"/>
        </w:tabs>
        <w:ind w:left="851"/>
        <w:rPr>
          <w:sz w:val="24"/>
          <w:szCs w:val="24"/>
        </w:rPr>
      </w:pPr>
      <w:r w:rsidRPr="00774E60">
        <w:rPr>
          <w:sz w:val="24"/>
          <w:szCs w:val="24"/>
        </w:rPr>
        <w:t>Efter omdannelse absorberes kun små mængder af BHPM, der næsten fuldstændigt omdannes til det inaktive BHPM-</w:t>
      </w:r>
      <w:proofErr w:type="spellStart"/>
      <w:r w:rsidRPr="00774E60">
        <w:rPr>
          <w:sz w:val="24"/>
          <w:szCs w:val="24"/>
        </w:rPr>
        <w:t>glucuronid</w:t>
      </w:r>
      <w:proofErr w:type="spellEnd"/>
      <w:r w:rsidRPr="00774E60">
        <w:rPr>
          <w:sz w:val="24"/>
          <w:szCs w:val="24"/>
        </w:rPr>
        <w:t xml:space="preserve"> ved </w:t>
      </w:r>
      <w:proofErr w:type="spellStart"/>
      <w:r w:rsidRPr="00774E60">
        <w:rPr>
          <w:sz w:val="24"/>
          <w:szCs w:val="24"/>
        </w:rPr>
        <w:t>konjugering</w:t>
      </w:r>
      <w:proofErr w:type="spellEnd"/>
      <w:r w:rsidRPr="00774E60">
        <w:rPr>
          <w:sz w:val="24"/>
          <w:szCs w:val="24"/>
        </w:rPr>
        <w:t xml:space="preserve"> i tarmvæggen og leveren.</w:t>
      </w:r>
    </w:p>
    <w:p w:rsidR="00774E60" w:rsidRPr="00774E60" w:rsidRDefault="00774E60" w:rsidP="00774E60">
      <w:pPr>
        <w:tabs>
          <w:tab w:val="left" w:pos="851"/>
        </w:tabs>
        <w:ind w:left="851"/>
        <w:rPr>
          <w:sz w:val="24"/>
          <w:szCs w:val="24"/>
        </w:rPr>
      </w:pPr>
      <w:r w:rsidRPr="00774E60">
        <w:rPr>
          <w:sz w:val="24"/>
          <w:szCs w:val="24"/>
        </w:rPr>
        <w:t xml:space="preserve">48 timer efter oral administration af 10 mg </w:t>
      </w:r>
      <w:proofErr w:type="spellStart"/>
      <w:r w:rsidRPr="00774E60">
        <w:rPr>
          <w:sz w:val="24"/>
          <w:szCs w:val="24"/>
        </w:rPr>
        <w:t>natriumpicosulfat</w:t>
      </w:r>
      <w:proofErr w:type="spellEnd"/>
      <w:r w:rsidRPr="00774E60">
        <w:rPr>
          <w:sz w:val="24"/>
          <w:szCs w:val="24"/>
        </w:rPr>
        <w:t xml:space="preserve"> udskilles 10,4 % af den totale dosis som BHPM-</w:t>
      </w:r>
      <w:proofErr w:type="spellStart"/>
      <w:r w:rsidRPr="00774E60">
        <w:rPr>
          <w:sz w:val="24"/>
          <w:szCs w:val="24"/>
        </w:rPr>
        <w:t>glucuronid</w:t>
      </w:r>
      <w:proofErr w:type="spellEnd"/>
      <w:r w:rsidRPr="00774E60">
        <w:rPr>
          <w:sz w:val="24"/>
          <w:szCs w:val="24"/>
        </w:rPr>
        <w:t xml:space="preserve"> i urinen. Generelt aftager andelen udskilt i urinen ved højere doser af </w:t>
      </w:r>
      <w:proofErr w:type="spellStart"/>
      <w:r w:rsidRPr="00774E60">
        <w:rPr>
          <w:sz w:val="24"/>
          <w:szCs w:val="24"/>
        </w:rPr>
        <w:t>natriumpicosulfat</w:t>
      </w:r>
      <w:proofErr w:type="spellEnd"/>
      <w:r w:rsidRPr="00774E60">
        <w:rPr>
          <w:sz w:val="24"/>
          <w:szCs w:val="24"/>
        </w:rPr>
        <w:t>.</w:t>
      </w:r>
    </w:p>
    <w:p w:rsidR="00774E60" w:rsidRPr="00774E60" w:rsidRDefault="00774E60" w:rsidP="00774E60">
      <w:pPr>
        <w:tabs>
          <w:tab w:val="left" w:pos="851"/>
        </w:tabs>
        <w:ind w:left="851"/>
        <w:rPr>
          <w:sz w:val="24"/>
          <w:szCs w:val="24"/>
        </w:rPr>
      </w:pPr>
    </w:p>
    <w:p w:rsidR="00774E60" w:rsidRPr="00774E60" w:rsidRDefault="00774E60" w:rsidP="00774E6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74E60">
        <w:rPr>
          <w:sz w:val="24"/>
          <w:szCs w:val="24"/>
          <w:u w:val="single"/>
        </w:rPr>
        <w:t>Farmakokinetiske</w:t>
      </w:r>
      <w:proofErr w:type="spellEnd"/>
      <w:r w:rsidRPr="00774E60">
        <w:rPr>
          <w:sz w:val="24"/>
          <w:szCs w:val="24"/>
          <w:u w:val="single"/>
        </w:rPr>
        <w:t>/</w:t>
      </w:r>
      <w:proofErr w:type="spellStart"/>
      <w:r w:rsidRPr="00774E60">
        <w:rPr>
          <w:sz w:val="24"/>
          <w:szCs w:val="24"/>
          <w:u w:val="single"/>
        </w:rPr>
        <w:t>farmakodynamiske</w:t>
      </w:r>
      <w:proofErr w:type="spellEnd"/>
      <w:r w:rsidRPr="00774E60">
        <w:rPr>
          <w:sz w:val="24"/>
          <w:szCs w:val="24"/>
          <w:u w:val="single"/>
        </w:rPr>
        <w:t xml:space="preserve"> forhold</w:t>
      </w:r>
    </w:p>
    <w:p w:rsidR="00774E60" w:rsidRPr="00774E60" w:rsidRDefault="00774E60" w:rsidP="00774E60">
      <w:pPr>
        <w:tabs>
          <w:tab w:val="left" w:pos="851"/>
        </w:tabs>
        <w:ind w:left="851"/>
        <w:rPr>
          <w:sz w:val="24"/>
          <w:szCs w:val="24"/>
        </w:rPr>
      </w:pPr>
      <w:r w:rsidRPr="00774E60">
        <w:rPr>
          <w:sz w:val="24"/>
          <w:szCs w:val="24"/>
        </w:rPr>
        <w:t xml:space="preserve">Virkningen indtræder sædvanligvis efter 6-12 timer afhængigt af dannelsen af den aktive form (BHPM). </w:t>
      </w:r>
    </w:p>
    <w:p w:rsidR="00774E60" w:rsidRPr="00774E60" w:rsidRDefault="00774E60" w:rsidP="00774E6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74E60">
        <w:rPr>
          <w:sz w:val="24"/>
          <w:szCs w:val="24"/>
        </w:rPr>
        <w:t>Natriumpicosulfat</w:t>
      </w:r>
      <w:proofErr w:type="spellEnd"/>
      <w:r w:rsidRPr="00774E60">
        <w:rPr>
          <w:sz w:val="24"/>
          <w:szCs w:val="24"/>
        </w:rPr>
        <w:t>, der absorberes efter oral administration, udskilles via nyrerne. Der er ingen sammenhæng mellem den afførende virkning og plasmakoncentrationen af det aktive stof.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 w:rsidR="00CD4406"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774E60" w:rsidRPr="00774E60" w:rsidRDefault="00774E60" w:rsidP="00774E6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74E60">
        <w:rPr>
          <w:sz w:val="24"/>
          <w:szCs w:val="24"/>
        </w:rPr>
        <w:t>Natriumpicosulfat</w:t>
      </w:r>
      <w:proofErr w:type="spellEnd"/>
      <w:r w:rsidRPr="00774E60">
        <w:rPr>
          <w:sz w:val="24"/>
          <w:szCs w:val="24"/>
        </w:rPr>
        <w:t xml:space="preserve"> viste lav akut toksicitet hos forsøgsdyr. Oral LD</w:t>
      </w:r>
      <w:r w:rsidRPr="00774E60">
        <w:rPr>
          <w:sz w:val="24"/>
          <w:szCs w:val="24"/>
          <w:vertAlign w:val="subscript"/>
        </w:rPr>
        <w:t>50</w:t>
      </w:r>
      <w:r w:rsidRPr="00774E60">
        <w:rPr>
          <w:sz w:val="24"/>
          <w:szCs w:val="24"/>
        </w:rPr>
        <w:t xml:space="preserve"> var &gt;17 g/kg (mus), &gt;16 g/kg (rotter) og &gt;6 g/kg (kanin, hund). De vigtigste symptomer på toksicitet hos mus og rotter er øget trang til at drikke, </w:t>
      </w:r>
      <w:proofErr w:type="spellStart"/>
      <w:r w:rsidRPr="00774E60">
        <w:rPr>
          <w:sz w:val="24"/>
          <w:szCs w:val="24"/>
        </w:rPr>
        <w:t>piloerektion</w:t>
      </w:r>
      <w:proofErr w:type="spellEnd"/>
      <w:r w:rsidRPr="00774E60">
        <w:rPr>
          <w:sz w:val="24"/>
          <w:szCs w:val="24"/>
        </w:rPr>
        <w:t>, diarré og opkastninger.</w:t>
      </w:r>
    </w:p>
    <w:p w:rsidR="00774E60" w:rsidRPr="00774E60" w:rsidRDefault="00774E60" w:rsidP="00774E60">
      <w:pPr>
        <w:tabs>
          <w:tab w:val="left" w:pos="851"/>
        </w:tabs>
        <w:ind w:left="851"/>
        <w:rPr>
          <w:sz w:val="24"/>
          <w:szCs w:val="24"/>
        </w:rPr>
      </w:pPr>
      <w:r w:rsidRPr="00774E60">
        <w:rPr>
          <w:sz w:val="24"/>
          <w:szCs w:val="24"/>
        </w:rPr>
        <w:t xml:space="preserve">Subkroniske og kroniske studier over op til 6 måneder hos rotter (op til 100 mg/kg) og hunde (op til 1.000 mg/kg) viste diarré og vægttab ved doser, der var 500 og 5.000 gange højere end terapeutiske doser hos mennesket (baseret på 50 kg legemsvægt). Efter højdosiseksponering forekom singulær atrofi af slimhinden i mavetarmkanalen. De behandlingsinducerede ændringer var forårsaget af kronisk irritation og forbundet med </w:t>
      </w:r>
      <w:proofErr w:type="spellStart"/>
      <w:r w:rsidRPr="00774E60">
        <w:rPr>
          <w:sz w:val="24"/>
          <w:szCs w:val="24"/>
        </w:rPr>
        <w:t>cachexia</w:t>
      </w:r>
      <w:proofErr w:type="spellEnd"/>
      <w:r w:rsidRPr="00774E60">
        <w:rPr>
          <w:sz w:val="24"/>
          <w:szCs w:val="24"/>
        </w:rPr>
        <w:t xml:space="preserve">. Alle toksiske bivirkninger var reversible. </w:t>
      </w:r>
      <w:proofErr w:type="spellStart"/>
      <w:r w:rsidRPr="00774E60">
        <w:rPr>
          <w:sz w:val="24"/>
          <w:szCs w:val="24"/>
        </w:rPr>
        <w:t>Natriumpicosulfat</w:t>
      </w:r>
      <w:proofErr w:type="spellEnd"/>
      <w:r w:rsidRPr="00774E60">
        <w:rPr>
          <w:sz w:val="24"/>
          <w:szCs w:val="24"/>
        </w:rPr>
        <w:t xml:space="preserve"> havde ikke negativ effekt på puls, blodtryk og respiration hos vågne og bedøvede dyr.</w:t>
      </w:r>
    </w:p>
    <w:p w:rsidR="00774E60" w:rsidRPr="00774E60" w:rsidRDefault="00774E60" w:rsidP="00774E60">
      <w:pPr>
        <w:tabs>
          <w:tab w:val="left" w:pos="851"/>
        </w:tabs>
        <w:ind w:left="851"/>
        <w:rPr>
          <w:sz w:val="24"/>
          <w:szCs w:val="24"/>
        </w:rPr>
      </w:pPr>
    </w:p>
    <w:p w:rsidR="00774E60" w:rsidRPr="00774E60" w:rsidRDefault="00774E60" w:rsidP="00774E6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74E60">
        <w:rPr>
          <w:sz w:val="24"/>
          <w:szCs w:val="24"/>
        </w:rPr>
        <w:t>Natriumpicosulfat</w:t>
      </w:r>
      <w:proofErr w:type="spellEnd"/>
      <w:r w:rsidRPr="00774E60">
        <w:rPr>
          <w:sz w:val="24"/>
          <w:szCs w:val="24"/>
        </w:rPr>
        <w:t xml:space="preserve"> havde ikke genotoksisk potentiale i bakterier og </w:t>
      </w:r>
      <w:proofErr w:type="spellStart"/>
      <w:r w:rsidRPr="00774E60">
        <w:rPr>
          <w:sz w:val="24"/>
          <w:szCs w:val="24"/>
        </w:rPr>
        <w:t>mammale</w:t>
      </w:r>
      <w:proofErr w:type="spellEnd"/>
      <w:r w:rsidRPr="00774E60">
        <w:rPr>
          <w:sz w:val="24"/>
          <w:szCs w:val="24"/>
        </w:rPr>
        <w:t xml:space="preserve"> celler in </w:t>
      </w:r>
      <w:proofErr w:type="spellStart"/>
      <w:r w:rsidRPr="00774E60">
        <w:rPr>
          <w:sz w:val="24"/>
          <w:szCs w:val="24"/>
        </w:rPr>
        <w:t>vitro</w:t>
      </w:r>
      <w:proofErr w:type="spellEnd"/>
      <w:r w:rsidRPr="00774E60">
        <w:rPr>
          <w:sz w:val="24"/>
          <w:szCs w:val="24"/>
        </w:rPr>
        <w:t xml:space="preserve"> og in </w:t>
      </w:r>
      <w:proofErr w:type="spellStart"/>
      <w:r w:rsidRPr="00774E60">
        <w:rPr>
          <w:sz w:val="24"/>
          <w:szCs w:val="24"/>
        </w:rPr>
        <w:t>vivo</w:t>
      </w:r>
      <w:proofErr w:type="spellEnd"/>
      <w:r w:rsidRPr="00774E60">
        <w:rPr>
          <w:sz w:val="24"/>
          <w:szCs w:val="24"/>
        </w:rPr>
        <w:t xml:space="preserve">. Der findes ingen </w:t>
      </w:r>
      <w:bookmarkStart w:id="0" w:name="OLE_LINK1"/>
      <w:r w:rsidRPr="00774E60">
        <w:rPr>
          <w:sz w:val="24"/>
          <w:szCs w:val="24"/>
        </w:rPr>
        <w:t>konventionelle kroniske</w:t>
      </w:r>
      <w:bookmarkEnd w:id="0"/>
      <w:r w:rsidRPr="00774E60">
        <w:rPr>
          <w:sz w:val="24"/>
          <w:szCs w:val="24"/>
        </w:rPr>
        <w:t xml:space="preserve"> </w:t>
      </w:r>
      <w:proofErr w:type="spellStart"/>
      <w:r w:rsidRPr="00774E60">
        <w:rPr>
          <w:sz w:val="24"/>
          <w:szCs w:val="24"/>
        </w:rPr>
        <w:t>bioassays</w:t>
      </w:r>
      <w:proofErr w:type="spellEnd"/>
      <w:r w:rsidRPr="00774E60">
        <w:rPr>
          <w:sz w:val="24"/>
          <w:szCs w:val="24"/>
        </w:rPr>
        <w:t xml:space="preserve"> for </w:t>
      </w:r>
      <w:proofErr w:type="spellStart"/>
      <w:r w:rsidRPr="00774E60">
        <w:rPr>
          <w:sz w:val="24"/>
          <w:szCs w:val="24"/>
        </w:rPr>
        <w:t>carcinogenicitet</w:t>
      </w:r>
      <w:proofErr w:type="spellEnd"/>
      <w:r w:rsidRPr="00774E60">
        <w:rPr>
          <w:sz w:val="24"/>
          <w:szCs w:val="24"/>
        </w:rPr>
        <w:t xml:space="preserve"> hos rotter og mus.</w:t>
      </w:r>
    </w:p>
    <w:p w:rsidR="00774E60" w:rsidRPr="00774E60" w:rsidRDefault="00774E60" w:rsidP="00774E60">
      <w:pPr>
        <w:tabs>
          <w:tab w:val="left" w:pos="851"/>
        </w:tabs>
        <w:ind w:left="851"/>
        <w:rPr>
          <w:sz w:val="24"/>
          <w:szCs w:val="24"/>
        </w:rPr>
      </w:pPr>
    </w:p>
    <w:p w:rsidR="00774E60" w:rsidRPr="00774E60" w:rsidRDefault="00774E60" w:rsidP="00774E60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774E60">
        <w:rPr>
          <w:sz w:val="24"/>
          <w:szCs w:val="24"/>
        </w:rPr>
        <w:t>Natriumpicosulfat</w:t>
      </w:r>
      <w:proofErr w:type="spellEnd"/>
      <w:r w:rsidRPr="00774E60">
        <w:rPr>
          <w:sz w:val="24"/>
          <w:szCs w:val="24"/>
        </w:rPr>
        <w:t xml:space="preserve"> har været undersøgt for </w:t>
      </w:r>
      <w:proofErr w:type="spellStart"/>
      <w:r w:rsidRPr="00774E60">
        <w:rPr>
          <w:sz w:val="24"/>
          <w:szCs w:val="24"/>
        </w:rPr>
        <w:t>teratogenicitet</w:t>
      </w:r>
      <w:proofErr w:type="spellEnd"/>
      <w:r w:rsidRPr="00774E60">
        <w:rPr>
          <w:sz w:val="24"/>
          <w:szCs w:val="24"/>
        </w:rPr>
        <w:t xml:space="preserve"> (segment II) hos rotter (1, 10, 1.000 og 10.000 mg/kg) og kaniner (1, 10 og 1.000 mg/kg) efter oral dosering. Toksiske doser hos moderdyr, der forårsagede diarré, var forbundet med embryotoksicitet (flere aborter) uden </w:t>
      </w:r>
      <w:proofErr w:type="spellStart"/>
      <w:r w:rsidRPr="00774E60">
        <w:rPr>
          <w:sz w:val="24"/>
          <w:szCs w:val="24"/>
        </w:rPr>
        <w:t>teratogene</w:t>
      </w:r>
      <w:proofErr w:type="spellEnd"/>
      <w:r w:rsidRPr="00774E60">
        <w:rPr>
          <w:sz w:val="24"/>
          <w:szCs w:val="24"/>
        </w:rPr>
        <w:t xml:space="preserve"> effekter eller uheldige virkninger på afkommets reproduktionsevne. Fertilitet og generel fosterudvikling (segment I) samt præ og post </w:t>
      </w:r>
      <w:proofErr w:type="spellStart"/>
      <w:r w:rsidRPr="00774E60">
        <w:rPr>
          <w:sz w:val="24"/>
          <w:szCs w:val="24"/>
        </w:rPr>
        <w:t>natal</w:t>
      </w:r>
      <w:proofErr w:type="spellEnd"/>
      <w:r w:rsidRPr="00774E60">
        <w:rPr>
          <w:sz w:val="24"/>
          <w:szCs w:val="24"/>
        </w:rPr>
        <w:t xml:space="preserve"> udvikling segment (III) hos rotter var ikke skadet af orale doser på 1, 10 og 100 mg/kg.</w:t>
      </w:r>
    </w:p>
    <w:p w:rsidR="00774E60" w:rsidRPr="00774E60" w:rsidRDefault="00774E60" w:rsidP="00774E60">
      <w:pPr>
        <w:tabs>
          <w:tab w:val="left" w:pos="851"/>
        </w:tabs>
        <w:ind w:left="851"/>
        <w:rPr>
          <w:sz w:val="24"/>
          <w:szCs w:val="24"/>
        </w:rPr>
      </w:pPr>
    </w:p>
    <w:p w:rsidR="00774E60" w:rsidRPr="00774E60" w:rsidRDefault="00774E60" w:rsidP="00774E60">
      <w:pPr>
        <w:tabs>
          <w:tab w:val="left" w:pos="851"/>
        </w:tabs>
        <w:ind w:left="851"/>
        <w:rPr>
          <w:sz w:val="24"/>
          <w:szCs w:val="24"/>
        </w:rPr>
      </w:pPr>
      <w:r w:rsidRPr="00774E60">
        <w:rPr>
          <w:sz w:val="24"/>
          <w:szCs w:val="24"/>
        </w:rPr>
        <w:t xml:space="preserve">Sammenfatning: På grund af lav biotilgængelighed efter oral administration er den akutte og kroniske toksicitet af </w:t>
      </w:r>
      <w:proofErr w:type="spellStart"/>
      <w:r w:rsidRPr="00774E60">
        <w:rPr>
          <w:sz w:val="24"/>
          <w:szCs w:val="24"/>
        </w:rPr>
        <w:t>natriumpicosulfat</w:t>
      </w:r>
      <w:proofErr w:type="spellEnd"/>
      <w:r w:rsidRPr="00774E60">
        <w:rPr>
          <w:sz w:val="24"/>
          <w:szCs w:val="24"/>
        </w:rPr>
        <w:t xml:space="preserve"> lav.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9260DE" w:rsidRPr="00BA09F1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BA75E5" w:rsidRPr="00BA75E5" w:rsidRDefault="00BA75E5" w:rsidP="00BA75E5">
      <w:pPr>
        <w:tabs>
          <w:tab w:val="left" w:pos="851"/>
        </w:tabs>
        <w:ind w:left="851"/>
        <w:rPr>
          <w:sz w:val="24"/>
          <w:szCs w:val="24"/>
        </w:rPr>
      </w:pPr>
      <w:r w:rsidRPr="00BA75E5">
        <w:rPr>
          <w:sz w:val="24"/>
          <w:szCs w:val="24"/>
        </w:rPr>
        <w:t>Natriumbenzoat (E211)</w:t>
      </w:r>
    </w:p>
    <w:p w:rsidR="00BA75E5" w:rsidRPr="00BA75E5" w:rsidRDefault="00BA75E5" w:rsidP="00BA75E5">
      <w:pPr>
        <w:tabs>
          <w:tab w:val="left" w:pos="851"/>
        </w:tabs>
        <w:ind w:left="851"/>
        <w:rPr>
          <w:sz w:val="24"/>
          <w:szCs w:val="24"/>
        </w:rPr>
      </w:pPr>
      <w:r w:rsidRPr="00BA75E5">
        <w:rPr>
          <w:sz w:val="24"/>
          <w:szCs w:val="24"/>
        </w:rPr>
        <w:t>Sorbitol (E420)</w:t>
      </w:r>
    </w:p>
    <w:p w:rsidR="00BA75E5" w:rsidRPr="00BA75E5" w:rsidRDefault="00BA75E5" w:rsidP="00BA75E5">
      <w:pPr>
        <w:tabs>
          <w:tab w:val="left" w:pos="851"/>
        </w:tabs>
        <w:ind w:left="851"/>
        <w:rPr>
          <w:sz w:val="24"/>
          <w:szCs w:val="24"/>
        </w:rPr>
      </w:pPr>
      <w:r w:rsidRPr="00BA75E5">
        <w:rPr>
          <w:sz w:val="24"/>
          <w:szCs w:val="24"/>
        </w:rPr>
        <w:t>Citronsyremonohydrat</w:t>
      </w:r>
    </w:p>
    <w:p w:rsidR="00BA75E5" w:rsidRPr="00BA75E5" w:rsidRDefault="00BA75E5" w:rsidP="00BA75E5">
      <w:pPr>
        <w:tabs>
          <w:tab w:val="left" w:pos="851"/>
        </w:tabs>
        <w:ind w:left="851"/>
        <w:rPr>
          <w:sz w:val="24"/>
          <w:szCs w:val="24"/>
        </w:rPr>
      </w:pPr>
      <w:r w:rsidRPr="00BA75E5">
        <w:rPr>
          <w:sz w:val="24"/>
          <w:szCs w:val="24"/>
        </w:rPr>
        <w:t xml:space="preserve">Natriumcitrat </w:t>
      </w:r>
    </w:p>
    <w:p w:rsidR="009260DE" w:rsidRPr="00C84483" w:rsidRDefault="0096208E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Renset v</w:t>
      </w:r>
      <w:r w:rsidR="00BA75E5" w:rsidRPr="00BA75E5">
        <w:rPr>
          <w:sz w:val="24"/>
          <w:szCs w:val="24"/>
        </w:rPr>
        <w:t>and</w:t>
      </w:r>
      <w:r w:rsidR="00754B3E">
        <w:rPr>
          <w:sz w:val="24"/>
          <w:szCs w:val="24"/>
        </w:rPr>
        <w:t xml:space="preserve"> </w:t>
      </w: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BA75E5" w:rsidRPr="00BA75E5" w:rsidRDefault="00BA75E5" w:rsidP="00BA75E5">
      <w:pPr>
        <w:tabs>
          <w:tab w:val="left" w:pos="851"/>
        </w:tabs>
        <w:ind w:left="851"/>
        <w:rPr>
          <w:sz w:val="24"/>
          <w:szCs w:val="24"/>
        </w:rPr>
      </w:pPr>
      <w:r w:rsidRPr="00BA75E5">
        <w:rPr>
          <w:sz w:val="24"/>
          <w:szCs w:val="24"/>
        </w:rPr>
        <w:t>Ikke relevant.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BA75E5" w:rsidRPr="00BA75E5" w:rsidRDefault="00BA75E5" w:rsidP="003E564B">
      <w:pPr>
        <w:tabs>
          <w:tab w:val="left" w:pos="851"/>
        </w:tabs>
        <w:ind w:left="851"/>
        <w:rPr>
          <w:sz w:val="24"/>
          <w:szCs w:val="24"/>
        </w:rPr>
      </w:pPr>
      <w:r w:rsidRPr="00BA75E5">
        <w:rPr>
          <w:sz w:val="24"/>
          <w:szCs w:val="24"/>
        </w:rPr>
        <w:t>3</w:t>
      </w:r>
      <w:r w:rsidR="0096208E">
        <w:rPr>
          <w:sz w:val="24"/>
          <w:szCs w:val="24"/>
        </w:rPr>
        <w:t>0 måneder.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B3214F" w:rsidRPr="00B3214F" w:rsidRDefault="00B3214F" w:rsidP="00B3214F">
      <w:pPr>
        <w:tabs>
          <w:tab w:val="left" w:pos="851"/>
        </w:tabs>
        <w:ind w:left="851"/>
        <w:rPr>
          <w:sz w:val="24"/>
          <w:szCs w:val="24"/>
        </w:rPr>
      </w:pPr>
      <w:r w:rsidRPr="00B3214F">
        <w:rPr>
          <w:sz w:val="24"/>
          <w:szCs w:val="24"/>
        </w:rPr>
        <w:t>Dette lægemiddel kræver ingen særlige forholdsregler vedrørende opbevaringen.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650FCA" w:rsidRPr="00650FCA" w:rsidRDefault="0096208E" w:rsidP="00650FCA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Ravfarvet glas</w:t>
      </w:r>
      <w:r w:rsidR="00650FCA" w:rsidRPr="00650FCA">
        <w:rPr>
          <w:sz w:val="24"/>
          <w:szCs w:val="24"/>
        </w:rPr>
        <w:t xml:space="preserve">flaske med hvid uigennemsigtig dråbetællerspids (LDPE) og </w:t>
      </w:r>
      <w:r>
        <w:rPr>
          <w:sz w:val="24"/>
          <w:szCs w:val="24"/>
        </w:rPr>
        <w:t>hvid</w:t>
      </w:r>
      <w:r w:rsidR="00650FCA" w:rsidRPr="00650FCA">
        <w:rPr>
          <w:sz w:val="24"/>
          <w:szCs w:val="24"/>
        </w:rPr>
        <w:t>t skruelåg (HDPE).</w:t>
      </w:r>
    </w:p>
    <w:p w:rsidR="00650FCA" w:rsidRPr="00650FCA" w:rsidRDefault="00650FCA" w:rsidP="00650FCA">
      <w:pPr>
        <w:tabs>
          <w:tab w:val="left" w:pos="851"/>
        </w:tabs>
        <w:ind w:left="851"/>
        <w:rPr>
          <w:sz w:val="24"/>
          <w:szCs w:val="24"/>
        </w:rPr>
      </w:pPr>
    </w:p>
    <w:p w:rsidR="00650FCA" w:rsidRPr="00650FCA" w:rsidRDefault="00650FCA" w:rsidP="00650FCA">
      <w:pPr>
        <w:tabs>
          <w:tab w:val="left" w:pos="851"/>
        </w:tabs>
        <w:ind w:left="851"/>
        <w:rPr>
          <w:sz w:val="24"/>
          <w:szCs w:val="24"/>
        </w:rPr>
      </w:pPr>
      <w:r w:rsidRPr="00650FCA">
        <w:rPr>
          <w:sz w:val="24"/>
          <w:szCs w:val="24"/>
        </w:rPr>
        <w:t xml:space="preserve">Pakningsstørrelser: </w:t>
      </w:r>
      <w:r w:rsidR="0096208E">
        <w:rPr>
          <w:sz w:val="24"/>
          <w:szCs w:val="24"/>
        </w:rPr>
        <w:t>2</w:t>
      </w:r>
      <w:r w:rsidRPr="00650FCA">
        <w:rPr>
          <w:sz w:val="24"/>
          <w:szCs w:val="24"/>
        </w:rPr>
        <w:t>5 ml</w:t>
      </w:r>
      <w:r w:rsidR="0096208E">
        <w:rPr>
          <w:sz w:val="24"/>
          <w:szCs w:val="24"/>
        </w:rPr>
        <w:t>.</w:t>
      </w:r>
    </w:p>
    <w:p w:rsidR="0096208E" w:rsidRDefault="0096208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 w:rsidR="00CD4406"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650FCA" w:rsidRPr="00650FCA" w:rsidRDefault="00650FCA" w:rsidP="00650FCA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650FCA">
        <w:rPr>
          <w:sz w:val="24"/>
          <w:szCs w:val="24"/>
        </w:rPr>
        <w:t>Ingen særlige forholdsregler.</w:t>
      </w:r>
    </w:p>
    <w:p w:rsidR="009260DE" w:rsidRPr="00C8448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981A5E" w:rsidRPr="00981A5E" w:rsidRDefault="00981A5E" w:rsidP="00981A5E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981A5E">
        <w:rPr>
          <w:sz w:val="24"/>
          <w:szCs w:val="24"/>
          <w:lang w:val="en-US"/>
        </w:rPr>
        <w:t>Orifarm</w:t>
      </w:r>
      <w:proofErr w:type="spellEnd"/>
      <w:r w:rsidRPr="00981A5E">
        <w:rPr>
          <w:sz w:val="24"/>
          <w:szCs w:val="24"/>
          <w:lang w:val="en-US"/>
        </w:rPr>
        <w:t xml:space="preserve"> Generics A/S </w:t>
      </w:r>
    </w:p>
    <w:p w:rsidR="00981A5E" w:rsidRPr="00981A5E" w:rsidRDefault="00981A5E" w:rsidP="00981A5E">
      <w:pPr>
        <w:tabs>
          <w:tab w:val="left" w:pos="851"/>
        </w:tabs>
        <w:ind w:left="851"/>
        <w:rPr>
          <w:sz w:val="24"/>
          <w:szCs w:val="24"/>
          <w:lang w:val="en-US"/>
        </w:rPr>
      </w:pPr>
      <w:proofErr w:type="spellStart"/>
      <w:r w:rsidRPr="00981A5E">
        <w:rPr>
          <w:sz w:val="24"/>
          <w:szCs w:val="24"/>
          <w:lang w:val="en-US"/>
        </w:rPr>
        <w:t>Energivej</w:t>
      </w:r>
      <w:proofErr w:type="spellEnd"/>
      <w:r w:rsidRPr="00981A5E">
        <w:rPr>
          <w:sz w:val="24"/>
          <w:szCs w:val="24"/>
          <w:lang w:val="en-US"/>
        </w:rPr>
        <w:t xml:space="preserve"> 15</w:t>
      </w:r>
    </w:p>
    <w:p w:rsidR="00981A5E" w:rsidRPr="00981A5E" w:rsidRDefault="00981A5E" w:rsidP="00981A5E">
      <w:pPr>
        <w:tabs>
          <w:tab w:val="left" w:pos="851"/>
        </w:tabs>
        <w:ind w:left="851"/>
        <w:rPr>
          <w:sz w:val="24"/>
          <w:szCs w:val="24"/>
        </w:rPr>
      </w:pPr>
      <w:r w:rsidRPr="00981A5E">
        <w:rPr>
          <w:sz w:val="24"/>
          <w:szCs w:val="24"/>
        </w:rPr>
        <w:t>5260 Odense S</w:t>
      </w:r>
    </w:p>
    <w:p w:rsidR="00981A5E" w:rsidRPr="00981A5E" w:rsidRDefault="00981A5E" w:rsidP="00981A5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 w:rsidR="00CD4406"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9260DE" w:rsidRPr="00C84483" w:rsidRDefault="00FB43F2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61353</w:t>
      </w:r>
    </w:p>
    <w:p w:rsidR="009260DE" w:rsidRPr="00C84483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9260DE" w:rsidRPr="00C84483" w:rsidRDefault="006E7625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7. maj 2020</w:t>
      </w:r>
    </w:p>
    <w:p w:rsidR="009260DE" w:rsidRPr="00C84483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:rsidR="009260DE" w:rsidRPr="00C84483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9260DE" w:rsidRPr="00C84483" w:rsidRDefault="003E564B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23</w:t>
      </w:r>
      <w:bookmarkStart w:id="1" w:name="_GoBack"/>
      <w:bookmarkEnd w:id="1"/>
      <w:r w:rsidR="00CD4406" w:rsidRPr="00CD4406">
        <w:rPr>
          <w:sz w:val="24"/>
          <w:szCs w:val="24"/>
        </w:rPr>
        <w:t xml:space="preserve">. </w:t>
      </w:r>
      <w:r>
        <w:rPr>
          <w:sz w:val="24"/>
          <w:szCs w:val="24"/>
        </w:rPr>
        <w:t>marts</w:t>
      </w:r>
      <w:r w:rsidR="00CD4406" w:rsidRPr="00CD4406">
        <w:rPr>
          <w:sz w:val="24"/>
          <w:szCs w:val="24"/>
        </w:rPr>
        <w:t xml:space="preserve"> 2023</w:t>
      </w:r>
    </w:p>
    <w:sectPr w:rsidR="009260DE" w:rsidRPr="00C84483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AB2" w:rsidRDefault="00FF5AB2">
      <w:r>
        <w:separator/>
      </w:r>
    </w:p>
  </w:endnote>
  <w:endnote w:type="continuationSeparator" w:id="0">
    <w:p w:rsidR="00FF5AB2" w:rsidRDefault="00FF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0E76B4">
      <w:rPr>
        <w:i/>
        <w:noProof/>
        <w:sz w:val="18"/>
        <w:szCs w:val="18"/>
      </w:rPr>
      <w:t>Orilaxal, orale dråber 7,5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AB2" w:rsidRDefault="00FF5AB2">
      <w:r>
        <w:separator/>
      </w:r>
    </w:p>
  </w:footnote>
  <w:footnote w:type="continuationSeparator" w:id="0">
    <w:p w:rsidR="00FF5AB2" w:rsidRDefault="00FF5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02D5E45"/>
    <w:multiLevelType w:val="hybridMultilevel"/>
    <w:tmpl w:val="84D2FFC0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B2"/>
    <w:rsid w:val="000259B9"/>
    <w:rsid w:val="00041491"/>
    <w:rsid w:val="00050D16"/>
    <w:rsid w:val="00074F2A"/>
    <w:rsid w:val="000A1CA8"/>
    <w:rsid w:val="000A466B"/>
    <w:rsid w:val="000B058C"/>
    <w:rsid w:val="000E4EE6"/>
    <w:rsid w:val="000E6DC5"/>
    <w:rsid w:val="000E76B4"/>
    <w:rsid w:val="001305DA"/>
    <w:rsid w:val="001454E2"/>
    <w:rsid w:val="00206CE8"/>
    <w:rsid w:val="0021526C"/>
    <w:rsid w:val="00283A2B"/>
    <w:rsid w:val="002B30AD"/>
    <w:rsid w:val="002C2C01"/>
    <w:rsid w:val="003A08A8"/>
    <w:rsid w:val="003A29AE"/>
    <w:rsid w:val="003A32D7"/>
    <w:rsid w:val="003B4074"/>
    <w:rsid w:val="003C769A"/>
    <w:rsid w:val="003E564B"/>
    <w:rsid w:val="003F1838"/>
    <w:rsid w:val="0045746C"/>
    <w:rsid w:val="0049104B"/>
    <w:rsid w:val="004E3B12"/>
    <w:rsid w:val="00532310"/>
    <w:rsid w:val="00565F0F"/>
    <w:rsid w:val="005770C9"/>
    <w:rsid w:val="00594A86"/>
    <w:rsid w:val="00596D86"/>
    <w:rsid w:val="005C3240"/>
    <w:rsid w:val="00637F5A"/>
    <w:rsid w:val="00650FCA"/>
    <w:rsid w:val="006560B1"/>
    <w:rsid w:val="006756DD"/>
    <w:rsid w:val="006E7625"/>
    <w:rsid w:val="00737275"/>
    <w:rsid w:val="00740EEC"/>
    <w:rsid w:val="00754B3E"/>
    <w:rsid w:val="00774E60"/>
    <w:rsid w:val="0078011A"/>
    <w:rsid w:val="00782AF4"/>
    <w:rsid w:val="00790EE7"/>
    <w:rsid w:val="007B6649"/>
    <w:rsid w:val="007D0348"/>
    <w:rsid w:val="0082576E"/>
    <w:rsid w:val="0088645C"/>
    <w:rsid w:val="00907F75"/>
    <w:rsid w:val="009260DE"/>
    <w:rsid w:val="0093258A"/>
    <w:rsid w:val="0096186A"/>
    <w:rsid w:val="0096208E"/>
    <w:rsid w:val="009818FE"/>
    <w:rsid w:val="00981A5E"/>
    <w:rsid w:val="009C7BA3"/>
    <w:rsid w:val="009D1F5A"/>
    <w:rsid w:val="00A51226"/>
    <w:rsid w:val="00B003BF"/>
    <w:rsid w:val="00B131DE"/>
    <w:rsid w:val="00B3214F"/>
    <w:rsid w:val="00B373D7"/>
    <w:rsid w:val="00B75561"/>
    <w:rsid w:val="00BA75E5"/>
    <w:rsid w:val="00C36276"/>
    <w:rsid w:val="00C375C1"/>
    <w:rsid w:val="00C42586"/>
    <w:rsid w:val="00C60CCD"/>
    <w:rsid w:val="00C84483"/>
    <w:rsid w:val="00C95551"/>
    <w:rsid w:val="00CB20D7"/>
    <w:rsid w:val="00CD2E72"/>
    <w:rsid w:val="00CD4406"/>
    <w:rsid w:val="00CE69AB"/>
    <w:rsid w:val="00D020B0"/>
    <w:rsid w:val="00D11748"/>
    <w:rsid w:val="00D366CF"/>
    <w:rsid w:val="00D504CF"/>
    <w:rsid w:val="00E00718"/>
    <w:rsid w:val="00E108AA"/>
    <w:rsid w:val="00E3749A"/>
    <w:rsid w:val="00E7437F"/>
    <w:rsid w:val="00E865B8"/>
    <w:rsid w:val="00EC0B9B"/>
    <w:rsid w:val="00ED5E9F"/>
    <w:rsid w:val="00F66D4F"/>
    <w:rsid w:val="00F9464E"/>
    <w:rsid w:val="00FB43F2"/>
    <w:rsid w:val="00FB6D01"/>
    <w:rsid w:val="00FF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D9218B"/>
  <w15:chartTrackingRefBased/>
  <w15:docId w15:val="{44D00670-4468-4FB1-BE24-506D8A66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1441</Words>
  <Characters>9519</Characters>
  <Application>Microsoft Office Word</Application>
  <DocSecurity>0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Søndersted</dc:creator>
  <cp:keywords/>
  <dc:description>2022122511 pkt. 6.3 fjernet Efter åbning: 12 måneder.</dc:description>
  <cp:lastModifiedBy>Helle Søndersted</cp:lastModifiedBy>
  <cp:revision>2</cp:revision>
  <cp:lastPrinted>2012-08-22T08:53:00Z</cp:lastPrinted>
  <dcterms:created xsi:type="dcterms:W3CDTF">2023-03-23T08:16:00Z</dcterms:created>
  <dcterms:modified xsi:type="dcterms:W3CDTF">2023-03-23T08:16:00Z</dcterms:modified>
</cp:coreProperties>
</file>