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3ECEE" w14:textId="77777777" w:rsidR="00032EB6" w:rsidRPr="005C51C9" w:rsidRDefault="00032EB6" w:rsidP="00032EB6">
      <w:pPr>
        <w:rPr>
          <w:sz w:val="24"/>
          <w:szCs w:val="24"/>
        </w:rPr>
      </w:pPr>
      <w:bookmarkStart w:id="0" w:name="_GoBack"/>
      <w:bookmarkEnd w:id="0"/>
      <w:r>
        <w:rPr>
          <w:b/>
          <w:noProof/>
          <w:lang w:eastAsia="da-DK"/>
        </w:rPr>
        <w:drawing>
          <wp:inline distT="0" distB="0" distL="0" distR="0" wp14:anchorId="3CB9FD93" wp14:editId="4641D7BA">
            <wp:extent cx="2466975" cy="685800"/>
            <wp:effectExtent l="0" t="0" r="9525" b="0"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50B7A" w14:textId="77777777" w:rsidR="00032EB6" w:rsidRDefault="00032EB6" w:rsidP="00032EB6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14:paraId="718616D1" w14:textId="2A2D9029" w:rsidR="00032EB6" w:rsidRPr="0079496F" w:rsidRDefault="00032EB6" w:rsidP="00032EB6">
      <w:pPr>
        <w:pStyle w:val="Titel"/>
        <w:tabs>
          <w:tab w:val="right" w:pos="9356"/>
        </w:tabs>
        <w:jc w:val="left"/>
        <w:rPr>
          <w:szCs w:val="24"/>
        </w:rPr>
      </w:pPr>
      <w:r w:rsidRPr="005C51C9">
        <w:rPr>
          <w:b w:val="0"/>
          <w:szCs w:val="24"/>
          <w:lang w:eastAsia="en-US"/>
        </w:rPr>
        <w:tab/>
      </w:r>
      <w:r w:rsidR="001E1BF3">
        <w:rPr>
          <w:szCs w:val="24"/>
        </w:rPr>
        <w:t>28. februar 2022</w:t>
      </w:r>
    </w:p>
    <w:p w14:paraId="4026456A" w14:textId="77777777" w:rsidR="00032EB6" w:rsidRPr="001E1BF3" w:rsidRDefault="00032EB6" w:rsidP="006057BC">
      <w:pPr>
        <w:rPr>
          <w:sz w:val="24"/>
          <w:szCs w:val="24"/>
        </w:rPr>
      </w:pPr>
    </w:p>
    <w:p w14:paraId="515BAD6B" w14:textId="711353E9" w:rsidR="00892754" w:rsidRPr="001E1BF3" w:rsidRDefault="00892754" w:rsidP="00892754">
      <w:pPr>
        <w:rPr>
          <w:sz w:val="24"/>
          <w:szCs w:val="24"/>
        </w:rPr>
      </w:pPr>
    </w:p>
    <w:p w14:paraId="0D86FF7E" w14:textId="77777777" w:rsidR="001E1BF3" w:rsidRPr="001E1BF3" w:rsidRDefault="001E1BF3" w:rsidP="00892754">
      <w:pPr>
        <w:rPr>
          <w:sz w:val="24"/>
          <w:szCs w:val="24"/>
        </w:rPr>
      </w:pPr>
    </w:p>
    <w:p w14:paraId="4518C740" w14:textId="77777777" w:rsidR="00032EB6" w:rsidRPr="005C51C9" w:rsidRDefault="00032EB6" w:rsidP="00032EB6">
      <w:pPr>
        <w:jc w:val="center"/>
        <w:rPr>
          <w:b/>
          <w:sz w:val="24"/>
          <w:szCs w:val="24"/>
        </w:rPr>
      </w:pPr>
      <w:r w:rsidRPr="0079496F">
        <w:rPr>
          <w:b/>
          <w:sz w:val="24"/>
          <w:szCs w:val="24"/>
        </w:rPr>
        <w:t>PRODUKTRES</w:t>
      </w:r>
      <w:r w:rsidRPr="005C51C9">
        <w:rPr>
          <w:b/>
          <w:sz w:val="24"/>
          <w:szCs w:val="24"/>
        </w:rPr>
        <w:t>UMÉ</w:t>
      </w:r>
    </w:p>
    <w:p w14:paraId="62A0B2DF" w14:textId="77777777" w:rsidR="00032EB6" w:rsidRPr="005C51C9" w:rsidRDefault="00032EB6" w:rsidP="00032EB6">
      <w:pPr>
        <w:jc w:val="center"/>
        <w:rPr>
          <w:b/>
          <w:sz w:val="24"/>
          <w:szCs w:val="24"/>
        </w:rPr>
      </w:pPr>
    </w:p>
    <w:p w14:paraId="49FAFFEF" w14:textId="77777777" w:rsidR="00032EB6" w:rsidRPr="005C51C9" w:rsidRDefault="00032EB6" w:rsidP="00032EB6">
      <w:pPr>
        <w:jc w:val="center"/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for</w:t>
      </w:r>
    </w:p>
    <w:p w14:paraId="3D395562" w14:textId="77777777" w:rsidR="00032EB6" w:rsidRPr="005C51C9" w:rsidRDefault="00032EB6" w:rsidP="00032EB6">
      <w:pPr>
        <w:jc w:val="center"/>
        <w:rPr>
          <w:b/>
          <w:sz w:val="24"/>
          <w:szCs w:val="24"/>
        </w:rPr>
      </w:pPr>
    </w:p>
    <w:p w14:paraId="5B8D571C" w14:textId="18EF7021" w:rsidR="00032EB6" w:rsidRPr="005C51C9" w:rsidRDefault="00032EB6" w:rsidP="00032EB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Orlistat</w:t>
      </w:r>
      <w:proofErr w:type="spellEnd"/>
      <w:r>
        <w:rPr>
          <w:b/>
          <w:sz w:val="24"/>
          <w:szCs w:val="24"/>
        </w:rPr>
        <w:t xml:space="preserve"> </w:t>
      </w:r>
      <w:r w:rsidR="000651E9">
        <w:rPr>
          <w:b/>
          <w:sz w:val="24"/>
          <w:szCs w:val="24"/>
        </w:rPr>
        <w:t>"</w:t>
      </w:r>
      <w:proofErr w:type="spellStart"/>
      <w:r>
        <w:rPr>
          <w:b/>
          <w:sz w:val="24"/>
          <w:szCs w:val="24"/>
        </w:rPr>
        <w:t>Rivopharm</w:t>
      </w:r>
      <w:proofErr w:type="spellEnd"/>
      <w:r w:rsidR="000651E9">
        <w:rPr>
          <w:b/>
          <w:sz w:val="24"/>
          <w:szCs w:val="24"/>
        </w:rPr>
        <w:t>"</w:t>
      </w:r>
      <w:r w:rsidRPr="005C51C9">
        <w:rPr>
          <w:b/>
          <w:sz w:val="24"/>
          <w:szCs w:val="24"/>
        </w:rPr>
        <w:t>, hårde kapsler 60 mg</w:t>
      </w:r>
    </w:p>
    <w:p w14:paraId="5853A416" w14:textId="77777777" w:rsidR="00032EB6" w:rsidRPr="005C51C9" w:rsidRDefault="00032EB6" w:rsidP="00032EB6">
      <w:pPr>
        <w:jc w:val="both"/>
        <w:rPr>
          <w:sz w:val="24"/>
          <w:szCs w:val="24"/>
        </w:rPr>
      </w:pPr>
    </w:p>
    <w:p w14:paraId="1BCAD4CF" w14:textId="77777777" w:rsidR="00032EB6" w:rsidRPr="005C51C9" w:rsidRDefault="00032EB6" w:rsidP="00032EB6">
      <w:pPr>
        <w:jc w:val="both"/>
        <w:rPr>
          <w:sz w:val="24"/>
          <w:szCs w:val="24"/>
        </w:rPr>
      </w:pPr>
    </w:p>
    <w:p w14:paraId="31982DC8" w14:textId="77777777" w:rsidR="001E1BF3" w:rsidRPr="00C84483" w:rsidRDefault="001E1BF3" w:rsidP="001E1BF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14:paraId="35229EC0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  <w:r w:rsidRPr="005C51C9">
        <w:rPr>
          <w:sz w:val="24"/>
          <w:szCs w:val="24"/>
        </w:rPr>
        <w:tab/>
        <w:t>27825</w:t>
      </w:r>
    </w:p>
    <w:p w14:paraId="0C310DC2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3212B2DC" w14:textId="77777777" w:rsidR="001E1BF3" w:rsidRPr="00C84483" w:rsidRDefault="001E1BF3" w:rsidP="001E1BF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14:paraId="2C168184" w14:textId="54027F67" w:rsidR="00032EB6" w:rsidRPr="005C51C9" w:rsidRDefault="00032EB6" w:rsidP="00032EB6">
      <w:pPr>
        <w:tabs>
          <w:tab w:val="left" w:pos="851"/>
        </w:tabs>
        <w:ind w:left="855"/>
        <w:rPr>
          <w:sz w:val="24"/>
          <w:szCs w:val="24"/>
        </w:rPr>
      </w:pP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</w:p>
    <w:p w14:paraId="767375A6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  <w:r w:rsidRPr="005C51C9">
        <w:rPr>
          <w:sz w:val="24"/>
          <w:szCs w:val="24"/>
        </w:rPr>
        <w:tab/>
      </w:r>
    </w:p>
    <w:p w14:paraId="3431B669" w14:textId="77777777" w:rsidR="001E1BF3" w:rsidRPr="00C84483" w:rsidRDefault="001E1BF3" w:rsidP="001E1BF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14:paraId="1E05829A" w14:textId="77777777" w:rsidR="00032EB6" w:rsidRPr="005C51C9" w:rsidRDefault="00032EB6" w:rsidP="00032EB6">
      <w:pPr>
        <w:pStyle w:val="EMEAEnBodyText"/>
        <w:autoSpaceDE w:val="0"/>
        <w:autoSpaceDN w:val="0"/>
        <w:adjustRightInd w:val="0"/>
        <w:spacing w:before="0"/>
        <w:ind w:left="851"/>
        <w:rPr>
          <w:rFonts w:ascii="Times New Roman" w:hAnsi="Times New Roman"/>
          <w:color w:val="000000"/>
          <w:lang w:val="da-DK"/>
        </w:rPr>
      </w:pPr>
      <w:r w:rsidRPr="005C51C9">
        <w:rPr>
          <w:rFonts w:ascii="Times New Roman" w:hAnsi="Times New Roman"/>
          <w:color w:val="000000"/>
          <w:lang w:val="da-DK"/>
        </w:rPr>
        <w:t xml:space="preserve">Hver hård kapsel indeholder 60 mg </w:t>
      </w:r>
      <w:proofErr w:type="spellStart"/>
      <w:r w:rsidRPr="005C51C9">
        <w:rPr>
          <w:rFonts w:ascii="Times New Roman" w:hAnsi="Times New Roman"/>
          <w:color w:val="000000"/>
          <w:lang w:val="da-DK"/>
        </w:rPr>
        <w:t>orlistat</w:t>
      </w:r>
      <w:proofErr w:type="spellEnd"/>
      <w:r w:rsidRPr="005C51C9">
        <w:rPr>
          <w:rFonts w:ascii="Times New Roman" w:hAnsi="Times New Roman"/>
          <w:color w:val="000000"/>
          <w:lang w:val="da-DK"/>
        </w:rPr>
        <w:t>.</w:t>
      </w:r>
    </w:p>
    <w:p w14:paraId="547014D4" w14:textId="77777777" w:rsidR="00032EB6" w:rsidRPr="005C51C9" w:rsidRDefault="00032EB6" w:rsidP="00032EB6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</w:p>
    <w:p w14:paraId="6ADBDC69" w14:textId="77777777" w:rsidR="00032EB6" w:rsidRPr="005C51C9" w:rsidRDefault="00032EB6" w:rsidP="00032EB6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>Alle hjælpestoffer er anført under pkt. 6.1.</w:t>
      </w:r>
    </w:p>
    <w:p w14:paraId="0FA3885B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27B48347" w14:textId="77777777" w:rsidR="001E1BF3" w:rsidRPr="00C84483" w:rsidRDefault="001E1BF3" w:rsidP="001E1BF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14:paraId="5891D070" w14:textId="75303958" w:rsidR="00032EB6" w:rsidRPr="005C51C9" w:rsidRDefault="00032EB6" w:rsidP="00032EB6">
      <w:pPr>
        <w:suppressAutoHyphens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Hårde kapsler</w:t>
      </w:r>
    </w:p>
    <w:p w14:paraId="6CF646C1" w14:textId="77777777" w:rsidR="00032EB6" w:rsidRPr="005C51C9" w:rsidRDefault="00032EB6" w:rsidP="00032EB6">
      <w:pPr>
        <w:suppressAutoHyphens/>
        <w:ind w:left="851"/>
        <w:rPr>
          <w:color w:val="000000"/>
          <w:sz w:val="24"/>
          <w:szCs w:val="24"/>
        </w:rPr>
      </w:pPr>
    </w:p>
    <w:p w14:paraId="3F0553CC" w14:textId="77777777" w:rsidR="00032EB6" w:rsidRPr="005C51C9" w:rsidRDefault="00032EB6" w:rsidP="00032EB6">
      <w:pPr>
        <w:suppressAutoHyphens/>
        <w:ind w:left="851"/>
        <w:rPr>
          <w:sz w:val="24"/>
          <w:szCs w:val="24"/>
        </w:rPr>
      </w:pPr>
      <w:r w:rsidRPr="005C51C9">
        <w:rPr>
          <w:color w:val="000000"/>
          <w:sz w:val="24"/>
          <w:szCs w:val="24"/>
        </w:rPr>
        <w:t>Kapslen har en lyseblå hætte og en lyseblå krop.</w:t>
      </w:r>
    </w:p>
    <w:p w14:paraId="4A6C9259" w14:textId="77777777" w:rsidR="00032EB6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423746FC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0457B78F" w14:textId="77777777" w:rsidR="001E1BF3" w:rsidRPr="00C84483" w:rsidRDefault="001E1BF3" w:rsidP="001E1BF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14:paraId="3429AD36" w14:textId="77777777" w:rsidR="001E1BF3" w:rsidRPr="00C84483" w:rsidRDefault="001E1BF3" w:rsidP="001E1BF3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3DE6B64D" w14:textId="77777777" w:rsidR="001E1BF3" w:rsidRPr="00C84483" w:rsidRDefault="001E1BF3" w:rsidP="001E1BF3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14:paraId="50C25CB8" w14:textId="10CAFA42" w:rsidR="00032EB6" w:rsidRPr="005C51C9" w:rsidRDefault="00032EB6" w:rsidP="00032EB6">
      <w:pPr>
        <w:tabs>
          <w:tab w:val="left" w:pos="-720"/>
        </w:tabs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  <w:r w:rsidRPr="005C51C9">
        <w:rPr>
          <w:sz w:val="24"/>
          <w:szCs w:val="24"/>
        </w:rPr>
        <w:t xml:space="preserve"> </w:t>
      </w:r>
      <w:r w:rsidRPr="005C51C9">
        <w:rPr>
          <w:color w:val="000000"/>
          <w:sz w:val="24"/>
          <w:szCs w:val="24"/>
        </w:rPr>
        <w:t xml:space="preserve">er indiceret til vægttab hos overvægtige voksne med body </w:t>
      </w:r>
      <w:proofErr w:type="spellStart"/>
      <w:r w:rsidRPr="005C51C9">
        <w:rPr>
          <w:color w:val="000000"/>
          <w:sz w:val="24"/>
          <w:szCs w:val="24"/>
        </w:rPr>
        <w:t>mass</w:t>
      </w:r>
      <w:proofErr w:type="spellEnd"/>
      <w:r w:rsidRPr="005C51C9">
        <w:rPr>
          <w:color w:val="000000"/>
          <w:sz w:val="24"/>
          <w:szCs w:val="24"/>
        </w:rPr>
        <w:t xml:space="preserve"> </w:t>
      </w:r>
      <w:proofErr w:type="spellStart"/>
      <w:r w:rsidRPr="005C51C9">
        <w:rPr>
          <w:color w:val="000000"/>
          <w:sz w:val="24"/>
          <w:szCs w:val="24"/>
        </w:rPr>
        <w:t>index</w:t>
      </w:r>
      <w:proofErr w:type="spellEnd"/>
      <w:r w:rsidRPr="005C51C9">
        <w:rPr>
          <w:color w:val="000000"/>
          <w:sz w:val="24"/>
          <w:szCs w:val="24"/>
        </w:rPr>
        <w:t xml:space="preserve"> (BMI) ≥28 kg/m</w:t>
      </w:r>
      <w:r w:rsidRPr="005C51C9">
        <w:rPr>
          <w:color w:val="000000"/>
          <w:sz w:val="24"/>
          <w:szCs w:val="24"/>
          <w:vertAlign w:val="superscript"/>
        </w:rPr>
        <w:t>2</w:t>
      </w:r>
      <w:r w:rsidRPr="005C51C9">
        <w:rPr>
          <w:color w:val="000000"/>
          <w:sz w:val="24"/>
          <w:szCs w:val="24"/>
        </w:rPr>
        <w:t xml:space="preserve"> og skal kombineres med en let diæt med lavt kalorie- og fedtindhold.</w:t>
      </w:r>
    </w:p>
    <w:p w14:paraId="4B6BD0E4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49CF9F26" w14:textId="77777777" w:rsidR="001E1BF3" w:rsidRPr="00C84483" w:rsidRDefault="001E1BF3" w:rsidP="001E1BF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14:paraId="7B3B3435" w14:textId="77777777" w:rsidR="000651E9" w:rsidRDefault="000651E9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noProof/>
          <w:sz w:val="24"/>
          <w:szCs w:val="24"/>
          <w:u w:val="single"/>
        </w:rPr>
      </w:pPr>
    </w:p>
    <w:p w14:paraId="7570DCA5" w14:textId="5614E8FE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noProof/>
          <w:sz w:val="24"/>
          <w:szCs w:val="24"/>
          <w:u w:val="single"/>
        </w:rPr>
      </w:pPr>
      <w:r w:rsidRPr="008B432D">
        <w:rPr>
          <w:noProof/>
          <w:sz w:val="24"/>
          <w:szCs w:val="24"/>
          <w:u w:val="single"/>
        </w:rPr>
        <w:t>Dosering</w:t>
      </w:r>
    </w:p>
    <w:p w14:paraId="05CD99F0" w14:textId="7777777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noProof/>
          <w:sz w:val="24"/>
          <w:szCs w:val="24"/>
          <w:u w:val="single"/>
        </w:rPr>
      </w:pPr>
    </w:p>
    <w:p w14:paraId="3B973746" w14:textId="7777777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  <w:r w:rsidRPr="008B432D">
        <w:rPr>
          <w:i/>
          <w:iCs/>
          <w:color w:val="000000"/>
          <w:sz w:val="24"/>
          <w:szCs w:val="24"/>
        </w:rPr>
        <w:t>Voksne</w:t>
      </w:r>
    </w:p>
    <w:p w14:paraId="33303CEA" w14:textId="77777777" w:rsidR="00032EB6" w:rsidRPr="008B432D" w:rsidRDefault="00032EB6" w:rsidP="00032EB6">
      <w:pPr>
        <w:tabs>
          <w:tab w:val="left" w:pos="-720"/>
        </w:tabs>
        <w:suppressAutoHyphens/>
        <w:ind w:left="851"/>
        <w:rPr>
          <w:color w:val="000000"/>
          <w:sz w:val="24"/>
          <w:szCs w:val="24"/>
        </w:rPr>
      </w:pPr>
    </w:p>
    <w:p w14:paraId="5C9DB798" w14:textId="15C4DDE4" w:rsidR="00032EB6" w:rsidRPr="008B432D" w:rsidRDefault="00032EB6" w:rsidP="00032EB6">
      <w:pPr>
        <w:tabs>
          <w:tab w:val="left" w:pos="-720"/>
        </w:tabs>
        <w:suppressAutoHyphens/>
        <w:ind w:left="851"/>
        <w:rPr>
          <w:color w:val="000000"/>
          <w:sz w:val="24"/>
          <w:szCs w:val="24"/>
        </w:rPr>
      </w:pPr>
      <w:r w:rsidRPr="008B432D">
        <w:rPr>
          <w:color w:val="000000"/>
          <w:sz w:val="24"/>
          <w:szCs w:val="24"/>
        </w:rPr>
        <w:t xml:space="preserve">Den anbefalede dosering af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  <w:r w:rsidRPr="008B432D">
        <w:rPr>
          <w:sz w:val="24"/>
          <w:szCs w:val="24"/>
        </w:rPr>
        <w:t xml:space="preserve"> </w:t>
      </w:r>
      <w:r w:rsidRPr="008B432D">
        <w:rPr>
          <w:color w:val="000000"/>
          <w:sz w:val="24"/>
          <w:szCs w:val="24"/>
        </w:rPr>
        <w:t xml:space="preserve">er 1 kapsel à 60 mg tre gange daglig. </w:t>
      </w:r>
    </w:p>
    <w:p w14:paraId="29993336" w14:textId="77777777" w:rsidR="00032EB6" w:rsidRPr="008B432D" w:rsidRDefault="00032EB6" w:rsidP="00032EB6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8B432D">
        <w:rPr>
          <w:color w:val="000000"/>
          <w:sz w:val="24"/>
          <w:szCs w:val="24"/>
        </w:rPr>
        <w:t>Der bør højst indtages 3 kapsler à 60 mg i løbet af 24 timer.</w:t>
      </w:r>
    </w:p>
    <w:p w14:paraId="754E7528" w14:textId="77777777" w:rsidR="00032EB6" w:rsidRPr="008B432D" w:rsidRDefault="00032EB6" w:rsidP="00032EB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14:paraId="5DF177DD" w14:textId="523364D8" w:rsidR="00032EB6" w:rsidRPr="008B432D" w:rsidRDefault="00032EB6" w:rsidP="00032EB6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8B432D">
        <w:rPr>
          <w:sz w:val="24"/>
          <w:szCs w:val="24"/>
        </w:rPr>
        <w:t xml:space="preserve">Kost og motion er vigtige elementer i et vægttabsprogram. Det anbefales at starte et kost- og motionsprogram før indledning af behandling med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  <w:r w:rsidRPr="008B432D">
        <w:rPr>
          <w:sz w:val="24"/>
          <w:szCs w:val="24"/>
        </w:rPr>
        <w:t>.</w:t>
      </w:r>
    </w:p>
    <w:p w14:paraId="13904EB3" w14:textId="77777777" w:rsidR="00032EB6" w:rsidRPr="008B432D" w:rsidRDefault="00032EB6" w:rsidP="00032EB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14:paraId="2227F4B5" w14:textId="77777777" w:rsidR="00032EB6" w:rsidRPr="008B432D" w:rsidRDefault="00032EB6" w:rsidP="00032EB6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8B432D">
        <w:rPr>
          <w:sz w:val="24"/>
          <w:szCs w:val="24"/>
        </w:rPr>
        <w:lastRenderedPageBreak/>
        <w:t xml:space="preserve">Under behandlingen med </w:t>
      </w:r>
      <w:proofErr w:type="spellStart"/>
      <w:r w:rsidRPr="008B432D">
        <w:rPr>
          <w:sz w:val="24"/>
          <w:szCs w:val="24"/>
        </w:rPr>
        <w:t>orlistat</w:t>
      </w:r>
      <w:proofErr w:type="spellEnd"/>
      <w:r w:rsidRPr="008B432D">
        <w:rPr>
          <w:sz w:val="24"/>
          <w:szCs w:val="24"/>
        </w:rPr>
        <w:t xml:space="preserve"> bør patienten have en ernæringsmæssigt velafbalanceret diæt med lavt kalorieindhold, hvor ca. 30 % af kalorierne stammer fra fedtstoffer (svarende til &lt;67 g fedt, hvis kosten indeholder 2000 kcal/døgn). Den daglige indtagelse af fedt, kulhydrat og protein bør fordeles mellem de tre hovedmåltider.</w:t>
      </w:r>
    </w:p>
    <w:p w14:paraId="71E388C3" w14:textId="77777777" w:rsidR="00032EB6" w:rsidRPr="008B432D" w:rsidRDefault="00032EB6" w:rsidP="00032EB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14:paraId="410285D8" w14:textId="0C9518D1" w:rsidR="00032EB6" w:rsidRPr="008B432D" w:rsidRDefault="00032EB6" w:rsidP="00032EB6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8B432D">
        <w:rPr>
          <w:sz w:val="24"/>
          <w:szCs w:val="24"/>
        </w:rPr>
        <w:t xml:space="preserve">Efter endt behandling med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  <w:r w:rsidRPr="008B432D">
        <w:rPr>
          <w:sz w:val="24"/>
          <w:szCs w:val="24"/>
        </w:rPr>
        <w:t xml:space="preserve"> bør patienten fortsat følge kost- og motionsprogrammet.</w:t>
      </w:r>
    </w:p>
    <w:p w14:paraId="18D5839E" w14:textId="77777777" w:rsidR="00032EB6" w:rsidRPr="008B432D" w:rsidRDefault="00032EB6" w:rsidP="00032EB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14:paraId="5226F733" w14:textId="77777777" w:rsidR="00032EB6" w:rsidRPr="008B432D" w:rsidRDefault="00032EB6" w:rsidP="00032EB6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8B432D">
        <w:rPr>
          <w:sz w:val="24"/>
          <w:szCs w:val="24"/>
        </w:rPr>
        <w:t xml:space="preserve">Behandlingens varighed må ikke overskride 6 måneder. </w:t>
      </w:r>
    </w:p>
    <w:p w14:paraId="3BE63F36" w14:textId="77777777" w:rsidR="00032EB6" w:rsidRPr="008B432D" w:rsidRDefault="00032EB6" w:rsidP="00032EB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14:paraId="0B13D2BD" w14:textId="7ADF021C" w:rsidR="00032EB6" w:rsidRPr="008B432D" w:rsidRDefault="00032EB6" w:rsidP="00032EB6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8B432D">
        <w:rPr>
          <w:sz w:val="24"/>
          <w:szCs w:val="24"/>
        </w:rPr>
        <w:t xml:space="preserve">Patienter, der ikke har tabt sig efter 12 ugers behandling med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  <w:r w:rsidRPr="008B432D">
        <w:rPr>
          <w:sz w:val="24"/>
          <w:szCs w:val="24"/>
        </w:rPr>
        <w:t xml:space="preserve">, bør konsultere lægen eller apoteket. Det kan være nødvendigt at afbryde behandlingen. </w:t>
      </w:r>
    </w:p>
    <w:p w14:paraId="12884127" w14:textId="77777777" w:rsidR="00032EB6" w:rsidRPr="008B432D" w:rsidRDefault="00032EB6" w:rsidP="00032EB6">
      <w:pPr>
        <w:tabs>
          <w:tab w:val="left" w:pos="-720"/>
        </w:tabs>
        <w:suppressAutoHyphens/>
        <w:ind w:left="851"/>
        <w:rPr>
          <w:color w:val="000000"/>
          <w:sz w:val="24"/>
          <w:szCs w:val="24"/>
        </w:rPr>
      </w:pPr>
    </w:p>
    <w:p w14:paraId="10383A41" w14:textId="7777777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  <w:u w:val="single"/>
        </w:rPr>
      </w:pPr>
      <w:r w:rsidRPr="008B432D">
        <w:rPr>
          <w:i/>
          <w:iCs/>
          <w:color w:val="000000"/>
          <w:sz w:val="24"/>
          <w:szCs w:val="24"/>
          <w:u w:val="single"/>
        </w:rPr>
        <w:t>Specielle populationer</w:t>
      </w:r>
    </w:p>
    <w:p w14:paraId="581F9538" w14:textId="7777777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4EAC7BBB" w14:textId="7777777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  <w:r w:rsidRPr="008B432D">
        <w:rPr>
          <w:i/>
          <w:iCs/>
          <w:color w:val="000000"/>
          <w:sz w:val="24"/>
          <w:szCs w:val="24"/>
        </w:rPr>
        <w:t>Ældre (&gt;65 år)</w:t>
      </w:r>
    </w:p>
    <w:p w14:paraId="4A138E79" w14:textId="7777777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8B432D">
        <w:rPr>
          <w:color w:val="000000"/>
          <w:sz w:val="24"/>
          <w:szCs w:val="24"/>
        </w:rPr>
        <w:t xml:space="preserve">Der er begrænsede data om anvendelse af </w:t>
      </w:r>
      <w:proofErr w:type="spellStart"/>
      <w:r w:rsidRPr="008B432D">
        <w:rPr>
          <w:color w:val="000000"/>
          <w:sz w:val="24"/>
          <w:szCs w:val="24"/>
        </w:rPr>
        <w:t>orlistat</w:t>
      </w:r>
      <w:proofErr w:type="spellEnd"/>
      <w:r w:rsidRPr="008B432D">
        <w:rPr>
          <w:color w:val="000000"/>
          <w:sz w:val="24"/>
          <w:szCs w:val="24"/>
        </w:rPr>
        <w:t xml:space="preserve"> hos ældre. Eftersom </w:t>
      </w:r>
      <w:proofErr w:type="spellStart"/>
      <w:r w:rsidRPr="008B432D">
        <w:rPr>
          <w:color w:val="000000"/>
          <w:sz w:val="24"/>
          <w:szCs w:val="24"/>
        </w:rPr>
        <w:t>orlistat</w:t>
      </w:r>
      <w:proofErr w:type="spellEnd"/>
      <w:r w:rsidRPr="008B432D">
        <w:rPr>
          <w:color w:val="000000"/>
          <w:sz w:val="24"/>
          <w:szCs w:val="24"/>
        </w:rPr>
        <w:t xml:space="preserve"> kun optages i mindre omfang er det ikke nødvendigt at justere dosis hos den ældre patient.</w:t>
      </w:r>
    </w:p>
    <w:p w14:paraId="6B4D941E" w14:textId="7777777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</w:p>
    <w:p w14:paraId="1A382CC6" w14:textId="7777777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  <w:r w:rsidRPr="008B432D">
        <w:rPr>
          <w:i/>
          <w:iCs/>
          <w:color w:val="000000"/>
          <w:sz w:val="24"/>
          <w:szCs w:val="24"/>
        </w:rPr>
        <w:t>Nedsat lever- og nyrefunktion</w:t>
      </w:r>
    </w:p>
    <w:p w14:paraId="781A74BA" w14:textId="7777777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8B432D">
        <w:rPr>
          <w:color w:val="000000"/>
          <w:sz w:val="24"/>
          <w:szCs w:val="24"/>
        </w:rPr>
        <w:t xml:space="preserve">Effekten af </w:t>
      </w:r>
      <w:proofErr w:type="spellStart"/>
      <w:r w:rsidRPr="008B432D">
        <w:rPr>
          <w:color w:val="000000"/>
          <w:sz w:val="24"/>
          <w:szCs w:val="24"/>
        </w:rPr>
        <w:t>orlistat</w:t>
      </w:r>
      <w:proofErr w:type="spellEnd"/>
      <w:r w:rsidRPr="008B432D">
        <w:rPr>
          <w:color w:val="000000"/>
          <w:sz w:val="24"/>
          <w:szCs w:val="24"/>
        </w:rPr>
        <w:t xml:space="preserve"> er ikke undersøgt hos patienter med nedsat lever- og/eller nyrefunktion (se pkt. 4.4).</w:t>
      </w:r>
      <w:r>
        <w:rPr>
          <w:color w:val="000000"/>
          <w:sz w:val="24"/>
          <w:szCs w:val="24"/>
        </w:rPr>
        <w:t xml:space="preserve"> </w:t>
      </w:r>
      <w:r w:rsidRPr="008B432D">
        <w:rPr>
          <w:color w:val="000000"/>
          <w:sz w:val="24"/>
          <w:szCs w:val="24"/>
        </w:rPr>
        <w:t xml:space="preserve">Eftersom </w:t>
      </w:r>
      <w:proofErr w:type="spellStart"/>
      <w:r w:rsidRPr="008B432D">
        <w:rPr>
          <w:color w:val="000000"/>
          <w:sz w:val="24"/>
          <w:szCs w:val="24"/>
        </w:rPr>
        <w:t>orlistat</w:t>
      </w:r>
      <w:proofErr w:type="spellEnd"/>
      <w:r w:rsidRPr="008B432D">
        <w:rPr>
          <w:color w:val="000000"/>
          <w:sz w:val="24"/>
          <w:szCs w:val="24"/>
        </w:rPr>
        <w:t xml:space="preserve"> kun optages i et mindre omfang, er det ikke nødvendigt at justere dosis hos patienter med nedsat lever- og/eller nyrefunktion.</w:t>
      </w:r>
    </w:p>
    <w:p w14:paraId="29FD0ABE" w14:textId="7777777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6B91E892" w14:textId="7777777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  <w:r w:rsidRPr="008B432D">
        <w:rPr>
          <w:i/>
          <w:iCs/>
          <w:color w:val="000000"/>
          <w:sz w:val="24"/>
          <w:szCs w:val="24"/>
        </w:rPr>
        <w:t>Pædiatrisk population</w:t>
      </w:r>
    </w:p>
    <w:p w14:paraId="5794292A" w14:textId="11FC539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</w:t>
      </w:r>
      <w:r w:rsidR="000651E9">
        <w:rPr>
          <w:color w:val="000000"/>
          <w:sz w:val="24"/>
          <w:szCs w:val="24"/>
        </w:rPr>
        <w:t>"</w:t>
      </w:r>
      <w:proofErr w:type="spellStart"/>
      <w:r>
        <w:rPr>
          <w:color w:val="000000"/>
          <w:sz w:val="24"/>
          <w:szCs w:val="24"/>
        </w:rPr>
        <w:t>Rivopharm</w:t>
      </w:r>
      <w:proofErr w:type="spellEnd"/>
      <w:r w:rsidR="000651E9">
        <w:rPr>
          <w:color w:val="000000"/>
          <w:sz w:val="24"/>
          <w:szCs w:val="24"/>
        </w:rPr>
        <w:t>"</w:t>
      </w:r>
      <w:r w:rsidRPr="008B432D">
        <w:rPr>
          <w:color w:val="000000"/>
          <w:sz w:val="24"/>
          <w:szCs w:val="24"/>
        </w:rPr>
        <w:t>’s sikkerhed og virkning hos børn under 18 år er ikke fastlagt. Der er ingen data tilgængelige.</w:t>
      </w:r>
    </w:p>
    <w:p w14:paraId="69FC2179" w14:textId="7777777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089D0A68" w14:textId="77777777" w:rsidR="00032EB6" w:rsidRPr="008B432D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8B432D">
        <w:rPr>
          <w:color w:val="000000"/>
          <w:sz w:val="24"/>
          <w:szCs w:val="24"/>
          <w:u w:val="single"/>
        </w:rPr>
        <w:t>Indgivelsesmåde</w:t>
      </w:r>
    </w:p>
    <w:p w14:paraId="0BA4FD65" w14:textId="77777777" w:rsidR="00032EB6" w:rsidRPr="008B432D" w:rsidRDefault="00032EB6" w:rsidP="00032EB6">
      <w:pPr>
        <w:ind w:left="851"/>
        <w:rPr>
          <w:noProof/>
          <w:sz w:val="24"/>
          <w:szCs w:val="24"/>
        </w:rPr>
      </w:pPr>
      <w:r w:rsidRPr="008B432D">
        <w:rPr>
          <w:color w:val="000000"/>
          <w:sz w:val="24"/>
          <w:szCs w:val="24"/>
        </w:rPr>
        <w:t xml:space="preserve">Kapslerne bør tages med vand lige før, under eller op til 1 time efter hvert hovedmåltid. Hvis et måltid springes over eller ikke indeholder fedt, skal man ikke tage en dosis </w:t>
      </w:r>
      <w:proofErr w:type="spellStart"/>
      <w:r w:rsidRPr="008B432D">
        <w:rPr>
          <w:color w:val="000000"/>
          <w:sz w:val="24"/>
          <w:szCs w:val="24"/>
        </w:rPr>
        <w:t>orlistat</w:t>
      </w:r>
      <w:proofErr w:type="spellEnd"/>
      <w:r w:rsidRPr="008B432D">
        <w:rPr>
          <w:color w:val="000000"/>
          <w:sz w:val="24"/>
          <w:szCs w:val="24"/>
        </w:rPr>
        <w:t>.</w:t>
      </w:r>
    </w:p>
    <w:p w14:paraId="5399B55A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0F525CF6" w14:textId="77777777" w:rsidR="001E1BF3" w:rsidRPr="001E1BF3" w:rsidRDefault="001E1BF3" w:rsidP="001E1BF3">
      <w:pPr>
        <w:ind w:left="851" w:hanging="851"/>
        <w:rPr>
          <w:b/>
          <w:sz w:val="24"/>
          <w:szCs w:val="24"/>
        </w:rPr>
      </w:pPr>
      <w:r w:rsidRPr="001E1BF3">
        <w:rPr>
          <w:b/>
          <w:sz w:val="24"/>
          <w:szCs w:val="24"/>
        </w:rPr>
        <w:t>4.3</w:t>
      </w:r>
      <w:r w:rsidRPr="001E1BF3">
        <w:rPr>
          <w:b/>
          <w:sz w:val="24"/>
          <w:szCs w:val="24"/>
        </w:rPr>
        <w:tab/>
        <w:t>Kontraindikationer</w:t>
      </w:r>
    </w:p>
    <w:p w14:paraId="05BB34F6" w14:textId="77777777" w:rsidR="00032EB6" w:rsidRPr="005C51C9" w:rsidRDefault="00032EB6" w:rsidP="00032EB6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Overfølsomhed over for det aktive indholdsstof eller </w:t>
      </w:r>
      <w:r>
        <w:rPr>
          <w:color w:val="000000"/>
          <w:sz w:val="24"/>
          <w:szCs w:val="24"/>
        </w:rPr>
        <w:t xml:space="preserve">over for </w:t>
      </w:r>
      <w:r w:rsidRPr="005C51C9">
        <w:rPr>
          <w:color w:val="000000"/>
          <w:sz w:val="24"/>
          <w:szCs w:val="24"/>
        </w:rPr>
        <w:t xml:space="preserve">et eller flere af hjælpestofferne anført i pkt. 6.1. </w:t>
      </w:r>
    </w:p>
    <w:p w14:paraId="79EB84E0" w14:textId="77777777" w:rsidR="00032EB6" w:rsidRPr="005C51C9" w:rsidRDefault="00032EB6" w:rsidP="00032EB6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Samtidig behandling med </w:t>
      </w:r>
      <w:proofErr w:type="spellStart"/>
      <w:r w:rsidRPr="005C51C9">
        <w:rPr>
          <w:color w:val="000000"/>
          <w:sz w:val="24"/>
          <w:szCs w:val="24"/>
        </w:rPr>
        <w:t>ciclosporin</w:t>
      </w:r>
      <w:proofErr w:type="spellEnd"/>
      <w:r w:rsidRPr="005C51C9">
        <w:rPr>
          <w:color w:val="000000"/>
          <w:sz w:val="24"/>
          <w:szCs w:val="24"/>
        </w:rPr>
        <w:t xml:space="preserve"> (se pkt. 4.5).</w:t>
      </w:r>
    </w:p>
    <w:p w14:paraId="5B557877" w14:textId="77777777" w:rsidR="00032EB6" w:rsidRPr="005C51C9" w:rsidRDefault="00032EB6" w:rsidP="00032EB6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Kronisk </w:t>
      </w:r>
      <w:proofErr w:type="spellStart"/>
      <w:r w:rsidRPr="005C51C9">
        <w:rPr>
          <w:color w:val="000000"/>
          <w:sz w:val="24"/>
          <w:szCs w:val="24"/>
        </w:rPr>
        <w:t>malabsorptionssyndrom</w:t>
      </w:r>
      <w:proofErr w:type="spellEnd"/>
      <w:r w:rsidRPr="005C51C9">
        <w:rPr>
          <w:color w:val="000000"/>
          <w:sz w:val="24"/>
          <w:szCs w:val="24"/>
        </w:rPr>
        <w:t>.</w:t>
      </w:r>
    </w:p>
    <w:p w14:paraId="78FB4711" w14:textId="77777777" w:rsidR="00032EB6" w:rsidRPr="005C51C9" w:rsidRDefault="00032EB6" w:rsidP="00032EB6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proofErr w:type="spellStart"/>
      <w:r w:rsidRPr="005C51C9">
        <w:rPr>
          <w:color w:val="000000"/>
          <w:sz w:val="24"/>
          <w:szCs w:val="24"/>
        </w:rPr>
        <w:t>Kolestase</w:t>
      </w:r>
      <w:proofErr w:type="spellEnd"/>
      <w:r w:rsidRPr="005C51C9">
        <w:rPr>
          <w:color w:val="000000"/>
          <w:sz w:val="24"/>
          <w:szCs w:val="24"/>
        </w:rPr>
        <w:t>.</w:t>
      </w:r>
    </w:p>
    <w:p w14:paraId="5AE24F36" w14:textId="77777777" w:rsidR="00032EB6" w:rsidRPr="005C51C9" w:rsidRDefault="00032EB6" w:rsidP="00032EB6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Graviditet (se pkt. 4.6).</w:t>
      </w:r>
    </w:p>
    <w:p w14:paraId="3705A428" w14:textId="77777777" w:rsidR="00032EB6" w:rsidRPr="005C51C9" w:rsidRDefault="00032EB6" w:rsidP="00032EB6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Amning (se pkt. 4.6).</w:t>
      </w:r>
    </w:p>
    <w:p w14:paraId="6E776EB1" w14:textId="77777777" w:rsidR="00032EB6" w:rsidRPr="005C51C9" w:rsidRDefault="00032EB6" w:rsidP="00032EB6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Samtidig behandling med </w:t>
      </w:r>
      <w:proofErr w:type="spellStart"/>
      <w:r w:rsidRPr="005C51C9">
        <w:rPr>
          <w:color w:val="000000"/>
          <w:sz w:val="24"/>
          <w:szCs w:val="24"/>
        </w:rPr>
        <w:t>warfarin</w:t>
      </w:r>
      <w:proofErr w:type="spellEnd"/>
      <w:r w:rsidRPr="005C51C9">
        <w:rPr>
          <w:color w:val="000000"/>
          <w:sz w:val="24"/>
          <w:szCs w:val="24"/>
        </w:rPr>
        <w:t xml:space="preserve"> eller andre orale </w:t>
      </w:r>
      <w:proofErr w:type="spellStart"/>
      <w:r w:rsidRPr="005C51C9">
        <w:rPr>
          <w:color w:val="000000"/>
          <w:sz w:val="24"/>
          <w:szCs w:val="24"/>
        </w:rPr>
        <w:t>antikoagulantia</w:t>
      </w:r>
      <w:proofErr w:type="spellEnd"/>
      <w:r w:rsidRPr="005C51C9">
        <w:rPr>
          <w:color w:val="000000"/>
          <w:sz w:val="24"/>
          <w:szCs w:val="24"/>
        </w:rPr>
        <w:t xml:space="preserve"> (se pkt. 4.5 og 4.8).</w:t>
      </w:r>
    </w:p>
    <w:p w14:paraId="76DE662C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48F735D1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14:paraId="4FA4E3BB" w14:textId="77777777" w:rsidR="000651E9" w:rsidRDefault="000651E9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  <w:u w:val="single"/>
        </w:rPr>
      </w:pPr>
    </w:p>
    <w:p w14:paraId="77BA27AF" w14:textId="294ED096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466D42">
        <w:rPr>
          <w:color w:val="000000"/>
          <w:sz w:val="24"/>
          <w:szCs w:val="24"/>
          <w:u w:val="single"/>
        </w:rPr>
        <w:t>Gastrointestinale</w:t>
      </w:r>
      <w:proofErr w:type="spellEnd"/>
      <w:r w:rsidRPr="00466D42">
        <w:rPr>
          <w:color w:val="000000"/>
          <w:sz w:val="24"/>
          <w:szCs w:val="24"/>
          <w:u w:val="single"/>
        </w:rPr>
        <w:t xml:space="preserve"> symptomer</w:t>
      </w:r>
      <w:r w:rsidRPr="00466D42">
        <w:rPr>
          <w:color w:val="000000"/>
          <w:sz w:val="24"/>
          <w:szCs w:val="24"/>
        </w:rPr>
        <w:br/>
        <w:t xml:space="preserve">Patienterne skal rådes til at overholde de anbefalede kostplaner (se pkt. 4.2). </w:t>
      </w:r>
    </w:p>
    <w:p w14:paraId="3B915F75" w14:textId="77777777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r w:rsidRPr="00466D42">
        <w:rPr>
          <w:color w:val="000000"/>
          <w:sz w:val="24"/>
          <w:szCs w:val="24"/>
        </w:rPr>
        <w:t xml:space="preserve">Hvis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indtages sammen med enkeltmåltider eller kost med højt fedtindhold, øges sandsynligheden for </w:t>
      </w:r>
      <w:proofErr w:type="spellStart"/>
      <w:r w:rsidRPr="00466D42">
        <w:rPr>
          <w:color w:val="000000"/>
          <w:sz w:val="24"/>
          <w:szCs w:val="24"/>
        </w:rPr>
        <w:t>gastrointestinale</w:t>
      </w:r>
      <w:proofErr w:type="spellEnd"/>
      <w:r w:rsidRPr="00466D42">
        <w:rPr>
          <w:color w:val="000000"/>
          <w:sz w:val="24"/>
          <w:szCs w:val="24"/>
        </w:rPr>
        <w:t xml:space="preserve"> bivirkninger (se pkt. 4.8).</w:t>
      </w:r>
    </w:p>
    <w:p w14:paraId="5307E125" w14:textId="77777777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14:paraId="705539E1" w14:textId="77777777" w:rsidR="00032EB6" w:rsidRPr="00466D42" w:rsidRDefault="00032EB6" w:rsidP="00032EB6">
      <w:pPr>
        <w:widowControl w:val="0"/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r w:rsidRPr="00466D42">
        <w:rPr>
          <w:color w:val="000000"/>
          <w:sz w:val="24"/>
          <w:szCs w:val="24"/>
          <w:u w:val="single"/>
        </w:rPr>
        <w:t>Fedtopløselige vitaminer</w:t>
      </w:r>
      <w:r w:rsidRPr="00466D42">
        <w:rPr>
          <w:color w:val="000000"/>
          <w:sz w:val="24"/>
          <w:szCs w:val="24"/>
          <w:u w:val="single"/>
        </w:rPr>
        <w:br/>
      </w:r>
      <w:r w:rsidRPr="00466D42">
        <w:rPr>
          <w:color w:val="000000"/>
          <w:sz w:val="24"/>
          <w:szCs w:val="24"/>
        </w:rPr>
        <w:t xml:space="preserve">Behandlingen med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kan potentielt nedsætte absorption af fedtopløselige vitaminer (A, D, E og K) (se pkt. 4.5). Derfor bør patienten indtage et multivitamintilskud ved </w:t>
      </w:r>
      <w:r w:rsidRPr="00466D42">
        <w:rPr>
          <w:color w:val="000000"/>
          <w:sz w:val="24"/>
          <w:szCs w:val="24"/>
        </w:rPr>
        <w:lastRenderedPageBreak/>
        <w:t>sengetid.</w:t>
      </w:r>
    </w:p>
    <w:p w14:paraId="109A6D18" w14:textId="77777777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14:paraId="0F57EB0B" w14:textId="061C4B7D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466D42">
        <w:rPr>
          <w:color w:val="000000"/>
          <w:sz w:val="24"/>
          <w:szCs w:val="24"/>
          <w:u w:val="single"/>
        </w:rPr>
        <w:t>Antidiabetika</w:t>
      </w:r>
      <w:proofErr w:type="spellEnd"/>
      <w:r w:rsidRPr="00466D42">
        <w:rPr>
          <w:color w:val="000000"/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br/>
        <w:t xml:space="preserve">Hos patienter med diabetes kan vægttab være ledsaget af forbedret stofskifte. Derfor skal diabetikere i medicinsk behandling konsultere en læge inden behandlingen med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  <w:r w:rsidRPr="00466D42">
        <w:rPr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t xml:space="preserve">for at få undersøgt, om de skal have justeret doseringen af </w:t>
      </w:r>
      <w:proofErr w:type="spellStart"/>
      <w:r w:rsidRPr="00466D42">
        <w:rPr>
          <w:color w:val="000000"/>
          <w:sz w:val="24"/>
          <w:szCs w:val="24"/>
        </w:rPr>
        <w:t>antidiabetika</w:t>
      </w:r>
      <w:proofErr w:type="spellEnd"/>
      <w:r w:rsidRPr="00466D42">
        <w:rPr>
          <w:color w:val="000000"/>
          <w:sz w:val="24"/>
          <w:szCs w:val="24"/>
        </w:rPr>
        <w:t>.</w:t>
      </w:r>
    </w:p>
    <w:p w14:paraId="3AE0B6C0" w14:textId="77777777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14:paraId="59CFAE9A" w14:textId="7A828C88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r w:rsidRPr="00466D42">
        <w:rPr>
          <w:color w:val="000000"/>
          <w:sz w:val="24"/>
          <w:szCs w:val="24"/>
          <w:u w:val="single"/>
        </w:rPr>
        <w:t xml:space="preserve">Lægemidler til hypertension eller </w:t>
      </w:r>
      <w:proofErr w:type="spellStart"/>
      <w:r w:rsidRPr="00466D42">
        <w:rPr>
          <w:color w:val="000000"/>
          <w:sz w:val="24"/>
          <w:szCs w:val="24"/>
          <w:u w:val="single"/>
        </w:rPr>
        <w:t>hyperkolesterolæmi</w:t>
      </w:r>
      <w:proofErr w:type="spellEnd"/>
      <w:r w:rsidRPr="00466D42">
        <w:rPr>
          <w:color w:val="000000"/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br/>
        <w:t xml:space="preserve">Et vægttab kan være ledsaget af forbedring i blodtryk og kolesteroltal. </w:t>
      </w:r>
      <w:r w:rsidRPr="00466D42">
        <w:rPr>
          <w:color w:val="000000"/>
          <w:sz w:val="24"/>
          <w:szCs w:val="24"/>
        </w:rPr>
        <w:br/>
        <w:t xml:space="preserve">Patienter, som er i medicinsk behandling for hypertension eller </w:t>
      </w:r>
      <w:proofErr w:type="spellStart"/>
      <w:r w:rsidRPr="00466D42">
        <w:rPr>
          <w:color w:val="000000"/>
          <w:sz w:val="24"/>
          <w:szCs w:val="24"/>
        </w:rPr>
        <w:t>hyperkolesterolæmi</w:t>
      </w:r>
      <w:proofErr w:type="spellEnd"/>
      <w:r w:rsidRPr="00466D42">
        <w:rPr>
          <w:color w:val="000000"/>
          <w:sz w:val="24"/>
          <w:szCs w:val="24"/>
        </w:rPr>
        <w:t xml:space="preserve">, bør konsultere lægen om behovet for at justere doseringen af disse lægemidler ved behandling med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  <w:r w:rsidRPr="00466D42">
        <w:rPr>
          <w:color w:val="000000"/>
          <w:sz w:val="24"/>
          <w:szCs w:val="24"/>
        </w:rPr>
        <w:t>.</w:t>
      </w:r>
    </w:p>
    <w:p w14:paraId="0F6A3565" w14:textId="77777777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14:paraId="788F294C" w14:textId="4BBEFABD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466D42">
        <w:rPr>
          <w:color w:val="000000"/>
          <w:sz w:val="24"/>
          <w:szCs w:val="24"/>
          <w:u w:val="single"/>
        </w:rPr>
        <w:t>Amiodaron</w:t>
      </w:r>
      <w:proofErr w:type="spellEnd"/>
      <w:r w:rsidRPr="00466D42">
        <w:rPr>
          <w:color w:val="000000"/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br/>
        <w:t xml:space="preserve">Patienter, som tager </w:t>
      </w:r>
      <w:proofErr w:type="spellStart"/>
      <w:r w:rsidRPr="00466D42">
        <w:rPr>
          <w:color w:val="000000"/>
          <w:sz w:val="24"/>
          <w:szCs w:val="24"/>
        </w:rPr>
        <w:t>amiodaron</w:t>
      </w:r>
      <w:proofErr w:type="spellEnd"/>
      <w:r w:rsidRPr="00466D42">
        <w:rPr>
          <w:color w:val="000000"/>
          <w:sz w:val="24"/>
          <w:szCs w:val="24"/>
        </w:rPr>
        <w:t xml:space="preserve">, bør konsultere en læge inden behandlingen med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  <w:r w:rsidRPr="00466D42">
        <w:rPr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t>(se pkt. 4.5).</w:t>
      </w:r>
    </w:p>
    <w:p w14:paraId="27303EFF" w14:textId="77777777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14:paraId="00ED962E" w14:textId="77777777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466D42">
        <w:rPr>
          <w:color w:val="000000"/>
          <w:sz w:val="24"/>
          <w:szCs w:val="24"/>
          <w:u w:val="single"/>
        </w:rPr>
        <w:t>Rektal</w:t>
      </w:r>
      <w:proofErr w:type="spellEnd"/>
      <w:r w:rsidRPr="00466D42">
        <w:rPr>
          <w:color w:val="000000"/>
          <w:sz w:val="24"/>
          <w:szCs w:val="24"/>
          <w:u w:val="single"/>
        </w:rPr>
        <w:t xml:space="preserve"> blødning</w:t>
      </w:r>
      <w:r w:rsidRPr="00466D42">
        <w:rPr>
          <w:color w:val="000000"/>
          <w:sz w:val="24"/>
          <w:szCs w:val="24"/>
        </w:rPr>
        <w:br/>
        <w:t xml:space="preserve">Der er rapporteret om tilfælde af </w:t>
      </w:r>
      <w:proofErr w:type="spellStart"/>
      <w:r w:rsidRPr="00466D42">
        <w:rPr>
          <w:color w:val="000000"/>
          <w:sz w:val="24"/>
          <w:szCs w:val="24"/>
        </w:rPr>
        <w:t>rektal</w:t>
      </w:r>
      <w:proofErr w:type="spellEnd"/>
      <w:r w:rsidRPr="00466D42">
        <w:rPr>
          <w:color w:val="000000"/>
          <w:sz w:val="24"/>
          <w:szCs w:val="24"/>
        </w:rPr>
        <w:t xml:space="preserve"> blødning, hos patienter som tager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>. Hvis dette opstår skal patienten konsultere en læge.</w:t>
      </w:r>
    </w:p>
    <w:p w14:paraId="35A71883" w14:textId="77777777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14:paraId="66641D19" w14:textId="77777777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r w:rsidRPr="00466D42">
        <w:rPr>
          <w:color w:val="000000"/>
          <w:sz w:val="24"/>
          <w:szCs w:val="24"/>
          <w:u w:val="single"/>
        </w:rPr>
        <w:t>Orale præventionsmidler</w:t>
      </w:r>
      <w:r w:rsidRPr="00466D42">
        <w:rPr>
          <w:color w:val="000000"/>
          <w:sz w:val="24"/>
          <w:szCs w:val="24"/>
        </w:rPr>
        <w:br/>
        <w:t xml:space="preserve">Det anbefales at anvende et supplerende præventionsmiddel for at undgå risiko for svigt af oral </w:t>
      </w:r>
      <w:proofErr w:type="spellStart"/>
      <w:r w:rsidRPr="00466D42">
        <w:rPr>
          <w:color w:val="000000"/>
          <w:sz w:val="24"/>
          <w:szCs w:val="24"/>
        </w:rPr>
        <w:t>kontraception</w:t>
      </w:r>
      <w:proofErr w:type="spellEnd"/>
      <w:r w:rsidRPr="00466D42">
        <w:rPr>
          <w:color w:val="000000"/>
          <w:sz w:val="24"/>
          <w:szCs w:val="24"/>
        </w:rPr>
        <w:t>, der kan forekomme i tilfælde af svær diarré (se pkt. 4.5).</w:t>
      </w:r>
    </w:p>
    <w:p w14:paraId="29BD46A3" w14:textId="77777777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14:paraId="5D4BAD09" w14:textId="692FE0E4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r w:rsidRPr="00466D42">
        <w:rPr>
          <w:color w:val="000000"/>
          <w:sz w:val="24"/>
          <w:szCs w:val="24"/>
          <w:u w:val="single"/>
        </w:rPr>
        <w:t>Nyresygdom</w:t>
      </w:r>
      <w:r w:rsidRPr="00466D42">
        <w:rPr>
          <w:color w:val="000000"/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br/>
        <w:t xml:space="preserve">Patienter med nyresygdom bør konsultere en læge inden behandling med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  <w:r w:rsidRPr="00466D42">
        <w:rPr>
          <w:color w:val="000000"/>
          <w:sz w:val="24"/>
          <w:szCs w:val="24"/>
        </w:rPr>
        <w:t xml:space="preserve">, idet anvendelse af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i sjældne tilfælde kan være forbundet med </w:t>
      </w:r>
      <w:proofErr w:type="spellStart"/>
      <w:r w:rsidRPr="00466D42">
        <w:rPr>
          <w:color w:val="000000"/>
          <w:sz w:val="24"/>
          <w:szCs w:val="24"/>
        </w:rPr>
        <w:t>hyperoxaluri</w:t>
      </w:r>
      <w:proofErr w:type="spellEnd"/>
      <w:r w:rsidRPr="00466D42">
        <w:rPr>
          <w:color w:val="000000"/>
          <w:sz w:val="24"/>
          <w:szCs w:val="24"/>
        </w:rPr>
        <w:t xml:space="preserve"> og </w:t>
      </w:r>
      <w:proofErr w:type="spellStart"/>
      <w:r w:rsidRPr="00466D42">
        <w:rPr>
          <w:color w:val="000000"/>
          <w:sz w:val="24"/>
          <w:szCs w:val="24"/>
        </w:rPr>
        <w:t>oxalatnefropati</w:t>
      </w:r>
      <w:proofErr w:type="spellEnd"/>
      <w:r w:rsidRPr="00466D42">
        <w:rPr>
          <w:color w:val="000000"/>
          <w:sz w:val="24"/>
          <w:szCs w:val="24"/>
        </w:rPr>
        <w:t xml:space="preserve"> og i nogle tilfælde kan medføre nyresvigt. Denne risiko er øget hos patienter med underliggende kronisk nyresygdom og/eller </w:t>
      </w:r>
      <w:proofErr w:type="spellStart"/>
      <w:r w:rsidRPr="00466D42">
        <w:rPr>
          <w:color w:val="000000"/>
          <w:sz w:val="24"/>
          <w:szCs w:val="24"/>
        </w:rPr>
        <w:t>volumendepletion</w:t>
      </w:r>
      <w:proofErr w:type="spellEnd"/>
      <w:r w:rsidRPr="00466D42">
        <w:rPr>
          <w:color w:val="000000"/>
          <w:sz w:val="24"/>
          <w:szCs w:val="24"/>
        </w:rPr>
        <w:t>.</w:t>
      </w:r>
    </w:p>
    <w:p w14:paraId="3B3A1999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14:paraId="3EF4C891" w14:textId="47EBB4DB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2902E4">
        <w:rPr>
          <w:color w:val="000000"/>
          <w:sz w:val="24"/>
          <w:szCs w:val="24"/>
          <w:u w:val="single"/>
        </w:rPr>
        <w:t>Levothyroxin</w:t>
      </w:r>
      <w:proofErr w:type="spellEnd"/>
      <w:r w:rsidRPr="002902E4">
        <w:rPr>
          <w:color w:val="000000"/>
          <w:sz w:val="24"/>
          <w:szCs w:val="24"/>
          <w:u w:val="single"/>
        </w:rPr>
        <w:t xml:space="preserve"> </w:t>
      </w:r>
      <w:r w:rsidRPr="00466D42">
        <w:rPr>
          <w:color w:val="000000"/>
          <w:sz w:val="24"/>
          <w:szCs w:val="24"/>
        </w:rPr>
        <w:br/>
        <w:t xml:space="preserve">Der kan forekomme </w:t>
      </w:r>
      <w:proofErr w:type="spellStart"/>
      <w:r w:rsidRPr="00466D42">
        <w:rPr>
          <w:color w:val="000000"/>
          <w:sz w:val="24"/>
          <w:szCs w:val="24"/>
        </w:rPr>
        <w:t>hypotyroidisme</w:t>
      </w:r>
      <w:proofErr w:type="spellEnd"/>
      <w:r w:rsidRPr="00466D42">
        <w:rPr>
          <w:color w:val="000000"/>
          <w:sz w:val="24"/>
          <w:szCs w:val="24"/>
        </w:rPr>
        <w:t xml:space="preserve"> og/eller dårligere kontrol af </w:t>
      </w:r>
      <w:proofErr w:type="spellStart"/>
      <w:r w:rsidRPr="00466D42">
        <w:rPr>
          <w:color w:val="000000"/>
          <w:sz w:val="24"/>
          <w:szCs w:val="24"/>
        </w:rPr>
        <w:t>hypotyroidisme</w:t>
      </w:r>
      <w:proofErr w:type="spellEnd"/>
      <w:r w:rsidRPr="00466D42">
        <w:rPr>
          <w:color w:val="000000"/>
          <w:sz w:val="24"/>
          <w:szCs w:val="24"/>
        </w:rPr>
        <w:t xml:space="preserve">, når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og </w:t>
      </w:r>
      <w:proofErr w:type="spellStart"/>
      <w:r w:rsidRPr="00466D42">
        <w:rPr>
          <w:color w:val="000000"/>
          <w:sz w:val="24"/>
          <w:szCs w:val="24"/>
        </w:rPr>
        <w:t>levothyroxin</w:t>
      </w:r>
      <w:proofErr w:type="spellEnd"/>
      <w:r w:rsidRPr="00466D42">
        <w:rPr>
          <w:color w:val="000000"/>
          <w:sz w:val="24"/>
          <w:szCs w:val="24"/>
        </w:rPr>
        <w:t xml:space="preserve"> indtages samtidigt (se pkt. 4.5). Patienter, som tager </w:t>
      </w:r>
      <w:proofErr w:type="spellStart"/>
      <w:r w:rsidRPr="00466D42">
        <w:rPr>
          <w:color w:val="000000"/>
          <w:sz w:val="24"/>
          <w:szCs w:val="24"/>
        </w:rPr>
        <w:t>levothyroxin</w:t>
      </w:r>
      <w:proofErr w:type="spellEnd"/>
      <w:r w:rsidRPr="00466D42">
        <w:rPr>
          <w:color w:val="000000"/>
          <w:sz w:val="24"/>
          <w:szCs w:val="24"/>
        </w:rPr>
        <w:t xml:space="preserve">, bør konsultere en læge inden behandling med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  <w:r w:rsidRPr="00466D42">
        <w:rPr>
          <w:color w:val="000000"/>
          <w:sz w:val="24"/>
          <w:szCs w:val="24"/>
        </w:rPr>
        <w:t xml:space="preserve">, da det kan være nødvendigt at tage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og </w:t>
      </w:r>
      <w:proofErr w:type="spellStart"/>
      <w:r w:rsidRPr="00466D42">
        <w:rPr>
          <w:color w:val="000000"/>
          <w:sz w:val="24"/>
          <w:szCs w:val="24"/>
        </w:rPr>
        <w:t>levothyroxin</w:t>
      </w:r>
      <w:proofErr w:type="spellEnd"/>
      <w:r w:rsidRPr="00466D42">
        <w:rPr>
          <w:color w:val="000000"/>
          <w:sz w:val="24"/>
          <w:szCs w:val="24"/>
        </w:rPr>
        <w:t xml:space="preserve"> på forskellige tidspunkter, og da der kan være behov for justering af </w:t>
      </w:r>
      <w:proofErr w:type="spellStart"/>
      <w:r w:rsidRPr="00466D42">
        <w:rPr>
          <w:color w:val="000000"/>
          <w:sz w:val="24"/>
          <w:szCs w:val="24"/>
        </w:rPr>
        <w:t>levothyroxindosis</w:t>
      </w:r>
      <w:proofErr w:type="spellEnd"/>
      <w:r w:rsidRPr="00466D42">
        <w:rPr>
          <w:color w:val="000000"/>
          <w:sz w:val="24"/>
          <w:szCs w:val="24"/>
        </w:rPr>
        <w:t>.</w:t>
      </w:r>
    </w:p>
    <w:p w14:paraId="4FBF2F2D" w14:textId="77777777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14:paraId="7481BCA4" w14:textId="49613A40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466D42">
        <w:rPr>
          <w:color w:val="000000"/>
          <w:sz w:val="24"/>
          <w:szCs w:val="24"/>
          <w:u w:val="single"/>
        </w:rPr>
        <w:t>Antiepileptika</w:t>
      </w:r>
      <w:proofErr w:type="spellEnd"/>
      <w:r w:rsidRPr="00466D42">
        <w:rPr>
          <w:color w:val="000000"/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br/>
        <w:t xml:space="preserve">Patienter, der tager </w:t>
      </w:r>
      <w:proofErr w:type="spellStart"/>
      <w:r w:rsidRPr="00466D42">
        <w:rPr>
          <w:color w:val="000000"/>
          <w:sz w:val="24"/>
          <w:szCs w:val="24"/>
        </w:rPr>
        <w:t>antiepileptika</w:t>
      </w:r>
      <w:proofErr w:type="spellEnd"/>
      <w:r w:rsidRPr="00466D42">
        <w:rPr>
          <w:color w:val="000000"/>
          <w:sz w:val="24"/>
          <w:szCs w:val="24"/>
        </w:rPr>
        <w:t xml:space="preserve">, bør konsultere en læge inden behandling med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  <w:r w:rsidRPr="00466D42">
        <w:rPr>
          <w:color w:val="000000"/>
          <w:sz w:val="24"/>
          <w:szCs w:val="24"/>
        </w:rPr>
        <w:t xml:space="preserve">, da de bør monitoreres for mulige ændringer i krampeanfaldenes frekvens og intensitet. Hvis dette forekommer bør det overvejes at give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og </w:t>
      </w:r>
      <w:proofErr w:type="spellStart"/>
      <w:r w:rsidRPr="00466D42">
        <w:rPr>
          <w:color w:val="000000"/>
          <w:sz w:val="24"/>
          <w:szCs w:val="24"/>
        </w:rPr>
        <w:t>antiepileptika</w:t>
      </w:r>
      <w:proofErr w:type="spellEnd"/>
      <w:r w:rsidRPr="00466D42">
        <w:rPr>
          <w:color w:val="000000"/>
          <w:sz w:val="24"/>
          <w:szCs w:val="24"/>
        </w:rPr>
        <w:t xml:space="preserve"> på forskellige tidspunkter (se pkt. 4.5).</w:t>
      </w:r>
    </w:p>
    <w:p w14:paraId="302EE3FA" w14:textId="77777777" w:rsidR="00032EB6" w:rsidRPr="00466D42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14:paraId="11ECC62A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D04F3B">
        <w:rPr>
          <w:color w:val="000000"/>
          <w:sz w:val="24"/>
          <w:szCs w:val="24"/>
          <w:u w:val="single"/>
        </w:rPr>
        <w:t>Antiretrovirale</w:t>
      </w:r>
      <w:proofErr w:type="spellEnd"/>
      <w:r w:rsidRPr="00D04F3B">
        <w:rPr>
          <w:color w:val="000000"/>
          <w:sz w:val="24"/>
          <w:szCs w:val="24"/>
          <w:u w:val="single"/>
        </w:rPr>
        <w:t xml:space="preserve"> lægemidler mod hiv</w:t>
      </w:r>
      <w:r w:rsidRPr="00466D42">
        <w:rPr>
          <w:color w:val="000000"/>
          <w:sz w:val="24"/>
          <w:szCs w:val="24"/>
        </w:rPr>
        <w:br/>
        <w:t xml:space="preserve">Patienter bør tale med en læge, før de tager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samtidig med </w:t>
      </w:r>
      <w:proofErr w:type="spellStart"/>
      <w:r w:rsidRPr="00466D42">
        <w:rPr>
          <w:color w:val="000000"/>
          <w:sz w:val="24"/>
          <w:szCs w:val="24"/>
        </w:rPr>
        <w:t>antiretrovirale</w:t>
      </w:r>
      <w:proofErr w:type="spellEnd"/>
      <w:r w:rsidRPr="00466D42">
        <w:rPr>
          <w:color w:val="000000"/>
          <w:sz w:val="24"/>
          <w:szCs w:val="24"/>
        </w:rPr>
        <w:t xml:space="preserve"> lægemidler.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kan potentielt nedsætte absorptionen af </w:t>
      </w:r>
      <w:proofErr w:type="spellStart"/>
      <w:r w:rsidRPr="00466D42">
        <w:rPr>
          <w:color w:val="000000"/>
          <w:sz w:val="24"/>
          <w:szCs w:val="24"/>
        </w:rPr>
        <w:t>antiretrovirale</w:t>
      </w:r>
      <w:proofErr w:type="spellEnd"/>
      <w:r w:rsidRPr="00466D42">
        <w:rPr>
          <w:color w:val="000000"/>
          <w:sz w:val="24"/>
          <w:szCs w:val="24"/>
        </w:rPr>
        <w:t xml:space="preserve"> lægemidler mod hiv og kan påvirke </w:t>
      </w:r>
      <w:proofErr w:type="spellStart"/>
      <w:r w:rsidRPr="00466D42">
        <w:rPr>
          <w:color w:val="000000"/>
          <w:sz w:val="24"/>
          <w:szCs w:val="24"/>
        </w:rPr>
        <w:t>antiretrovirale</w:t>
      </w:r>
      <w:proofErr w:type="spellEnd"/>
      <w:r w:rsidRPr="00466D42">
        <w:rPr>
          <w:color w:val="000000"/>
          <w:sz w:val="24"/>
          <w:szCs w:val="24"/>
        </w:rPr>
        <w:t xml:space="preserve"> lægemidlers effekt mod HIV negativt (se pkt. 4.5).</w:t>
      </w:r>
    </w:p>
    <w:p w14:paraId="437AF2A7" w14:textId="77777777" w:rsidR="00FE5C55" w:rsidRDefault="00FE5C55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14:paraId="5EBBCFC0" w14:textId="77777777" w:rsidR="00FE5C55" w:rsidRPr="00466D42" w:rsidRDefault="00FE5C55" w:rsidP="00FE5C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r w:rsidRPr="00907967">
        <w:rPr>
          <w:color w:val="000000"/>
          <w:sz w:val="24"/>
          <w:szCs w:val="24"/>
        </w:rPr>
        <w:t>Dette l</w:t>
      </w:r>
      <w:r>
        <w:rPr>
          <w:color w:val="000000"/>
          <w:sz w:val="24"/>
          <w:szCs w:val="24"/>
        </w:rPr>
        <w:t>æ</w:t>
      </w:r>
      <w:r w:rsidRPr="00907967">
        <w:rPr>
          <w:color w:val="000000"/>
          <w:sz w:val="24"/>
          <w:szCs w:val="24"/>
        </w:rPr>
        <w:t>gemiddel indeholder mindre end 1 mmol</w:t>
      </w:r>
      <w:r>
        <w:rPr>
          <w:color w:val="000000"/>
          <w:sz w:val="24"/>
          <w:szCs w:val="24"/>
        </w:rPr>
        <w:t xml:space="preserve"> </w:t>
      </w:r>
      <w:r w:rsidRPr="00907967">
        <w:rPr>
          <w:color w:val="000000"/>
          <w:sz w:val="24"/>
          <w:szCs w:val="24"/>
        </w:rPr>
        <w:t xml:space="preserve">(23 mg) natrium pr. </w:t>
      </w:r>
      <w:r>
        <w:rPr>
          <w:color w:val="000000"/>
          <w:sz w:val="24"/>
          <w:szCs w:val="24"/>
        </w:rPr>
        <w:t xml:space="preserve"> kapsel</w:t>
      </w:r>
      <w:r w:rsidRPr="00907967">
        <w:rPr>
          <w:color w:val="000000"/>
          <w:sz w:val="24"/>
          <w:szCs w:val="24"/>
        </w:rPr>
        <w:t>, dvs. det er i det v</w:t>
      </w:r>
      <w:r>
        <w:rPr>
          <w:color w:val="000000"/>
          <w:sz w:val="24"/>
          <w:szCs w:val="24"/>
        </w:rPr>
        <w:t>æ</w:t>
      </w:r>
      <w:r w:rsidRPr="00907967">
        <w:rPr>
          <w:color w:val="000000"/>
          <w:sz w:val="24"/>
          <w:szCs w:val="24"/>
        </w:rPr>
        <w:t>sentlige natriumfrit.</w:t>
      </w:r>
    </w:p>
    <w:p w14:paraId="24077B4B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6097C3F3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14:paraId="75EA3023" w14:textId="77777777" w:rsidR="000651E9" w:rsidRDefault="000651E9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</w:p>
    <w:p w14:paraId="1759D4AA" w14:textId="4A7497A3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proofErr w:type="spellStart"/>
      <w:r w:rsidRPr="005C51C9">
        <w:rPr>
          <w:color w:val="000000"/>
          <w:sz w:val="24"/>
          <w:szCs w:val="24"/>
          <w:u w:val="single"/>
        </w:rPr>
        <w:t>Ciclosporin</w:t>
      </w:r>
      <w:proofErr w:type="spellEnd"/>
    </w:p>
    <w:p w14:paraId="6C4032CE" w14:textId="3445AC72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Der er observeret fald i plasmakoncentrationen af </w:t>
      </w:r>
      <w:proofErr w:type="spellStart"/>
      <w:r w:rsidRPr="005C51C9">
        <w:rPr>
          <w:color w:val="000000"/>
          <w:sz w:val="24"/>
          <w:szCs w:val="24"/>
        </w:rPr>
        <w:t>ciclosporin</w:t>
      </w:r>
      <w:proofErr w:type="spellEnd"/>
      <w:r w:rsidRPr="005C51C9">
        <w:rPr>
          <w:color w:val="000000"/>
          <w:sz w:val="24"/>
          <w:szCs w:val="24"/>
        </w:rPr>
        <w:t xml:space="preserve"> i et lægemiddel</w:t>
      </w:r>
      <w:r w:rsidR="000651E9">
        <w:rPr>
          <w:color w:val="000000"/>
          <w:sz w:val="24"/>
          <w:szCs w:val="24"/>
        </w:rPr>
        <w:softHyphen/>
      </w:r>
      <w:r w:rsidRPr="005C51C9">
        <w:rPr>
          <w:color w:val="000000"/>
          <w:sz w:val="24"/>
          <w:szCs w:val="24"/>
        </w:rPr>
        <w:t xml:space="preserve">interaktionsstudie og i flere tilfælde, når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blev administreret samtidig. Dette kan potentielt medføre reduceret </w:t>
      </w:r>
      <w:proofErr w:type="spellStart"/>
      <w:r w:rsidRPr="005C51C9">
        <w:rPr>
          <w:color w:val="000000"/>
          <w:sz w:val="24"/>
          <w:szCs w:val="24"/>
        </w:rPr>
        <w:t>immunosuppressivitet</w:t>
      </w:r>
      <w:proofErr w:type="spellEnd"/>
      <w:r w:rsidRPr="005C51C9">
        <w:rPr>
          <w:color w:val="000000"/>
          <w:sz w:val="24"/>
          <w:szCs w:val="24"/>
        </w:rPr>
        <w:t xml:space="preserve">. Samtidig brug af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  <w:r w:rsidRPr="005C51C9">
        <w:rPr>
          <w:sz w:val="24"/>
          <w:szCs w:val="24"/>
        </w:rPr>
        <w:t xml:space="preserve"> </w:t>
      </w:r>
      <w:r w:rsidRPr="005C51C9">
        <w:rPr>
          <w:color w:val="000000"/>
          <w:sz w:val="24"/>
          <w:szCs w:val="24"/>
        </w:rPr>
        <w:t xml:space="preserve">og </w:t>
      </w:r>
      <w:proofErr w:type="spellStart"/>
      <w:r w:rsidRPr="005C51C9">
        <w:rPr>
          <w:color w:val="000000"/>
          <w:sz w:val="24"/>
          <w:szCs w:val="24"/>
        </w:rPr>
        <w:t>ciclosporin</w:t>
      </w:r>
      <w:proofErr w:type="spellEnd"/>
      <w:r w:rsidRPr="005C51C9">
        <w:rPr>
          <w:color w:val="000000"/>
          <w:sz w:val="24"/>
          <w:szCs w:val="24"/>
        </w:rPr>
        <w:t xml:space="preserve"> er kontraindiceret (se pkt. 4.3).</w:t>
      </w:r>
    </w:p>
    <w:p w14:paraId="75E9F9C0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2C1F30C3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 xml:space="preserve">Orale </w:t>
      </w:r>
      <w:proofErr w:type="spellStart"/>
      <w:r w:rsidRPr="005C51C9">
        <w:rPr>
          <w:color w:val="000000"/>
          <w:sz w:val="24"/>
          <w:szCs w:val="24"/>
          <w:u w:val="single"/>
        </w:rPr>
        <w:t>antikoagulantia</w:t>
      </w:r>
      <w:proofErr w:type="spellEnd"/>
    </w:p>
    <w:p w14:paraId="439E85FA" w14:textId="54425121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Når </w:t>
      </w:r>
      <w:proofErr w:type="spellStart"/>
      <w:r w:rsidRPr="005C51C9">
        <w:rPr>
          <w:color w:val="000000"/>
          <w:sz w:val="24"/>
          <w:szCs w:val="24"/>
        </w:rPr>
        <w:t>warfarin</w:t>
      </w:r>
      <w:proofErr w:type="spellEnd"/>
      <w:r w:rsidRPr="005C51C9">
        <w:rPr>
          <w:color w:val="000000"/>
          <w:sz w:val="24"/>
          <w:szCs w:val="24"/>
        </w:rPr>
        <w:t xml:space="preserve"> eller andre orale </w:t>
      </w:r>
      <w:proofErr w:type="spellStart"/>
      <w:r w:rsidRPr="005C51C9">
        <w:rPr>
          <w:color w:val="000000"/>
          <w:sz w:val="24"/>
          <w:szCs w:val="24"/>
        </w:rPr>
        <w:t>antikoagulantia</w:t>
      </w:r>
      <w:proofErr w:type="spellEnd"/>
      <w:r w:rsidRPr="005C51C9">
        <w:rPr>
          <w:color w:val="000000"/>
          <w:sz w:val="24"/>
          <w:szCs w:val="24"/>
        </w:rPr>
        <w:t xml:space="preserve"> anvendes i kombination med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kan INR-værdien (international normaliseret ratio) påvirkes (se pkt. 4.8). Samtidig brug af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</w:t>
      </w:r>
      <w:r w:rsidR="000651E9">
        <w:rPr>
          <w:color w:val="000000"/>
          <w:sz w:val="24"/>
          <w:szCs w:val="24"/>
        </w:rPr>
        <w:t>"</w:t>
      </w:r>
      <w:proofErr w:type="spellStart"/>
      <w:r>
        <w:rPr>
          <w:color w:val="000000"/>
          <w:sz w:val="24"/>
          <w:szCs w:val="24"/>
        </w:rPr>
        <w:t>Rivopharm</w:t>
      </w:r>
      <w:proofErr w:type="spellEnd"/>
      <w:r w:rsidR="000651E9">
        <w:rPr>
          <w:color w:val="000000"/>
          <w:sz w:val="24"/>
          <w:szCs w:val="24"/>
        </w:rPr>
        <w:t>"</w:t>
      </w:r>
      <w:r w:rsidRPr="005C51C9">
        <w:rPr>
          <w:color w:val="000000"/>
          <w:sz w:val="24"/>
          <w:szCs w:val="24"/>
        </w:rPr>
        <w:t xml:space="preserve"> og </w:t>
      </w:r>
      <w:proofErr w:type="spellStart"/>
      <w:r w:rsidRPr="005C51C9">
        <w:rPr>
          <w:color w:val="000000"/>
          <w:sz w:val="24"/>
          <w:szCs w:val="24"/>
        </w:rPr>
        <w:t>warfarin</w:t>
      </w:r>
      <w:proofErr w:type="spellEnd"/>
      <w:r w:rsidRPr="005C51C9">
        <w:rPr>
          <w:color w:val="000000"/>
          <w:sz w:val="24"/>
          <w:szCs w:val="24"/>
        </w:rPr>
        <w:t xml:space="preserve"> eller andre orale </w:t>
      </w:r>
      <w:proofErr w:type="spellStart"/>
      <w:r w:rsidRPr="005C51C9">
        <w:rPr>
          <w:color w:val="000000"/>
          <w:sz w:val="24"/>
          <w:szCs w:val="24"/>
        </w:rPr>
        <w:t>antikoagulantia</w:t>
      </w:r>
      <w:proofErr w:type="spellEnd"/>
      <w:r w:rsidRPr="005C51C9">
        <w:rPr>
          <w:color w:val="000000"/>
          <w:sz w:val="24"/>
          <w:szCs w:val="24"/>
        </w:rPr>
        <w:t xml:space="preserve"> er kontraindiceret (se pkt. 4.3).</w:t>
      </w:r>
    </w:p>
    <w:p w14:paraId="33869932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4DAFD0AE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 xml:space="preserve">Orale </w:t>
      </w:r>
      <w:proofErr w:type="spellStart"/>
      <w:r w:rsidRPr="005C51C9">
        <w:rPr>
          <w:color w:val="000000"/>
          <w:sz w:val="24"/>
          <w:szCs w:val="24"/>
          <w:u w:val="single"/>
        </w:rPr>
        <w:t>kontraceptiva</w:t>
      </w:r>
      <w:proofErr w:type="spellEnd"/>
    </w:p>
    <w:p w14:paraId="6CE581EB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Fravær af interaktion mellem orale </w:t>
      </w:r>
      <w:proofErr w:type="spellStart"/>
      <w:r w:rsidRPr="005C51C9">
        <w:rPr>
          <w:color w:val="000000"/>
          <w:sz w:val="24"/>
          <w:szCs w:val="24"/>
        </w:rPr>
        <w:t>kontraceptiva</w:t>
      </w:r>
      <w:proofErr w:type="spellEnd"/>
      <w:r w:rsidRPr="005C51C9">
        <w:rPr>
          <w:color w:val="000000"/>
          <w:sz w:val="24"/>
          <w:szCs w:val="24"/>
        </w:rPr>
        <w:t xml:space="preserve"> og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er påvist i specifikke interaktionsstudier.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kan dog indirekte reducere tilgængeligheden af orale </w:t>
      </w:r>
      <w:proofErr w:type="spellStart"/>
      <w:r w:rsidRPr="005C51C9">
        <w:rPr>
          <w:color w:val="000000"/>
          <w:sz w:val="24"/>
          <w:szCs w:val="24"/>
        </w:rPr>
        <w:t>kontraceptiva</w:t>
      </w:r>
      <w:proofErr w:type="spellEnd"/>
      <w:r w:rsidRPr="005C51C9">
        <w:rPr>
          <w:color w:val="000000"/>
          <w:sz w:val="24"/>
          <w:szCs w:val="24"/>
        </w:rPr>
        <w:t xml:space="preserve"> og dermed i enkelte tilfælde føre til uventede graviditeter. Det anbefales at anvende en supplerende præventionsmetode i tilfælde af svær diarré (se pkt. 4.4.)</w:t>
      </w:r>
    </w:p>
    <w:p w14:paraId="3BB604FD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50EA380C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proofErr w:type="spellStart"/>
      <w:r w:rsidRPr="005C51C9">
        <w:rPr>
          <w:color w:val="000000"/>
          <w:sz w:val="24"/>
          <w:szCs w:val="24"/>
          <w:u w:val="single"/>
        </w:rPr>
        <w:t>Levothyroxin</w:t>
      </w:r>
      <w:proofErr w:type="spellEnd"/>
    </w:p>
    <w:p w14:paraId="447511E8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Der kan forekomme </w:t>
      </w:r>
      <w:proofErr w:type="spellStart"/>
      <w:r w:rsidRPr="005C51C9">
        <w:rPr>
          <w:color w:val="000000"/>
          <w:sz w:val="24"/>
          <w:szCs w:val="24"/>
        </w:rPr>
        <w:t>hypotyroidisme</w:t>
      </w:r>
      <w:proofErr w:type="spellEnd"/>
      <w:r w:rsidRPr="005C51C9">
        <w:rPr>
          <w:color w:val="000000"/>
          <w:sz w:val="24"/>
          <w:szCs w:val="24"/>
        </w:rPr>
        <w:t xml:space="preserve"> og/eller dårligere kontrol af </w:t>
      </w:r>
      <w:proofErr w:type="spellStart"/>
      <w:r w:rsidRPr="005C51C9">
        <w:rPr>
          <w:color w:val="000000"/>
          <w:sz w:val="24"/>
          <w:szCs w:val="24"/>
        </w:rPr>
        <w:t>hypotyroidisme</w:t>
      </w:r>
      <w:proofErr w:type="spellEnd"/>
      <w:r w:rsidRPr="005C51C9">
        <w:rPr>
          <w:color w:val="000000"/>
          <w:sz w:val="24"/>
          <w:szCs w:val="24"/>
        </w:rPr>
        <w:t xml:space="preserve">, når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og </w:t>
      </w:r>
      <w:proofErr w:type="spellStart"/>
      <w:r w:rsidRPr="005C51C9">
        <w:rPr>
          <w:color w:val="000000"/>
          <w:sz w:val="24"/>
          <w:szCs w:val="24"/>
        </w:rPr>
        <w:t>levothyroxin</w:t>
      </w:r>
      <w:proofErr w:type="spellEnd"/>
      <w:r w:rsidRPr="005C51C9">
        <w:rPr>
          <w:color w:val="000000"/>
          <w:sz w:val="24"/>
          <w:szCs w:val="24"/>
        </w:rPr>
        <w:t xml:space="preserve"> indtages samtidigt (se pkt. 4.4). Dette kan skyldes et fald i absorptionen af jodsalte og/eller </w:t>
      </w:r>
      <w:proofErr w:type="spellStart"/>
      <w:r w:rsidRPr="005C51C9">
        <w:rPr>
          <w:color w:val="000000"/>
          <w:sz w:val="24"/>
          <w:szCs w:val="24"/>
        </w:rPr>
        <w:t>levothyroxin</w:t>
      </w:r>
      <w:proofErr w:type="spellEnd"/>
      <w:r w:rsidRPr="005C51C9">
        <w:rPr>
          <w:color w:val="000000"/>
          <w:sz w:val="24"/>
          <w:szCs w:val="24"/>
        </w:rPr>
        <w:t>.</w:t>
      </w:r>
    </w:p>
    <w:p w14:paraId="5A3CBA2F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66BF9329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  <w:u w:val="single"/>
        </w:rPr>
        <w:t>Antiepileptika</w:t>
      </w:r>
      <w:proofErr w:type="spellEnd"/>
    </w:p>
    <w:p w14:paraId="5E7D6FEC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Krampeanfald er rapporteret hos patienter, der er blevet behandlet samtidigt med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og </w:t>
      </w:r>
      <w:proofErr w:type="spellStart"/>
      <w:r>
        <w:rPr>
          <w:color w:val="000000"/>
          <w:sz w:val="24"/>
          <w:szCs w:val="24"/>
        </w:rPr>
        <w:t>antiepileptika</w:t>
      </w:r>
      <w:proofErr w:type="spellEnd"/>
      <w:r>
        <w:rPr>
          <w:color w:val="000000"/>
          <w:sz w:val="24"/>
          <w:szCs w:val="24"/>
        </w:rPr>
        <w:t xml:space="preserve"> såsom </w:t>
      </w:r>
      <w:proofErr w:type="spellStart"/>
      <w:r>
        <w:rPr>
          <w:color w:val="000000"/>
          <w:sz w:val="24"/>
          <w:szCs w:val="24"/>
        </w:rPr>
        <w:t>valproat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lamotrigin</w:t>
      </w:r>
      <w:proofErr w:type="spellEnd"/>
      <w:r>
        <w:rPr>
          <w:color w:val="000000"/>
          <w:sz w:val="24"/>
          <w:szCs w:val="24"/>
        </w:rPr>
        <w:t xml:space="preserve">, for hvilke en årsagssammenhæng med en interaktion ikke kan udelukkes.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kan muligvis nedsætte absorptionen af </w:t>
      </w:r>
      <w:proofErr w:type="spellStart"/>
      <w:r>
        <w:rPr>
          <w:color w:val="000000"/>
          <w:sz w:val="24"/>
          <w:szCs w:val="24"/>
        </w:rPr>
        <w:t>antiepileptika</w:t>
      </w:r>
      <w:proofErr w:type="spellEnd"/>
      <w:r>
        <w:rPr>
          <w:color w:val="000000"/>
          <w:sz w:val="24"/>
          <w:szCs w:val="24"/>
        </w:rPr>
        <w:t>, hvilket kan medføre kramper (se pkt. 4.4).</w:t>
      </w:r>
    </w:p>
    <w:p w14:paraId="0D3B9D62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43117A9D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Antiretrovirale</w:t>
      </w:r>
      <w:proofErr w:type="spellEnd"/>
      <w:r>
        <w:rPr>
          <w:color w:val="000000"/>
          <w:sz w:val="24"/>
          <w:szCs w:val="24"/>
          <w:u w:val="single"/>
        </w:rPr>
        <w:t xml:space="preserve"> lægemidler til HIV</w:t>
      </w:r>
      <w:r>
        <w:rPr>
          <w:color w:val="000000"/>
          <w:sz w:val="24"/>
          <w:szCs w:val="24"/>
          <w:u w:val="single"/>
        </w:rPr>
        <w:br/>
      </w:r>
      <w:r>
        <w:rPr>
          <w:color w:val="000000"/>
          <w:sz w:val="24"/>
          <w:szCs w:val="24"/>
        </w:rPr>
        <w:t xml:space="preserve">Baseret på indberetninger fra litteraturen og erfaring efter markedsføring kan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potentielt nedsætte absorptionen af </w:t>
      </w:r>
      <w:proofErr w:type="spellStart"/>
      <w:r>
        <w:rPr>
          <w:color w:val="000000"/>
          <w:sz w:val="24"/>
          <w:szCs w:val="24"/>
        </w:rPr>
        <w:t>antiretrovirale</w:t>
      </w:r>
      <w:proofErr w:type="spellEnd"/>
      <w:r>
        <w:rPr>
          <w:color w:val="000000"/>
          <w:sz w:val="24"/>
          <w:szCs w:val="24"/>
        </w:rPr>
        <w:t xml:space="preserve"> lægemidler mod hiv og kan påvirke </w:t>
      </w:r>
      <w:proofErr w:type="spellStart"/>
      <w:r>
        <w:rPr>
          <w:color w:val="000000"/>
          <w:sz w:val="24"/>
          <w:szCs w:val="24"/>
        </w:rPr>
        <w:t>antiretrovirale</w:t>
      </w:r>
      <w:proofErr w:type="spellEnd"/>
      <w:r>
        <w:rPr>
          <w:color w:val="000000"/>
          <w:sz w:val="24"/>
          <w:szCs w:val="24"/>
        </w:rPr>
        <w:t xml:space="preserve"> lægemidlers effekt mod HIV negativt (se pkt. 4.4).</w:t>
      </w:r>
    </w:p>
    <w:p w14:paraId="1099B3DA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73956B5D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Fedtopløselige vitaminer</w:t>
      </w:r>
    </w:p>
    <w:p w14:paraId="4644BF54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Behandlingen med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kan muligvis nedsætte absorptionen af fedtopløselige vitaminer (A, D, E og K). Hovedparten af personer, som i kliniske undersøgelser fik behandling med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i op til 4 år, havde A-, D-, E- og K- og </w:t>
      </w:r>
      <w:proofErr w:type="spellStart"/>
      <w:r>
        <w:rPr>
          <w:color w:val="000000"/>
          <w:sz w:val="24"/>
          <w:szCs w:val="24"/>
        </w:rPr>
        <w:t>betakarotenniveauer</w:t>
      </w:r>
      <w:proofErr w:type="spellEnd"/>
      <w:r>
        <w:rPr>
          <w:color w:val="000000"/>
          <w:sz w:val="24"/>
          <w:szCs w:val="24"/>
        </w:rPr>
        <w:t>, som forblev inden for normalområdet. Patienter bør dog rådes til at tage multivitamintilskud ved sengetid, så de er sikre på at få tilstrækkeligt med vitaminer (se pkt. 4.4).</w:t>
      </w:r>
    </w:p>
    <w:p w14:paraId="566CCCC3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26F8271D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  <w:u w:val="single"/>
        </w:rPr>
        <w:t>Acarbose</w:t>
      </w:r>
      <w:proofErr w:type="spellEnd"/>
    </w:p>
    <w:p w14:paraId="190147F3" w14:textId="76DA9A8F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 der ikke foreligger </w:t>
      </w:r>
      <w:proofErr w:type="spellStart"/>
      <w:r>
        <w:rPr>
          <w:color w:val="000000"/>
          <w:sz w:val="24"/>
          <w:szCs w:val="24"/>
        </w:rPr>
        <w:t>farmakokinetiske</w:t>
      </w:r>
      <w:proofErr w:type="spellEnd"/>
      <w:r>
        <w:rPr>
          <w:color w:val="000000"/>
          <w:sz w:val="24"/>
          <w:szCs w:val="24"/>
        </w:rPr>
        <w:t xml:space="preserve"> interaktionsundersøgelse anbefales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</w:t>
      </w:r>
      <w:r w:rsidR="000651E9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Rivopharm</w:t>
      </w:r>
      <w:proofErr w:type="spellEnd"/>
      <w:r w:rsidR="000651E9">
        <w:rPr>
          <w:sz w:val="24"/>
          <w:szCs w:val="24"/>
        </w:rPr>
        <w:t>"</w:t>
      </w:r>
      <w:r>
        <w:rPr>
          <w:sz w:val="24"/>
          <w:szCs w:val="24"/>
        </w:rPr>
        <w:t xml:space="preserve"> ikke hos patienter der får </w:t>
      </w:r>
      <w:proofErr w:type="spellStart"/>
      <w:r>
        <w:rPr>
          <w:color w:val="000000"/>
          <w:sz w:val="24"/>
          <w:szCs w:val="24"/>
        </w:rPr>
        <w:t>acarbose</w:t>
      </w:r>
      <w:proofErr w:type="spellEnd"/>
      <w:r>
        <w:rPr>
          <w:color w:val="000000"/>
          <w:sz w:val="24"/>
          <w:szCs w:val="24"/>
        </w:rPr>
        <w:t>.</w:t>
      </w:r>
    </w:p>
    <w:p w14:paraId="6131E288" w14:textId="1A3FAC93" w:rsidR="006C3A52" w:rsidRDefault="006C3A5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17CC4724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51CC7085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  <w:u w:val="single"/>
        </w:rPr>
        <w:t>Amiodaron</w:t>
      </w:r>
      <w:proofErr w:type="spellEnd"/>
    </w:p>
    <w:p w14:paraId="2B05747C" w14:textId="1C4820AE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Der er observeret fald i plasmakoncentrationen af </w:t>
      </w:r>
      <w:proofErr w:type="spellStart"/>
      <w:r>
        <w:rPr>
          <w:color w:val="000000"/>
          <w:sz w:val="24"/>
          <w:szCs w:val="24"/>
        </w:rPr>
        <w:t>amiodaron</w:t>
      </w:r>
      <w:proofErr w:type="spellEnd"/>
      <w:r>
        <w:rPr>
          <w:color w:val="000000"/>
          <w:sz w:val="24"/>
          <w:szCs w:val="24"/>
        </w:rPr>
        <w:t xml:space="preserve">, givet som enkeltdosis, hos et mindre antal raske, frivillige forsøgspersoner, som samtidig fik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. Den kliniske </w:t>
      </w:r>
      <w:r>
        <w:rPr>
          <w:color w:val="000000"/>
          <w:sz w:val="24"/>
          <w:szCs w:val="24"/>
        </w:rPr>
        <w:lastRenderedPageBreak/>
        <w:t xml:space="preserve">relevans af denne virkning hos patienter i behandling med </w:t>
      </w:r>
      <w:proofErr w:type="spellStart"/>
      <w:r>
        <w:rPr>
          <w:color w:val="000000"/>
          <w:sz w:val="24"/>
          <w:szCs w:val="24"/>
        </w:rPr>
        <w:t>amiodaron</w:t>
      </w:r>
      <w:proofErr w:type="spellEnd"/>
      <w:r>
        <w:rPr>
          <w:color w:val="000000"/>
          <w:sz w:val="24"/>
          <w:szCs w:val="24"/>
        </w:rPr>
        <w:t xml:space="preserve"> er endnu ukendt. Patienter, som tager </w:t>
      </w:r>
      <w:proofErr w:type="spellStart"/>
      <w:r>
        <w:rPr>
          <w:color w:val="000000"/>
          <w:sz w:val="24"/>
          <w:szCs w:val="24"/>
        </w:rPr>
        <w:t>amiodaron</w:t>
      </w:r>
      <w:proofErr w:type="spellEnd"/>
      <w:r>
        <w:rPr>
          <w:color w:val="000000"/>
          <w:sz w:val="24"/>
          <w:szCs w:val="24"/>
        </w:rPr>
        <w:t xml:space="preserve">, bør konsultere en læge inden opstart af behandling med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</w:t>
      </w:r>
      <w:r w:rsidR="000651E9">
        <w:rPr>
          <w:color w:val="000000"/>
          <w:sz w:val="24"/>
          <w:szCs w:val="24"/>
        </w:rPr>
        <w:t>"</w:t>
      </w:r>
      <w:proofErr w:type="spellStart"/>
      <w:r>
        <w:rPr>
          <w:color w:val="000000"/>
          <w:sz w:val="24"/>
          <w:szCs w:val="24"/>
        </w:rPr>
        <w:t>Rivopharm</w:t>
      </w:r>
      <w:proofErr w:type="spellEnd"/>
      <w:r w:rsidR="000651E9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. Doseringen af </w:t>
      </w:r>
      <w:proofErr w:type="spellStart"/>
      <w:r>
        <w:rPr>
          <w:color w:val="000000"/>
          <w:sz w:val="24"/>
          <w:szCs w:val="24"/>
        </w:rPr>
        <w:t>amiodaron</w:t>
      </w:r>
      <w:proofErr w:type="spellEnd"/>
      <w:r>
        <w:rPr>
          <w:color w:val="000000"/>
          <w:sz w:val="24"/>
          <w:szCs w:val="24"/>
        </w:rPr>
        <w:t xml:space="preserve"> skal måske justeres under behandling med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</w:t>
      </w:r>
      <w:r w:rsidR="000651E9">
        <w:rPr>
          <w:color w:val="000000"/>
          <w:sz w:val="24"/>
          <w:szCs w:val="24"/>
        </w:rPr>
        <w:t>"</w:t>
      </w:r>
      <w:proofErr w:type="spellStart"/>
      <w:r>
        <w:rPr>
          <w:color w:val="000000"/>
          <w:sz w:val="24"/>
          <w:szCs w:val="24"/>
        </w:rPr>
        <w:t>Rivopharm</w:t>
      </w:r>
      <w:proofErr w:type="spellEnd"/>
      <w:r w:rsidR="000651E9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.</w:t>
      </w:r>
    </w:p>
    <w:p w14:paraId="0B528E8B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793327A2" w14:textId="77777777" w:rsidR="00032EB6" w:rsidRPr="00CE0FE0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proofErr w:type="spellStart"/>
      <w:r w:rsidRPr="00CE0FE0">
        <w:rPr>
          <w:color w:val="000000"/>
          <w:sz w:val="24"/>
          <w:szCs w:val="24"/>
          <w:u w:val="single"/>
        </w:rPr>
        <w:t>Antidepressiva</w:t>
      </w:r>
      <w:proofErr w:type="spellEnd"/>
      <w:r w:rsidRPr="00CE0FE0">
        <w:rPr>
          <w:color w:val="000000"/>
          <w:sz w:val="24"/>
          <w:szCs w:val="24"/>
          <w:u w:val="single"/>
        </w:rPr>
        <w:t>, antipsykotika og benzodiazepiner</w:t>
      </w:r>
    </w:p>
    <w:p w14:paraId="3A847A72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Der foreligger nogle rapporter om nedsat effekt af </w:t>
      </w:r>
      <w:proofErr w:type="spellStart"/>
      <w:r>
        <w:rPr>
          <w:color w:val="000000"/>
          <w:sz w:val="24"/>
          <w:szCs w:val="24"/>
        </w:rPr>
        <w:t>antidepressiva</w:t>
      </w:r>
      <w:proofErr w:type="spellEnd"/>
      <w:r>
        <w:rPr>
          <w:color w:val="000000"/>
          <w:sz w:val="24"/>
          <w:szCs w:val="24"/>
        </w:rPr>
        <w:t xml:space="preserve">, antipsykotika (inklusive </w:t>
      </w:r>
      <w:proofErr w:type="spellStart"/>
      <w:r>
        <w:rPr>
          <w:color w:val="000000"/>
          <w:sz w:val="24"/>
          <w:szCs w:val="24"/>
        </w:rPr>
        <w:t>lithium</w:t>
      </w:r>
      <w:proofErr w:type="spellEnd"/>
      <w:r>
        <w:rPr>
          <w:color w:val="000000"/>
          <w:sz w:val="24"/>
          <w:szCs w:val="24"/>
        </w:rPr>
        <w:t xml:space="preserve">) samt benzodiazepiner, som var sammenfaldende med initiering af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-behandling hos patienter, som tidligere var velmedicineret.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bør derfor kun opstartes efter nøje overvejelse af, hvilke mulige følgevirkninger behandlingen kan have hos disse patienter.</w:t>
      </w:r>
    </w:p>
    <w:p w14:paraId="075A465A" w14:textId="77777777" w:rsidR="00032EB6" w:rsidRPr="00AE3527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2E7E196C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14:paraId="1A3E82CF" w14:textId="77777777" w:rsidR="006C3A52" w:rsidRDefault="006C3A52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</w:p>
    <w:p w14:paraId="7D11E678" w14:textId="12D1EB59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>Kvinder i den fertile alder</w:t>
      </w:r>
      <w:r>
        <w:rPr>
          <w:color w:val="000000"/>
          <w:sz w:val="24"/>
          <w:szCs w:val="24"/>
          <w:u w:val="single"/>
        </w:rPr>
        <w:t>/prævention hos mænd og kvinder</w:t>
      </w:r>
    </w:p>
    <w:p w14:paraId="32C397A9" w14:textId="6C69B12D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Brug af supplerende præventionsmetode anbefales for at forebygge muligt svigt af oralt </w:t>
      </w:r>
      <w:proofErr w:type="spellStart"/>
      <w:r w:rsidRPr="005C51C9">
        <w:rPr>
          <w:color w:val="000000"/>
          <w:sz w:val="24"/>
          <w:szCs w:val="24"/>
        </w:rPr>
        <w:t>kontraceptiva</w:t>
      </w:r>
      <w:proofErr w:type="spellEnd"/>
      <w:r w:rsidRPr="005C51C9">
        <w:rPr>
          <w:color w:val="000000"/>
          <w:sz w:val="24"/>
          <w:szCs w:val="24"/>
        </w:rPr>
        <w:t xml:space="preserve">, som kunne forekomme i tilfælde af svær diarré (se </w:t>
      </w:r>
      <w:r w:rsidR="006C3A52">
        <w:rPr>
          <w:color w:val="000000"/>
          <w:sz w:val="24"/>
          <w:szCs w:val="24"/>
        </w:rPr>
        <w:t>pkt.</w:t>
      </w:r>
      <w:r w:rsidRPr="005C51C9">
        <w:rPr>
          <w:color w:val="000000"/>
          <w:sz w:val="24"/>
          <w:szCs w:val="24"/>
        </w:rPr>
        <w:t xml:space="preserve"> 4.4 og 4.5).</w:t>
      </w:r>
    </w:p>
    <w:p w14:paraId="149DF0DC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0A2DDFD2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>Graviditet</w:t>
      </w:r>
    </w:p>
    <w:p w14:paraId="1CF04219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Der foreligger ikke kliniske data for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om eksponering under graviditet. </w:t>
      </w:r>
    </w:p>
    <w:p w14:paraId="48248582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Dyreforsøg viser ikke direkte eller indirekte skadelige virkninger på graviditet, embryoets/fostrets udvikling, fødslen eller den </w:t>
      </w:r>
      <w:proofErr w:type="spellStart"/>
      <w:r w:rsidRPr="005C51C9">
        <w:rPr>
          <w:color w:val="000000"/>
          <w:sz w:val="24"/>
          <w:szCs w:val="24"/>
        </w:rPr>
        <w:t>postnatale</w:t>
      </w:r>
      <w:proofErr w:type="spellEnd"/>
      <w:r w:rsidRPr="005C51C9">
        <w:rPr>
          <w:color w:val="000000"/>
          <w:sz w:val="24"/>
          <w:szCs w:val="24"/>
        </w:rPr>
        <w:t xml:space="preserve"> udvikling (se pkt. 5.3).</w:t>
      </w:r>
    </w:p>
    <w:p w14:paraId="3C22B08E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19DC19BF" w14:textId="24C881F6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</w:t>
      </w:r>
      <w:r w:rsidR="000651E9">
        <w:rPr>
          <w:color w:val="000000"/>
          <w:sz w:val="24"/>
          <w:szCs w:val="24"/>
        </w:rPr>
        <w:t>"</w:t>
      </w:r>
      <w:proofErr w:type="spellStart"/>
      <w:r>
        <w:rPr>
          <w:color w:val="000000"/>
          <w:sz w:val="24"/>
          <w:szCs w:val="24"/>
        </w:rPr>
        <w:t>Rivopharm</w:t>
      </w:r>
      <w:proofErr w:type="spellEnd"/>
      <w:r w:rsidR="000651E9">
        <w:rPr>
          <w:color w:val="000000"/>
          <w:sz w:val="24"/>
          <w:szCs w:val="24"/>
        </w:rPr>
        <w:t>"</w:t>
      </w:r>
      <w:r w:rsidRPr="005C51C9">
        <w:rPr>
          <w:color w:val="000000"/>
          <w:sz w:val="24"/>
          <w:szCs w:val="24"/>
        </w:rPr>
        <w:t xml:space="preserve"> er kontraindiceret under graviditet (se pkt. 4.3). </w:t>
      </w:r>
    </w:p>
    <w:p w14:paraId="2BD465EA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0E569E53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>Amning</w:t>
      </w:r>
    </w:p>
    <w:p w14:paraId="2C04813D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Eftersom det ikke vides, om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udskilles i human mælk, er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kontraindiceret under amning (se pkt. 4.3).</w:t>
      </w:r>
    </w:p>
    <w:p w14:paraId="43DEC5A5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</w:p>
    <w:p w14:paraId="54512587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>Fertilitet</w:t>
      </w:r>
    </w:p>
    <w:p w14:paraId="48199D09" w14:textId="77777777" w:rsidR="00032EB6" w:rsidRPr="005C51C9" w:rsidRDefault="00032EB6" w:rsidP="00032EB6">
      <w:pPr>
        <w:ind w:left="851"/>
        <w:rPr>
          <w:i/>
          <w:color w:val="008000"/>
          <w:sz w:val="24"/>
          <w:szCs w:val="24"/>
        </w:rPr>
      </w:pPr>
      <w:r w:rsidRPr="005C51C9">
        <w:rPr>
          <w:color w:val="000000"/>
          <w:sz w:val="24"/>
          <w:szCs w:val="24"/>
        </w:rPr>
        <w:t>Forsøg på dyr indikerer ingen skadelige virkninger med hensyn til fertilitet.</w:t>
      </w:r>
    </w:p>
    <w:p w14:paraId="19AA38D0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00609F02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14:paraId="1BA837AC" w14:textId="77777777" w:rsidR="00032EB6" w:rsidRPr="00466D42" w:rsidRDefault="00032EB6" w:rsidP="00032EB6">
      <w:pPr>
        <w:pStyle w:val="Listeafsnit"/>
        <w:ind w:left="855"/>
        <w:rPr>
          <w:color w:val="000000"/>
          <w:sz w:val="24"/>
          <w:szCs w:val="24"/>
        </w:rPr>
      </w:pPr>
      <w:r w:rsidRPr="00466D42">
        <w:rPr>
          <w:color w:val="000000"/>
          <w:sz w:val="24"/>
          <w:szCs w:val="24"/>
        </w:rPr>
        <w:t>Ikke mærkning.</w:t>
      </w:r>
    </w:p>
    <w:p w14:paraId="1F6C7F3A" w14:textId="5EC636C6" w:rsidR="00032EB6" w:rsidRPr="00466D42" w:rsidRDefault="00032EB6" w:rsidP="00032EB6">
      <w:pPr>
        <w:pStyle w:val="Listeafsnit"/>
        <w:ind w:left="855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</w:t>
      </w:r>
      <w:r w:rsidR="000651E9">
        <w:rPr>
          <w:color w:val="000000"/>
          <w:sz w:val="24"/>
          <w:szCs w:val="24"/>
        </w:rPr>
        <w:t>"</w:t>
      </w:r>
      <w:proofErr w:type="spellStart"/>
      <w:r>
        <w:rPr>
          <w:color w:val="000000"/>
          <w:sz w:val="24"/>
          <w:szCs w:val="24"/>
        </w:rPr>
        <w:t>Rivopharm</w:t>
      </w:r>
      <w:proofErr w:type="spellEnd"/>
      <w:r w:rsidR="000651E9">
        <w:rPr>
          <w:color w:val="000000"/>
          <w:sz w:val="24"/>
          <w:szCs w:val="24"/>
        </w:rPr>
        <w:t>"</w:t>
      </w:r>
      <w:r w:rsidRPr="00466D42">
        <w:rPr>
          <w:color w:val="000000"/>
          <w:sz w:val="24"/>
          <w:szCs w:val="24"/>
        </w:rPr>
        <w:t xml:space="preserve"> påvirker ikke eller kun i ubetydelig grad evnen til at føre motorkøretøj eller betjene maskiner.</w:t>
      </w:r>
    </w:p>
    <w:p w14:paraId="2059A153" w14:textId="15C0B20C" w:rsidR="00032EB6" w:rsidRPr="005C51C9" w:rsidRDefault="00032EB6" w:rsidP="00032EB6">
      <w:pPr>
        <w:tabs>
          <w:tab w:val="left" w:pos="2542"/>
        </w:tabs>
        <w:rPr>
          <w:sz w:val="24"/>
          <w:szCs w:val="24"/>
        </w:rPr>
      </w:pPr>
    </w:p>
    <w:p w14:paraId="3D1A8A1C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14:paraId="10260BB5" w14:textId="77777777" w:rsidR="006C3A52" w:rsidRDefault="006C3A52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</w:p>
    <w:p w14:paraId="6144A02F" w14:textId="2DBEEA0F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D21AC">
        <w:rPr>
          <w:color w:val="000000"/>
          <w:sz w:val="24"/>
          <w:szCs w:val="24"/>
          <w:u w:val="single"/>
        </w:rPr>
        <w:t>Opsummering af sikkerhedsprofilen</w:t>
      </w:r>
    </w:p>
    <w:p w14:paraId="20C20717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Bivirkningerne ved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er hovedsageligt </w:t>
      </w:r>
      <w:proofErr w:type="spellStart"/>
      <w:r w:rsidRPr="005C51C9">
        <w:rPr>
          <w:color w:val="000000"/>
          <w:sz w:val="24"/>
          <w:szCs w:val="24"/>
        </w:rPr>
        <w:t>gastrointestinale</w:t>
      </w:r>
      <w:proofErr w:type="spellEnd"/>
      <w:r w:rsidRPr="005C51C9">
        <w:rPr>
          <w:color w:val="000000"/>
          <w:sz w:val="24"/>
          <w:szCs w:val="24"/>
        </w:rPr>
        <w:t xml:space="preserve"> og relaterer til lægemidlets farmakologiske effekt med hensyn til at forebygge absorptionen af indtaget fedt.</w:t>
      </w:r>
    </w:p>
    <w:p w14:paraId="4E96B2EE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065B296F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De </w:t>
      </w:r>
      <w:proofErr w:type="spellStart"/>
      <w:r w:rsidRPr="005C51C9">
        <w:rPr>
          <w:color w:val="000000"/>
          <w:sz w:val="24"/>
          <w:szCs w:val="24"/>
        </w:rPr>
        <w:t>gastrointestinale</w:t>
      </w:r>
      <w:proofErr w:type="spellEnd"/>
      <w:r w:rsidRPr="005C51C9">
        <w:rPr>
          <w:color w:val="000000"/>
          <w:sz w:val="24"/>
          <w:szCs w:val="24"/>
        </w:rPr>
        <w:t xml:space="preserve"> bivirkninger, der blev påvist i kliniske undersøgelser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 med en varighed på 18 måneder til 2 år, var generelt lette og forbigående. Generelt optrådte de tidligt i behandlingen (inden for 3 måneder), og de fleste patienter oplevede kun en enkelt episode. Indtagelse af fedtfattig kost gør det muligt at nedsætte sandsynligheden for at få </w:t>
      </w:r>
      <w:proofErr w:type="spellStart"/>
      <w:r w:rsidRPr="005C51C9">
        <w:rPr>
          <w:color w:val="000000"/>
          <w:sz w:val="24"/>
          <w:szCs w:val="24"/>
        </w:rPr>
        <w:t>gastrointestinale</w:t>
      </w:r>
      <w:proofErr w:type="spellEnd"/>
      <w:r w:rsidRPr="005C51C9">
        <w:rPr>
          <w:color w:val="000000"/>
          <w:sz w:val="24"/>
          <w:szCs w:val="24"/>
        </w:rPr>
        <w:t xml:space="preserve"> bivirkninger (se pkt. 4.4).</w:t>
      </w:r>
    </w:p>
    <w:p w14:paraId="72513A0C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312CDD70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Bivirkninger anført i tabelform</w:t>
      </w:r>
    </w:p>
    <w:p w14:paraId="2137EDED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Bivirkningerne er anført nedenfor, ordnet efter systemorganklasse og hyppighed. Hyppighed defineres som meget almindelig (≥1/10), almindelig (≥1/100 til &lt;1/10), ikke almindelig (≥1/1.000 til &lt;1/100), sjælden (≥1/10.000 til &lt;1/1.000) og meget sjælden </w:t>
      </w:r>
      <w:r w:rsidRPr="005C51C9">
        <w:rPr>
          <w:color w:val="000000"/>
          <w:sz w:val="24"/>
          <w:szCs w:val="24"/>
        </w:rPr>
        <w:lastRenderedPageBreak/>
        <w:t>(&lt;1/10.000), samt ikke kendt (kan ikke estimeres ud fra forhåndenværende data).</w:t>
      </w:r>
    </w:p>
    <w:p w14:paraId="79AF6793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5925615F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Hyppigheden af de bivirkninger, der blev påvist efter markedsføring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>, er ikke kendt, da disse reaktioner er baseret på frivillige indberetninger fra en population af ukendt størrelse.</w:t>
      </w:r>
    </w:p>
    <w:p w14:paraId="0A1553CE" w14:textId="77777777" w:rsidR="00032EB6" w:rsidRPr="005C51C9" w:rsidRDefault="00032EB6" w:rsidP="00032EB6">
      <w:pPr>
        <w:ind w:left="851"/>
        <w:rPr>
          <w:color w:val="000000"/>
          <w:sz w:val="24"/>
          <w:szCs w:val="24"/>
        </w:rPr>
      </w:pPr>
    </w:p>
    <w:p w14:paraId="6F3CB497" w14:textId="77777777" w:rsidR="00032EB6" w:rsidRPr="005C51C9" w:rsidRDefault="00032EB6" w:rsidP="00032EB6">
      <w:pPr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Inden for hver hyppighedsgruppering er bivirkninger ordnet efter faldende alvorlighed.</w:t>
      </w:r>
    </w:p>
    <w:p w14:paraId="06E8EBE3" w14:textId="77777777" w:rsidR="00032EB6" w:rsidRPr="005C51C9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32EB6" w:rsidRPr="005C51C9" w14:paraId="7E2832A7" w14:textId="77777777" w:rsidTr="006C3A52">
        <w:tc>
          <w:tcPr>
            <w:tcW w:w="2500" w:type="pct"/>
          </w:tcPr>
          <w:p w14:paraId="30AE0DA7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bCs/>
                <w:sz w:val="24"/>
                <w:szCs w:val="24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</w:rPr>
              <w:t xml:space="preserve">Systemorganklasse og hyppighed </w:t>
            </w:r>
          </w:p>
        </w:tc>
        <w:tc>
          <w:tcPr>
            <w:tcW w:w="2500" w:type="pct"/>
          </w:tcPr>
          <w:p w14:paraId="204E7D43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bCs/>
                <w:sz w:val="24"/>
                <w:szCs w:val="24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</w:rPr>
              <w:t>Bivirkning</w:t>
            </w:r>
          </w:p>
        </w:tc>
      </w:tr>
      <w:tr w:rsidR="00032EB6" w:rsidRPr="005C51C9" w14:paraId="4734ABC9" w14:textId="77777777" w:rsidTr="006C3A52">
        <w:tc>
          <w:tcPr>
            <w:tcW w:w="2500" w:type="pct"/>
          </w:tcPr>
          <w:p w14:paraId="672C1D29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b/>
                <w:sz w:val="24"/>
                <w:szCs w:val="24"/>
              </w:rPr>
              <w:t>Infektioner og parasitære syg</w:t>
            </w:r>
            <w:r w:rsidRPr="005C51C9">
              <w:rPr>
                <w:rFonts w:eastAsia="SimSun"/>
                <w:b/>
                <w:sz w:val="24"/>
                <w:szCs w:val="24"/>
              </w:rPr>
              <w:softHyphen/>
              <w:t>domme</w:t>
            </w:r>
          </w:p>
          <w:p w14:paraId="2267AEB3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Meget almindelig:</w:t>
            </w:r>
          </w:p>
        </w:tc>
        <w:tc>
          <w:tcPr>
            <w:tcW w:w="2500" w:type="pct"/>
          </w:tcPr>
          <w:p w14:paraId="7EA5C5B7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389F02A1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>Influenza</w:t>
            </w:r>
          </w:p>
        </w:tc>
      </w:tr>
      <w:tr w:rsidR="00032EB6" w:rsidRPr="005C51C9" w14:paraId="42E36135" w14:textId="77777777" w:rsidTr="006C3A52">
        <w:tc>
          <w:tcPr>
            <w:tcW w:w="2500" w:type="pct"/>
          </w:tcPr>
          <w:p w14:paraId="4AAF1AE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b/>
                <w:sz w:val="24"/>
                <w:szCs w:val="24"/>
                <w:lang w:eastAsia="pl-PL"/>
              </w:rPr>
              <w:t>Blod og lymfesystem</w:t>
            </w:r>
          </w:p>
          <w:p w14:paraId="3AA8FF4B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bCs/>
                <w:sz w:val="24"/>
                <w:szCs w:val="24"/>
              </w:rPr>
            </w:pPr>
            <w:r w:rsidRPr="005C51C9">
              <w:rPr>
                <w:rFonts w:eastAsia="SimSun"/>
                <w:iCs/>
                <w:sz w:val="24"/>
                <w:szCs w:val="24"/>
                <w:lang w:eastAsia="pl-PL"/>
              </w:rPr>
              <w:t>Ikke kendt:</w:t>
            </w:r>
          </w:p>
        </w:tc>
        <w:tc>
          <w:tcPr>
            <w:tcW w:w="2500" w:type="pct"/>
          </w:tcPr>
          <w:p w14:paraId="0056AA21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2522CB70" w14:textId="5AE592B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Nedsat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protrombin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og forhøjet INR (se</w:t>
            </w:r>
            <w:r w:rsidR="006C3A52">
              <w:rPr>
                <w:rFonts w:eastAsia="SimSun"/>
                <w:sz w:val="24"/>
                <w:szCs w:val="24"/>
                <w:lang w:eastAsia="pl-PL"/>
              </w:rPr>
              <w:t xml:space="preserve"> 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pkt. 4.3 og 4.5).</w:t>
            </w:r>
          </w:p>
        </w:tc>
      </w:tr>
      <w:tr w:rsidR="00032EB6" w:rsidRPr="005C51C9" w14:paraId="2433FC7A" w14:textId="77777777" w:rsidTr="006C3A52">
        <w:tc>
          <w:tcPr>
            <w:tcW w:w="2500" w:type="pct"/>
          </w:tcPr>
          <w:p w14:paraId="28151249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sz w:val="24"/>
                <w:szCs w:val="24"/>
                <w:lang w:eastAsia="pl-PL"/>
              </w:rPr>
              <w:t>Immunsystemet</w:t>
            </w:r>
          </w:p>
          <w:p w14:paraId="4B6B40CD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iCs/>
                <w:sz w:val="24"/>
                <w:szCs w:val="24"/>
                <w:lang w:eastAsia="pl-PL"/>
              </w:rPr>
              <w:t>Ikke kendt:</w:t>
            </w:r>
          </w:p>
        </w:tc>
        <w:tc>
          <w:tcPr>
            <w:tcW w:w="2500" w:type="pct"/>
          </w:tcPr>
          <w:p w14:paraId="6CA1E0D8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193BBFA6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Overfølsomhedsreaktioner inklusive anafylaksi,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bronkospasme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angioødem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pruritus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, udslæt og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urticaria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>.</w:t>
            </w:r>
          </w:p>
        </w:tc>
      </w:tr>
      <w:tr w:rsidR="00032EB6" w:rsidRPr="005C51C9" w14:paraId="7B4492F0" w14:textId="77777777" w:rsidTr="006C3A52">
        <w:tc>
          <w:tcPr>
            <w:tcW w:w="2500" w:type="pct"/>
          </w:tcPr>
          <w:p w14:paraId="79699E7F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b/>
                <w:sz w:val="24"/>
                <w:szCs w:val="24"/>
              </w:rPr>
              <w:t>Metabolisme og ernæring</w:t>
            </w:r>
          </w:p>
          <w:p w14:paraId="63F26798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Meget almindelig:</w:t>
            </w:r>
          </w:p>
        </w:tc>
        <w:tc>
          <w:tcPr>
            <w:tcW w:w="2500" w:type="pct"/>
          </w:tcPr>
          <w:p w14:paraId="657D1CFD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0BCE0FE6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>Hypoglykæmi</w:t>
            </w:r>
            <w:r w:rsidRPr="005C51C9">
              <w:rPr>
                <w:rFonts w:eastAsia="SimSun"/>
                <w:sz w:val="24"/>
                <w:szCs w:val="24"/>
                <w:vertAlign w:val="superscript"/>
              </w:rPr>
              <w:t>1</w:t>
            </w:r>
          </w:p>
        </w:tc>
      </w:tr>
      <w:tr w:rsidR="00032EB6" w:rsidRPr="005C51C9" w14:paraId="7CDA14A9" w14:textId="77777777" w:rsidTr="006C3A52">
        <w:tc>
          <w:tcPr>
            <w:tcW w:w="2500" w:type="pct"/>
          </w:tcPr>
          <w:p w14:paraId="10C5FDB9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sz w:val="24"/>
                <w:szCs w:val="24"/>
                <w:lang w:eastAsia="pl-PL"/>
              </w:rPr>
              <w:t>Psykiske forstyrrelser</w:t>
            </w:r>
          </w:p>
          <w:p w14:paraId="16A3517D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>Almindelig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</w:tcPr>
          <w:p w14:paraId="1279F37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6B7EDC66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Uro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032EB6" w:rsidRPr="005C51C9" w14:paraId="24E05B02" w14:textId="77777777" w:rsidTr="006C3A52">
        <w:tc>
          <w:tcPr>
            <w:tcW w:w="2500" w:type="pct"/>
          </w:tcPr>
          <w:p w14:paraId="55578EE7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b/>
                <w:sz w:val="24"/>
                <w:szCs w:val="24"/>
              </w:rPr>
              <w:t xml:space="preserve">Nervesystemet </w:t>
            </w:r>
          </w:p>
          <w:p w14:paraId="1B122955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Meget almindelig:</w:t>
            </w:r>
          </w:p>
        </w:tc>
        <w:tc>
          <w:tcPr>
            <w:tcW w:w="2500" w:type="pct"/>
          </w:tcPr>
          <w:p w14:paraId="22C86D8F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7E1FCBF4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>Hovedpine</w:t>
            </w:r>
          </w:p>
        </w:tc>
      </w:tr>
      <w:tr w:rsidR="00032EB6" w:rsidRPr="005C51C9" w14:paraId="6502941E" w14:textId="77777777" w:rsidTr="006C3A52">
        <w:tc>
          <w:tcPr>
            <w:tcW w:w="2500" w:type="pct"/>
          </w:tcPr>
          <w:p w14:paraId="4E102FDF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5C51C9">
              <w:rPr>
                <w:rFonts w:eastAsia="SimSun"/>
                <w:b/>
                <w:sz w:val="24"/>
                <w:szCs w:val="24"/>
              </w:rPr>
              <w:t>mediastinum</w:t>
            </w:r>
            <w:proofErr w:type="spellEnd"/>
          </w:p>
          <w:p w14:paraId="5E09572D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>Meget almindelig:</w:t>
            </w:r>
          </w:p>
          <w:p w14:paraId="27623908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7BFD7108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>Almindelig:</w:t>
            </w:r>
          </w:p>
        </w:tc>
        <w:tc>
          <w:tcPr>
            <w:tcW w:w="2500" w:type="pct"/>
          </w:tcPr>
          <w:p w14:paraId="44E62B6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68EE44E7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 xml:space="preserve">Øvre luftvejsinfektion  </w:t>
            </w:r>
          </w:p>
          <w:p w14:paraId="17D64E14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137E07EC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 xml:space="preserve">Nedre luftvejsinfektion  </w:t>
            </w:r>
          </w:p>
        </w:tc>
      </w:tr>
      <w:tr w:rsidR="00032EB6" w:rsidRPr="005C51C9" w14:paraId="39A3F0B1" w14:textId="77777777" w:rsidTr="006C3A52">
        <w:tc>
          <w:tcPr>
            <w:tcW w:w="2500" w:type="pct"/>
          </w:tcPr>
          <w:p w14:paraId="2EF92342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sz w:val="24"/>
                <w:szCs w:val="24"/>
                <w:lang w:eastAsia="pl-PL"/>
              </w:rPr>
              <w:t>Mave-tarm-kanalen</w:t>
            </w:r>
          </w:p>
          <w:p w14:paraId="26CA6515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Meget almindelig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:</w:t>
            </w:r>
          </w:p>
          <w:p w14:paraId="3D94A2C2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0A34B4F0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230E011A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6B4D18D6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07BEB425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3A11A038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513C67B3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15631253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Almindelig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:</w:t>
            </w:r>
          </w:p>
          <w:p w14:paraId="14C2BAE5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0D889446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4BACF3E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4516DBA2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18F4BE74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iCs/>
                <w:sz w:val="24"/>
                <w:szCs w:val="24"/>
                <w:lang w:eastAsia="pl-PL"/>
              </w:rPr>
            </w:pPr>
          </w:p>
          <w:p w14:paraId="003B3180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iCs/>
                <w:sz w:val="24"/>
                <w:szCs w:val="24"/>
                <w:lang w:eastAsia="pl-PL"/>
              </w:rPr>
            </w:pPr>
          </w:p>
          <w:p w14:paraId="79E6A84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iCs/>
                <w:sz w:val="24"/>
                <w:szCs w:val="24"/>
                <w:lang w:eastAsia="pl-PL"/>
              </w:rPr>
            </w:pPr>
          </w:p>
          <w:p w14:paraId="20D3AA01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iCs/>
                <w:sz w:val="24"/>
                <w:szCs w:val="24"/>
                <w:lang w:eastAsia="pl-PL"/>
              </w:rPr>
            </w:pPr>
          </w:p>
          <w:p w14:paraId="732DBF5A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iCs/>
                <w:sz w:val="24"/>
                <w:szCs w:val="24"/>
                <w:lang w:eastAsia="pl-PL"/>
              </w:rPr>
              <w:t>Ikke kendt:</w:t>
            </w:r>
          </w:p>
        </w:tc>
        <w:tc>
          <w:tcPr>
            <w:tcW w:w="2500" w:type="pct"/>
          </w:tcPr>
          <w:p w14:paraId="3D12DB7A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177AB3DC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Olielignende pletter fra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rektum</w:t>
            </w:r>
            <w:proofErr w:type="spellEnd"/>
          </w:p>
          <w:p w14:paraId="5952BEE9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Flatus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med udflåd</w:t>
            </w:r>
          </w:p>
          <w:p w14:paraId="5672CF21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Imperiøs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defækationstrang</w:t>
            </w:r>
          </w:p>
          <w:p w14:paraId="0D8100B4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Fedt-/olieagtig afføring</w:t>
            </w:r>
          </w:p>
          <w:p w14:paraId="2904B975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Olieagtige udtømninger</w:t>
            </w:r>
          </w:p>
          <w:p w14:paraId="354B7C98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Flatulens</w:t>
            </w:r>
            <w:proofErr w:type="spellEnd"/>
          </w:p>
          <w:p w14:paraId="2BF7AAD0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Løs afføring</w:t>
            </w:r>
          </w:p>
          <w:p w14:paraId="5760AE00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330017EF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Rektal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smerte/ubehag</w:t>
            </w:r>
          </w:p>
          <w:p w14:paraId="25A2EED0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Abdominalsmerter</w:t>
            </w:r>
            <w:proofErr w:type="spellEnd"/>
          </w:p>
          <w:p w14:paraId="76B063DF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Fækal inkontinens</w:t>
            </w:r>
          </w:p>
          <w:p w14:paraId="67F458B2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Tynd afføring</w:t>
            </w:r>
          </w:p>
          <w:p w14:paraId="23FB9A14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Øget defækation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br/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Abdominal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distension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1</w:t>
            </w:r>
          </w:p>
          <w:p w14:paraId="0652BCF2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Tandsygdom</w:t>
            </w:r>
          </w:p>
          <w:p w14:paraId="2F2754ED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Gingival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sygdom</w:t>
            </w:r>
          </w:p>
          <w:p w14:paraId="12F1C6B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606214C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Divertikulitis</w:t>
            </w:r>
            <w:proofErr w:type="spellEnd"/>
          </w:p>
          <w:p w14:paraId="2DC4FC01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Pancreatitis</w:t>
            </w:r>
            <w:proofErr w:type="spellEnd"/>
          </w:p>
          <w:p w14:paraId="79046BA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Let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rektalblødning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(se pkt. 4.4)</w:t>
            </w:r>
          </w:p>
        </w:tc>
      </w:tr>
      <w:tr w:rsidR="00032EB6" w:rsidRPr="005C51C9" w14:paraId="49B593B4" w14:textId="77777777" w:rsidTr="006C3A52">
        <w:tc>
          <w:tcPr>
            <w:tcW w:w="2500" w:type="pct"/>
          </w:tcPr>
          <w:p w14:paraId="61558127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sz w:val="24"/>
                <w:szCs w:val="24"/>
                <w:lang w:eastAsia="pl-PL"/>
              </w:rPr>
              <w:t>Lever og galdeveje</w:t>
            </w:r>
          </w:p>
          <w:p w14:paraId="2848A09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iCs/>
                <w:sz w:val="24"/>
                <w:szCs w:val="24"/>
                <w:lang w:eastAsia="pl-PL"/>
              </w:rPr>
              <w:t>Ikke kendt:</w:t>
            </w:r>
          </w:p>
          <w:p w14:paraId="05469303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7F8283BF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5C00911E" w14:textId="3FFC5F5C" w:rsidR="00032EB6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>
              <w:rPr>
                <w:rFonts w:eastAsia="SimSun"/>
                <w:sz w:val="24"/>
                <w:szCs w:val="24"/>
                <w:lang w:eastAsia="pl-PL"/>
              </w:rPr>
              <w:t>Hepatitis som kan være alvorlig.</w:t>
            </w:r>
            <w:r>
              <w:rPr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pl-PL"/>
              </w:rPr>
              <w:t>Der er</w:t>
            </w:r>
            <w:r w:rsidR="006C3A52">
              <w:rPr>
                <w:rFonts w:eastAsia="SimSu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pl-PL"/>
              </w:rPr>
              <w:t>rapporteret dødelige tilfælde og tilfælde, som krævede levertransplantation.</w:t>
            </w:r>
          </w:p>
          <w:p w14:paraId="1CCC1CB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>
              <w:rPr>
                <w:rFonts w:eastAsia="SimSun"/>
                <w:sz w:val="24"/>
                <w:szCs w:val="24"/>
                <w:lang w:eastAsia="pl-PL"/>
              </w:rPr>
              <w:t>Galdestenssygdom</w:t>
            </w:r>
          </w:p>
          <w:p w14:paraId="5D776DA1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Forhøjede værdier for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transaminaser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og alkalisk fosfatase</w:t>
            </w:r>
          </w:p>
        </w:tc>
      </w:tr>
      <w:tr w:rsidR="00032EB6" w:rsidRPr="006C3A52" w14:paraId="53C1382C" w14:textId="77777777" w:rsidTr="006C3A52">
        <w:tc>
          <w:tcPr>
            <w:tcW w:w="2500" w:type="pct"/>
          </w:tcPr>
          <w:p w14:paraId="55F02E8A" w14:textId="77777777" w:rsidR="00032EB6" w:rsidRPr="006C3A52" w:rsidRDefault="00032EB6" w:rsidP="00B90611">
            <w:pPr>
              <w:ind w:left="27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6C3A52">
              <w:rPr>
                <w:rFonts w:eastAsia="SimSun"/>
                <w:b/>
                <w:sz w:val="24"/>
                <w:szCs w:val="24"/>
                <w:lang w:eastAsia="pl-PL"/>
              </w:rPr>
              <w:t>Hud og subkutane væv</w:t>
            </w:r>
          </w:p>
          <w:p w14:paraId="7A364F47" w14:textId="77777777" w:rsidR="00032EB6" w:rsidRPr="006C3A52" w:rsidRDefault="00032EB6" w:rsidP="00B90611">
            <w:pPr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6C3A52">
              <w:rPr>
                <w:rFonts w:eastAsia="SimSun"/>
                <w:iCs/>
                <w:sz w:val="24"/>
                <w:szCs w:val="24"/>
                <w:lang w:eastAsia="pl-PL"/>
              </w:rPr>
              <w:t>Ikke kendt:</w:t>
            </w:r>
          </w:p>
        </w:tc>
        <w:tc>
          <w:tcPr>
            <w:tcW w:w="2500" w:type="pct"/>
          </w:tcPr>
          <w:p w14:paraId="108C4D42" w14:textId="77777777" w:rsidR="00032EB6" w:rsidRPr="006C3A52" w:rsidRDefault="00032EB6" w:rsidP="00B90611">
            <w:pPr>
              <w:ind w:left="27"/>
              <w:rPr>
                <w:rFonts w:eastAsia="SimSun"/>
                <w:sz w:val="24"/>
                <w:szCs w:val="24"/>
              </w:rPr>
            </w:pPr>
          </w:p>
          <w:p w14:paraId="717C9731" w14:textId="77777777" w:rsidR="00032EB6" w:rsidRPr="006C3A52" w:rsidRDefault="00032EB6" w:rsidP="00B90611">
            <w:pPr>
              <w:ind w:left="27"/>
              <w:rPr>
                <w:rFonts w:eastAsia="SimSun"/>
                <w:i/>
                <w:sz w:val="24"/>
                <w:szCs w:val="24"/>
                <w:lang w:eastAsia="pl-PL"/>
              </w:rPr>
            </w:pPr>
            <w:proofErr w:type="spellStart"/>
            <w:r w:rsidRPr="006C3A52">
              <w:rPr>
                <w:rFonts w:eastAsia="SimSun"/>
                <w:sz w:val="24"/>
                <w:szCs w:val="24"/>
                <w:lang w:eastAsia="pl-PL"/>
              </w:rPr>
              <w:t>Bulløst</w:t>
            </w:r>
            <w:proofErr w:type="spellEnd"/>
            <w:r w:rsidRPr="006C3A52">
              <w:rPr>
                <w:rFonts w:eastAsia="SimSun"/>
                <w:sz w:val="24"/>
                <w:szCs w:val="24"/>
                <w:lang w:eastAsia="pl-PL"/>
              </w:rPr>
              <w:t xml:space="preserve"> udslæt</w:t>
            </w:r>
          </w:p>
        </w:tc>
      </w:tr>
      <w:tr w:rsidR="00032EB6" w:rsidRPr="005C51C9" w14:paraId="2212412C" w14:textId="77777777" w:rsidTr="006C3A52">
        <w:tc>
          <w:tcPr>
            <w:tcW w:w="2500" w:type="pct"/>
          </w:tcPr>
          <w:p w14:paraId="3694D61D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sz w:val="24"/>
                <w:szCs w:val="24"/>
                <w:lang w:eastAsia="pl-PL"/>
              </w:rPr>
              <w:t>Nyrer og urinveje</w:t>
            </w:r>
          </w:p>
          <w:p w14:paraId="06E6E01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Almindelig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:</w:t>
            </w:r>
          </w:p>
          <w:p w14:paraId="6230A09C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7E8E65F9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iCs/>
                <w:sz w:val="24"/>
                <w:szCs w:val="24"/>
                <w:lang w:eastAsia="pl-PL"/>
              </w:rPr>
              <w:t>Ikke kendt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500" w:type="pct"/>
          </w:tcPr>
          <w:p w14:paraId="37EAF17A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4B3E9E13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Urinvejsinfektion</w:t>
            </w:r>
          </w:p>
          <w:p w14:paraId="3C43270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</w:p>
          <w:p w14:paraId="773E09F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Oxalatnefropati</w:t>
            </w:r>
            <w:proofErr w:type="spellEnd"/>
            <w:r>
              <w:rPr>
                <w:rFonts w:eastAsia="SimSun"/>
                <w:sz w:val="24"/>
                <w:szCs w:val="24"/>
                <w:lang w:eastAsia="pl-PL"/>
              </w:rPr>
              <w:t xml:space="preserve">, </w:t>
            </w:r>
            <w:r w:rsidRPr="0064746E">
              <w:rPr>
                <w:rFonts w:eastAsia="SimSun"/>
                <w:sz w:val="24"/>
                <w:szCs w:val="24"/>
                <w:lang w:eastAsia="pl-PL"/>
              </w:rPr>
              <w:t>som kan medføre nyresvigt</w:t>
            </w:r>
          </w:p>
        </w:tc>
      </w:tr>
      <w:tr w:rsidR="00032EB6" w:rsidRPr="005C51C9" w14:paraId="3A7B22CE" w14:textId="77777777" w:rsidTr="006C3A52">
        <w:tc>
          <w:tcPr>
            <w:tcW w:w="2500" w:type="pct"/>
          </w:tcPr>
          <w:p w14:paraId="315AFE0A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b/>
                <w:sz w:val="24"/>
                <w:szCs w:val="24"/>
              </w:rPr>
              <w:t>Almene symptomer og reaktioner på administrationsstedet</w:t>
            </w:r>
          </w:p>
          <w:p w14:paraId="0AD0A34C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Almindelig:</w:t>
            </w:r>
          </w:p>
        </w:tc>
        <w:tc>
          <w:tcPr>
            <w:tcW w:w="2500" w:type="pct"/>
          </w:tcPr>
          <w:p w14:paraId="0115500A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29AC304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</w:rPr>
            </w:pPr>
          </w:p>
          <w:p w14:paraId="4DC5DB4E" w14:textId="77777777" w:rsidR="00032EB6" w:rsidRPr="005C51C9" w:rsidRDefault="00032EB6" w:rsidP="00B90611">
            <w:pPr>
              <w:autoSpaceDE w:val="0"/>
              <w:autoSpaceDN w:val="0"/>
              <w:adjustRightInd w:val="0"/>
              <w:ind w:left="27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Træthed</w:t>
            </w:r>
          </w:p>
        </w:tc>
      </w:tr>
    </w:tbl>
    <w:p w14:paraId="25FB4139" w14:textId="16135153" w:rsidR="00032EB6" w:rsidRPr="005C51C9" w:rsidRDefault="00032EB6" w:rsidP="00B90611">
      <w:pPr>
        <w:ind w:left="284" w:hanging="284"/>
        <w:rPr>
          <w:color w:val="000000"/>
          <w:sz w:val="24"/>
          <w:szCs w:val="24"/>
        </w:rPr>
      </w:pPr>
      <w:r w:rsidRPr="00B210A0">
        <w:rPr>
          <w:color w:val="000000"/>
          <w:sz w:val="24"/>
          <w:szCs w:val="24"/>
          <w:vertAlign w:val="superscript"/>
        </w:rPr>
        <w:t>1.</w:t>
      </w:r>
      <w:r w:rsidR="00B90611">
        <w:rPr>
          <w:color w:val="000000"/>
          <w:sz w:val="24"/>
          <w:szCs w:val="24"/>
          <w:vertAlign w:val="superscript"/>
        </w:rPr>
        <w:tab/>
      </w:r>
      <w:r w:rsidRPr="005C51C9">
        <w:rPr>
          <w:color w:val="000000"/>
          <w:sz w:val="24"/>
          <w:szCs w:val="24"/>
        </w:rPr>
        <w:t>Eneste unikke bivirkning ved behandling som forekom med en frekvens på mere end 2% og med en hyppighed på ≥ 1% mere end placebo hos overvægtige patienter med type 2 diabetes.</w:t>
      </w:r>
    </w:p>
    <w:p w14:paraId="3301EE97" w14:textId="63766370" w:rsidR="00032EB6" w:rsidRDefault="00032EB6" w:rsidP="00B90611">
      <w:pPr>
        <w:ind w:left="284" w:hanging="284"/>
        <w:rPr>
          <w:color w:val="000000"/>
          <w:sz w:val="24"/>
          <w:szCs w:val="24"/>
        </w:rPr>
      </w:pPr>
      <w:r w:rsidRPr="00B210A0">
        <w:rPr>
          <w:color w:val="000000"/>
          <w:sz w:val="24"/>
          <w:szCs w:val="24"/>
          <w:vertAlign w:val="superscript"/>
        </w:rPr>
        <w:t>2</w:t>
      </w:r>
      <w:r w:rsidR="00B90611">
        <w:rPr>
          <w:color w:val="000000"/>
          <w:sz w:val="24"/>
          <w:szCs w:val="24"/>
          <w:vertAlign w:val="superscript"/>
        </w:rPr>
        <w:t>.</w:t>
      </w:r>
      <w:r w:rsidR="00B90611">
        <w:rPr>
          <w:color w:val="000000"/>
          <w:sz w:val="24"/>
          <w:szCs w:val="24"/>
        </w:rPr>
        <w:tab/>
      </w:r>
      <w:r w:rsidRPr="005C51C9">
        <w:rPr>
          <w:color w:val="000000"/>
          <w:sz w:val="24"/>
          <w:szCs w:val="24"/>
        </w:rPr>
        <w:t xml:space="preserve">Det er sandsynligt, at behandling med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kan føre til uro enten i forventning om eller som følge af </w:t>
      </w:r>
      <w:proofErr w:type="spellStart"/>
      <w:r w:rsidRPr="005C51C9">
        <w:rPr>
          <w:color w:val="000000"/>
          <w:sz w:val="24"/>
          <w:szCs w:val="24"/>
        </w:rPr>
        <w:t>gastrointestinale</w:t>
      </w:r>
      <w:proofErr w:type="spellEnd"/>
      <w:r w:rsidRPr="005C51C9">
        <w:rPr>
          <w:color w:val="000000"/>
          <w:sz w:val="24"/>
          <w:szCs w:val="24"/>
        </w:rPr>
        <w:t xml:space="preserve"> reaktioner.</w:t>
      </w:r>
    </w:p>
    <w:p w14:paraId="6C2AEA40" w14:textId="77777777" w:rsidR="00032EB6" w:rsidRDefault="00032EB6" w:rsidP="00032EB6">
      <w:pPr>
        <w:ind w:left="851"/>
        <w:rPr>
          <w:sz w:val="24"/>
          <w:szCs w:val="24"/>
        </w:rPr>
      </w:pPr>
    </w:p>
    <w:p w14:paraId="45697975" w14:textId="77777777" w:rsidR="0021264D" w:rsidRPr="008F49E1" w:rsidRDefault="0021264D" w:rsidP="0021264D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14:paraId="7A656008" w14:textId="77777777" w:rsidR="0021264D" w:rsidRPr="008F49E1" w:rsidRDefault="0021264D" w:rsidP="0021264D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>
        <w:rPr>
          <w:sz w:val="24"/>
          <w:szCs w:val="24"/>
          <w:lang w:eastAsia="da-DK"/>
        </w:rPr>
        <w:t>S</w:t>
      </w:r>
      <w:r w:rsidRPr="008F49E1">
        <w:rPr>
          <w:sz w:val="24"/>
          <w:szCs w:val="24"/>
          <w:lang w:eastAsia="da-DK"/>
        </w:rPr>
        <w:t>undhedsperson</w:t>
      </w:r>
      <w:r>
        <w:rPr>
          <w:sz w:val="24"/>
          <w:szCs w:val="24"/>
          <w:lang w:eastAsia="da-DK"/>
        </w:rPr>
        <w:t>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14:paraId="1E220DA4" w14:textId="77777777" w:rsidR="0021264D" w:rsidRPr="008F49E1" w:rsidRDefault="0021264D" w:rsidP="0021264D">
      <w:pPr>
        <w:ind w:left="851"/>
        <w:rPr>
          <w:sz w:val="24"/>
          <w:szCs w:val="24"/>
          <w:lang w:eastAsia="da-DK"/>
        </w:rPr>
      </w:pPr>
    </w:p>
    <w:p w14:paraId="1B721470" w14:textId="77777777" w:rsidR="0021264D" w:rsidRPr="007A276A" w:rsidRDefault="0021264D" w:rsidP="0021264D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14:paraId="0286C796" w14:textId="77777777" w:rsidR="0021264D" w:rsidRPr="007A276A" w:rsidRDefault="0021264D" w:rsidP="0021264D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14:paraId="07A37021" w14:textId="77777777" w:rsidR="0021264D" w:rsidRPr="007A276A" w:rsidRDefault="0021264D" w:rsidP="0021264D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14:paraId="24116308" w14:textId="77777777" w:rsidR="00032EB6" w:rsidRPr="00892754" w:rsidRDefault="0021264D" w:rsidP="0021264D">
      <w:pPr>
        <w:pStyle w:val="Sidehoved"/>
        <w:tabs>
          <w:tab w:val="left" w:pos="851"/>
        </w:tabs>
        <w:ind w:left="851"/>
        <w:rPr>
          <w:color w:val="0000FF"/>
          <w:u w:val="single"/>
        </w:rPr>
      </w:pPr>
      <w:r w:rsidRPr="0021264D">
        <w:rPr>
          <w:szCs w:val="24"/>
        </w:rPr>
        <w:t xml:space="preserve">Websted: </w:t>
      </w:r>
      <w:hyperlink r:id="rId8" w:history="1">
        <w:r w:rsidRPr="0021264D">
          <w:rPr>
            <w:color w:val="0000FF"/>
            <w:u w:val="single"/>
          </w:rPr>
          <w:t>www.meldenbivirkning.dk</w:t>
        </w:r>
      </w:hyperlink>
    </w:p>
    <w:p w14:paraId="4A10E77D" w14:textId="77777777" w:rsidR="0021264D" w:rsidRPr="005C51C9" w:rsidRDefault="0021264D" w:rsidP="0021264D">
      <w:pPr>
        <w:pStyle w:val="Sidehoved"/>
        <w:tabs>
          <w:tab w:val="left" w:pos="851"/>
        </w:tabs>
        <w:ind w:left="851"/>
        <w:rPr>
          <w:szCs w:val="24"/>
        </w:rPr>
      </w:pPr>
    </w:p>
    <w:p w14:paraId="7D1B7926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14:paraId="1FFB1EC5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Ved enkeltdoser på 800 mg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og multiple doser på op til 400 mg 3 gange daglig i 15 dage har der ikke været rapporteret om signifikante kliniske fund blandt personer med normal vægt og blandt adipøse personer. Derudover er doser på 240 mg 3 gange daglig blevet administreret til adipøse patienter i 6 måneder. I de fleste tilfælde af overdosering, som blev rapporteret i perioden efter markedsføring, blev det rapporteret, at der enten ikke var bivirkninger, eller de rapporterede bivirkninger var de samme som for den anbefalede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dosis.</w:t>
      </w:r>
    </w:p>
    <w:p w14:paraId="7FD83D29" w14:textId="77777777" w:rsidR="00032EB6" w:rsidRPr="005C51C9" w:rsidRDefault="00032EB6" w:rsidP="00032EB6">
      <w:pPr>
        <w:ind w:left="851"/>
        <w:rPr>
          <w:color w:val="000000"/>
          <w:sz w:val="24"/>
          <w:szCs w:val="24"/>
        </w:rPr>
      </w:pPr>
    </w:p>
    <w:p w14:paraId="25AF46AE" w14:textId="77777777" w:rsidR="00032EB6" w:rsidRPr="006F084F" w:rsidRDefault="00032EB6" w:rsidP="00032EB6">
      <w:pPr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I tilfælde af overdosering skal patienten rådføre sig med en læge. I tilfælde af signifikant overdosering med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anbefales det, at patienten observeres i 24 timer. Baseret på humane undersøgelser og dyreundersøgelser bør de systemiske virkninger, der kan tillægges </w:t>
      </w:r>
      <w:proofErr w:type="spellStart"/>
      <w:r w:rsidRPr="005C51C9">
        <w:rPr>
          <w:color w:val="000000"/>
          <w:sz w:val="24"/>
          <w:szCs w:val="24"/>
        </w:rPr>
        <w:t>orlistats</w:t>
      </w:r>
      <w:proofErr w:type="spellEnd"/>
      <w:r w:rsidRPr="005C51C9">
        <w:rPr>
          <w:color w:val="000000"/>
          <w:sz w:val="24"/>
          <w:szCs w:val="24"/>
        </w:rPr>
        <w:t xml:space="preserve"> </w:t>
      </w:r>
      <w:proofErr w:type="spellStart"/>
      <w:r w:rsidRPr="005C51C9">
        <w:rPr>
          <w:color w:val="000000"/>
          <w:sz w:val="24"/>
          <w:szCs w:val="24"/>
        </w:rPr>
        <w:t>lipasehæmmende</w:t>
      </w:r>
      <w:proofErr w:type="spellEnd"/>
      <w:r w:rsidRPr="005C51C9">
        <w:rPr>
          <w:color w:val="000000"/>
          <w:sz w:val="24"/>
          <w:szCs w:val="24"/>
        </w:rPr>
        <w:t xml:space="preserve"> egenskaber, være hurtigt reversible.</w:t>
      </w:r>
    </w:p>
    <w:p w14:paraId="5037538E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0280DA2A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14:paraId="4BB54604" w14:textId="77777777" w:rsidR="00032EB6" w:rsidRPr="005C51C9" w:rsidRDefault="00032EB6" w:rsidP="00032EB6">
      <w:pPr>
        <w:tabs>
          <w:tab w:val="left" w:pos="851"/>
        </w:tabs>
        <w:ind w:left="851" w:hanging="851"/>
        <w:rPr>
          <w:sz w:val="24"/>
          <w:szCs w:val="24"/>
        </w:rPr>
      </w:pPr>
      <w:r w:rsidRPr="005C51C9">
        <w:rPr>
          <w:sz w:val="24"/>
          <w:szCs w:val="24"/>
        </w:rPr>
        <w:tab/>
        <w:t>HA</w:t>
      </w:r>
    </w:p>
    <w:p w14:paraId="044BD6A8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46FC4AD5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57CFABF0" w14:textId="77777777" w:rsidR="005435B5" w:rsidRPr="00C84483" w:rsidRDefault="005435B5" w:rsidP="005435B5">
      <w:pPr>
        <w:tabs>
          <w:tab w:val="left" w:pos="851"/>
        </w:tabs>
        <w:ind w:left="851"/>
        <w:rPr>
          <w:sz w:val="24"/>
          <w:szCs w:val="24"/>
        </w:rPr>
      </w:pPr>
    </w:p>
    <w:p w14:paraId="5503F8DE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14:paraId="5397D367" w14:textId="77777777" w:rsidR="00032EB6" w:rsidRPr="006F084F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ATC-kode</w:t>
      </w:r>
      <w:r>
        <w:rPr>
          <w:color w:val="000000"/>
          <w:sz w:val="24"/>
          <w:szCs w:val="24"/>
        </w:rPr>
        <w:t>:</w:t>
      </w:r>
      <w:r w:rsidRPr="005C51C9">
        <w:rPr>
          <w:color w:val="000000"/>
          <w:sz w:val="24"/>
          <w:szCs w:val="24"/>
        </w:rPr>
        <w:t xml:space="preserve"> A</w:t>
      </w:r>
      <w:r>
        <w:rPr>
          <w:color w:val="000000"/>
          <w:sz w:val="24"/>
          <w:szCs w:val="24"/>
        </w:rPr>
        <w:t xml:space="preserve"> </w:t>
      </w:r>
      <w:r w:rsidRPr="005C51C9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 xml:space="preserve"> </w:t>
      </w:r>
      <w:r w:rsidRPr="005C51C9">
        <w:rPr>
          <w:color w:val="000000"/>
          <w:sz w:val="24"/>
          <w:szCs w:val="24"/>
        </w:rPr>
        <w:t>AB</w:t>
      </w:r>
      <w:r>
        <w:rPr>
          <w:color w:val="000000"/>
          <w:sz w:val="24"/>
          <w:szCs w:val="24"/>
        </w:rPr>
        <w:t xml:space="preserve"> </w:t>
      </w:r>
      <w:r w:rsidRPr="005C51C9">
        <w:rPr>
          <w:color w:val="000000"/>
          <w:sz w:val="24"/>
          <w:szCs w:val="24"/>
        </w:rPr>
        <w:t xml:space="preserve">01. </w:t>
      </w:r>
      <w:proofErr w:type="spellStart"/>
      <w:r w:rsidRPr="005C51C9">
        <w:rPr>
          <w:color w:val="000000"/>
          <w:sz w:val="24"/>
          <w:szCs w:val="24"/>
        </w:rPr>
        <w:t>Antiobesitaspræparater</w:t>
      </w:r>
      <w:proofErr w:type="spellEnd"/>
      <w:r w:rsidRPr="005C51C9">
        <w:rPr>
          <w:color w:val="000000"/>
          <w:sz w:val="24"/>
          <w:szCs w:val="24"/>
        </w:rPr>
        <w:t xml:space="preserve">, undtaget diætprodukter, perifert virkende </w:t>
      </w:r>
      <w:proofErr w:type="spellStart"/>
      <w:r w:rsidRPr="005C51C9">
        <w:rPr>
          <w:color w:val="000000"/>
          <w:sz w:val="24"/>
          <w:szCs w:val="24"/>
        </w:rPr>
        <w:t>antiobesitasmiddel</w:t>
      </w:r>
      <w:proofErr w:type="spellEnd"/>
      <w:r>
        <w:rPr>
          <w:color w:val="000000"/>
          <w:sz w:val="24"/>
          <w:szCs w:val="24"/>
        </w:rPr>
        <w:t>.</w:t>
      </w:r>
    </w:p>
    <w:p w14:paraId="0295E89E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0ACEFC79" w14:textId="77777777" w:rsidR="005435B5" w:rsidRPr="00C84483" w:rsidRDefault="005435B5" w:rsidP="005435B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2B1EB9DA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er en kraftig, specifik og langtidsvirkende hæmmer af </w:t>
      </w:r>
      <w:proofErr w:type="spellStart"/>
      <w:r w:rsidRPr="005C51C9">
        <w:rPr>
          <w:color w:val="000000"/>
          <w:sz w:val="24"/>
          <w:szCs w:val="24"/>
        </w:rPr>
        <w:t>gastrointestinale</w:t>
      </w:r>
      <w:proofErr w:type="spellEnd"/>
      <w:r w:rsidRPr="005C51C9">
        <w:rPr>
          <w:color w:val="000000"/>
          <w:sz w:val="24"/>
          <w:szCs w:val="24"/>
        </w:rPr>
        <w:t xml:space="preserve"> </w:t>
      </w:r>
      <w:proofErr w:type="spellStart"/>
      <w:r w:rsidRPr="005C51C9">
        <w:rPr>
          <w:color w:val="000000"/>
          <w:sz w:val="24"/>
          <w:szCs w:val="24"/>
        </w:rPr>
        <w:t>lipaser</w:t>
      </w:r>
      <w:proofErr w:type="spellEnd"/>
      <w:r w:rsidRPr="005C51C9">
        <w:rPr>
          <w:color w:val="000000"/>
          <w:sz w:val="24"/>
          <w:szCs w:val="24"/>
        </w:rPr>
        <w:t xml:space="preserve">. Dens terapeutiske virkninger udøves i ventriklens og tyndtarmens </w:t>
      </w:r>
      <w:proofErr w:type="spellStart"/>
      <w:r w:rsidRPr="005C51C9">
        <w:rPr>
          <w:color w:val="000000"/>
          <w:sz w:val="24"/>
          <w:szCs w:val="24"/>
        </w:rPr>
        <w:t>lumina</w:t>
      </w:r>
      <w:proofErr w:type="spellEnd"/>
      <w:r w:rsidRPr="005C51C9">
        <w:rPr>
          <w:color w:val="000000"/>
          <w:sz w:val="24"/>
          <w:szCs w:val="24"/>
        </w:rPr>
        <w:t xml:space="preserve">, hvor der dannes en kovalent binding på det aktive </w:t>
      </w:r>
      <w:proofErr w:type="spellStart"/>
      <w:r w:rsidRPr="005C51C9">
        <w:rPr>
          <w:color w:val="000000"/>
          <w:sz w:val="24"/>
          <w:szCs w:val="24"/>
        </w:rPr>
        <w:t>serinbindingssted</w:t>
      </w:r>
      <w:proofErr w:type="spellEnd"/>
      <w:r w:rsidRPr="005C51C9">
        <w:rPr>
          <w:color w:val="000000"/>
          <w:sz w:val="24"/>
          <w:szCs w:val="24"/>
        </w:rPr>
        <w:t xml:space="preserve"> af </w:t>
      </w:r>
      <w:proofErr w:type="spellStart"/>
      <w:r w:rsidRPr="005C51C9">
        <w:rPr>
          <w:color w:val="000000"/>
          <w:sz w:val="24"/>
          <w:szCs w:val="24"/>
        </w:rPr>
        <w:t>gastro</w:t>
      </w:r>
      <w:proofErr w:type="spellEnd"/>
      <w:r w:rsidRPr="005C51C9">
        <w:rPr>
          <w:color w:val="000000"/>
          <w:sz w:val="24"/>
          <w:szCs w:val="24"/>
        </w:rPr>
        <w:t xml:space="preserve">- og </w:t>
      </w:r>
      <w:proofErr w:type="spellStart"/>
      <w:r w:rsidRPr="005C51C9">
        <w:rPr>
          <w:color w:val="000000"/>
          <w:sz w:val="24"/>
          <w:szCs w:val="24"/>
        </w:rPr>
        <w:t>pankreaslipaser</w:t>
      </w:r>
      <w:proofErr w:type="spellEnd"/>
      <w:r w:rsidRPr="005C51C9">
        <w:rPr>
          <w:color w:val="000000"/>
          <w:sz w:val="24"/>
          <w:szCs w:val="24"/>
        </w:rPr>
        <w:t xml:space="preserve">. Det inaktiverede enzym er således ude af stand til at hydrolysere fedt fra kosten i form af triglycerider til absorberbare frie fedtsyrer og </w:t>
      </w:r>
      <w:proofErr w:type="spellStart"/>
      <w:r w:rsidRPr="005C51C9">
        <w:rPr>
          <w:color w:val="000000"/>
          <w:sz w:val="24"/>
          <w:szCs w:val="24"/>
        </w:rPr>
        <w:t>monoglycerider</w:t>
      </w:r>
      <w:proofErr w:type="spellEnd"/>
      <w:r w:rsidRPr="005C51C9">
        <w:rPr>
          <w:color w:val="000000"/>
          <w:sz w:val="24"/>
          <w:szCs w:val="24"/>
        </w:rPr>
        <w:t xml:space="preserve">. Ud fra kliniske forsøg antages det, at når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 tages tre gange </w:t>
      </w:r>
      <w:r>
        <w:rPr>
          <w:color w:val="000000"/>
          <w:sz w:val="24"/>
          <w:szCs w:val="24"/>
        </w:rPr>
        <w:t>daglig</w:t>
      </w:r>
      <w:r w:rsidRPr="005C51C9">
        <w:rPr>
          <w:color w:val="000000"/>
          <w:sz w:val="24"/>
          <w:szCs w:val="24"/>
        </w:rPr>
        <w:t xml:space="preserve">, blokeres optagelsen af ca. 25 % af fedtet i kosten. Effekten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medfører en øgning af fækalt fedt allerede 24 til 48 timer efter indgift. Efter </w:t>
      </w:r>
      <w:proofErr w:type="spellStart"/>
      <w:r w:rsidRPr="005C51C9">
        <w:rPr>
          <w:color w:val="000000"/>
          <w:sz w:val="24"/>
          <w:szCs w:val="24"/>
        </w:rPr>
        <w:t>seponering</w:t>
      </w:r>
      <w:proofErr w:type="spellEnd"/>
      <w:r w:rsidRPr="005C51C9">
        <w:rPr>
          <w:color w:val="000000"/>
          <w:sz w:val="24"/>
          <w:szCs w:val="24"/>
        </w:rPr>
        <w:t xml:space="preserve"> af behandlingen falder indholdet af fækalt fedt til niveauet før behandlingen blev påbegyndt, inden for 48 til 72 timer.</w:t>
      </w:r>
    </w:p>
    <w:p w14:paraId="54CC9F36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4904AB3D" w14:textId="77777777" w:rsidR="00032EB6" w:rsidRPr="005C51C9" w:rsidRDefault="00032EB6" w:rsidP="00032EB6">
      <w:pPr>
        <w:suppressAutoHyphens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To dobbeltblinde, randomiserede, placebokontrollerede studier hos voksne med BMI ≥28 kg/m2 understøtter virkningen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mg, når det tages 3 gange daglig og kombineres med kalorie- og fedtfattig kost. Den primære parameter, vægtændring fra baseline (tidspunktet for </w:t>
      </w:r>
      <w:proofErr w:type="spellStart"/>
      <w:r w:rsidRPr="005C51C9">
        <w:rPr>
          <w:color w:val="000000"/>
          <w:sz w:val="24"/>
          <w:szCs w:val="24"/>
        </w:rPr>
        <w:t>randomisering</w:t>
      </w:r>
      <w:proofErr w:type="spellEnd"/>
      <w:r w:rsidRPr="005C51C9">
        <w:rPr>
          <w:color w:val="000000"/>
          <w:sz w:val="24"/>
          <w:szCs w:val="24"/>
        </w:rPr>
        <w:t>), blev vurderet for kropsvægt over tid (tabel 1) og som procentdel af forsøgspersoner, der opnåede vægttab på ≥5 % eller ≥10 % af legemsvægten (tabel 2). Selv om vægttab blev vurderet i løbet af de 12 måneders behandling i begge forsøg, opstod de væsentligste vægttab inden for de først 6 måneder</w:t>
      </w:r>
    </w:p>
    <w:p w14:paraId="532A2E15" w14:textId="77777777" w:rsidR="00032EB6" w:rsidRPr="005C51C9" w:rsidRDefault="00032EB6" w:rsidP="00032EB6">
      <w:pPr>
        <w:autoSpaceDE w:val="0"/>
        <w:autoSpaceDN w:val="0"/>
        <w:adjustRightInd w:val="0"/>
        <w:ind w:left="851" w:hanging="851"/>
        <w:jc w:val="both"/>
        <w:rPr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1820"/>
        <w:gridCol w:w="1820"/>
        <w:gridCol w:w="1820"/>
        <w:gridCol w:w="2349"/>
      </w:tblGrid>
      <w:tr w:rsidR="00032EB6" w:rsidRPr="005C51C9" w14:paraId="339F3AD5" w14:textId="77777777" w:rsidTr="00E96FB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BD30" w14:textId="77777777" w:rsidR="00032EB6" w:rsidRPr="005C51C9" w:rsidRDefault="00032EB6" w:rsidP="003B4BC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Tabel 1: Virkning af 6 måneders behandling på legemsvægten målt ved baseline</w:t>
            </w:r>
          </w:p>
          <w:p w14:paraId="1304A0F3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</w:p>
        </w:tc>
      </w:tr>
      <w:tr w:rsidR="00032EB6" w:rsidRPr="005C51C9" w14:paraId="2E87A45E" w14:textId="77777777" w:rsidTr="00E96FB0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CBD3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64AC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Behandlings</w:t>
            </w: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softHyphen/>
              <w:t>gruppe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009D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50B2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Relativ middel</w:t>
            </w: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softHyphen/>
              <w:t>difference (%)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5EFB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Middeldifference (kg)</w:t>
            </w:r>
          </w:p>
        </w:tc>
      </w:tr>
      <w:tr w:rsidR="00032EB6" w:rsidRPr="005C51C9" w14:paraId="2CFD476A" w14:textId="77777777" w:rsidTr="00E96FB0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742E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Forsøg 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CDDE" w14:textId="77777777" w:rsidR="00032EB6" w:rsidRPr="005C51C9" w:rsidRDefault="00032EB6" w:rsidP="003B4BC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Placebo</w:t>
            </w:r>
          </w:p>
          <w:p w14:paraId="28A8B097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Orlistat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60 mg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5CE8" w14:textId="77777777" w:rsidR="00032EB6" w:rsidRPr="005C51C9" w:rsidRDefault="00032EB6" w:rsidP="003B4BC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204</w:t>
            </w:r>
          </w:p>
          <w:p w14:paraId="7F781821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A0C0" w14:textId="77777777" w:rsidR="00032EB6" w:rsidRPr="005C51C9" w:rsidRDefault="00032EB6" w:rsidP="003B4BC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-3,24</w:t>
            </w:r>
          </w:p>
          <w:p w14:paraId="401DBBD8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-5,55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1BFE" w14:textId="77777777" w:rsidR="00032EB6" w:rsidRPr="005C51C9" w:rsidRDefault="00032EB6" w:rsidP="003B4BC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-3,11</w:t>
            </w:r>
          </w:p>
          <w:p w14:paraId="7E8AC6E5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-5,20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a</w:t>
            </w:r>
          </w:p>
        </w:tc>
      </w:tr>
      <w:tr w:rsidR="00032EB6" w:rsidRPr="005C51C9" w14:paraId="2FE9B707" w14:textId="77777777" w:rsidTr="00E96FB0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69AE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Forsøg 2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E637" w14:textId="77777777" w:rsidR="00032EB6" w:rsidRPr="005C51C9" w:rsidRDefault="00032EB6" w:rsidP="003B4BC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Placebo</w:t>
            </w:r>
          </w:p>
          <w:p w14:paraId="4A57BA0D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Orlistat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60 mg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581F" w14:textId="77777777" w:rsidR="00032EB6" w:rsidRPr="005C51C9" w:rsidRDefault="00032EB6" w:rsidP="003B4BC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183</w:t>
            </w:r>
          </w:p>
          <w:p w14:paraId="0A06571C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8957" w14:textId="77777777" w:rsidR="00032EB6" w:rsidRPr="005C51C9" w:rsidRDefault="00032EB6" w:rsidP="003B4BC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-1,17</w:t>
            </w:r>
          </w:p>
          <w:p w14:paraId="69C9A2F9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-3,66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1886" w14:textId="77777777" w:rsidR="00032EB6" w:rsidRPr="005C51C9" w:rsidRDefault="00032EB6" w:rsidP="003B4BC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-1,05</w:t>
            </w:r>
          </w:p>
          <w:p w14:paraId="3B7FC65D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-3,59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a</w:t>
            </w:r>
          </w:p>
        </w:tc>
      </w:tr>
      <w:tr w:rsidR="00032EB6" w:rsidRPr="005C51C9" w14:paraId="0A349349" w14:textId="77777777" w:rsidTr="00E96FB0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47D5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Poolede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data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8A60" w14:textId="77777777" w:rsidR="00032EB6" w:rsidRPr="005C51C9" w:rsidRDefault="00032EB6" w:rsidP="003B4BC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Placebo</w:t>
            </w:r>
          </w:p>
          <w:p w14:paraId="1BB0501B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Orlistat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60 mg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DD5F" w14:textId="77777777" w:rsidR="00032EB6" w:rsidRPr="005C51C9" w:rsidRDefault="00032EB6" w:rsidP="003B4BC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387</w:t>
            </w:r>
          </w:p>
          <w:p w14:paraId="07225CE2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407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F5A2" w14:textId="77777777" w:rsidR="00032EB6" w:rsidRPr="005C51C9" w:rsidRDefault="00032EB6" w:rsidP="003B4BC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-2,20</w:t>
            </w:r>
          </w:p>
          <w:p w14:paraId="7F493624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-4,60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11AB" w14:textId="77777777" w:rsidR="00032EB6" w:rsidRPr="005C51C9" w:rsidRDefault="00032EB6" w:rsidP="003B4BCE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-2,09</w:t>
            </w:r>
          </w:p>
          <w:p w14:paraId="75459A12" w14:textId="77777777" w:rsidR="00032EB6" w:rsidRPr="005C51C9" w:rsidRDefault="00032EB6" w:rsidP="003B4BCE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-4,40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a</w:t>
            </w:r>
          </w:p>
        </w:tc>
      </w:tr>
      <w:tr w:rsidR="00032EB6" w:rsidRPr="005C51C9" w14:paraId="787B8B44" w14:textId="77777777" w:rsidTr="00E96FB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1CFB" w14:textId="77777777" w:rsidR="00032EB6" w:rsidRPr="005C51C9" w:rsidRDefault="00032EB6" w:rsidP="006862B7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27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a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p&lt;0,001 versus placebo</w:t>
            </w:r>
          </w:p>
        </w:tc>
      </w:tr>
    </w:tbl>
    <w:p w14:paraId="369AB7D9" w14:textId="77777777" w:rsidR="00032EB6" w:rsidRDefault="00032EB6" w:rsidP="00032EB6">
      <w:pPr>
        <w:autoSpaceDE w:val="0"/>
        <w:autoSpaceDN w:val="0"/>
        <w:adjustRightInd w:val="0"/>
        <w:ind w:left="851" w:hanging="851"/>
        <w:jc w:val="both"/>
        <w:rPr>
          <w:sz w:val="24"/>
          <w:szCs w:val="24"/>
          <w:lang w:eastAsia="pl-PL"/>
        </w:rPr>
      </w:pPr>
    </w:p>
    <w:p w14:paraId="688BDB51" w14:textId="77777777" w:rsidR="00032EB6" w:rsidRPr="005C51C9" w:rsidRDefault="00032EB6" w:rsidP="00032EB6">
      <w:pPr>
        <w:autoSpaceDE w:val="0"/>
        <w:autoSpaceDN w:val="0"/>
        <w:adjustRightInd w:val="0"/>
        <w:ind w:left="851" w:hanging="851"/>
        <w:jc w:val="both"/>
        <w:rPr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1820"/>
        <w:gridCol w:w="1820"/>
        <w:gridCol w:w="1820"/>
        <w:gridCol w:w="2345"/>
      </w:tblGrid>
      <w:tr w:rsidR="00032EB6" w:rsidRPr="005C51C9" w14:paraId="68B78A83" w14:textId="77777777" w:rsidTr="00E96FB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AA4F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Tabel 2: Responsanalyse efter 6 måneder</w:t>
            </w:r>
          </w:p>
        </w:tc>
      </w:tr>
      <w:tr w:rsidR="00032EB6" w:rsidRPr="005C51C9" w14:paraId="3C7B8D71" w14:textId="77777777" w:rsidTr="00E96FB0"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C06B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BA3C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 xml:space="preserve">Tab 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≥ </w:t>
            </w: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5% af udgangsvægt (%)</w:t>
            </w:r>
          </w:p>
        </w:tc>
        <w:tc>
          <w:tcPr>
            <w:tcW w:w="21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892F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 xml:space="preserve">Tab 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≥ </w:t>
            </w: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10% af udgangsvægt (%)</w:t>
            </w:r>
          </w:p>
        </w:tc>
      </w:tr>
      <w:tr w:rsidR="00032EB6" w:rsidRPr="005C51C9" w14:paraId="1D05D59C" w14:textId="77777777" w:rsidTr="00E96FB0"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F8D2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8926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Placebo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5032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Orlistat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60 mg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5C64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Placebo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3416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Orlistat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60 mg</w:t>
            </w:r>
          </w:p>
        </w:tc>
      </w:tr>
      <w:tr w:rsidR="00032EB6" w:rsidRPr="005C51C9" w14:paraId="2590E264" w14:textId="77777777" w:rsidTr="00E96FB0"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7C32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Forsøg 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3852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30,9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776F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54,6</w:t>
            </w:r>
            <w:r w:rsidRPr="005C51C9">
              <w:rPr>
                <w:rFonts w:eastAsia="SimSun"/>
                <w:bCs/>
                <w:sz w:val="24"/>
                <w:szCs w:val="24"/>
                <w:vertAlign w:val="superscript"/>
                <w:lang w:eastAsia="pl-PL"/>
              </w:rPr>
              <w:t>a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A867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10,3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5168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21,3</w:t>
            </w:r>
            <w:r w:rsidRPr="005C51C9">
              <w:rPr>
                <w:rFonts w:eastAsia="SimSun"/>
                <w:bCs/>
                <w:sz w:val="24"/>
                <w:szCs w:val="24"/>
                <w:vertAlign w:val="superscript"/>
                <w:lang w:eastAsia="pl-PL"/>
              </w:rPr>
              <w:t>b</w:t>
            </w:r>
          </w:p>
        </w:tc>
      </w:tr>
      <w:tr w:rsidR="00032EB6" w:rsidRPr="005C51C9" w14:paraId="62128FAA" w14:textId="77777777" w:rsidTr="00E96FB0"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E77A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Forsøg 2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024C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21,3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E253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37,7</w:t>
            </w:r>
            <w:r w:rsidRPr="005C51C9">
              <w:rPr>
                <w:rFonts w:eastAsia="SimSun"/>
                <w:bCs/>
                <w:sz w:val="24"/>
                <w:szCs w:val="24"/>
                <w:vertAlign w:val="superscript"/>
                <w:lang w:eastAsia="pl-PL"/>
              </w:rPr>
              <w:t>a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2CEB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2,2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1801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10,5</w:t>
            </w:r>
            <w:r w:rsidRPr="005C51C9">
              <w:rPr>
                <w:rFonts w:eastAsia="SimSun"/>
                <w:bCs/>
                <w:sz w:val="24"/>
                <w:szCs w:val="24"/>
                <w:vertAlign w:val="superscript"/>
                <w:lang w:eastAsia="pl-PL"/>
              </w:rPr>
              <w:t>b</w:t>
            </w:r>
          </w:p>
        </w:tc>
      </w:tr>
      <w:tr w:rsidR="00032EB6" w:rsidRPr="005C51C9" w14:paraId="7D7B31C2" w14:textId="77777777" w:rsidTr="00E96FB0"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5A86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Poolede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data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CADB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26,4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F6EC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46,7</w:t>
            </w:r>
            <w:r w:rsidRPr="005C51C9">
              <w:rPr>
                <w:rFonts w:eastAsia="SimSun"/>
                <w:bCs/>
                <w:sz w:val="24"/>
                <w:szCs w:val="24"/>
                <w:vertAlign w:val="superscript"/>
                <w:lang w:eastAsia="pl-PL"/>
              </w:rPr>
              <w:t>a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7A86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6,5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48C3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16,2</w:t>
            </w:r>
            <w:r w:rsidRPr="005C51C9">
              <w:rPr>
                <w:rFonts w:eastAsia="SimSun"/>
                <w:bCs/>
                <w:sz w:val="24"/>
                <w:szCs w:val="24"/>
                <w:vertAlign w:val="superscript"/>
                <w:lang w:eastAsia="pl-PL"/>
              </w:rPr>
              <w:t>a</w:t>
            </w:r>
          </w:p>
        </w:tc>
      </w:tr>
      <w:tr w:rsidR="00032EB6" w:rsidRPr="005C51C9" w14:paraId="40FEDC94" w14:textId="77777777" w:rsidTr="00E96FB0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E645" w14:textId="77777777" w:rsidR="00032EB6" w:rsidRPr="005C51C9" w:rsidRDefault="00032EB6" w:rsidP="003B4BCE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Sammenligning med placebo: 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a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p&lt;0,001; 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b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p&lt;0,01</w:t>
            </w:r>
          </w:p>
        </w:tc>
      </w:tr>
    </w:tbl>
    <w:p w14:paraId="0C60E8D2" w14:textId="77777777" w:rsidR="00032EB6" w:rsidRPr="00E96FB0" w:rsidRDefault="00032EB6" w:rsidP="00E96FB0">
      <w:pPr>
        <w:autoSpaceDE w:val="0"/>
        <w:autoSpaceDN w:val="0"/>
        <w:adjustRightInd w:val="0"/>
        <w:ind w:left="851" w:hanging="851"/>
        <w:rPr>
          <w:bCs/>
          <w:sz w:val="24"/>
          <w:szCs w:val="24"/>
          <w:lang w:eastAsia="pl-PL"/>
        </w:rPr>
      </w:pPr>
    </w:p>
    <w:p w14:paraId="7CD0659A" w14:textId="77777777" w:rsidR="00032EB6" w:rsidRPr="00E14DB4" w:rsidRDefault="00032EB6" w:rsidP="00032EB6">
      <w:pPr>
        <w:suppressAutoHyphens/>
        <w:ind w:left="851"/>
        <w:rPr>
          <w:bCs/>
          <w:noProof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Vægttabet induceret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 medførte andre vigtige sundhedsmæssige fordele efter 6 måneders behandling ud over selve vægttabet. Den relative middelændring i totalkolesterol var -2,4 % for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 (baseline 5,20 mmol/l) og +2,8 % for placebo (baseline 5,26 mmol/l). Den relative middelændring i LDL-kolesterol var -3,5 % for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 (baseline 3,30 mmol/l) og +3,8 % for placebo (baseline 3,41 mmol/l). Med </w:t>
      </w:r>
      <w:r w:rsidRPr="005C51C9">
        <w:rPr>
          <w:color w:val="000000"/>
          <w:sz w:val="24"/>
          <w:szCs w:val="24"/>
        </w:rPr>
        <w:lastRenderedPageBreak/>
        <w:t xml:space="preserve">hensyn til taljemålet var middelændring -4,5 cm for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 (baseline 103,7 cm) og -3,6 cm for placebo (baseline 103,5 cm). Alle sammenligninger med placebo var statistisk signifikante.</w:t>
      </w:r>
    </w:p>
    <w:p w14:paraId="61D6B051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58A15AF4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25C38C4C" w14:textId="77777777" w:rsidR="00E96FB0" w:rsidRDefault="00E96FB0" w:rsidP="00E96FB0">
      <w:pPr>
        <w:ind w:left="851"/>
        <w:rPr>
          <w:sz w:val="24"/>
          <w:szCs w:val="24"/>
          <w:u w:val="single"/>
        </w:rPr>
      </w:pPr>
    </w:p>
    <w:p w14:paraId="4BE847FA" w14:textId="6D606304" w:rsidR="00032EB6" w:rsidRPr="00E96FB0" w:rsidRDefault="00032EB6" w:rsidP="00E96FB0">
      <w:pPr>
        <w:ind w:left="851"/>
        <w:rPr>
          <w:sz w:val="24"/>
          <w:szCs w:val="24"/>
          <w:u w:val="single"/>
        </w:rPr>
      </w:pPr>
      <w:r w:rsidRPr="00E96FB0">
        <w:rPr>
          <w:sz w:val="24"/>
          <w:szCs w:val="24"/>
          <w:u w:val="single"/>
        </w:rPr>
        <w:t>Absorption</w:t>
      </w:r>
    </w:p>
    <w:p w14:paraId="291E16DE" w14:textId="77777777" w:rsidR="00032EB6" w:rsidRPr="005C51C9" w:rsidRDefault="00032EB6" w:rsidP="00032E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Undersøgelser af normalvægtige og adipøse frivillige forsøgspersoner har vist, at absorptionen af det aktive stof er minimal. 8 timer efter oral indgift af 360 mg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kunne der ikke måles plasmakoncentrationer (&lt; 5 </w:t>
      </w:r>
      <w:proofErr w:type="spellStart"/>
      <w:r w:rsidRPr="005C51C9">
        <w:rPr>
          <w:color w:val="000000"/>
          <w:sz w:val="24"/>
          <w:szCs w:val="24"/>
        </w:rPr>
        <w:t>ng</w:t>
      </w:r>
      <w:proofErr w:type="spellEnd"/>
      <w:r w:rsidRPr="005C51C9">
        <w:rPr>
          <w:color w:val="000000"/>
          <w:sz w:val="24"/>
          <w:szCs w:val="24"/>
        </w:rPr>
        <w:t xml:space="preserve">/ml) af intakt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>.</w:t>
      </w:r>
    </w:p>
    <w:p w14:paraId="025FFC59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37609090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Ved terapeutiske doser kunne der generelt kun måles sporadiske og yderst lave koncentrationer af intakt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i plasma (&lt; 10 </w:t>
      </w:r>
      <w:proofErr w:type="spellStart"/>
      <w:r w:rsidRPr="005C51C9">
        <w:rPr>
          <w:color w:val="000000"/>
          <w:sz w:val="24"/>
          <w:szCs w:val="24"/>
        </w:rPr>
        <w:t>ng</w:t>
      </w:r>
      <w:proofErr w:type="spellEnd"/>
      <w:r w:rsidRPr="005C51C9">
        <w:rPr>
          <w:color w:val="000000"/>
          <w:sz w:val="24"/>
          <w:szCs w:val="24"/>
        </w:rPr>
        <w:t>/ml eller 0,02 mikromol) uden tegn på akkumulering, hvilket er i overensstemmelse med en minimal absorption.</w:t>
      </w:r>
    </w:p>
    <w:p w14:paraId="0E96C0EE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4874220F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>Fordeling</w:t>
      </w:r>
    </w:p>
    <w:p w14:paraId="2A4B6AC0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Fordelingsvolumenet kan ikke bestemmes på grund af den ringe absorption og mangel på defineret systemisk farmakokinetik. </w:t>
      </w:r>
      <w:r w:rsidRPr="005C51C9">
        <w:rPr>
          <w:i/>
          <w:iCs/>
          <w:color w:val="000000"/>
          <w:sz w:val="24"/>
          <w:szCs w:val="24"/>
        </w:rPr>
        <w:t xml:space="preserve">In </w:t>
      </w:r>
      <w:proofErr w:type="spellStart"/>
      <w:r w:rsidRPr="005C51C9">
        <w:rPr>
          <w:i/>
          <w:iCs/>
          <w:color w:val="000000"/>
          <w:sz w:val="24"/>
          <w:szCs w:val="24"/>
        </w:rPr>
        <w:t>vitro</w:t>
      </w:r>
      <w:proofErr w:type="spellEnd"/>
      <w:r w:rsidRPr="005C51C9">
        <w:rPr>
          <w:i/>
          <w:iCs/>
          <w:color w:val="000000"/>
          <w:sz w:val="24"/>
          <w:szCs w:val="24"/>
        </w:rPr>
        <w:t xml:space="preserve"> </w:t>
      </w:r>
      <w:r w:rsidRPr="005C51C9">
        <w:rPr>
          <w:color w:val="000000"/>
          <w:sz w:val="24"/>
          <w:szCs w:val="24"/>
        </w:rPr>
        <w:t xml:space="preserve">er &gt; 99 %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bundet til plasmaproteiner (hovedsageligt </w:t>
      </w:r>
      <w:proofErr w:type="spellStart"/>
      <w:r w:rsidRPr="005C51C9">
        <w:rPr>
          <w:color w:val="000000"/>
          <w:sz w:val="24"/>
          <w:szCs w:val="24"/>
        </w:rPr>
        <w:t>lipoproteiner</w:t>
      </w:r>
      <w:proofErr w:type="spellEnd"/>
      <w:r w:rsidRPr="005C51C9">
        <w:rPr>
          <w:color w:val="000000"/>
          <w:sz w:val="24"/>
          <w:szCs w:val="24"/>
        </w:rPr>
        <w:t xml:space="preserve"> og albumin).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fordeler sig minimalt i erytrocytter.</w:t>
      </w:r>
    </w:p>
    <w:p w14:paraId="2A4AFE4D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1A0A8C71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>Biotransformation</w:t>
      </w:r>
    </w:p>
    <w:p w14:paraId="21BA94EF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Dyreforsøg viser, at det er sandsynligt, at </w:t>
      </w:r>
      <w:proofErr w:type="spellStart"/>
      <w:r w:rsidRPr="005C51C9">
        <w:rPr>
          <w:color w:val="000000"/>
          <w:sz w:val="24"/>
          <w:szCs w:val="24"/>
        </w:rPr>
        <w:t>orlistats</w:t>
      </w:r>
      <w:proofErr w:type="spellEnd"/>
      <w:r w:rsidRPr="005C51C9">
        <w:rPr>
          <w:color w:val="000000"/>
          <w:sz w:val="24"/>
          <w:szCs w:val="24"/>
        </w:rPr>
        <w:t xml:space="preserve"> metabolisme hovedsageligt finder sted i mave-tarmkanalens vægge. I en undersøgelse af adipøse patienter bestod den lille, systemisk absorberede fraktion af dosis af to større metabolitter, M1 (hydrolyseret </w:t>
      </w:r>
      <w:proofErr w:type="spellStart"/>
      <w:r w:rsidRPr="005C51C9">
        <w:rPr>
          <w:color w:val="000000"/>
          <w:sz w:val="24"/>
          <w:szCs w:val="24"/>
        </w:rPr>
        <w:t>firleddet</w:t>
      </w:r>
      <w:proofErr w:type="spellEnd"/>
      <w:r w:rsidRPr="005C51C9">
        <w:rPr>
          <w:color w:val="000000"/>
          <w:sz w:val="24"/>
          <w:szCs w:val="24"/>
        </w:rPr>
        <w:t xml:space="preserve"> </w:t>
      </w:r>
      <w:proofErr w:type="spellStart"/>
      <w:r w:rsidRPr="005C51C9">
        <w:rPr>
          <w:color w:val="000000"/>
          <w:sz w:val="24"/>
          <w:szCs w:val="24"/>
        </w:rPr>
        <w:t>laktonring</w:t>
      </w:r>
      <w:proofErr w:type="spellEnd"/>
      <w:r w:rsidRPr="005C51C9">
        <w:rPr>
          <w:color w:val="000000"/>
          <w:sz w:val="24"/>
          <w:szCs w:val="24"/>
        </w:rPr>
        <w:t>) og M3 (M1 med N-</w:t>
      </w:r>
      <w:proofErr w:type="spellStart"/>
      <w:r w:rsidRPr="005C51C9">
        <w:rPr>
          <w:color w:val="000000"/>
          <w:sz w:val="24"/>
          <w:szCs w:val="24"/>
        </w:rPr>
        <w:t>formyl</w:t>
      </w:r>
      <w:proofErr w:type="spellEnd"/>
      <w:r w:rsidRPr="005C51C9">
        <w:rPr>
          <w:color w:val="000000"/>
          <w:sz w:val="24"/>
          <w:szCs w:val="24"/>
        </w:rPr>
        <w:t xml:space="preserve"> leucindelen spaltet fra), som udgjorde ca. 42 % af den totale plasmakoncentration.</w:t>
      </w:r>
    </w:p>
    <w:p w14:paraId="0DF04C0D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56A23D2D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M1 og M3 har en åben beta-</w:t>
      </w:r>
      <w:proofErr w:type="spellStart"/>
      <w:r w:rsidRPr="005C51C9">
        <w:rPr>
          <w:color w:val="000000"/>
          <w:sz w:val="24"/>
          <w:szCs w:val="24"/>
        </w:rPr>
        <w:t>laktonring</w:t>
      </w:r>
      <w:proofErr w:type="spellEnd"/>
      <w:r w:rsidRPr="005C51C9">
        <w:rPr>
          <w:color w:val="000000"/>
          <w:sz w:val="24"/>
          <w:szCs w:val="24"/>
        </w:rPr>
        <w:t xml:space="preserve"> med en yderst svag </w:t>
      </w:r>
      <w:proofErr w:type="spellStart"/>
      <w:r w:rsidRPr="005C51C9">
        <w:rPr>
          <w:color w:val="000000"/>
          <w:sz w:val="24"/>
          <w:szCs w:val="24"/>
        </w:rPr>
        <w:t>lipasehæmmende</w:t>
      </w:r>
      <w:proofErr w:type="spellEnd"/>
      <w:r w:rsidRPr="005C51C9">
        <w:rPr>
          <w:color w:val="000000"/>
          <w:sz w:val="24"/>
          <w:szCs w:val="24"/>
        </w:rPr>
        <w:t xml:space="preserve"> aktivitet (1000 henholdsvis 2500 gange mindre end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). På grund af den lave </w:t>
      </w:r>
      <w:proofErr w:type="spellStart"/>
      <w:r w:rsidRPr="005C51C9">
        <w:rPr>
          <w:color w:val="000000"/>
          <w:sz w:val="24"/>
          <w:szCs w:val="24"/>
        </w:rPr>
        <w:t>lipasehæmmende</w:t>
      </w:r>
      <w:proofErr w:type="spellEnd"/>
      <w:r w:rsidRPr="005C51C9">
        <w:rPr>
          <w:color w:val="000000"/>
          <w:sz w:val="24"/>
          <w:szCs w:val="24"/>
        </w:rPr>
        <w:t xml:space="preserve"> aktivitet og de lave plasmaniveauer ved terapeutiske doser (i gennemsnit henholdsvis 26 </w:t>
      </w:r>
      <w:proofErr w:type="spellStart"/>
      <w:r w:rsidRPr="005C51C9">
        <w:rPr>
          <w:color w:val="000000"/>
          <w:sz w:val="24"/>
          <w:szCs w:val="24"/>
        </w:rPr>
        <w:t>ng</w:t>
      </w:r>
      <w:proofErr w:type="spellEnd"/>
      <w:r w:rsidRPr="005C51C9">
        <w:rPr>
          <w:color w:val="000000"/>
          <w:sz w:val="24"/>
          <w:szCs w:val="24"/>
        </w:rPr>
        <w:t xml:space="preserve">/ml og 108 </w:t>
      </w:r>
      <w:proofErr w:type="spellStart"/>
      <w:r w:rsidRPr="005C51C9">
        <w:rPr>
          <w:color w:val="000000"/>
          <w:sz w:val="24"/>
          <w:szCs w:val="24"/>
        </w:rPr>
        <w:t>ng</w:t>
      </w:r>
      <w:proofErr w:type="spellEnd"/>
      <w:r w:rsidRPr="005C51C9">
        <w:rPr>
          <w:color w:val="000000"/>
          <w:sz w:val="24"/>
          <w:szCs w:val="24"/>
        </w:rPr>
        <w:t>/ml) anses disse metabolitter for at være uden farmakologisk betydning.</w:t>
      </w:r>
    </w:p>
    <w:p w14:paraId="2911D8DE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2CB9773E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Elimination</w:t>
      </w:r>
    </w:p>
    <w:p w14:paraId="62206102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Undersøgelser hos normalvægtige og adipøse forsøgspersoner har vist, at den ikke-absorberede del af lægemidlet udskilles via fæces. Ca. 97 % af den indgivne dosis blev udskilt i fæces, og heraf var 83 % </w:t>
      </w:r>
      <w:proofErr w:type="spellStart"/>
      <w:r w:rsidRPr="005C51C9">
        <w:rPr>
          <w:color w:val="000000"/>
          <w:sz w:val="24"/>
          <w:szCs w:val="24"/>
        </w:rPr>
        <w:t>uomdannet</w:t>
      </w:r>
      <w:proofErr w:type="spellEnd"/>
      <w:r w:rsidRPr="005C51C9">
        <w:rPr>
          <w:color w:val="000000"/>
          <w:sz w:val="24"/>
          <w:szCs w:val="24"/>
        </w:rPr>
        <w:t xml:space="preserve">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>.</w:t>
      </w:r>
    </w:p>
    <w:p w14:paraId="0F36819D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39172F7D" w14:textId="77777777" w:rsidR="00032EB6" w:rsidRPr="00E14DB4" w:rsidRDefault="00032EB6" w:rsidP="00032EB6">
      <w:pPr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Den kumulative </w:t>
      </w:r>
      <w:proofErr w:type="spellStart"/>
      <w:r w:rsidRPr="005C51C9">
        <w:rPr>
          <w:color w:val="000000"/>
          <w:sz w:val="24"/>
          <w:szCs w:val="24"/>
        </w:rPr>
        <w:t>renale</w:t>
      </w:r>
      <w:proofErr w:type="spellEnd"/>
      <w:r w:rsidRPr="005C51C9">
        <w:rPr>
          <w:color w:val="000000"/>
          <w:sz w:val="24"/>
          <w:szCs w:val="24"/>
        </w:rPr>
        <w:t xml:space="preserve"> udskillelse af totalt </w:t>
      </w:r>
      <w:proofErr w:type="spellStart"/>
      <w:r w:rsidRPr="005C51C9">
        <w:rPr>
          <w:color w:val="000000"/>
          <w:sz w:val="24"/>
          <w:szCs w:val="24"/>
        </w:rPr>
        <w:t>orlistatrelateret</w:t>
      </w:r>
      <w:proofErr w:type="spellEnd"/>
      <w:r w:rsidRPr="005C51C9">
        <w:rPr>
          <w:color w:val="000000"/>
          <w:sz w:val="24"/>
          <w:szCs w:val="24"/>
        </w:rPr>
        <w:t xml:space="preserve"> materiale var &lt; 2 % af den indgivne dosis. Tiden til fuldstændig udskillelse (fækal plus </w:t>
      </w:r>
      <w:proofErr w:type="spellStart"/>
      <w:r w:rsidRPr="005C51C9">
        <w:rPr>
          <w:color w:val="000000"/>
          <w:sz w:val="24"/>
          <w:szCs w:val="24"/>
        </w:rPr>
        <w:t>renal</w:t>
      </w:r>
      <w:proofErr w:type="spellEnd"/>
      <w:r w:rsidRPr="005C51C9">
        <w:rPr>
          <w:color w:val="000000"/>
          <w:sz w:val="24"/>
          <w:szCs w:val="24"/>
        </w:rPr>
        <w:t xml:space="preserve">) var 3-5 dage. Udskillelsen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var tilsyneladende ens blandt normalvægtige og adipøse forsøgspersoner.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>, M1 og M3 udskilles alle i galden.</w:t>
      </w:r>
    </w:p>
    <w:p w14:paraId="4985A4E1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2F6EBB28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14:paraId="225C4A0C" w14:textId="77777777" w:rsidR="00032EB6" w:rsidRPr="005C51C9" w:rsidRDefault="00032EB6" w:rsidP="00032EB6">
      <w:pPr>
        <w:ind w:left="851"/>
        <w:rPr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De prækliniske data viser ingen særlig risiko for mennesker vurderet ud fra konventionelle undersøgelser af farmakologisk sikkerhed, toksicitet ved gentagne doseringer, genotoksicitet, </w:t>
      </w:r>
      <w:proofErr w:type="spellStart"/>
      <w:r w:rsidRPr="005C51C9">
        <w:rPr>
          <w:color w:val="000000"/>
          <w:sz w:val="24"/>
          <w:szCs w:val="24"/>
        </w:rPr>
        <w:t>karcinogenicitet</w:t>
      </w:r>
      <w:proofErr w:type="spellEnd"/>
      <w:r w:rsidRPr="005C51C9">
        <w:rPr>
          <w:color w:val="000000"/>
          <w:sz w:val="24"/>
          <w:szCs w:val="24"/>
        </w:rPr>
        <w:t xml:space="preserve">, fertilitets- og reproduktionstoksicitet og udvikling. </w:t>
      </w:r>
    </w:p>
    <w:p w14:paraId="49916BBA" w14:textId="77777777" w:rsidR="00032EB6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6ADE8F57" w14:textId="01BD00EF" w:rsidR="00C72195" w:rsidRDefault="00C721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D976AA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0EEA6970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14:paraId="51DB94E0" w14:textId="77777777" w:rsidR="005435B5" w:rsidRPr="00BA09F1" w:rsidRDefault="005435B5" w:rsidP="005435B5">
      <w:pPr>
        <w:tabs>
          <w:tab w:val="left" w:pos="851"/>
        </w:tabs>
        <w:ind w:left="851"/>
        <w:rPr>
          <w:sz w:val="24"/>
          <w:szCs w:val="24"/>
        </w:rPr>
      </w:pPr>
    </w:p>
    <w:p w14:paraId="6FEB2F23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14:paraId="55447988" w14:textId="77777777" w:rsidR="00032EB6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</w:p>
    <w:p w14:paraId="3EF744A0" w14:textId="77777777" w:rsidR="00032EB6" w:rsidRPr="00CE350F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Cs/>
          <w:color w:val="000000"/>
          <w:sz w:val="24"/>
          <w:szCs w:val="24"/>
          <w:u w:val="single"/>
        </w:rPr>
      </w:pPr>
      <w:r w:rsidRPr="00CE350F">
        <w:rPr>
          <w:iCs/>
          <w:color w:val="000000"/>
          <w:sz w:val="24"/>
          <w:szCs w:val="24"/>
          <w:u w:val="single"/>
        </w:rPr>
        <w:lastRenderedPageBreak/>
        <w:t>Kapselindhold</w:t>
      </w:r>
    </w:p>
    <w:p w14:paraId="2F108F62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Cellulose, mikrokrystallinsk PH112</w:t>
      </w:r>
      <w:r w:rsidRPr="005C51C9">
        <w:rPr>
          <w:color w:val="000000"/>
          <w:sz w:val="24"/>
          <w:szCs w:val="24"/>
        </w:rPr>
        <w:br/>
      </w:r>
      <w:proofErr w:type="spellStart"/>
      <w:r w:rsidRPr="005C51C9">
        <w:rPr>
          <w:color w:val="000000"/>
          <w:sz w:val="24"/>
          <w:szCs w:val="24"/>
        </w:rPr>
        <w:t>Natriumstivelsesglycolat</w:t>
      </w:r>
      <w:proofErr w:type="spellEnd"/>
      <w:r w:rsidRPr="005C51C9">
        <w:rPr>
          <w:color w:val="000000"/>
          <w:sz w:val="24"/>
          <w:szCs w:val="24"/>
        </w:rPr>
        <w:t xml:space="preserve"> (type A)</w:t>
      </w:r>
    </w:p>
    <w:p w14:paraId="2959739A" w14:textId="77777777" w:rsidR="00FE5C55" w:rsidRPr="00E96FB0" w:rsidRDefault="00FE5C55" w:rsidP="00E96FB0">
      <w:pPr>
        <w:ind w:left="851"/>
        <w:rPr>
          <w:sz w:val="24"/>
          <w:szCs w:val="24"/>
        </w:rPr>
      </w:pPr>
      <w:proofErr w:type="spellStart"/>
      <w:r w:rsidRPr="00E96FB0">
        <w:rPr>
          <w:sz w:val="24"/>
          <w:szCs w:val="24"/>
        </w:rPr>
        <w:t>Silica</w:t>
      </w:r>
      <w:proofErr w:type="spellEnd"/>
      <w:r w:rsidRPr="00E96FB0">
        <w:rPr>
          <w:sz w:val="24"/>
          <w:szCs w:val="24"/>
        </w:rPr>
        <w:t xml:space="preserve">, </w:t>
      </w:r>
      <w:proofErr w:type="gramStart"/>
      <w:r w:rsidRPr="00E96FB0">
        <w:rPr>
          <w:sz w:val="24"/>
          <w:szCs w:val="24"/>
        </w:rPr>
        <w:t>hydrofob kolloid</w:t>
      </w:r>
      <w:proofErr w:type="gramEnd"/>
    </w:p>
    <w:p w14:paraId="67B49BFB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Natriumlaurilsulfat</w:t>
      </w:r>
      <w:proofErr w:type="spellEnd"/>
    </w:p>
    <w:p w14:paraId="16D0DF80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</w:p>
    <w:p w14:paraId="661AF9E1" w14:textId="77777777" w:rsidR="00032EB6" w:rsidRPr="00CE350F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Cs/>
          <w:color w:val="000000"/>
          <w:sz w:val="24"/>
          <w:szCs w:val="24"/>
          <w:u w:val="single"/>
        </w:rPr>
      </w:pPr>
      <w:r w:rsidRPr="00CE350F">
        <w:rPr>
          <w:iCs/>
          <w:color w:val="000000"/>
          <w:sz w:val="24"/>
          <w:szCs w:val="24"/>
          <w:u w:val="single"/>
        </w:rPr>
        <w:t>Kapselskal</w:t>
      </w:r>
    </w:p>
    <w:p w14:paraId="33F11869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Gelatine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Indigocarmin</w:t>
      </w:r>
      <w:proofErr w:type="spellEnd"/>
      <w:r>
        <w:rPr>
          <w:color w:val="000000"/>
          <w:sz w:val="24"/>
          <w:szCs w:val="24"/>
        </w:rPr>
        <w:t xml:space="preserve"> (E132)</w:t>
      </w:r>
    </w:p>
    <w:p w14:paraId="43424EA8" w14:textId="77777777" w:rsidR="00032EB6" w:rsidRPr="005C51C9" w:rsidRDefault="00032EB6" w:rsidP="00032E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color w:val="000000"/>
          <w:sz w:val="24"/>
          <w:szCs w:val="24"/>
        </w:rPr>
        <w:t>Titandioxid (E171)</w:t>
      </w:r>
    </w:p>
    <w:p w14:paraId="61D06D0E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361AD03E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14:paraId="27C87359" w14:textId="77777777" w:rsidR="00032EB6" w:rsidRPr="005C51C9" w:rsidRDefault="00032EB6" w:rsidP="00032EB6">
      <w:pPr>
        <w:tabs>
          <w:tab w:val="left" w:pos="851"/>
        </w:tabs>
        <w:ind w:left="855"/>
        <w:rPr>
          <w:sz w:val="24"/>
          <w:szCs w:val="24"/>
        </w:rPr>
      </w:pPr>
      <w:r w:rsidRPr="005C51C9">
        <w:rPr>
          <w:sz w:val="24"/>
          <w:szCs w:val="24"/>
        </w:rPr>
        <w:t>Ikke relevant.</w:t>
      </w:r>
    </w:p>
    <w:p w14:paraId="4FFDEFC1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315A8E20" w14:textId="77777777" w:rsidR="005435B5" w:rsidRPr="00C84483" w:rsidRDefault="005435B5" w:rsidP="005435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14:paraId="4450273F" w14:textId="34391459" w:rsidR="00032EB6" w:rsidRPr="005C51C9" w:rsidRDefault="00032EB6" w:rsidP="00032EB6">
      <w:pPr>
        <w:ind w:left="851"/>
        <w:rPr>
          <w:color w:val="000000"/>
          <w:sz w:val="24"/>
          <w:szCs w:val="24"/>
        </w:rPr>
      </w:pPr>
      <w:r w:rsidRPr="005C51C9">
        <w:rPr>
          <w:sz w:val="24"/>
          <w:szCs w:val="24"/>
        </w:rPr>
        <w:t>HDPE</w:t>
      </w:r>
      <w:r w:rsidR="00E96FB0">
        <w:rPr>
          <w:sz w:val="24"/>
          <w:szCs w:val="24"/>
        </w:rPr>
        <w:t>-</w:t>
      </w:r>
      <w:r w:rsidRPr="005C51C9">
        <w:rPr>
          <w:sz w:val="24"/>
          <w:szCs w:val="24"/>
        </w:rPr>
        <w:t>beholder:</w:t>
      </w:r>
      <w:r w:rsidRPr="005C51C9">
        <w:rPr>
          <w:color w:val="000000"/>
          <w:sz w:val="24"/>
          <w:szCs w:val="24"/>
        </w:rPr>
        <w:t xml:space="preserve"> 2 år.</w:t>
      </w:r>
    </w:p>
    <w:p w14:paraId="51FE6B63" w14:textId="77777777" w:rsidR="00032EB6" w:rsidRPr="007A6385" w:rsidRDefault="00032EB6" w:rsidP="00032EB6">
      <w:pPr>
        <w:ind w:left="851"/>
        <w:rPr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Pr="005C51C9">
        <w:rPr>
          <w:color w:val="000000"/>
          <w:sz w:val="24"/>
          <w:szCs w:val="24"/>
        </w:rPr>
        <w:t>list</w:t>
      </w:r>
      <w:r>
        <w:rPr>
          <w:color w:val="000000"/>
          <w:sz w:val="24"/>
          <w:szCs w:val="24"/>
        </w:rPr>
        <w:t>er</w:t>
      </w:r>
      <w:r w:rsidRPr="005C51C9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2</w:t>
      </w:r>
      <w:r w:rsidRPr="005C51C9">
        <w:rPr>
          <w:color w:val="000000"/>
          <w:sz w:val="24"/>
          <w:szCs w:val="24"/>
        </w:rPr>
        <w:t xml:space="preserve"> år.</w:t>
      </w:r>
    </w:p>
    <w:p w14:paraId="286A8417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740FDD45" w14:textId="77777777" w:rsidR="001E173F" w:rsidRPr="00C84483" w:rsidRDefault="001E173F" w:rsidP="001E17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14:paraId="35499C41" w14:textId="77777777" w:rsidR="00032EB6" w:rsidRPr="005C51C9" w:rsidRDefault="00032EB6" w:rsidP="00032EB6">
      <w:pPr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Må ikke opbevares ved temperaturer over 25 °C. </w:t>
      </w:r>
    </w:p>
    <w:p w14:paraId="63FC28A0" w14:textId="77777777" w:rsidR="00032EB6" w:rsidRPr="007A6385" w:rsidRDefault="00032EB6" w:rsidP="00032EB6">
      <w:pPr>
        <w:ind w:left="851"/>
        <w:rPr>
          <w:sz w:val="24"/>
          <w:szCs w:val="24"/>
          <w:highlight w:val="yellow"/>
        </w:rPr>
      </w:pPr>
      <w:r w:rsidRPr="005C51C9">
        <w:rPr>
          <w:color w:val="000000"/>
          <w:sz w:val="24"/>
          <w:szCs w:val="24"/>
        </w:rPr>
        <w:t>Opbevares i original emballage for at beskytte mod lys og fugt.</w:t>
      </w:r>
    </w:p>
    <w:p w14:paraId="5BAF791C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232A880A" w14:textId="77777777" w:rsidR="001E173F" w:rsidRPr="00C84483" w:rsidRDefault="001E173F" w:rsidP="001E17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14:paraId="4AB10446" w14:textId="77777777" w:rsidR="00032EB6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03FDDE74" w14:textId="77777777" w:rsidR="00032EB6" w:rsidRPr="00551110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551110">
        <w:rPr>
          <w:sz w:val="24"/>
          <w:szCs w:val="24"/>
          <w:u w:val="single"/>
        </w:rPr>
        <w:t>Blistre</w:t>
      </w:r>
    </w:p>
    <w:p w14:paraId="3D4BC6A2" w14:textId="65A220CB" w:rsidR="00032EB6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>Al/PVC/PVDC</w:t>
      </w:r>
      <w:r w:rsidR="00E96FB0">
        <w:rPr>
          <w:sz w:val="24"/>
          <w:szCs w:val="24"/>
        </w:rPr>
        <w:t>-</w:t>
      </w:r>
      <w:r w:rsidRPr="005C51C9">
        <w:rPr>
          <w:sz w:val="24"/>
          <w:szCs w:val="24"/>
        </w:rPr>
        <w:t>blist</w:t>
      </w:r>
      <w:r>
        <w:rPr>
          <w:sz w:val="24"/>
          <w:szCs w:val="24"/>
        </w:rPr>
        <w:t>er.</w:t>
      </w:r>
    </w:p>
    <w:p w14:paraId="1F0FFB10" w14:textId="77777777" w:rsidR="00032EB6" w:rsidRPr="005C51C9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Pakningsstørrelser: 42, 60, 84,</w:t>
      </w:r>
      <w:r w:rsidRPr="005C51C9">
        <w:rPr>
          <w:sz w:val="24"/>
          <w:szCs w:val="24"/>
        </w:rPr>
        <w:t xml:space="preserve"> 90</w:t>
      </w:r>
      <w:r>
        <w:rPr>
          <w:sz w:val="24"/>
          <w:szCs w:val="24"/>
        </w:rPr>
        <w:t xml:space="preserve"> og 120 hårde kapsler.</w:t>
      </w:r>
    </w:p>
    <w:p w14:paraId="431F4FDB" w14:textId="77777777" w:rsidR="00032EB6" w:rsidRPr="005C51C9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2347637F" w14:textId="491D8273" w:rsidR="00032EB6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Al/PVC/PCTFE</w:t>
      </w:r>
      <w:r w:rsidR="00E96FB0">
        <w:rPr>
          <w:sz w:val="24"/>
          <w:szCs w:val="24"/>
        </w:rPr>
        <w:t>-</w:t>
      </w:r>
      <w:r>
        <w:rPr>
          <w:sz w:val="24"/>
          <w:szCs w:val="24"/>
        </w:rPr>
        <w:t>blister.</w:t>
      </w:r>
    </w:p>
    <w:p w14:paraId="04C0B7F0" w14:textId="77777777" w:rsidR="00032EB6" w:rsidRPr="005C51C9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Pakningsstørrelser: 42, 60, 84, 90 og 120 hårde kapsler.</w:t>
      </w:r>
    </w:p>
    <w:p w14:paraId="705D1986" w14:textId="77777777" w:rsidR="00032EB6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3EA91161" w14:textId="77777777" w:rsidR="00032EB6" w:rsidRPr="00551110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551110">
        <w:rPr>
          <w:sz w:val="24"/>
          <w:szCs w:val="24"/>
          <w:u w:val="single"/>
        </w:rPr>
        <w:t>HDPE-beholdere</w:t>
      </w:r>
    </w:p>
    <w:p w14:paraId="770C9F0F" w14:textId="77777777" w:rsidR="00032EB6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 xml:space="preserve">Anbrudssikre HDPE-beholdere, forseglet med papir-voks-aluminium- </w:t>
      </w:r>
      <w:proofErr w:type="spellStart"/>
      <w:r w:rsidRPr="005C51C9">
        <w:rPr>
          <w:sz w:val="24"/>
          <w:szCs w:val="24"/>
        </w:rPr>
        <w:t>polyethylenterephthalat-polyethylenmembran</w:t>
      </w:r>
      <w:proofErr w:type="spellEnd"/>
      <w:r w:rsidRPr="005C51C9">
        <w:rPr>
          <w:sz w:val="24"/>
          <w:szCs w:val="24"/>
        </w:rPr>
        <w:t xml:space="preserve"> med PE-push-fit anbrudssikret låg</w:t>
      </w:r>
      <w:r>
        <w:rPr>
          <w:sz w:val="24"/>
          <w:szCs w:val="24"/>
        </w:rPr>
        <w:t>.</w:t>
      </w:r>
    </w:p>
    <w:p w14:paraId="3A3F0713" w14:textId="77777777" w:rsidR="00032EB6" w:rsidRPr="005C51C9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5C51C9">
        <w:rPr>
          <w:sz w:val="24"/>
          <w:szCs w:val="24"/>
        </w:rPr>
        <w:t xml:space="preserve">42 </w:t>
      </w:r>
      <w:r>
        <w:rPr>
          <w:sz w:val="24"/>
          <w:szCs w:val="24"/>
        </w:rPr>
        <w:t>og 84 stk.</w:t>
      </w:r>
    </w:p>
    <w:p w14:paraId="1EFF2ADD" w14:textId="77777777" w:rsidR="00032EB6" w:rsidRPr="005C51C9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3E1C1449" w14:textId="77777777" w:rsidR="00032EB6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 xml:space="preserve">Anbrudssikrede HDPE-beholdere med PE-push-fit anbrudssikrede låg forsynet med molekylær si-tørremiddel med </w:t>
      </w:r>
      <w:proofErr w:type="spellStart"/>
      <w:r w:rsidRPr="005C51C9">
        <w:rPr>
          <w:sz w:val="24"/>
          <w:szCs w:val="24"/>
        </w:rPr>
        <w:t>silicagel</w:t>
      </w:r>
      <w:proofErr w:type="spellEnd"/>
      <w:r>
        <w:rPr>
          <w:sz w:val="24"/>
          <w:szCs w:val="24"/>
        </w:rPr>
        <w:t>.</w:t>
      </w:r>
    </w:p>
    <w:p w14:paraId="5643109B" w14:textId="77777777" w:rsidR="00032EB6" w:rsidRPr="005C51C9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Pakningsstørrelser: 42 og 84 stk.</w:t>
      </w:r>
    </w:p>
    <w:p w14:paraId="65E0ED36" w14:textId="77777777" w:rsidR="00032EB6" w:rsidRPr="005C51C9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00F927D5" w14:textId="77777777" w:rsidR="00032EB6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 xml:space="preserve">Anbrudssikrede HDPE-beholdere med PE-push-fit anbrudssikrede låg forsynet med bredporøs </w:t>
      </w:r>
      <w:proofErr w:type="spellStart"/>
      <w:r w:rsidRPr="005C51C9">
        <w:rPr>
          <w:sz w:val="24"/>
          <w:szCs w:val="24"/>
        </w:rPr>
        <w:t>silicagel</w:t>
      </w:r>
      <w:proofErr w:type="spellEnd"/>
      <w:r w:rsidRPr="005C51C9">
        <w:rPr>
          <w:sz w:val="24"/>
          <w:szCs w:val="24"/>
        </w:rPr>
        <w:t>-tørremiddel</w:t>
      </w:r>
      <w:r>
        <w:rPr>
          <w:sz w:val="24"/>
          <w:szCs w:val="24"/>
        </w:rPr>
        <w:t>.</w:t>
      </w:r>
    </w:p>
    <w:p w14:paraId="7179C97A" w14:textId="77777777" w:rsidR="00032EB6" w:rsidRPr="005C51C9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Pakningsstørrelser: 42 og 84 stk.</w:t>
      </w:r>
    </w:p>
    <w:p w14:paraId="683348E0" w14:textId="77777777" w:rsidR="00032EB6" w:rsidRPr="005C51C9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127FB2FD" w14:textId="77777777" w:rsidR="00032EB6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 xml:space="preserve">Anbrudssikrede HDPE-beholdere med PE-push-fit anbrudssikrede låg forsynet med smalporøs </w:t>
      </w:r>
      <w:proofErr w:type="spellStart"/>
      <w:r w:rsidRPr="005C51C9">
        <w:rPr>
          <w:sz w:val="24"/>
          <w:szCs w:val="24"/>
        </w:rPr>
        <w:t>silicagel</w:t>
      </w:r>
      <w:proofErr w:type="spellEnd"/>
      <w:r w:rsidRPr="005C51C9">
        <w:rPr>
          <w:sz w:val="24"/>
          <w:szCs w:val="24"/>
        </w:rPr>
        <w:t>-tørremiddel</w:t>
      </w:r>
      <w:r>
        <w:rPr>
          <w:sz w:val="24"/>
          <w:szCs w:val="24"/>
        </w:rPr>
        <w:t>.</w:t>
      </w:r>
    </w:p>
    <w:p w14:paraId="48023FD1" w14:textId="77777777" w:rsidR="00032EB6" w:rsidRPr="005C51C9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Pakningsstørrelser: 42 og 84 stk.</w:t>
      </w:r>
    </w:p>
    <w:p w14:paraId="19571FB4" w14:textId="77777777" w:rsidR="00032EB6" w:rsidRPr="005C51C9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3E67E9A6" w14:textId="77777777" w:rsidR="00032EB6" w:rsidRPr="005C51C9" w:rsidRDefault="00032EB6" w:rsidP="00032EB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>Ikke alle pakningsstørrelser er nødvendigvis markedsført.</w:t>
      </w:r>
    </w:p>
    <w:p w14:paraId="337B540E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089D900F" w14:textId="77777777" w:rsidR="001E173F" w:rsidRPr="00C84483" w:rsidRDefault="001E173F" w:rsidP="001E17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14:paraId="4BD65A1B" w14:textId="77777777" w:rsidR="00032EB6" w:rsidRPr="005C51C9" w:rsidRDefault="00032EB6" w:rsidP="00032EB6">
      <w:pPr>
        <w:ind w:left="851"/>
        <w:rPr>
          <w:sz w:val="24"/>
          <w:szCs w:val="24"/>
        </w:rPr>
      </w:pPr>
      <w:r w:rsidRPr="005C51C9">
        <w:rPr>
          <w:sz w:val="24"/>
          <w:szCs w:val="24"/>
        </w:rPr>
        <w:t>Ikke anvendt lægemiddel samt affald heraf skal bortskaffes i henhold til lokale retningslinjer.</w:t>
      </w:r>
    </w:p>
    <w:p w14:paraId="794BA14F" w14:textId="77777777" w:rsidR="00032EB6" w:rsidRPr="005C51C9" w:rsidRDefault="00032EB6" w:rsidP="00032EB6">
      <w:pPr>
        <w:tabs>
          <w:tab w:val="left" w:pos="851"/>
        </w:tabs>
        <w:jc w:val="both"/>
        <w:rPr>
          <w:sz w:val="24"/>
          <w:szCs w:val="24"/>
        </w:rPr>
      </w:pPr>
    </w:p>
    <w:p w14:paraId="2F1769B1" w14:textId="77777777" w:rsidR="001E173F" w:rsidRPr="00C84483" w:rsidRDefault="001E173F" w:rsidP="001E17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14:paraId="5579882E" w14:textId="77777777" w:rsidR="00032EB6" w:rsidRPr="006057BC" w:rsidRDefault="00032EB6" w:rsidP="005D66A3">
      <w:pPr>
        <w:ind w:left="851"/>
        <w:rPr>
          <w:sz w:val="24"/>
          <w:szCs w:val="24"/>
        </w:rPr>
      </w:pPr>
      <w:proofErr w:type="spellStart"/>
      <w:r w:rsidRPr="006057BC">
        <w:rPr>
          <w:sz w:val="24"/>
          <w:szCs w:val="24"/>
        </w:rPr>
        <w:t>Rivopharm</w:t>
      </w:r>
      <w:proofErr w:type="spellEnd"/>
      <w:r w:rsidRPr="006057BC">
        <w:rPr>
          <w:sz w:val="24"/>
          <w:szCs w:val="24"/>
        </w:rPr>
        <w:t xml:space="preserve"> Limited</w:t>
      </w:r>
    </w:p>
    <w:p w14:paraId="326A2BDF" w14:textId="77777777" w:rsidR="00032EB6" w:rsidRPr="006057BC" w:rsidRDefault="00032EB6" w:rsidP="005D66A3">
      <w:pPr>
        <w:ind w:left="851"/>
        <w:rPr>
          <w:sz w:val="24"/>
          <w:szCs w:val="24"/>
        </w:rPr>
      </w:pPr>
      <w:r w:rsidRPr="006057BC">
        <w:rPr>
          <w:sz w:val="24"/>
          <w:szCs w:val="24"/>
        </w:rPr>
        <w:t xml:space="preserve">17 </w:t>
      </w:r>
      <w:proofErr w:type="spellStart"/>
      <w:r w:rsidRPr="006057BC">
        <w:rPr>
          <w:sz w:val="24"/>
          <w:szCs w:val="24"/>
        </w:rPr>
        <w:t>Corrig</w:t>
      </w:r>
      <w:proofErr w:type="spellEnd"/>
      <w:r w:rsidRPr="006057BC">
        <w:rPr>
          <w:sz w:val="24"/>
          <w:szCs w:val="24"/>
        </w:rPr>
        <w:t xml:space="preserve"> Road</w:t>
      </w:r>
    </w:p>
    <w:p w14:paraId="2E21D7B7" w14:textId="77777777" w:rsidR="00032EB6" w:rsidRPr="006057BC" w:rsidRDefault="00032EB6" w:rsidP="005D66A3">
      <w:pPr>
        <w:ind w:left="851"/>
        <w:rPr>
          <w:sz w:val="24"/>
          <w:szCs w:val="24"/>
        </w:rPr>
      </w:pPr>
      <w:proofErr w:type="spellStart"/>
      <w:r w:rsidRPr="006057BC">
        <w:rPr>
          <w:sz w:val="24"/>
          <w:szCs w:val="24"/>
        </w:rPr>
        <w:t>Sandyford</w:t>
      </w:r>
      <w:proofErr w:type="spellEnd"/>
    </w:p>
    <w:p w14:paraId="635D48D1" w14:textId="77777777" w:rsidR="00032EB6" w:rsidRPr="006057BC" w:rsidRDefault="00032EB6" w:rsidP="005D66A3">
      <w:pPr>
        <w:ind w:left="851"/>
        <w:rPr>
          <w:sz w:val="24"/>
          <w:szCs w:val="24"/>
        </w:rPr>
      </w:pPr>
      <w:r w:rsidRPr="006057BC">
        <w:rPr>
          <w:sz w:val="24"/>
          <w:szCs w:val="24"/>
        </w:rPr>
        <w:t>Dublin 18</w:t>
      </w:r>
    </w:p>
    <w:p w14:paraId="0CBF62C1" w14:textId="77777777" w:rsidR="00032EB6" w:rsidRPr="005C51C9" w:rsidRDefault="00032EB6" w:rsidP="005D66A3">
      <w:pPr>
        <w:ind w:left="851"/>
        <w:rPr>
          <w:sz w:val="24"/>
          <w:szCs w:val="24"/>
        </w:rPr>
      </w:pPr>
      <w:r w:rsidRPr="006057BC">
        <w:rPr>
          <w:sz w:val="24"/>
          <w:szCs w:val="24"/>
        </w:rPr>
        <w:t>Irland</w:t>
      </w:r>
    </w:p>
    <w:p w14:paraId="253C3E03" w14:textId="77777777" w:rsidR="00032EB6" w:rsidRPr="005C51C9" w:rsidRDefault="00032EB6" w:rsidP="005D66A3">
      <w:pPr>
        <w:ind w:left="851"/>
        <w:rPr>
          <w:sz w:val="24"/>
          <w:szCs w:val="24"/>
        </w:rPr>
      </w:pPr>
    </w:p>
    <w:p w14:paraId="1323BFE6" w14:textId="77777777" w:rsidR="00032EB6" w:rsidRPr="005C51C9" w:rsidRDefault="00032EB6" w:rsidP="005D66A3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5C51C9">
        <w:rPr>
          <w:b/>
          <w:sz w:val="24"/>
          <w:szCs w:val="24"/>
        </w:rPr>
        <w:t>epræsentant</w:t>
      </w:r>
    </w:p>
    <w:p w14:paraId="5D85A6FB" w14:textId="77777777" w:rsidR="0021264D" w:rsidRPr="0021264D" w:rsidRDefault="0021264D" w:rsidP="005D66A3">
      <w:pPr>
        <w:ind w:left="851"/>
        <w:rPr>
          <w:sz w:val="24"/>
          <w:szCs w:val="24"/>
        </w:rPr>
      </w:pPr>
      <w:r w:rsidRPr="0021264D">
        <w:rPr>
          <w:sz w:val="24"/>
          <w:szCs w:val="24"/>
        </w:rPr>
        <w:t>SanoSwiss UAB</w:t>
      </w:r>
    </w:p>
    <w:p w14:paraId="6B63CF83" w14:textId="409FC54C" w:rsidR="0021264D" w:rsidRPr="005C3C04" w:rsidRDefault="0021264D" w:rsidP="005D66A3">
      <w:pPr>
        <w:ind w:left="851"/>
        <w:rPr>
          <w:sz w:val="24"/>
          <w:szCs w:val="24"/>
        </w:rPr>
      </w:pPr>
      <w:proofErr w:type="spellStart"/>
      <w:r w:rsidRPr="005C3C04">
        <w:rPr>
          <w:sz w:val="24"/>
          <w:szCs w:val="24"/>
        </w:rPr>
        <w:t>Lvovo</w:t>
      </w:r>
      <w:proofErr w:type="spellEnd"/>
      <w:r w:rsidRPr="005C3C04">
        <w:rPr>
          <w:sz w:val="24"/>
          <w:szCs w:val="24"/>
        </w:rPr>
        <w:t xml:space="preserve"> 25-701</w:t>
      </w:r>
    </w:p>
    <w:p w14:paraId="6F1CB6BE" w14:textId="4C60D0C5" w:rsidR="0021264D" w:rsidRDefault="0021264D" w:rsidP="005D66A3">
      <w:pPr>
        <w:ind w:left="851"/>
        <w:rPr>
          <w:sz w:val="24"/>
          <w:szCs w:val="24"/>
        </w:rPr>
      </w:pPr>
      <w:r w:rsidRPr="005C3C04">
        <w:rPr>
          <w:sz w:val="24"/>
          <w:szCs w:val="24"/>
        </w:rPr>
        <w:t>LT-09320, Vilnius</w:t>
      </w:r>
    </w:p>
    <w:p w14:paraId="3B9B956E" w14:textId="3935FF71" w:rsidR="00032EB6" w:rsidRDefault="0021264D" w:rsidP="005D66A3">
      <w:pPr>
        <w:ind w:left="851"/>
        <w:rPr>
          <w:sz w:val="24"/>
          <w:szCs w:val="24"/>
        </w:rPr>
      </w:pPr>
      <w:r>
        <w:rPr>
          <w:sz w:val="24"/>
          <w:szCs w:val="24"/>
        </w:rPr>
        <w:t>Litauen</w:t>
      </w:r>
    </w:p>
    <w:p w14:paraId="5AC060EB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692D6BC2" w14:textId="77777777" w:rsidR="001E173F" w:rsidRPr="00C84483" w:rsidRDefault="001E173F" w:rsidP="001E17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14:paraId="0A4964C3" w14:textId="77777777" w:rsidR="00032EB6" w:rsidRPr="005C51C9" w:rsidRDefault="00032EB6" w:rsidP="00032EB6">
      <w:pPr>
        <w:tabs>
          <w:tab w:val="left" w:pos="851"/>
        </w:tabs>
        <w:ind w:left="851" w:hanging="851"/>
        <w:rPr>
          <w:sz w:val="24"/>
          <w:szCs w:val="24"/>
        </w:rPr>
      </w:pPr>
      <w:r w:rsidRPr="005C51C9">
        <w:rPr>
          <w:sz w:val="24"/>
          <w:szCs w:val="24"/>
        </w:rPr>
        <w:tab/>
        <w:t>48866</w:t>
      </w:r>
    </w:p>
    <w:p w14:paraId="3CAB3A66" w14:textId="77777777" w:rsidR="00032EB6" w:rsidRPr="005C51C9" w:rsidRDefault="00032EB6" w:rsidP="00032EB6">
      <w:pPr>
        <w:tabs>
          <w:tab w:val="left" w:pos="851"/>
        </w:tabs>
        <w:jc w:val="both"/>
        <w:rPr>
          <w:sz w:val="24"/>
          <w:szCs w:val="24"/>
        </w:rPr>
      </w:pPr>
    </w:p>
    <w:p w14:paraId="25D83F05" w14:textId="77777777" w:rsidR="001E173F" w:rsidRPr="00C84483" w:rsidRDefault="001E173F" w:rsidP="001E17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14:paraId="707A2C1B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  <w:r w:rsidRPr="005C51C9">
        <w:rPr>
          <w:sz w:val="24"/>
          <w:szCs w:val="24"/>
        </w:rPr>
        <w:tab/>
      </w:r>
      <w:r>
        <w:rPr>
          <w:sz w:val="24"/>
          <w:szCs w:val="24"/>
        </w:rPr>
        <w:t>19. juli</w:t>
      </w:r>
      <w:r w:rsidRPr="005C51C9">
        <w:rPr>
          <w:sz w:val="24"/>
          <w:szCs w:val="24"/>
        </w:rPr>
        <w:t xml:space="preserve"> 2012</w:t>
      </w:r>
    </w:p>
    <w:p w14:paraId="19FB052B" w14:textId="77777777" w:rsidR="00032EB6" w:rsidRPr="005C51C9" w:rsidRDefault="00032EB6" w:rsidP="00032EB6">
      <w:pPr>
        <w:tabs>
          <w:tab w:val="left" w:pos="851"/>
        </w:tabs>
        <w:rPr>
          <w:sz w:val="24"/>
          <w:szCs w:val="24"/>
        </w:rPr>
      </w:pPr>
    </w:p>
    <w:p w14:paraId="4F198D3C" w14:textId="77777777" w:rsidR="001E173F" w:rsidRPr="00C84483" w:rsidRDefault="001E173F" w:rsidP="001E17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14:paraId="41217CB5" w14:textId="1CCEE833" w:rsidR="009260DE" w:rsidRPr="00032EB6" w:rsidRDefault="00032EB6" w:rsidP="005D66A3">
      <w:pPr>
        <w:tabs>
          <w:tab w:val="left" w:pos="851"/>
        </w:tabs>
      </w:pPr>
      <w:r w:rsidRPr="00AD4F94">
        <w:rPr>
          <w:sz w:val="24"/>
          <w:szCs w:val="24"/>
        </w:rPr>
        <w:tab/>
      </w:r>
      <w:r w:rsidR="005D66A3">
        <w:rPr>
          <w:sz w:val="24"/>
          <w:szCs w:val="24"/>
        </w:rPr>
        <w:t>28. februar 2022</w:t>
      </w:r>
    </w:p>
    <w:sectPr w:rsidR="009260DE" w:rsidRPr="00032EB6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0BF09" w14:textId="77777777" w:rsidR="00032EB6" w:rsidRDefault="00032EB6">
      <w:r>
        <w:separator/>
      </w:r>
    </w:p>
  </w:endnote>
  <w:endnote w:type="continuationSeparator" w:id="0">
    <w:p w14:paraId="2185618C" w14:textId="77777777" w:rsidR="00032EB6" w:rsidRDefault="0003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4398" w14:textId="77777777" w:rsidR="003D1EED" w:rsidRDefault="003D1EED" w:rsidP="003D1EED">
    <w:pPr>
      <w:pStyle w:val="Sidefod"/>
      <w:pBdr>
        <w:bottom w:val="single" w:sz="6" w:space="1" w:color="auto"/>
      </w:pBdr>
    </w:pPr>
  </w:p>
  <w:p w14:paraId="4D0F1056" w14:textId="77777777" w:rsidR="003D1EED" w:rsidRDefault="003D1EED" w:rsidP="003D1EED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3A2B1629" w14:textId="2D16457D" w:rsidR="000259B9" w:rsidRPr="003D1EED" w:rsidRDefault="003D1EED" w:rsidP="003D1EED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651E9">
      <w:rPr>
        <w:i/>
        <w:noProof/>
        <w:sz w:val="18"/>
        <w:szCs w:val="18"/>
      </w:rPr>
      <w:t>Orlistat Rivopharm, hårde kapsler 60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2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51C4B" w14:textId="77777777" w:rsidR="00032EB6" w:rsidRDefault="00032EB6">
      <w:r>
        <w:separator/>
      </w:r>
    </w:p>
  </w:footnote>
  <w:footnote w:type="continuationSeparator" w:id="0">
    <w:p w14:paraId="65D9B0BA" w14:textId="77777777" w:rsidR="00032EB6" w:rsidRDefault="00032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0562D77"/>
    <w:multiLevelType w:val="hybridMultilevel"/>
    <w:tmpl w:val="B254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B6"/>
    <w:rsid w:val="000259B9"/>
    <w:rsid w:val="00032EB6"/>
    <w:rsid w:val="00041491"/>
    <w:rsid w:val="00050D16"/>
    <w:rsid w:val="000651E9"/>
    <w:rsid w:val="00074F2A"/>
    <w:rsid w:val="00094424"/>
    <w:rsid w:val="000A1CA8"/>
    <w:rsid w:val="000A24C4"/>
    <w:rsid w:val="000A466B"/>
    <w:rsid w:val="000B058C"/>
    <w:rsid w:val="000E4EE6"/>
    <w:rsid w:val="001454E2"/>
    <w:rsid w:val="001E173F"/>
    <w:rsid w:val="001E1BF3"/>
    <w:rsid w:val="00206CE8"/>
    <w:rsid w:val="0021264D"/>
    <w:rsid w:val="0021526C"/>
    <w:rsid w:val="00283A2B"/>
    <w:rsid w:val="002B30AD"/>
    <w:rsid w:val="002C2C01"/>
    <w:rsid w:val="003A29AE"/>
    <w:rsid w:val="003A32D7"/>
    <w:rsid w:val="003B4074"/>
    <w:rsid w:val="003C769A"/>
    <w:rsid w:val="003D1EED"/>
    <w:rsid w:val="003F1838"/>
    <w:rsid w:val="0045746C"/>
    <w:rsid w:val="0049104B"/>
    <w:rsid w:val="004E3B12"/>
    <w:rsid w:val="00532310"/>
    <w:rsid w:val="005435B5"/>
    <w:rsid w:val="00560ECC"/>
    <w:rsid w:val="00565F0F"/>
    <w:rsid w:val="00594A86"/>
    <w:rsid w:val="00596D86"/>
    <w:rsid w:val="005D66A3"/>
    <w:rsid w:val="006057BC"/>
    <w:rsid w:val="00637F5A"/>
    <w:rsid w:val="006560B1"/>
    <w:rsid w:val="006756DD"/>
    <w:rsid w:val="006862B7"/>
    <w:rsid w:val="006C3A52"/>
    <w:rsid w:val="00737275"/>
    <w:rsid w:val="00740EEC"/>
    <w:rsid w:val="0078011A"/>
    <w:rsid w:val="00782AF4"/>
    <w:rsid w:val="00790EE7"/>
    <w:rsid w:val="007B6649"/>
    <w:rsid w:val="0081546F"/>
    <w:rsid w:val="0082576E"/>
    <w:rsid w:val="00892754"/>
    <w:rsid w:val="008E242D"/>
    <w:rsid w:val="00907F75"/>
    <w:rsid w:val="009260DE"/>
    <w:rsid w:val="0093258A"/>
    <w:rsid w:val="009C7BA3"/>
    <w:rsid w:val="009D1F5A"/>
    <w:rsid w:val="00B003BF"/>
    <w:rsid w:val="00B373D7"/>
    <w:rsid w:val="00B90611"/>
    <w:rsid w:val="00BC0ECE"/>
    <w:rsid w:val="00BF6015"/>
    <w:rsid w:val="00C36276"/>
    <w:rsid w:val="00C42586"/>
    <w:rsid w:val="00C60CCD"/>
    <w:rsid w:val="00C72195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96FB0"/>
    <w:rsid w:val="00EC0B9B"/>
    <w:rsid w:val="00ED5E9F"/>
    <w:rsid w:val="00F66D4F"/>
    <w:rsid w:val="00FB6D01"/>
    <w:rsid w:val="00FE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25C24"/>
  <w15:chartTrackingRefBased/>
  <w15:docId w15:val="{0B8231CF-425C-4A97-B8F9-414EA868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032EB6"/>
    <w:pPr>
      <w:spacing w:before="120" w:after="120"/>
      <w:jc w:val="both"/>
    </w:pPr>
    <w:rPr>
      <w:rFonts w:ascii="Cambria" w:hAnsi="Cambria"/>
      <w:sz w:val="24"/>
      <w:szCs w:val="24"/>
      <w:lang w:val="en-US" w:eastAsia="da-DK"/>
    </w:rPr>
  </w:style>
  <w:style w:type="paragraph" w:styleId="Listeafsnit">
    <w:name w:val="List Paragraph"/>
    <w:basedOn w:val="Normal"/>
    <w:uiPriority w:val="34"/>
    <w:qFormat/>
    <w:rsid w:val="00032EB6"/>
    <w:pPr>
      <w:ind w:left="720"/>
      <w:contextualSpacing/>
    </w:pPr>
  </w:style>
  <w:style w:type="character" w:styleId="Hyperlink">
    <w:name w:val="Hyperlink"/>
    <w:uiPriority w:val="99"/>
    <w:rsid w:val="00032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13</TotalTime>
  <Pages>11</Pages>
  <Words>2968</Words>
  <Characters>18923</Characters>
  <Application>Microsoft Office Word</Application>
  <DocSecurity>0</DocSecurity>
  <Lines>157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2021051636, var. 3 + 2021051638, var. 5G, pkt. 4.4 og 6.1</dc:description>
  <cp:lastModifiedBy>Gitte Jørgensen</cp:lastModifiedBy>
  <cp:revision>10</cp:revision>
  <cp:lastPrinted>2012-08-22T08:53:00Z</cp:lastPrinted>
  <dcterms:created xsi:type="dcterms:W3CDTF">2022-02-28T07:45:00Z</dcterms:created>
  <dcterms:modified xsi:type="dcterms:W3CDTF">2022-02-28T09:40:00Z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