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7E830" w14:textId="77777777" w:rsidR="009260DE" w:rsidRPr="00711A45" w:rsidRDefault="0021526C" w:rsidP="009260DE">
      <w:pPr>
        <w:rPr>
          <w:sz w:val="24"/>
          <w:szCs w:val="24"/>
        </w:rPr>
      </w:pPr>
      <w:r w:rsidRPr="00711A45">
        <w:rPr>
          <w:noProof/>
          <w:sz w:val="24"/>
          <w:szCs w:val="24"/>
          <w:lang w:eastAsia="da-DK"/>
        </w:rPr>
        <w:drawing>
          <wp:anchor distT="0" distB="0" distL="114300" distR="114300" simplePos="0" relativeHeight="251658240" behindDoc="0" locked="0" layoutInCell="1" allowOverlap="1" wp14:anchorId="7B16FBF8" wp14:editId="3BCD4DD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11A45">
        <w:rPr>
          <w:sz w:val="24"/>
          <w:szCs w:val="24"/>
        </w:rPr>
        <w:br w:type="textWrapping" w:clear="all"/>
      </w:r>
    </w:p>
    <w:p w14:paraId="58963D3E" w14:textId="4300E88E" w:rsidR="009260DE" w:rsidRPr="00711A45" w:rsidRDefault="009260DE" w:rsidP="009260DE">
      <w:pPr>
        <w:pStyle w:val="Titel"/>
        <w:tabs>
          <w:tab w:val="right" w:pos="9356"/>
        </w:tabs>
        <w:jc w:val="left"/>
        <w:rPr>
          <w:b w:val="0"/>
          <w:szCs w:val="24"/>
          <w:lang w:eastAsia="en-US"/>
        </w:rPr>
      </w:pPr>
      <w:r w:rsidRPr="00711A45">
        <w:rPr>
          <w:b w:val="0"/>
          <w:szCs w:val="24"/>
          <w:lang w:eastAsia="en-US"/>
        </w:rPr>
        <w:tab/>
      </w:r>
      <w:r w:rsidR="004C39CF">
        <w:rPr>
          <w:szCs w:val="24"/>
        </w:rPr>
        <w:t>9</w:t>
      </w:r>
      <w:r w:rsidR="00096985">
        <w:rPr>
          <w:szCs w:val="24"/>
        </w:rPr>
        <w:t xml:space="preserve">. </w:t>
      </w:r>
      <w:r w:rsidR="004C39CF">
        <w:rPr>
          <w:szCs w:val="24"/>
        </w:rPr>
        <w:t>oktober</w:t>
      </w:r>
      <w:r w:rsidR="00096985">
        <w:rPr>
          <w:szCs w:val="24"/>
        </w:rPr>
        <w:t xml:space="preserve"> 2024</w:t>
      </w:r>
    </w:p>
    <w:p w14:paraId="16B8541C" w14:textId="77777777" w:rsidR="009260DE" w:rsidRPr="00711A45" w:rsidRDefault="009260DE" w:rsidP="009260DE">
      <w:pPr>
        <w:pStyle w:val="Titel"/>
        <w:tabs>
          <w:tab w:val="left" w:pos="8222"/>
        </w:tabs>
        <w:jc w:val="left"/>
        <w:rPr>
          <w:b w:val="0"/>
          <w:szCs w:val="24"/>
        </w:rPr>
      </w:pPr>
    </w:p>
    <w:p w14:paraId="387F6ED2" w14:textId="403A89B2" w:rsidR="009260DE" w:rsidRPr="00711A45" w:rsidRDefault="009260DE" w:rsidP="009260DE">
      <w:pPr>
        <w:pStyle w:val="Titel"/>
        <w:jc w:val="left"/>
        <w:rPr>
          <w:b w:val="0"/>
          <w:szCs w:val="24"/>
        </w:rPr>
      </w:pPr>
    </w:p>
    <w:p w14:paraId="0BCB2E0E" w14:textId="77777777" w:rsidR="009260DE" w:rsidRPr="00711A45" w:rsidRDefault="009260DE" w:rsidP="009260DE">
      <w:pPr>
        <w:pStyle w:val="Titel"/>
        <w:jc w:val="left"/>
        <w:rPr>
          <w:b w:val="0"/>
          <w:szCs w:val="24"/>
        </w:rPr>
      </w:pPr>
    </w:p>
    <w:p w14:paraId="0CB298AB" w14:textId="77777777" w:rsidR="009260DE" w:rsidRPr="00711A45" w:rsidRDefault="009260DE" w:rsidP="009260DE">
      <w:pPr>
        <w:jc w:val="center"/>
        <w:rPr>
          <w:b/>
          <w:sz w:val="24"/>
          <w:szCs w:val="24"/>
        </w:rPr>
      </w:pPr>
      <w:r w:rsidRPr="00711A45">
        <w:rPr>
          <w:b/>
          <w:sz w:val="24"/>
          <w:szCs w:val="24"/>
        </w:rPr>
        <w:t>PRODUKTRESUMÉ</w:t>
      </w:r>
    </w:p>
    <w:p w14:paraId="3A9799D5" w14:textId="77777777" w:rsidR="009260DE" w:rsidRPr="00711A45" w:rsidRDefault="009260DE" w:rsidP="009260DE">
      <w:pPr>
        <w:jc w:val="center"/>
        <w:rPr>
          <w:b/>
          <w:sz w:val="24"/>
          <w:szCs w:val="24"/>
        </w:rPr>
      </w:pPr>
    </w:p>
    <w:p w14:paraId="64F565AE" w14:textId="77777777" w:rsidR="009260DE" w:rsidRPr="00711A45" w:rsidRDefault="009260DE" w:rsidP="009260DE">
      <w:pPr>
        <w:jc w:val="center"/>
        <w:rPr>
          <w:b/>
          <w:sz w:val="24"/>
          <w:szCs w:val="24"/>
        </w:rPr>
      </w:pPr>
      <w:r w:rsidRPr="00711A45">
        <w:rPr>
          <w:b/>
          <w:sz w:val="24"/>
          <w:szCs w:val="24"/>
        </w:rPr>
        <w:t>for</w:t>
      </w:r>
    </w:p>
    <w:p w14:paraId="354AB43B" w14:textId="77777777" w:rsidR="000B058C" w:rsidRPr="00711A45" w:rsidRDefault="000B058C" w:rsidP="009260DE">
      <w:pPr>
        <w:jc w:val="center"/>
        <w:rPr>
          <w:b/>
          <w:sz w:val="24"/>
          <w:szCs w:val="24"/>
        </w:rPr>
      </w:pPr>
    </w:p>
    <w:p w14:paraId="0DF1041E" w14:textId="12285240" w:rsidR="009260DE" w:rsidRPr="00711A45" w:rsidRDefault="00D60CA9" w:rsidP="009260DE">
      <w:pPr>
        <w:jc w:val="center"/>
        <w:rPr>
          <w:b/>
          <w:sz w:val="24"/>
          <w:szCs w:val="24"/>
        </w:rPr>
      </w:pPr>
      <w:proofErr w:type="spellStart"/>
      <w:r w:rsidRPr="00711A45">
        <w:rPr>
          <w:b/>
          <w:sz w:val="24"/>
          <w:szCs w:val="24"/>
        </w:rPr>
        <w:t>Ospolot</w:t>
      </w:r>
      <w:proofErr w:type="spellEnd"/>
      <w:r w:rsidRPr="00711A45">
        <w:rPr>
          <w:b/>
          <w:sz w:val="24"/>
          <w:szCs w:val="24"/>
        </w:rPr>
        <w:t>, oral suspension</w:t>
      </w:r>
    </w:p>
    <w:p w14:paraId="7237ADB7" w14:textId="77777777" w:rsidR="009260DE" w:rsidRPr="00711A45" w:rsidRDefault="009260DE" w:rsidP="009260DE">
      <w:pPr>
        <w:jc w:val="both"/>
        <w:rPr>
          <w:sz w:val="24"/>
          <w:szCs w:val="24"/>
        </w:rPr>
      </w:pPr>
    </w:p>
    <w:p w14:paraId="5D1035DF" w14:textId="77777777" w:rsidR="009260DE" w:rsidRPr="00711A45" w:rsidRDefault="009260DE" w:rsidP="009260DE">
      <w:pPr>
        <w:jc w:val="both"/>
        <w:rPr>
          <w:sz w:val="24"/>
          <w:szCs w:val="24"/>
        </w:rPr>
      </w:pPr>
    </w:p>
    <w:p w14:paraId="51EF9788" w14:textId="77777777" w:rsidR="009260DE" w:rsidRPr="00711A45" w:rsidRDefault="009260DE" w:rsidP="009260DE">
      <w:pPr>
        <w:tabs>
          <w:tab w:val="left" w:pos="851"/>
        </w:tabs>
        <w:ind w:left="851" w:hanging="851"/>
        <w:rPr>
          <w:b/>
          <w:sz w:val="24"/>
          <w:szCs w:val="24"/>
        </w:rPr>
      </w:pPr>
      <w:r w:rsidRPr="00711A45">
        <w:rPr>
          <w:b/>
          <w:sz w:val="24"/>
          <w:szCs w:val="24"/>
        </w:rPr>
        <w:t>0.</w:t>
      </w:r>
      <w:r w:rsidRPr="00711A45">
        <w:rPr>
          <w:b/>
          <w:sz w:val="24"/>
          <w:szCs w:val="24"/>
        </w:rPr>
        <w:tab/>
        <w:t>D.SP.NR.</w:t>
      </w:r>
    </w:p>
    <w:p w14:paraId="6F952F58" w14:textId="7CC29EA9" w:rsidR="009260DE" w:rsidRPr="00711A45" w:rsidRDefault="00D60CA9" w:rsidP="009260DE">
      <w:pPr>
        <w:tabs>
          <w:tab w:val="left" w:pos="851"/>
        </w:tabs>
        <w:ind w:left="851"/>
        <w:rPr>
          <w:sz w:val="24"/>
          <w:szCs w:val="24"/>
        </w:rPr>
      </w:pPr>
      <w:r w:rsidRPr="00711A45">
        <w:rPr>
          <w:sz w:val="24"/>
          <w:szCs w:val="24"/>
        </w:rPr>
        <w:t>33505</w:t>
      </w:r>
    </w:p>
    <w:p w14:paraId="4946353C" w14:textId="77777777" w:rsidR="009260DE" w:rsidRPr="00711A45" w:rsidRDefault="009260DE" w:rsidP="009260DE">
      <w:pPr>
        <w:tabs>
          <w:tab w:val="left" w:pos="851"/>
        </w:tabs>
        <w:ind w:left="851"/>
        <w:rPr>
          <w:sz w:val="24"/>
          <w:szCs w:val="24"/>
        </w:rPr>
      </w:pPr>
    </w:p>
    <w:p w14:paraId="257518CA" w14:textId="77777777" w:rsidR="009260DE" w:rsidRPr="00711A45" w:rsidRDefault="009260DE" w:rsidP="009260DE">
      <w:pPr>
        <w:tabs>
          <w:tab w:val="left" w:pos="851"/>
        </w:tabs>
        <w:ind w:left="851" w:hanging="851"/>
        <w:rPr>
          <w:b/>
          <w:sz w:val="24"/>
          <w:szCs w:val="24"/>
        </w:rPr>
      </w:pPr>
      <w:r w:rsidRPr="00711A45">
        <w:rPr>
          <w:b/>
          <w:sz w:val="24"/>
          <w:szCs w:val="24"/>
        </w:rPr>
        <w:t>1.</w:t>
      </w:r>
      <w:r w:rsidRPr="00711A45">
        <w:rPr>
          <w:b/>
          <w:sz w:val="24"/>
          <w:szCs w:val="24"/>
        </w:rPr>
        <w:tab/>
        <w:t>LÆGEMIDLETS NAVN</w:t>
      </w:r>
    </w:p>
    <w:p w14:paraId="1844B6A1" w14:textId="6F167B30" w:rsidR="009260DE" w:rsidRPr="00711A45" w:rsidRDefault="00D60CA9" w:rsidP="009260DE">
      <w:pPr>
        <w:tabs>
          <w:tab w:val="left" w:pos="851"/>
        </w:tabs>
        <w:ind w:left="851"/>
        <w:rPr>
          <w:sz w:val="24"/>
          <w:szCs w:val="24"/>
        </w:rPr>
      </w:pPr>
      <w:proofErr w:type="spellStart"/>
      <w:r w:rsidRPr="00711A45">
        <w:rPr>
          <w:sz w:val="24"/>
          <w:szCs w:val="24"/>
        </w:rPr>
        <w:t>Ospolot</w:t>
      </w:r>
      <w:proofErr w:type="spellEnd"/>
    </w:p>
    <w:p w14:paraId="1F1F0FA3" w14:textId="77777777" w:rsidR="009260DE" w:rsidRPr="00711A45" w:rsidRDefault="009260DE" w:rsidP="009260DE">
      <w:pPr>
        <w:tabs>
          <w:tab w:val="left" w:pos="851"/>
        </w:tabs>
        <w:ind w:left="851"/>
        <w:rPr>
          <w:sz w:val="24"/>
          <w:szCs w:val="24"/>
        </w:rPr>
      </w:pPr>
    </w:p>
    <w:p w14:paraId="05A7AF31" w14:textId="77777777" w:rsidR="009260DE" w:rsidRPr="00711A45" w:rsidRDefault="009260DE" w:rsidP="009260DE">
      <w:pPr>
        <w:tabs>
          <w:tab w:val="left" w:pos="851"/>
        </w:tabs>
        <w:ind w:left="851" w:hanging="851"/>
        <w:rPr>
          <w:b/>
          <w:sz w:val="24"/>
          <w:szCs w:val="24"/>
        </w:rPr>
      </w:pPr>
      <w:r w:rsidRPr="00711A45">
        <w:rPr>
          <w:b/>
          <w:sz w:val="24"/>
          <w:szCs w:val="24"/>
        </w:rPr>
        <w:t>2.</w:t>
      </w:r>
      <w:r w:rsidRPr="00711A45">
        <w:rPr>
          <w:b/>
          <w:sz w:val="24"/>
          <w:szCs w:val="24"/>
        </w:rPr>
        <w:tab/>
        <w:t>KVALITATIV OG KVANTITATIV SAMMENSÆTNING</w:t>
      </w:r>
    </w:p>
    <w:p w14:paraId="41DD7C7A" w14:textId="77777777" w:rsidR="00D60CA9" w:rsidRPr="00711A45" w:rsidRDefault="00D60CA9" w:rsidP="00D60CA9">
      <w:pPr>
        <w:ind w:left="851"/>
        <w:rPr>
          <w:sz w:val="24"/>
          <w:szCs w:val="24"/>
          <w:lang w:eastAsia="de-DE"/>
        </w:rPr>
      </w:pPr>
      <w:r w:rsidRPr="00711A45">
        <w:rPr>
          <w:sz w:val="24"/>
          <w:szCs w:val="24"/>
        </w:rPr>
        <w:t xml:space="preserve">1 ml oral suspension indeholder 20 mg </w:t>
      </w:r>
      <w:proofErr w:type="spellStart"/>
      <w:r w:rsidRPr="00711A45">
        <w:rPr>
          <w:sz w:val="24"/>
          <w:szCs w:val="24"/>
        </w:rPr>
        <w:t>sultiam</w:t>
      </w:r>
      <w:proofErr w:type="spellEnd"/>
      <w:r w:rsidRPr="00711A45">
        <w:rPr>
          <w:sz w:val="24"/>
          <w:szCs w:val="24"/>
        </w:rPr>
        <w:t xml:space="preserve">. </w:t>
      </w:r>
    </w:p>
    <w:p w14:paraId="68FD2910" w14:textId="77777777" w:rsidR="00D60CA9" w:rsidRPr="00711A45" w:rsidRDefault="00D60CA9" w:rsidP="00D60CA9">
      <w:pPr>
        <w:ind w:left="851"/>
        <w:rPr>
          <w:sz w:val="24"/>
          <w:szCs w:val="24"/>
        </w:rPr>
      </w:pPr>
    </w:p>
    <w:p w14:paraId="531D355C" w14:textId="77777777" w:rsidR="00D60CA9" w:rsidRPr="00711A45" w:rsidRDefault="00D60CA9" w:rsidP="00D60CA9">
      <w:pPr>
        <w:ind w:left="851"/>
        <w:rPr>
          <w:bCs/>
          <w:sz w:val="24"/>
          <w:szCs w:val="24"/>
          <w:u w:val="single"/>
        </w:rPr>
      </w:pPr>
      <w:r w:rsidRPr="00711A45">
        <w:rPr>
          <w:sz w:val="24"/>
          <w:szCs w:val="24"/>
          <w:u w:val="single"/>
        </w:rPr>
        <w:t>Hjælpestof(fer), som behandleren skal være opmærksom på:</w:t>
      </w:r>
      <w:r w:rsidRPr="00711A45">
        <w:rPr>
          <w:bCs/>
          <w:sz w:val="24"/>
          <w:szCs w:val="24"/>
          <w:u w:val="single"/>
        </w:rPr>
        <w:t xml:space="preserve"> </w:t>
      </w:r>
    </w:p>
    <w:p w14:paraId="2294EF81" w14:textId="77777777" w:rsidR="00D60CA9" w:rsidRPr="00711A45" w:rsidRDefault="00D60CA9" w:rsidP="00D60CA9">
      <w:pPr>
        <w:ind w:left="851"/>
        <w:rPr>
          <w:sz w:val="24"/>
          <w:szCs w:val="24"/>
        </w:rPr>
      </w:pPr>
      <w:r w:rsidRPr="00711A45">
        <w:rPr>
          <w:sz w:val="24"/>
          <w:szCs w:val="24"/>
        </w:rPr>
        <w:t xml:space="preserve">Hver ml indeholder 2,3 mg </w:t>
      </w:r>
      <w:proofErr w:type="spellStart"/>
      <w:r w:rsidRPr="00711A45">
        <w:rPr>
          <w:sz w:val="24"/>
          <w:szCs w:val="24"/>
        </w:rPr>
        <w:t>natriummethylparahydroxybenzoat</w:t>
      </w:r>
      <w:proofErr w:type="spellEnd"/>
      <w:r w:rsidRPr="00711A45">
        <w:rPr>
          <w:sz w:val="24"/>
          <w:szCs w:val="24"/>
        </w:rPr>
        <w:t xml:space="preserve"> (E219) og 0,6 mg </w:t>
      </w:r>
      <w:proofErr w:type="spellStart"/>
      <w:r w:rsidRPr="00711A45">
        <w:rPr>
          <w:sz w:val="24"/>
          <w:szCs w:val="24"/>
        </w:rPr>
        <w:t>natriumpropylparahydroxybenzoat</w:t>
      </w:r>
      <w:proofErr w:type="spellEnd"/>
      <w:r w:rsidRPr="00711A45">
        <w:rPr>
          <w:sz w:val="24"/>
          <w:szCs w:val="24"/>
        </w:rPr>
        <w:t xml:space="preserve"> (E217), 0,0026 mg </w:t>
      </w:r>
      <w:proofErr w:type="spellStart"/>
      <w:r w:rsidRPr="00711A45">
        <w:rPr>
          <w:sz w:val="24"/>
          <w:szCs w:val="24"/>
        </w:rPr>
        <w:t>fructose</w:t>
      </w:r>
      <w:proofErr w:type="spellEnd"/>
      <w:r w:rsidRPr="00711A45">
        <w:rPr>
          <w:sz w:val="24"/>
          <w:szCs w:val="24"/>
        </w:rPr>
        <w:t xml:space="preserve">, 0,0024 mg </w:t>
      </w:r>
      <w:proofErr w:type="spellStart"/>
      <w:r w:rsidRPr="00711A45">
        <w:rPr>
          <w:sz w:val="24"/>
          <w:szCs w:val="24"/>
        </w:rPr>
        <w:t>glucose</w:t>
      </w:r>
      <w:proofErr w:type="spellEnd"/>
      <w:r w:rsidRPr="00711A45">
        <w:rPr>
          <w:sz w:val="24"/>
          <w:szCs w:val="24"/>
        </w:rPr>
        <w:t xml:space="preserve">, 0,0005 mg </w:t>
      </w:r>
      <w:proofErr w:type="spellStart"/>
      <w:r w:rsidRPr="00711A45">
        <w:rPr>
          <w:sz w:val="24"/>
          <w:szCs w:val="24"/>
        </w:rPr>
        <w:t>saccharose</w:t>
      </w:r>
      <w:proofErr w:type="spellEnd"/>
      <w:r w:rsidRPr="00711A45">
        <w:rPr>
          <w:sz w:val="24"/>
          <w:szCs w:val="24"/>
        </w:rPr>
        <w:t xml:space="preserve"> og 0,000004 mg svovldioxid.</w:t>
      </w:r>
    </w:p>
    <w:p w14:paraId="46B4DC9D" w14:textId="77777777" w:rsidR="00D60CA9" w:rsidRPr="00711A45" w:rsidRDefault="00D60CA9" w:rsidP="00D60CA9">
      <w:pPr>
        <w:ind w:left="851"/>
        <w:rPr>
          <w:sz w:val="24"/>
          <w:szCs w:val="24"/>
        </w:rPr>
      </w:pPr>
    </w:p>
    <w:p w14:paraId="3B71FDB8" w14:textId="39A50183" w:rsidR="009260DE" w:rsidRPr="00711A45" w:rsidRDefault="00D60CA9" w:rsidP="00D60CA9">
      <w:pPr>
        <w:ind w:left="851"/>
        <w:rPr>
          <w:sz w:val="24"/>
          <w:szCs w:val="24"/>
        </w:rPr>
      </w:pPr>
      <w:r w:rsidRPr="00711A45">
        <w:rPr>
          <w:sz w:val="24"/>
          <w:szCs w:val="24"/>
        </w:rPr>
        <w:t>Alle hjælpestoffer er anført under pkt. 6.1.</w:t>
      </w:r>
    </w:p>
    <w:p w14:paraId="0A37DEF4" w14:textId="77777777" w:rsidR="00D60CA9" w:rsidRPr="00711A45" w:rsidRDefault="00D60CA9" w:rsidP="00D60CA9">
      <w:pPr>
        <w:ind w:left="851"/>
        <w:rPr>
          <w:sz w:val="24"/>
          <w:szCs w:val="24"/>
        </w:rPr>
      </w:pPr>
    </w:p>
    <w:p w14:paraId="1F1F607A" w14:textId="77777777" w:rsidR="009260DE" w:rsidRPr="00711A45" w:rsidRDefault="009260DE" w:rsidP="009260DE">
      <w:pPr>
        <w:tabs>
          <w:tab w:val="left" w:pos="851"/>
        </w:tabs>
        <w:ind w:left="851" w:hanging="851"/>
        <w:rPr>
          <w:b/>
          <w:sz w:val="24"/>
          <w:szCs w:val="24"/>
        </w:rPr>
      </w:pPr>
      <w:r w:rsidRPr="00711A45">
        <w:rPr>
          <w:b/>
          <w:sz w:val="24"/>
          <w:szCs w:val="24"/>
        </w:rPr>
        <w:t>3.</w:t>
      </w:r>
      <w:r w:rsidRPr="00711A45">
        <w:rPr>
          <w:b/>
          <w:sz w:val="24"/>
          <w:szCs w:val="24"/>
        </w:rPr>
        <w:tab/>
        <w:t>LÆGEMIDDELFORM</w:t>
      </w:r>
    </w:p>
    <w:p w14:paraId="1C886D3D" w14:textId="7EB329DC" w:rsidR="00D60CA9" w:rsidRPr="00711A45" w:rsidRDefault="00D60CA9" w:rsidP="00D60CA9">
      <w:pPr>
        <w:ind w:left="851"/>
        <w:rPr>
          <w:sz w:val="24"/>
          <w:szCs w:val="24"/>
        </w:rPr>
      </w:pPr>
      <w:r w:rsidRPr="00711A45">
        <w:rPr>
          <w:sz w:val="24"/>
          <w:szCs w:val="24"/>
        </w:rPr>
        <w:t>Oral suspension</w:t>
      </w:r>
    </w:p>
    <w:p w14:paraId="38D36DCA" w14:textId="77777777" w:rsidR="00D60CA9" w:rsidRPr="00711A45" w:rsidRDefault="00D60CA9" w:rsidP="00D60CA9">
      <w:pPr>
        <w:ind w:left="851"/>
        <w:rPr>
          <w:sz w:val="24"/>
          <w:szCs w:val="24"/>
        </w:rPr>
      </w:pPr>
    </w:p>
    <w:p w14:paraId="2227B3CE" w14:textId="77777777" w:rsidR="00D60CA9" w:rsidRPr="00711A45" w:rsidRDefault="00D60CA9" w:rsidP="00D60CA9">
      <w:pPr>
        <w:ind w:left="851"/>
        <w:rPr>
          <w:sz w:val="24"/>
          <w:szCs w:val="24"/>
        </w:rPr>
      </w:pPr>
      <w:r w:rsidRPr="00711A45">
        <w:rPr>
          <w:sz w:val="24"/>
          <w:szCs w:val="24"/>
        </w:rPr>
        <w:t>Hvid suspension.</w:t>
      </w:r>
    </w:p>
    <w:p w14:paraId="47DD9688" w14:textId="77777777" w:rsidR="009260DE" w:rsidRPr="00711A45" w:rsidRDefault="009260DE" w:rsidP="009260DE">
      <w:pPr>
        <w:tabs>
          <w:tab w:val="left" w:pos="851"/>
        </w:tabs>
        <w:ind w:left="851"/>
        <w:rPr>
          <w:sz w:val="24"/>
          <w:szCs w:val="24"/>
        </w:rPr>
      </w:pPr>
    </w:p>
    <w:p w14:paraId="1AE4BD38" w14:textId="77777777" w:rsidR="009260DE" w:rsidRPr="00711A45" w:rsidRDefault="009260DE" w:rsidP="009260DE">
      <w:pPr>
        <w:tabs>
          <w:tab w:val="left" w:pos="851"/>
        </w:tabs>
        <w:ind w:left="851"/>
        <w:rPr>
          <w:sz w:val="24"/>
          <w:szCs w:val="24"/>
        </w:rPr>
      </w:pPr>
    </w:p>
    <w:p w14:paraId="543BD0B4" w14:textId="77777777" w:rsidR="009260DE" w:rsidRPr="00711A45" w:rsidRDefault="009260DE" w:rsidP="009260DE">
      <w:pPr>
        <w:tabs>
          <w:tab w:val="left" w:pos="851"/>
        </w:tabs>
        <w:ind w:left="851" w:hanging="851"/>
        <w:rPr>
          <w:b/>
          <w:sz w:val="24"/>
          <w:szCs w:val="24"/>
        </w:rPr>
      </w:pPr>
      <w:r w:rsidRPr="00711A45">
        <w:rPr>
          <w:b/>
          <w:sz w:val="24"/>
          <w:szCs w:val="24"/>
        </w:rPr>
        <w:t>4.</w:t>
      </w:r>
      <w:r w:rsidRPr="00711A45">
        <w:rPr>
          <w:b/>
          <w:sz w:val="24"/>
          <w:szCs w:val="24"/>
        </w:rPr>
        <w:tab/>
        <w:t>KLINISKE OPLYSNINGER</w:t>
      </w:r>
    </w:p>
    <w:p w14:paraId="15C26E8C" w14:textId="77777777" w:rsidR="009260DE" w:rsidRPr="00711A45" w:rsidRDefault="009260DE" w:rsidP="009260DE">
      <w:pPr>
        <w:tabs>
          <w:tab w:val="left" w:pos="851"/>
        </w:tabs>
        <w:ind w:left="851"/>
        <w:rPr>
          <w:b/>
          <w:sz w:val="24"/>
          <w:szCs w:val="24"/>
        </w:rPr>
      </w:pPr>
    </w:p>
    <w:p w14:paraId="5F17AC93" w14:textId="77777777" w:rsidR="009260DE" w:rsidRPr="00711A45" w:rsidRDefault="009260DE" w:rsidP="009260DE">
      <w:pPr>
        <w:tabs>
          <w:tab w:val="left" w:pos="851"/>
        </w:tabs>
        <w:ind w:left="851" w:hanging="851"/>
        <w:rPr>
          <w:b/>
          <w:sz w:val="24"/>
          <w:szCs w:val="24"/>
          <w:u w:val="single"/>
        </w:rPr>
      </w:pPr>
      <w:r w:rsidRPr="00711A45">
        <w:rPr>
          <w:b/>
          <w:sz w:val="24"/>
          <w:szCs w:val="24"/>
        </w:rPr>
        <w:t>4.1</w:t>
      </w:r>
      <w:r w:rsidRPr="00711A45">
        <w:rPr>
          <w:b/>
          <w:sz w:val="24"/>
          <w:szCs w:val="24"/>
        </w:rPr>
        <w:tab/>
        <w:t>Terapeutiske indikationer</w:t>
      </w:r>
    </w:p>
    <w:p w14:paraId="1558E3DB" w14:textId="77777777" w:rsidR="00D60CA9" w:rsidRPr="00711A45" w:rsidRDefault="00D60CA9" w:rsidP="00A36972">
      <w:pPr>
        <w:ind w:left="851"/>
        <w:rPr>
          <w:sz w:val="24"/>
          <w:szCs w:val="24"/>
          <w:lang w:eastAsia="de-DE"/>
        </w:rPr>
      </w:pPr>
      <w:r w:rsidRPr="00711A45">
        <w:rPr>
          <w:sz w:val="24"/>
          <w:szCs w:val="24"/>
        </w:rPr>
        <w:t xml:space="preserve">Til behandling af </w:t>
      </w:r>
      <w:proofErr w:type="spellStart"/>
      <w:r w:rsidRPr="00711A45">
        <w:rPr>
          <w:sz w:val="24"/>
          <w:szCs w:val="24"/>
        </w:rPr>
        <w:t>rolandisk</w:t>
      </w:r>
      <w:proofErr w:type="spellEnd"/>
      <w:r w:rsidRPr="00711A45">
        <w:rPr>
          <w:sz w:val="24"/>
          <w:szCs w:val="24"/>
        </w:rPr>
        <w:t xml:space="preserve"> epilepsi (godartet børneepilepsi med </w:t>
      </w:r>
      <w:proofErr w:type="spellStart"/>
      <w:r w:rsidRPr="00711A45">
        <w:rPr>
          <w:sz w:val="24"/>
          <w:szCs w:val="24"/>
        </w:rPr>
        <w:t>centrotemporale</w:t>
      </w:r>
      <w:proofErr w:type="spellEnd"/>
      <w:r w:rsidRPr="00711A45">
        <w:rPr>
          <w:sz w:val="24"/>
          <w:szCs w:val="24"/>
        </w:rPr>
        <w:t xml:space="preserve"> stigninger).</w:t>
      </w:r>
    </w:p>
    <w:p w14:paraId="0E29FB5D" w14:textId="77777777" w:rsidR="00D60CA9" w:rsidRPr="00711A45" w:rsidRDefault="00D60CA9" w:rsidP="00A36972">
      <w:pPr>
        <w:ind w:left="851"/>
        <w:rPr>
          <w:sz w:val="24"/>
          <w:szCs w:val="24"/>
        </w:rPr>
      </w:pPr>
    </w:p>
    <w:p w14:paraId="7B9CD81A" w14:textId="77777777" w:rsidR="00D60CA9" w:rsidRPr="00711A45" w:rsidRDefault="00D60CA9" w:rsidP="00A36972">
      <w:pPr>
        <w:ind w:left="851"/>
        <w:rPr>
          <w:sz w:val="24"/>
          <w:szCs w:val="24"/>
          <w:u w:val="single"/>
        </w:rPr>
      </w:pPr>
      <w:r w:rsidRPr="00711A45">
        <w:rPr>
          <w:iCs/>
          <w:sz w:val="24"/>
          <w:szCs w:val="24"/>
          <w:u w:val="single"/>
        </w:rPr>
        <w:t>Bemærk:</w:t>
      </w:r>
    </w:p>
    <w:p w14:paraId="4B1B5BED" w14:textId="77777777" w:rsidR="00D60CA9" w:rsidRPr="00711A45" w:rsidRDefault="00D60CA9" w:rsidP="00A36972">
      <w:pPr>
        <w:ind w:left="851"/>
        <w:rPr>
          <w:sz w:val="24"/>
          <w:szCs w:val="24"/>
        </w:rPr>
      </w:pPr>
      <w:r w:rsidRPr="00711A45">
        <w:rPr>
          <w:sz w:val="24"/>
          <w:szCs w:val="24"/>
        </w:rPr>
        <w:t xml:space="preserve">Behandling med </w:t>
      </w:r>
      <w:proofErr w:type="spellStart"/>
      <w:r w:rsidRPr="00711A45">
        <w:rPr>
          <w:sz w:val="24"/>
          <w:szCs w:val="24"/>
        </w:rPr>
        <w:t>Ospolot</w:t>
      </w:r>
      <w:proofErr w:type="spellEnd"/>
      <w:r w:rsidRPr="00711A45">
        <w:rPr>
          <w:sz w:val="24"/>
          <w:szCs w:val="24"/>
        </w:rPr>
        <w:t xml:space="preserve"> bør kun udføres af en pædiatrisk neurolog med tilstrækkelig erfaring i behandling af epilepsi.</w:t>
      </w:r>
    </w:p>
    <w:p w14:paraId="73A25DF3" w14:textId="77777777" w:rsidR="00D60CA9" w:rsidRPr="00711A45" w:rsidRDefault="00D60CA9" w:rsidP="00A36972">
      <w:pPr>
        <w:ind w:left="851"/>
        <w:rPr>
          <w:sz w:val="24"/>
          <w:szCs w:val="24"/>
        </w:rPr>
      </w:pPr>
      <w:r w:rsidRPr="00711A45">
        <w:rPr>
          <w:sz w:val="24"/>
          <w:szCs w:val="24"/>
        </w:rPr>
        <w:t xml:space="preserve">Der er begrænset evidens fra kontrollerede kliniske forsøg om virkningen og sikkerheden af </w:t>
      </w:r>
      <w:proofErr w:type="spellStart"/>
      <w:r w:rsidRPr="00711A45">
        <w:rPr>
          <w:sz w:val="24"/>
          <w:szCs w:val="24"/>
        </w:rPr>
        <w:t>Ospolot</w:t>
      </w:r>
      <w:proofErr w:type="spellEnd"/>
      <w:r w:rsidRPr="00711A45">
        <w:rPr>
          <w:sz w:val="24"/>
          <w:szCs w:val="24"/>
        </w:rPr>
        <w:t xml:space="preserve">. Forud for påbegyndelse af behandling med </w:t>
      </w:r>
      <w:proofErr w:type="spellStart"/>
      <w:r w:rsidRPr="00711A45">
        <w:rPr>
          <w:sz w:val="24"/>
          <w:szCs w:val="24"/>
        </w:rPr>
        <w:t>sultiam</w:t>
      </w:r>
      <w:proofErr w:type="spellEnd"/>
      <w:r w:rsidRPr="00711A45">
        <w:rPr>
          <w:sz w:val="24"/>
          <w:szCs w:val="24"/>
        </w:rPr>
        <w:t xml:space="preserve"> er en grundig </w:t>
      </w:r>
      <w:proofErr w:type="spellStart"/>
      <w:r w:rsidRPr="00711A45">
        <w:rPr>
          <w:sz w:val="24"/>
          <w:szCs w:val="24"/>
        </w:rPr>
        <w:t>differentialdiagnostisk</w:t>
      </w:r>
      <w:proofErr w:type="spellEnd"/>
      <w:r w:rsidRPr="00711A45">
        <w:rPr>
          <w:sz w:val="24"/>
          <w:szCs w:val="24"/>
        </w:rPr>
        <w:t xml:space="preserve"> procedure vedrørende andre former for børneepilepsi indiceret. </w:t>
      </w:r>
      <w:proofErr w:type="spellStart"/>
      <w:r w:rsidRPr="00711A45">
        <w:rPr>
          <w:sz w:val="24"/>
          <w:szCs w:val="24"/>
        </w:rPr>
        <w:lastRenderedPageBreak/>
        <w:t>Rolandiske</w:t>
      </w:r>
      <w:proofErr w:type="spellEnd"/>
      <w:r w:rsidRPr="00711A45">
        <w:rPr>
          <w:sz w:val="24"/>
          <w:szCs w:val="24"/>
        </w:rPr>
        <w:t xml:space="preserve"> </w:t>
      </w:r>
      <w:proofErr w:type="spellStart"/>
      <w:r w:rsidRPr="00711A45">
        <w:rPr>
          <w:sz w:val="24"/>
          <w:szCs w:val="24"/>
        </w:rPr>
        <w:t>epilepsier</w:t>
      </w:r>
      <w:proofErr w:type="spellEnd"/>
      <w:r w:rsidRPr="00711A45">
        <w:rPr>
          <w:sz w:val="24"/>
          <w:szCs w:val="24"/>
        </w:rPr>
        <w:t xml:space="preserve"> udviser en høj procentdel af spontane remissioner – selv uden lægemiddelbehandling – og viser normalt et gunstigt sygdomsforløb og en god prognose.</w:t>
      </w:r>
    </w:p>
    <w:p w14:paraId="2023925F" w14:textId="77777777" w:rsidR="009260DE" w:rsidRPr="00711A45" w:rsidRDefault="009260DE" w:rsidP="009260DE">
      <w:pPr>
        <w:tabs>
          <w:tab w:val="left" w:pos="851"/>
        </w:tabs>
        <w:ind w:left="851"/>
        <w:rPr>
          <w:sz w:val="24"/>
          <w:szCs w:val="24"/>
        </w:rPr>
      </w:pPr>
    </w:p>
    <w:p w14:paraId="0FB31796" w14:textId="77777777" w:rsidR="009260DE" w:rsidRPr="00711A45" w:rsidRDefault="009260DE" w:rsidP="009260DE">
      <w:pPr>
        <w:tabs>
          <w:tab w:val="left" w:pos="851"/>
        </w:tabs>
        <w:ind w:left="851" w:hanging="851"/>
        <w:rPr>
          <w:b/>
          <w:sz w:val="24"/>
          <w:szCs w:val="24"/>
        </w:rPr>
      </w:pPr>
      <w:r w:rsidRPr="00711A45">
        <w:rPr>
          <w:b/>
          <w:sz w:val="24"/>
          <w:szCs w:val="24"/>
        </w:rPr>
        <w:t>4.2</w:t>
      </w:r>
      <w:r w:rsidRPr="00711A45">
        <w:rPr>
          <w:b/>
          <w:sz w:val="24"/>
          <w:szCs w:val="24"/>
        </w:rPr>
        <w:tab/>
        <w:t xml:space="preserve">Dosering og </w:t>
      </w:r>
      <w:r w:rsidR="002C1EC0" w:rsidRPr="00711A45">
        <w:rPr>
          <w:b/>
          <w:sz w:val="24"/>
          <w:szCs w:val="24"/>
        </w:rPr>
        <w:t>administration</w:t>
      </w:r>
    </w:p>
    <w:p w14:paraId="264831FF" w14:textId="77777777" w:rsidR="00711A45" w:rsidRDefault="00711A45" w:rsidP="00A36972">
      <w:pPr>
        <w:ind w:left="851"/>
        <w:rPr>
          <w:sz w:val="24"/>
          <w:szCs w:val="24"/>
        </w:rPr>
      </w:pPr>
    </w:p>
    <w:p w14:paraId="4EDDDF36" w14:textId="3A59E8E3" w:rsidR="00D60CA9" w:rsidRPr="00711A45" w:rsidRDefault="00D60CA9" w:rsidP="00A36972">
      <w:pPr>
        <w:ind w:left="851"/>
        <w:rPr>
          <w:sz w:val="24"/>
          <w:szCs w:val="24"/>
          <w:u w:val="single"/>
          <w:lang w:eastAsia="de-DE"/>
        </w:rPr>
      </w:pPr>
      <w:r w:rsidRPr="00711A45">
        <w:rPr>
          <w:sz w:val="24"/>
          <w:szCs w:val="24"/>
          <w:u w:val="single"/>
        </w:rPr>
        <w:t>Dosering</w:t>
      </w:r>
    </w:p>
    <w:p w14:paraId="30C8E9AB" w14:textId="77777777" w:rsidR="00D60CA9" w:rsidRPr="00711A45" w:rsidRDefault="00D60CA9" w:rsidP="00A36972">
      <w:pPr>
        <w:ind w:left="851"/>
        <w:rPr>
          <w:sz w:val="24"/>
          <w:szCs w:val="24"/>
        </w:rPr>
      </w:pPr>
      <w:r w:rsidRPr="00711A45">
        <w:rPr>
          <w:sz w:val="24"/>
          <w:szCs w:val="24"/>
        </w:rPr>
        <w:t xml:space="preserve">Dosis skal fastlægges og overvåges af lægen på individuel basis. Vedligeholdelsesdosis er ca. 5 til 10 mg pr. kg kropsvægt pr. dag. Den skal bygges op trinvist (tilspidset) hen over en uge. På grund af </w:t>
      </w:r>
      <w:proofErr w:type="spellStart"/>
      <w:r w:rsidRPr="00711A45">
        <w:rPr>
          <w:sz w:val="24"/>
          <w:szCs w:val="24"/>
        </w:rPr>
        <w:t>sultiams</w:t>
      </w:r>
      <w:proofErr w:type="spellEnd"/>
      <w:r w:rsidRPr="00711A45">
        <w:rPr>
          <w:sz w:val="24"/>
          <w:szCs w:val="24"/>
        </w:rPr>
        <w:t xml:space="preserve"> korte halveringstid bør den daglige dosis så vidt muligt fordeles på tre enkeltdoser (se tabel 1 og 2 med doseringseksempler). Hvis den daglige dosis fordeles over dagen på denne måde, forventes der konstante plasmaniveauer efter fem til seks dage. Terapeutiske plasmakoncentrationer af </w:t>
      </w:r>
      <w:proofErr w:type="spellStart"/>
      <w:r w:rsidRPr="00711A45">
        <w:rPr>
          <w:sz w:val="24"/>
          <w:szCs w:val="24"/>
        </w:rPr>
        <w:t>sultiam</w:t>
      </w:r>
      <w:proofErr w:type="spellEnd"/>
      <w:r w:rsidRPr="00711A45">
        <w:rPr>
          <w:sz w:val="24"/>
          <w:szCs w:val="24"/>
        </w:rPr>
        <w:t xml:space="preserve"> er endnu ikke fastlagt.</w:t>
      </w:r>
    </w:p>
    <w:p w14:paraId="26B910CD" w14:textId="77777777" w:rsidR="00D60CA9" w:rsidRPr="00711A45" w:rsidRDefault="00D60CA9" w:rsidP="00A36972">
      <w:pPr>
        <w:ind w:left="851"/>
        <w:rPr>
          <w:sz w:val="24"/>
          <w:szCs w:val="24"/>
        </w:rPr>
      </w:pPr>
      <w:r w:rsidRPr="00711A45">
        <w:rPr>
          <w:sz w:val="24"/>
          <w:szCs w:val="24"/>
        </w:rPr>
        <w:t xml:space="preserve">Oral suspension af </w:t>
      </w:r>
      <w:proofErr w:type="spellStart"/>
      <w:r w:rsidRPr="00711A45">
        <w:rPr>
          <w:sz w:val="24"/>
          <w:szCs w:val="24"/>
        </w:rPr>
        <w:t>Ospolot</w:t>
      </w:r>
      <w:proofErr w:type="spellEnd"/>
      <w:r w:rsidRPr="00711A45">
        <w:rPr>
          <w:sz w:val="24"/>
          <w:szCs w:val="24"/>
        </w:rPr>
        <w:t xml:space="preserve"> og filmovertrukne </w:t>
      </w:r>
      <w:proofErr w:type="spellStart"/>
      <w:r w:rsidRPr="00711A45">
        <w:rPr>
          <w:sz w:val="24"/>
          <w:szCs w:val="24"/>
        </w:rPr>
        <w:t>Ospolot</w:t>
      </w:r>
      <w:proofErr w:type="spellEnd"/>
      <w:r w:rsidRPr="00711A45">
        <w:rPr>
          <w:sz w:val="24"/>
          <w:szCs w:val="24"/>
        </w:rPr>
        <w:t xml:space="preserve"> filmovertrukne tabletter kan udveksles i lige store doser. Kontrol af plasmaniveauer bør overvejes, når der skiftes fra tabletter til oral suspension.</w:t>
      </w:r>
    </w:p>
    <w:p w14:paraId="24C64D7C" w14:textId="77777777" w:rsidR="00D60CA9" w:rsidRPr="00711A45" w:rsidRDefault="00D60CA9" w:rsidP="00A36972">
      <w:pPr>
        <w:ind w:left="851"/>
        <w:rPr>
          <w:sz w:val="24"/>
          <w:szCs w:val="24"/>
        </w:rPr>
      </w:pPr>
      <w:r w:rsidRPr="00711A45">
        <w:rPr>
          <w:sz w:val="24"/>
          <w:szCs w:val="24"/>
        </w:rPr>
        <w:t>Et skift fra et andet lægemiddel eller fra kombinationsbehandling bør ske gradvist.</w:t>
      </w:r>
    </w:p>
    <w:p w14:paraId="66974CAF" w14:textId="77777777" w:rsidR="00D60CA9" w:rsidRPr="00711A45" w:rsidRDefault="00D60CA9" w:rsidP="00A36972">
      <w:pPr>
        <w:ind w:left="851"/>
        <w:rPr>
          <w:sz w:val="24"/>
          <w:szCs w:val="24"/>
        </w:rPr>
      </w:pPr>
    </w:p>
    <w:p w14:paraId="5565D015" w14:textId="77777777" w:rsidR="00D60CA9" w:rsidRPr="00711A45" w:rsidRDefault="00D60CA9" w:rsidP="00A36972">
      <w:pPr>
        <w:ind w:left="851"/>
        <w:rPr>
          <w:i/>
          <w:sz w:val="24"/>
          <w:szCs w:val="24"/>
        </w:rPr>
      </w:pPr>
      <w:r w:rsidRPr="00711A45">
        <w:rPr>
          <w:i/>
          <w:sz w:val="24"/>
          <w:szCs w:val="24"/>
        </w:rPr>
        <w:t>Pædiatrisk population</w:t>
      </w:r>
    </w:p>
    <w:p w14:paraId="3DEC8ECB" w14:textId="77777777" w:rsidR="00D60CA9" w:rsidRPr="00711A45" w:rsidRDefault="00D60CA9" w:rsidP="00A36972">
      <w:pPr>
        <w:ind w:left="851"/>
        <w:rPr>
          <w:iCs/>
          <w:sz w:val="24"/>
          <w:szCs w:val="24"/>
        </w:rPr>
      </w:pPr>
    </w:p>
    <w:p w14:paraId="372EE16E" w14:textId="77777777" w:rsidR="00D60CA9" w:rsidRPr="00711A45" w:rsidRDefault="00D60CA9" w:rsidP="00A36972">
      <w:pPr>
        <w:ind w:left="851"/>
        <w:rPr>
          <w:sz w:val="24"/>
          <w:szCs w:val="24"/>
        </w:rPr>
      </w:pPr>
      <w:r w:rsidRPr="00711A45">
        <w:rPr>
          <w:sz w:val="24"/>
          <w:szCs w:val="24"/>
        </w:rPr>
        <w:t xml:space="preserve">Den orale suspension er den foretrukne formulering til brug hos nyfødte, børn og unge, der vejer 12 kg eller derover. For doseringseksempler henvises der til tabel 1 og 2; dog skal titreringen udføres på individuel basis.   </w:t>
      </w:r>
    </w:p>
    <w:p w14:paraId="1C8B1114" w14:textId="77777777" w:rsidR="00D60CA9" w:rsidRPr="00711A45" w:rsidRDefault="00D60CA9" w:rsidP="00A36972">
      <w:pPr>
        <w:ind w:left="851"/>
        <w:rPr>
          <w:sz w:val="24"/>
          <w:szCs w:val="24"/>
        </w:rPr>
      </w:pPr>
    </w:p>
    <w:p w14:paraId="1E1AF71F" w14:textId="77777777" w:rsidR="00D60CA9" w:rsidRPr="00711A45" w:rsidRDefault="00D60CA9" w:rsidP="00D60CA9">
      <w:pPr>
        <w:rPr>
          <w:sz w:val="24"/>
          <w:szCs w:val="24"/>
        </w:rPr>
      </w:pPr>
      <w:r w:rsidRPr="00711A45">
        <w:rPr>
          <w:sz w:val="24"/>
          <w:szCs w:val="24"/>
        </w:rPr>
        <w:t>Tabel 1</w:t>
      </w:r>
    </w:p>
    <w:tbl>
      <w:tblPr>
        <w:tblW w:w="5000" w:type="pct"/>
        <w:tblLook w:val="04A0" w:firstRow="1" w:lastRow="0" w:firstColumn="1" w:lastColumn="0" w:noHBand="0" w:noVBand="1"/>
      </w:tblPr>
      <w:tblGrid>
        <w:gridCol w:w="1760"/>
        <w:gridCol w:w="3934"/>
        <w:gridCol w:w="3934"/>
      </w:tblGrid>
      <w:tr w:rsidR="00D60CA9" w:rsidRPr="00711A45" w14:paraId="421BC993" w14:textId="77777777" w:rsidTr="00A36972">
        <w:trPr>
          <w:trHeight w:val="335"/>
        </w:trPr>
        <w:tc>
          <w:tcPr>
            <w:tcW w:w="914" w:type="pct"/>
            <w:vMerge w:val="restart"/>
            <w:tcBorders>
              <w:top w:val="single" w:sz="6" w:space="0" w:color="000000"/>
              <w:left w:val="single" w:sz="4" w:space="0" w:color="000000"/>
              <w:bottom w:val="single" w:sz="4" w:space="0" w:color="000000"/>
              <w:right w:val="single" w:sz="4" w:space="0" w:color="000000"/>
            </w:tcBorders>
            <w:vAlign w:val="center"/>
            <w:hideMark/>
          </w:tcPr>
          <w:p w14:paraId="0B872559" w14:textId="77777777" w:rsidR="00D60CA9" w:rsidRPr="00711A45" w:rsidRDefault="00D60CA9">
            <w:pPr>
              <w:adjustRightInd w:val="0"/>
              <w:spacing w:after="60"/>
              <w:rPr>
                <w:rFonts w:eastAsia="Calibri"/>
                <w:color w:val="000000"/>
                <w:sz w:val="24"/>
                <w:szCs w:val="24"/>
                <w:lang w:val="de-DE"/>
              </w:rPr>
            </w:pPr>
            <w:proofErr w:type="spellStart"/>
            <w:r w:rsidRPr="00711A45">
              <w:rPr>
                <w:b/>
                <w:color w:val="000000"/>
                <w:sz w:val="24"/>
                <w:szCs w:val="24"/>
                <w:lang w:val="de-DE"/>
              </w:rPr>
              <w:t>Patientens</w:t>
            </w:r>
            <w:proofErr w:type="spellEnd"/>
            <w:r w:rsidRPr="00711A45">
              <w:rPr>
                <w:b/>
                <w:color w:val="000000"/>
                <w:sz w:val="24"/>
                <w:szCs w:val="24"/>
                <w:lang w:val="de-DE"/>
              </w:rPr>
              <w:t xml:space="preserve"> </w:t>
            </w:r>
            <w:proofErr w:type="spellStart"/>
            <w:r w:rsidRPr="00711A45">
              <w:rPr>
                <w:b/>
                <w:color w:val="000000"/>
                <w:sz w:val="24"/>
                <w:szCs w:val="24"/>
                <w:lang w:val="de-DE"/>
              </w:rPr>
              <w:t>vægt</w:t>
            </w:r>
            <w:proofErr w:type="spellEnd"/>
          </w:p>
        </w:tc>
        <w:tc>
          <w:tcPr>
            <w:tcW w:w="4086" w:type="pct"/>
            <w:gridSpan w:val="2"/>
            <w:tcBorders>
              <w:top w:val="single" w:sz="6" w:space="0" w:color="000000"/>
              <w:left w:val="single" w:sz="4" w:space="0" w:color="000000"/>
              <w:bottom w:val="nil"/>
              <w:right w:val="single" w:sz="4" w:space="0" w:color="auto"/>
            </w:tcBorders>
            <w:vAlign w:val="center"/>
            <w:hideMark/>
          </w:tcPr>
          <w:p w14:paraId="5AB08CF0" w14:textId="77777777" w:rsidR="00D60CA9" w:rsidRPr="00711A45" w:rsidRDefault="00D60CA9">
            <w:pPr>
              <w:adjustRightInd w:val="0"/>
              <w:spacing w:after="60"/>
              <w:jc w:val="center"/>
              <w:rPr>
                <w:rFonts w:eastAsia="Calibri"/>
                <w:color w:val="000000"/>
                <w:sz w:val="24"/>
                <w:szCs w:val="24"/>
                <w:lang w:val="de-DE"/>
              </w:rPr>
            </w:pPr>
            <w:proofErr w:type="spellStart"/>
            <w:r w:rsidRPr="00711A45">
              <w:rPr>
                <w:color w:val="000000"/>
                <w:sz w:val="24"/>
                <w:szCs w:val="24"/>
                <w:lang w:val="de-DE"/>
              </w:rPr>
              <w:t>Opbygningsdosis</w:t>
            </w:r>
            <w:proofErr w:type="spellEnd"/>
            <w:r w:rsidRPr="00711A45">
              <w:rPr>
                <w:color w:val="000000"/>
                <w:sz w:val="24"/>
                <w:szCs w:val="24"/>
                <w:lang w:val="de-DE"/>
              </w:rPr>
              <w:t xml:space="preserve">: </w:t>
            </w:r>
            <w:r w:rsidRPr="00711A45">
              <w:rPr>
                <w:b/>
                <w:color w:val="000000"/>
                <w:sz w:val="24"/>
                <w:szCs w:val="24"/>
                <w:lang w:val="de-DE"/>
              </w:rPr>
              <w:t xml:space="preserve">2,5 mg* </w:t>
            </w:r>
            <w:proofErr w:type="spellStart"/>
            <w:r w:rsidRPr="00711A45">
              <w:rPr>
                <w:b/>
                <w:color w:val="000000"/>
                <w:sz w:val="24"/>
                <w:szCs w:val="24"/>
                <w:lang w:val="de-DE"/>
              </w:rPr>
              <w:t>sultiam</w:t>
            </w:r>
            <w:proofErr w:type="spellEnd"/>
            <w:r w:rsidRPr="00711A45">
              <w:rPr>
                <w:b/>
                <w:color w:val="000000"/>
                <w:sz w:val="24"/>
                <w:szCs w:val="24"/>
                <w:lang w:val="de-DE"/>
              </w:rPr>
              <w:t xml:space="preserve"> </w:t>
            </w:r>
            <w:proofErr w:type="spellStart"/>
            <w:r w:rsidRPr="00711A45">
              <w:rPr>
                <w:b/>
                <w:color w:val="000000"/>
                <w:sz w:val="24"/>
                <w:szCs w:val="24"/>
                <w:lang w:val="de-DE"/>
              </w:rPr>
              <w:t>pr</w:t>
            </w:r>
            <w:proofErr w:type="spellEnd"/>
            <w:r w:rsidRPr="00711A45">
              <w:rPr>
                <w:b/>
                <w:color w:val="000000"/>
                <w:sz w:val="24"/>
                <w:szCs w:val="24"/>
                <w:lang w:val="de-DE"/>
              </w:rPr>
              <w:t xml:space="preserve">. kg </w:t>
            </w:r>
            <w:proofErr w:type="spellStart"/>
            <w:r w:rsidRPr="00711A45">
              <w:rPr>
                <w:b/>
                <w:color w:val="000000"/>
                <w:sz w:val="24"/>
                <w:szCs w:val="24"/>
                <w:lang w:val="de-DE"/>
              </w:rPr>
              <w:t>pr</w:t>
            </w:r>
            <w:proofErr w:type="spellEnd"/>
            <w:r w:rsidRPr="00711A45">
              <w:rPr>
                <w:b/>
                <w:color w:val="000000"/>
                <w:sz w:val="24"/>
                <w:szCs w:val="24"/>
                <w:lang w:val="de-DE"/>
              </w:rPr>
              <w:t xml:space="preserve">. </w:t>
            </w:r>
            <w:proofErr w:type="spellStart"/>
            <w:r w:rsidRPr="00711A45">
              <w:rPr>
                <w:b/>
                <w:color w:val="000000"/>
                <w:sz w:val="24"/>
                <w:szCs w:val="24"/>
                <w:lang w:val="de-DE"/>
              </w:rPr>
              <w:t>dag</w:t>
            </w:r>
            <w:proofErr w:type="spellEnd"/>
          </w:p>
        </w:tc>
      </w:tr>
      <w:tr w:rsidR="00D60CA9" w:rsidRPr="00711A45" w14:paraId="05FFDBD8" w14:textId="77777777" w:rsidTr="00A36972">
        <w:trPr>
          <w:trHeight w:val="335"/>
        </w:trPr>
        <w:tc>
          <w:tcPr>
            <w:tcW w:w="914" w:type="pct"/>
            <w:vMerge/>
            <w:tcBorders>
              <w:top w:val="single" w:sz="6" w:space="0" w:color="000000"/>
              <w:left w:val="single" w:sz="4" w:space="0" w:color="000000"/>
              <w:bottom w:val="single" w:sz="4" w:space="0" w:color="000000"/>
              <w:right w:val="single" w:sz="4" w:space="0" w:color="000000"/>
            </w:tcBorders>
            <w:vAlign w:val="center"/>
            <w:hideMark/>
          </w:tcPr>
          <w:p w14:paraId="3F10E5F1" w14:textId="77777777" w:rsidR="00D60CA9" w:rsidRPr="00711A45" w:rsidRDefault="00D60CA9">
            <w:pPr>
              <w:rPr>
                <w:rFonts w:eastAsia="Calibri"/>
                <w:color w:val="000000"/>
                <w:sz w:val="24"/>
                <w:szCs w:val="24"/>
                <w:lang w:val="de-DE" w:eastAsia="de-DE"/>
              </w:rPr>
            </w:pPr>
          </w:p>
        </w:tc>
        <w:tc>
          <w:tcPr>
            <w:tcW w:w="2043" w:type="pct"/>
            <w:tcBorders>
              <w:top w:val="single" w:sz="6" w:space="0" w:color="000000"/>
              <w:left w:val="single" w:sz="4" w:space="0" w:color="000000"/>
              <w:bottom w:val="single" w:sz="4" w:space="0" w:color="000000"/>
              <w:right w:val="single" w:sz="4" w:space="0" w:color="auto"/>
            </w:tcBorders>
            <w:vAlign w:val="center"/>
            <w:hideMark/>
          </w:tcPr>
          <w:p w14:paraId="06522AB7" w14:textId="77777777" w:rsidR="00D60CA9" w:rsidRPr="00711A45" w:rsidRDefault="00D60CA9">
            <w:pPr>
              <w:adjustRightInd w:val="0"/>
              <w:spacing w:after="60"/>
              <w:jc w:val="center"/>
              <w:rPr>
                <w:rFonts w:eastAsia="Calibri"/>
                <w:b/>
                <w:color w:val="000000"/>
                <w:sz w:val="24"/>
                <w:szCs w:val="24"/>
                <w:lang w:val="de-DE"/>
              </w:rPr>
            </w:pPr>
            <w:proofErr w:type="spellStart"/>
            <w:r w:rsidRPr="00711A45">
              <w:rPr>
                <w:b/>
                <w:color w:val="000000"/>
                <w:sz w:val="24"/>
                <w:szCs w:val="24"/>
                <w:lang w:val="de-DE"/>
              </w:rPr>
              <w:t>Enkeltdosis</w:t>
            </w:r>
            <w:proofErr w:type="spellEnd"/>
          </w:p>
          <w:p w14:paraId="193D71FE"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w:t>
            </w:r>
            <w:proofErr w:type="spellStart"/>
            <w:r w:rsidRPr="00711A45">
              <w:rPr>
                <w:b/>
                <w:color w:val="000000"/>
                <w:sz w:val="24"/>
                <w:szCs w:val="24"/>
                <w:lang w:val="de-DE"/>
              </w:rPr>
              <w:t>gives</w:t>
            </w:r>
            <w:proofErr w:type="spellEnd"/>
            <w:r w:rsidRPr="00711A45">
              <w:rPr>
                <w:b/>
                <w:color w:val="000000"/>
                <w:sz w:val="24"/>
                <w:szCs w:val="24"/>
                <w:lang w:val="de-DE"/>
              </w:rPr>
              <w:t xml:space="preserve"> </w:t>
            </w:r>
            <w:r w:rsidRPr="00711A45">
              <w:rPr>
                <w:b/>
                <w:color w:val="000000"/>
                <w:sz w:val="24"/>
                <w:szCs w:val="24"/>
                <w:u w:val="single"/>
                <w:lang w:val="de-DE"/>
              </w:rPr>
              <w:t>3</w:t>
            </w:r>
            <w:r w:rsidRPr="00711A45">
              <w:rPr>
                <w:b/>
                <w:color w:val="000000"/>
                <w:sz w:val="24"/>
                <w:szCs w:val="24"/>
                <w:lang w:val="de-DE"/>
              </w:rPr>
              <w:t xml:space="preserve"> </w:t>
            </w:r>
            <w:proofErr w:type="spellStart"/>
            <w:r w:rsidRPr="00711A45">
              <w:rPr>
                <w:b/>
                <w:color w:val="000000"/>
                <w:sz w:val="24"/>
                <w:szCs w:val="24"/>
                <w:lang w:val="de-DE"/>
              </w:rPr>
              <w:t>gange</w:t>
            </w:r>
            <w:proofErr w:type="spellEnd"/>
            <w:r w:rsidRPr="00711A45">
              <w:rPr>
                <w:b/>
                <w:color w:val="000000"/>
                <w:sz w:val="24"/>
                <w:szCs w:val="24"/>
                <w:lang w:val="de-DE"/>
              </w:rPr>
              <w:t xml:space="preserve"> </w:t>
            </w:r>
            <w:proofErr w:type="spellStart"/>
            <w:r w:rsidRPr="00711A45">
              <w:rPr>
                <w:b/>
                <w:color w:val="000000"/>
                <w:sz w:val="24"/>
                <w:szCs w:val="24"/>
                <w:lang w:val="de-DE"/>
              </w:rPr>
              <w:t>dagligt</w:t>
            </w:r>
            <w:proofErr w:type="spellEnd"/>
            <w:r w:rsidRPr="00711A45">
              <w:rPr>
                <w:b/>
                <w:color w:val="000000"/>
                <w:sz w:val="24"/>
                <w:szCs w:val="24"/>
                <w:lang w:val="de-DE"/>
              </w:rPr>
              <w:t>)</w:t>
            </w:r>
          </w:p>
        </w:tc>
        <w:tc>
          <w:tcPr>
            <w:tcW w:w="2043" w:type="pct"/>
            <w:tcBorders>
              <w:top w:val="single" w:sz="4" w:space="0" w:color="auto"/>
              <w:left w:val="single" w:sz="4" w:space="0" w:color="auto"/>
              <w:bottom w:val="single" w:sz="4" w:space="0" w:color="auto"/>
              <w:right w:val="single" w:sz="4" w:space="0" w:color="auto"/>
            </w:tcBorders>
            <w:vAlign w:val="center"/>
            <w:hideMark/>
          </w:tcPr>
          <w:p w14:paraId="654AEA00" w14:textId="77777777" w:rsidR="00D60CA9" w:rsidRPr="00711A45" w:rsidRDefault="00D60CA9">
            <w:pPr>
              <w:adjustRightInd w:val="0"/>
              <w:spacing w:after="60"/>
              <w:jc w:val="center"/>
              <w:rPr>
                <w:rFonts w:eastAsia="Calibri"/>
                <w:b/>
                <w:color w:val="000000"/>
                <w:sz w:val="24"/>
                <w:szCs w:val="24"/>
                <w:lang w:val="de-DE"/>
              </w:rPr>
            </w:pPr>
            <w:proofErr w:type="spellStart"/>
            <w:r w:rsidRPr="00711A45">
              <w:rPr>
                <w:b/>
                <w:color w:val="000000"/>
                <w:sz w:val="24"/>
                <w:szCs w:val="24"/>
                <w:lang w:val="de-DE"/>
              </w:rPr>
              <w:t>Samlet</w:t>
            </w:r>
            <w:proofErr w:type="spellEnd"/>
            <w:r w:rsidRPr="00711A45">
              <w:rPr>
                <w:b/>
                <w:color w:val="000000"/>
                <w:sz w:val="24"/>
                <w:szCs w:val="24"/>
                <w:lang w:val="de-DE"/>
              </w:rPr>
              <w:t xml:space="preserve"> </w:t>
            </w:r>
            <w:proofErr w:type="spellStart"/>
            <w:r w:rsidRPr="00711A45">
              <w:rPr>
                <w:b/>
                <w:color w:val="000000"/>
                <w:sz w:val="24"/>
                <w:szCs w:val="24"/>
                <w:lang w:val="de-DE"/>
              </w:rPr>
              <w:t>daglig</w:t>
            </w:r>
            <w:proofErr w:type="spellEnd"/>
            <w:r w:rsidRPr="00711A45">
              <w:rPr>
                <w:b/>
                <w:color w:val="000000"/>
                <w:sz w:val="24"/>
                <w:szCs w:val="24"/>
                <w:lang w:val="de-DE"/>
              </w:rPr>
              <w:t xml:space="preserve"> </w:t>
            </w:r>
            <w:proofErr w:type="spellStart"/>
            <w:r w:rsidRPr="00711A45">
              <w:rPr>
                <w:b/>
                <w:color w:val="000000"/>
                <w:sz w:val="24"/>
                <w:szCs w:val="24"/>
                <w:lang w:val="de-DE"/>
              </w:rPr>
              <w:t>dosis</w:t>
            </w:r>
            <w:proofErr w:type="spellEnd"/>
          </w:p>
        </w:tc>
      </w:tr>
      <w:tr w:rsidR="00D60CA9" w:rsidRPr="00711A45" w14:paraId="2F21303E" w14:textId="77777777" w:rsidTr="00A36972">
        <w:trPr>
          <w:trHeight w:val="270"/>
        </w:trPr>
        <w:tc>
          <w:tcPr>
            <w:tcW w:w="914" w:type="pct"/>
            <w:tcBorders>
              <w:top w:val="single" w:sz="4" w:space="0" w:color="000000"/>
              <w:left w:val="single" w:sz="4" w:space="0" w:color="000000"/>
              <w:bottom w:val="single" w:sz="4" w:space="0" w:color="000000"/>
              <w:right w:val="single" w:sz="4" w:space="0" w:color="000000"/>
            </w:tcBorders>
            <w:vAlign w:val="center"/>
            <w:hideMark/>
          </w:tcPr>
          <w:p w14:paraId="43A198C7"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12-18 kg</w:t>
            </w:r>
          </w:p>
        </w:tc>
        <w:tc>
          <w:tcPr>
            <w:tcW w:w="2043" w:type="pct"/>
            <w:tcBorders>
              <w:top w:val="single" w:sz="4" w:space="0" w:color="000000"/>
              <w:left w:val="single" w:sz="4" w:space="0" w:color="000000"/>
              <w:bottom w:val="single" w:sz="4" w:space="0" w:color="000000"/>
              <w:right w:val="single" w:sz="4" w:space="0" w:color="auto"/>
            </w:tcBorders>
            <w:vAlign w:val="center"/>
            <w:hideMark/>
          </w:tcPr>
          <w:p w14:paraId="296EE3AF"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0,5-0,75 ml</w:t>
            </w:r>
          </w:p>
          <w:p w14:paraId="1E217ECD"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10-15 mg </w:t>
            </w:r>
            <w:proofErr w:type="spellStart"/>
            <w:r w:rsidRPr="00711A45">
              <w:rPr>
                <w:color w:val="000000"/>
                <w:sz w:val="24"/>
                <w:szCs w:val="24"/>
                <w:lang w:val="de-DE"/>
              </w:rPr>
              <w:t>sultiam</w:t>
            </w:r>
            <w:proofErr w:type="spellEnd"/>
            <w:r w:rsidRPr="00711A45">
              <w:rPr>
                <w:color w:val="000000"/>
                <w:sz w:val="24"/>
                <w:szCs w:val="24"/>
                <w:lang w:val="de-DE"/>
              </w:rPr>
              <w:t>)</w:t>
            </w:r>
          </w:p>
        </w:tc>
        <w:tc>
          <w:tcPr>
            <w:tcW w:w="2043" w:type="pct"/>
            <w:tcBorders>
              <w:top w:val="single" w:sz="4" w:space="0" w:color="auto"/>
              <w:left w:val="single" w:sz="4" w:space="0" w:color="auto"/>
              <w:bottom w:val="single" w:sz="4" w:space="0" w:color="auto"/>
              <w:right w:val="single" w:sz="4" w:space="0" w:color="auto"/>
            </w:tcBorders>
            <w:vAlign w:val="center"/>
            <w:hideMark/>
          </w:tcPr>
          <w:p w14:paraId="060A4A3B"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1,5-2,25 ml</w:t>
            </w:r>
          </w:p>
          <w:p w14:paraId="53CE5F0C"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30-45 mg </w:t>
            </w:r>
            <w:proofErr w:type="spellStart"/>
            <w:r w:rsidRPr="00711A45">
              <w:rPr>
                <w:color w:val="000000"/>
                <w:sz w:val="24"/>
                <w:szCs w:val="24"/>
                <w:lang w:val="de-DE"/>
              </w:rPr>
              <w:t>sultiam</w:t>
            </w:r>
            <w:proofErr w:type="spellEnd"/>
            <w:r w:rsidRPr="00711A45">
              <w:rPr>
                <w:color w:val="000000"/>
                <w:sz w:val="24"/>
                <w:szCs w:val="24"/>
                <w:lang w:val="de-DE"/>
              </w:rPr>
              <w:t>)</w:t>
            </w:r>
          </w:p>
        </w:tc>
      </w:tr>
      <w:tr w:rsidR="00D60CA9" w:rsidRPr="00711A45" w14:paraId="74A70CBE" w14:textId="77777777" w:rsidTr="00A36972">
        <w:trPr>
          <w:trHeight w:val="270"/>
        </w:trPr>
        <w:tc>
          <w:tcPr>
            <w:tcW w:w="914" w:type="pct"/>
            <w:tcBorders>
              <w:top w:val="single" w:sz="4" w:space="0" w:color="000000"/>
              <w:left w:val="single" w:sz="4" w:space="0" w:color="000000"/>
              <w:bottom w:val="single" w:sz="4" w:space="0" w:color="000000"/>
              <w:right w:val="single" w:sz="4" w:space="0" w:color="000000"/>
            </w:tcBorders>
            <w:vAlign w:val="center"/>
            <w:hideMark/>
          </w:tcPr>
          <w:p w14:paraId="27448F0B"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18-24 kg</w:t>
            </w:r>
          </w:p>
        </w:tc>
        <w:tc>
          <w:tcPr>
            <w:tcW w:w="2043" w:type="pct"/>
            <w:tcBorders>
              <w:top w:val="single" w:sz="4" w:space="0" w:color="000000"/>
              <w:left w:val="single" w:sz="4" w:space="0" w:color="000000"/>
              <w:bottom w:val="single" w:sz="4" w:space="0" w:color="000000"/>
              <w:right w:val="single" w:sz="4" w:space="0" w:color="auto"/>
            </w:tcBorders>
            <w:vAlign w:val="center"/>
            <w:hideMark/>
          </w:tcPr>
          <w:p w14:paraId="0C306EA5"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0,75-1,0 ml</w:t>
            </w:r>
          </w:p>
          <w:p w14:paraId="391154A8"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15-20 mg </w:t>
            </w:r>
            <w:proofErr w:type="spellStart"/>
            <w:r w:rsidRPr="00711A45">
              <w:rPr>
                <w:color w:val="000000"/>
                <w:sz w:val="24"/>
                <w:szCs w:val="24"/>
                <w:lang w:val="de-DE"/>
              </w:rPr>
              <w:t>sultiam</w:t>
            </w:r>
            <w:proofErr w:type="spellEnd"/>
            <w:r w:rsidRPr="00711A45">
              <w:rPr>
                <w:color w:val="000000"/>
                <w:sz w:val="24"/>
                <w:szCs w:val="24"/>
                <w:lang w:val="de-DE"/>
              </w:rPr>
              <w:t>)</w:t>
            </w:r>
          </w:p>
        </w:tc>
        <w:tc>
          <w:tcPr>
            <w:tcW w:w="2043" w:type="pct"/>
            <w:tcBorders>
              <w:top w:val="single" w:sz="4" w:space="0" w:color="auto"/>
              <w:left w:val="single" w:sz="4" w:space="0" w:color="auto"/>
              <w:bottom w:val="single" w:sz="4" w:space="0" w:color="auto"/>
              <w:right w:val="single" w:sz="4" w:space="0" w:color="auto"/>
            </w:tcBorders>
            <w:vAlign w:val="center"/>
            <w:hideMark/>
          </w:tcPr>
          <w:p w14:paraId="68E98B05"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2,25-3,0 ml</w:t>
            </w:r>
          </w:p>
          <w:p w14:paraId="62871E6C"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45-60 mg </w:t>
            </w:r>
            <w:proofErr w:type="spellStart"/>
            <w:r w:rsidRPr="00711A45">
              <w:rPr>
                <w:color w:val="000000"/>
                <w:sz w:val="24"/>
                <w:szCs w:val="24"/>
                <w:lang w:val="de-DE"/>
              </w:rPr>
              <w:t>sultiam</w:t>
            </w:r>
            <w:proofErr w:type="spellEnd"/>
            <w:r w:rsidRPr="00711A45">
              <w:rPr>
                <w:color w:val="000000"/>
                <w:sz w:val="24"/>
                <w:szCs w:val="24"/>
                <w:lang w:val="de-DE"/>
              </w:rPr>
              <w:t>)</w:t>
            </w:r>
          </w:p>
        </w:tc>
      </w:tr>
      <w:tr w:rsidR="00D60CA9" w:rsidRPr="00711A45" w14:paraId="592690C9" w14:textId="77777777" w:rsidTr="00A36972">
        <w:trPr>
          <w:trHeight w:val="272"/>
        </w:trPr>
        <w:tc>
          <w:tcPr>
            <w:tcW w:w="914" w:type="pct"/>
            <w:tcBorders>
              <w:top w:val="single" w:sz="4" w:space="0" w:color="000000"/>
              <w:left w:val="single" w:sz="4" w:space="0" w:color="000000"/>
              <w:bottom w:val="single" w:sz="6" w:space="0" w:color="000000"/>
              <w:right w:val="single" w:sz="4" w:space="0" w:color="000000"/>
            </w:tcBorders>
            <w:vAlign w:val="center"/>
            <w:hideMark/>
          </w:tcPr>
          <w:p w14:paraId="47A0CA5C"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24-30 kg</w:t>
            </w:r>
          </w:p>
        </w:tc>
        <w:tc>
          <w:tcPr>
            <w:tcW w:w="2043" w:type="pct"/>
            <w:tcBorders>
              <w:top w:val="single" w:sz="4" w:space="0" w:color="000000"/>
              <w:left w:val="single" w:sz="4" w:space="0" w:color="000000"/>
              <w:bottom w:val="single" w:sz="6" w:space="0" w:color="000000"/>
              <w:right w:val="single" w:sz="4" w:space="0" w:color="auto"/>
            </w:tcBorders>
            <w:vAlign w:val="center"/>
            <w:hideMark/>
          </w:tcPr>
          <w:p w14:paraId="7E8016A4"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1,0-1,25 ml</w:t>
            </w:r>
          </w:p>
          <w:p w14:paraId="12F18F03"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20-25 mg </w:t>
            </w:r>
            <w:proofErr w:type="spellStart"/>
            <w:r w:rsidRPr="00711A45">
              <w:rPr>
                <w:color w:val="000000"/>
                <w:sz w:val="24"/>
                <w:szCs w:val="24"/>
                <w:lang w:val="de-DE"/>
              </w:rPr>
              <w:t>sultiam</w:t>
            </w:r>
            <w:proofErr w:type="spellEnd"/>
            <w:r w:rsidRPr="00711A45">
              <w:rPr>
                <w:color w:val="000000"/>
                <w:sz w:val="24"/>
                <w:szCs w:val="24"/>
                <w:lang w:val="de-DE"/>
              </w:rPr>
              <w:t>)</w:t>
            </w:r>
          </w:p>
        </w:tc>
        <w:tc>
          <w:tcPr>
            <w:tcW w:w="2043" w:type="pct"/>
            <w:tcBorders>
              <w:top w:val="single" w:sz="4" w:space="0" w:color="auto"/>
              <w:left w:val="single" w:sz="4" w:space="0" w:color="auto"/>
              <w:bottom w:val="single" w:sz="4" w:space="0" w:color="auto"/>
              <w:right w:val="single" w:sz="4" w:space="0" w:color="auto"/>
            </w:tcBorders>
            <w:vAlign w:val="center"/>
            <w:hideMark/>
          </w:tcPr>
          <w:p w14:paraId="58081C43"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3,0-3,75 ml</w:t>
            </w:r>
          </w:p>
          <w:p w14:paraId="4A311CB1"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60-75 mg </w:t>
            </w:r>
            <w:proofErr w:type="spellStart"/>
            <w:r w:rsidRPr="00711A45">
              <w:rPr>
                <w:color w:val="000000"/>
                <w:sz w:val="24"/>
                <w:szCs w:val="24"/>
                <w:lang w:val="de-DE"/>
              </w:rPr>
              <w:t>sultiam</w:t>
            </w:r>
            <w:proofErr w:type="spellEnd"/>
            <w:r w:rsidRPr="00711A45">
              <w:rPr>
                <w:color w:val="000000"/>
                <w:sz w:val="24"/>
                <w:szCs w:val="24"/>
                <w:lang w:val="de-DE"/>
              </w:rPr>
              <w:t>)</w:t>
            </w:r>
          </w:p>
        </w:tc>
      </w:tr>
      <w:tr w:rsidR="00D60CA9" w:rsidRPr="00711A45" w14:paraId="002E8157" w14:textId="77777777" w:rsidTr="00A36972">
        <w:trPr>
          <w:trHeight w:val="272"/>
        </w:trPr>
        <w:tc>
          <w:tcPr>
            <w:tcW w:w="914" w:type="pct"/>
            <w:tcBorders>
              <w:top w:val="single" w:sz="4" w:space="0" w:color="000000"/>
              <w:left w:val="single" w:sz="4" w:space="0" w:color="000000"/>
              <w:bottom w:val="single" w:sz="6" w:space="0" w:color="000000"/>
              <w:right w:val="single" w:sz="4" w:space="0" w:color="000000"/>
            </w:tcBorders>
            <w:vAlign w:val="center"/>
            <w:hideMark/>
          </w:tcPr>
          <w:p w14:paraId="378D4ABC"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30-36 kg</w:t>
            </w:r>
          </w:p>
        </w:tc>
        <w:tc>
          <w:tcPr>
            <w:tcW w:w="2043" w:type="pct"/>
            <w:tcBorders>
              <w:top w:val="single" w:sz="4" w:space="0" w:color="000000"/>
              <w:left w:val="single" w:sz="4" w:space="0" w:color="000000"/>
              <w:bottom w:val="single" w:sz="6" w:space="0" w:color="000000"/>
              <w:right w:val="single" w:sz="4" w:space="0" w:color="auto"/>
            </w:tcBorders>
            <w:vAlign w:val="center"/>
            <w:hideMark/>
          </w:tcPr>
          <w:p w14:paraId="4278CE5C"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1,25-1,5 ml</w:t>
            </w:r>
          </w:p>
          <w:p w14:paraId="2F9184E0"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25-30 mg </w:t>
            </w:r>
            <w:proofErr w:type="spellStart"/>
            <w:r w:rsidRPr="00711A45">
              <w:rPr>
                <w:color w:val="000000"/>
                <w:sz w:val="24"/>
                <w:szCs w:val="24"/>
                <w:lang w:val="de-DE"/>
              </w:rPr>
              <w:t>sultiam</w:t>
            </w:r>
            <w:proofErr w:type="spellEnd"/>
            <w:r w:rsidRPr="00711A45">
              <w:rPr>
                <w:color w:val="000000"/>
                <w:sz w:val="24"/>
                <w:szCs w:val="24"/>
                <w:lang w:val="de-DE"/>
              </w:rPr>
              <w:t>)</w:t>
            </w:r>
          </w:p>
        </w:tc>
        <w:tc>
          <w:tcPr>
            <w:tcW w:w="2043" w:type="pct"/>
            <w:tcBorders>
              <w:top w:val="single" w:sz="4" w:space="0" w:color="auto"/>
              <w:left w:val="single" w:sz="4" w:space="0" w:color="auto"/>
              <w:bottom w:val="single" w:sz="4" w:space="0" w:color="auto"/>
              <w:right w:val="single" w:sz="4" w:space="0" w:color="auto"/>
            </w:tcBorders>
            <w:vAlign w:val="center"/>
            <w:hideMark/>
          </w:tcPr>
          <w:p w14:paraId="7CA35CF6"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3,75-4,5 ml</w:t>
            </w:r>
          </w:p>
          <w:p w14:paraId="22325689"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75-90 mg </w:t>
            </w:r>
            <w:proofErr w:type="spellStart"/>
            <w:r w:rsidRPr="00711A45">
              <w:rPr>
                <w:color w:val="000000"/>
                <w:sz w:val="24"/>
                <w:szCs w:val="24"/>
                <w:lang w:val="de-DE"/>
              </w:rPr>
              <w:t>sultiam</w:t>
            </w:r>
            <w:proofErr w:type="spellEnd"/>
            <w:r w:rsidRPr="00711A45">
              <w:rPr>
                <w:color w:val="000000"/>
                <w:sz w:val="24"/>
                <w:szCs w:val="24"/>
                <w:lang w:val="de-DE"/>
              </w:rPr>
              <w:t>)</w:t>
            </w:r>
          </w:p>
        </w:tc>
      </w:tr>
      <w:tr w:rsidR="00D60CA9" w:rsidRPr="00711A45" w14:paraId="6B8376F4" w14:textId="77777777" w:rsidTr="00A36972">
        <w:trPr>
          <w:trHeight w:val="272"/>
        </w:trPr>
        <w:tc>
          <w:tcPr>
            <w:tcW w:w="914" w:type="pct"/>
            <w:tcBorders>
              <w:top w:val="single" w:sz="4" w:space="0" w:color="000000"/>
              <w:left w:val="single" w:sz="4" w:space="0" w:color="000000"/>
              <w:bottom w:val="single" w:sz="4" w:space="0" w:color="000000"/>
              <w:right w:val="single" w:sz="4" w:space="0" w:color="000000"/>
            </w:tcBorders>
            <w:vAlign w:val="center"/>
            <w:hideMark/>
          </w:tcPr>
          <w:p w14:paraId="1324A998"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 xml:space="preserve">36 kg </w:t>
            </w:r>
            <w:proofErr w:type="spellStart"/>
            <w:r w:rsidRPr="00711A45">
              <w:rPr>
                <w:b/>
                <w:color w:val="000000"/>
                <w:sz w:val="24"/>
                <w:szCs w:val="24"/>
                <w:lang w:val="de-DE"/>
              </w:rPr>
              <w:t>og</w:t>
            </w:r>
            <w:proofErr w:type="spellEnd"/>
            <w:r w:rsidRPr="00711A45">
              <w:rPr>
                <w:b/>
                <w:color w:val="000000"/>
                <w:sz w:val="24"/>
                <w:szCs w:val="24"/>
                <w:lang w:val="de-DE"/>
              </w:rPr>
              <w:t xml:space="preserve"> </w:t>
            </w:r>
            <w:proofErr w:type="spellStart"/>
            <w:r w:rsidRPr="00711A45">
              <w:rPr>
                <w:b/>
                <w:color w:val="000000"/>
                <w:sz w:val="24"/>
                <w:szCs w:val="24"/>
                <w:lang w:val="de-DE"/>
              </w:rPr>
              <w:t>derover</w:t>
            </w:r>
            <w:proofErr w:type="spellEnd"/>
          </w:p>
        </w:tc>
        <w:tc>
          <w:tcPr>
            <w:tcW w:w="2043" w:type="pct"/>
            <w:tcBorders>
              <w:top w:val="single" w:sz="4" w:space="0" w:color="000000"/>
              <w:left w:val="single" w:sz="4" w:space="0" w:color="000000"/>
              <w:bottom w:val="single" w:sz="4" w:space="0" w:color="000000"/>
              <w:right w:val="single" w:sz="4" w:space="0" w:color="auto"/>
            </w:tcBorders>
            <w:vAlign w:val="center"/>
            <w:hideMark/>
          </w:tcPr>
          <w:p w14:paraId="008AEE89"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 xml:space="preserve">1,5 ml </w:t>
            </w:r>
            <w:proofErr w:type="spellStart"/>
            <w:r w:rsidRPr="00711A45">
              <w:rPr>
                <w:b/>
                <w:color w:val="000000"/>
                <w:sz w:val="24"/>
                <w:szCs w:val="24"/>
                <w:lang w:val="de-DE"/>
              </w:rPr>
              <w:t>og</w:t>
            </w:r>
            <w:proofErr w:type="spellEnd"/>
            <w:r w:rsidRPr="00711A45">
              <w:rPr>
                <w:b/>
                <w:color w:val="000000"/>
                <w:sz w:val="24"/>
                <w:szCs w:val="24"/>
                <w:lang w:val="de-DE"/>
              </w:rPr>
              <w:t xml:space="preserve"> </w:t>
            </w:r>
            <w:proofErr w:type="spellStart"/>
            <w:r w:rsidRPr="00711A45">
              <w:rPr>
                <w:b/>
                <w:color w:val="000000"/>
                <w:sz w:val="24"/>
                <w:szCs w:val="24"/>
                <w:lang w:val="de-DE"/>
              </w:rPr>
              <w:t>derover</w:t>
            </w:r>
            <w:proofErr w:type="spellEnd"/>
          </w:p>
          <w:p w14:paraId="6CEDB618"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30 mg </w:t>
            </w:r>
            <w:proofErr w:type="spellStart"/>
            <w:r w:rsidRPr="00711A45">
              <w:rPr>
                <w:color w:val="000000"/>
                <w:sz w:val="24"/>
                <w:szCs w:val="24"/>
                <w:lang w:val="de-DE"/>
              </w:rPr>
              <w:t>sultiam</w:t>
            </w:r>
            <w:proofErr w:type="spellEnd"/>
            <w:r w:rsidRPr="00711A45">
              <w:rPr>
                <w:color w:val="000000"/>
                <w:sz w:val="24"/>
                <w:szCs w:val="24"/>
                <w:lang w:val="de-DE"/>
              </w:rPr>
              <w:t xml:space="preserve"> </w:t>
            </w:r>
            <w:proofErr w:type="spellStart"/>
            <w:r w:rsidRPr="00711A45">
              <w:rPr>
                <w:color w:val="000000"/>
                <w:sz w:val="24"/>
                <w:szCs w:val="24"/>
                <w:lang w:val="de-DE"/>
              </w:rPr>
              <w:t>og</w:t>
            </w:r>
            <w:proofErr w:type="spellEnd"/>
            <w:r w:rsidRPr="00711A45">
              <w:rPr>
                <w:color w:val="000000"/>
                <w:sz w:val="24"/>
                <w:szCs w:val="24"/>
                <w:lang w:val="de-DE"/>
              </w:rPr>
              <w:t xml:space="preserve"> </w:t>
            </w:r>
            <w:proofErr w:type="spellStart"/>
            <w:r w:rsidRPr="00711A45">
              <w:rPr>
                <w:color w:val="000000"/>
                <w:sz w:val="24"/>
                <w:szCs w:val="24"/>
                <w:lang w:val="de-DE"/>
              </w:rPr>
              <w:t>derover</w:t>
            </w:r>
            <w:proofErr w:type="spellEnd"/>
            <w:r w:rsidRPr="00711A45">
              <w:rPr>
                <w:color w:val="000000"/>
                <w:sz w:val="24"/>
                <w:szCs w:val="24"/>
                <w:lang w:val="de-DE"/>
              </w:rPr>
              <w:t>)</w:t>
            </w:r>
          </w:p>
        </w:tc>
        <w:tc>
          <w:tcPr>
            <w:tcW w:w="2043" w:type="pct"/>
            <w:tcBorders>
              <w:top w:val="single" w:sz="4" w:space="0" w:color="auto"/>
              <w:left w:val="single" w:sz="4" w:space="0" w:color="auto"/>
              <w:bottom w:val="single" w:sz="4" w:space="0" w:color="auto"/>
              <w:right w:val="single" w:sz="4" w:space="0" w:color="auto"/>
            </w:tcBorders>
            <w:vAlign w:val="center"/>
            <w:hideMark/>
          </w:tcPr>
          <w:p w14:paraId="766FAF2F"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 xml:space="preserve">4,5 </w:t>
            </w:r>
            <w:proofErr w:type="spellStart"/>
            <w:r w:rsidRPr="00711A45">
              <w:rPr>
                <w:color w:val="000000"/>
                <w:sz w:val="24"/>
                <w:szCs w:val="24"/>
                <w:lang w:val="de-DE"/>
              </w:rPr>
              <w:t>og</w:t>
            </w:r>
            <w:proofErr w:type="spellEnd"/>
            <w:r w:rsidRPr="00711A45">
              <w:rPr>
                <w:color w:val="000000"/>
                <w:sz w:val="24"/>
                <w:szCs w:val="24"/>
                <w:lang w:val="de-DE"/>
              </w:rPr>
              <w:t xml:space="preserve"> </w:t>
            </w:r>
            <w:proofErr w:type="spellStart"/>
            <w:r w:rsidRPr="00711A45">
              <w:rPr>
                <w:color w:val="000000"/>
                <w:sz w:val="24"/>
                <w:szCs w:val="24"/>
                <w:lang w:val="de-DE"/>
              </w:rPr>
              <w:t>derover</w:t>
            </w:r>
            <w:proofErr w:type="spellEnd"/>
          </w:p>
          <w:p w14:paraId="35A08E65"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90 mg </w:t>
            </w:r>
            <w:proofErr w:type="spellStart"/>
            <w:r w:rsidRPr="00711A45">
              <w:rPr>
                <w:color w:val="000000"/>
                <w:sz w:val="24"/>
                <w:szCs w:val="24"/>
                <w:lang w:val="de-DE"/>
              </w:rPr>
              <w:t>sultiam</w:t>
            </w:r>
            <w:proofErr w:type="spellEnd"/>
            <w:r w:rsidRPr="00711A45">
              <w:rPr>
                <w:color w:val="000000"/>
                <w:sz w:val="24"/>
                <w:szCs w:val="24"/>
                <w:lang w:val="de-DE"/>
              </w:rPr>
              <w:t xml:space="preserve"> </w:t>
            </w:r>
            <w:proofErr w:type="spellStart"/>
            <w:r w:rsidRPr="00711A45">
              <w:rPr>
                <w:color w:val="000000"/>
                <w:sz w:val="24"/>
                <w:szCs w:val="24"/>
                <w:lang w:val="de-DE"/>
              </w:rPr>
              <w:t>og</w:t>
            </w:r>
            <w:proofErr w:type="spellEnd"/>
            <w:r w:rsidRPr="00711A45">
              <w:rPr>
                <w:color w:val="000000"/>
                <w:sz w:val="24"/>
                <w:szCs w:val="24"/>
                <w:lang w:val="de-DE"/>
              </w:rPr>
              <w:t xml:space="preserve"> </w:t>
            </w:r>
            <w:proofErr w:type="spellStart"/>
            <w:r w:rsidRPr="00711A45">
              <w:rPr>
                <w:color w:val="000000"/>
                <w:sz w:val="24"/>
                <w:szCs w:val="24"/>
                <w:lang w:val="de-DE"/>
              </w:rPr>
              <w:t>derover</w:t>
            </w:r>
            <w:proofErr w:type="spellEnd"/>
            <w:r w:rsidRPr="00711A45">
              <w:rPr>
                <w:color w:val="000000"/>
                <w:sz w:val="24"/>
                <w:szCs w:val="24"/>
                <w:lang w:val="de-DE"/>
              </w:rPr>
              <w:t>)</w:t>
            </w:r>
          </w:p>
        </w:tc>
      </w:tr>
    </w:tbl>
    <w:p w14:paraId="2D776CAC" w14:textId="77777777" w:rsidR="00D60CA9" w:rsidRPr="00711A45" w:rsidRDefault="00D60CA9" w:rsidP="00D60CA9">
      <w:pPr>
        <w:rPr>
          <w:sz w:val="24"/>
          <w:szCs w:val="24"/>
          <w:lang w:eastAsia="de-DE"/>
        </w:rPr>
      </w:pPr>
      <w:r w:rsidRPr="00711A45">
        <w:rPr>
          <w:sz w:val="24"/>
          <w:szCs w:val="24"/>
        </w:rPr>
        <w:t xml:space="preserve">*1 ml </w:t>
      </w:r>
      <w:proofErr w:type="spellStart"/>
      <w:r w:rsidRPr="00711A45">
        <w:rPr>
          <w:sz w:val="24"/>
          <w:szCs w:val="24"/>
        </w:rPr>
        <w:t>Ospolot</w:t>
      </w:r>
      <w:proofErr w:type="spellEnd"/>
      <w:r w:rsidRPr="00711A45">
        <w:rPr>
          <w:sz w:val="24"/>
          <w:szCs w:val="24"/>
        </w:rPr>
        <w:t xml:space="preserve"> i oral suspension indeholder 20 mg </w:t>
      </w:r>
      <w:proofErr w:type="spellStart"/>
      <w:r w:rsidRPr="00711A45">
        <w:rPr>
          <w:sz w:val="24"/>
          <w:szCs w:val="24"/>
        </w:rPr>
        <w:t>sultiam</w:t>
      </w:r>
      <w:proofErr w:type="spellEnd"/>
      <w:r w:rsidRPr="00711A45">
        <w:rPr>
          <w:sz w:val="24"/>
          <w:szCs w:val="24"/>
        </w:rPr>
        <w:t xml:space="preserve"> =&gt; 0,25 ml = 5 mg </w:t>
      </w:r>
      <w:proofErr w:type="spellStart"/>
      <w:r w:rsidRPr="00711A45">
        <w:rPr>
          <w:sz w:val="24"/>
          <w:szCs w:val="24"/>
        </w:rPr>
        <w:t>sultiam</w:t>
      </w:r>
      <w:proofErr w:type="spellEnd"/>
    </w:p>
    <w:p w14:paraId="5990CA0A" w14:textId="77777777" w:rsidR="00D60CA9" w:rsidRPr="00711A45" w:rsidRDefault="00D60CA9" w:rsidP="00D60CA9">
      <w:pPr>
        <w:rPr>
          <w:sz w:val="24"/>
          <w:szCs w:val="24"/>
        </w:rPr>
      </w:pPr>
    </w:p>
    <w:p w14:paraId="22A3CD62" w14:textId="77777777" w:rsidR="00D60CA9" w:rsidRPr="00711A45" w:rsidRDefault="00D60CA9" w:rsidP="00D60CA9">
      <w:pPr>
        <w:rPr>
          <w:sz w:val="24"/>
          <w:szCs w:val="24"/>
        </w:rPr>
      </w:pPr>
      <w:r w:rsidRPr="00711A45">
        <w:rPr>
          <w:sz w:val="24"/>
          <w:szCs w:val="24"/>
        </w:rPr>
        <w:t>Tabel 2</w:t>
      </w:r>
    </w:p>
    <w:tbl>
      <w:tblPr>
        <w:tblW w:w="5000" w:type="pct"/>
        <w:tblLook w:val="04A0" w:firstRow="1" w:lastRow="0" w:firstColumn="1" w:lastColumn="0" w:noHBand="0" w:noVBand="1"/>
      </w:tblPr>
      <w:tblGrid>
        <w:gridCol w:w="1760"/>
        <w:gridCol w:w="3934"/>
        <w:gridCol w:w="3934"/>
      </w:tblGrid>
      <w:tr w:rsidR="00D60CA9" w:rsidRPr="00711A45" w14:paraId="32D04D6D" w14:textId="77777777" w:rsidTr="00A36972">
        <w:trPr>
          <w:trHeight w:val="335"/>
        </w:trPr>
        <w:tc>
          <w:tcPr>
            <w:tcW w:w="914" w:type="pct"/>
            <w:vMerge w:val="restart"/>
            <w:tcBorders>
              <w:top w:val="single" w:sz="6" w:space="0" w:color="000000"/>
              <w:left w:val="single" w:sz="4" w:space="0" w:color="000000"/>
              <w:bottom w:val="single" w:sz="4" w:space="0" w:color="000000"/>
              <w:right w:val="single" w:sz="4" w:space="0" w:color="000000"/>
            </w:tcBorders>
            <w:vAlign w:val="center"/>
            <w:hideMark/>
          </w:tcPr>
          <w:p w14:paraId="010AE3B9" w14:textId="77777777" w:rsidR="00D60CA9" w:rsidRPr="00711A45" w:rsidRDefault="00D60CA9">
            <w:pPr>
              <w:adjustRightInd w:val="0"/>
              <w:spacing w:after="60"/>
              <w:rPr>
                <w:rFonts w:eastAsia="Calibri"/>
                <w:color w:val="000000"/>
                <w:sz w:val="24"/>
                <w:szCs w:val="24"/>
                <w:lang w:val="de-DE"/>
              </w:rPr>
            </w:pPr>
            <w:proofErr w:type="spellStart"/>
            <w:r w:rsidRPr="00711A45">
              <w:rPr>
                <w:b/>
                <w:color w:val="000000"/>
                <w:sz w:val="24"/>
                <w:szCs w:val="24"/>
                <w:lang w:val="de-DE"/>
              </w:rPr>
              <w:t>Patientens</w:t>
            </w:r>
            <w:proofErr w:type="spellEnd"/>
            <w:r w:rsidRPr="00711A45">
              <w:rPr>
                <w:b/>
                <w:color w:val="000000"/>
                <w:sz w:val="24"/>
                <w:szCs w:val="24"/>
                <w:lang w:val="de-DE"/>
              </w:rPr>
              <w:t xml:space="preserve"> </w:t>
            </w:r>
            <w:proofErr w:type="spellStart"/>
            <w:r w:rsidRPr="00711A45">
              <w:rPr>
                <w:b/>
                <w:color w:val="000000"/>
                <w:sz w:val="24"/>
                <w:szCs w:val="24"/>
                <w:lang w:val="de-DE"/>
              </w:rPr>
              <w:t>vægt</w:t>
            </w:r>
            <w:proofErr w:type="spellEnd"/>
          </w:p>
        </w:tc>
        <w:tc>
          <w:tcPr>
            <w:tcW w:w="4086" w:type="pct"/>
            <w:gridSpan w:val="2"/>
            <w:tcBorders>
              <w:top w:val="single" w:sz="6" w:space="0" w:color="000000"/>
              <w:left w:val="single" w:sz="4" w:space="0" w:color="000000"/>
              <w:bottom w:val="nil"/>
              <w:right w:val="single" w:sz="4" w:space="0" w:color="auto"/>
            </w:tcBorders>
            <w:vAlign w:val="center"/>
            <w:hideMark/>
          </w:tcPr>
          <w:p w14:paraId="19CEEFC0" w14:textId="77777777" w:rsidR="00D60CA9" w:rsidRPr="00711A45" w:rsidRDefault="00D60CA9">
            <w:pPr>
              <w:adjustRightInd w:val="0"/>
              <w:spacing w:after="60"/>
              <w:jc w:val="center"/>
              <w:rPr>
                <w:rFonts w:eastAsia="Calibri"/>
                <w:color w:val="000000"/>
                <w:sz w:val="24"/>
                <w:szCs w:val="24"/>
                <w:lang w:val="de-DE"/>
              </w:rPr>
            </w:pPr>
            <w:proofErr w:type="spellStart"/>
            <w:r w:rsidRPr="00711A45">
              <w:rPr>
                <w:color w:val="000000"/>
                <w:sz w:val="24"/>
                <w:szCs w:val="24"/>
                <w:lang w:val="de-DE"/>
              </w:rPr>
              <w:t>Vedligeholdelsesdosis</w:t>
            </w:r>
            <w:proofErr w:type="spellEnd"/>
            <w:r w:rsidRPr="00711A45">
              <w:rPr>
                <w:color w:val="000000"/>
                <w:sz w:val="24"/>
                <w:szCs w:val="24"/>
                <w:lang w:val="de-DE"/>
              </w:rPr>
              <w:t xml:space="preserve">: </w:t>
            </w:r>
            <w:r w:rsidRPr="00711A45">
              <w:rPr>
                <w:b/>
                <w:color w:val="000000"/>
                <w:sz w:val="24"/>
                <w:szCs w:val="24"/>
                <w:lang w:val="de-DE"/>
              </w:rPr>
              <w:t xml:space="preserve">5 mg* </w:t>
            </w:r>
            <w:proofErr w:type="spellStart"/>
            <w:r w:rsidRPr="00711A45">
              <w:rPr>
                <w:b/>
                <w:color w:val="000000"/>
                <w:sz w:val="24"/>
                <w:szCs w:val="24"/>
                <w:lang w:val="de-DE"/>
              </w:rPr>
              <w:t>sultiam</w:t>
            </w:r>
            <w:proofErr w:type="spellEnd"/>
            <w:r w:rsidRPr="00711A45">
              <w:rPr>
                <w:b/>
                <w:color w:val="000000"/>
                <w:sz w:val="24"/>
                <w:szCs w:val="24"/>
                <w:lang w:val="de-DE"/>
              </w:rPr>
              <w:t xml:space="preserve"> </w:t>
            </w:r>
            <w:proofErr w:type="spellStart"/>
            <w:r w:rsidRPr="00711A45">
              <w:rPr>
                <w:b/>
                <w:color w:val="000000"/>
                <w:sz w:val="24"/>
                <w:szCs w:val="24"/>
                <w:lang w:val="de-DE"/>
              </w:rPr>
              <w:t>pr</w:t>
            </w:r>
            <w:proofErr w:type="spellEnd"/>
            <w:r w:rsidRPr="00711A45">
              <w:rPr>
                <w:b/>
                <w:color w:val="000000"/>
                <w:sz w:val="24"/>
                <w:szCs w:val="24"/>
                <w:lang w:val="de-DE"/>
              </w:rPr>
              <w:t xml:space="preserve">. kg </w:t>
            </w:r>
            <w:proofErr w:type="spellStart"/>
            <w:r w:rsidRPr="00711A45">
              <w:rPr>
                <w:b/>
                <w:color w:val="000000"/>
                <w:sz w:val="24"/>
                <w:szCs w:val="24"/>
                <w:lang w:val="de-DE"/>
              </w:rPr>
              <w:t>pr</w:t>
            </w:r>
            <w:proofErr w:type="spellEnd"/>
            <w:r w:rsidRPr="00711A45">
              <w:rPr>
                <w:b/>
                <w:color w:val="000000"/>
                <w:sz w:val="24"/>
                <w:szCs w:val="24"/>
                <w:lang w:val="de-DE"/>
              </w:rPr>
              <w:t xml:space="preserve">. </w:t>
            </w:r>
            <w:proofErr w:type="spellStart"/>
            <w:r w:rsidRPr="00711A45">
              <w:rPr>
                <w:b/>
                <w:color w:val="000000"/>
                <w:sz w:val="24"/>
                <w:szCs w:val="24"/>
                <w:lang w:val="de-DE"/>
              </w:rPr>
              <w:t>dag</w:t>
            </w:r>
            <w:proofErr w:type="spellEnd"/>
          </w:p>
        </w:tc>
      </w:tr>
      <w:tr w:rsidR="00D60CA9" w:rsidRPr="00711A45" w14:paraId="0EDAEF21" w14:textId="77777777" w:rsidTr="00A36972">
        <w:trPr>
          <w:trHeight w:val="335"/>
        </w:trPr>
        <w:tc>
          <w:tcPr>
            <w:tcW w:w="914" w:type="pct"/>
            <w:vMerge/>
            <w:tcBorders>
              <w:top w:val="single" w:sz="6" w:space="0" w:color="000000"/>
              <w:left w:val="single" w:sz="4" w:space="0" w:color="000000"/>
              <w:bottom w:val="single" w:sz="4" w:space="0" w:color="000000"/>
              <w:right w:val="single" w:sz="4" w:space="0" w:color="000000"/>
            </w:tcBorders>
            <w:vAlign w:val="center"/>
            <w:hideMark/>
          </w:tcPr>
          <w:p w14:paraId="7C37282C" w14:textId="77777777" w:rsidR="00D60CA9" w:rsidRPr="00711A45" w:rsidRDefault="00D60CA9">
            <w:pPr>
              <w:rPr>
                <w:rFonts w:eastAsia="Calibri"/>
                <w:color w:val="000000"/>
                <w:sz w:val="24"/>
                <w:szCs w:val="24"/>
                <w:lang w:val="de-DE" w:eastAsia="de-DE"/>
              </w:rPr>
            </w:pPr>
          </w:p>
        </w:tc>
        <w:tc>
          <w:tcPr>
            <w:tcW w:w="2043" w:type="pct"/>
            <w:tcBorders>
              <w:top w:val="single" w:sz="6" w:space="0" w:color="000000"/>
              <w:left w:val="single" w:sz="4" w:space="0" w:color="000000"/>
              <w:bottom w:val="single" w:sz="4" w:space="0" w:color="000000"/>
              <w:right w:val="single" w:sz="4" w:space="0" w:color="auto"/>
            </w:tcBorders>
            <w:vAlign w:val="center"/>
            <w:hideMark/>
          </w:tcPr>
          <w:p w14:paraId="6B0D12CF" w14:textId="77777777" w:rsidR="00D60CA9" w:rsidRPr="00711A45" w:rsidRDefault="00D60CA9">
            <w:pPr>
              <w:adjustRightInd w:val="0"/>
              <w:spacing w:after="60"/>
              <w:jc w:val="center"/>
              <w:rPr>
                <w:rFonts w:eastAsia="Calibri"/>
                <w:b/>
                <w:color w:val="000000"/>
                <w:sz w:val="24"/>
                <w:szCs w:val="24"/>
                <w:lang w:val="de-DE"/>
              </w:rPr>
            </w:pPr>
            <w:proofErr w:type="spellStart"/>
            <w:r w:rsidRPr="00711A45">
              <w:rPr>
                <w:b/>
                <w:color w:val="000000"/>
                <w:sz w:val="24"/>
                <w:szCs w:val="24"/>
                <w:lang w:val="de-DE"/>
              </w:rPr>
              <w:t>Enkeltdosis</w:t>
            </w:r>
            <w:proofErr w:type="spellEnd"/>
          </w:p>
          <w:p w14:paraId="6F978A4E"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w:t>
            </w:r>
            <w:proofErr w:type="spellStart"/>
            <w:r w:rsidRPr="00711A45">
              <w:rPr>
                <w:b/>
                <w:color w:val="000000"/>
                <w:sz w:val="24"/>
                <w:szCs w:val="24"/>
                <w:lang w:val="de-DE"/>
              </w:rPr>
              <w:t>gives</w:t>
            </w:r>
            <w:proofErr w:type="spellEnd"/>
            <w:r w:rsidRPr="00711A45">
              <w:rPr>
                <w:b/>
                <w:color w:val="000000"/>
                <w:sz w:val="24"/>
                <w:szCs w:val="24"/>
                <w:lang w:val="de-DE"/>
              </w:rPr>
              <w:t xml:space="preserve"> </w:t>
            </w:r>
            <w:r w:rsidRPr="00711A45">
              <w:rPr>
                <w:b/>
                <w:color w:val="000000"/>
                <w:sz w:val="24"/>
                <w:szCs w:val="24"/>
                <w:u w:val="single"/>
                <w:lang w:val="de-DE"/>
              </w:rPr>
              <w:t>3</w:t>
            </w:r>
            <w:r w:rsidRPr="00711A45">
              <w:rPr>
                <w:b/>
                <w:color w:val="000000"/>
                <w:sz w:val="24"/>
                <w:szCs w:val="24"/>
                <w:lang w:val="de-DE"/>
              </w:rPr>
              <w:t xml:space="preserve"> </w:t>
            </w:r>
            <w:proofErr w:type="spellStart"/>
            <w:r w:rsidRPr="00711A45">
              <w:rPr>
                <w:b/>
                <w:color w:val="000000"/>
                <w:sz w:val="24"/>
                <w:szCs w:val="24"/>
                <w:lang w:val="de-DE"/>
              </w:rPr>
              <w:t>gange</w:t>
            </w:r>
            <w:proofErr w:type="spellEnd"/>
            <w:r w:rsidRPr="00711A45">
              <w:rPr>
                <w:b/>
                <w:color w:val="000000"/>
                <w:sz w:val="24"/>
                <w:szCs w:val="24"/>
                <w:lang w:val="de-DE"/>
              </w:rPr>
              <w:t xml:space="preserve"> </w:t>
            </w:r>
            <w:proofErr w:type="spellStart"/>
            <w:r w:rsidRPr="00711A45">
              <w:rPr>
                <w:b/>
                <w:color w:val="000000"/>
                <w:sz w:val="24"/>
                <w:szCs w:val="24"/>
                <w:lang w:val="de-DE"/>
              </w:rPr>
              <w:t>dagligt</w:t>
            </w:r>
            <w:proofErr w:type="spellEnd"/>
            <w:r w:rsidRPr="00711A45">
              <w:rPr>
                <w:b/>
                <w:color w:val="000000"/>
                <w:sz w:val="24"/>
                <w:szCs w:val="24"/>
                <w:lang w:val="de-DE"/>
              </w:rPr>
              <w:t>)</w:t>
            </w:r>
          </w:p>
        </w:tc>
        <w:tc>
          <w:tcPr>
            <w:tcW w:w="2043" w:type="pct"/>
            <w:tcBorders>
              <w:top w:val="single" w:sz="4" w:space="0" w:color="auto"/>
              <w:left w:val="single" w:sz="4" w:space="0" w:color="auto"/>
              <w:bottom w:val="single" w:sz="4" w:space="0" w:color="auto"/>
              <w:right w:val="single" w:sz="4" w:space="0" w:color="auto"/>
            </w:tcBorders>
            <w:vAlign w:val="center"/>
            <w:hideMark/>
          </w:tcPr>
          <w:p w14:paraId="23A1BCF6" w14:textId="77777777" w:rsidR="00D60CA9" w:rsidRPr="00711A45" w:rsidRDefault="00D60CA9">
            <w:pPr>
              <w:adjustRightInd w:val="0"/>
              <w:spacing w:after="60"/>
              <w:jc w:val="center"/>
              <w:rPr>
                <w:rFonts w:eastAsia="Calibri"/>
                <w:b/>
                <w:color w:val="000000"/>
                <w:sz w:val="24"/>
                <w:szCs w:val="24"/>
                <w:lang w:val="de-DE"/>
              </w:rPr>
            </w:pPr>
            <w:proofErr w:type="spellStart"/>
            <w:r w:rsidRPr="00711A45">
              <w:rPr>
                <w:b/>
                <w:color w:val="000000"/>
                <w:sz w:val="24"/>
                <w:szCs w:val="24"/>
                <w:lang w:val="de-DE"/>
              </w:rPr>
              <w:t>Samlet</w:t>
            </w:r>
            <w:proofErr w:type="spellEnd"/>
            <w:r w:rsidRPr="00711A45">
              <w:rPr>
                <w:b/>
                <w:color w:val="000000"/>
                <w:sz w:val="24"/>
                <w:szCs w:val="24"/>
                <w:lang w:val="de-DE"/>
              </w:rPr>
              <w:t xml:space="preserve"> </w:t>
            </w:r>
            <w:proofErr w:type="spellStart"/>
            <w:r w:rsidRPr="00711A45">
              <w:rPr>
                <w:b/>
                <w:color w:val="000000"/>
                <w:sz w:val="24"/>
                <w:szCs w:val="24"/>
                <w:lang w:val="de-DE"/>
              </w:rPr>
              <w:t>daglig</w:t>
            </w:r>
            <w:proofErr w:type="spellEnd"/>
            <w:r w:rsidRPr="00711A45">
              <w:rPr>
                <w:b/>
                <w:color w:val="000000"/>
                <w:sz w:val="24"/>
                <w:szCs w:val="24"/>
                <w:lang w:val="de-DE"/>
              </w:rPr>
              <w:t xml:space="preserve"> </w:t>
            </w:r>
            <w:proofErr w:type="spellStart"/>
            <w:r w:rsidRPr="00711A45">
              <w:rPr>
                <w:b/>
                <w:color w:val="000000"/>
                <w:sz w:val="24"/>
                <w:szCs w:val="24"/>
                <w:lang w:val="de-DE"/>
              </w:rPr>
              <w:t>dosis</w:t>
            </w:r>
            <w:proofErr w:type="spellEnd"/>
          </w:p>
        </w:tc>
      </w:tr>
      <w:tr w:rsidR="00D60CA9" w:rsidRPr="00711A45" w14:paraId="04B08722" w14:textId="77777777" w:rsidTr="00A36972">
        <w:trPr>
          <w:trHeight w:val="270"/>
        </w:trPr>
        <w:tc>
          <w:tcPr>
            <w:tcW w:w="914" w:type="pct"/>
            <w:tcBorders>
              <w:top w:val="single" w:sz="4" w:space="0" w:color="000000"/>
              <w:left w:val="single" w:sz="4" w:space="0" w:color="000000"/>
              <w:bottom w:val="single" w:sz="4" w:space="0" w:color="000000"/>
              <w:right w:val="single" w:sz="4" w:space="0" w:color="000000"/>
            </w:tcBorders>
            <w:vAlign w:val="center"/>
            <w:hideMark/>
          </w:tcPr>
          <w:p w14:paraId="00147C97"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12-18 kg</w:t>
            </w:r>
          </w:p>
        </w:tc>
        <w:tc>
          <w:tcPr>
            <w:tcW w:w="2043" w:type="pct"/>
            <w:tcBorders>
              <w:top w:val="single" w:sz="4" w:space="0" w:color="000000"/>
              <w:left w:val="single" w:sz="4" w:space="0" w:color="000000"/>
              <w:bottom w:val="single" w:sz="4" w:space="0" w:color="000000"/>
              <w:right w:val="single" w:sz="4" w:space="0" w:color="auto"/>
            </w:tcBorders>
            <w:vAlign w:val="center"/>
            <w:hideMark/>
          </w:tcPr>
          <w:p w14:paraId="2CFC57CA"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1,0-1,5 ml</w:t>
            </w:r>
          </w:p>
          <w:p w14:paraId="67C0BD4B"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20-30 mg </w:t>
            </w:r>
            <w:proofErr w:type="spellStart"/>
            <w:r w:rsidRPr="00711A45">
              <w:rPr>
                <w:color w:val="000000"/>
                <w:sz w:val="24"/>
                <w:szCs w:val="24"/>
                <w:lang w:val="de-DE"/>
              </w:rPr>
              <w:t>sultiam</w:t>
            </w:r>
            <w:proofErr w:type="spellEnd"/>
            <w:r w:rsidRPr="00711A45">
              <w:rPr>
                <w:color w:val="000000"/>
                <w:sz w:val="24"/>
                <w:szCs w:val="24"/>
                <w:lang w:val="de-DE"/>
              </w:rPr>
              <w:t>)</w:t>
            </w:r>
          </w:p>
        </w:tc>
        <w:tc>
          <w:tcPr>
            <w:tcW w:w="2043" w:type="pct"/>
            <w:tcBorders>
              <w:top w:val="single" w:sz="4" w:space="0" w:color="auto"/>
              <w:left w:val="single" w:sz="4" w:space="0" w:color="auto"/>
              <w:bottom w:val="single" w:sz="4" w:space="0" w:color="auto"/>
              <w:right w:val="single" w:sz="4" w:space="0" w:color="auto"/>
            </w:tcBorders>
            <w:vAlign w:val="center"/>
            <w:hideMark/>
          </w:tcPr>
          <w:p w14:paraId="682AD6B6"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3,0-4,5 ml</w:t>
            </w:r>
          </w:p>
          <w:p w14:paraId="4E7BF69B"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60-90 mg </w:t>
            </w:r>
            <w:proofErr w:type="spellStart"/>
            <w:r w:rsidRPr="00711A45">
              <w:rPr>
                <w:color w:val="000000"/>
                <w:sz w:val="24"/>
                <w:szCs w:val="24"/>
                <w:lang w:val="de-DE"/>
              </w:rPr>
              <w:t>sultiam</w:t>
            </w:r>
            <w:proofErr w:type="spellEnd"/>
            <w:r w:rsidRPr="00711A45">
              <w:rPr>
                <w:color w:val="000000"/>
                <w:sz w:val="24"/>
                <w:szCs w:val="24"/>
                <w:lang w:val="de-DE"/>
              </w:rPr>
              <w:t>)</w:t>
            </w:r>
          </w:p>
        </w:tc>
      </w:tr>
      <w:tr w:rsidR="00D60CA9" w:rsidRPr="00711A45" w14:paraId="70AE35A3" w14:textId="77777777" w:rsidTr="00A36972">
        <w:trPr>
          <w:trHeight w:val="270"/>
        </w:trPr>
        <w:tc>
          <w:tcPr>
            <w:tcW w:w="914" w:type="pct"/>
            <w:tcBorders>
              <w:top w:val="single" w:sz="4" w:space="0" w:color="000000"/>
              <w:left w:val="single" w:sz="4" w:space="0" w:color="000000"/>
              <w:bottom w:val="single" w:sz="4" w:space="0" w:color="000000"/>
              <w:right w:val="single" w:sz="4" w:space="0" w:color="000000"/>
            </w:tcBorders>
            <w:vAlign w:val="center"/>
            <w:hideMark/>
          </w:tcPr>
          <w:p w14:paraId="033CC945"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18-24 kg</w:t>
            </w:r>
          </w:p>
        </w:tc>
        <w:tc>
          <w:tcPr>
            <w:tcW w:w="2043" w:type="pct"/>
            <w:tcBorders>
              <w:top w:val="single" w:sz="4" w:space="0" w:color="000000"/>
              <w:left w:val="single" w:sz="4" w:space="0" w:color="000000"/>
              <w:bottom w:val="single" w:sz="4" w:space="0" w:color="000000"/>
              <w:right w:val="single" w:sz="4" w:space="0" w:color="auto"/>
            </w:tcBorders>
            <w:vAlign w:val="center"/>
            <w:hideMark/>
          </w:tcPr>
          <w:p w14:paraId="4E020C18"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1,5-2,0 ml</w:t>
            </w:r>
          </w:p>
          <w:p w14:paraId="3F96DF1F"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lastRenderedPageBreak/>
              <w:t>(</w:t>
            </w:r>
            <w:proofErr w:type="spellStart"/>
            <w:r w:rsidRPr="00711A45">
              <w:rPr>
                <w:color w:val="000000"/>
                <w:sz w:val="24"/>
                <w:szCs w:val="24"/>
                <w:lang w:val="de-DE"/>
              </w:rPr>
              <w:t>svarende</w:t>
            </w:r>
            <w:proofErr w:type="spellEnd"/>
            <w:r w:rsidRPr="00711A45">
              <w:rPr>
                <w:color w:val="000000"/>
                <w:sz w:val="24"/>
                <w:szCs w:val="24"/>
                <w:lang w:val="de-DE"/>
              </w:rPr>
              <w:t xml:space="preserve"> til 30-40 mg </w:t>
            </w:r>
            <w:proofErr w:type="spellStart"/>
            <w:r w:rsidRPr="00711A45">
              <w:rPr>
                <w:color w:val="000000"/>
                <w:sz w:val="24"/>
                <w:szCs w:val="24"/>
                <w:lang w:val="de-DE"/>
              </w:rPr>
              <w:t>sultiam</w:t>
            </w:r>
            <w:proofErr w:type="spellEnd"/>
            <w:r w:rsidRPr="00711A45">
              <w:rPr>
                <w:color w:val="000000"/>
                <w:sz w:val="24"/>
                <w:szCs w:val="24"/>
                <w:lang w:val="de-DE"/>
              </w:rPr>
              <w:t>)</w:t>
            </w:r>
          </w:p>
        </w:tc>
        <w:tc>
          <w:tcPr>
            <w:tcW w:w="2043" w:type="pct"/>
            <w:tcBorders>
              <w:top w:val="single" w:sz="4" w:space="0" w:color="auto"/>
              <w:left w:val="single" w:sz="4" w:space="0" w:color="auto"/>
              <w:bottom w:val="single" w:sz="4" w:space="0" w:color="auto"/>
              <w:right w:val="single" w:sz="4" w:space="0" w:color="auto"/>
            </w:tcBorders>
            <w:vAlign w:val="center"/>
            <w:hideMark/>
          </w:tcPr>
          <w:p w14:paraId="19FA700C"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lastRenderedPageBreak/>
              <w:t>4,5-6,0 ml</w:t>
            </w:r>
          </w:p>
          <w:p w14:paraId="37A93049"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lastRenderedPageBreak/>
              <w:t>(</w:t>
            </w:r>
            <w:proofErr w:type="spellStart"/>
            <w:r w:rsidRPr="00711A45">
              <w:rPr>
                <w:color w:val="000000"/>
                <w:sz w:val="24"/>
                <w:szCs w:val="24"/>
                <w:lang w:val="de-DE"/>
              </w:rPr>
              <w:t>svarende</w:t>
            </w:r>
            <w:proofErr w:type="spellEnd"/>
            <w:r w:rsidRPr="00711A45">
              <w:rPr>
                <w:color w:val="000000"/>
                <w:sz w:val="24"/>
                <w:szCs w:val="24"/>
                <w:lang w:val="de-DE"/>
              </w:rPr>
              <w:t xml:space="preserve"> til 90-120 mg </w:t>
            </w:r>
            <w:proofErr w:type="spellStart"/>
            <w:r w:rsidRPr="00711A45">
              <w:rPr>
                <w:color w:val="000000"/>
                <w:sz w:val="24"/>
                <w:szCs w:val="24"/>
                <w:lang w:val="de-DE"/>
              </w:rPr>
              <w:t>sultiam</w:t>
            </w:r>
            <w:proofErr w:type="spellEnd"/>
            <w:r w:rsidRPr="00711A45">
              <w:rPr>
                <w:color w:val="000000"/>
                <w:sz w:val="24"/>
                <w:szCs w:val="24"/>
                <w:lang w:val="de-DE"/>
              </w:rPr>
              <w:t>)</w:t>
            </w:r>
          </w:p>
        </w:tc>
      </w:tr>
      <w:tr w:rsidR="00D60CA9" w:rsidRPr="00711A45" w14:paraId="1A9308DF" w14:textId="77777777" w:rsidTr="00A36972">
        <w:trPr>
          <w:trHeight w:val="272"/>
        </w:trPr>
        <w:tc>
          <w:tcPr>
            <w:tcW w:w="914" w:type="pct"/>
            <w:tcBorders>
              <w:top w:val="single" w:sz="4" w:space="0" w:color="000000"/>
              <w:left w:val="single" w:sz="4" w:space="0" w:color="000000"/>
              <w:bottom w:val="single" w:sz="6" w:space="0" w:color="000000"/>
              <w:right w:val="single" w:sz="4" w:space="0" w:color="000000"/>
            </w:tcBorders>
            <w:vAlign w:val="center"/>
            <w:hideMark/>
          </w:tcPr>
          <w:p w14:paraId="664C953D"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lastRenderedPageBreak/>
              <w:t>24-30 kg</w:t>
            </w:r>
          </w:p>
        </w:tc>
        <w:tc>
          <w:tcPr>
            <w:tcW w:w="2043" w:type="pct"/>
            <w:tcBorders>
              <w:top w:val="single" w:sz="4" w:space="0" w:color="000000"/>
              <w:left w:val="single" w:sz="4" w:space="0" w:color="000000"/>
              <w:bottom w:val="single" w:sz="6" w:space="0" w:color="000000"/>
              <w:right w:val="single" w:sz="4" w:space="0" w:color="auto"/>
            </w:tcBorders>
            <w:vAlign w:val="center"/>
            <w:hideMark/>
          </w:tcPr>
          <w:p w14:paraId="23063C13" w14:textId="77777777" w:rsidR="00D60CA9" w:rsidRPr="00711A45" w:rsidRDefault="00D60CA9">
            <w:pPr>
              <w:adjustRightInd w:val="0"/>
              <w:spacing w:after="60"/>
              <w:jc w:val="center"/>
              <w:rPr>
                <w:rFonts w:eastAsia="Calibri"/>
                <w:b/>
                <w:color w:val="000000"/>
                <w:sz w:val="24"/>
                <w:szCs w:val="24"/>
                <w:lang w:val="de-DE"/>
              </w:rPr>
            </w:pPr>
            <w:r w:rsidRPr="00711A45">
              <w:rPr>
                <w:b/>
                <w:bCs/>
                <w:color w:val="000000"/>
                <w:sz w:val="24"/>
                <w:szCs w:val="24"/>
                <w:lang w:val="de-DE"/>
              </w:rPr>
              <w:t>2,0-2,5 ml</w:t>
            </w:r>
          </w:p>
          <w:p w14:paraId="413B627E"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40-50 mg </w:t>
            </w:r>
            <w:proofErr w:type="spellStart"/>
            <w:r w:rsidRPr="00711A45">
              <w:rPr>
                <w:color w:val="000000"/>
                <w:sz w:val="24"/>
                <w:szCs w:val="24"/>
                <w:lang w:val="de-DE"/>
              </w:rPr>
              <w:t>sultiam</w:t>
            </w:r>
            <w:proofErr w:type="spellEnd"/>
            <w:r w:rsidRPr="00711A45">
              <w:rPr>
                <w:color w:val="000000"/>
                <w:sz w:val="24"/>
                <w:szCs w:val="24"/>
                <w:lang w:val="de-DE"/>
              </w:rPr>
              <w:t>)</w:t>
            </w:r>
          </w:p>
        </w:tc>
        <w:tc>
          <w:tcPr>
            <w:tcW w:w="2043" w:type="pct"/>
            <w:tcBorders>
              <w:top w:val="single" w:sz="4" w:space="0" w:color="auto"/>
              <w:left w:val="single" w:sz="4" w:space="0" w:color="auto"/>
              <w:bottom w:val="single" w:sz="4" w:space="0" w:color="auto"/>
              <w:right w:val="single" w:sz="4" w:space="0" w:color="auto"/>
            </w:tcBorders>
            <w:vAlign w:val="center"/>
            <w:hideMark/>
          </w:tcPr>
          <w:p w14:paraId="1E3E6174"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6,0-7,5 ml</w:t>
            </w:r>
          </w:p>
          <w:p w14:paraId="5A2D6546"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120-150 mg </w:t>
            </w:r>
            <w:proofErr w:type="spellStart"/>
            <w:r w:rsidRPr="00711A45">
              <w:rPr>
                <w:color w:val="000000"/>
                <w:sz w:val="24"/>
                <w:szCs w:val="24"/>
                <w:lang w:val="de-DE"/>
              </w:rPr>
              <w:t>sultiam</w:t>
            </w:r>
            <w:proofErr w:type="spellEnd"/>
            <w:r w:rsidRPr="00711A45">
              <w:rPr>
                <w:color w:val="000000"/>
                <w:sz w:val="24"/>
                <w:szCs w:val="24"/>
                <w:lang w:val="de-DE"/>
              </w:rPr>
              <w:t>)</w:t>
            </w:r>
          </w:p>
        </w:tc>
      </w:tr>
      <w:tr w:rsidR="00D60CA9" w:rsidRPr="00711A45" w14:paraId="5B65E838" w14:textId="77777777" w:rsidTr="00A36972">
        <w:trPr>
          <w:trHeight w:val="272"/>
        </w:trPr>
        <w:tc>
          <w:tcPr>
            <w:tcW w:w="914" w:type="pct"/>
            <w:tcBorders>
              <w:top w:val="single" w:sz="4" w:space="0" w:color="000000"/>
              <w:left w:val="single" w:sz="4" w:space="0" w:color="000000"/>
              <w:bottom w:val="single" w:sz="6" w:space="0" w:color="000000"/>
              <w:right w:val="single" w:sz="4" w:space="0" w:color="000000"/>
            </w:tcBorders>
            <w:vAlign w:val="center"/>
            <w:hideMark/>
          </w:tcPr>
          <w:p w14:paraId="15C80FB5"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30-36 kg</w:t>
            </w:r>
          </w:p>
        </w:tc>
        <w:tc>
          <w:tcPr>
            <w:tcW w:w="2043" w:type="pct"/>
            <w:tcBorders>
              <w:top w:val="single" w:sz="4" w:space="0" w:color="000000"/>
              <w:left w:val="single" w:sz="4" w:space="0" w:color="000000"/>
              <w:bottom w:val="single" w:sz="6" w:space="0" w:color="000000"/>
              <w:right w:val="single" w:sz="4" w:space="0" w:color="auto"/>
            </w:tcBorders>
            <w:vAlign w:val="center"/>
            <w:hideMark/>
          </w:tcPr>
          <w:p w14:paraId="370F4B2D"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2,5-3,0 ml</w:t>
            </w:r>
          </w:p>
          <w:p w14:paraId="60C3CE91"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50-60 mg </w:t>
            </w:r>
            <w:proofErr w:type="spellStart"/>
            <w:r w:rsidRPr="00711A45">
              <w:rPr>
                <w:color w:val="000000"/>
                <w:sz w:val="24"/>
                <w:szCs w:val="24"/>
                <w:lang w:val="de-DE"/>
              </w:rPr>
              <w:t>sultiam</w:t>
            </w:r>
            <w:proofErr w:type="spellEnd"/>
            <w:r w:rsidRPr="00711A45">
              <w:rPr>
                <w:color w:val="000000"/>
                <w:sz w:val="24"/>
                <w:szCs w:val="24"/>
                <w:lang w:val="de-DE"/>
              </w:rPr>
              <w:t>)</w:t>
            </w:r>
          </w:p>
        </w:tc>
        <w:tc>
          <w:tcPr>
            <w:tcW w:w="2043" w:type="pct"/>
            <w:tcBorders>
              <w:top w:val="single" w:sz="4" w:space="0" w:color="auto"/>
              <w:left w:val="single" w:sz="4" w:space="0" w:color="auto"/>
              <w:bottom w:val="single" w:sz="4" w:space="0" w:color="auto"/>
              <w:right w:val="single" w:sz="4" w:space="0" w:color="auto"/>
            </w:tcBorders>
            <w:vAlign w:val="center"/>
            <w:hideMark/>
          </w:tcPr>
          <w:p w14:paraId="52D88CFB"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7,5-9,0 ml</w:t>
            </w:r>
          </w:p>
          <w:p w14:paraId="58A56022"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150-180 mg </w:t>
            </w:r>
            <w:proofErr w:type="spellStart"/>
            <w:r w:rsidRPr="00711A45">
              <w:rPr>
                <w:color w:val="000000"/>
                <w:sz w:val="24"/>
                <w:szCs w:val="24"/>
                <w:lang w:val="de-DE"/>
              </w:rPr>
              <w:t>sultiam</w:t>
            </w:r>
            <w:proofErr w:type="spellEnd"/>
            <w:r w:rsidRPr="00711A45">
              <w:rPr>
                <w:color w:val="000000"/>
                <w:sz w:val="24"/>
                <w:szCs w:val="24"/>
                <w:lang w:val="de-DE"/>
              </w:rPr>
              <w:t>)</w:t>
            </w:r>
          </w:p>
        </w:tc>
      </w:tr>
      <w:tr w:rsidR="00D60CA9" w:rsidRPr="00711A45" w14:paraId="70281C62" w14:textId="77777777" w:rsidTr="00A36972">
        <w:trPr>
          <w:trHeight w:val="272"/>
        </w:trPr>
        <w:tc>
          <w:tcPr>
            <w:tcW w:w="914" w:type="pct"/>
            <w:tcBorders>
              <w:top w:val="single" w:sz="4" w:space="0" w:color="000000"/>
              <w:left w:val="single" w:sz="4" w:space="0" w:color="000000"/>
              <w:bottom w:val="single" w:sz="4" w:space="0" w:color="000000"/>
              <w:right w:val="single" w:sz="4" w:space="0" w:color="000000"/>
            </w:tcBorders>
            <w:vAlign w:val="center"/>
            <w:hideMark/>
          </w:tcPr>
          <w:p w14:paraId="6F8A8D73"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 xml:space="preserve">36 kg </w:t>
            </w:r>
            <w:proofErr w:type="spellStart"/>
            <w:r w:rsidRPr="00711A45">
              <w:rPr>
                <w:b/>
                <w:color w:val="000000"/>
                <w:sz w:val="24"/>
                <w:szCs w:val="24"/>
                <w:lang w:val="de-DE"/>
              </w:rPr>
              <w:t>og</w:t>
            </w:r>
            <w:proofErr w:type="spellEnd"/>
            <w:r w:rsidRPr="00711A45">
              <w:rPr>
                <w:b/>
                <w:color w:val="000000"/>
                <w:sz w:val="24"/>
                <w:szCs w:val="24"/>
                <w:lang w:val="de-DE"/>
              </w:rPr>
              <w:t xml:space="preserve"> </w:t>
            </w:r>
            <w:proofErr w:type="spellStart"/>
            <w:r w:rsidRPr="00711A45">
              <w:rPr>
                <w:b/>
                <w:color w:val="000000"/>
                <w:sz w:val="24"/>
                <w:szCs w:val="24"/>
                <w:lang w:val="de-DE"/>
              </w:rPr>
              <w:t>derover</w:t>
            </w:r>
            <w:proofErr w:type="spellEnd"/>
          </w:p>
        </w:tc>
        <w:tc>
          <w:tcPr>
            <w:tcW w:w="2043" w:type="pct"/>
            <w:tcBorders>
              <w:top w:val="single" w:sz="4" w:space="0" w:color="000000"/>
              <w:left w:val="single" w:sz="4" w:space="0" w:color="000000"/>
              <w:bottom w:val="single" w:sz="4" w:space="0" w:color="000000"/>
              <w:right w:val="single" w:sz="4" w:space="0" w:color="auto"/>
            </w:tcBorders>
            <w:vAlign w:val="center"/>
            <w:hideMark/>
          </w:tcPr>
          <w:p w14:paraId="31615E34" w14:textId="77777777" w:rsidR="00D60CA9" w:rsidRPr="00711A45" w:rsidRDefault="00D60CA9">
            <w:pPr>
              <w:adjustRightInd w:val="0"/>
              <w:spacing w:after="60"/>
              <w:jc w:val="center"/>
              <w:rPr>
                <w:rFonts w:eastAsia="Calibri"/>
                <w:b/>
                <w:color w:val="000000"/>
                <w:sz w:val="24"/>
                <w:szCs w:val="24"/>
                <w:lang w:val="de-DE"/>
              </w:rPr>
            </w:pPr>
            <w:r w:rsidRPr="00711A45">
              <w:rPr>
                <w:b/>
                <w:color w:val="000000"/>
                <w:sz w:val="24"/>
                <w:szCs w:val="24"/>
                <w:lang w:val="de-DE"/>
              </w:rPr>
              <w:t xml:space="preserve">3,0 ml </w:t>
            </w:r>
            <w:proofErr w:type="spellStart"/>
            <w:r w:rsidRPr="00711A45">
              <w:rPr>
                <w:b/>
                <w:color w:val="000000"/>
                <w:sz w:val="24"/>
                <w:szCs w:val="24"/>
                <w:lang w:val="de-DE"/>
              </w:rPr>
              <w:t>og</w:t>
            </w:r>
            <w:proofErr w:type="spellEnd"/>
            <w:r w:rsidRPr="00711A45">
              <w:rPr>
                <w:b/>
                <w:color w:val="000000"/>
                <w:sz w:val="24"/>
                <w:szCs w:val="24"/>
                <w:lang w:val="de-DE"/>
              </w:rPr>
              <w:t xml:space="preserve"> </w:t>
            </w:r>
            <w:proofErr w:type="spellStart"/>
            <w:r w:rsidRPr="00711A45">
              <w:rPr>
                <w:b/>
                <w:color w:val="000000"/>
                <w:sz w:val="24"/>
                <w:szCs w:val="24"/>
                <w:lang w:val="de-DE"/>
              </w:rPr>
              <w:t>derover</w:t>
            </w:r>
            <w:proofErr w:type="spellEnd"/>
          </w:p>
          <w:p w14:paraId="7F67BA3E"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60 mg </w:t>
            </w:r>
            <w:proofErr w:type="spellStart"/>
            <w:r w:rsidRPr="00711A45">
              <w:rPr>
                <w:color w:val="000000"/>
                <w:sz w:val="24"/>
                <w:szCs w:val="24"/>
                <w:lang w:val="de-DE"/>
              </w:rPr>
              <w:t>sultiam</w:t>
            </w:r>
            <w:proofErr w:type="spellEnd"/>
            <w:r w:rsidRPr="00711A45">
              <w:rPr>
                <w:color w:val="000000"/>
                <w:sz w:val="24"/>
                <w:szCs w:val="24"/>
                <w:lang w:val="de-DE"/>
              </w:rPr>
              <w:t xml:space="preserve"> </w:t>
            </w:r>
            <w:proofErr w:type="spellStart"/>
            <w:r w:rsidRPr="00711A45">
              <w:rPr>
                <w:color w:val="000000"/>
                <w:sz w:val="24"/>
                <w:szCs w:val="24"/>
                <w:lang w:val="de-DE"/>
              </w:rPr>
              <w:t>og</w:t>
            </w:r>
            <w:proofErr w:type="spellEnd"/>
            <w:r w:rsidRPr="00711A45">
              <w:rPr>
                <w:color w:val="000000"/>
                <w:sz w:val="24"/>
                <w:szCs w:val="24"/>
                <w:lang w:val="de-DE"/>
              </w:rPr>
              <w:t xml:space="preserve"> </w:t>
            </w:r>
            <w:proofErr w:type="spellStart"/>
            <w:r w:rsidRPr="00711A45">
              <w:rPr>
                <w:color w:val="000000"/>
                <w:sz w:val="24"/>
                <w:szCs w:val="24"/>
                <w:lang w:val="de-DE"/>
              </w:rPr>
              <w:t>derover</w:t>
            </w:r>
            <w:proofErr w:type="spellEnd"/>
            <w:r w:rsidRPr="00711A45">
              <w:rPr>
                <w:color w:val="000000"/>
                <w:sz w:val="24"/>
                <w:szCs w:val="24"/>
                <w:lang w:val="de-DE"/>
              </w:rPr>
              <w:t>)</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960D60F"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 xml:space="preserve">9,0 </w:t>
            </w:r>
            <w:proofErr w:type="spellStart"/>
            <w:r w:rsidRPr="00711A45">
              <w:rPr>
                <w:color w:val="000000"/>
                <w:sz w:val="24"/>
                <w:szCs w:val="24"/>
                <w:lang w:val="de-DE"/>
              </w:rPr>
              <w:t>og</w:t>
            </w:r>
            <w:proofErr w:type="spellEnd"/>
            <w:r w:rsidRPr="00711A45">
              <w:rPr>
                <w:color w:val="000000"/>
                <w:sz w:val="24"/>
                <w:szCs w:val="24"/>
                <w:lang w:val="de-DE"/>
              </w:rPr>
              <w:t xml:space="preserve"> </w:t>
            </w:r>
            <w:proofErr w:type="spellStart"/>
            <w:r w:rsidRPr="00711A45">
              <w:rPr>
                <w:color w:val="000000"/>
                <w:sz w:val="24"/>
                <w:szCs w:val="24"/>
                <w:lang w:val="de-DE"/>
              </w:rPr>
              <w:t>derover</w:t>
            </w:r>
            <w:proofErr w:type="spellEnd"/>
          </w:p>
          <w:p w14:paraId="2300C8E7" w14:textId="77777777" w:rsidR="00D60CA9" w:rsidRPr="00711A45" w:rsidRDefault="00D60CA9">
            <w:pPr>
              <w:adjustRightInd w:val="0"/>
              <w:spacing w:after="60"/>
              <w:jc w:val="center"/>
              <w:rPr>
                <w:rFonts w:eastAsia="Calibri"/>
                <w:color w:val="000000"/>
                <w:sz w:val="24"/>
                <w:szCs w:val="24"/>
                <w:lang w:val="de-DE"/>
              </w:rPr>
            </w:pPr>
            <w:r w:rsidRPr="00711A45">
              <w:rPr>
                <w:color w:val="000000"/>
                <w:sz w:val="24"/>
                <w:szCs w:val="24"/>
                <w:lang w:val="de-DE"/>
              </w:rPr>
              <w:t>(</w:t>
            </w:r>
            <w:proofErr w:type="spellStart"/>
            <w:r w:rsidRPr="00711A45">
              <w:rPr>
                <w:color w:val="000000"/>
                <w:sz w:val="24"/>
                <w:szCs w:val="24"/>
                <w:lang w:val="de-DE"/>
              </w:rPr>
              <w:t>svarende</w:t>
            </w:r>
            <w:proofErr w:type="spellEnd"/>
            <w:r w:rsidRPr="00711A45">
              <w:rPr>
                <w:color w:val="000000"/>
                <w:sz w:val="24"/>
                <w:szCs w:val="24"/>
                <w:lang w:val="de-DE"/>
              </w:rPr>
              <w:t xml:space="preserve"> til 180 mg </w:t>
            </w:r>
            <w:proofErr w:type="spellStart"/>
            <w:r w:rsidRPr="00711A45">
              <w:rPr>
                <w:color w:val="000000"/>
                <w:sz w:val="24"/>
                <w:szCs w:val="24"/>
                <w:lang w:val="de-DE"/>
              </w:rPr>
              <w:t>sultiam</w:t>
            </w:r>
            <w:proofErr w:type="spellEnd"/>
            <w:r w:rsidRPr="00711A45">
              <w:rPr>
                <w:color w:val="000000"/>
                <w:sz w:val="24"/>
                <w:szCs w:val="24"/>
                <w:lang w:val="de-DE"/>
              </w:rPr>
              <w:t xml:space="preserve"> </w:t>
            </w:r>
            <w:proofErr w:type="spellStart"/>
            <w:r w:rsidRPr="00711A45">
              <w:rPr>
                <w:color w:val="000000"/>
                <w:sz w:val="24"/>
                <w:szCs w:val="24"/>
                <w:lang w:val="de-DE"/>
              </w:rPr>
              <w:t>og</w:t>
            </w:r>
            <w:proofErr w:type="spellEnd"/>
            <w:r w:rsidRPr="00711A45">
              <w:rPr>
                <w:color w:val="000000"/>
                <w:sz w:val="24"/>
                <w:szCs w:val="24"/>
                <w:lang w:val="de-DE"/>
              </w:rPr>
              <w:t xml:space="preserve"> </w:t>
            </w:r>
            <w:proofErr w:type="spellStart"/>
            <w:r w:rsidRPr="00711A45">
              <w:rPr>
                <w:color w:val="000000"/>
                <w:sz w:val="24"/>
                <w:szCs w:val="24"/>
                <w:lang w:val="de-DE"/>
              </w:rPr>
              <w:t>derover</w:t>
            </w:r>
            <w:proofErr w:type="spellEnd"/>
            <w:r w:rsidRPr="00711A45">
              <w:rPr>
                <w:color w:val="000000"/>
                <w:sz w:val="24"/>
                <w:szCs w:val="24"/>
                <w:lang w:val="de-DE"/>
              </w:rPr>
              <w:t>)</w:t>
            </w:r>
          </w:p>
        </w:tc>
      </w:tr>
    </w:tbl>
    <w:p w14:paraId="4DD5CCF8" w14:textId="77777777" w:rsidR="00D60CA9" w:rsidRPr="00711A45" w:rsidRDefault="00D60CA9" w:rsidP="00D60CA9">
      <w:pPr>
        <w:rPr>
          <w:sz w:val="24"/>
          <w:szCs w:val="24"/>
          <w:lang w:eastAsia="de-DE"/>
        </w:rPr>
      </w:pPr>
      <w:r w:rsidRPr="00711A45">
        <w:rPr>
          <w:sz w:val="24"/>
          <w:szCs w:val="24"/>
        </w:rPr>
        <w:t xml:space="preserve">*1 ml </w:t>
      </w:r>
      <w:proofErr w:type="spellStart"/>
      <w:r w:rsidRPr="00711A45">
        <w:rPr>
          <w:sz w:val="24"/>
          <w:szCs w:val="24"/>
        </w:rPr>
        <w:t>Ospolot</w:t>
      </w:r>
      <w:proofErr w:type="spellEnd"/>
      <w:r w:rsidRPr="00711A45">
        <w:rPr>
          <w:sz w:val="24"/>
          <w:szCs w:val="24"/>
        </w:rPr>
        <w:t xml:space="preserve"> i oral suspension indeholder 20 mg </w:t>
      </w:r>
      <w:proofErr w:type="spellStart"/>
      <w:r w:rsidRPr="00711A45">
        <w:rPr>
          <w:sz w:val="24"/>
          <w:szCs w:val="24"/>
        </w:rPr>
        <w:t>sultiam</w:t>
      </w:r>
      <w:proofErr w:type="spellEnd"/>
      <w:r w:rsidRPr="00711A45">
        <w:rPr>
          <w:sz w:val="24"/>
          <w:szCs w:val="24"/>
        </w:rPr>
        <w:t xml:space="preserve"> =&gt; 0,25 ml = 5 mg </w:t>
      </w:r>
      <w:proofErr w:type="spellStart"/>
      <w:r w:rsidRPr="00711A45">
        <w:rPr>
          <w:sz w:val="24"/>
          <w:szCs w:val="24"/>
        </w:rPr>
        <w:t>sultiam</w:t>
      </w:r>
      <w:proofErr w:type="spellEnd"/>
    </w:p>
    <w:p w14:paraId="1E251931" w14:textId="77777777" w:rsidR="00D60CA9" w:rsidRPr="00711A45" w:rsidRDefault="00D60CA9" w:rsidP="00711A45">
      <w:pPr>
        <w:ind w:left="851"/>
        <w:rPr>
          <w:sz w:val="24"/>
          <w:szCs w:val="24"/>
        </w:rPr>
      </w:pPr>
    </w:p>
    <w:p w14:paraId="10443123" w14:textId="77777777" w:rsidR="00D60CA9" w:rsidRPr="00711A45" w:rsidRDefault="00D60CA9" w:rsidP="00A36972">
      <w:pPr>
        <w:ind w:left="851"/>
        <w:rPr>
          <w:iCs/>
          <w:sz w:val="24"/>
          <w:szCs w:val="24"/>
        </w:rPr>
      </w:pPr>
      <w:r w:rsidRPr="00711A45">
        <w:rPr>
          <w:i/>
          <w:iCs/>
          <w:sz w:val="24"/>
          <w:szCs w:val="24"/>
        </w:rPr>
        <w:t>Bemærk:</w:t>
      </w:r>
      <w:r w:rsidRPr="00711A45">
        <w:rPr>
          <w:sz w:val="24"/>
          <w:szCs w:val="24"/>
        </w:rPr>
        <w:t xml:space="preserve"> For enkeltdoser af 10 ml eller mere kan der bruges tabletter.</w:t>
      </w:r>
    </w:p>
    <w:p w14:paraId="231DD85E" w14:textId="77777777" w:rsidR="00D60CA9" w:rsidRPr="00711A45" w:rsidRDefault="00D60CA9" w:rsidP="00A36972">
      <w:pPr>
        <w:ind w:left="851"/>
        <w:rPr>
          <w:sz w:val="24"/>
          <w:szCs w:val="24"/>
        </w:rPr>
      </w:pPr>
    </w:p>
    <w:p w14:paraId="4B026105" w14:textId="77777777" w:rsidR="00D60CA9" w:rsidRPr="00711A45" w:rsidRDefault="00D60CA9" w:rsidP="00A36972">
      <w:pPr>
        <w:ind w:left="851"/>
        <w:rPr>
          <w:sz w:val="24"/>
          <w:szCs w:val="24"/>
          <w:u w:val="single"/>
        </w:rPr>
      </w:pPr>
      <w:r w:rsidRPr="00711A45">
        <w:rPr>
          <w:sz w:val="24"/>
          <w:szCs w:val="24"/>
          <w:u w:val="single"/>
        </w:rPr>
        <w:t>Behandlingens varighed</w:t>
      </w:r>
    </w:p>
    <w:p w14:paraId="3550D29C" w14:textId="77777777" w:rsidR="00D60CA9" w:rsidRPr="00711A45" w:rsidRDefault="00D60CA9" w:rsidP="00A36972">
      <w:pPr>
        <w:ind w:left="851"/>
        <w:rPr>
          <w:sz w:val="24"/>
          <w:szCs w:val="24"/>
        </w:rPr>
      </w:pPr>
      <w:r w:rsidRPr="00711A45">
        <w:rPr>
          <w:sz w:val="24"/>
          <w:szCs w:val="24"/>
        </w:rPr>
        <w:t xml:space="preserve">Brug af </w:t>
      </w:r>
      <w:proofErr w:type="spellStart"/>
      <w:r w:rsidRPr="00711A45">
        <w:rPr>
          <w:sz w:val="24"/>
          <w:szCs w:val="24"/>
        </w:rPr>
        <w:t>Ospolot</w:t>
      </w:r>
      <w:proofErr w:type="spellEnd"/>
      <w:r w:rsidRPr="00711A45">
        <w:rPr>
          <w:sz w:val="24"/>
          <w:szCs w:val="24"/>
        </w:rPr>
        <w:t xml:space="preserve"> må ikke afbrydes pludseligt. En pædiatrisk neurolog med erfaring i behandling af epilepsi bør tage stilling til behandlingens varighed og </w:t>
      </w:r>
      <w:proofErr w:type="spellStart"/>
      <w:r w:rsidRPr="00711A45">
        <w:rPr>
          <w:sz w:val="24"/>
          <w:szCs w:val="24"/>
        </w:rPr>
        <w:t>seponering</w:t>
      </w:r>
      <w:proofErr w:type="spellEnd"/>
      <w:r w:rsidRPr="00711A45">
        <w:rPr>
          <w:sz w:val="24"/>
          <w:szCs w:val="24"/>
        </w:rPr>
        <w:t xml:space="preserve"> på individuel basis.</w:t>
      </w:r>
    </w:p>
    <w:p w14:paraId="78AC83AF" w14:textId="77777777" w:rsidR="00D60CA9" w:rsidRPr="00711A45" w:rsidRDefault="00D60CA9" w:rsidP="00A36972">
      <w:pPr>
        <w:ind w:left="851"/>
        <w:rPr>
          <w:sz w:val="24"/>
          <w:szCs w:val="24"/>
        </w:rPr>
      </w:pPr>
      <w:r w:rsidRPr="00711A45">
        <w:rPr>
          <w:sz w:val="24"/>
          <w:szCs w:val="24"/>
        </w:rPr>
        <w:t xml:space="preserve">Hvis behandlingen ikke lykkes, bør behandlingen med </w:t>
      </w:r>
      <w:proofErr w:type="spellStart"/>
      <w:r w:rsidRPr="00711A45">
        <w:rPr>
          <w:sz w:val="24"/>
          <w:szCs w:val="24"/>
        </w:rPr>
        <w:t>sultiam</w:t>
      </w:r>
      <w:proofErr w:type="spellEnd"/>
      <w:r w:rsidRPr="00711A45">
        <w:rPr>
          <w:sz w:val="24"/>
          <w:szCs w:val="24"/>
        </w:rPr>
        <w:t xml:space="preserve"> seponeres efter ca. en til to måneder.</w:t>
      </w:r>
    </w:p>
    <w:p w14:paraId="0D44C8B0" w14:textId="77777777" w:rsidR="00D60CA9" w:rsidRPr="00711A45" w:rsidRDefault="00D60CA9" w:rsidP="00A36972">
      <w:pPr>
        <w:ind w:left="851"/>
        <w:rPr>
          <w:sz w:val="24"/>
          <w:szCs w:val="24"/>
        </w:rPr>
      </w:pPr>
    </w:p>
    <w:p w14:paraId="22D3C202" w14:textId="77777777" w:rsidR="00D60CA9" w:rsidRPr="00711A45" w:rsidRDefault="00D60CA9" w:rsidP="00A36972">
      <w:pPr>
        <w:ind w:left="851"/>
        <w:rPr>
          <w:sz w:val="24"/>
          <w:szCs w:val="24"/>
          <w:u w:val="single"/>
        </w:rPr>
      </w:pPr>
      <w:r w:rsidRPr="00711A45">
        <w:rPr>
          <w:i/>
          <w:iCs/>
          <w:sz w:val="24"/>
          <w:szCs w:val="24"/>
          <w:u w:val="single"/>
        </w:rPr>
        <w:t>Administration</w:t>
      </w:r>
    </w:p>
    <w:p w14:paraId="30C697CD" w14:textId="77777777" w:rsidR="00D60CA9" w:rsidRPr="00711A45" w:rsidRDefault="00D60CA9" w:rsidP="00A36972">
      <w:pPr>
        <w:ind w:left="851"/>
        <w:rPr>
          <w:sz w:val="24"/>
          <w:szCs w:val="24"/>
        </w:rPr>
      </w:pPr>
      <w:proofErr w:type="spellStart"/>
      <w:r w:rsidRPr="00711A45">
        <w:rPr>
          <w:iCs/>
          <w:sz w:val="24"/>
          <w:szCs w:val="24"/>
        </w:rPr>
        <w:t>Ospolot</w:t>
      </w:r>
      <w:proofErr w:type="spellEnd"/>
      <w:r w:rsidRPr="00711A45">
        <w:rPr>
          <w:iCs/>
          <w:sz w:val="24"/>
          <w:szCs w:val="24"/>
        </w:rPr>
        <w:t xml:space="preserve"> er til oral anvendelse.</w:t>
      </w:r>
    </w:p>
    <w:p w14:paraId="4DBA5B7A" w14:textId="77777777" w:rsidR="00D60CA9" w:rsidRPr="00711A45" w:rsidRDefault="00D60CA9" w:rsidP="00A36972">
      <w:pPr>
        <w:ind w:left="851"/>
        <w:rPr>
          <w:sz w:val="24"/>
          <w:szCs w:val="24"/>
        </w:rPr>
      </w:pPr>
      <w:r w:rsidRPr="00711A45">
        <w:rPr>
          <w:sz w:val="24"/>
          <w:szCs w:val="24"/>
        </w:rPr>
        <w:t xml:space="preserve">Inden </w:t>
      </w:r>
      <w:proofErr w:type="spellStart"/>
      <w:r w:rsidRPr="00711A45">
        <w:rPr>
          <w:sz w:val="24"/>
          <w:szCs w:val="24"/>
        </w:rPr>
        <w:t>Ospolot</w:t>
      </w:r>
      <w:proofErr w:type="spellEnd"/>
      <w:r w:rsidRPr="00711A45">
        <w:rPr>
          <w:sz w:val="24"/>
          <w:szCs w:val="24"/>
        </w:rPr>
        <w:t xml:space="preserve"> indtages, skal flasken rystes meget omhyggeligt (mindst én gang i 30 sekunder), og dosis skal klargøres umiddelbart derefter (for at undgå sedimentering). Den orale suspension kan sluges direkte fra den orale sprøjte eller tages straks efter blanding, helst med en lille mængde vand, alternativt med appelsinjuice, mælk, yoghurt eller </w:t>
      </w:r>
      <w:proofErr w:type="spellStart"/>
      <w:r w:rsidRPr="00711A45">
        <w:rPr>
          <w:sz w:val="24"/>
          <w:szCs w:val="24"/>
        </w:rPr>
        <w:t>hvedegrød</w:t>
      </w:r>
      <w:proofErr w:type="spellEnd"/>
      <w:r w:rsidRPr="00711A45">
        <w:rPr>
          <w:sz w:val="24"/>
          <w:szCs w:val="24"/>
        </w:rPr>
        <w:t xml:space="preserve">. </w:t>
      </w:r>
    </w:p>
    <w:p w14:paraId="01544685" w14:textId="77777777" w:rsidR="00D60CA9" w:rsidRPr="00711A45" w:rsidRDefault="00D60CA9" w:rsidP="00A36972">
      <w:pPr>
        <w:ind w:left="851"/>
        <w:rPr>
          <w:sz w:val="24"/>
          <w:szCs w:val="24"/>
        </w:rPr>
      </w:pPr>
      <w:r w:rsidRPr="00711A45">
        <w:rPr>
          <w:sz w:val="24"/>
          <w:szCs w:val="24"/>
        </w:rPr>
        <w:t xml:space="preserve">Når den orale suspension tages direkte fra den orale sprøjte, bør patienten drikke noget vand, juice eller mælk umiddelbart efter på grund af den bitre smag af </w:t>
      </w:r>
      <w:proofErr w:type="spellStart"/>
      <w:r w:rsidRPr="00711A45">
        <w:rPr>
          <w:sz w:val="24"/>
          <w:szCs w:val="24"/>
        </w:rPr>
        <w:t>sultiam</w:t>
      </w:r>
      <w:proofErr w:type="spellEnd"/>
      <w:r w:rsidRPr="00711A45">
        <w:rPr>
          <w:sz w:val="24"/>
          <w:szCs w:val="24"/>
        </w:rPr>
        <w:t>.</w:t>
      </w:r>
    </w:p>
    <w:p w14:paraId="1921FEB6" w14:textId="77777777" w:rsidR="00D60CA9" w:rsidRPr="00711A45" w:rsidRDefault="00D60CA9" w:rsidP="00A36972">
      <w:pPr>
        <w:ind w:left="851"/>
        <w:rPr>
          <w:sz w:val="24"/>
          <w:szCs w:val="24"/>
        </w:rPr>
      </w:pPr>
      <w:r w:rsidRPr="00711A45">
        <w:rPr>
          <w:sz w:val="24"/>
          <w:szCs w:val="24"/>
        </w:rPr>
        <w:t xml:space="preserve">Kulsyreholdige drikkevarer eller varm mad bør ikke tages sammen med suspensionen for at undgå opstød eller langsom synkning. </w:t>
      </w:r>
      <w:proofErr w:type="spellStart"/>
      <w:r w:rsidRPr="00711A45">
        <w:rPr>
          <w:sz w:val="24"/>
          <w:szCs w:val="24"/>
        </w:rPr>
        <w:t>Ospolot</w:t>
      </w:r>
      <w:proofErr w:type="spellEnd"/>
      <w:r w:rsidRPr="00711A45">
        <w:rPr>
          <w:sz w:val="24"/>
          <w:szCs w:val="24"/>
        </w:rPr>
        <w:t xml:space="preserve"> kan tages med eller uden mad. Patienten bør helst ikke ændre måden, hvorpå vedkommende tager </w:t>
      </w:r>
      <w:proofErr w:type="spellStart"/>
      <w:r w:rsidRPr="00711A45">
        <w:rPr>
          <w:sz w:val="24"/>
          <w:szCs w:val="24"/>
        </w:rPr>
        <w:t>Ospolot</w:t>
      </w:r>
      <w:proofErr w:type="spellEnd"/>
      <w:r w:rsidRPr="00711A45">
        <w:rPr>
          <w:sz w:val="24"/>
          <w:szCs w:val="24"/>
        </w:rPr>
        <w:t xml:space="preserve"> under behandlingen.</w:t>
      </w:r>
    </w:p>
    <w:p w14:paraId="48354DE8" w14:textId="77777777" w:rsidR="00D60CA9" w:rsidRPr="00711A45" w:rsidRDefault="00D60CA9" w:rsidP="00A36972">
      <w:pPr>
        <w:ind w:left="851"/>
        <w:rPr>
          <w:sz w:val="24"/>
          <w:szCs w:val="24"/>
        </w:rPr>
      </w:pPr>
    </w:p>
    <w:p w14:paraId="3FFA8EB1" w14:textId="77777777" w:rsidR="00D60CA9" w:rsidRPr="00711A45" w:rsidRDefault="00D60CA9" w:rsidP="00A36972">
      <w:pPr>
        <w:ind w:left="851"/>
        <w:rPr>
          <w:sz w:val="24"/>
          <w:szCs w:val="24"/>
        </w:rPr>
      </w:pPr>
      <w:r w:rsidRPr="00711A45">
        <w:rPr>
          <w:sz w:val="24"/>
          <w:szCs w:val="24"/>
        </w:rPr>
        <w:t>Den orale suspension kan også indgives via en ernæringssonde, der skal skylles med minimum 15 ml vand umiddelbart efter indgivelse. Hvis denne indgivelsesmåde anvendes, skal dosis klargøres som beskrevet ovenfor umiddelbart før indgivelse.</w:t>
      </w:r>
    </w:p>
    <w:p w14:paraId="67530054" w14:textId="77777777" w:rsidR="009260DE" w:rsidRPr="00711A45" w:rsidRDefault="009260DE" w:rsidP="009260DE">
      <w:pPr>
        <w:tabs>
          <w:tab w:val="left" w:pos="851"/>
        </w:tabs>
        <w:ind w:left="851"/>
        <w:rPr>
          <w:sz w:val="24"/>
          <w:szCs w:val="24"/>
        </w:rPr>
      </w:pPr>
    </w:p>
    <w:p w14:paraId="764085A2" w14:textId="77777777" w:rsidR="009260DE" w:rsidRPr="00711A45" w:rsidRDefault="009260DE" w:rsidP="009260DE">
      <w:pPr>
        <w:tabs>
          <w:tab w:val="left" w:pos="851"/>
        </w:tabs>
        <w:ind w:left="851" w:hanging="851"/>
        <w:rPr>
          <w:b/>
          <w:sz w:val="24"/>
          <w:szCs w:val="24"/>
        </w:rPr>
      </w:pPr>
      <w:r w:rsidRPr="00711A45">
        <w:rPr>
          <w:b/>
          <w:sz w:val="24"/>
          <w:szCs w:val="24"/>
        </w:rPr>
        <w:t>4.3</w:t>
      </w:r>
      <w:r w:rsidRPr="00711A45">
        <w:rPr>
          <w:b/>
          <w:sz w:val="24"/>
          <w:szCs w:val="24"/>
        </w:rPr>
        <w:tab/>
        <w:t>Kontraindikationer</w:t>
      </w:r>
    </w:p>
    <w:p w14:paraId="334C1D22" w14:textId="77777777" w:rsidR="00D60CA9" w:rsidRPr="00711A45" w:rsidRDefault="00D60CA9" w:rsidP="00711A45">
      <w:pPr>
        <w:pStyle w:val="Listeafsnit"/>
        <w:numPr>
          <w:ilvl w:val="0"/>
          <w:numId w:val="8"/>
        </w:numPr>
        <w:ind w:left="1276" w:hanging="425"/>
        <w:rPr>
          <w:sz w:val="24"/>
          <w:szCs w:val="24"/>
          <w:lang w:eastAsia="de-DE"/>
        </w:rPr>
      </w:pPr>
      <w:r w:rsidRPr="00711A45">
        <w:rPr>
          <w:sz w:val="24"/>
          <w:szCs w:val="24"/>
        </w:rPr>
        <w:t xml:space="preserve">Overfølsomhed over for det aktive stof, andre sulfonamider, </w:t>
      </w:r>
      <w:proofErr w:type="spellStart"/>
      <w:r w:rsidRPr="00711A45">
        <w:rPr>
          <w:sz w:val="24"/>
          <w:szCs w:val="24"/>
        </w:rPr>
        <w:t>natriummethylparahydroxybenzoat</w:t>
      </w:r>
      <w:proofErr w:type="spellEnd"/>
      <w:r w:rsidRPr="00711A45">
        <w:rPr>
          <w:sz w:val="24"/>
          <w:szCs w:val="24"/>
        </w:rPr>
        <w:t xml:space="preserve"> (E219), </w:t>
      </w:r>
      <w:proofErr w:type="spellStart"/>
      <w:r w:rsidRPr="00711A45">
        <w:rPr>
          <w:sz w:val="24"/>
          <w:szCs w:val="24"/>
        </w:rPr>
        <w:t>natriumpropylparahydroxybenzoat</w:t>
      </w:r>
      <w:proofErr w:type="spellEnd"/>
      <w:r w:rsidRPr="00711A45">
        <w:rPr>
          <w:sz w:val="24"/>
          <w:szCs w:val="24"/>
        </w:rPr>
        <w:t xml:space="preserve"> (E217) eller over for et eller flere af hjælpestofferne anført i pkt. 6.1.</w:t>
      </w:r>
    </w:p>
    <w:p w14:paraId="0A06610B" w14:textId="5F0E6D6A" w:rsidR="00D60CA9" w:rsidRPr="00711A45" w:rsidRDefault="00D60CA9" w:rsidP="00711A45">
      <w:pPr>
        <w:pStyle w:val="Listeafsnit"/>
        <w:numPr>
          <w:ilvl w:val="0"/>
          <w:numId w:val="8"/>
        </w:numPr>
        <w:ind w:left="1276" w:hanging="425"/>
        <w:rPr>
          <w:sz w:val="24"/>
          <w:szCs w:val="24"/>
        </w:rPr>
      </w:pPr>
      <w:proofErr w:type="spellStart"/>
      <w:r w:rsidRPr="00711A45">
        <w:rPr>
          <w:sz w:val="24"/>
          <w:szCs w:val="24"/>
        </w:rPr>
        <w:t>hyperthyroidisme</w:t>
      </w:r>
      <w:proofErr w:type="spellEnd"/>
      <w:r w:rsidRPr="00711A45">
        <w:rPr>
          <w:sz w:val="24"/>
          <w:szCs w:val="24"/>
        </w:rPr>
        <w:t xml:space="preserve"> eller arteriel hypertension</w:t>
      </w:r>
    </w:p>
    <w:p w14:paraId="31C5A59C" w14:textId="5807BD6B" w:rsidR="00D60CA9" w:rsidRPr="00711A45" w:rsidRDefault="00D60CA9" w:rsidP="00711A45">
      <w:pPr>
        <w:pStyle w:val="Listeafsnit"/>
        <w:numPr>
          <w:ilvl w:val="0"/>
          <w:numId w:val="8"/>
        </w:numPr>
        <w:ind w:left="1276" w:hanging="425"/>
        <w:rPr>
          <w:sz w:val="24"/>
          <w:szCs w:val="24"/>
        </w:rPr>
      </w:pPr>
      <w:r w:rsidRPr="00711A45">
        <w:rPr>
          <w:sz w:val="24"/>
          <w:szCs w:val="24"/>
        </w:rPr>
        <w:t xml:space="preserve">kendt akut </w:t>
      </w:r>
      <w:proofErr w:type="spellStart"/>
      <w:r w:rsidRPr="00711A45">
        <w:rPr>
          <w:sz w:val="24"/>
          <w:szCs w:val="24"/>
        </w:rPr>
        <w:t>porfyri</w:t>
      </w:r>
      <w:proofErr w:type="spellEnd"/>
    </w:p>
    <w:p w14:paraId="32626C6C" w14:textId="77777777" w:rsidR="009260DE" w:rsidRPr="00711A45" w:rsidRDefault="009260DE" w:rsidP="009260DE">
      <w:pPr>
        <w:tabs>
          <w:tab w:val="left" w:pos="851"/>
        </w:tabs>
        <w:ind w:left="851"/>
        <w:rPr>
          <w:sz w:val="24"/>
          <w:szCs w:val="24"/>
        </w:rPr>
      </w:pPr>
    </w:p>
    <w:p w14:paraId="04E63EB5" w14:textId="77777777" w:rsidR="009260DE" w:rsidRPr="00711A45" w:rsidRDefault="009260DE" w:rsidP="009260DE">
      <w:pPr>
        <w:tabs>
          <w:tab w:val="left" w:pos="851"/>
        </w:tabs>
        <w:ind w:left="851" w:hanging="851"/>
        <w:rPr>
          <w:b/>
          <w:sz w:val="24"/>
          <w:szCs w:val="24"/>
        </w:rPr>
      </w:pPr>
      <w:r w:rsidRPr="00711A45">
        <w:rPr>
          <w:b/>
          <w:sz w:val="24"/>
          <w:szCs w:val="24"/>
        </w:rPr>
        <w:t>4.4</w:t>
      </w:r>
      <w:r w:rsidRPr="00711A45">
        <w:rPr>
          <w:b/>
          <w:sz w:val="24"/>
          <w:szCs w:val="24"/>
        </w:rPr>
        <w:tab/>
        <w:t>Særlige advarsler og forsigtighedsregler vedrørende brugen</w:t>
      </w:r>
    </w:p>
    <w:p w14:paraId="4A599194" w14:textId="77777777" w:rsidR="00D60CA9" w:rsidRPr="00711A45" w:rsidRDefault="00D60CA9" w:rsidP="00A36972">
      <w:pPr>
        <w:ind w:left="851"/>
        <w:rPr>
          <w:sz w:val="24"/>
          <w:szCs w:val="24"/>
          <w:lang w:eastAsia="de-DE"/>
        </w:rPr>
      </w:pPr>
      <w:proofErr w:type="spellStart"/>
      <w:r w:rsidRPr="00711A45">
        <w:rPr>
          <w:sz w:val="24"/>
          <w:szCs w:val="24"/>
        </w:rPr>
        <w:t>Sultiam</w:t>
      </w:r>
      <w:proofErr w:type="spellEnd"/>
      <w:r w:rsidRPr="00711A45">
        <w:rPr>
          <w:sz w:val="24"/>
          <w:szCs w:val="24"/>
        </w:rPr>
        <w:t xml:space="preserve"> må ikke indgives eller kun indgives med særlig forsigtighed </w:t>
      </w:r>
    </w:p>
    <w:p w14:paraId="6932C875" w14:textId="77777777" w:rsidR="00D60CA9" w:rsidRPr="00711A45" w:rsidRDefault="00D60CA9" w:rsidP="00A36972">
      <w:pPr>
        <w:ind w:left="851"/>
        <w:rPr>
          <w:sz w:val="24"/>
          <w:szCs w:val="24"/>
        </w:rPr>
      </w:pPr>
      <w:r w:rsidRPr="00711A45">
        <w:rPr>
          <w:sz w:val="24"/>
          <w:szCs w:val="24"/>
        </w:rPr>
        <w:t>-</w:t>
      </w:r>
      <w:r w:rsidRPr="00711A45">
        <w:rPr>
          <w:sz w:val="24"/>
          <w:szCs w:val="24"/>
        </w:rPr>
        <w:tab/>
        <w:t>til patienter med nedsat nyrefunktion</w:t>
      </w:r>
    </w:p>
    <w:p w14:paraId="5C412DB5" w14:textId="77777777" w:rsidR="00D60CA9" w:rsidRPr="00711A45" w:rsidRDefault="00D60CA9" w:rsidP="00A36972">
      <w:pPr>
        <w:ind w:left="851"/>
        <w:rPr>
          <w:sz w:val="24"/>
          <w:szCs w:val="24"/>
        </w:rPr>
      </w:pPr>
      <w:r w:rsidRPr="00711A45">
        <w:rPr>
          <w:sz w:val="24"/>
          <w:szCs w:val="24"/>
        </w:rPr>
        <w:t>-</w:t>
      </w:r>
      <w:r w:rsidRPr="00711A45">
        <w:rPr>
          <w:sz w:val="24"/>
          <w:szCs w:val="24"/>
        </w:rPr>
        <w:tab/>
        <w:t>til patienter med en historik af psykiatriske lidelser.</w:t>
      </w:r>
    </w:p>
    <w:p w14:paraId="4B836699" w14:textId="1E57FA5C" w:rsidR="00B22D75" w:rsidRDefault="00B22D75">
      <w:pPr>
        <w:rPr>
          <w:sz w:val="24"/>
          <w:szCs w:val="24"/>
        </w:rPr>
      </w:pPr>
      <w:r>
        <w:rPr>
          <w:sz w:val="24"/>
          <w:szCs w:val="24"/>
        </w:rPr>
        <w:br w:type="page"/>
      </w:r>
    </w:p>
    <w:p w14:paraId="302C6A9F" w14:textId="77777777" w:rsidR="00D60CA9" w:rsidRPr="00711A45" w:rsidRDefault="00D60CA9" w:rsidP="00A36972">
      <w:pPr>
        <w:ind w:left="851"/>
        <w:rPr>
          <w:sz w:val="24"/>
          <w:szCs w:val="24"/>
        </w:rPr>
      </w:pPr>
    </w:p>
    <w:p w14:paraId="0B03E05D" w14:textId="77777777" w:rsidR="00D60CA9" w:rsidRPr="00711A45" w:rsidRDefault="00D60CA9" w:rsidP="00A36972">
      <w:pPr>
        <w:ind w:left="851"/>
        <w:rPr>
          <w:sz w:val="24"/>
          <w:szCs w:val="24"/>
          <w:u w:val="single"/>
        </w:rPr>
      </w:pPr>
      <w:r w:rsidRPr="00711A45">
        <w:rPr>
          <w:sz w:val="24"/>
          <w:szCs w:val="24"/>
          <w:u w:val="single"/>
        </w:rPr>
        <w:t>Laboratorieovervågning</w:t>
      </w:r>
    </w:p>
    <w:p w14:paraId="2EC30F07" w14:textId="77777777" w:rsidR="00D60CA9" w:rsidRPr="00711A45" w:rsidRDefault="00D60CA9" w:rsidP="00A36972">
      <w:pPr>
        <w:ind w:left="851"/>
        <w:rPr>
          <w:sz w:val="24"/>
          <w:szCs w:val="24"/>
        </w:rPr>
      </w:pPr>
      <w:r w:rsidRPr="00711A45">
        <w:rPr>
          <w:sz w:val="24"/>
          <w:szCs w:val="24"/>
        </w:rPr>
        <w:t xml:space="preserve">Det anbefales at overvåge blodtal, leverenzymer og nyrefunktionsparametre før behandling med </w:t>
      </w:r>
      <w:proofErr w:type="spellStart"/>
      <w:r w:rsidRPr="00711A45">
        <w:rPr>
          <w:sz w:val="24"/>
          <w:szCs w:val="24"/>
        </w:rPr>
        <w:t>Ospolot</w:t>
      </w:r>
      <w:proofErr w:type="spellEnd"/>
      <w:r w:rsidRPr="00711A45">
        <w:rPr>
          <w:sz w:val="24"/>
          <w:szCs w:val="24"/>
        </w:rPr>
        <w:t>, derefter med ugentlige intervaller i den første behandlingsmåned og derefter med månedlige intervaller. Efter seks måneders behandling er to til fire kontroller om året tilstrækkeligt.</w:t>
      </w:r>
    </w:p>
    <w:p w14:paraId="0C243EB6" w14:textId="77777777" w:rsidR="00D60CA9" w:rsidRPr="00711A45" w:rsidRDefault="00D60CA9" w:rsidP="00A36972">
      <w:pPr>
        <w:ind w:left="851"/>
        <w:rPr>
          <w:sz w:val="24"/>
          <w:szCs w:val="24"/>
        </w:rPr>
      </w:pPr>
    </w:p>
    <w:p w14:paraId="65868450" w14:textId="77777777" w:rsidR="00D60CA9" w:rsidRPr="00711A45" w:rsidRDefault="00D60CA9" w:rsidP="00A36972">
      <w:pPr>
        <w:ind w:left="851"/>
        <w:rPr>
          <w:iCs/>
          <w:sz w:val="24"/>
          <w:szCs w:val="24"/>
          <w:u w:val="single"/>
        </w:rPr>
      </w:pPr>
      <w:r w:rsidRPr="00711A45">
        <w:rPr>
          <w:iCs/>
          <w:sz w:val="24"/>
          <w:szCs w:val="24"/>
          <w:u w:val="single"/>
        </w:rPr>
        <w:t>Bemærk:</w:t>
      </w:r>
    </w:p>
    <w:p w14:paraId="748ED3BD" w14:textId="77777777" w:rsidR="00D60CA9" w:rsidRPr="00711A45" w:rsidRDefault="00D60CA9" w:rsidP="00A36972">
      <w:pPr>
        <w:ind w:left="851"/>
        <w:rPr>
          <w:iCs/>
          <w:sz w:val="24"/>
          <w:szCs w:val="24"/>
          <w:u w:val="single"/>
        </w:rPr>
      </w:pPr>
      <w:r w:rsidRPr="00711A45">
        <w:rPr>
          <w:sz w:val="24"/>
          <w:szCs w:val="24"/>
        </w:rPr>
        <w:t xml:space="preserve">Behandling skal afbrydes, hvis der forekommer en varig stigning i </w:t>
      </w:r>
      <w:proofErr w:type="spellStart"/>
      <w:r w:rsidRPr="00711A45">
        <w:rPr>
          <w:sz w:val="24"/>
          <w:szCs w:val="24"/>
        </w:rPr>
        <w:t>kreatinin</w:t>
      </w:r>
      <w:proofErr w:type="spellEnd"/>
      <w:r w:rsidRPr="00711A45">
        <w:rPr>
          <w:sz w:val="24"/>
          <w:szCs w:val="24"/>
        </w:rPr>
        <w:t xml:space="preserve">. </w:t>
      </w:r>
    </w:p>
    <w:p w14:paraId="265E0255" w14:textId="77777777" w:rsidR="00D60CA9" w:rsidRPr="00711A45" w:rsidRDefault="00D60CA9" w:rsidP="00A36972">
      <w:pPr>
        <w:ind w:left="851"/>
        <w:rPr>
          <w:iCs/>
          <w:sz w:val="24"/>
          <w:szCs w:val="24"/>
          <w:u w:val="single"/>
        </w:rPr>
      </w:pPr>
    </w:p>
    <w:p w14:paraId="7F8C3657" w14:textId="77777777" w:rsidR="00D60CA9" w:rsidRPr="00711A45" w:rsidRDefault="00D60CA9" w:rsidP="00A36972">
      <w:pPr>
        <w:ind w:left="851"/>
        <w:rPr>
          <w:sz w:val="24"/>
          <w:szCs w:val="24"/>
          <w:u w:val="single"/>
        </w:rPr>
      </w:pPr>
      <w:r w:rsidRPr="00711A45">
        <w:rPr>
          <w:iCs/>
          <w:sz w:val="24"/>
          <w:szCs w:val="24"/>
          <w:u w:val="single"/>
        </w:rPr>
        <w:t>Overfølsomhedsreaktioner:</w:t>
      </w:r>
    </w:p>
    <w:p w14:paraId="410DA20A" w14:textId="77777777" w:rsidR="00D60CA9" w:rsidRPr="00711A45" w:rsidRDefault="00D60CA9" w:rsidP="00A36972">
      <w:pPr>
        <w:ind w:left="851"/>
        <w:rPr>
          <w:sz w:val="24"/>
          <w:szCs w:val="24"/>
        </w:rPr>
      </w:pPr>
      <w:r w:rsidRPr="00711A45">
        <w:rPr>
          <w:sz w:val="24"/>
          <w:szCs w:val="24"/>
        </w:rPr>
        <w:t xml:space="preserve">Patienten henholdsvis forældrene skal instrueres i straks at konsultere den behandlende læge, hvis der opstår feber, ondt i halsen, allergiske hudreaktioner med hævelse af lymfeknuder og/eller influenzalignende symptomer under behandling med </w:t>
      </w:r>
      <w:proofErr w:type="spellStart"/>
      <w:r w:rsidRPr="00711A45">
        <w:rPr>
          <w:sz w:val="24"/>
          <w:szCs w:val="24"/>
        </w:rPr>
        <w:t>Ospolot</w:t>
      </w:r>
      <w:proofErr w:type="spellEnd"/>
      <w:r w:rsidRPr="00711A45">
        <w:rPr>
          <w:sz w:val="24"/>
          <w:szCs w:val="24"/>
        </w:rPr>
        <w:t xml:space="preserve">. I tilfælde af alvorlige allergiske reaktioner skal </w:t>
      </w:r>
      <w:proofErr w:type="spellStart"/>
      <w:r w:rsidRPr="00711A45">
        <w:rPr>
          <w:sz w:val="24"/>
          <w:szCs w:val="24"/>
        </w:rPr>
        <w:t>Ospolot</w:t>
      </w:r>
      <w:proofErr w:type="spellEnd"/>
      <w:r w:rsidRPr="00711A45">
        <w:rPr>
          <w:sz w:val="24"/>
          <w:szCs w:val="24"/>
        </w:rPr>
        <w:t xml:space="preserve"> seponeres øjeblikkeligt.</w:t>
      </w:r>
    </w:p>
    <w:p w14:paraId="430E2BFB" w14:textId="77777777" w:rsidR="00D60CA9" w:rsidRPr="00711A45" w:rsidRDefault="00D60CA9" w:rsidP="00A36972">
      <w:pPr>
        <w:ind w:left="851"/>
        <w:rPr>
          <w:sz w:val="24"/>
          <w:szCs w:val="24"/>
        </w:rPr>
      </w:pPr>
    </w:p>
    <w:p w14:paraId="11BA0791" w14:textId="77777777" w:rsidR="00D60CA9" w:rsidRPr="00711A45" w:rsidRDefault="00D60CA9" w:rsidP="00A36972">
      <w:pPr>
        <w:ind w:left="851"/>
        <w:rPr>
          <w:sz w:val="24"/>
          <w:szCs w:val="24"/>
        </w:rPr>
      </w:pPr>
      <w:r w:rsidRPr="00711A45">
        <w:rPr>
          <w:sz w:val="24"/>
          <w:szCs w:val="24"/>
        </w:rPr>
        <w:t xml:space="preserve">Progressive </w:t>
      </w:r>
      <w:proofErr w:type="spellStart"/>
      <w:r w:rsidRPr="00711A45">
        <w:rPr>
          <w:sz w:val="24"/>
          <w:szCs w:val="24"/>
        </w:rPr>
        <w:t>trombocytopenier</w:t>
      </w:r>
      <w:proofErr w:type="spellEnd"/>
      <w:r w:rsidRPr="00711A45">
        <w:rPr>
          <w:sz w:val="24"/>
          <w:szCs w:val="24"/>
        </w:rPr>
        <w:t xml:space="preserve"> eller </w:t>
      </w:r>
      <w:proofErr w:type="spellStart"/>
      <w:r w:rsidRPr="00711A45">
        <w:rPr>
          <w:sz w:val="24"/>
          <w:szCs w:val="24"/>
        </w:rPr>
        <w:t>leukopenier</w:t>
      </w:r>
      <w:proofErr w:type="spellEnd"/>
      <w:r w:rsidRPr="00711A45">
        <w:rPr>
          <w:sz w:val="24"/>
          <w:szCs w:val="24"/>
        </w:rPr>
        <w:t xml:space="preserve">, der er ledsaget af kliniske symptomer, kræver </w:t>
      </w:r>
      <w:proofErr w:type="spellStart"/>
      <w:r w:rsidRPr="00711A45">
        <w:rPr>
          <w:sz w:val="24"/>
          <w:szCs w:val="24"/>
        </w:rPr>
        <w:t>seponering</w:t>
      </w:r>
      <w:proofErr w:type="spellEnd"/>
      <w:r w:rsidRPr="00711A45">
        <w:rPr>
          <w:sz w:val="24"/>
          <w:szCs w:val="24"/>
        </w:rPr>
        <w:t xml:space="preserve"> af </w:t>
      </w:r>
      <w:proofErr w:type="spellStart"/>
      <w:r w:rsidRPr="00711A45">
        <w:rPr>
          <w:sz w:val="24"/>
          <w:szCs w:val="24"/>
        </w:rPr>
        <w:t>Ospolot</w:t>
      </w:r>
      <w:proofErr w:type="spellEnd"/>
      <w:r w:rsidRPr="00711A45">
        <w:rPr>
          <w:sz w:val="24"/>
          <w:szCs w:val="24"/>
        </w:rPr>
        <w:t xml:space="preserve">. </w:t>
      </w:r>
    </w:p>
    <w:p w14:paraId="28C0EED0" w14:textId="77777777" w:rsidR="00D60CA9" w:rsidRPr="00711A45" w:rsidRDefault="00D60CA9" w:rsidP="00A36972">
      <w:pPr>
        <w:ind w:left="851"/>
        <w:rPr>
          <w:sz w:val="24"/>
          <w:szCs w:val="24"/>
        </w:rPr>
      </w:pPr>
    </w:p>
    <w:p w14:paraId="0C9670B1" w14:textId="77777777" w:rsidR="00D60CA9" w:rsidRPr="00711A45" w:rsidRDefault="00D60CA9" w:rsidP="00A36972">
      <w:pPr>
        <w:ind w:left="851"/>
        <w:rPr>
          <w:sz w:val="24"/>
          <w:szCs w:val="24"/>
          <w:u w:val="single"/>
        </w:rPr>
      </w:pPr>
      <w:r w:rsidRPr="00711A45">
        <w:rPr>
          <w:sz w:val="24"/>
          <w:szCs w:val="24"/>
          <w:u w:val="single"/>
        </w:rPr>
        <w:t>Selvmordstanker og selvmordsadfærd</w:t>
      </w:r>
    </w:p>
    <w:p w14:paraId="026DE296" w14:textId="77777777" w:rsidR="00D60CA9" w:rsidRPr="00711A45" w:rsidRDefault="00D60CA9" w:rsidP="00A36972">
      <w:pPr>
        <w:ind w:left="851"/>
        <w:rPr>
          <w:sz w:val="24"/>
          <w:szCs w:val="24"/>
        </w:rPr>
      </w:pPr>
      <w:r w:rsidRPr="00711A45">
        <w:rPr>
          <w:sz w:val="24"/>
          <w:szCs w:val="24"/>
        </w:rPr>
        <w:t xml:space="preserve">Selvmordstanker og selvmordsadfærd er blevet rapporteret hos patienter behandlet med antiepileptiske lægemidler ved flere indikationer. En </w:t>
      </w:r>
      <w:proofErr w:type="spellStart"/>
      <w:r w:rsidRPr="00711A45">
        <w:rPr>
          <w:sz w:val="24"/>
          <w:szCs w:val="24"/>
        </w:rPr>
        <w:t>meta</w:t>
      </w:r>
      <w:proofErr w:type="spellEnd"/>
      <w:r w:rsidRPr="00711A45">
        <w:rPr>
          <w:sz w:val="24"/>
          <w:szCs w:val="24"/>
        </w:rPr>
        <w:t xml:space="preserve">-analyse af randomiserede placebokontrollerede forsøg med antiepileptiske lægemidler har også vist en lille øget risiko for selvmordstanker og selvmordsadfærd. Mekanismen bag denne risiko er ikke kendt, og de tilgængelige data udelukker ikke muligheden for en øget risiko i forbindelse med </w:t>
      </w:r>
      <w:proofErr w:type="spellStart"/>
      <w:r w:rsidRPr="00711A45">
        <w:rPr>
          <w:sz w:val="24"/>
          <w:szCs w:val="24"/>
        </w:rPr>
        <w:t>sultiam</w:t>
      </w:r>
      <w:proofErr w:type="spellEnd"/>
      <w:r w:rsidRPr="00711A45">
        <w:rPr>
          <w:sz w:val="24"/>
          <w:szCs w:val="24"/>
        </w:rPr>
        <w:t>.</w:t>
      </w:r>
    </w:p>
    <w:p w14:paraId="4C9A5561" w14:textId="77777777" w:rsidR="00D60CA9" w:rsidRPr="00711A45" w:rsidRDefault="00D60CA9" w:rsidP="00A36972">
      <w:pPr>
        <w:ind w:left="851"/>
        <w:rPr>
          <w:sz w:val="24"/>
          <w:szCs w:val="24"/>
        </w:rPr>
      </w:pPr>
    </w:p>
    <w:p w14:paraId="57CA4F9E" w14:textId="77777777" w:rsidR="00D60CA9" w:rsidRPr="00711A45" w:rsidRDefault="00D60CA9" w:rsidP="00A36972">
      <w:pPr>
        <w:ind w:left="851"/>
        <w:rPr>
          <w:sz w:val="24"/>
          <w:szCs w:val="24"/>
        </w:rPr>
      </w:pPr>
      <w:r w:rsidRPr="00711A45">
        <w:rPr>
          <w:sz w:val="24"/>
          <w:szCs w:val="24"/>
        </w:rPr>
        <w:t>Derfor bør patienter overvåges for tegn på selvmordstanker og selvmordsadfærd, og passende behandling bør overvejes. Patienter (og pårørende til patienter) bør rådes til at søge læge, hvis der opstår tegn på selvmordstanker eller -adfærd.</w:t>
      </w:r>
    </w:p>
    <w:p w14:paraId="075D4807" w14:textId="77777777" w:rsidR="00D60CA9" w:rsidRPr="00711A45" w:rsidRDefault="00D60CA9" w:rsidP="00A36972">
      <w:pPr>
        <w:ind w:left="851"/>
        <w:rPr>
          <w:sz w:val="24"/>
          <w:szCs w:val="24"/>
        </w:rPr>
      </w:pPr>
    </w:p>
    <w:p w14:paraId="20A0F00A" w14:textId="77777777" w:rsidR="00D60CA9" w:rsidRPr="00711A45" w:rsidRDefault="00D60CA9" w:rsidP="00A36972">
      <w:pPr>
        <w:ind w:left="851"/>
        <w:rPr>
          <w:b/>
          <w:sz w:val="24"/>
          <w:szCs w:val="24"/>
        </w:rPr>
      </w:pPr>
      <w:r w:rsidRPr="00711A45">
        <w:rPr>
          <w:b/>
          <w:sz w:val="24"/>
          <w:szCs w:val="24"/>
        </w:rPr>
        <w:t>Hjælpestoffer</w:t>
      </w:r>
    </w:p>
    <w:p w14:paraId="59256BA6" w14:textId="77777777" w:rsidR="00D60CA9" w:rsidRPr="00711A45" w:rsidRDefault="00D60CA9" w:rsidP="00A36972">
      <w:pPr>
        <w:ind w:left="851"/>
        <w:rPr>
          <w:sz w:val="24"/>
          <w:szCs w:val="24"/>
        </w:rPr>
      </w:pPr>
      <w:proofErr w:type="spellStart"/>
      <w:r w:rsidRPr="00711A45">
        <w:rPr>
          <w:sz w:val="24"/>
          <w:szCs w:val="24"/>
        </w:rPr>
        <w:t>Natriummethylparahydroxybenzoat</w:t>
      </w:r>
      <w:proofErr w:type="spellEnd"/>
      <w:r w:rsidRPr="00711A45">
        <w:rPr>
          <w:sz w:val="24"/>
          <w:szCs w:val="24"/>
        </w:rPr>
        <w:t xml:space="preserve"> (E219) og </w:t>
      </w:r>
      <w:proofErr w:type="spellStart"/>
      <w:r w:rsidRPr="00711A45">
        <w:rPr>
          <w:sz w:val="24"/>
          <w:szCs w:val="24"/>
        </w:rPr>
        <w:t>natriumpropylparahydroxybenzoat</w:t>
      </w:r>
      <w:proofErr w:type="spellEnd"/>
      <w:r w:rsidRPr="00711A45">
        <w:rPr>
          <w:sz w:val="24"/>
          <w:szCs w:val="24"/>
        </w:rPr>
        <w:t xml:space="preserve"> (E217) kan forårsage allergiske reaktioner (muligvis forsinkede). </w:t>
      </w:r>
    </w:p>
    <w:p w14:paraId="0B9FAC1B" w14:textId="77777777" w:rsidR="00D60CA9" w:rsidRPr="00711A45" w:rsidRDefault="00D60CA9" w:rsidP="00A36972">
      <w:pPr>
        <w:ind w:left="851"/>
        <w:rPr>
          <w:sz w:val="24"/>
          <w:szCs w:val="24"/>
        </w:rPr>
      </w:pPr>
    </w:p>
    <w:p w14:paraId="079A3166" w14:textId="77777777" w:rsidR="00D60CA9" w:rsidRPr="00711A45" w:rsidRDefault="00D60CA9" w:rsidP="00A36972">
      <w:pPr>
        <w:ind w:left="851"/>
        <w:rPr>
          <w:sz w:val="24"/>
          <w:szCs w:val="24"/>
        </w:rPr>
      </w:pPr>
      <w:r w:rsidRPr="00711A45">
        <w:rPr>
          <w:sz w:val="24"/>
          <w:szCs w:val="24"/>
        </w:rPr>
        <w:t xml:space="preserve">Svovldioxid (E220) kan i sjældne tilfælde forårsage alvorlige overfølsomhedsreaktioner og </w:t>
      </w:r>
      <w:proofErr w:type="spellStart"/>
      <w:r w:rsidRPr="00711A45">
        <w:rPr>
          <w:sz w:val="24"/>
          <w:szCs w:val="24"/>
        </w:rPr>
        <w:t>bronkospasmer</w:t>
      </w:r>
      <w:proofErr w:type="spellEnd"/>
      <w:r w:rsidRPr="00711A45">
        <w:rPr>
          <w:sz w:val="24"/>
          <w:szCs w:val="24"/>
        </w:rPr>
        <w:t>.</w:t>
      </w:r>
    </w:p>
    <w:p w14:paraId="4165C243" w14:textId="77777777" w:rsidR="00D60CA9" w:rsidRPr="00711A45" w:rsidRDefault="00D60CA9" w:rsidP="00A36972">
      <w:pPr>
        <w:ind w:left="851"/>
        <w:rPr>
          <w:sz w:val="24"/>
          <w:szCs w:val="24"/>
        </w:rPr>
      </w:pPr>
    </w:p>
    <w:p w14:paraId="77DA649F" w14:textId="77777777" w:rsidR="00D60CA9" w:rsidRPr="00711A45" w:rsidRDefault="00D60CA9" w:rsidP="00A36972">
      <w:pPr>
        <w:ind w:left="851"/>
        <w:rPr>
          <w:sz w:val="24"/>
          <w:szCs w:val="24"/>
        </w:rPr>
      </w:pPr>
      <w:r w:rsidRPr="00711A45">
        <w:rPr>
          <w:sz w:val="24"/>
          <w:szCs w:val="24"/>
        </w:rPr>
        <w:t xml:space="preserve">Denne medicin indeholder </w:t>
      </w:r>
      <w:proofErr w:type="spellStart"/>
      <w:r w:rsidRPr="00711A45">
        <w:rPr>
          <w:sz w:val="24"/>
          <w:szCs w:val="24"/>
        </w:rPr>
        <w:t>glucose</w:t>
      </w:r>
      <w:proofErr w:type="spellEnd"/>
      <w:r w:rsidRPr="00711A45">
        <w:rPr>
          <w:sz w:val="24"/>
          <w:szCs w:val="24"/>
        </w:rPr>
        <w:t xml:space="preserve">, </w:t>
      </w:r>
      <w:proofErr w:type="spellStart"/>
      <w:r w:rsidRPr="00711A45">
        <w:rPr>
          <w:sz w:val="24"/>
          <w:szCs w:val="24"/>
        </w:rPr>
        <w:t>saccharose</w:t>
      </w:r>
      <w:proofErr w:type="spellEnd"/>
      <w:r w:rsidRPr="00711A45">
        <w:rPr>
          <w:sz w:val="24"/>
          <w:szCs w:val="24"/>
        </w:rPr>
        <w:t xml:space="preserve"> og 0,0026 mg </w:t>
      </w:r>
      <w:proofErr w:type="spellStart"/>
      <w:r w:rsidRPr="00711A45">
        <w:rPr>
          <w:sz w:val="24"/>
          <w:szCs w:val="24"/>
        </w:rPr>
        <w:t>fructose</w:t>
      </w:r>
      <w:proofErr w:type="spellEnd"/>
      <w:r w:rsidRPr="00711A45">
        <w:rPr>
          <w:sz w:val="24"/>
          <w:szCs w:val="24"/>
        </w:rPr>
        <w:t xml:space="preserve"> i hver ml.</w:t>
      </w:r>
    </w:p>
    <w:p w14:paraId="10531144" w14:textId="77777777" w:rsidR="00D60CA9" w:rsidRPr="00711A45" w:rsidRDefault="00D60CA9" w:rsidP="00A36972">
      <w:pPr>
        <w:ind w:left="851"/>
        <w:rPr>
          <w:sz w:val="24"/>
          <w:szCs w:val="24"/>
        </w:rPr>
      </w:pPr>
      <w:r w:rsidRPr="00711A45">
        <w:rPr>
          <w:sz w:val="24"/>
          <w:szCs w:val="24"/>
        </w:rPr>
        <w:t xml:space="preserve">Patienter med sjældne arvelige problemer med </w:t>
      </w:r>
      <w:proofErr w:type="spellStart"/>
      <w:r w:rsidRPr="00711A45">
        <w:rPr>
          <w:sz w:val="24"/>
          <w:szCs w:val="24"/>
        </w:rPr>
        <w:t>fructoseintolerans</w:t>
      </w:r>
      <w:proofErr w:type="spellEnd"/>
      <w:r w:rsidRPr="00711A45">
        <w:rPr>
          <w:sz w:val="24"/>
          <w:szCs w:val="24"/>
        </w:rPr>
        <w:t xml:space="preserve">, </w:t>
      </w:r>
      <w:proofErr w:type="spellStart"/>
      <w:r w:rsidRPr="00711A45">
        <w:rPr>
          <w:sz w:val="24"/>
          <w:szCs w:val="24"/>
        </w:rPr>
        <w:t>glucose-galactose-malabsorption</w:t>
      </w:r>
      <w:proofErr w:type="spellEnd"/>
      <w:r w:rsidRPr="00711A45">
        <w:rPr>
          <w:sz w:val="24"/>
          <w:szCs w:val="24"/>
        </w:rPr>
        <w:t xml:space="preserve"> eller </w:t>
      </w:r>
      <w:proofErr w:type="spellStart"/>
      <w:r w:rsidRPr="00711A45">
        <w:rPr>
          <w:sz w:val="24"/>
          <w:szCs w:val="24"/>
        </w:rPr>
        <w:t>saccharose</w:t>
      </w:r>
      <w:proofErr w:type="spellEnd"/>
      <w:r w:rsidRPr="00711A45">
        <w:rPr>
          <w:sz w:val="24"/>
          <w:szCs w:val="24"/>
        </w:rPr>
        <w:t>-</w:t>
      </w:r>
      <w:proofErr w:type="spellStart"/>
      <w:r w:rsidRPr="00711A45">
        <w:rPr>
          <w:sz w:val="24"/>
          <w:szCs w:val="24"/>
        </w:rPr>
        <w:t>isomaltase</w:t>
      </w:r>
      <w:proofErr w:type="spellEnd"/>
      <w:r w:rsidRPr="00711A45">
        <w:rPr>
          <w:sz w:val="24"/>
          <w:szCs w:val="24"/>
        </w:rPr>
        <w:t xml:space="preserve">-insufficiens bør ikke tage denne medicin. </w:t>
      </w:r>
    </w:p>
    <w:p w14:paraId="5DCA0796" w14:textId="77777777" w:rsidR="00D60CA9" w:rsidRPr="00711A45" w:rsidRDefault="00D60CA9" w:rsidP="00A36972">
      <w:pPr>
        <w:ind w:left="851"/>
        <w:rPr>
          <w:sz w:val="24"/>
          <w:szCs w:val="24"/>
        </w:rPr>
      </w:pPr>
      <w:proofErr w:type="spellStart"/>
      <w:r w:rsidRPr="00711A45">
        <w:rPr>
          <w:sz w:val="24"/>
          <w:szCs w:val="24"/>
        </w:rPr>
        <w:t>Glucose</w:t>
      </w:r>
      <w:proofErr w:type="spellEnd"/>
      <w:r w:rsidRPr="00711A45">
        <w:rPr>
          <w:sz w:val="24"/>
          <w:szCs w:val="24"/>
        </w:rPr>
        <w:t xml:space="preserve">, </w:t>
      </w:r>
      <w:proofErr w:type="spellStart"/>
      <w:r w:rsidRPr="00711A45">
        <w:rPr>
          <w:sz w:val="24"/>
          <w:szCs w:val="24"/>
        </w:rPr>
        <w:t>fructose</w:t>
      </w:r>
      <w:proofErr w:type="spellEnd"/>
      <w:r w:rsidRPr="00711A45">
        <w:rPr>
          <w:sz w:val="24"/>
          <w:szCs w:val="24"/>
        </w:rPr>
        <w:t xml:space="preserve"> og </w:t>
      </w:r>
      <w:proofErr w:type="spellStart"/>
      <w:r w:rsidRPr="00711A45">
        <w:rPr>
          <w:sz w:val="24"/>
          <w:szCs w:val="24"/>
        </w:rPr>
        <w:t>saccharose</w:t>
      </w:r>
      <w:proofErr w:type="spellEnd"/>
      <w:r w:rsidRPr="00711A45">
        <w:rPr>
          <w:sz w:val="24"/>
          <w:szCs w:val="24"/>
        </w:rPr>
        <w:t xml:space="preserve"> kan være skadelige for tænderne.</w:t>
      </w:r>
    </w:p>
    <w:p w14:paraId="3C480DFD" w14:textId="77777777" w:rsidR="00D60CA9" w:rsidRPr="00711A45" w:rsidRDefault="00D60CA9" w:rsidP="00A36972">
      <w:pPr>
        <w:ind w:left="851"/>
        <w:rPr>
          <w:sz w:val="24"/>
          <w:szCs w:val="24"/>
        </w:rPr>
      </w:pPr>
    </w:p>
    <w:p w14:paraId="334D678C" w14:textId="77777777" w:rsidR="00D60CA9" w:rsidRPr="00711A45" w:rsidRDefault="00D60CA9" w:rsidP="00A36972">
      <w:pPr>
        <w:ind w:left="851"/>
        <w:rPr>
          <w:sz w:val="24"/>
          <w:szCs w:val="24"/>
        </w:rPr>
      </w:pPr>
      <w:r w:rsidRPr="00711A45">
        <w:rPr>
          <w:sz w:val="24"/>
          <w:szCs w:val="24"/>
        </w:rPr>
        <w:t>Dette lægemiddel indeholder mindre end 1 mmol natrium (23 mg) pr. ml og er altså i det væsentlige "natriumfrit".</w:t>
      </w:r>
    </w:p>
    <w:p w14:paraId="7A6BA715" w14:textId="33032F61" w:rsidR="00B22D75" w:rsidRDefault="00B22D75">
      <w:pPr>
        <w:rPr>
          <w:sz w:val="24"/>
          <w:szCs w:val="24"/>
        </w:rPr>
      </w:pPr>
      <w:r>
        <w:rPr>
          <w:sz w:val="24"/>
          <w:szCs w:val="24"/>
        </w:rPr>
        <w:br w:type="page"/>
      </w:r>
    </w:p>
    <w:p w14:paraId="1C3D5902" w14:textId="77777777" w:rsidR="009260DE" w:rsidRPr="00711A45" w:rsidRDefault="009260DE" w:rsidP="009260DE">
      <w:pPr>
        <w:tabs>
          <w:tab w:val="left" w:pos="851"/>
        </w:tabs>
        <w:ind w:left="851"/>
        <w:rPr>
          <w:sz w:val="24"/>
          <w:szCs w:val="24"/>
        </w:rPr>
      </w:pPr>
    </w:p>
    <w:p w14:paraId="0EF5CBBD" w14:textId="77777777" w:rsidR="009260DE" w:rsidRPr="00711A45" w:rsidRDefault="009260DE" w:rsidP="009260DE">
      <w:pPr>
        <w:tabs>
          <w:tab w:val="left" w:pos="851"/>
        </w:tabs>
        <w:ind w:left="851" w:hanging="851"/>
        <w:rPr>
          <w:b/>
          <w:sz w:val="24"/>
          <w:szCs w:val="24"/>
        </w:rPr>
      </w:pPr>
      <w:r w:rsidRPr="00711A45">
        <w:rPr>
          <w:b/>
          <w:sz w:val="24"/>
          <w:szCs w:val="24"/>
        </w:rPr>
        <w:t>4.5</w:t>
      </w:r>
      <w:r w:rsidRPr="00711A45">
        <w:rPr>
          <w:b/>
          <w:sz w:val="24"/>
          <w:szCs w:val="24"/>
        </w:rPr>
        <w:tab/>
        <w:t>Interaktion med andre lægemidler og andre former for interaktion</w:t>
      </w:r>
    </w:p>
    <w:p w14:paraId="729008F8" w14:textId="77777777" w:rsidR="00711A45" w:rsidRDefault="00711A45" w:rsidP="00A36972">
      <w:pPr>
        <w:ind w:left="851"/>
        <w:rPr>
          <w:snapToGrid w:val="0"/>
          <w:sz w:val="24"/>
          <w:szCs w:val="24"/>
        </w:rPr>
      </w:pPr>
    </w:p>
    <w:p w14:paraId="160BA41C" w14:textId="0DB1A192" w:rsidR="00D60CA9" w:rsidRPr="00711A45" w:rsidRDefault="00D60CA9" w:rsidP="00A36972">
      <w:pPr>
        <w:ind w:left="851"/>
        <w:rPr>
          <w:snapToGrid w:val="0"/>
          <w:sz w:val="24"/>
          <w:szCs w:val="24"/>
          <w:u w:val="single"/>
          <w:lang w:eastAsia="de-DE"/>
        </w:rPr>
      </w:pPr>
      <w:r w:rsidRPr="00711A45">
        <w:rPr>
          <w:snapToGrid w:val="0"/>
          <w:sz w:val="24"/>
          <w:szCs w:val="24"/>
          <w:u w:val="single"/>
        </w:rPr>
        <w:t xml:space="preserve">Indvirkning af andre lægemidler på </w:t>
      </w:r>
      <w:proofErr w:type="spellStart"/>
      <w:r w:rsidRPr="00711A45">
        <w:rPr>
          <w:snapToGrid w:val="0"/>
          <w:sz w:val="24"/>
          <w:szCs w:val="24"/>
          <w:u w:val="single"/>
        </w:rPr>
        <w:t>sultiam</w:t>
      </w:r>
      <w:proofErr w:type="spellEnd"/>
    </w:p>
    <w:p w14:paraId="57A387BC" w14:textId="77777777" w:rsidR="00D60CA9" w:rsidRPr="00711A45" w:rsidRDefault="00D60CA9" w:rsidP="00A36972">
      <w:pPr>
        <w:ind w:left="851"/>
        <w:rPr>
          <w:snapToGrid w:val="0"/>
          <w:sz w:val="24"/>
          <w:szCs w:val="24"/>
          <w:lang w:eastAsia="cs-CZ"/>
        </w:rPr>
      </w:pPr>
    </w:p>
    <w:p w14:paraId="379B0EAA" w14:textId="77777777" w:rsidR="00D60CA9" w:rsidRPr="00711A45" w:rsidRDefault="00D60CA9" w:rsidP="00A36972">
      <w:pPr>
        <w:ind w:left="851"/>
        <w:rPr>
          <w:i/>
          <w:snapToGrid w:val="0"/>
          <w:sz w:val="24"/>
          <w:szCs w:val="24"/>
          <w:lang w:eastAsia="de-DE"/>
        </w:rPr>
      </w:pPr>
      <w:proofErr w:type="spellStart"/>
      <w:r w:rsidRPr="00711A45">
        <w:rPr>
          <w:i/>
          <w:snapToGrid w:val="0"/>
          <w:sz w:val="24"/>
          <w:szCs w:val="24"/>
        </w:rPr>
        <w:t>Primidon</w:t>
      </w:r>
      <w:proofErr w:type="spellEnd"/>
    </w:p>
    <w:p w14:paraId="528E61A7" w14:textId="77777777" w:rsidR="00D60CA9" w:rsidRPr="00711A45" w:rsidRDefault="00D60CA9" w:rsidP="00A36972">
      <w:pPr>
        <w:ind w:left="851"/>
        <w:rPr>
          <w:sz w:val="24"/>
          <w:szCs w:val="24"/>
        </w:rPr>
      </w:pPr>
      <w:r w:rsidRPr="00711A45">
        <w:rPr>
          <w:sz w:val="24"/>
          <w:szCs w:val="24"/>
        </w:rPr>
        <w:t xml:space="preserve">Hvis </w:t>
      </w:r>
      <w:proofErr w:type="spellStart"/>
      <w:r w:rsidRPr="00711A45">
        <w:rPr>
          <w:sz w:val="24"/>
          <w:szCs w:val="24"/>
        </w:rPr>
        <w:t>sultiam</w:t>
      </w:r>
      <w:proofErr w:type="spellEnd"/>
      <w:r w:rsidRPr="00711A45">
        <w:rPr>
          <w:sz w:val="24"/>
          <w:szCs w:val="24"/>
        </w:rPr>
        <w:t xml:space="preserve"> kombineres med </w:t>
      </w:r>
      <w:proofErr w:type="spellStart"/>
      <w:r w:rsidRPr="00711A45">
        <w:rPr>
          <w:sz w:val="24"/>
          <w:szCs w:val="24"/>
        </w:rPr>
        <w:t>primidon</w:t>
      </w:r>
      <w:proofErr w:type="spellEnd"/>
      <w:r w:rsidRPr="00711A45">
        <w:rPr>
          <w:sz w:val="24"/>
          <w:szCs w:val="24"/>
        </w:rPr>
        <w:t xml:space="preserve">, kan intensiteten af uønskede virkninger af </w:t>
      </w:r>
      <w:proofErr w:type="spellStart"/>
      <w:r w:rsidRPr="00711A45">
        <w:rPr>
          <w:sz w:val="24"/>
          <w:szCs w:val="24"/>
        </w:rPr>
        <w:t>sultiam</w:t>
      </w:r>
      <w:proofErr w:type="spellEnd"/>
      <w:r w:rsidRPr="00711A45">
        <w:rPr>
          <w:sz w:val="24"/>
          <w:szCs w:val="24"/>
        </w:rPr>
        <w:t xml:space="preserve"> øges; især hos børn kan der forekomme svimmelhed, ustabil gang og døsighed. </w:t>
      </w:r>
    </w:p>
    <w:p w14:paraId="3B4531F7" w14:textId="77777777" w:rsidR="00D60CA9" w:rsidRPr="00711A45" w:rsidRDefault="00D60CA9" w:rsidP="00A36972">
      <w:pPr>
        <w:ind w:left="851"/>
        <w:rPr>
          <w:sz w:val="24"/>
          <w:szCs w:val="24"/>
        </w:rPr>
      </w:pPr>
    </w:p>
    <w:p w14:paraId="689A9297" w14:textId="77777777" w:rsidR="00D60CA9" w:rsidRPr="00711A45" w:rsidRDefault="00D60CA9" w:rsidP="00A36972">
      <w:pPr>
        <w:ind w:left="851"/>
        <w:rPr>
          <w:i/>
          <w:sz w:val="24"/>
          <w:szCs w:val="24"/>
        </w:rPr>
      </w:pPr>
      <w:proofErr w:type="spellStart"/>
      <w:r w:rsidRPr="00711A45">
        <w:rPr>
          <w:i/>
          <w:sz w:val="24"/>
          <w:szCs w:val="24"/>
        </w:rPr>
        <w:t>Carbamazepin</w:t>
      </w:r>
      <w:proofErr w:type="spellEnd"/>
    </w:p>
    <w:p w14:paraId="0CF69E19" w14:textId="77777777" w:rsidR="00D60CA9" w:rsidRPr="00711A45" w:rsidRDefault="00D60CA9" w:rsidP="00A36972">
      <w:pPr>
        <w:ind w:left="851"/>
        <w:rPr>
          <w:sz w:val="24"/>
          <w:szCs w:val="24"/>
        </w:rPr>
      </w:pPr>
      <w:r w:rsidRPr="00711A45">
        <w:rPr>
          <w:sz w:val="24"/>
          <w:szCs w:val="24"/>
        </w:rPr>
        <w:t xml:space="preserve">Der er indikationer på, at </w:t>
      </w:r>
      <w:proofErr w:type="spellStart"/>
      <w:r w:rsidRPr="00711A45">
        <w:rPr>
          <w:sz w:val="24"/>
          <w:szCs w:val="24"/>
        </w:rPr>
        <w:t>sultiam</w:t>
      </w:r>
      <w:proofErr w:type="spellEnd"/>
      <w:r w:rsidRPr="00711A45">
        <w:rPr>
          <w:sz w:val="24"/>
          <w:szCs w:val="24"/>
        </w:rPr>
        <w:t xml:space="preserve">-serumniveauet kan falde, hvis </w:t>
      </w:r>
      <w:proofErr w:type="spellStart"/>
      <w:r w:rsidRPr="00711A45">
        <w:rPr>
          <w:sz w:val="24"/>
          <w:szCs w:val="24"/>
        </w:rPr>
        <w:t>carbamazepin</w:t>
      </w:r>
      <w:proofErr w:type="spellEnd"/>
      <w:r w:rsidRPr="00711A45">
        <w:rPr>
          <w:sz w:val="24"/>
          <w:szCs w:val="24"/>
        </w:rPr>
        <w:t xml:space="preserve"> tages samtidigt.</w:t>
      </w:r>
    </w:p>
    <w:p w14:paraId="6C1BE67E" w14:textId="77777777" w:rsidR="00D60CA9" w:rsidRPr="00711A45" w:rsidRDefault="00D60CA9" w:rsidP="00A36972">
      <w:pPr>
        <w:ind w:left="851"/>
        <w:rPr>
          <w:sz w:val="24"/>
          <w:szCs w:val="24"/>
        </w:rPr>
      </w:pPr>
    </w:p>
    <w:p w14:paraId="05665F92" w14:textId="77777777" w:rsidR="00D60CA9" w:rsidRPr="00CF1B16" w:rsidRDefault="00D60CA9" w:rsidP="00A36972">
      <w:pPr>
        <w:ind w:left="851"/>
        <w:rPr>
          <w:sz w:val="24"/>
          <w:szCs w:val="24"/>
          <w:u w:val="single"/>
        </w:rPr>
      </w:pPr>
      <w:r w:rsidRPr="00CF1B16">
        <w:rPr>
          <w:sz w:val="24"/>
          <w:szCs w:val="24"/>
          <w:u w:val="single"/>
        </w:rPr>
        <w:t xml:space="preserve">Indvirkning af </w:t>
      </w:r>
      <w:proofErr w:type="spellStart"/>
      <w:r w:rsidRPr="00CF1B16">
        <w:rPr>
          <w:sz w:val="24"/>
          <w:szCs w:val="24"/>
          <w:u w:val="single"/>
        </w:rPr>
        <w:t>sultiam</w:t>
      </w:r>
      <w:proofErr w:type="spellEnd"/>
      <w:r w:rsidRPr="00CF1B16">
        <w:rPr>
          <w:sz w:val="24"/>
          <w:szCs w:val="24"/>
          <w:u w:val="single"/>
        </w:rPr>
        <w:t xml:space="preserve"> på andre lægemidler</w:t>
      </w:r>
    </w:p>
    <w:p w14:paraId="436D17D1" w14:textId="77777777" w:rsidR="00D60CA9" w:rsidRPr="00711A45" w:rsidRDefault="00D60CA9" w:rsidP="00A36972">
      <w:pPr>
        <w:ind w:left="851"/>
        <w:rPr>
          <w:sz w:val="24"/>
          <w:szCs w:val="24"/>
        </w:rPr>
      </w:pPr>
    </w:p>
    <w:p w14:paraId="4B37741B" w14:textId="77777777" w:rsidR="00D60CA9" w:rsidRPr="00711A45" w:rsidRDefault="00D60CA9" w:rsidP="00A36972">
      <w:pPr>
        <w:ind w:left="851"/>
        <w:rPr>
          <w:i/>
          <w:sz w:val="24"/>
          <w:szCs w:val="24"/>
        </w:rPr>
      </w:pPr>
      <w:proofErr w:type="spellStart"/>
      <w:r w:rsidRPr="00711A45">
        <w:rPr>
          <w:i/>
          <w:sz w:val="24"/>
          <w:szCs w:val="24"/>
        </w:rPr>
        <w:t>Phenytoin</w:t>
      </w:r>
      <w:proofErr w:type="spellEnd"/>
    </w:p>
    <w:p w14:paraId="296E1F14" w14:textId="77777777" w:rsidR="00D60CA9" w:rsidRPr="00711A45" w:rsidRDefault="00D60CA9" w:rsidP="00A36972">
      <w:pPr>
        <w:ind w:left="851"/>
        <w:rPr>
          <w:sz w:val="24"/>
          <w:szCs w:val="24"/>
        </w:rPr>
      </w:pPr>
      <w:r w:rsidRPr="00711A45">
        <w:rPr>
          <w:sz w:val="24"/>
          <w:szCs w:val="24"/>
        </w:rPr>
        <w:t xml:space="preserve">Hvis </w:t>
      </w:r>
      <w:proofErr w:type="spellStart"/>
      <w:r w:rsidRPr="00711A45">
        <w:rPr>
          <w:sz w:val="24"/>
          <w:szCs w:val="24"/>
        </w:rPr>
        <w:t>sultiam</w:t>
      </w:r>
      <w:proofErr w:type="spellEnd"/>
      <w:r w:rsidRPr="00711A45">
        <w:rPr>
          <w:sz w:val="24"/>
          <w:szCs w:val="24"/>
        </w:rPr>
        <w:t xml:space="preserve"> kombineres med </w:t>
      </w:r>
      <w:proofErr w:type="spellStart"/>
      <w:r w:rsidRPr="00711A45">
        <w:rPr>
          <w:sz w:val="24"/>
          <w:szCs w:val="24"/>
        </w:rPr>
        <w:t>phenytoin</w:t>
      </w:r>
      <w:proofErr w:type="spellEnd"/>
      <w:r w:rsidRPr="00711A45">
        <w:rPr>
          <w:sz w:val="24"/>
          <w:szCs w:val="24"/>
        </w:rPr>
        <w:t xml:space="preserve">, kan plasmaniveauerne af </w:t>
      </w:r>
      <w:proofErr w:type="spellStart"/>
      <w:r w:rsidRPr="00711A45">
        <w:rPr>
          <w:sz w:val="24"/>
          <w:szCs w:val="24"/>
        </w:rPr>
        <w:t>phenytoin</w:t>
      </w:r>
      <w:proofErr w:type="spellEnd"/>
      <w:r w:rsidRPr="00711A45">
        <w:rPr>
          <w:sz w:val="24"/>
          <w:szCs w:val="24"/>
        </w:rPr>
        <w:t xml:space="preserve"> blive markant forhøjet. Denne kombination kræver særlig streng overvågning og hyppig kontrol af </w:t>
      </w:r>
      <w:proofErr w:type="spellStart"/>
      <w:r w:rsidRPr="00711A45">
        <w:rPr>
          <w:sz w:val="24"/>
          <w:szCs w:val="24"/>
        </w:rPr>
        <w:t>phenytoin</w:t>
      </w:r>
      <w:proofErr w:type="spellEnd"/>
      <w:r w:rsidRPr="00711A45">
        <w:rPr>
          <w:sz w:val="24"/>
          <w:szCs w:val="24"/>
        </w:rPr>
        <w:t xml:space="preserve">-plasmaniveauer, især i tilfælde af nedsat nyrefunktion. </w:t>
      </w:r>
    </w:p>
    <w:p w14:paraId="00AB11FE" w14:textId="77777777" w:rsidR="00D60CA9" w:rsidRPr="00711A45" w:rsidRDefault="00D60CA9" w:rsidP="00A36972">
      <w:pPr>
        <w:ind w:left="851"/>
        <w:rPr>
          <w:sz w:val="24"/>
          <w:szCs w:val="24"/>
        </w:rPr>
      </w:pPr>
    </w:p>
    <w:p w14:paraId="3DDDFAF1" w14:textId="77777777" w:rsidR="00D60CA9" w:rsidRPr="00711A45" w:rsidRDefault="00D60CA9" w:rsidP="00A36972">
      <w:pPr>
        <w:ind w:left="851"/>
        <w:rPr>
          <w:i/>
          <w:sz w:val="24"/>
          <w:szCs w:val="24"/>
        </w:rPr>
      </w:pPr>
      <w:proofErr w:type="spellStart"/>
      <w:r w:rsidRPr="00711A45">
        <w:rPr>
          <w:i/>
          <w:sz w:val="24"/>
          <w:szCs w:val="24"/>
        </w:rPr>
        <w:t>Lamotrigin</w:t>
      </w:r>
      <w:proofErr w:type="spellEnd"/>
    </w:p>
    <w:p w14:paraId="07F0B5D7" w14:textId="77777777" w:rsidR="00D60CA9" w:rsidRPr="00711A45" w:rsidRDefault="00D60CA9" w:rsidP="00A36972">
      <w:pPr>
        <w:ind w:left="851"/>
        <w:rPr>
          <w:sz w:val="24"/>
          <w:szCs w:val="24"/>
        </w:rPr>
      </w:pPr>
      <w:r w:rsidRPr="00711A45">
        <w:rPr>
          <w:sz w:val="24"/>
          <w:szCs w:val="24"/>
        </w:rPr>
        <w:t xml:space="preserve">I kombination med </w:t>
      </w:r>
      <w:proofErr w:type="spellStart"/>
      <w:r w:rsidRPr="00711A45">
        <w:rPr>
          <w:sz w:val="24"/>
          <w:szCs w:val="24"/>
        </w:rPr>
        <w:t>lamotrigin</w:t>
      </w:r>
      <w:proofErr w:type="spellEnd"/>
      <w:r w:rsidRPr="00711A45">
        <w:rPr>
          <w:sz w:val="24"/>
          <w:szCs w:val="24"/>
        </w:rPr>
        <w:t xml:space="preserve"> er der også observeret en stigning i </w:t>
      </w:r>
      <w:proofErr w:type="spellStart"/>
      <w:r w:rsidRPr="00711A45">
        <w:rPr>
          <w:sz w:val="24"/>
          <w:szCs w:val="24"/>
        </w:rPr>
        <w:t>lamotriginniveauet</w:t>
      </w:r>
      <w:proofErr w:type="spellEnd"/>
      <w:r w:rsidRPr="00711A45">
        <w:rPr>
          <w:sz w:val="24"/>
          <w:szCs w:val="24"/>
        </w:rPr>
        <w:t xml:space="preserve"> i blodet i enkelte tilfælde. Derfor bør </w:t>
      </w:r>
      <w:proofErr w:type="spellStart"/>
      <w:r w:rsidRPr="00711A45">
        <w:rPr>
          <w:sz w:val="24"/>
          <w:szCs w:val="24"/>
        </w:rPr>
        <w:t>lamotriginniveauet</w:t>
      </w:r>
      <w:proofErr w:type="spellEnd"/>
      <w:r w:rsidRPr="00711A45">
        <w:rPr>
          <w:sz w:val="24"/>
          <w:szCs w:val="24"/>
        </w:rPr>
        <w:t xml:space="preserve"> kontrolleres hyppigere i begyndelsen af en sådan behandling.</w:t>
      </w:r>
    </w:p>
    <w:p w14:paraId="387CA038" w14:textId="77777777" w:rsidR="00D60CA9" w:rsidRPr="00711A45" w:rsidRDefault="00D60CA9" w:rsidP="00A36972">
      <w:pPr>
        <w:ind w:left="851"/>
        <w:rPr>
          <w:sz w:val="24"/>
          <w:szCs w:val="24"/>
        </w:rPr>
      </w:pPr>
    </w:p>
    <w:p w14:paraId="201B5724" w14:textId="77777777" w:rsidR="00D60CA9" w:rsidRPr="00711A45" w:rsidRDefault="00D60CA9" w:rsidP="00A36972">
      <w:pPr>
        <w:ind w:left="851"/>
        <w:rPr>
          <w:i/>
          <w:sz w:val="24"/>
          <w:szCs w:val="24"/>
        </w:rPr>
      </w:pPr>
      <w:proofErr w:type="spellStart"/>
      <w:r w:rsidRPr="00711A45">
        <w:rPr>
          <w:i/>
          <w:sz w:val="24"/>
          <w:szCs w:val="24"/>
        </w:rPr>
        <w:t>Carboanhydrasehæmmere</w:t>
      </w:r>
      <w:proofErr w:type="spellEnd"/>
    </w:p>
    <w:p w14:paraId="53EACEE7" w14:textId="77777777" w:rsidR="00D60CA9" w:rsidRPr="00711A45" w:rsidRDefault="00D60CA9" w:rsidP="00A36972">
      <w:pPr>
        <w:ind w:left="851"/>
        <w:rPr>
          <w:sz w:val="24"/>
          <w:szCs w:val="24"/>
        </w:rPr>
      </w:pPr>
      <w:r w:rsidRPr="00711A45">
        <w:rPr>
          <w:sz w:val="24"/>
          <w:szCs w:val="24"/>
        </w:rPr>
        <w:t xml:space="preserve">Samtidig brug af </w:t>
      </w:r>
      <w:proofErr w:type="spellStart"/>
      <w:r w:rsidRPr="00711A45">
        <w:rPr>
          <w:sz w:val="24"/>
          <w:szCs w:val="24"/>
        </w:rPr>
        <w:t>sultiam</w:t>
      </w:r>
      <w:proofErr w:type="spellEnd"/>
      <w:r w:rsidRPr="00711A45">
        <w:rPr>
          <w:sz w:val="24"/>
          <w:szCs w:val="24"/>
        </w:rPr>
        <w:t xml:space="preserve"> og andre </w:t>
      </w:r>
      <w:proofErr w:type="spellStart"/>
      <w:r w:rsidRPr="00711A45">
        <w:rPr>
          <w:sz w:val="24"/>
          <w:szCs w:val="24"/>
        </w:rPr>
        <w:t>carboanhydrasehæmmere</w:t>
      </w:r>
      <w:proofErr w:type="spellEnd"/>
      <w:r w:rsidRPr="00711A45">
        <w:rPr>
          <w:sz w:val="24"/>
          <w:szCs w:val="24"/>
        </w:rPr>
        <w:t xml:space="preserve"> (f.eks. </w:t>
      </w:r>
      <w:proofErr w:type="spellStart"/>
      <w:r w:rsidRPr="00711A45">
        <w:rPr>
          <w:sz w:val="24"/>
          <w:szCs w:val="24"/>
        </w:rPr>
        <w:t>topiramat</w:t>
      </w:r>
      <w:proofErr w:type="spellEnd"/>
      <w:r w:rsidRPr="00711A45">
        <w:rPr>
          <w:sz w:val="24"/>
          <w:szCs w:val="24"/>
        </w:rPr>
        <w:t xml:space="preserve">, </w:t>
      </w:r>
      <w:proofErr w:type="spellStart"/>
      <w:r w:rsidRPr="00711A45">
        <w:rPr>
          <w:sz w:val="24"/>
          <w:szCs w:val="24"/>
        </w:rPr>
        <w:t>acetazolamid</w:t>
      </w:r>
      <w:proofErr w:type="spellEnd"/>
      <w:r w:rsidRPr="00711A45">
        <w:rPr>
          <w:sz w:val="24"/>
          <w:szCs w:val="24"/>
        </w:rPr>
        <w:t xml:space="preserve">) kan øge risikoen for bivirkninger på grund af </w:t>
      </w:r>
      <w:proofErr w:type="spellStart"/>
      <w:r w:rsidRPr="00711A45">
        <w:rPr>
          <w:sz w:val="24"/>
          <w:szCs w:val="24"/>
        </w:rPr>
        <w:t>carboanhydrasehæmning</w:t>
      </w:r>
      <w:proofErr w:type="spellEnd"/>
      <w:r w:rsidRPr="00711A45">
        <w:rPr>
          <w:sz w:val="24"/>
          <w:szCs w:val="24"/>
        </w:rPr>
        <w:t xml:space="preserve"> (se også pkt. 4.8).</w:t>
      </w:r>
    </w:p>
    <w:p w14:paraId="7210510D" w14:textId="77777777" w:rsidR="00D60CA9" w:rsidRPr="00711A45" w:rsidRDefault="00D60CA9" w:rsidP="00A36972">
      <w:pPr>
        <w:ind w:left="851"/>
        <w:rPr>
          <w:sz w:val="24"/>
          <w:szCs w:val="24"/>
        </w:rPr>
      </w:pPr>
    </w:p>
    <w:p w14:paraId="77025774" w14:textId="77777777" w:rsidR="00D60CA9" w:rsidRPr="00CF1B16" w:rsidRDefault="00D60CA9" w:rsidP="00A36972">
      <w:pPr>
        <w:ind w:left="851"/>
        <w:rPr>
          <w:sz w:val="24"/>
          <w:szCs w:val="24"/>
          <w:u w:val="single"/>
        </w:rPr>
      </w:pPr>
      <w:r w:rsidRPr="00CF1B16">
        <w:rPr>
          <w:sz w:val="24"/>
          <w:szCs w:val="24"/>
          <w:u w:val="single"/>
        </w:rPr>
        <w:t>Alkohol</w:t>
      </w:r>
    </w:p>
    <w:p w14:paraId="2FE20789" w14:textId="77777777" w:rsidR="00D60CA9" w:rsidRPr="00711A45" w:rsidRDefault="00D60CA9" w:rsidP="00A36972">
      <w:pPr>
        <w:ind w:left="851"/>
        <w:rPr>
          <w:sz w:val="24"/>
          <w:szCs w:val="24"/>
        </w:rPr>
      </w:pPr>
      <w:r w:rsidRPr="00711A45">
        <w:rPr>
          <w:sz w:val="24"/>
          <w:szCs w:val="24"/>
        </w:rPr>
        <w:t xml:space="preserve">Under behandling med </w:t>
      </w:r>
      <w:proofErr w:type="spellStart"/>
      <w:r w:rsidRPr="00711A45">
        <w:rPr>
          <w:sz w:val="24"/>
          <w:szCs w:val="24"/>
        </w:rPr>
        <w:t>sultiam</w:t>
      </w:r>
      <w:proofErr w:type="spellEnd"/>
      <w:r w:rsidRPr="00711A45">
        <w:rPr>
          <w:sz w:val="24"/>
          <w:szCs w:val="24"/>
        </w:rPr>
        <w:t xml:space="preserve"> bør patienten afholde sig fra alkohol. </w:t>
      </w:r>
      <w:proofErr w:type="spellStart"/>
      <w:r w:rsidRPr="00711A45">
        <w:rPr>
          <w:sz w:val="24"/>
          <w:szCs w:val="24"/>
        </w:rPr>
        <w:t>Sultiam</w:t>
      </w:r>
      <w:proofErr w:type="spellEnd"/>
      <w:r w:rsidRPr="00711A45">
        <w:rPr>
          <w:sz w:val="24"/>
          <w:szCs w:val="24"/>
        </w:rPr>
        <w:t xml:space="preserve">, som et sulfonamidderivat, kan teoretisk have en effekt svarende til </w:t>
      </w:r>
      <w:proofErr w:type="spellStart"/>
      <w:r w:rsidRPr="00711A45">
        <w:rPr>
          <w:sz w:val="24"/>
          <w:szCs w:val="24"/>
        </w:rPr>
        <w:t>disulfiram</w:t>
      </w:r>
      <w:proofErr w:type="spellEnd"/>
      <w:r w:rsidRPr="00711A45">
        <w:rPr>
          <w:sz w:val="24"/>
          <w:szCs w:val="24"/>
        </w:rPr>
        <w:t xml:space="preserve">. Disse symptomer omfatter en meget ubehagelig, men generelt selvbegrænsende systemisk reaktion forårsaget af vasodilatation, med pulserende hovedpine, respirationsnedsættelse, kvalme, opkastning, </w:t>
      </w:r>
      <w:proofErr w:type="spellStart"/>
      <w:r w:rsidRPr="00711A45">
        <w:rPr>
          <w:sz w:val="24"/>
          <w:szCs w:val="24"/>
        </w:rPr>
        <w:t>takykardi</w:t>
      </w:r>
      <w:proofErr w:type="spellEnd"/>
      <w:r w:rsidRPr="00711A45">
        <w:rPr>
          <w:sz w:val="24"/>
          <w:szCs w:val="24"/>
        </w:rPr>
        <w:t xml:space="preserve">, hypotension, </w:t>
      </w:r>
      <w:proofErr w:type="spellStart"/>
      <w:r w:rsidRPr="00711A45">
        <w:rPr>
          <w:sz w:val="24"/>
          <w:szCs w:val="24"/>
        </w:rPr>
        <w:t>amblyopi</w:t>
      </w:r>
      <w:proofErr w:type="spellEnd"/>
      <w:r w:rsidRPr="00711A45">
        <w:rPr>
          <w:sz w:val="24"/>
          <w:szCs w:val="24"/>
        </w:rPr>
        <w:t xml:space="preserve">, forvirring, </w:t>
      </w:r>
      <w:proofErr w:type="spellStart"/>
      <w:r w:rsidRPr="00711A45">
        <w:rPr>
          <w:sz w:val="24"/>
          <w:szCs w:val="24"/>
        </w:rPr>
        <w:t>shockreaktioner</w:t>
      </w:r>
      <w:proofErr w:type="spellEnd"/>
      <w:r w:rsidRPr="00711A45">
        <w:rPr>
          <w:sz w:val="24"/>
          <w:szCs w:val="24"/>
        </w:rPr>
        <w:t xml:space="preserve">, </w:t>
      </w:r>
      <w:proofErr w:type="spellStart"/>
      <w:r w:rsidRPr="00711A45">
        <w:rPr>
          <w:sz w:val="24"/>
          <w:szCs w:val="24"/>
        </w:rPr>
        <w:t>arytmier</w:t>
      </w:r>
      <w:proofErr w:type="spellEnd"/>
      <w:r w:rsidRPr="00711A45">
        <w:rPr>
          <w:sz w:val="24"/>
          <w:szCs w:val="24"/>
        </w:rPr>
        <w:t xml:space="preserve">, bevidsthedstab og kramper. Graden og varigheden af disse symptomer kan variere i stor udstrækning. </w:t>
      </w:r>
    </w:p>
    <w:p w14:paraId="3D3C846B" w14:textId="77777777" w:rsidR="009260DE" w:rsidRPr="00711A45" w:rsidRDefault="009260DE" w:rsidP="009260DE">
      <w:pPr>
        <w:tabs>
          <w:tab w:val="left" w:pos="851"/>
        </w:tabs>
        <w:ind w:left="851"/>
        <w:rPr>
          <w:sz w:val="24"/>
          <w:szCs w:val="24"/>
        </w:rPr>
      </w:pPr>
    </w:p>
    <w:p w14:paraId="55B0D3DD" w14:textId="77777777" w:rsidR="009260DE" w:rsidRPr="00711A45" w:rsidRDefault="009260DE" w:rsidP="009260DE">
      <w:pPr>
        <w:tabs>
          <w:tab w:val="left" w:pos="851"/>
        </w:tabs>
        <w:ind w:left="851" w:hanging="851"/>
        <w:rPr>
          <w:b/>
          <w:sz w:val="24"/>
          <w:szCs w:val="24"/>
        </w:rPr>
      </w:pPr>
      <w:r w:rsidRPr="00711A45">
        <w:rPr>
          <w:b/>
          <w:sz w:val="24"/>
          <w:szCs w:val="24"/>
        </w:rPr>
        <w:t>4.6</w:t>
      </w:r>
      <w:r w:rsidRPr="00711A45">
        <w:rPr>
          <w:b/>
          <w:sz w:val="24"/>
          <w:szCs w:val="24"/>
        </w:rPr>
        <w:tab/>
      </w:r>
      <w:r w:rsidR="0071241E" w:rsidRPr="00711A45">
        <w:rPr>
          <w:b/>
          <w:sz w:val="24"/>
          <w:szCs w:val="24"/>
        </w:rPr>
        <w:t>Fertilitet, g</w:t>
      </w:r>
      <w:r w:rsidRPr="00711A45">
        <w:rPr>
          <w:b/>
          <w:sz w:val="24"/>
          <w:szCs w:val="24"/>
        </w:rPr>
        <w:t>raviditet og amning</w:t>
      </w:r>
    </w:p>
    <w:p w14:paraId="5FBEA524" w14:textId="77777777" w:rsidR="00CF1B16" w:rsidRDefault="00CF1B16" w:rsidP="00A36972">
      <w:pPr>
        <w:ind w:left="851"/>
        <w:rPr>
          <w:snapToGrid w:val="0"/>
          <w:sz w:val="24"/>
          <w:szCs w:val="24"/>
        </w:rPr>
      </w:pPr>
    </w:p>
    <w:p w14:paraId="4A4CB14E" w14:textId="46EF272C" w:rsidR="00D60CA9" w:rsidRPr="00711A45" w:rsidRDefault="00D60CA9" w:rsidP="00A36972">
      <w:pPr>
        <w:ind w:left="851"/>
        <w:rPr>
          <w:snapToGrid w:val="0"/>
          <w:sz w:val="24"/>
          <w:szCs w:val="24"/>
          <w:lang w:eastAsia="de-DE"/>
        </w:rPr>
      </w:pPr>
      <w:r w:rsidRPr="00711A45">
        <w:rPr>
          <w:snapToGrid w:val="0"/>
          <w:sz w:val="24"/>
          <w:szCs w:val="24"/>
        </w:rPr>
        <w:t>Graviditet</w:t>
      </w:r>
    </w:p>
    <w:p w14:paraId="7B3ADF7E" w14:textId="77777777" w:rsidR="00D60CA9" w:rsidRPr="00711A45" w:rsidRDefault="00D60CA9" w:rsidP="00A36972">
      <w:pPr>
        <w:ind w:left="851"/>
        <w:rPr>
          <w:sz w:val="24"/>
          <w:szCs w:val="24"/>
        </w:rPr>
      </w:pPr>
      <w:r w:rsidRPr="00711A45">
        <w:rPr>
          <w:snapToGrid w:val="0"/>
          <w:sz w:val="24"/>
          <w:szCs w:val="24"/>
        </w:rPr>
        <w:t xml:space="preserve">Der findes ingen eller en begrænset mængde data fra brugen af </w:t>
      </w:r>
      <w:proofErr w:type="spellStart"/>
      <w:r w:rsidRPr="00711A45">
        <w:rPr>
          <w:snapToGrid w:val="0"/>
          <w:sz w:val="24"/>
          <w:szCs w:val="24"/>
        </w:rPr>
        <w:t>sultiam</w:t>
      </w:r>
      <w:proofErr w:type="spellEnd"/>
      <w:r w:rsidRPr="00711A45">
        <w:rPr>
          <w:snapToGrid w:val="0"/>
          <w:sz w:val="24"/>
          <w:szCs w:val="24"/>
        </w:rPr>
        <w:t xml:space="preserve"> til gravide kvinder. Dyreforsøg</w:t>
      </w:r>
      <w:r w:rsidRPr="00711A45">
        <w:rPr>
          <w:sz w:val="24"/>
          <w:szCs w:val="24"/>
        </w:rPr>
        <w:t xml:space="preserve"> er utilstrækkelige med hensyn til reproduktionstoksicitet</w:t>
      </w:r>
      <w:r w:rsidRPr="00711A45">
        <w:rPr>
          <w:snapToGrid w:val="0"/>
          <w:sz w:val="24"/>
          <w:szCs w:val="24"/>
        </w:rPr>
        <w:t>, men afslørede embryotoksiske effekter</w:t>
      </w:r>
      <w:r w:rsidRPr="00711A45">
        <w:rPr>
          <w:sz w:val="24"/>
          <w:szCs w:val="24"/>
        </w:rPr>
        <w:t xml:space="preserve"> (se pkt. 5.3)</w:t>
      </w:r>
      <w:r w:rsidRPr="00711A45">
        <w:rPr>
          <w:snapToGrid w:val="0"/>
          <w:sz w:val="24"/>
          <w:szCs w:val="24"/>
        </w:rPr>
        <w:t xml:space="preserve">. Administration af </w:t>
      </w:r>
      <w:proofErr w:type="spellStart"/>
      <w:r w:rsidRPr="00711A45">
        <w:rPr>
          <w:snapToGrid w:val="0"/>
          <w:sz w:val="24"/>
          <w:szCs w:val="24"/>
        </w:rPr>
        <w:t>antiepileptika</w:t>
      </w:r>
      <w:proofErr w:type="spellEnd"/>
      <w:r w:rsidRPr="00711A45">
        <w:rPr>
          <w:snapToGrid w:val="0"/>
          <w:sz w:val="24"/>
          <w:szCs w:val="24"/>
        </w:rPr>
        <w:t xml:space="preserve"> under graviditet har generelt været forbundet med en øget risiko for misdannelser, som kan øges, hvis forskellige </w:t>
      </w:r>
      <w:proofErr w:type="spellStart"/>
      <w:r w:rsidRPr="00711A45">
        <w:rPr>
          <w:snapToGrid w:val="0"/>
          <w:sz w:val="24"/>
          <w:szCs w:val="24"/>
        </w:rPr>
        <w:t>antiepileptika</w:t>
      </w:r>
      <w:proofErr w:type="spellEnd"/>
      <w:r w:rsidRPr="00711A45">
        <w:rPr>
          <w:snapToGrid w:val="0"/>
          <w:sz w:val="24"/>
          <w:szCs w:val="24"/>
        </w:rPr>
        <w:t xml:space="preserve"> kombineres. Derfor </w:t>
      </w:r>
      <w:r w:rsidRPr="00711A45">
        <w:rPr>
          <w:sz w:val="24"/>
          <w:szCs w:val="24"/>
        </w:rPr>
        <w:t xml:space="preserve">anbefales </w:t>
      </w:r>
      <w:proofErr w:type="spellStart"/>
      <w:r w:rsidRPr="00711A45">
        <w:rPr>
          <w:sz w:val="24"/>
          <w:szCs w:val="24"/>
        </w:rPr>
        <w:t>Ospolot</w:t>
      </w:r>
      <w:proofErr w:type="spellEnd"/>
      <w:r w:rsidRPr="00711A45">
        <w:rPr>
          <w:sz w:val="24"/>
          <w:szCs w:val="24"/>
        </w:rPr>
        <w:t xml:space="preserve"> ikke under graviditet og til kvinder i den fødedygtige alder, der ikke bruger prævention.</w:t>
      </w:r>
    </w:p>
    <w:p w14:paraId="1C9CD3AB" w14:textId="77777777" w:rsidR="00D60CA9" w:rsidRPr="00711A45" w:rsidRDefault="00D60CA9" w:rsidP="00A36972">
      <w:pPr>
        <w:ind w:left="851"/>
        <w:rPr>
          <w:sz w:val="24"/>
          <w:szCs w:val="24"/>
        </w:rPr>
      </w:pPr>
      <w:r w:rsidRPr="00711A45">
        <w:rPr>
          <w:sz w:val="24"/>
          <w:szCs w:val="24"/>
        </w:rPr>
        <w:t xml:space="preserve">I tilfælde af graviditet bør den laveste </w:t>
      </w:r>
      <w:proofErr w:type="spellStart"/>
      <w:r w:rsidRPr="00711A45">
        <w:rPr>
          <w:sz w:val="24"/>
          <w:szCs w:val="24"/>
        </w:rPr>
        <w:t>anfaldskontrollerende</w:t>
      </w:r>
      <w:proofErr w:type="spellEnd"/>
      <w:r w:rsidRPr="00711A45">
        <w:rPr>
          <w:sz w:val="24"/>
          <w:szCs w:val="24"/>
        </w:rPr>
        <w:t xml:space="preserve"> dosis af </w:t>
      </w:r>
      <w:proofErr w:type="spellStart"/>
      <w:r w:rsidRPr="00711A45">
        <w:rPr>
          <w:sz w:val="24"/>
          <w:szCs w:val="24"/>
        </w:rPr>
        <w:t>Ospolot</w:t>
      </w:r>
      <w:proofErr w:type="spellEnd"/>
      <w:r w:rsidRPr="00711A45">
        <w:rPr>
          <w:sz w:val="24"/>
          <w:szCs w:val="24"/>
        </w:rPr>
        <w:t xml:space="preserve"> indgives, hvis det er muligt, som monoterapi. Prænatale diagnostiske foranstaltninger til tidlig påvisning af misdannelser (ultralyd i høj opløsning og alfa-</w:t>
      </w:r>
      <w:proofErr w:type="spellStart"/>
      <w:r w:rsidRPr="00711A45">
        <w:rPr>
          <w:sz w:val="24"/>
          <w:szCs w:val="24"/>
        </w:rPr>
        <w:t>føtoproteinbestemmelse</w:t>
      </w:r>
      <w:proofErr w:type="spellEnd"/>
      <w:r w:rsidRPr="00711A45">
        <w:rPr>
          <w:sz w:val="24"/>
          <w:szCs w:val="24"/>
        </w:rPr>
        <w:t xml:space="preserve">) anbefales. Behandling med </w:t>
      </w:r>
      <w:proofErr w:type="spellStart"/>
      <w:r w:rsidRPr="00711A45">
        <w:rPr>
          <w:sz w:val="24"/>
          <w:szCs w:val="24"/>
        </w:rPr>
        <w:t>antiepileptika</w:t>
      </w:r>
      <w:proofErr w:type="spellEnd"/>
      <w:r w:rsidRPr="00711A45">
        <w:rPr>
          <w:sz w:val="24"/>
          <w:szCs w:val="24"/>
        </w:rPr>
        <w:t xml:space="preserve"> bør under ingen omstændigheder seponeres uden lægeligt samtykke, da ukontrollerede anfald kan have alvorlige konsekvenser for både moderen og det ufødte barn.</w:t>
      </w:r>
    </w:p>
    <w:p w14:paraId="47711A5E" w14:textId="77777777" w:rsidR="00D60CA9" w:rsidRPr="00711A45" w:rsidRDefault="00D60CA9" w:rsidP="00A36972">
      <w:pPr>
        <w:ind w:left="851"/>
        <w:rPr>
          <w:sz w:val="24"/>
          <w:szCs w:val="24"/>
        </w:rPr>
      </w:pPr>
    </w:p>
    <w:p w14:paraId="590D5A6B" w14:textId="77777777" w:rsidR="00D60CA9" w:rsidRPr="00CF1B16" w:rsidRDefault="00D60CA9" w:rsidP="00A36972">
      <w:pPr>
        <w:ind w:left="851"/>
        <w:rPr>
          <w:sz w:val="24"/>
          <w:szCs w:val="24"/>
          <w:u w:val="single"/>
        </w:rPr>
      </w:pPr>
      <w:r w:rsidRPr="00CF1B16">
        <w:rPr>
          <w:sz w:val="24"/>
          <w:szCs w:val="24"/>
          <w:u w:val="single"/>
        </w:rPr>
        <w:t>Amning</w:t>
      </w:r>
    </w:p>
    <w:p w14:paraId="7052A5A4" w14:textId="77777777" w:rsidR="00D60CA9" w:rsidRPr="00711A45" w:rsidRDefault="00D60CA9" w:rsidP="00A36972">
      <w:pPr>
        <w:ind w:left="851"/>
        <w:rPr>
          <w:sz w:val="24"/>
          <w:szCs w:val="24"/>
        </w:rPr>
      </w:pPr>
      <w:r w:rsidRPr="00711A45">
        <w:rPr>
          <w:sz w:val="24"/>
          <w:szCs w:val="24"/>
        </w:rPr>
        <w:t xml:space="preserve">Det er ukendt, om </w:t>
      </w:r>
      <w:proofErr w:type="spellStart"/>
      <w:r w:rsidRPr="00711A45">
        <w:rPr>
          <w:sz w:val="24"/>
          <w:szCs w:val="24"/>
        </w:rPr>
        <w:t>sultiam</w:t>
      </w:r>
      <w:proofErr w:type="spellEnd"/>
      <w:r w:rsidRPr="00711A45">
        <w:rPr>
          <w:sz w:val="24"/>
          <w:szCs w:val="24"/>
        </w:rPr>
        <w:t xml:space="preserve">/metabolitter udskilles i human mælk. En risiko for nyfødte kan ikke udelukkes. </w:t>
      </w:r>
      <w:proofErr w:type="spellStart"/>
      <w:r w:rsidRPr="00711A45">
        <w:rPr>
          <w:sz w:val="24"/>
          <w:szCs w:val="24"/>
        </w:rPr>
        <w:t>Ospolot</w:t>
      </w:r>
      <w:proofErr w:type="spellEnd"/>
      <w:r w:rsidRPr="00711A45">
        <w:rPr>
          <w:sz w:val="24"/>
          <w:szCs w:val="24"/>
        </w:rPr>
        <w:t xml:space="preserve"> bør ikke bruges under amning.</w:t>
      </w:r>
    </w:p>
    <w:p w14:paraId="2DA97E90" w14:textId="77777777" w:rsidR="00D60CA9" w:rsidRPr="00711A45" w:rsidRDefault="00D60CA9" w:rsidP="00A36972">
      <w:pPr>
        <w:ind w:left="851"/>
        <w:rPr>
          <w:sz w:val="24"/>
          <w:szCs w:val="24"/>
        </w:rPr>
      </w:pPr>
    </w:p>
    <w:p w14:paraId="5A692910" w14:textId="77777777" w:rsidR="00D60CA9" w:rsidRPr="00CF1B16" w:rsidRDefault="00D60CA9" w:rsidP="00A36972">
      <w:pPr>
        <w:ind w:left="851"/>
        <w:rPr>
          <w:sz w:val="24"/>
          <w:szCs w:val="24"/>
          <w:u w:val="single"/>
        </w:rPr>
      </w:pPr>
      <w:r w:rsidRPr="00CF1B16">
        <w:rPr>
          <w:sz w:val="24"/>
          <w:szCs w:val="24"/>
          <w:u w:val="single"/>
        </w:rPr>
        <w:t>Fertilitet</w:t>
      </w:r>
    </w:p>
    <w:p w14:paraId="0F5920FC" w14:textId="77777777" w:rsidR="00D60CA9" w:rsidRPr="00711A45" w:rsidRDefault="00D60CA9" w:rsidP="00A36972">
      <w:pPr>
        <w:ind w:left="851"/>
        <w:rPr>
          <w:sz w:val="24"/>
          <w:szCs w:val="24"/>
        </w:rPr>
      </w:pPr>
      <w:r w:rsidRPr="00711A45">
        <w:rPr>
          <w:sz w:val="24"/>
          <w:szCs w:val="24"/>
        </w:rPr>
        <w:t xml:space="preserve">Der findes ingen data om effekterne af </w:t>
      </w:r>
      <w:proofErr w:type="spellStart"/>
      <w:r w:rsidRPr="00711A45">
        <w:rPr>
          <w:sz w:val="24"/>
          <w:szCs w:val="24"/>
        </w:rPr>
        <w:t>sultiam</w:t>
      </w:r>
      <w:proofErr w:type="spellEnd"/>
      <w:r w:rsidRPr="00711A45">
        <w:rPr>
          <w:sz w:val="24"/>
          <w:szCs w:val="24"/>
        </w:rPr>
        <w:t xml:space="preserve"> på fertilitet.</w:t>
      </w:r>
    </w:p>
    <w:p w14:paraId="0D87C7EE" w14:textId="77777777" w:rsidR="009260DE" w:rsidRPr="00711A45" w:rsidRDefault="009260DE" w:rsidP="009260DE">
      <w:pPr>
        <w:tabs>
          <w:tab w:val="left" w:pos="851"/>
        </w:tabs>
        <w:ind w:left="851"/>
        <w:rPr>
          <w:sz w:val="24"/>
          <w:szCs w:val="24"/>
        </w:rPr>
      </w:pPr>
    </w:p>
    <w:p w14:paraId="2D0DB587" w14:textId="77777777" w:rsidR="009260DE" w:rsidRPr="00711A45" w:rsidRDefault="009260DE" w:rsidP="009260DE">
      <w:pPr>
        <w:tabs>
          <w:tab w:val="left" w:pos="851"/>
        </w:tabs>
        <w:ind w:left="851" w:hanging="851"/>
        <w:rPr>
          <w:b/>
          <w:sz w:val="24"/>
          <w:szCs w:val="24"/>
        </w:rPr>
      </w:pPr>
      <w:r w:rsidRPr="00711A45">
        <w:rPr>
          <w:b/>
          <w:sz w:val="24"/>
          <w:szCs w:val="24"/>
        </w:rPr>
        <w:t>4.7</w:t>
      </w:r>
      <w:r w:rsidRPr="00711A45">
        <w:rPr>
          <w:b/>
          <w:sz w:val="24"/>
          <w:szCs w:val="24"/>
        </w:rPr>
        <w:tab/>
        <w:t xml:space="preserve">Virkning på evnen til at føre motorkøretøj </w:t>
      </w:r>
      <w:r w:rsidR="0071241E" w:rsidRPr="00711A45">
        <w:rPr>
          <w:b/>
          <w:sz w:val="24"/>
          <w:szCs w:val="24"/>
        </w:rPr>
        <w:t>og</w:t>
      </w:r>
      <w:r w:rsidRPr="00711A45">
        <w:rPr>
          <w:b/>
          <w:sz w:val="24"/>
          <w:szCs w:val="24"/>
        </w:rPr>
        <w:t xml:space="preserve"> betjene maskiner</w:t>
      </w:r>
    </w:p>
    <w:p w14:paraId="6951CF08" w14:textId="77777777" w:rsidR="00D60CA9" w:rsidRPr="00711A45" w:rsidRDefault="00D60CA9" w:rsidP="00A36972">
      <w:pPr>
        <w:ind w:left="851"/>
        <w:rPr>
          <w:sz w:val="24"/>
          <w:szCs w:val="24"/>
        </w:rPr>
      </w:pPr>
      <w:r w:rsidRPr="00711A45">
        <w:rPr>
          <w:sz w:val="24"/>
          <w:szCs w:val="24"/>
        </w:rPr>
        <w:t>Mærkning.</w:t>
      </w:r>
    </w:p>
    <w:p w14:paraId="028043F2" w14:textId="77777777" w:rsidR="00D60CA9" w:rsidRPr="00711A45" w:rsidRDefault="00D60CA9" w:rsidP="00A36972">
      <w:pPr>
        <w:ind w:left="851"/>
        <w:rPr>
          <w:sz w:val="24"/>
          <w:szCs w:val="24"/>
        </w:rPr>
      </w:pPr>
      <w:r w:rsidRPr="00711A45">
        <w:rPr>
          <w:sz w:val="24"/>
          <w:szCs w:val="24"/>
        </w:rPr>
        <w:t>Selv når det anvendes som anvist, kan dette lægemiddel påvirke reaktionerne i en sådan grad – især i starten af behandlingen – at evnen til at køre bil eller betjene maskiner kan blive svækket. Det gælder i højere grad i kombination med alkohol.</w:t>
      </w:r>
    </w:p>
    <w:p w14:paraId="648CDEF1" w14:textId="77777777" w:rsidR="009260DE" w:rsidRPr="00711A45" w:rsidRDefault="009260DE" w:rsidP="009260DE">
      <w:pPr>
        <w:tabs>
          <w:tab w:val="left" w:pos="851"/>
        </w:tabs>
        <w:ind w:left="851"/>
        <w:rPr>
          <w:sz w:val="24"/>
          <w:szCs w:val="24"/>
        </w:rPr>
      </w:pPr>
    </w:p>
    <w:p w14:paraId="0B51AA5C" w14:textId="77777777" w:rsidR="009260DE" w:rsidRPr="00711A45" w:rsidRDefault="009260DE" w:rsidP="009260DE">
      <w:pPr>
        <w:tabs>
          <w:tab w:val="left" w:pos="851"/>
        </w:tabs>
        <w:ind w:left="851" w:hanging="851"/>
        <w:rPr>
          <w:b/>
          <w:sz w:val="24"/>
          <w:szCs w:val="24"/>
        </w:rPr>
      </w:pPr>
      <w:r w:rsidRPr="00711A45">
        <w:rPr>
          <w:b/>
          <w:sz w:val="24"/>
          <w:szCs w:val="24"/>
        </w:rPr>
        <w:t>4.8</w:t>
      </w:r>
      <w:r w:rsidRPr="00711A45">
        <w:rPr>
          <w:b/>
          <w:sz w:val="24"/>
          <w:szCs w:val="24"/>
        </w:rPr>
        <w:tab/>
        <w:t>Bivirkninger</w:t>
      </w:r>
    </w:p>
    <w:p w14:paraId="2E4C2DB8" w14:textId="77777777" w:rsidR="00D60CA9" w:rsidRPr="00711A45" w:rsidRDefault="00D60CA9" w:rsidP="00A36972">
      <w:pPr>
        <w:ind w:left="851"/>
        <w:rPr>
          <w:sz w:val="24"/>
          <w:szCs w:val="24"/>
          <w:lang w:eastAsia="de-DE"/>
        </w:rPr>
      </w:pPr>
      <w:r w:rsidRPr="00711A45">
        <w:rPr>
          <w:sz w:val="24"/>
          <w:szCs w:val="24"/>
        </w:rPr>
        <w:t>Følgende hyppighedskategorier anvendes til evaluering af bivirkninger:</w:t>
      </w:r>
    </w:p>
    <w:p w14:paraId="3B82A65D" w14:textId="77777777" w:rsidR="00D60CA9" w:rsidRPr="00711A45" w:rsidRDefault="00D60CA9" w:rsidP="00A36972">
      <w:pPr>
        <w:ind w:left="851"/>
        <w:rPr>
          <w:snapToGrid w:val="0"/>
          <w:sz w:val="24"/>
          <w:szCs w:val="24"/>
        </w:rPr>
      </w:pPr>
      <w:r w:rsidRPr="00711A45">
        <w:rPr>
          <w:sz w:val="24"/>
          <w:szCs w:val="24"/>
        </w:rPr>
        <w:t xml:space="preserve">Meget almindelige </w:t>
      </w:r>
      <w:r w:rsidRPr="00711A45">
        <w:rPr>
          <w:sz w:val="24"/>
          <w:szCs w:val="24"/>
        </w:rPr>
        <w:tab/>
        <w:t>(</w:t>
      </w:r>
      <w:r w:rsidRPr="00711A45">
        <w:rPr>
          <w:sz w:val="24"/>
          <w:szCs w:val="24"/>
        </w:rPr>
        <w:sym w:font="Symbol" w:char="F0B3"/>
      </w:r>
      <w:r w:rsidRPr="00711A45">
        <w:rPr>
          <w:sz w:val="24"/>
          <w:szCs w:val="24"/>
        </w:rPr>
        <w:t xml:space="preserve"> 1/10)</w:t>
      </w:r>
    </w:p>
    <w:p w14:paraId="1E35124F" w14:textId="77777777" w:rsidR="00D60CA9" w:rsidRPr="00711A45" w:rsidRDefault="00D60CA9" w:rsidP="00A36972">
      <w:pPr>
        <w:ind w:left="851"/>
        <w:rPr>
          <w:snapToGrid w:val="0"/>
          <w:sz w:val="24"/>
          <w:szCs w:val="24"/>
        </w:rPr>
      </w:pPr>
      <w:r w:rsidRPr="00711A45">
        <w:rPr>
          <w:snapToGrid w:val="0"/>
          <w:sz w:val="24"/>
          <w:szCs w:val="24"/>
        </w:rPr>
        <w:t>Almindelige</w:t>
      </w:r>
      <w:r w:rsidRPr="00711A45">
        <w:rPr>
          <w:snapToGrid w:val="0"/>
          <w:sz w:val="24"/>
          <w:szCs w:val="24"/>
        </w:rPr>
        <w:tab/>
      </w:r>
      <w:r w:rsidRPr="00711A45">
        <w:rPr>
          <w:snapToGrid w:val="0"/>
          <w:sz w:val="24"/>
          <w:szCs w:val="24"/>
        </w:rPr>
        <w:tab/>
        <w:t>(</w:t>
      </w:r>
      <w:r w:rsidRPr="00711A45">
        <w:rPr>
          <w:sz w:val="24"/>
          <w:szCs w:val="24"/>
        </w:rPr>
        <w:sym w:font="Symbol" w:char="F0B3"/>
      </w:r>
      <w:r w:rsidRPr="00711A45">
        <w:rPr>
          <w:snapToGrid w:val="0"/>
          <w:sz w:val="24"/>
          <w:szCs w:val="24"/>
        </w:rPr>
        <w:t xml:space="preserve"> 1/100 til </w:t>
      </w:r>
      <w:r w:rsidRPr="00711A45">
        <w:rPr>
          <w:sz w:val="24"/>
          <w:szCs w:val="24"/>
        </w:rPr>
        <w:sym w:font="Symbol" w:char="F03C"/>
      </w:r>
      <w:r w:rsidRPr="00711A45">
        <w:rPr>
          <w:snapToGrid w:val="0"/>
          <w:sz w:val="24"/>
          <w:szCs w:val="24"/>
        </w:rPr>
        <w:t xml:space="preserve"> 1/10)</w:t>
      </w:r>
    </w:p>
    <w:p w14:paraId="750C0FFA" w14:textId="77777777" w:rsidR="00D60CA9" w:rsidRPr="00711A45" w:rsidRDefault="00D60CA9" w:rsidP="00A36972">
      <w:pPr>
        <w:ind w:left="851"/>
        <w:rPr>
          <w:snapToGrid w:val="0"/>
          <w:sz w:val="24"/>
          <w:szCs w:val="24"/>
        </w:rPr>
      </w:pPr>
      <w:r w:rsidRPr="00711A45">
        <w:rPr>
          <w:snapToGrid w:val="0"/>
          <w:sz w:val="24"/>
          <w:szCs w:val="24"/>
        </w:rPr>
        <w:t>Ikke almindelige</w:t>
      </w:r>
      <w:r w:rsidRPr="00711A45">
        <w:rPr>
          <w:snapToGrid w:val="0"/>
          <w:sz w:val="24"/>
          <w:szCs w:val="24"/>
        </w:rPr>
        <w:tab/>
      </w:r>
      <w:r w:rsidRPr="00711A45">
        <w:rPr>
          <w:snapToGrid w:val="0"/>
          <w:sz w:val="24"/>
          <w:szCs w:val="24"/>
        </w:rPr>
        <w:tab/>
        <w:t>(</w:t>
      </w:r>
      <w:r w:rsidRPr="00711A45">
        <w:rPr>
          <w:sz w:val="24"/>
          <w:szCs w:val="24"/>
        </w:rPr>
        <w:sym w:font="Symbol" w:char="F0B3"/>
      </w:r>
      <w:r w:rsidRPr="00711A45">
        <w:rPr>
          <w:snapToGrid w:val="0"/>
          <w:sz w:val="24"/>
          <w:szCs w:val="24"/>
        </w:rPr>
        <w:t xml:space="preserve"> 1/1.000 til </w:t>
      </w:r>
      <w:r w:rsidRPr="00711A45">
        <w:rPr>
          <w:sz w:val="24"/>
          <w:szCs w:val="24"/>
        </w:rPr>
        <w:sym w:font="Symbol" w:char="F03C"/>
      </w:r>
      <w:r w:rsidRPr="00711A45">
        <w:rPr>
          <w:snapToGrid w:val="0"/>
          <w:sz w:val="24"/>
          <w:szCs w:val="24"/>
        </w:rPr>
        <w:t xml:space="preserve"> 1/100)</w:t>
      </w:r>
    </w:p>
    <w:p w14:paraId="6ACDDB42" w14:textId="2FD22DF8" w:rsidR="00D60CA9" w:rsidRPr="00711A45" w:rsidRDefault="00D60CA9" w:rsidP="00A36972">
      <w:pPr>
        <w:ind w:left="851"/>
        <w:rPr>
          <w:snapToGrid w:val="0"/>
          <w:sz w:val="24"/>
          <w:szCs w:val="24"/>
        </w:rPr>
      </w:pPr>
      <w:r w:rsidRPr="00711A45">
        <w:rPr>
          <w:snapToGrid w:val="0"/>
          <w:sz w:val="24"/>
          <w:szCs w:val="24"/>
        </w:rPr>
        <w:t>Sjældne</w:t>
      </w:r>
      <w:r w:rsidRPr="00711A45">
        <w:rPr>
          <w:snapToGrid w:val="0"/>
          <w:sz w:val="24"/>
          <w:szCs w:val="24"/>
        </w:rPr>
        <w:tab/>
      </w:r>
      <w:r w:rsidRPr="00711A45">
        <w:rPr>
          <w:snapToGrid w:val="0"/>
          <w:sz w:val="24"/>
          <w:szCs w:val="24"/>
        </w:rPr>
        <w:tab/>
        <w:t>(</w:t>
      </w:r>
      <w:r w:rsidRPr="00711A45">
        <w:rPr>
          <w:sz w:val="24"/>
          <w:szCs w:val="24"/>
        </w:rPr>
        <w:sym w:font="Symbol" w:char="F0B3"/>
      </w:r>
      <w:r w:rsidRPr="00711A45">
        <w:rPr>
          <w:snapToGrid w:val="0"/>
          <w:sz w:val="24"/>
          <w:szCs w:val="24"/>
        </w:rPr>
        <w:t xml:space="preserve"> 1/10.000 til &lt; 1/1.000)</w:t>
      </w:r>
    </w:p>
    <w:p w14:paraId="7661737A" w14:textId="77777777" w:rsidR="00D60CA9" w:rsidRPr="00711A45" w:rsidRDefault="00D60CA9" w:rsidP="00A36972">
      <w:pPr>
        <w:ind w:left="851"/>
        <w:rPr>
          <w:snapToGrid w:val="0"/>
          <w:sz w:val="24"/>
          <w:szCs w:val="24"/>
        </w:rPr>
      </w:pPr>
      <w:r w:rsidRPr="00711A45">
        <w:rPr>
          <w:snapToGrid w:val="0"/>
          <w:sz w:val="24"/>
          <w:szCs w:val="24"/>
        </w:rPr>
        <w:t>Meget sjældne</w:t>
      </w:r>
      <w:r w:rsidRPr="00711A45">
        <w:rPr>
          <w:snapToGrid w:val="0"/>
          <w:sz w:val="24"/>
          <w:szCs w:val="24"/>
        </w:rPr>
        <w:tab/>
      </w:r>
      <w:r w:rsidRPr="00711A45">
        <w:rPr>
          <w:snapToGrid w:val="0"/>
          <w:sz w:val="24"/>
          <w:szCs w:val="24"/>
        </w:rPr>
        <w:tab/>
        <w:t>(</w:t>
      </w:r>
      <w:r w:rsidRPr="00711A45">
        <w:rPr>
          <w:sz w:val="24"/>
          <w:szCs w:val="24"/>
        </w:rPr>
        <w:sym w:font="Symbol" w:char="F03C"/>
      </w:r>
      <w:r w:rsidRPr="00711A45">
        <w:rPr>
          <w:snapToGrid w:val="0"/>
          <w:sz w:val="24"/>
          <w:szCs w:val="24"/>
        </w:rPr>
        <w:t xml:space="preserve"> 1/10.000)</w:t>
      </w:r>
    </w:p>
    <w:p w14:paraId="1397FCF2" w14:textId="77777777" w:rsidR="00D60CA9" w:rsidRPr="00711A45" w:rsidRDefault="00D60CA9" w:rsidP="00A36972">
      <w:pPr>
        <w:ind w:left="851"/>
        <w:rPr>
          <w:snapToGrid w:val="0"/>
          <w:sz w:val="24"/>
          <w:szCs w:val="24"/>
        </w:rPr>
      </w:pPr>
      <w:r w:rsidRPr="00711A45">
        <w:rPr>
          <w:snapToGrid w:val="0"/>
          <w:sz w:val="24"/>
          <w:szCs w:val="24"/>
        </w:rPr>
        <w:t>Ikke kendt (hyppigheden kan ikke estimeres ud fra de tilgængelige data)</w:t>
      </w:r>
    </w:p>
    <w:p w14:paraId="48CF7980" w14:textId="77777777" w:rsidR="00D60CA9" w:rsidRPr="00711A45" w:rsidRDefault="00D60CA9" w:rsidP="00A36972">
      <w:pPr>
        <w:ind w:left="851"/>
        <w:rPr>
          <w:sz w:val="24"/>
          <w:szCs w:val="24"/>
        </w:rPr>
      </w:pPr>
    </w:p>
    <w:p w14:paraId="5A74F612" w14:textId="77777777" w:rsidR="00D60CA9" w:rsidRPr="00711A45" w:rsidRDefault="00D60CA9" w:rsidP="00A36972">
      <w:pPr>
        <w:ind w:left="851"/>
        <w:rPr>
          <w:sz w:val="24"/>
          <w:szCs w:val="24"/>
          <w:u w:val="single"/>
        </w:rPr>
      </w:pPr>
      <w:r w:rsidRPr="00711A45">
        <w:rPr>
          <w:sz w:val="24"/>
          <w:szCs w:val="24"/>
          <w:u w:val="single"/>
        </w:rPr>
        <w:t>Metabolisme og ernæring</w:t>
      </w:r>
    </w:p>
    <w:p w14:paraId="5410F0D2" w14:textId="77777777" w:rsidR="00D60CA9" w:rsidRPr="00711A45" w:rsidRDefault="00D60CA9" w:rsidP="00A36972">
      <w:pPr>
        <w:ind w:left="851"/>
        <w:rPr>
          <w:sz w:val="24"/>
          <w:szCs w:val="24"/>
        </w:rPr>
      </w:pPr>
      <w:r w:rsidRPr="00711A45">
        <w:rPr>
          <w:i/>
          <w:iCs/>
          <w:sz w:val="24"/>
          <w:szCs w:val="24"/>
        </w:rPr>
        <w:t>Almindelige:</w:t>
      </w:r>
      <w:r w:rsidRPr="00711A45">
        <w:rPr>
          <w:sz w:val="24"/>
          <w:szCs w:val="24"/>
        </w:rPr>
        <w:tab/>
      </w:r>
      <w:r w:rsidRPr="00711A45">
        <w:rPr>
          <w:sz w:val="24"/>
          <w:szCs w:val="24"/>
        </w:rPr>
        <w:tab/>
        <w:t>vægttab, manglende appetit</w:t>
      </w:r>
    </w:p>
    <w:p w14:paraId="28F391CA" w14:textId="77777777" w:rsidR="00D60CA9" w:rsidRPr="00711A45" w:rsidRDefault="00D60CA9" w:rsidP="00A36972">
      <w:pPr>
        <w:ind w:left="851"/>
        <w:rPr>
          <w:sz w:val="24"/>
          <w:szCs w:val="24"/>
        </w:rPr>
      </w:pPr>
    </w:p>
    <w:p w14:paraId="232CC2A2" w14:textId="77777777" w:rsidR="00D60CA9" w:rsidRPr="00711A45" w:rsidRDefault="00D60CA9" w:rsidP="00A36972">
      <w:pPr>
        <w:ind w:left="851"/>
        <w:rPr>
          <w:sz w:val="24"/>
          <w:szCs w:val="24"/>
          <w:u w:val="single"/>
        </w:rPr>
      </w:pPr>
      <w:r w:rsidRPr="00711A45">
        <w:rPr>
          <w:sz w:val="24"/>
          <w:szCs w:val="24"/>
          <w:u w:val="single"/>
        </w:rPr>
        <w:t>Psykiske forstyrrelser</w:t>
      </w:r>
    </w:p>
    <w:p w14:paraId="073388F0" w14:textId="2D3A5F68" w:rsidR="00D60CA9" w:rsidRPr="00711A45" w:rsidRDefault="00D60CA9" w:rsidP="00A36972">
      <w:pPr>
        <w:ind w:left="851"/>
        <w:rPr>
          <w:sz w:val="24"/>
          <w:szCs w:val="24"/>
        </w:rPr>
      </w:pPr>
      <w:r w:rsidRPr="00711A45">
        <w:rPr>
          <w:i/>
          <w:iCs/>
          <w:sz w:val="24"/>
          <w:szCs w:val="24"/>
        </w:rPr>
        <w:t>Ikke almindelige:</w:t>
      </w:r>
      <w:r w:rsidRPr="00711A45">
        <w:rPr>
          <w:sz w:val="24"/>
          <w:szCs w:val="24"/>
        </w:rPr>
        <w:tab/>
      </w:r>
      <w:r w:rsidR="00CF1B16">
        <w:rPr>
          <w:sz w:val="24"/>
          <w:szCs w:val="24"/>
        </w:rPr>
        <w:tab/>
      </w:r>
      <w:r w:rsidRPr="00711A45">
        <w:rPr>
          <w:sz w:val="24"/>
          <w:szCs w:val="24"/>
        </w:rPr>
        <w:t>hallucinationer, angst, manglende motivation</w:t>
      </w:r>
    </w:p>
    <w:p w14:paraId="5F19089F" w14:textId="77777777" w:rsidR="00D60CA9" w:rsidRPr="00711A45" w:rsidRDefault="00D60CA9" w:rsidP="00CF1B16">
      <w:pPr>
        <w:ind w:left="3911" w:hanging="3060"/>
        <w:rPr>
          <w:sz w:val="24"/>
          <w:szCs w:val="24"/>
        </w:rPr>
      </w:pPr>
      <w:r w:rsidRPr="00711A45">
        <w:rPr>
          <w:i/>
          <w:sz w:val="24"/>
          <w:szCs w:val="24"/>
        </w:rPr>
        <w:t>Ikke kendt:</w:t>
      </w:r>
      <w:r w:rsidRPr="00711A45">
        <w:rPr>
          <w:sz w:val="24"/>
          <w:szCs w:val="24"/>
        </w:rPr>
        <w:tab/>
      </w:r>
      <w:r w:rsidRPr="00711A45">
        <w:rPr>
          <w:sz w:val="24"/>
          <w:szCs w:val="24"/>
        </w:rPr>
        <w:tab/>
        <w:t>depressivt humør/depression, personlighedsændring og adfærdsmæssige anomalier (f.eks. aggressivitet, irritabilitet, humørsvingninger), kognitiv svækkelse</w:t>
      </w:r>
    </w:p>
    <w:p w14:paraId="5E6CA6C2" w14:textId="77777777" w:rsidR="00D60CA9" w:rsidRPr="00711A45" w:rsidRDefault="00D60CA9" w:rsidP="00A36972">
      <w:pPr>
        <w:ind w:left="851"/>
        <w:rPr>
          <w:sz w:val="24"/>
          <w:szCs w:val="24"/>
        </w:rPr>
      </w:pPr>
    </w:p>
    <w:p w14:paraId="09464901" w14:textId="77777777" w:rsidR="00D60CA9" w:rsidRPr="00711A45" w:rsidRDefault="00D60CA9" w:rsidP="00A36972">
      <w:pPr>
        <w:ind w:left="851"/>
        <w:rPr>
          <w:sz w:val="24"/>
          <w:szCs w:val="24"/>
          <w:u w:val="single"/>
        </w:rPr>
      </w:pPr>
      <w:r w:rsidRPr="00711A45">
        <w:rPr>
          <w:sz w:val="24"/>
          <w:szCs w:val="24"/>
          <w:u w:val="single"/>
        </w:rPr>
        <w:t>Nervesystemet</w:t>
      </w:r>
    </w:p>
    <w:p w14:paraId="686B6DBF" w14:textId="336AEA3B" w:rsidR="00D60CA9" w:rsidRPr="00711A45" w:rsidRDefault="00D60CA9" w:rsidP="00CF1B16">
      <w:pPr>
        <w:ind w:left="3911" w:hanging="3060"/>
        <w:rPr>
          <w:sz w:val="24"/>
          <w:szCs w:val="24"/>
        </w:rPr>
      </w:pPr>
      <w:r w:rsidRPr="00711A45">
        <w:rPr>
          <w:i/>
          <w:iCs/>
          <w:sz w:val="24"/>
          <w:szCs w:val="24"/>
        </w:rPr>
        <w:t>Almindelige:</w:t>
      </w:r>
      <w:r w:rsidRPr="00711A45">
        <w:rPr>
          <w:sz w:val="24"/>
          <w:szCs w:val="24"/>
        </w:rPr>
        <w:t xml:space="preserve"> </w:t>
      </w:r>
      <w:r w:rsidRPr="00711A45">
        <w:rPr>
          <w:sz w:val="24"/>
          <w:szCs w:val="24"/>
        </w:rPr>
        <w:tab/>
      </w:r>
      <w:r w:rsidR="00CF1B16">
        <w:rPr>
          <w:sz w:val="24"/>
          <w:szCs w:val="24"/>
        </w:rPr>
        <w:tab/>
      </w:r>
      <w:proofErr w:type="spellStart"/>
      <w:r w:rsidRPr="00711A45">
        <w:rPr>
          <w:sz w:val="24"/>
          <w:szCs w:val="24"/>
        </w:rPr>
        <w:t>paræstesier</w:t>
      </w:r>
      <w:proofErr w:type="spellEnd"/>
      <w:r w:rsidRPr="00711A45">
        <w:rPr>
          <w:sz w:val="24"/>
          <w:szCs w:val="24"/>
        </w:rPr>
        <w:t xml:space="preserve"> i ekstremiteterne og i ansigtet*, svimmelhed, hovedpine </w:t>
      </w:r>
    </w:p>
    <w:p w14:paraId="7C5E360A" w14:textId="27A89DEB" w:rsidR="00D60CA9" w:rsidRPr="00711A45" w:rsidRDefault="00D60CA9" w:rsidP="00CF1B16">
      <w:pPr>
        <w:ind w:left="3911" w:hanging="3060"/>
        <w:rPr>
          <w:sz w:val="24"/>
          <w:szCs w:val="24"/>
        </w:rPr>
      </w:pPr>
      <w:r w:rsidRPr="00711A45">
        <w:rPr>
          <w:i/>
          <w:iCs/>
          <w:sz w:val="24"/>
          <w:szCs w:val="24"/>
        </w:rPr>
        <w:t>Ikke almindelige:</w:t>
      </w:r>
      <w:r w:rsidRPr="00711A45">
        <w:rPr>
          <w:sz w:val="24"/>
          <w:szCs w:val="24"/>
        </w:rPr>
        <w:t xml:space="preserve"> </w:t>
      </w:r>
      <w:r w:rsidRPr="00711A45">
        <w:rPr>
          <w:sz w:val="24"/>
          <w:szCs w:val="24"/>
        </w:rPr>
        <w:tab/>
      </w:r>
      <w:r w:rsidR="00CF1B16">
        <w:rPr>
          <w:sz w:val="24"/>
          <w:szCs w:val="24"/>
        </w:rPr>
        <w:tab/>
      </w:r>
      <w:proofErr w:type="spellStart"/>
      <w:r w:rsidRPr="00711A45">
        <w:rPr>
          <w:sz w:val="24"/>
          <w:szCs w:val="24"/>
        </w:rPr>
        <w:t>myastheniske</w:t>
      </w:r>
      <w:proofErr w:type="spellEnd"/>
      <w:r w:rsidRPr="00711A45">
        <w:rPr>
          <w:sz w:val="24"/>
          <w:szCs w:val="24"/>
        </w:rPr>
        <w:t xml:space="preserve"> fænomener, grand mal-status, øget </w:t>
      </w:r>
      <w:proofErr w:type="spellStart"/>
      <w:r w:rsidRPr="00711A45">
        <w:rPr>
          <w:sz w:val="24"/>
          <w:szCs w:val="24"/>
        </w:rPr>
        <w:t>anfaldsaktivitet</w:t>
      </w:r>
      <w:proofErr w:type="spellEnd"/>
    </w:p>
    <w:p w14:paraId="454C0EED" w14:textId="0ABF1AF7" w:rsidR="00D60CA9" w:rsidRPr="00711A45" w:rsidRDefault="00D60CA9" w:rsidP="00A36972">
      <w:pPr>
        <w:ind w:left="851"/>
        <w:rPr>
          <w:sz w:val="24"/>
          <w:szCs w:val="24"/>
        </w:rPr>
      </w:pPr>
      <w:r w:rsidRPr="00711A45">
        <w:rPr>
          <w:i/>
          <w:sz w:val="24"/>
          <w:szCs w:val="24"/>
        </w:rPr>
        <w:t>Ikke kendt:</w:t>
      </w:r>
      <w:r w:rsidRPr="00711A45">
        <w:rPr>
          <w:sz w:val="24"/>
          <w:szCs w:val="24"/>
        </w:rPr>
        <w:t xml:space="preserve"> </w:t>
      </w:r>
      <w:r w:rsidRPr="00711A45">
        <w:rPr>
          <w:sz w:val="24"/>
          <w:szCs w:val="24"/>
        </w:rPr>
        <w:tab/>
      </w:r>
      <w:r w:rsidR="00CF1B16">
        <w:rPr>
          <w:sz w:val="24"/>
          <w:szCs w:val="24"/>
        </w:rPr>
        <w:tab/>
      </w:r>
      <w:proofErr w:type="spellStart"/>
      <w:r w:rsidRPr="00711A45">
        <w:rPr>
          <w:sz w:val="24"/>
          <w:szCs w:val="24"/>
        </w:rPr>
        <w:t>polyneuritis</w:t>
      </w:r>
      <w:proofErr w:type="spellEnd"/>
    </w:p>
    <w:p w14:paraId="11E56627" w14:textId="77777777" w:rsidR="00D60CA9" w:rsidRPr="00711A45" w:rsidRDefault="00D60CA9" w:rsidP="00A36972">
      <w:pPr>
        <w:ind w:left="851"/>
        <w:rPr>
          <w:sz w:val="24"/>
          <w:szCs w:val="24"/>
        </w:rPr>
      </w:pPr>
    </w:p>
    <w:p w14:paraId="288CA7A8" w14:textId="77777777" w:rsidR="00D60CA9" w:rsidRPr="00711A45" w:rsidRDefault="00D60CA9" w:rsidP="00A36972">
      <w:pPr>
        <w:ind w:left="851"/>
        <w:rPr>
          <w:sz w:val="24"/>
          <w:szCs w:val="24"/>
          <w:u w:val="single"/>
        </w:rPr>
      </w:pPr>
      <w:r w:rsidRPr="00711A45">
        <w:rPr>
          <w:sz w:val="24"/>
          <w:szCs w:val="24"/>
          <w:u w:val="single"/>
        </w:rPr>
        <w:t>Øjne</w:t>
      </w:r>
    </w:p>
    <w:p w14:paraId="3708A86E" w14:textId="607A19FE" w:rsidR="00D60CA9" w:rsidRPr="00711A45" w:rsidRDefault="00D60CA9" w:rsidP="00A36972">
      <w:pPr>
        <w:ind w:left="851"/>
        <w:rPr>
          <w:sz w:val="24"/>
          <w:szCs w:val="24"/>
        </w:rPr>
      </w:pPr>
      <w:r w:rsidRPr="00711A45">
        <w:rPr>
          <w:i/>
          <w:iCs/>
          <w:sz w:val="24"/>
          <w:szCs w:val="24"/>
        </w:rPr>
        <w:t>Almindelige:</w:t>
      </w:r>
      <w:r w:rsidRPr="00711A45">
        <w:rPr>
          <w:sz w:val="24"/>
          <w:szCs w:val="24"/>
        </w:rPr>
        <w:t xml:space="preserve"> </w:t>
      </w:r>
      <w:r w:rsidRPr="00711A45">
        <w:rPr>
          <w:sz w:val="24"/>
          <w:szCs w:val="24"/>
        </w:rPr>
        <w:tab/>
      </w:r>
      <w:r w:rsidR="00CF1B16">
        <w:rPr>
          <w:sz w:val="24"/>
          <w:szCs w:val="24"/>
        </w:rPr>
        <w:tab/>
      </w:r>
      <w:r w:rsidRPr="00711A45">
        <w:rPr>
          <w:sz w:val="24"/>
          <w:szCs w:val="24"/>
        </w:rPr>
        <w:t>dobbeltsyn</w:t>
      </w:r>
    </w:p>
    <w:p w14:paraId="623259FA" w14:textId="77777777" w:rsidR="00D60CA9" w:rsidRPr="00711A45" w:rsidRDefault="00D60CA9" w:rsidP="00A36972">
      <w:pPr>
        <w:ind w:left="851"/>
        <w:rPr>
          <w:sz w:val="24"/>
          <w:szCs w:val="24"/>
        </w:rPr>
      </w:pPr>
    </w:p>
    <w:p w14:paraId="40B2B9BE" w14:textId="77777777" w:rsidR="00D60CA9" w:rsidRPr="00711A45" w:rsidRDefault="00D60CA9" w:rsidP="00A36972">
      <w:pPr>
        <w:ind w:left="851"/>
        <w:rPr>
          <w:sz w:val="24"/>
          <w:szCs w:val="24"/>
          <w:u w:val="single"/>
        </w:rPr>
      </w:pPr>
      <w:r w:rsidRPr="00711A45">
        <w:rPr>
          <w:sz w:val="24"/>
          <w:szCs w:val="24"/>
          <w:u w:val="single"/>
        </w:rPr>
        <w:t>Hjerte</w:t>
      </w:r>
    </w:p>
    <w:p w14:paraId="238C7369" w14:textId="4744222E" w:rsidR="00D60CA9" w:rsidRPr="00711A45" w:rsidRDefault="00D60CA9" w:rsidP="00A36972">
      <w:pPr>
        <w:ind w:left="851"/>
        <w:rPr>
          <w:sz w:val="24"/>
          <w:szCs w:val="24"/>
        </w:rPr>
      </w:pPr>
      <w:r w:rsidRPr="00711A45">
        <w:rPr>
          <w:i/>
          <w:iCs/>
          <w:sz w:val="24"/>
          <w:szCs w:val="24"/>
        </w:rPr>
        <w:t>Almindelige:</w:t>
      </w:r>
      <w:r w:rsidRPr="00711A45">
        <w:rPr>
          <w:sz w:val="24"/>
          <w:szCs w:val="24"/>
        </w:rPr>
        <w:t xml:space="preserve"> </w:t>
      </w:r>
      <w:r w:rsidRPr="00711A45">
        <w:rPr>
          <w:sz w:val="24"/>
          <w:szCs w:val="24"/>
        </w:rPr>
        <w:tab/>
      </w:r>
      <w:r w:rsidR="00CF1B16">
        <w:rPr>
          <w:sz w:val="24"/>
          <w:szCs w:val="24"/>
        </w:rPr>
        <w:tab/>
      </w:r>
      <w:proofErr w:type="spellStart"/>
      <w:r w:rsidRPr="00711A45">
        <w:rPr>
          <w:sz w:val="24"/>
          <w:szCs w:val="24"/>
        </w:rPr>
        <w:t>stenokardi</w:t>
      </w:r>
      <w:proofErr w:type="spellEnd"/>
      <w:r w:rsidRPr="00711A45">
        <w:rPr>
          <w:sz w:val="24"/>
          <w:szCs w:val="24"/>
        </w:rPr>
        <w:t xml:space="preserve">, </w:t>
      </w:r>
      <w:proofErr w:type="spellStart"/>
      <w:r w:rsidRPr="00711A45">
        <w:rPr>
          <w:sz w:val="24"/>
          <w:szCs w:val="24"/>
        </w:rPr>
        <w:t>takykardi</w:t>
      </w:r>
      <w:proofErr w:type="spellEnd"/>
    </w:p>
    <w:p w14:paraId="5E343E43" w14:textId="77777777" w:rsidR="00D60CA9" w:rsidRPr="00711A45" w:rsidRDefault="00D60CA9" w:rsidP="00A36972">
      <w:pPr>
        <w:ind w:left="851"/>
        <w:rPr>
          <w:sz w:val="24"/>
          <w:szCs w:val="24"/>
        </w:rPr>
      </w:pPr>
    </w:p>
    <w:p w14:paraId="1545763F" w14:textId="77777777" w:rsidR="00D60CA9" w:rsidRPr="00711A45" w:rsidRDefault="00D60CA9" w:rsidP="00A36972">
      <w:pPr>
        <w:ind w:left="851"/>
        <w:rPr>
          <w:sz w:val="24"/>
          <w:szCs w:val="24"/>
          <w:u w:val="single"/>
        </w:rPr>
      </w:pPr>
      <w:r w:rsidRPr="00711A45">
        <w:rPr>
          <w:sz w:val="24"/>
          <w:szCs w:val="24"/>
          <w:u w:val="single"/>
        </w:rPr>
        <w:t xml:space="preserve">Luftveje, thorax og </w:t>
      </w:r>
      <w:proofErr w:type="spellStart"/>
      <w:r w:rsidRPr="00711A45">
        <w:rPr>
          <w:sz w:val="24"/>
          <w:szCs w:val="24"/>
          <w:u w:val="single"/>
        </w:rPr>
        <w:t>mediastinum</w:t>
      </w:r>
      <w:proofErr w:type="spellEnd"/>
    </w:p>
    <w:p w14:paraId="24D60390" w14:textId="1BE010AF" w:rsidR="00D60CA9" w:rsidRPr="00711A45" w:rsidRDefault="00D60CA9" w:rsidP="00A36972">
      <w:pPr>
        <w:ind w:left="851"/>
        <w:rPr>
          <w:sz w:val="24"/>
          <w:szCs w:val="24"/>
        </w:rPr>
      </w:pPr>
      <w:r w:rsidRPr="00711A45">
        <w:rPr>
          <w:i/>
          <w:iCs/>
          <w:sz w:val="24"/>
          <w:szCs w:val="24"/>
        </w:rPr>
        <w:t>Almindelige:</w:t>
      </w:r>
      <w:r w:rsidRPr="00711A45">
        <w:rPr>
          <w:sz w:val="24"/>
          <w:szCs w:val="24"/>
        </w:rPr>
        <w:t xml:space="preserve"> </w:t>
      </w:r>
      <w:r w:rsidRPr="00711A45">
        <w:rPr>
          <w:sz w:val="24"/>
          <w:szCs w:val="24"/>
        </w:rPr>
        <w:tab/>
      </w:r>
      <w:r w:rsidR="00CF1B16">
        <w:rPr>
          <w:sz w:val="24"/>
          <w:szCs w:val="24"/>
        </w:rPr>
        <w:tab/>
      </w:r>
      <w:proofErr w:type="spellStart"/>
      <w:r w:rsidRPr="00711A45">
        <w:rPr>
          <w:sz w:val="24"/>
          <w:szCs w:val="24"/>
        </w:rPr>
        <w:t>takypnø</w:t>
      </w:r>
      <w:proofErr w:type="spellEnd"/>
      <w:r w:rsidRPr="00711A45">
        <w:rPr>
          <w:sz w:val="24"/>
          <w:szCs w:val="24"/>
        </w:rPr>
        <w:t xml:space="preserve">*, </w:t>
      </w:r>
      <w:proofErr w:type="spellStart"/>
      <w:r w:rsidRPr="00711A45">
        <w:rPr>
          <w:sz w:val="24"/>
          <w:szCs w:val="24"/>
        </w:rPr>
        <w:t>hyperpnø</w:t>
      </w:r>
      <w:proofErr w:type="spellEnd"/>
      <w:r w:rsidRPr="00711A45">
        <w:rPr>
          <w:sz w:val="24"/>
          <w:szCs w:val="24"/>
        </w:rPr>
        <w:t xml:space="preserve">*, dyspnø, </w:t>
      </w:r>
      <w:proofErr w:type="spellStart"/>
      <w:r w:rsidRPr="00711A45">
        <w:rPr>
          <w:sz w:val="24"/>
          <w:szCs w:val="24"/>
        </w:rPr>
        <w:t>singultus</w:t>
      </w:r>
      <w:proofErr w:type="spellEnd"/>
    </w:p>
    <w:p w14:paraId="41537963" w14:textId="77777777" w:rsidR="00D60CA9" w:rsidRPr="00711A45" w:rsidRDefault="00D60CA9" w:rsidP="00A36972">
      <w:pPr>
        <w:ind w:left="851"/>
        <w:rPr>
          <w:sz w:val="24"/>
          <w:szCs w:val="24"/>
        </w:rPr>
      </w:pPr>
    </w:p>
    <w:p w14:paraId="3A64AF25" w14:textId="77777777" w:rsidR="00D60CA9" w:rsidRPr="00711A45" w:rsidRDefault="00D60CA9" w:rsidP="00A36972">
      <w:pPr>
        <w:ind w:left="851"/>
        <w:rPr>
          <w:sz w:val="24"/>
          <w:szCs w:val="24"/>
          <w:u w:val="single"/>
        </w:rPr>
      </w:pPr>
      <w:r w:rsidRPr="00711A45">
        <w:rPr>
          <w:sz w:val="24"/>
          <w:szCs w:val="24"/>
          <w:u w:val="single"/>
        </w:rPr>
        <w:t>Mave-tarm-kanalen</w:t>
      </w:r>
    </w:p>
    <w:p w14:paraId="439FF2A9" w14:textId="77777777" w:rsidR="00D60CA9" w:rsidRPr="00711A45" w:rsidRDefault="00D60CA9" w:rsidP="00CF1B16">
      <w:pPr>
        <w:ind w:left="3911" w:hanging="3060"/>
        <w:rPr>
          <w:sz w:val="24"/>
          <w:szCs w:val="24"/>
        </w:rPr>
      </w:pPr>
      <w:r w:rsidRPr="00711A45">
        <w:rPr>
          <w:i/>
          <w:iCs/>
          <w:sz w:val="24"/>
          <w:szCs w:val="24"/>
        </w:rPr>
        <w:t>Meget almindelige:</w:t>
      </w:r>
      <w:r w:rsidRPr="00711A45">
        <w:rPr>
          <w:sz w:val="24"/>
          <w:szCs w:val="24"/>
        </w:rPr>
        <w:tab/>
        <w:t>mavelidelser som f.eks. kvalme, opkastning (hos omkring 10 % af patienterne)</w:t>
      </w:r>
    </w:p>
    <w:p w14:paraId="6A2D1D86" w14:textId="7DECD878" w:rsidR="00D60CA9" w:rsidRPr="00711A45" w:rsidRDefault="00D60CA9" w:rsidP="00A36972">
      <w:pPr>
        <w:ind w:left="851"/>
        <w:rPr>
          <w:sz w:val="24"/>
          <w:szCs w:val="24"/>
        </w:rPr>
      </w:pPr>
      <w:r w:rsidRPr="00711A45">
        <w:rPr>
          <w:i/>
          <w:iCs/>
          <w:sz w:val="24"/>
          <w:szCs w:val="24"/>
        </w:rPr>
        <w:t>Ikke kendt:</w:t>
      </w:r>
      <w:r w:rsidRPr="00711A45">
        <w:rPr>
          <w:sz w:val="24"/>
          <w:szCs w:val="24"/>
        </w:rPr>
        <w:t xml:space="preserve"> </w:t>
      </w:r>
      <w:r w:rsidRPr="00711A45">
        <w:rPr>
          <w:sz w:val="24"/>
          <w:szCs w:val="24"/>
        </w:rPr>
        <w:tab/>
      </w:r>
      <w:r w:rsidR="00CF1B16">
        <w:rPr>
          <w:sz w:val="24"/>
          <w:szCs w:val="24"/>
        </w:rPr>
        <w:tab/>
      </w:r>
      <w:r w:rsidRPr="00711A45">
        <w:rPr>
          <w:sz w:val="24"/>
          <w:szCs w:val="24"/>
        </w:rPr>
        <w:t>diarré</w:t>
      </w:r>
    </w:p>
    <w:p w14:paraId="5FD29F9B" w14:textId="77777777" w:rsidR="00D60CA9" w:rsidRPr="00711A45" w:rsidRDefault="00D60CA9" w:rsidP="00A36972">
      <w:pPr>
        <w:ind w:left="851"/>
        <w:rPr>
          <w:sz w:val="24"/>
          <w:szCs w:val="24"/>
        </w:rPr>
      </w:pPr>
    </w:p>
    <w:p w14:paraId="2E41D5CD" w14:textId="77777777" w:rsidR="00D60CA9" w:rsidRPr="00711A45" w:rsidRDefault="00D60CA9" w:rsidP="00A36972">
      <w:pPr>
        <w:ind w:left="851"/>
        <w:rPr>
          <w:sz w:val="24"/>
          <w:szCs w:val="24"/>
          <w:u w:val="single"/>
        </w:rPr>
      </w:pPr>
      <w:r w:rsidRPr="00711A45">
        <w:rPr>
          <w:sz w:val="24"/>
          <w:szCs w:val="24"/>
          <w:u w:val="single"/>
        </w:rPr>
        <w:t>Lever og galdeveje</w:t>
      </w:r>
    </w:p>
    <w:p w14:paraId="2EB3E0CE" w14:textId="77777777" w:rsidR="00D60CA9" w:rsidRPr="00711A45" w:rsidRDefault="00D60CA9" w:rsidP="00A36972">
      <w:pPr>
        <w:ind w:left="851"/>
        <w:rPr>
          <w:sz w:val="24"/>
          <w:szCs w:val="24"/>
        </w:rPr>
      </w:pPr>
      <w:r w:rsidRPr="00711A45">
        <w:rPr>
          <w:i/>
          <w:iCs/>
          <w:sz w:val="24"/>
          <w:szCs w:val="24"/>
        </w:rPr>
        <w:t>Ikke kendt:</w:t>
      </w:r>
      <w:r w:rsidRPr="00711A45">
        <w:rPr>
          <w:sz w:val="24"/>
          <w:szCs w:val="24"/>
        </w:rPr>
        <w:tab/>
      </w:r>
      <w:r w:rsidRPr="00711A45">
        <w:rPr>
          <w:sz w:val="24"/>
          <w:szCs w:val="24"/>
        </w:rPr>
        <w:tab/>
      </w:r>
      <w:proofErr w:type="spellStart"/>
      <w:r w:rsidRPr="00711A45">
        <w:rPr>
          <w:sz w:val="24"/>
          <w:szCs w:val="24"/>
        </w:rPr>
        <w:t>hepatotoksiske</w:t>
      </w:r>
      <w:proofErr w:type="spellEnd"/>
      <w:r w:rsidRPr="00711A45">
        <w:rPr>
          <w:sz w:val="24"/>
          <w:szCs w:val="24"/>
        </w:rPr>
        <w:t xml:space="preserve"> reaktioner, stigning i leverenzymer</w:t>
      </w:r>
    </w:p>
    <w:p w14:paraId="45C415AE" w14:textId="77777777" w:rsidR="00D60CA9" w:rsidRPr="00711A45" w:rsidRDefault="00D60CA9" w:rsidP="00A36972">
      <w:pPr>
        <w:ind w:left="851"/>
        <w:rPr>
          <w:sz w:val="24"/>
          <w:szCs w:val="24"/>
        </w:rPr>
      </w:pPr>
    </w:p>
    <w:p w14:paraId="0E807BB2" w14:textId="77777777" w:rsidR="00D60CA9" w:rsidRPr="00711A45" w:rsidRDefault="00D60CA9" w:rsidP="00A36972">
      <w:pPr>
        <w:ind w:left="851"/>
        <w:rPr>
          <w:sz w:val="24"/>
          <w:szCs w:val="24"/>
          <w:u w:val="single"/>
        </w:rPr>
      </w:pPr>
      <w:r w:rsidRPr="00711A45">
        <w:rPr>
          <w:sz w:val="24"/>
          <w:szCs w:val="24"/>
          <w:u w:val="single"/>
        </w:rPr>
        <w:t>Hud og subkutane væv</w:t>
      </w:r>
      <w:r w:rsidRPr="00711A45">
        <w:rPr>
          <w:noProof/>
          <w:sz w:val="24"/>
          <w:szCs w:val="24"/>
          <w:lang w:val="de-DE"/>
        </w:rPr>
        <w:t xml:space="preserve"> </w:t>
      </w:r>
    </w:p>
    <w:p w14:paraId="72161A14" w14:textId="77777777" w:rsidR="00D60CA9" w:rsidRPr="00711A45" w:rsidRDefault="00D60CA9" w:rsidP="00A36972">
      <w:pPr>
        <w:ind w:left="851"/>
        <w:rPr>
          <w:sz w:val="24"/>
          <w:szCs w:val="24"/>
        </w:rPr>
      </w:pPr>
      <w:r w:rsidRPr="00711A45">
        <w:rPr>
          <w:i/>
          <w:iCs/>
          <w:sz w:val="24"/>
          <w:szCs w:val="24"/>
        </w:rPr>
        <w:t>Ikke kendt:</w:t>
      </w:r>
      <w:r w:rsidRPr="00711A45">
        <w:rPr>
          <w:sz w:val="24"/>
          <w:szCs w:val="24"/>
        </w:rPr>
        <w:tab/>
      </w:r>
      <w:r w:rsidRPr="00711A45">
        <w:rPr>
          <w:sz w:val="24"/>
          <w:szCs w:val="24"/>
        </w:rPr>
        <w:tab/>
        <w:t xml:space="preserve">Stevens-Johnsons syndrom, </w:t>
      </w:r>
      <w:proofErr w:type="spellStart"/>
      <w:r w:rsidRPr="00711A45">
        <w:rPr>
          <w:sz w:val="24"/>
          <w:szCs w:val="24"/>
        </w:rPr>
        <w:t>Lyells</w:t>
      </w:r>
      <w:proofErr w:type="spellEnd"/>
      <w:r w:rsidRPr="00711A45">
        <w:rPr>
          <w:sz w:val="24"/>
          <w:szCs w:val="24"/>
        </w:rPr>
        <w:t xml:space="preserve"> syndrom</w:t>
      </w:r>
    </w:p>
    <w:p w14:paraId="54F356DE" w14:textId="77777777" w:rsidR="00D60CA9" w:rsidRPr="00711A45" w:rsidRDefault="00D60CA9" w:rsidP="00A36972">
      <w:pPr>
        <w:ind w:left="851"/>
        <w:rPr>
          <w:sz w:val="24"/>
          <w:szCs w:val="24"/>
        </w:rPr>
      </w:pPr>
    </w:p>
    <w:p w14:paraId="1658682E" w14:textId="77777777" w:rsidR="00D60CA9" w:rsidRPr="00711A45" w:rsidRDefault="00D60CA9" w:rsidP="00A36972">
      <w:pPr>
        <w:ind w:left="851"/>
        <w:rPr>
          <w:sz w:val="24"/>
          <w:szCs w:val="24"/>
          <w:u w:val="single"/>
        </w:rPr>
      </w:pPr>
      <w:r w:rsidRPr="00711A45">
        <w:rPr>
          <w:sz w:val="24"/>
          <w:szCs w:val="24"/>
          <w:u w:val="single"/>
        </w:rPr>
        <w:t>Knogler, led, muskler og bindevæv</w:t>
      </w:r>
    </w:p>
    <w:p w14:paraId="58A164E8" w14:textId="02397E11" w:rsidR="00D60CA9" w:rsidRPr="00711A45" w:rsidRDefault="00D60CA9" w:rsidP="00A36972">
      <w:pPr>
        <w:ind w:left="851"/>
        <w:rPr>
          <w:sz w:val="24"/>
          <w:szCs w:val="24"/>
        </w:rPr>
      </w:pPr>
      <w:r w:rsidRPr="00711A45">
        <w:rPr>
          <w:i/>
          <w:iCs/>
          <w:sz w:val="24"/>
          <w:szCs w:val="24"/>
        </w:rPr>
        <w:t>Ikke almindelige:</w:t>
      </w:r>
      <w:r w:rsidRPr="00711A45">
        <w:rPr>
          <w:sz w:val="24"/>
          <w:szCs w:val="24"/>
        </w:rPr>
        <w:tab/>
      </w:r>
      <w:r w:rsidR="00CF1B16">
        <w:rPr>
          <w:sz w:val="24"/>
          <w:szCs w:val="24"/>
        </w:rPr>
        <w:tab/>
      </w:r>
      <w:r w:rsidRPr="00711A45">
        <w:rPr>
          <w:sz w:val="24"/>
          <w:szCs w:val="24"/>
        </w:rPr>
        <w:t>ledsmerter</w:t>
      </w:r>
    </w:p>
    <w:p w14:paraId="42A8FAF6" w14:textId="77777777" w:rsidR="00D60CA9" w:rsidRPr="00711A45" w:rsidRDefault="00D60CA9" w:rsidP="00A36972">
      <w:pPr>
        <w:ind w:left="851"/>
        <w:rPr>
          <w:sz w:val="24"/>
          <w:szCs w:val="24"/>
        </w:rPr>
      </w:pPr>
    </w:p>
    <w:p w14:paraId="67B091AC" w14:textId="72A5F910" w:rsidR="00D60CA9" w:rsidRPr="00711A45" w:rsidRDefault="00D60CA9" w:rsidP="00A36972">
      <w:pPr>
        <w:ind w:left="851"/>
        <w:rPr>
          <w:sz w:val="24"/>
          <w:szCs w:val="24"/>
          <w:u w:val="single"/>
        </w:rPr>
      </w:pPr>
      <w:r w:rsidRPr="00711A45">
        <w:rPr>
          <w:sz w:val="24"/>
          <w:szCs w:val="24"/>
          <w:u w:val="single"/>
        </w:rPr>
        <w:t>Nyre</w:t>
      </w:r>
      <w:r w:rsidR="00CF1B16">
        <w:rPr>
          <w:sz w:val="24"/>
          <w:szCs w:val="24"/>
          <w:u w:val="single"/>
        </w:rPr>
        <w:t>r</w:t>
      </w:r>
      <w:r w:rsidRPr="00711A45">
        <w:rPr>
          <w:sz w:val="24"/>
          <w:szCs w:val="24"/>
          <w:u w:val="single"/>
        </w:rPr>
        <w:t xml:space="preserve"> og urinveje</w:t>
      </w:r>
    </w:p>
    <w:p w14:paraId="7BD1594F" w14:textId="77777777" w:rsidR="00D60CA9" w:rsidRPr="00711A45" w:rsidRDefault="00D60CA9" w:rsidP="00A36972">
      <w:pPr>
        <w:ind w:left="851"/>
        <w:rPr>
          <w:sz w:val="24"/>
          <w:szCs w:val="24"/>
        </w:rPr>
      </w:pPr>
      <w:r w:rsidRPr="00711A45">
        <w:rPr>
          <w:i/>
          <w:sz w:val="24"/>
          <w:szCs w:val="24"/>
        </w:rPr>
        <w:t>Ikke kendt:</w:t>
      </w:r>
      <w:r w:rsidRPr="00711A45">
        <w:rPr>
          <w:sz w:val="24"/>
          <w:szCs w:val="24"/>
        </w:rPr>
        <w:t xml:space="preserve"> </w:t>
      </w:r>
      <w:r w:rsidRPr="00711A45">
        <w:rPr>
          <w:sz w:val="24"/>
          <w:szCs w:val="24"/>
        </w:rPr>
        <w:tab/>
      </w:r>
      <w:r w:rsidRPr="00711A45">
        <w:rPr>
          <w:sz w:val="24"/>
          <w:szCs w:val="24"/>
        </w:rPr>
        <w:tab/>
        <w:t>akut nyresvigt</w:t>
      </w:r>
    </w:p>
    <w:p w14:paraId="295C2622" w14:textId="77777777" w:rsidR="00D60CA9" w:rsidRPr="00711A45" w:rsidRDefault="00D60CA9" w:rsidP="00A36972">
      <w:pPr>
        <w:ind w:left="851"/>
        <w:rPr>
          <w:sz w:val="24"/>
          <w:szCs w:val="24"/>
        </w:rPr>
      </w:pPr>
    </w:p>
    <w:p w14:paraId="4F2FB8B2" w14:textId="77777777" w:rsidR="00D60CA9" w:rsidRPr="00711A45" w:rsidRDefault="00D60CA9" w:rsidP="00A36972">
      <w:pPr>
        <w:ind w:left="851"/>
        <w:rPr>
          <w:sz w:val="24"/>
          <w:szCs w:val="24"/>
        </w:rPr>
      </w:pPr>
      <w:r w:rsidRPr="00711A45">
        <w:rPr>
          <w:sz w:val="24"/>
          <w:szCs w:val="24"/>
        </w:rPr>
        <w:t>*Dosisafhængig, om nødvendigt skal dosis tilpasses.</w:t>
      </w:r>
    </w:p>
    <w:p w14:paraId="74CD7667" w14:textId="77777777" w:rsidR="00D60CA9" w:rsidRPr="00711A45" w:rsidRDefault="00D60CA9" w:rsidP="00A36972">
      <w:pPr>
        <w:ind w:left="851"/>
        <w:rPr>
          <w:sz w:val="24"/>
          <w:szCs w:val="24"/>
        </w:rPr>
      </w:pPr>
    </w:p>
    <w:p w14:paraId="09444349" w14:textId="77777777" w:rsidR="00D60CA9" w:rsidRPr="00711A45" w:rsidRDefault="00D60CA9" w:rsidP="00A36972">
      <w:pPr>
        <w:ind w:left="851"/>
        <w:rPr>
          <w:sz w:val="24"/>
          <w:szCs w:val="24"/>
        </w:rPr>
      </w:pPr>
      <w:r w:rsidRPr="00711A45">
        <w:rPr>
          <w:sz w:val="24"/>
          <w:szCs w:val="24"/>
        </w:rPr>
        <w:t xml:space="preserve">En patient med langvarig refraktær epilepsi oplevede progressiv svaghed i lemmerne, </w:t>
      </w:r>
      <w:proofErr w:type="spellStart"/>
      <w:r w:rsidRPr="00711A45">
        <w:rPr>
          <w:sz w:val="24"/>
          <w:szCs w:val="24"/>
        </w:rPr>
        <w:t>hypersalivation</w:t>
      </w:r>
      <w:proofErr w:type="spellEnd"/>
      <w:r w:rsidRPr="00711A45">
        <w:rPr>
          <w:sz w:val="24"/>
          <w:szCs w:val="24"/>
        </w:rPr>
        <w:t xml:space="preserve">, sløret tale, stigende døsighed op til koma. Symptomerne forsvandt i løbet af timer efter, at </w:t>
      </w:r>
      <w:proofErr w:type="spellStart"/>
      <w:r w:rsidRPr="00711A45">
        <w:rPr>
          <w:sz w:val="24"/>
          <w:szCs w:val="24"/>
        </w:rPr>
        <w:t>sulthiame</w:t>
      </w:r>
      <w:proofErr w:type="spellEnd"/>
      <w:r w:rsidRPr="00711A45">
        <w:rPr>
          <w:sz w:val="24"/>
          <w:szCs w:val="24"/>
        </w:rPr>
        <w:t xml:space="preserve"> var seponeret.</w:t>
      </w:r>
    </w:p>
    <w:p w14:paraId="1AD5F05C" w14:textId="77777777" w:rsidR="00D60CA9" w:rsidRPr="00711A45" w:rsidRDefault="00D60CA9" w:rsidP="00A36972">
      <w:pPr>
        <w:ind w:left="851"/>
        <w:rPr>
          <w:sz w:val="24"/>
          <w:szCs w:val="24"/>
        </w:rPr>
      </w:pPr>
    </w:p>
    <w:p w14:paraId="1C72ACAD" w14:textId="77777777" w:rsidR="00D60CA9" w:rsidRPr="00711A45" w:rsidRDefault="00D60CA9" w:rsidP="00A36972">
      <w:pPr>
        <w:ind w:left="851"/>
        <w:rPr>
          <w:sz w:val="24"/>
          <w:szCs w:val="24"/>
        </w:rPr>
      </w:pPr>
      <w:proofErr w:type="spellStart"/>
      <w:r w:rsidRPr="00711A45">
        <w:rPr>
          <w:sz w:val="24"/>
          <w:szCs w:val="24"/>
        </w:rPr>
        <w:t>Sultiam</w:t>
      </w:r>
      <w:proofErr w:type="spellEnd"/>
      <w:r w:rsidRPr="00711A45">
        <w:rPr>
          <w:sz w:val="24"/>
          <w:szCs w:val="24"/>
        </w:rPr>
        <w:t xml:space="preserve"> er en </w:t>
      </w:r>
      <w:proofErr w:type="spellStart"/>
      <w:r w:rsidRPr="00711A45">
        <w:rPr>
          <w:sz w:val="24"/>
          <w:szCs w:val="24"/>
        </w:rPr>
        <w:t>carboanhydrasehæmmer</w:t>
      </w:r>
      <w:proofErr w:type="spellEnd"/>
      <w:r w:rsidRPr="00711A45">
        <w:rPr>
          <w:sz w:val="24"/>
          <w:szCs w:val="24"/>
        </w:rPr>
        <w:t xml:space="preserve">. Derfor kan uønskede virkninger af </w:t>
      </w:r>
      <w:proofErr w:type="spellStart"/>
      <w:r w:rsidRPr="00711A45">
        <w:rPr>
          <w:sz w:val="24"/>
          <w:szCs w:val="24"/>
        </w:rPr>
        <w:t>carboanhydrasehæmning</w:t>
      </w:r>
      <w:proofErr w:type="spellEnd"/>
      <w:r w:rsidRPr="00711A45">
        <w:rPr>
          <w:sz w:val="24"/>
          <w:szCs w:val="24"/>
        </w:rPr>
        <w:t xml:space="preserve">, såsom nyresten, metabolisk </w:t>
      </w:r>
      <w:proofErr w:type="spellStart"/>
      <w:r w:rsidRPr="00711A45">
        <w:rPr>
          <w:sz w:val="24"/>
          <w:szCs w:val="24"/>
        </w:rPr>
        <w:t>acidose</w:t>
      </w:r>
      <w:proofErr w:type="spellEnd"/>
      <w:r w:rsidRPr="00711A45">
        <w:rPr>
          <w:sz w:val="24"/>
          <w:szCs w:val="24"/>
        </w:rPr>
        <w:t xml:space="preserve">, træthed/udmattelse, </w:t>
      </w:r>
      <w:proofErr w:type="spellStart"/>
      <w:r w:rsidRPr="00711A45">
        <w:rPr>
          <w:sz w:val="24"/>
          <w:szCs w:val="24"/>
        </w:rPr>
        <w:t>hæmofortynding</w:t>
      </w:r>
      <w:proofErr w:type="spellEnd"/>
      <w:r w:rsidRPr="00711A45">
        <w:rPr>
          <w:sz w:val="24"/>
          <w:szCs w:val="24"/>
        </w:rPr>
        <w:t xml:space="preserve"> og ændringer i serumelektrolytværdier (f.eks. </w:t>
      </w:r>
      <w:proofErr w:type="spellStart"/>
      <w:r w:rsidRPr="00711A45">
        <w:rPr>
          <w:sz w:val="24"/>
          <w:szCs w:val="24"/>
        </w:rPr>
        <w:t>hypocalcæmi</w:t>
      </w:r>
      <w:proofErr w:type="spellEnd"/>
      <w:r w:rsidRPr="00711A45">
        <w:rPr>
          <w:sz w:val="24"/>
          <w:szCs w:val="24"/>
        </w:rPr>
        <w:t xml:space="preserve">), forekomme under indgivelse af </w:t>
      </w:r>
      <w:proofErr w:type="spellStart"/>
      <w:r w:rsidRPr="00711A45">
        <w:rPr>
          <w:sz w:val="24"/>
          <w:szCs w:val="24"/>
        </w:rPr>
        <w:t>sultiam</w:t>
      </w:r>
      <w:proofErr w:type="spellEnd"/>
      <w:r w:rsidRPr="00711A45">
        <w:rPr>
          <w:sz w:val="24"/>
          <w:szCs w:val="24"/>
        </w:rPr>
        <w:t xml:space="preserve"> (se også pkt. 4.5).</w:t>
      </w:r>
    </w:p>
    <w:p w14:paraId="7657259D" w14:textId="77777777" w:rsidR="00D60CA9" w:rsidRPr="00711A45" w:rsidRDefault="00D60CA9" w:rsidP="00A36972">
      <w:pPr>
        <w:ind w:left="851"/>
        <w:rPr>
          <w:sz w:val="24"/>
          <w:szCs w:val="24"/>
        </w:rPr>
      </w:pPr>
    </w:p>
    <w:p w14:paraId="084ADDCB" w14:textId="77777777" w:rsidR="00D60CA9" w:rsidRPr="00711A45" w:rsidRDefault="00D60CA9" w:rsidP="00A36972">
      <w:pPr>
        <w:ind w:left="851"/>
        <w:rPr>
          <w:sz w:val="24"/>
          <w:szCs w:val="24"/>
          <w:u w:val="single"/>
        </w:rPr>
      </w:pPr>
      <w:r w:rsidRPr="00711A45">
        <w:rPr>
          <w:noProof/>
          <w:sz w:val="24"/>
          <w:szCs w:val="24"/>
          <w:u w:val="single"/>
        </w:rPr>
        <w:t>Indberetning af formodede bivirkninger</w:t>
      </w:r>
    </w:p>
    <w:p w14:paraId="3B2B5BA2" w14:textId="77777777" w:rsidR="00D60CA9" w:rsidRPr="00711A45" w:rsidRDefault="00D60CA9" w:rsidP="00A36972">
      <w:pPr>
        <w:ind w:left="851"/>
        <w:rPr>
          <w:noProof/>
          <w:sz w:val="24"/>
          <w:szCs w:val="24"/>
        </w:rPr>
      </w:pPr>
      <w:r w:rsidRPr="00711A45">
        <w:rPr>
          <w:noProof/>
          <w:sz w:val="24"/>
          <w:szCs w:val="24"/>
        </w:rPr>
        <w:t>Når lægemidlet er godkendt, er indberetning af formodede bivirkninger vigtig.</w:t>
      </w:r>
      <w:r w:rsidRPr="00711A45">
        <w:rPr>
          <w:sz w:val="24"/>
          <w:szCs w:val="24"/>
        </w:rPr>
        <w:t xml:space="preserve"> </w:t>
      </w:r>
      <w:r w:rsidRPr="00711A45">
        <w:rPr>
          <w:noProof/>
          <w:sz w:val="24"/>
          <w:szCs w:val="24"/>
        </w:rPr>
        <w:t>Det muliggør løbende overvågning af benefit/risk-forholdet for lægemidlet.</w:t>
      </w:r>
      <w:r w:rsidRPr="00711A45">
        <w:rPr>
          <w:sz w:val="24"/>
          <w:szCs w:val="24"/>
        </w:rPr>
        <w:t xml:space="preserve"> S</w:t>
      </w:r>
      <w:r w:rsidRPr="00711A45">
        <w:rPr>
          <w:noProof/>
          <w:sz w:val="24"/>
          <w:szCs w:val="24"/>
        </w:rPr>
        <w:t>undhedspersoner anmodes om at indberette alle formodede bivirkninger via det nationale rapporteringssystem:</w:t>
      </w:r>
    </w:p>
    <w:p w14:paraId="09673A1C" w14:textId="77777777" w:rsidR="00D60CA9" w:rsidRPr="00711A45" w:rsidRDefault="00D60CA9" w:rsidP="00A36972">
      <w:pPr>
        <w:ind w:left="851"/>
        <w:rPr>
          <w:noProof/>
          <w:sz w:val="24"/>
          <w:szCs w:val="24"/>
        </w:rPr>
      </w:pPr>
    </w:p>
    <w:p w14:paraId="582CF8FF" w14:textId="77777777" w:rsidR="00D60CA9" w:rsidRPr="00711A45" w:rsidRDefault="00D60CA9" w:rsidP="00A36972">
      <w:pPr>
        <w:ind w:left="851"/>
        <w:rPr>
          <w:rFonts w:eastAsia="Calibri"/>
          <w:color w:val="000000"/>
          <w:sz w:val="24"/>
          <w:szCs w:val="24"/>
          <w:lang w:eastAsia="zh-CN"/>
        </w:rPr>
      </w:pPr>
      <w:r w:rsidRPr="00711A45">
        <w:rPr>
          <w:sz w:val="24"/>
          <w:szCs w:val="24"/>
          <w:lang w:bidi="da-DK"/>
        </w:rPr>
        <w:t>Lægemiddelstyrelsen</w:t>
      </w:r>
    </w:p>
    <w:p w14:paraId="50592AA6" w14:textId="77777777" w:rsidR="00D60CA9" w:rsidRPr="00711A45" w:rsidRDefault="00D60CA9" w:rsidP="00A36972">
      <w:pPr>
        <w:ind w:left="851"/>
        <w:rPr>
          <w:rFonts w:eastAsia="Calibri"/>
          <w:noProof/>
          <w:sz w:val="24"/>
          <w:szCs w:val="24"/>
          <w:lang w:eastAsia="zh-CN"/>
        </w:rPr>
      </w:pPr>
      <w:r w:rsidRPr="00711A45">
        <w:rPr>
          <w:sz w:val="24"/>
          <w:szCs w:val="24"/>
          <w:lang w:eastAsia="zh-CN" w:bidi="da-DK"/>
        </w:rPr>
        <w:t>Axel Heides Gade 1</w:t>
      </w:r>
    </w:p>
    <w:p w14:paraId="07C5FE3F" w14:textId="77777777" w:rsidR="00D60CA9" w:rsidRPr="00711A45" w:rsidRDefault="00D60CA9" w:rsidP="00A36972">
      <w:pPr>
        <w:ind w:left="851"/>
        <w:rPr>
          <w:rFonts w:eastAsia="Calibri"/>
          <w:noProof/>
          <w:sz w:val="24"/>
          <w:szCs w:val="24"/>
          <w:lang w:eastAsia="zh-CN"/>
        </w:rPr>
      </w:pPr>
      <w:r w:rsidRPr="00711A45">
        <w:rPr>
          <w:noProof/>
          <w:sz w:val="24"/>
          <w:szCs w:val="24"/>
          <w:lang w:eastAsia="zh-CN" w:bidi="da-DK"/>
        </w:rPr>
        <w:t>DK-2300 København S</w:t>
      </w:r>
    </w:p>
    <w:p w14:paraId="51B7657E" w14:textId="77777777" w:rsidR="00D60CA9" w:rsidRPr="00711A45" w:rsidRDefault="00D60CA9" w:rsidP="00A36972">
      <w:pPr>
        <w:ind w:left="851"/>
        <w:rPr>
          <w:rFonts w:eastAsia="Calibri"/>
          <w:noProof/>
          <w:sz w:val="24"/>
          <w:szCs w:val="24"/>
          <w:lang w:eastAsia="zh-CN"/>
        </w:rPr>
      </w:pPr>
      <w:r w:rsidRPr="00711A45">
        <w:rPr>
          <w:sz w:val="24"/>
          <w:szCs w:val="24"/>
          <w:lang w:eastAsia="zh-CN" w:bidi="da-DK"/>
        </w:rPr>
        <w:t xml:space="preserve">Websted: </w:t>
      </w:r>
      <w:hyperlink r:id="rId8" w:history="1">
        <w:r w:rsidRPr="00711A45">
          <w:rPr>
            <w:rStyle w:val="Hyperlink"/>
            <w:sz w:val="24"/>
            <w:szCs w:val="24"/>
            <w:lang w:eastAsia="zh-CN" w:bidi="da-DK"/>
          </w:rPr>
          <w:t>www.meldenbivirkning.dk</w:t>
        </w:r>
      </w:hyperlink>
    </w:p>
    <w:p w14:paraId="64BFFBC5" w14:textId="77777777" w:rsidR="009260DE" w:rsidRPr="00711A45" w:rsidRDefault="009260DE" w:rsidP="00A10294">
      <w:pPr>
        <w:tabs>
          <w:tab w:val="left" w:pos="851"/>
        </w:tabs>
        <w:ind w:left="851"/>
        <w:rPr>
          <w:sz w:val="24"/>
          <w:szCs w:val="24"/>
        </w:rPr>
      </w:pPr>
    </w:p>
    <w:p w14:paraId="342A9E11" w14:textId="77777777" w:rsidR="009260DE" w:rsidRPr="00711A45" w:rsidRDefault="009260DE" w:rsidP="009260DE">
      <w:pPr>
        <w:tabs>
          <w:tab w:val="left" w:pos="851"/>
        </w:tabs>
        <w:ind w:left="851" w:hanging="851"/>
        <w:rPr>
          <w:b/>
          <w:sz w:val="24"/>
          <w:szCs w:val="24"/>
        </w:rPr>
      </w:pPr>
      <w:r w:rsidRPr="00711A45">
        <w:rPr>
          <w:b/>
          <w:sz w:val="24"/>
          <w:szCs w:val="24"/>
        </w:rPr>
        <w:t>4.9</w:t>
      </w:r>
      <w:r w:rsidRPr="00711A45">
        <w:rPr>
          <w:b/>
          <w:sz w:val="24"/>
          <w:szCs w:val="24"/>
        </w:rPr>
        <w:tab/>
        <w:t>Overdosering</w:t>
      </w:r>
    </w:p>
    <w:p w14:paraId="65489BFD" w14:textId="77777777" w:rsidR="00CF1B16" w:rsidRDefault="00CF1B16" w:rsidP="00A36972">
      <w:pPr>
        <w:ind w:left="851"/>
        <w:rPr>
          <w:sz w:val="24"/>
          <w:szCs w:val="24"/>
        </w:rPr>
      </w:pPr>
    </w:p>
    <w:p w14:paraId="7A7E254F" w14:textId="688C3135" w:rsidR="00D60CA9" w:rsidRPr="00CF1B16" w:rsidRDefault="00D60CA9" w:rsidP="00A36972">
      <w:pPr>
        <w:ind w:left="851"/>
        <w:rPr>
          <w:sz w:val="24"/>
          <w:szCs w:val="24"/>
          <w:u w:val="single"/>
          <w:lang w:eastAsia="de-DE"/>
        </w:rPr>
      </w:pPr>
      <w:r w:rsidRPr="00CF1B16">
        <w:rPr>
          <w:sz w:val="24"/>
          <w:szCs w:val="24"/>
          <w:u w:val="single"/>
        </w:rPr>
        <w:t>Symptomer på forgiftning</w:t>
      </w:r>
    </w:p>
    <w:p w14:paraId="546A35D8" w14:textId="77777777" w:rsidR="00D60CA9" w:rsidRPr="00711A45" w:rsidRDefault="00D60CA9" w:rsidP="00A36972">
      <w:pPr>
        <w:ind w:left="851"/>
        <w:rPr>
          <w:sz w:val="24"/>
          <w:szCs w:val="24"/>
        </w:rPr>
      </w:pPr>
      <w:r w:rsidRPr="00711A45">
        <w:rPr>
          <w:sz w:val="24"/>
          <w:szCs w:val="24"/>
        </w:rPr>
        <w:t xml:space="preserve">Hovedpine, svimmelhed, </w:t>
      </w:r>
      <w:proofErr w:type="spellStart"/>
      <w:r w:rsidRPr="00711A45">
        <w:rPr>
          <w:sz w:val="24"/>
          <w:szCs w:val="24"/>
        </w:rPr>
        <w:t>ataksi</w:t>
      </w:r>
      <w:proofErr w:type="spellEnd"/>
      <w:r w:rsidRPr="00711A45">
        <w:rPr>
          <w:sz w:val="24"/>
          <w:szCs w:val="24"/>
        </w:rPr>
        <w:t xml:space="preserve">, nedsat bevidsthed, metabolisk </w:t>
      </w:r>
      <w:proofErr w:type="spellStart"/>
      <w:r w:rsidRPr="00711A45">
        <w:rPr>
          <w:sz w:val="24"/>
          <w:szCs w:val="24"/>
        </w:rPr>
        <w:t>acidose</w:t>
      </w:r>
      <w:proofErr w:type="spellEnd"/>
      <w:r w:rsidRPr="00711A45">
        <w:rPr>
          <w:sz w:val="24"/>
          <w:szCs w:val="24"/>
        </w:rPr>
        <w:t xml:space="preserve">, krystaller i urinen. </w:t>
      </w:r>
      <w:proofErr w:type="spellStart"/>
      <w:r w:rsidRPr="00711A45">
        <w:rPr>
          <w:sz w:val="24"/>
          <w:szCs w:val="24"/>
        </w:rPr>
        <w:t>Sultiam</w:t>
      </w:r>
      <w:proofErr w:type="spellEnd"/>
      <w:r w:rsidRPr="00711A45">
        <w:rPr>
          <w:sz w:val="24"/>
          <w:szCs w:val="24"/>
        </w:rPr>
        <w:t xml:space="preserve"> har lav toksicitet. Overdoser på 4 til 5 mg </w:t>
      </w:r>
      <w:proofErr w:type="spellStart"/>
      <w:r w:rsidRPr="00711A45">
        <w:rPr>
          <w:sz w:val="24"/>
          <w:szCs w:val="24"/>
        </w:rPr>
        <w:t>sultiam</w:t>
      </w:r>
      <w:proofErr w:type="spellEnd"/>
      <w:r w:rsidRPr="00711A45">
        <w:rPr>
          <w:sz w:val="24"/>
          <w:szCs w:val="24"/>
        </w:rPr>
        <w:t xml:space="preserve"> er blevet overlevet. Indtagelse af omkring 20 g </w:t>
      </w:r>
      <w:proofErr w:type="spellStart"/>
      <w:r w:rsidRPr="00711A45">
        <w:rPr>
          <w:sz w:val="24"/>
          <w:szCs w:val="24"/>
        </w:rPr>
        <w:t>sultiam</w:t>
      </w:r>
      <w:proofErr w:type="spellEnd"/>
      <w:r w:rsidRPr="00711A45">
        <w:rPr>
          <w:sz w:val="24"/>
          <w:szCs w:val="24"/>
        </w:rPr>
        <w:t xml:space="preserve"> af voksne med den hensigt at begå selvmord var dødelig i ét tilfælde. I et andet tilfælde blev der opnået en </w:t>
      </w:r>
      <w:proofErr w:type="spellStart"/>
      <w:r w:rsidRPr="00711A45">
        <w:rPr>
          <w:i/>
          <w:iCs/>
          <w:sz w:val="24"/>
          <w:szCs w:val="24"/>
        </w:rPr>
        <w:t>restitutio</w:t>
      </w:r>
      <w:proofErr w:type="spellEnd"/>
      <w:r w:rsidRPr="00711A45">
        <w:rPr>
          <w:i/>
          <w:iCs/>
          <w:sz w:val="24"/>
          <w:szCs w:val="24"/>
        </w:rPr>
        <w:t xml:space="preserve"> ad </w:t>
      </w:r>
      <w:proofErr w:type="spellStart"/>
      <w:r w:rsidRPr="00711A45">
        <w:rPr>
          <w:i/>
          <w:iCs/>
          <w:sz w:val="24"/>
          <w:szCs w:val="24"/>
        </w:rPr>
        <w:t>integrum</w:t>
      </w:r>
      <w:proofErr w:type="spellEnd"/>
      <w:r w:rsidRPr="00711A45">
        <w:rPr>
          <w:sz w:val="24"/>
          <w:szCs w:val="24"/>
        </w:rPr>
        <w:t>.</w:t>
      </w:r>
    </w:p>
    <w:p w14:paraId="09A079E9" w14:textId="77777777" w:rsidR="00D60CA9" w:rsidRPr="00711A45" w:rsidRDefault="00D60CA9" w:rsidP="00A36972">
      <w:pPr>
        <w:ind w:left="851"/>
        <w:rPr>
          <w:sz w:val="24"/>
          <w:szCs w:val="24"/>
        </w:rPr>
      </w:pPr>
    </w:p>
    <w:p w14:paraId="6C719C56" w14:textId="77777777" w:rsidR="00D60CA9" w:rsidRPr="00CF1B16" w:rsidRDefault="00D60CA9" w:rsidP="00A36972">
      <w:pPr>
        <w:ind w:left="851"/>
        <w:rPr>
          <w:sz w:val="24"/>
          <w:szCs w:val="24"/>
          <w:u w:val="single"/>
        </w:rPr>
      </w:pPr>
      <w:r w:rsidRPr="00CF1B16">
        <w:rPr>
          <w:sz w:val="24"/>
          <w:szCs w:val="24"/>
          <w:u w:val="single"/>
        </w:rPr>
        <w:t>Behandling af forgiftninger</w:t>
      </w:r>
    </w:p>
    <w:p w14:paraId="5D876E06" w14:textId="77777777" w:rsidR="00D60CA9" w:rsidRPr="00711A45" w:rsidRDefault="00D60CA9" w:rsidP="00A36972">
      <w:pPr>
        <w:ind w:left="851"/>
        <w:rPr>
          <w:sz w:val="24"/>
          <w:szCs w:val="24"/>
        </w:rPr>
      </w:pPr>
      <w:r w:rsidRPr="00711A45">
        <w:rPr>
          <w:sz w:val="24"/>
          <w:szCs w:val="24"/>
        </w:rPr>
        <w:t xml:space="preserve">En specifik modgift kendes ikke. Standardforanstaltningerne (maveskylning og aktivt kul) for at minimere absorption og for at opretholde vitale funktioner bør træffes. </w:t>
      </w:r>
      <w:proofErr w:type="spellStart"/>
      <w:r w:rsidRPr="00711A45">
        <w:rPr>
          <w:sz w:val="24"/>
          <w:szCs w:val="24"/>
        </w:rPr>
        <w:t>Natriumbicarbonat</w:t>
      </w:r>
      <w:proofErr w:type="spellEnd"/>
      <w:r w:rsidRPr="00711A45">
        <w:rPr>
          <w:sz w:val="24"/>
          <w:szCs w:val="24"/>
        </w:rPr>
        <w:t xml:space="preserve"> kan </w:t>
      </w:r>
      <w:proofErr w:type="spellStart"/>
      <w:r w:rsidRPr="00711A45">
        <w:rPr>
          <w:sz w:val="24"/>
          <w:szCs w:val="24"/>
        </w:rPr>
        <w:t>infunderes</w:t>
      </w:r>
      <w:proofErr w:type="spellEnd"/>
      <w:r w:rsidRPr="00711A45">
        <w:rPr>
          <w:sz w:val="24"/>
          <w:szCs w:val="24"/>
        </w:rPr>
        <w:t xml:space="preserve"> til behandling af </w:t>
      </w:r>
      <w:proofErr w:type="spellStart"/>
      <w:r w:rsidRPr="00711A45">
        <w:rPr>
          <w:sz w:val="24"/>
          <w:szCs w:val="24"/>
        </w:rPr>
        <w:t>acidose</w:t>
      </w:r>
      <w:proofErr w:type="spellEnd"/>
      <w:r w:rsidRPr="00711A45">
        <w:rPr>
          <w:sz w:val="24"/>
          <w:szCs w:val="24"/>
        </w:rPr>
        <w:t xml:space="preserve">. Alkaliserende </w:t>
      </w:r>
      <w:proofErr w:type="spellStart"/>
      <w:r w:rsidRPr="00711A45">
        <w:rPr>
          <w:sz w:val="24"/>
          <w:szCs w:val="24"/>
        </w:rPr>
        <w:t>diuretikabehandling</w:t>
      </w:r>
      <w:proofErr w:type="spellEnd"/>
      <w:r w:rsidRPr="00711A45">
        <w:rPr>
          <w:sz w:val="24"/>
          <w:szCs w:val="24"/>
        </w:rPr>
        <w:t xml:space="preserve"> anbefales til forebyggelse af nyreskade og krystaller i urinen.</w:t>
      </w:r>
    </w:p>
    <w:p w14:paraId="057597AF" w14:textId="77777777" w:rsidR="009260DE" w:rsidRPr="00711A45" w:rsidRDefault="009260DE" w:rsidP="009260DE">
      <w:pPr>
        <w:tabs>
          <w:tab w:val="left" w:pos="851"/>
        </w:tabs>
        <w:ind w:left="851"/>
        <w:rPr>
          <w:sz w:val="24"/>
          <w:szCs w:val="24"/>
        </w:rPr>
      </w:pPr>
    </w:p>
    <w:p w14:paraId="0B48BE03" w14:textId="77777777" w:rsidR="009260DE" w:rsidRPr="00711A45" w:rsidRDefault="009260DE" w:rsidP="009260DE">
      <w:pPr>
        <w:tabs>
          <w:tab w:val="left" w:pos="851"/>
        </w:tabs>
        <w:ind w:left="851" w:hanging="851"/>
        <w:rPr>
          <w:b/>
          <w:sz w:val="24"/>
          <w:szCs w:val="24"/>
        </w:rPr>
      </w:pPr>
      <w:r w:rsidRPr="00711A45">
        <w:rPr>
          <w:b/>
          <w:sz w:val="24"/>
          <w:szCs w:val="24"/>
        </w:rPr>
        <w:t>4.10</w:t>
      </w:r>
      <w:r w:rsidRPr="00711A45">
        <w:rPr>
          <w:b/>
          <w:sz w:val="24"/>
          <w:szCs w:val="24"/>
        </w:rPr>
        <w:tab/>
        <w:t>Udlevering</w:t>
      </w:r>
    </w:p>
    <w:p w14:paraId="3782CABC" w14:textId="641DB716" w:rsidR="009260DE" w:rsidRPr="00711A45" w:rsidRDefault="00D60CA9" w:rsidP="00A36972">
      <w:pPr>
        <w:ind w:left="851"/>
        <w:rPr>
          <w:sz w:val="24"/>
          <w:szCs w:val="24"/>
        </w:rPr>
      </w:pPr>
      <w:bookmarkStart w:id="0" w:name="_Hlk39232037"/>
      <w:r w:rsidRPr="00711A45">
        <w:rPr>
          <w:sz w:val="24"/>
          <w:szCs w:val="24"/>
        </w:rPr>
        <w:t xml:space="preserve">NBS – kun til sygehuse og efter ordination af speciallæger i </w:t>
      </w:r>
      <w:bookmarkEnd w:id="0"/>
      <w:r w:rsidRPr="00711A45">
        <w:rPr>
          <w:sz w:val="24"/>
          <w:szCs w:val="24"/>
        </w:rPr>
        <w:t>neurologi.</w:t>
      </w:r>
    </w:p>
    <w:p w14:paraId="2FA850B0" w14:textId="6450BF11" w:rsidR="009260DE" w:rsidRDefault="009260DE" w:rsidP="009260DE">
      <w:pPr>
        <w:tabs>
          <w:tab w:val="left" w:pos="851"/>
        </w:tabs>
        <w:ind w:left="851"/>
        <w:rPr>
          <w:sz w:val="24"/>
          <w:szCs w:val="24"/>
        </w:rPr>
      </w:pPr>
    </w:p>
    <w:p w14:paraId="08BEE172" w14:textId="77777777" w:rsidR="00CF1B16" w:rsidRPr="00711A45" w:rsidRDefault="00CF1B16" w:rsidP="009260DE">
      <w:pPr>
        <w:tabs>
          <w:tab w:val="left" w:pos="851"/>
        </w:tabs>
        <w:ind w:left="851"/>
        <w:rPr>
          <w:sz w:val="24"/>
          <w:szCs w:val="24"/>
        </w:rPr>
      </w:pPr>
    </w:p>
    <w:p w14:paraId="672C2C54" w14:textId="77777777" w:rsidR="009260DE" w:rsidRPr="00711A45" w:rsidRDefault="009260DE" w:rsidP="009260DE">
      <w:pPr>
        <w:tabs>
          <w:tab w:val="left" w:pos="851"/>
        </w:tabs>
        <w:ind w:left="851" w:hanging="851"/>
        <w:rPr>
          <w:b/>
          <w:sz w:val="24"/>
          <w:szCs w:val="24"/>
        </w:rPr>
      </w:pPr>
      <w:r w:rsidRPr="00711A45">
        <w:rPr>
          <w:b/>
          <w:sz w:val="24"/>
          <w:szCs w:val="24"/>
        </w:rPr>
        <w:t>5.</w:t>
      </w:r>
      <w:r w:rsidRPr="00711A45">
        <w:rPr>
          <w:b/>
          <w:sz w:val="24"/>
          <w:szCs w:val="24"/>
        </w:rPr>
        <w:tab/>
        <w:t>FARMAKOLOGISKE EGENSKABER</w:t>
      </w:r>
    </w:p>
    <w:p w14:paraId="24AD7BCB" w14:textId="77777777" w:rsidR="009260DE" w:rsidRPr="00711A45" w:rsidRDefault="009260DE" w:rsidP="009260DE">
      <w:pPr>
        <w:tabs>
          <w:tab w:val="left" w:pos="851"/>
        </w:tabs>
        <w:ind w:left="851"/>
        <w:rPr>
          <w:sz w:val="24"/>
          <w:szCs w:val="24"/>
        </w:rPr>
      </w:pPr>
    </w:p>
    <w:p w14:paraId="2E72D617" w14:textId="77777777" w:rsidR="009260DE" w:rsidRPr="00711A45" w:rsidRDefault="009260DE" w:rsidP="009260DE">
      <w:pPr>
        <w:tabs>
          <w:tab w:val="num" w:pos="851"/>
        </w:tabs>
        <w:ind w:left="851" w:hanging="851"/>
        <w:rPr>
          <w:b/>
          <w:sz w:val="24"/>
          <w:szCs w:val="24"/>
        </w:rPr>
      </w:pPr>
      <w:r w:rsidRPr="00711A45">
        <w:rPr>
          <w:b/>
          <w:sz w:val="24"/>
          <w:szCs w:val="24"/>
        </w:rPr>
        <w:t>5.1</w:t>
      </w:r>
      <w:r w:rsidRPr="00711A45">
        <w:rPr>
          <w:b/>
          <w:sz w:val="24"/>
          <w:szCs w:val="24"/>
        </w:rPr>
        <w:tab/>
      </w:r>
      <w:proofErr w:type="spellStart"/>
      <w:r w:rsidRPr="00711A45">
        <w:rPr>
          <w:b/>
          <w:sz w:val="24"/>
          <w:szCs w:val="24"/>
        </w:rPr>
        <w:t>Farmakodynamiske</w:t>
      </w:r>
      <w:proofErr w:type="spellEnd"/>
      <w:r w:rsidRPr="00711A45">
        <w:rPr>
          <w:b/>
          <w:sz w:val="24"/>
          <w:szCs w:val="24"/>
        </w:rPr>
        <w:t xml:space="preserve"> egenskaber</w:t>
      </w:r>
    </w:p>
    <w:p w14:paraId="4368B124" w14:textId="7A494941" w:rsidR="00D60CA9" w:rsidRPr="00711A45" w:rsidRDefault="00D60CA9" w:rsidP="00A36972">
      <w:pPr>
        <w:ind w:left="851"/>
        <w:rPr>
          <w:sz w:val="24"/>
          <w:szCs w:val="24"/>
        </w:rPr>
      </w:pPr>
      <w:proofErr w:type="spellStart"/>
      <w:r w:rsidRPr="00711A45">
        <w:rPr>
          <w:sz w:val="24"/>
          <w:szCs w:val="24"/>
        </w:rPr>
        <w:t>Farmakoterapeutisk</w:t>
      </w:r>
      <w:proofErr w:type="spellEnd"/>
      <w:r w:rsidRPr="00711A45">
        <w:rPr>
          <w:sz w:val="24"/>
          <w:szCs w:val="24"/>
        </w:rPr>
        <w:t xml:space="preserve"> gruppe: Andre </w:t>
      </w:r>
      <w:proofErr w:type="spellStart"/>
      <w:r w:rsidRPr="00711A45">
        <w:rPr>
          <w:sz w:val="24"/>
          <w:szCs w:val="24"/>
        </w:rPr>
        <w:t>antiepileptika</w:t>
      </w:r>
      <w:proofErr w:type="spellEnd"/>
      <w:r w:rsidR="00CF1B16">
        <w:rPr>
          <w:sz w:val="24"/>
          <w:szCs w:val="24"/>
        </w:rPr>
        <w:t xml:space="preserve">, </w:t>
      </w:r>
      <w:r w:rsidRPr="00711A45">
        <w:rPr>
          <w:sz w:val="24"/>
          <w:szCs w:val="24"/>
        </w:rPr>
        <w:t>ATC-kode: N03AX03</w:t>
      </w:r>
      <w:r w:rsidR="00CF1B16">
        <w:rPr>
          <w:sz w:val="24"/>
          <w:szCs w:val="24"/>
        </w:rPr>
        <w:t>.</w:t>
      </w:r>
    </w:p>
    <w:p w14:paraId="22608148" w14:textId="77777777" w:rsidR="00D60CA9" w:rsidRPr="00711A45" w:rsidRDefault="00D60CA9" w:rsidP="00A36972">
      <w:pPr>
        <w:ind w:left="851"/>
        <w:rPr>
          <w:sz w:val="24"/>
          <w:szCs w:val="24"/>
        </w:rPr>
      </w:pPr>
    </w:p>
    <w:p w14:paraId="6B4C5A68" w14:textId="77777777" w:rsidR="00D60CA9" w:rsidRPr="00711A45" w:rsidRDefault="00D60CA9" w:rsidP="00A36972">
      <w:pPr>
        <w:ind w:left="851"/>
        <w:rPr>
          <w:sz w:val="24"/>
          <w:szCs w:val="24"/>
        </w:rPr>
      </w:pPr>
      <w:proofErr w:type="spellStart"/>
      <w:r w:rsidRPr="00711A45">
        <w:rPr>
          <w:sz w:val="24"/>
          <w:szCs w:val="24"/>
        </w:rPr>
        <w:t>Sultiam</w:t>
      </w:r>
      <w:proofErr w:type="spellEnd"/>
      <w:r w:rsidRPr="00711A45">
        <w:rPr>
          <w:sz w:val="24"/>
          <w:szCs w:val="24"/>
        </w:rPr>
        <w:t xml:space="preserve"> tilhører gruppen af </w:t>
      </w:r>
      <w:proofErr w:type="spellStart"/>
      <w:r w:rsidRPr="00711A45">
        <w:rPr>
          <w:sz w:val="24"/>
          <w:szCs w:val="24"/>
        </w:rPr>
        <w:t>carboanhydrasehæmmere</w:t>
      </w:r>
      <w:proofErr w:type="spellEnd"/>
      <w:r w:rsidRPr="00711A45">
        <w:rPr>
          <w:sz w:val="24"/>
          <w:szCs w:val="24"/>
        </w:rPr>
        <w:t xml:space="preserve"> og udviser en </w:t>
      </w:r>
      <w:proofErr w:type="spellStart"/>
      <w:r w:rsidRPr="00711A45">
        <w:rPr>
          <w:sz w:val="24"/>
          <w:szCs w:val="24"/>
        </w:rPr>
        <w:t>antikonvulsiv</w:t>
      </w:r>
      <w:proofErr w:type="spellEnd"/>
      <w:r w:rsidRPr="00711A45">
        <w:rPr>
          <w:sz w:val="24"/>
          <w:szCs w:val="24"/>
        </w:rPr>
        <w:t xml:space="preserve"> effekt i den </w:t>
      </w:r>
      <w:proofErr w:type="spellStart"/>
      <w:r w:rsidRPr="00711A45">
        <w:rPr>
          <w:sz w:val="24"/>
          <w:szCs w:val="24"/>
        </w:rPr>
        <w:t>elektrokonvulsive</w:t>
      </w:r>
      <w:proofErr w:type="spellEnd"/>
      <w:r w:rsidRPr="00711A45">
        <w:rPr>
          <w:sz w:val="24"/>
          <w:szCs w:val="24"/>
        </w:rPr>
        <w:t xml:space="preserve"> test (rotte og mus) og i den </w:t>
      </w:r>
      <w:proofErr w:type="spellStart"/>
      <w:r w:rsidRPr="00711A45">
        <w:rPr>
          <w:sz w:val="24"/>
          <w:szCs w:val="24"/>
        </w:rPr>
        <w:t>konvulsive</w:t>
      </w:r>
      <w:proofErr w:type="spellEnd"/>
      <w:r w:rsidRPr="00711A45">
        <w:rPr>
          <w:sz w:val="24"/>
          <w:szCs w:val="24"/>
        </w:rPr>
        <w:t xml:space="preserve"> test med </w:t>
      </w:r>
      <w:proofErr w:type="spellStart"/>
      <w:r w:rsidRPr="00711A45">
        <w:rPr>
          <w:sz w:val="24"/>
          <w:szCs w:val="24"/>
        </w:rPr>
        <w:t>pentamethylentetrazol</w:t>
      </w:r>
      <w:proofErr w:type="spellEnd"/>
      <w:r w:rsidRPr="00711A45">
        <w:rPr>
          <w:sz w:val="24"/>
          <w:szCs w:val="24"/>
        </w:rPr>
        <w:t xml:space="preserve"> (mus).</w:t>
      </w:r>
    </w:p>
    <w:p w14:paraId="44A0FB26" w14:textId="77777777" w:rsidR="009260DE" w:rsidRPr="00711A45" w:rsidRDefault="009260DE" w:rsidP="009260DE">
      <w:pPr>
        <w:tabs>
          <w:tab w:val="left" w:pos="851"/>
        </w:tabs>
        <w:ind w:left="851"/>
        <w:rPr>
          <w:sz w:val="24"/>
          <w:szCs w:val="24"/>
        </w:rPr>
      </w:pPr>
    </w:p>
    <w:p w14:paraId="6ECFB000" w14:textId="77777777" w:rsidR="009260DE" w:rsidRPr="00711A45" w:rsidRDefault="009260DE" w:rsidP="009260DE">
      <w:pPr>
        <w:tabs>
          <w:tab w:val="left" w:pos="851"/>
        </w:tabs>
        <w:ind w:left="851" w:hanging="851"/>
        <w:rPr>
          <w:b/>
          <w:sz w:val="24"/>
          <w:szCs w:val="24"/>
        </w:rPr>
      </w:pPr>
      <w:r w:rsidRPr="00711A45">
        <w:rPr>
          <w:b/>
          <w:sz w:val="24"/>
          <w:szCs w:val="24"/>
        </w:rPr>
        <w:t>5.2</w:t>
      </w:r>
      <w:r w:rsidRPr="00711A45">
        <w:rPr>
          <w:b/>
          <w:sz w:val="24"/>
          <w:szCs w:val="24"/>
        </w:rPr>
        <w:tab/>
      </w:r>
      <w:proofErr w:type="spellStart"/>
      <w:r w:rsidRPr="00711A45">
        <w:rPr>
          <w:b/>
          <w:sz w:val="24"/>
          <w:szCs w:val="24"/>
        </w:rPr>
        <w:t>Farmakokinetiske</w:t>
      </w:r>
      <w:proofErr w:type="spellEnd"/>
      <w:r w:rsidRPr="00711A45">
        <w:rPr>
          <w:b/>
          <w:sz w:val="24"/>
          <w:szCs w:val="24"/>
        </w:rPr>
        <w:t xml:space="preserve"> egenskaber</w:t>
      </w:r>
    </w:p>
    <w:p w14:paraId="617E6F42" w14:textId="77777777" w:rsidR="00D60CA9" w:rsidRPr="00711A45" w:rsidRDefault="00D60CA9" w:rsidP="00A36972">
      <w:pPr>
        <w:ind w:left="851"/>
        <w:rPr>
          <w:sz w:val="24"/>
          <w:szCs w:val="24"/>
          <w:lang w:eastAsia="de-DE"/>
        </w:rPr>
      </w:pPr>
      <w:proofErr w:type="spellStart"/>
      <w:r w:rsidRPr="00711A45">
        <w:rPr>
          <w:sz w:val="24"/>
          <w:szCs w:val="24"/>
        </w:rPr>
        <w:t>Sultiams</w:t>
      </w:r>
      <w:proofErr w:type="spellEnd"/>
      <w:r w:rsidRPr="00711A45">
        <w:rPr>
          <w:sz w:val="24"/>
          <w:szCs w:val="24"/>
        </w:rPr>
        <w:t xml:space="preserve"> farmakokinetik blev ikke systematisk undersøgt i forskellige alderskategorier hos børn og unge.</w:t>
      </w:r>
    </w:p>
    <w:p w14:paraId="4A7F10D1" w14:textId="77777777" w:rsidR="00D60CA9" w:rsidRPr="00711A45" w:rsidRDefault="00D60CA9" w:rsidP="00A36972">
      <w:pPr>
        <w:ind w:left="851"/>
        <w:rPr>
          <w:sz w:val="24"/>
          <w:szCs w:val="24"/>
        </w:rPr>
      </w:pPr>
    </w:p>
    <w:p w14:paraId="07B4F39A" w14:textId="77777777" w:rsidR="00D60CA9" w:rsidRPr="00711A45" w:rsidRDefault="00D60CA9" w:rsidP="00A36972">
      <w:pPr>
        <w:ind w:left="851"/>
        <w:rPr>
          <w:iCs/>
          <w:sz w:val="24"/>
          <w:szCs w:val="24"/>
          <w:u w:val="single"/>
        </w:rPr>
      </w:pPr>
      <w:r w:rsidRPr="00711A45">
        <w:rPr>
          <w:sz w:val="24"/>
          <w:szCs w:val="24"/>
          <w:u w:val="single"/>
        </w:rPr>
        <w:t>Absorption</w:t>
      </w:r>
    </w:p>
    <w:p w14:paraId="43F20DF9" w14:textId="77777777" w:rsidR="00D60CA9" w:rsidRPr="00711A45" w:rsidRDefault="00D60CA9" w:rsidP="00A36972">
      <w:pPr>
        <w:ind w:left="851"/>
        <w:rPr>
          <w:sz w:val="24"/>
          <w:szCs w:val="24"/>
        </w:rPr>
      </w:pPr>
      <w:r w:rsidRPr="00711A45">
        <w:rPr>
          <w:sz w:val="24"/>
          <w:szCs w:val="24"/>
        </w:rPr>
        <w:t xml:space="preserve">Efter oral administration absorberes </w:t>
      </w:r>
      <w:proofErr w:type="spellStart"/>
      <w:r w:rsidRPr="00711A45">
        <w:rPr>
          <w:sz w:val="24"/>
          <w:szCs w:val="24"/>
        </w:rPr>
        <w:t>sultiam</w:t>
      </w:r>
      <w:proofErr w:type="spellEnd"/>
      <w:r w:rsidRPr="00711A45">
        <w:rPr>
          <w:sz w:val="24"/>
          <w:szCs w:val="24"/>
        </w:rPr>
        <w:t xml:space="preserve"> hurtigt og fuldstændigt, overvejende fra den øvre del af tyndtarmen. Maksimal plasmakoncentration måles efter 1-5 timer.</w:t>
      </w:r>
    </w:p>
    <w:p w14:paraId="380ED7AF" w14:textId="77777777" w:rsidR="00D60CA9" w:rsidRPr="00711A45" w:rsidRDefault="00D60CA9" w:rsidP="00A36972">
      <w:pPr>
        <w:ind w:left="851"/>
        <w:rPr>
          <w:sz w:val="24"/>
          <w:szCs w:val="24"/>
        </w:rPr>
      </w:pPr>
      <w:r w:rsidRPr="00711A45">
        <w:rPr>
          <w:sz w:val="24"/>
          <w:szCs w:val="24"/>
        </w:rPr>
        <w:t xml:space="preserve">I en </w:t>
      </w:r>
      <w:proofErr w:type="spellStart"/>
      <w:r w:rsidRPr="00711A45">
        <w:rPr>
          <w:sz w:val="24"/>
          <w:szCs w:val="24"/>
        </w:rPr>
        <w:t>farmakokinetisk</w:t>
      </w:r>
      <w:proofErr w:type="spellEnd"/>
      <w:r w:rsidRPr="00711A45">
        <w:rPr>
          <w:sz w:val="24"/>
          <w:szCs w:val="24"/>
        </w:rPr>
        <w:t xml:space="preserve"> undersøgelse med enkeltdosis med 16 probander blev indflydelsen af fødeindtag på absorptionen af </w:t>
      </w:r>
      <w:proofErr w:type="spellStart"/>
      <w:r w:rsidRPr="00711A45">
        <w:rPr>
          <w:sz w:val="24"/>
          <w:szCs w:val="24"/>
        </w:rPr>
        <w:t>Ospolot</w:t>
      </w:r>
      <w:proofErr w:type="spellEnd"/>
      <w:r w:rsidRPr="00711A45">
        <w:rPr>
          <w:sz w:val="24"/>
          <w:szCs w:val="24"/>
        </w:rPr>
        <w:t xml:space="preserve">-tabletter med 200 mg undersøgt. Resultaterne viser, at indtagelse af </w:t>
      </w:r>
      <w:proofErr w:type="spellStart"/>
      <w:r w:rsidRPr="00711A45">
        <w:rPr>
          <w:sz w:val="24"/>
          <w:szCs w:val="24"/>
        </w:rPr>
        <w:t>Ospolot</w:t>
      </w:r>
      <w:proofErr w:type="spellEnd"/>
      <w:r w:rsidRPr="00711A45">
        <w:rPr>
          <w:sz w:val="24"/>
          <w:szCs w:val="24"/>
        </w:rPr>
        <w:t xml:space="preserve"> sammen med mad fører til en moderat reduceret biotilgængelighed af </w:t>
      </w:r>
      <w:proofErr w:type="spellStart"/>
      <w:r w:rsidRPr="00711A45">
        <w:rPr>
          <w:sz w:val="24"/>
          <w:szCs w:val="24"/>
        </w:rPr>
        <w:t>sultiam</w:t>
      </w:r>
      <w:proofErr w:type="spellEnd"/>
      <w:r w:rsidRPr="00711A45">
        <w:rPr>
          <w:sz w:val="24"/>
          <w:szCs w:val="24"/>
        </w:rPr>
        <w:t>.</w:t>
      </w:r>
    </w:p>
    <w:p w14:paraId="2C752054" w14:textId="77777777" w:rsidR="00D60CA9" w:rsidRPr="00711A45" w:rsidRDefault="00D60CA9" w:rsidP="00A36972">
      <w:pPr>
        <w:ind w:left="851"/>
        <w:rPr>
          <w:i/>
          <w:iCs/>
          <w:sz w:val="24"/>
          <w:szCs w:val="24"/>
        </w:rPr>
      </w:pPr>
    </w:p>
    <w:p w14:paraId="2466027F" w14:textId="77777777" w:rsidR="00D60CA9" w:rsidRPr="00711A45" w:rsidRDefault="00D60CA9" w:rsidP="00A36972">
      <w:pPr>
        <w:ind w:left="851"/>
        <w:rPr>
          <w:iCs/>
          <w:sz w:val="24"/>
          <w:szCs w:val="24"/>
          <w:u w:val="single"/>
        </w:rPr>
      </w:pPr>
      <w:r w:rsidRPr="00711A45">
        <w:rPr>
          <w:sz w:val="24"/>
          <w:szCs w:val="24"/>
          <w:u w:val="single"/>
        </w:rPr>
        <w:t>Fordeling</w:t>
      </w:r>
    </w:p>
    <w:p w14:paraId="787A7CA7" w14:textId="77777777" w:rsidR="00D60CA9" w:rsidRPr="00711A45" w:rsidRDefault="00D60CA9" w:rsidP="00A36972">
      <w:pPr>
        <w:ind w:left="851"/>
        <w:rPr>
          <w:sz w:val="24"/>
          <w:szCs w:val="24"/>
        </w:rPr>
      </w:pPr>
      <w:r w:rsidRPr="00711A45">
        <w:rPr>
          <w:sz w:val="24"/>
          <w:szCs w:val="24"/>
        </w:rPr>
        <w:t>Ca. 29 % af det aktive stof er bundet til plasmaproteiner.</w:t>
      </w:r>
    </w:p>
    <w:p w14:paraId="0E0D0D8E" w14:textId="77777777" w:rsidR="00D60CA9" w:rsidRPr="00711A45" w:rsidRDefault="00D60CA9" w:rsidP="00A36972">
      <w:pPr>
        <w:ind w:left="851"/>
        <w:rPr>
          <w:i/>
          <w:iCs/>
          <w:sz w:val="24"/>
          <w:szCs w:val="24"/>
        </w:rPr>
      </w:pPr>
    </w:p>
    <w:p w14:paraId="25CDAFDE" w14:textId="77777777" w:rsidR="00D60CA9" w:rsidRPr="00711A45" w:rsidRDefault="00D60CA9" w:rsidP="00A36972">
      <w:pPr>
        <w:ind w:left="851"/>
        <w:rPr>
          <w:sz w:val="24"/>
          <w:szCs w:val="24"/>
          <w:u w:val="single"/>
        </w:rPr>
      </w:pPr>
      <w:r w:rsidRPr="00711A45">
        <w:rPr>
          <w:sz w:val="24"/>
          <w:szCs w:val="24"/>
          <w:u w:val="single"/>
        </w:rPr>
        <w:t>Elimination</w:t>
      </w:r>
    </w:p>
    <w:p w14:paraId="5EE0A2BA" w14:textId="77777777" w:rsidR="00D60CA9" w:rsidRPr="00711A45" w:rsidRDefault="00D60CA9" w:rsidP="00A36972">
      <w:pPr>
        <w:ind w:left="851"/>
        <w:rPr>
          <w:sz w:val="24"/>
          <w:szCs w:val="24"/>
        </w:rPr>
      </w:pPr>
      <w:r w:rsidRPr="00711A45">
        <w:rPr>
          <w:sz w:val="24"/>
          <w:szCs w:val="24"/>
        </w:rPr>
        <w:t xml:space="preserve">80 til 90 % udskilles i urinen og 10 til 20 % med i efter galdesekretion. Inden for 24 timer udskilles 32 % af den indgivne dosis uændret via nyrerne. I en </w:t>
      </w:r>
      <w:proofErr w:type="spellStart"/>
      <w:r w:rsidRPr="00711A45">
        <w:rPr>
          <w:sz w:val="24"/>
          <w:szCs w:val="24"/>
        </w:rPr>
        <w:t>farmakokinetisk</w:t>
      </w:r>
      <w:proofErr w:type="spellEnd"/>
      <w:r w:rsidRPr="00711A45">
        <w:rPr>
          <w:sz w:val="24"/>
          <w:szCs w:val="24"/>
        </w:rPr>
        <w:t xml:space="preserve"> undersøgelse med enkeltdosis med 16 raske voksne probander blev der fastslået en halveringstid på ca. 12 timer. Baseret på publicerede </w:t>
      </w:r>
      <w:proofErr w:type="spellStart"/>
      <w:r w:rsidRPr="00711A45">
        <w:rPr>
          <w:sz w:val="24"/>
          <w:szCs w:val="24"/>
        </w:rPr>
        <w:t>farmakokinetiske</w:t>
      </w:r>
      <w:proofErr w:type="spellEnd"/>
      <w:r w:rsidRPr="00711A45">
        <w:rPr>
          <w:sz w:val="24"/>
          <w:szCs w:val="24"/>
        </w:rPr>
        <w:t xml:space="preserve"> undersøgelser antages en kortere halveringstid hos børn.</w:t>
      </w:r>
    </w:p>
    <w:p w14:paraId="02C62CF4" w14:textId="77777777" w:rsidR="009260DE" w:rsidRPr="00711A45" w:rsidRDefault="009260DE" w:rsidP="009260DE">
      <w:pPr>
        <w:tabs>
          <w:tab w:val="left" w:pos="851"/>
        </w:tabs>
        <w:ind w:left="851"/>
        <w:rPr>
          <w:sz w:val="24"/>
          <w:szCs w:val="24"/>
        </w:rPr>
      </w:pPr>
    </w:p>
    <w:p w14:paraId="07B74C09" w14:textId="77777777" w:rsidR="009260DE" w:rsidRPr="00711A45" w:rsidRDefault="009260DE" w:rsidP="009260DE">
      <w:pPr>
        <w:tabs>
          <w:tab w:val="left" w:pos="851"/>
        </w:tabs>
        <w:ind w:left="851" w:hanging="851"/>
        <w:rPr>
          <w:b/>
          <w:sz w:val="24"/>
          <w:szCs w:val="24"/>
        </w:rPr>
      </w:pPr>
      <w:r w:rsidRPr="00711A45">
        <w:rPr>
          <w:b/>
          <w:sz w:val="24"/>
          <w:szCs w:val="24"/>
        </w:rPr>
        <w:t>5.3</w:t>
      </w:r>
      <w:r w:rsidRPr="00711A45">
        <w:rPr>
          <w:b/>
          <w:sz w:val="24"/>
          <w:szCs w:val="24"/>
        </w:rPr>
        <w:tab/>
      </w:r>
      <w:r w:rsidR="00BD7931" w:rsidRPr="00711A45">
        <w:rPr>
          <w:b/>
          <w:sz w:val="24"/>
          <w:szCs w:val="24"/>
        </w:rPr>
        <w:t>Non-</w:t>
      </w:r>
      <w:r w:rsidRPr="00711A45">
        <w:rPr>
          <w:b/>
          <w:sz w:val="24"/>
          <w:szCs w:val="24"/>
        </w:rPr>
        <w:t>kliniske sikkerhedsdata</w:t>
      </w:r>
    </w:p>
    <w:p w14:paraId="27F4B2A2" w14:textId="77777777" w:rsidR="00D60CA9" w:rsidRPr="00711A45" w:rsidRDefault="00D60CA9" w:rsidP="00A36972">
      <w:pPr>
        <w:ind w:left="851"/>
        <w:rPr>
          <w:sz w:val="24"/>
          <w:szCs w:val="24"/>
          <w:lang w:eastAsia="de-DE"/>
        </w:rPr>
      </w:pPr>
      <w:r w:rsidRPr="00711A45">
        <w:rPr>
          <w:sz w:val="24"/>
          <w:szCs w:val="24"/>
        </w:rPr>
        <w:t>Ikke-kliniske data viser ingen særlig fare for mennesker baseret på konventionelle undersøgelser af toksicitet efter gentagne doser</w:t>
      </w:r>
      <w:r w:rsidRPr="00711A45">
        <w:rPr>
          <w:snapToGrid w:val="0"/>
          <w:sz w:val="24"/>
          <w:szCs w:val="24"/>
        </w:rPr>
        <w:t>.</w:t>
      </w:r>
    </w:p>
    <w:p w14:paraId="7175B5A2" w14:textId="77777777" w:rsidR="00D60CA9" w:rsidRPr="00711A45" w:rsidRDefault="00D60CA9" w:rsidP="00A36972">
      <w:pPr>
        <w:ind w:left="851"/>
        <w:rPr>
          <w:sz w:val="24"/>
          <w:szCs w:val="24"/>
        </w:rPr>
      </w:pPr>
    </w:p>
    <w:p w14:paraId="4BC5FE50" w14:textId="77777777" w:rsidR="00D60CA9" w:rsidRPr="00711A45" w:rsidRDefault="00D60CA9" w:rsidP="00A36972">
      <w:pPr>
        <w:ind w:left="851"/>
        <w:rPr>
          <w:sz w:val="24"/>
          <w:szCs w:val="24"/>
          <w:u w:val="single"/>
        </w:rPr>
      </w:pPr>
      <w:r w:rsidRPr="00711A45">
        <w:rPr>
          <w:snapToGrid w:val="0"/>
          <w:sz w:val="24"/>
          <w:szCs w:val="24"/>
          <w:u w:val="single"/>
        </w:rPr>
        <w:t xml:space="preserve">Mutagent og </w:t>
      </w:r>
      <w:proofErr w:type="spellStart"/>
      <w:r w:rsidRPr="00711A45">
        <w:rPr>
          <w:snapToGrid w:val="0"/>
          <w:sz w:val="24"/>
          <w:szCs w:val="24"/>
          <w:u w:val="single"/>
        </w:rPr>
        <w:t>karcinogent</w:t>
      </w:r>
      <w:proofErr w:type="spellEnd"/>
      <w:r w:rsidRPr="00711A45">
        <w:rPr>
          <w:snapToGrid w:val="0"/>
          <w:sz w:val="24"/>
          <w:szCs w:val="24"/>
          <w:u w:val="single"/>
        </w:rPr>
        <w:t xml:space="preserve"> potentiale</w:t>
      </w:r>
    </w:p>
    <w:p w14:paraId="05BA23A6" w14:textId="77777777" w:rsidR="00D60CA9" w:rsidRPr="00711A45" w:rsidRDefault="00D60CA9" w:rsidP="00A36972">
      <w:pPr>
        <w:ind w:left="851"/>
        <w:rPr>
          <w:sz w:val="24"/>
          <w:szCs w:val="24"/>
        </w:rPr>
      </w:pPr>
      <w:proofErr w:type="spellStart"/>
      <w:r w:rsidRPr="00711A45">
        <w:rPr>
          <w:snapToGrid w:val="0"/>
          <w:sz w:val="24"/>
          <w:szCs w:val="24"/>
        </w:rPr>
        <w:t>Sultiam</w:t>
      </w:r>
      <w:proofErr w:type="spellEnd"/>
      <w:r w:rsidRPr="00711A45">
        <w:rPr>
          <w:snapToGrid w:val="0"/>
          <w:sz w:val="24"/>
          <w:szCs w:val="24"/>
        </w:rPr>
        <w:t xml:space="preserve"> viste ikke noget mutagent potentiale </w:t>
      </w:r>
      <w:r w:rsidRPr="00711A45">
        <w:rPr>
          <w:i/>
          <w:snapToGrid w:val="0"/>
          <w:sz w:val="24"/>
          <w:szCs w:val="24"/>
        </w:rPr>
        <w:t xml:space="preserve">in </w:t>
      </w:r>
      <w:proofErr w:type="spellStart"/>
      <w:r w:rsidRPr="00711A45">
        <w:rPr>
          <w:i/>
          <w:snapToGrid w:val="0"/>
          <w:sz w:val="24"/>
          <w:szCs w:val="24"/>
        </w:rPr>
        <w:t>vitro</w:t>
      </w:r>
      <w:proofErr w:type="spellEnd"/>
      <w:r w:rsidRPr="00711A45">
        <w:rPr>
          <w:snapToGrid w:val="0"/>
          <w:sz w:val="24"/>
          <w:szCs w:val="24"/>
        </w:rPr>
        <w:t xml:space="preserve"> og </w:t>
      </w:r>
      <w:r w:rsidRPr="00711A45">
        <w:rPr>
          <w:i/>
          <w:snapToGrid w:val="0"/>
          <w:sz w:val="24"/>
          <w:szCs w:val="24"/>
        </w:rPr>
        <w:t xml:space="preserve">in </w:t>
      </w:r>
      <w:proofErr w:type="spellStart"/>
      <w:r w:rsidRPr="00711A45">
        <w:rPr>
          <w:i/>
          <w:snapToGrid w:val="0"/>
          <w:sz w:val="24"/>
          <w:szCs w:val="24"/>
        </w:rPr>
        <w:t>vivo</w:t>
      </w:r>
      <w:proofErr w:type="spellEnd"/>
      <w:r w:rsidRPr="00711A45">
        <w:rPr>
          <w:snapToGrid w:val="0"/>
          <w:sz w:val="24"/>
          <w:szCs w:val="24"/>
        </w:rPr>
        <w:t xml:space="preserve">. Langsigtede </w:t>
      </w:r>
      <w:proofErr w:type="spellStart"/>
      <w:r w:rsidRPr="00711A45">
        <w:rPr>
          <w:snapToGrid w:val="0"/>
          <w:sz w:val="24"/>
          <w:szCs w:val="24"/>
        </w:rPr>
        <w:t>karcinogenicitetsundersøgelser</w:t>
      </w:r>
      <w:proofErr w:type="spellEnd"/>
      <w:r w:rsidRPr="00711A45">
        <w:rPr>
          <w:snapToGrid w:val="0"/>
          <w:sz w:val="24"/>
          <w:szCs w:val="24"/>
        </w:rPr>
        <w:t xml:space="preserve"> er ikke blevet udført.</w:t>
      </w:r>
    </w:p>
    <w:p w14:paraId="50F64FF3" w14:textId="77777777" w:rsidR="00D60CA9" w:rsidRPr="00711A45" w:rsidRDefault="00D60CA9" w:rsidP="00A36972">
      <w:pPr>
        <w:ind w:left="851"/>
        <w:rPr>
          <w:sz w:val="24"/>
          <w:szCs w:val="24"/>
        </w:rPr>
      </w:pPr>
    </w:p>
    <w:p w14:paraId="14660368" w14:textId="77777777" w:rsidR="00D60CA9" w:rsidRPr="00711A45" w:rsidRDefault="00D60CA9" w:rsidP="00A36972">
      <w:pPr>
        <w:ind w:left="851"/>
        <w:rPr>
          <w:sz w:val="24"/>
          <w:szCs w:val="24"/>
          <w:u w:val="single"/>
        </w:rPr>
      </w:pPr>
      <w:r w:rsidRPr="00711A45">
        <w:rPr>
          <w:sz w:val="24"/>
          <w:szCs w:val="24"/>
          <w:u w:val="single"/>
        </w:rPr>
        <w:t>Reproduktionstoksicitet</w:t>
      </w:r>
    </w:p>
    <w:p w14:paraId="289D765D" w14:textId="77777777" w:rsidR="00D60CA9" w:rsidRPr="00711A45" w:rsidRDefault="00D60CA9" w:rsidP="00A36972">
      <w:pPr>
        <w:ind w:left="851"/>
        <w:rPr>
          <w:sz w:val="24"/>
          <w:szCs w:val="24"/>
        </w:rPr>
      </w:pPr>
      <w:proofErr w:type="spellStart"/>
      <w:r w:rsidRPr="00711A45">
        <w:rPr>
          <w:snapToGrid w:val="0"/>
          <w:sz w:val="24"/>
          <w:szCs w:val="24"/>
        </w:rPr>
        <w:t>Sultiams</w:t>
      </w:r>
      <w:proofErr w:type="spellEnd"/>
      <w:r w:rsidRPr="00711A45">
        <w:rPr>
          <w:snapToGrid w:val="0"/>
          <w:sz w:val="24"/>
          <w:szCs w:val="24"/>
        </w:rPr>
        <w:t xml:space="preserve"> reproduktionstoksicitet var utilstrækkeligt undersøgt.</w:t>
      </w:r>
      <w:r w:rsidRPr="00711A45">
        <w:rPr>
          <w:sz w:val="24"/>
          <w:szCs w:val="24"/>
        </w:rPr>
        <w:t xml:space="preserve"> </w:t>
      </w:r>
      <w:r w:rsidRPr="00711A45">
        <w:rPr>
          <w:snapToGrid w:val="0"/>
          <w:sz w:val="24"/>
          <w:szCs w:val="24"/>
        </w:rPr>
        <w:t>I en embryotoksicitetsundersøgelse på rotter blev der observeret embryotoksiske virkninger ved den laveste testede dosis (30 mg/kg/dag).</w:t>
      </w:r>
      <w:r w:rsidRPr="00711A45">
        <w:rPr>
          <w:sz w:val="24"/>
          <w:szCs w:val="24"/>
        </w:rPr>
        <w:t xml:space="preserve"> </w:t>
      </w:r>
      <w:r w:rsidRPr="00711A45">
        <w:rPr>
          <w:snapToGrid w:val="0"/>
          <w:sz w:val="24"/>
          <w:szCs w:val="24"/>
        </w:rPr>
        <w:t xml:space="preserve">Undersøgelser vedrørende effekter på fertilitet og peri- og </w:t>
      </w:r>
      <w:proofErr w:type="spellStart"/>
      <w:r w:rsidRPr="00711A45">
        <w:rPr>
          <w:snapToGrid w:val="0"/>
          <w:sz w:val="24"/>
          <w:szCs w:val="24"/>
        </w:rPr>
        <w:t>postnatal</w:t>
      </w:r>
      <w:proofErr w:type="spellEnd"/>
      <w:r w:rsidRPr="00711A45">
        <w:rPr>
          <w:snapToGrid w:val="0"/>
          <w:sz w:val="24"/>
          <w:szCs w:val="24"/>
        </w:rPr>
        <w:t xml:space="preserve"> udvikling af afkommet mangler.</w:t>
      </w:r>
      <w:r w:rsidRPr="00711A45">
        <w:rPr>
          <w:sz w:val="24"/>
          <w:szCs w:val="24"/>
        </w:rPr>
        <w:t xml:space="preserve"> </w:t>
      </w:r>
    </w:p>
    <w:p w14:paraId="1929E60A" w14:textId="77777777" w:rsidR="009260DE" w:rsidRPr="00711A45" w:rsidRDefault="009260DE" w:rsidP="009260DE">
      <w:pPr>
        <w:tabs>
          <w:tab w:val="left" w:pos="851"/>
        </w:tabs>
        <w:ind w:left="851"/>
        <w:rPr>
          <w:sz w:val="24"/>
          <w:szCs w:val="24"/>
        </w:rPr>
      </w:pPr>
    </w:p>
    <w:p w14:paraId="776AD8BF" w14:textId="77777777" w:rsidR="009260DE" w:rsidRPr="00711A45" w:rsidRDefault="009260DE" w:rsidP="009260DE">
      <w:pPr>
        <w:tabs>
          <w:tab w:val="left" w:pos="851"/>
        </w:tabs>
        <w:ind w:left="851"/>
        <w:rPr>
          <w:sz w:val="24"/>
          <w:szCs w:val="24"/>
        </w:rPr>
      </w:pPr>
    </w:p>
    <w:p w14:paraId="590A080A" w14:textId="77777777" w:rsidR="009260DE" w:rsidRPr="00711A45" w:rsidRDefault="009260DE" w:rsidP="009260DE">
      <w:pPr>
        <w:tabs>
          <w:tab w:val="left" w:pos="851"/>
        </w:tabs>
        <w:ind w:left="851" w:hanging="851"/>
        <w:rPr>
          <w:b/>
          <w:sz w:val="24"/>
          <w:szCs w:val="24"/>
        </w:rPr>
      </w:pPr>
      <w:r w:rsidRPr="00711A45">
        <w:rPr>
          <w:b/>
          <w:sz w:val="24"/>
          <w:szCs w:val="24"/>
        </w:rPr>
        <w:t>6.</w:t>
      </w:r>
      <w:r w:rsidRPr="00711A45">
        <w:rPr>
          <w:b/>
          <w:sz w:val="24"/>
          <w:szCs w:val="24"/>
        </w:rPr>
        <w:tab/>
        <w:t>FARMACEUTISKE OPLYSNINGER</w:t>
      </w:r>
    </w:p>
    <w:p w14:paraId="70E35866" w14:textId="77777777" w:rsidR="009260DE" w:rsidRPr="00711A45" w:rsidRDefault="009260DE" w:rsidP="009260DE">
      <w:pPr>
        <w:tabs>
          <w:tab w:val="left" w:pos="851"/>
        </w:tabs>
        <w:ind w:left="851"/>
        <w:rPr>
          <w:sz w:val="24"/>
          <w:szCs w:val="24"/>
        </w:rPr>
      </w:pPr>
    </w:p>
    <w:p w14:paraId="5CC3290E" w14:textId="77777777" w:rsidR="009260DE" w:rsidRPr="00711A45" w:rsidRDefault="009260DE" w:rsidP="009260DE">
      <w:pPr>
        <w:tabs>
          <w:tab w:val="left" w:pos="851"/>
        </w:tabs>
        <w:ind w:left="851" w:hanging="851"/>
        <w:rPr>
          <w:b/>
          <w:sz w:val="24"/>
          <w:szCs w:val="24"/>
        </w:rPr>
      </w:pPr>
      <w:r w:rsidRPr="00711A45">
        <w:rPr>
          <w:b/>
          <w:sz w:val="24"/>
          <w:szCs w:val="24"/>
        </w:rPr>
        <w:t>6.1</w:t>
      </w:r>
      <w:r w:rsidRPr="00711A45">
        <w:rPr>
          <w:b/>
          <w:sz w:val="24"/>
          <w:szCs w:val="24"/>
        </w:rPr>
        <w:tab/>
        <w:t>Hjælpestoffer</w:t>
      </w:r>
    </w:p>
    <w:p w14:paraId="0BC02F71" w14:textId="77777777" w:rsidR="00D60CA9" w:rsidRPr="00711A45" w:rsidRDefault="00D60CA9" w:rsidP="00A36972">
      <w:pPr>
        <w:ind w:left="851"/>
        <w:rPr>
          <w:sz w:val="24"/>
          <w:szCs w:val="24"/>
        </w:rPr>
      </w:pPr>
      <w:proofErr w:type="spellStart"/>
      <w:r w:rsidRPr="00711A45">
        <w:rPr>
          <w:sz w:val="24"/>
          <w:szCs w:val="24"/>
        </w:rPr>
        <w:t>Natriummethylparahydroxybenzoat</w:t>
      </w:r>
      <w:proofErr w:type="spellEnd"/>
      <w:r w:rsidRPr="00711A45">
        <w:rPr>
          <w:sz w:val="24"/>
          <w:szCs w:val="24"/>
        </w:rPr>
        <w:t xml:space="preserve"> (E219)</w:t>
      </w:r>
    </w:p>
    <w:p w14:paraId="66E8B2FA" w14:textId="77777777" w:rsidR="00D60CA9" w:rsidRPr="00711A45" w:rsidRDefault="00D60CA9" w:rsidP="00A36972">
      <w:pPr>
        <w:ind w:left="851"/>
        <w:rPr>
          <w:sz w:val="24"/>
          <w:szCs w:val="24"/>
        </w:rPr>
      </w:pPr>
      <w:proofErr w:type="spellStart"/>
      <w:r w:rsidRPr="00711A45">
        <w:rPr>
          <w:sz w:val="24"/>
          <w:szCs w:val="24"/>
        </w:rPr>
        <w:t>Natriummethylparahydroxybenzoat</w:t>
      </w:r>
      <w:proofErr w:type="spellEnd"/>
      <w:r w:rsidRPr="00711A45">
        <w:rPr>
          <w:sz w:val="24"/>
          <w:szCs w:val="24"/>
        </w:rPr>
        <w:t xml:space="preserve"> (E217)</w:t>
      </w:r>
    </w:p>
    <w:p w14:paraId="0827121E" w14:textId="77777777" w:rsidR="00D60CA9" w:rsidRPr="00711A45" w:rsidRDefault="00D60CA9" w:rsidP="00A36972">
      <w:pPr>
        <w:ind w:left="851"/>
        <w:rPr>
          <w:sz w:val="24"/>
          <w:szCs w:val="24"/>
        </w:rPr>
      </w:pPr>
      <w:proofErr w:type="spellStart"/>
      <w:r w:rsidRPr="00711A45">
        <w:rPr>
          <w:sz w:val="24"/>
          <w:szCs w:val="24"/>
        </w:rPr>
        <w:t>Sucralose</w:t>
      </w:r>
      <w:proofErr w:type="spellEnd"/>
    </w:p>
    <w:p w14:paraId="5DEEAE96" w14:textId="77777777" w:rsidR="00D60CA9" w:rsidRPr="00711A45" w:rsidRDefault="00D60CA9" w:rsidP="00A36972">
      <w:pPr>
        <w:ind w:left="851"/>
        <w:rPr>
          <w:sz w:val="24"/>
          <w:szCs w:val="24"/>
        </w:rPr>
      </w:pPr>
      <w:proofErr w:type="spellStart"/>
      <w:r w:rsidRPr="00711A45">
        <w:rPr>
          <w:sz w:val="24"/>
          <w:szCs w:val="24"/>
        </w:rPr>
        <w:t>Docusatnatrium</w:t>
      </w:r>
      <w:proofErr w:type="spellEnd"/>
    </w:p>
    <w:p w14:paraId="28AC9858" w14:textId="77777777" w:rsidR="00D60CA9" w:rsidRPr="00711A45" w:rsidRDefault="00D60CA9" w:rsidP="00A36972">
      <w:pPr>
        <w:ind w:left="851"/>
        <w:rPr>
          <w:sz w:val="24"/>
          <w:szCs w:val="24"/>
        </w:rPr>
      </w:pPr>
      <w:proofErr w:type="spellStart"/>
      <w:r w:rsidRPr="00711A45">
        <w:rPr>
          <w:sz w:val="24"/>
          <w:szCs w:val="24"/>
        </w:rPr>
        <w:t>Xanthangummi</w:t>
      </w:r>
      <w:proofErr w:type="spellEnd"/>
    </w:p>
    <w:p w14:paraId="005D385F" w14:textId="77777777" w:rsidR="00D60CA9" w:rsidRPr="00711A45" w:rsidRDefault="00D60CA9" w:rsidP="00A36972">
      <w:pPr>
        <w:ind w:left="851"/>
        <w:rPr>
          <w:sz w:val="24"/>
          <w:szCs w:val="24"/>
        </w:rPr>
      </w:pPr>
      <w:proofErr w:type="spellStart"/>
      <w:r w:rsidRPr="00711A45">
        <w:rPr>
          <w:sz w:val="24"/>
          <w:szCs w:val="24"/>
        </w:rPr>
        <w:t>Natriumdihydrogenphosphatdihydrat</w:t>
      </w:r>
      <w:proofErr w:type="spellEnd"/>
    </w:p>
    <w:p w14:paraId="1348442B" w14:textId="77777777" w:rsidR="00D60CA9" w:rsidRPr="00711A45" w:rsidRDefault="00D60CA9" w:rsidP="00A36972">
      <w:pPr>
        <w:ind w:left="851"/>
        <w:rPr>
          <w:sz w:val="24"/>
          <w:szCs w:val="24"/>
        </w:rPr>
      </w:pPr>
      <w:proofErr w:type="spellStart"/>
      <w:r w:rsidRPr="00711A45">
        <w:rPr>
          <w:sz w:val="24"/>
          <w:szCs w:val="24"/>
        </w:rPr>
        <w:t>Dikaliumphosphat</w:t>
      </w:r>
      <w:proofErr w:type="spellEnd"/>
    </w:p>
    <w:p w14:paraId="566BED2E" w14:textId="77777777" w:rsidR="00D60CA9" w:rsidRPr="00711A45" w:rsidRDefault="00D60CA9" w:rsidP="00A36972">
      <w:pPr>
        <w:ind w:left="851"/>
        <w:rPr>
          <w:rFonts w:eastAsia="MS Mincho"/>
          <w:sz w:val="24"/>
          <w:szCs w:val="24"/>
        </w:rPr>
      </w:pPr>
      <w:r w:rsidRPr="00711A45">
        <w:rPr>
          <w:sz w:val="24"/>
          <w:szCs w:val="24"/>
        </w:rPr>
        <w:t xml:space="preserve">Jordbærsmag </w:t>
      </w:r>
    </w:p>
    <w:p w14:paraId="0576D177" w14:textId="77777777" w:rsidR="00D60CA9" w:rsidRPr="00711A45" w:rsidRDefault="00D60CA9" w:rsidP="00A36972">
      <w:pPr>
        <w:ind w:left="851"/>
        <w:rPr>
          <w:sz w:val="24"/>
          <w:szCs w:val="24"/>
        </w:rPr>
      </w:pPr>
      <w:r w:rsidRPr="00711A45">
        <w:rPr>
          <w:sz w:val="24"/>
          <w:szCs w:val="24"/>
        </w:rPr>
        <w:t xml:space="preserve">Sødmemodulerende smag (indeholdende </w:t>
      </w:r>
      <w:proofErr w:type="spellStart"/>
      <w:r w:rsidRPr="00711A45">
        <w:rPr>
          <w:sz w:val="24"/>
          <w:szCs w:val="24"/>
        </w:rPr>
        <w:t>fructose</w:t>
      </w:r>
      <w:proofErr w:type="spellEnd"/>
      <w:r w:rsidRPr="00711A45">
        <w:rPr>
          <w:sz w:val="24"/>
          <w:szCs w:val="24"/>
        </w:rPr>
        <w:t xml:space="preserve">, </w:t>
      </w:r>
      <w:proofErr w:type="spellStart"/>
      <w:r w:rsidRPr="00711A45">
        <w:rPr>
          <w:sz w:val="24"/>
          <w:szCs w:val="24"/>
        </w:rPr>
        <w:t>glucose</w:t>
      </w:r>
      <w:proofErr w:type="spellEnd"/>
      <w:r w:rsidRPr="00711A45">
        <w:rPr>
          <w:sz w:val="24"/>
          <w:szCs w:val="24"/>
        </w:rPr>
        <w:t xml:space="preserve">, </w:t>
      </w:r>
      <w:proofErr w:type="spellStart"/>
      <w:r w:rsidRPr="00711A45">
        <w:rPr>
          <w:sz w:val="24"/>
          <w:szCs w:val="24"/>
        </w:rPr>
        <w:t>saccharose</w:t>
      </w:r>
      <w:proofErr w:type="spellEnd"/>
      <w:r w:rsidRPr="00711A45">
        <w:rPr>
          <w:sz w:val="24"/>
          <w:szCs w:val="24"/>
        </w:rPr>
        <w:t>, svovldioxid (E220))</w:t>
      </w:r>
    </w:p>
    <w:p w14:paraId="3A4E806C" w14:textId="77777777" w:rsidR="00D60CA9" w:rsidRPr="00711A45" w:rsidRDefault="00D60CA9" w:rsidP="00A36972">
      <w:pPr>
        <w:ind w:left="851"/>
        <w:rPr>
          <w:sz w:val="24"/>
          <w:szCs w:val="24"/>
        </w:rPr>
      </w:pPr>
      <w:r w:rsidRPr="00711A45">
        <w:rPr>
          <w:sz w:val="24"/>
          <w:szCs w:val="24"/>
        </w:rPr>
        <w:t xml:space="preserve">Maskeringssmag  </w:t>
      </w:r>
    </w:p>
    <w:p w14:paraId="70A17FEE" w14:textId="77777777" w:rsidR="00D60CA9" w:rsidRPr="00711A45" w:rsidRDefault="00D60CA9" w:rsidP="00A36972">
      <w:pPr>
        <w:ind w:left="851"/>
        <w:rPr>
          <w:sz w:val="24"/>
          <w:szCs w:val="24"/>
        </w:rPr>
      </w:pPr>
      <w:proofErr w:type="spellStart"/>
      <w:r w:rsidRPr="00711A45">
        <w:rPr>
          <w:sz w:val="24"/>
          <w:szCs w:val="24"/>
        </w:rPr>
        <w:t>Phosphorsyre</w:t>
      </w:r>
      <w:proofErr w:type="spellEnd"/>
      <w:r w:rsidRPr="00711A45">
        <w:rPr>
          <w:sz w:val="24"/>
          <w:szCs w:val="24"/>
        </w:rPr>
        <w:t xml:space="preserve"> 85 %</w:t>
      </w:r>
    </w:p>
    <w:p w14:paraId="7EB5BF59" w14:textId="77777777" w:rsidR="00D60CA9" w:rsidRPr="00711A45" w:rsidRDefault="00D60CA9" w:rsidP="00A36972">
      <w:pPr>
        <w:ind w:left="851"/>
        <w:rPr>
          <w:sz w:val="24"/>
          <w:szCs w:val="24"/>
        </w:rPr>
      </w:pPr>
      <w:r w:rsidRPr="00711A45">
        <w:rPr>
          <w:sz w:val="24"/>
          <w:szCs w:val="24"/>
        </w:rPr>
        <w:t>Renset vand</w:t>
      </w:r>
    </w:p>
    <w:p w14:paraId="29B6E903" w14:textId="77777777" w:rsidR="009260DE" w:rsidRPr="00711A45" w:rsidRDefault="009260DE" w:rsidP="009260DE">
      <w:pPr>
        <w:tabs>
          <w:tab w:val="left" w:pos="851"/>
        </w:tabs>
        <w:ind w:left="851"/>
        <w:rPr>
          <w:sz w:val="24"/>
          <w:szCs w:val="24"/>
        </w:rPr>
      </w:pPr>
    </w:p>
    <w:p w14:paraId="6915E065" w14:textId="77777777" w:rsidR="009260DE" w:rsidRPr="00711A45" w:rsidRDefault="009260DE" w:rsidP="009260DE">
      <w:pPr>
        <w:tabs>
          <w:tab w:val="left" w:pos="851"/>
        </w:tabs>
        <w:ind w:left="851" w:hanging="851"/>
        <w:rPr>
          <w:b/>
          <w:sz w:val="24"/>
          <w:szCs w:val="24"/>
        </w:rPr>
      </w:pPr>
      <w:r w:rsidRPr="00711A45">
        <w:rPr>
          <w:b/>
          <w:sz w:val="24"/>
          <w:szCs w:val="24"/>
        </w:rPr>
        <w:t>6.2</w:t>
      </w:r>
      <w:r w:rsidRPr="00711A45">
        <w:rPr>
          <w:b/>
          <w:sz w:val="24"/>
          <w:szCs w:val="24"/>
        </w:rPr>
        <w:tab/>
        <w:t>Uforligeligheder</w:t>
      </w:r>
    </w:p>
    <w:p w14:paraId="67C7D91B" w14:textId="77777777" w:rsidR="00D60CA9" w:rsidRPr="00711A45" w:rsidRDefault="00D60CA9" w:rsidP="00A36972">
      <w:pPr>
        <w:ind w:left="851"/>
        <w:rPr>
          <w:sz w:val="24"/>
          <w:szCs w:val="24"/>
          <w:lang w:eastAsia="de-DE"/>
        </w:rPr>
      </w:pPr>
      <w:r w:rsidRPr="00711A45">
        <w:rPr>
          <w:sz w:val="24"/>
          <w:szCs w:val="24"/>
        </w:rPr>
        <w:t>Ikke relevant.</w:t>
      </w:r>
    </w:p>
    <w:p w14:paraId="074E6766" w14:textId="3005C0F2" w:rsidR="009260DE" w:rsidRPr="00711A45" w:rsidRDefault="009260DE" w:rsidP="009260DE">
      <w:pPr>
        <w:tabs>
          <w:tab w:val="left" w:pos="851"/>
        </w:tabs>
        <w:ind w:left="851"/>
        <w:rPr>
          <w:sz w:val="24"/>
          <w:szCs w:val="24"/>
        </w:rPr>
      </w:pPr>
    </w:p>
    <w:p w14:paraId="140595CE" w14:textId="77777777" w:rsidR="009260DE" w:rsidRPr="00711A45" w:rsidRDefault="009260DE" w:rsidP="009260DE">
      <w:pPr>
        <w:tabs>
          <w:tab w:val="left" w:pos="851"/>
        </w:tabs>
        <w:ind w:left="851" w:hanging="851"/>
        <w:rPr>
          <w:b/>
          <w:sz w:val="24"/>
          <w:szCs w:val="24"/>
        </w:rPr>
      </w:pPr>
      <w:r w:rsidRPr="00711A45">
        <w:rPr>
          <w:b/>
          <w:sz w:val="24"/>
          <w:szCs w:val="24"/>
        </w:rPr>
        <w:t>6.3</w:t>
      </w:r>
      <w:r w:rsidRPr="00711A45">
        <w:rPr>
          <w:b/>
          <w:sz w:val="24"/>
          <w:szCs w:val="24"/>
        </w:rPr>
        <w:tab/>
        <w:t>Opbevaringstid</w:t>
      </w:r>
    </w:p>
    <w:p w14:paraId="1353908B" w14:textId="77777777" w:rsidR="00D60CA9" w:rsidRPr="00711A45" w:rsidRDefault="00D60CA9" w:rsidP="00A36972">
      <w:pPr>
        <w:ind w:left="851"/>
        <w:rPr>
          <w:sz w:val="24"/>
          <w:szCs w:val="24"/>
          <w:lang w:eastAsia="de-DE"/>
        </w:rPr>
      </w:pPr>
      <w:r w:rsidRPr="00711A45">
        <w:rPr>
          <w:sz w:val="24"/>
          <w:szCs w:val="24"/>
        </w:rPr>
        <w:t>3 år</w:t>
      </w:r>
    </w:p>
    <w:p w14:paraId="07DCD760" w14:textId="77777777" w:rsidR="00D60CA9" w:rsidRPr="00711A45" w:rsidRDefault="00D60CA9" w:rsidP="00A36972">
      <w:pPr>
        <w:ind w:left="851"/>
        <w:rPr>
          <w:sz w:val="24"/>
          <w:szCs w:val="24"/>
        </w:rPr>
      </w:pPr>
    </w:p>
    <w:p w14:paraId="3E3F3E2A" w14:textId="77777777" w:rsidR="00D60CA9" w:rsidRPr="00711A45" w:rsidRDefault="00D60CA9" w:rsidP="00A36972">
      <w:pPr>
        <w:ind w:left="851"/>
        <w:rPr>
          <w:sz w:val="24"/>
          <w:szCs w:val="24"/>
        </w:rPr>
      </w:pPr>
      <w:r w:rsidRPr="00711A45">
        <w:rPr>
          <w:sz w:val="24"/>
          <w:szCs w:val="24"/>
        </w:rPr>
        <w:t>Efter første åbning: 3 måneder</w:t>
      </w:r>
    </w:p>
    <w:p w14:paraId="74A28E3B" w14:textId="77777777" w:rsidR="009260DE" w:rsidRPr="00711A45" w:rsidRDefault="009260DE" w:rsidP="009260DE">
      <w:pPr>
        <w:tabs>
          <w:tab w:val="left" w:pos="851"/>
        </w:tabs>
        <w:ind w:left="851"/>
        <w:rPr>
          <w:sz w:val="24"/>
          <w:szCs w:val="24"/>
        </w:rPr>
      </w:pPr>
    </w:p>
    <w:p w14:paraId="1B376459" w14:textId="77777777" w:rsidR="009260DE" w:rsidRPr="00711A45" w:rsidRDefault="009260DE" w:rsidP="009260DE">
      <w:pPr>
        <w:tabs>
          <w:tab w:val="left" w:pos="851"/>
        </w:tabs>
        <w:ind w:left="851" w:hanging="851"/>
        <w:rPr>
          <w:b/>
          <w:sz w:val="24"/>
          <w:szCs w:val="24"/>
        </w:rPr>
      </w:pPr>
      <w:r w:rsidRPr="00711A45">
        <w:rPr>
          <w:b/>
          <w:sz w:val="24"/>
          <w:szCs w:val="24"/>
        </w:rPr>
        <w:t>6.4</w:t>
      </w:r>
      <w:r w:rsidRPr="00711A45">
        <w:rPr>
          <w:b/>
          <w:sz w:val="24"/>
          <w:szCs w:val="24"/>
        </w:rPr>
        <w:tab/>
        <w:t>Særlige opbevaringsforhold</w:t>
      </w:r>
    </w:p>
    <w:p w14:paraId="39C43D75" w14:textId="77777777" w:rsidR="00D60CA9" w:rsidRPr="00711A45" w:rsidRDefault="00D60CA9" w:rsidP="00A36972">
      <w:pPr>
        <w:ind w:left="851"/>
        <w:rPr>
          <w:sz w:val="24"/>
          <w:szCs w:val="24"/>
          <w:lang w:eastAsia="de-DE"/>
        </w:rPr>
      </w:pPr>
      <w:r w:rsidRPr="00711A45">
        <w:rPr>
          <w:sz w:val="24"/>
          <w:szCs w:val="24"/>
        </w:rPr>
        <w:t>Dette lægemiddel kræver ingen særlige forholdsregler vedrørende opbevaringen.</w:t>
      </w:r>
    </w:p>
    <w:p w14:paraId="31CF8E49" w14:textId="77777777" w:rsidR="009260DE" w:rsidRPr="00711A45" w:rsidRDefault="009260DE" w:rsidP="009260DE">
      <w:pPr>
        <w:tabs>
          <w:tab w:val="left" w:pos="851"/>
        </w:tabs>
        <w:ind w:left="851"/>
        <w:rPr>
          <w:sz w:val="24"/>
          <w:szCs w:val="24"/>
        </w:rPr>
      </w:pPr>
    </w:p>
    <w:p w14:paraId="02924889" w14:textId="77777777" w:rsidR="009260DE" w:rsidRPr="00711A45" w:rsidRDefault="009260DE" w:rsidP="009260DE">
      <w:pPr>
        <w:tabs>
          <w:tab w:val="left" w:pos="851"/>
        </w:tabs>
        <w:ind w:left="851" w:hanging="851"/>
        <w:rPr>
          <w:b/>
          <w:sz w:val="24"/>
          <w:szCs w:val="24"/>
        </w:rPr>
      </w:pPr>
      <w:r w:rsidRPr="00711A45">
        <w:rPr>
          <w:b/>
          <w:sz w:val="24"/>
          <w:szCs w:val="24"/>
        </w:rPr>
        <w:t>6.5</w:t>
      </w:r>
      <w:r w:rsidRPr="00711A45">
        <w:rPr>
          <w:b/>
          <w:sz w:val="24"/>
          <w:szCs w:val="24"/>
        </w:rPr>
        <w:tab/>
        <w:t>Emballagetype og pakningsstørrelser</w:t>
      </w:r>
    </w:p>
    <w:p w14:paraId="206AC17A" w14:textId="77777777" w:rsidR="00D60CA9" w:rsidRPr="00711A45" w:rsidRDefault="00D60CA9" w:rsidP="00A36972">
      <w:pPr>
        <w:ind w:left="851"/>
        <w:rPr>
          <w:sz w:val="24"/>
          <w:szCs w:val="24"/>
          <w:lang w:eastAsia="de-DE"/>
        </w:rPr>
      </w:pPr>
      <w:r w:rsidRPr="00711A45">
        <w:rPr>
          <w:sz w:val="24"/>
          <w:szCs w:val="24"/>
        </w:rPr>
        <w:t>200 ml eller 250 ml oral suspension i en ravfarvet glasflaske (type III) med børnesikret lukning (polypropylen) i en papæske, der også indeholder en 10 ml oral sprøjte, som er gradueret for hver 0,25 ml (</w:t>
      </w:r>
      <w:proofErr w:type="spellStart"/>
      <w:r w:rsidRPr="00711A45">
        <w:rPr>
          <w:sz w:val="24"/>
          <w:szCs w:val="24"/>
        </w:rPr>
        <w:t>polyethylen</w:t>
      </w:r>
      <w:proofErr w:type="spellEnd"/>
      <w:r w:rsidRPr="00711A45">
        <w:rPr>
          <w:sz w:val="24"/>
          <w:szCs w:val="24"/>
        </w:rPr>
        <w:t>, polypropylen), og en adapter til den orale sprøjte.</w:t>
      </w:r>
    </w:p>
    <w:p w14:paraId="3A8D223D" w14:textId="77777777" w:rsidR="00D60CA9" w:rsidRPr="00711A45" w:rsidRDefault="00D60CA9" w:rsidP="00A36972">
      <w:pPr>
        <w:ind w:left="851"/>
        <w:rPr>
          <w:sz w:val="24"/>
          <w:szCs w:val="24"/>
        </w:rPr>
      </w:pPr>
    </w:p>
    <w:p w14:paraId="53674B7C" w14:textId="77777777" w:rsidR="00D60CA9" w:rsidRPr="00711A45" w:rsidRDefault="00D60CA9" w:rsidP="00A36972">
      <w:pPr>
        <w:ind w:left="851"/>
        <w:rPr>
          <w:sz w:val="24"/>
          <w:szCs w:val="24"/>
        </w:rPr>
      </w:pPr>
      <w:r w:rsidRPr="00711A45">
        <w:rPr>
          <w:sz w:val="24"/>
          <w:szCs w:val="24"/>
        </w:rPr>
        <w:t>Ikke alle pakningsstørrelser er nødvendigvis markedsført.</w:t>
      </w:r>
    </w:p>
    <w:p w14:paraId="211297E2" w14:textId="77777777" w:rsidR="009260DE" w:rsidRPr="00711A45" w:rsidRDefault="009260DE" w:rsidP="009260DE">
      <w:pPr>
        <w:tabs>
          <w:tab w:val="left" w:pos="851"/>
        </w:tabs>
        <w:ind w:left="851"/>
        <w:rPr>
          <w:sz w:val="24"/>
          <w:szCs w:val="24"/>
        </w:rPr>
      </w:pPr>
    </w:p>
    <w:p w14:paraId="615973EB" w14:textId="77777777" w:rsidR="009260DE" w:rsidRPr="00711A45" w:rsidRDefault="009260DE" w:rsidP="009260DE">
      <w:pPr>
        <w:tabs>
          <w:tab w:val="left" w:pos="851"/>
        </w:tabs>
        <w:ind w:left="851" w:hanging="851"/>
        <w:rPr>
          <w:b/>
          <w:sz w:val="24"/>
          <w:szCs w:val="24"/>
        </w:rPr>
      </w:pPr>
      <w:r w:rsidRPr="00711A45">
        <w:rPr>
          <w:b/>
          <w:sz w:val="24"/>
          <w:szCs w:val="24"/>
        </w:rPr>
        <w:t>6.6</w:t>
      </w:r>
      <w:r w:rsidRPr="00711A45">
        <w:rPr>
          <w:b/>
          <w:sz w:val="24"/>
          <w:szCs w:val="24"/>
        </w:rPr>
        <w:tab/>
        <w:t xml:space="preserve">Regler for </w:t>
      </w:r>
      <w:r w:rsidR="00BD7931" w:rsidRPr="00711A45">
        <w:rPr>
          <w:b/>
          <w:sz w:val="24"/>
          <w:szCs w:val="24"/>
        </w:rPr>
        <w:t>bortskaffelse</w:t>
      </w:r>
      <w:r w:rsidRPr="00711A45">
        <w:rPr>
          <w:b/>
          <w:sz w:val="24"/>
          <w:szCs w:val="24"/>
        </w:rPr>
        <w:t xml:space="preserve"> og anden håndtering</w:t>
      </w:r>
    </w:p>
    <w:p w14:paraId="3FC0EEC4" w14:textId="35F59E14" w:rsidR="009260DE" w:rsidRPr="00711A45" w:rsidRDefault="00D60CA9" w:rsidP="00A36972">
      <w:pPr>
        <w:ind w:left="851"/>
        <w:rPr>
          <w:sz w:val="24"/>
          <w:szCs w:val="24"/>
        </w:rPr>
      </w:pPr>
      <w:r w:rsidRPr="00711A45">
        <w:rPr>
          <w:sz w:val="24"/>
          <w:szCs w:val="24"/>
        </w:rPr>
        <w:t>Ikke anvendt lægemiddel samt affald heraf skal bortskaffes i henhold til lokale retningslinjer.</w:t>
      </w:r>
    </w:p>
    <w:p w14:paraId="67949A5C" w14:textId="77777777" w:rsidR="009260DE" w:rsidRPr="00711A45" w:rsidRDefault="009260DE" w:rsidP="000730CA">
      <w:pPr>
        <w:tabs>
          <w:tab w:val="left" w:pos="851"/>
        </w:tabs>
        <w:ind w:left="851"/>
        <w:rPr>
          <w:sz w:val="24"/>
          <w:szCs w:val="24"/>
        </w:rPr>
      </w:pPr>
    </w:p>
    <w:p w14:paraId="4AF2AE5D" w14:textId="77777777" w:rsidR="009260DE" w:rsidRPr="00711A45" w:rsidRDefault="009260DE" w:rsidP="009260DE">
      <w:pPr>
        <w:tabs>
          <w:tab w:val="left" w:pos="851"/>
        </w:tabs>
        <w:ind w:left="851" w:hanging="851"/>
        <w:rPr>
          <w:b/>
          <w:sz w:val="24"/>
          <w:szCs w:val="24"/>
        </w:rPr>
      </w:pPr>
      <w:r w:rsidRPr="00711A45">
        <w:rPr>
          <w:b/>
          <w:sz w:val="24"/>
          <w:szCs w:val="24"/>
        </w:rPr>
        <w:t>7.</w:t>
      </w:r>
      <w:r w:rsidRPr="00711A45">
        <w:rPr>
          <w:b/>
          <w:sz w:val="24"/>
          <w:szCs w:val="24"/>
        </w:rPr>
        <w:tab/>
        <w:t>INDEHAVER AF MARKEDSFØRINGSTILLADELSEN</w:t>
      </w:r>
    </w:p>
    <w:p w14:paraId="438EBA73" w14:textId="77777777" w:rsidR="00D60CA9" w:rsidRPr="00711A45" w:rsidRDefault="00D60CA9" w:rsidP="00A36972">
      <w:pPr>
        <w:ind w:left="851"/>
        <w:rPr>
          <w:sz w:val="24"/>
          <w:szCs w:val="24"/>
          <w:lang w:val="de-DE" w:eastAsia="de-DE"/>
        </w:rPr>
      </w:pPr>
      <w:proofErr w:type="spellStart"/>
      <w:r w:rsidRPr="00711A45">
        <w:rPr>
          <w:sz w:val="24"/>
          <w:szCs w:val="24"/>
          <w:lang w:val="de-DE"/>
        </w:rPr>
        <w:t>Desitin</w:t>
      </w:r>
      <w:proofErr w:type="spellEnd"/>
      <w:r w:rsidRPr="00711A45">
        <w:rPr>
          <w:sz w:val="24"/>
          <w:szCs w:val="24"/>
          <w:lang w:val="de-DE"/>
        </w:rPr>
        <w:t xml:space="preserve"> Arzneimittel GmbH</w:t>
      </w:r>
    </w:p>
    <w:p w14:paraId="5593B075" w14:textId="77777777" w:rsidR="00D60CA9" w:rsidRPr="00711A45" w:rsidRDefault="00D60CA9" w:rsidP="00A36972">
      <w:pPr>
        <w:ind w:left="851"/>
        <w:rPr>
          <w:sz w:val="24"/>
          <w:szCs w:val="24"/>
          <w:lang w:val="de-DE"/>
        </w:rPr>
      </w:pPr>
      <w:r w:rsidRPr="00711A45">
        <w:rPr>
          <w:sz w:val="24"/>
          <w:szCs w:val="24"/>
          <w:lang w:val="de-DE"/>
        </w:rPr>
        <w:t>Weg beim Jäger 214</w:t>
      </w:r>
    </w:p>
    <w:p w14:paraId="1DE55AD0" w14:textId="77777777" w:rsidR="00D60CA9" w:rsidRPr="00711A45" w:rsidRDefault="00D60CA9" w:rsidP="00A36972">
      <w:pPr>
        <w:ind w:left="851"/>
        <w:rPr>
          <w:sz w:val="24"/>
          <w:szCs w:val="24"/>
          <w:lang w:val="de-DE"/>
        </w:rPr>
      </w:pPr>
      <w:r w:rsidRPr="00711A45">
        <w:rPr>
          <w:sz w:val="24"/>
          <w:szCs w:val="24"/>
          <w:lang w:val="de-DE"/>
        </w:rPr>
        <w:t>D-22335 Hamburg</w:t>
      </w:r>
    </w:p>
    <w:p w14:paraId="02D99D08" w14:textId="467B1778" w:rsidR="00D60CA9" w:rsidRDefault="00D60CA9" w:rsidP="00A36972">
      <w:pPr>
        <w:ind w:left="851"/>
        <w:rPr>
          <w:sz w:val="24"/>
          <w:szCs w:val="24"/>
          <w:lang w:val="de-DE"/>
        </w:rPr>
      </w:pPr>
      <w:proofErr w:type="spellStart"/>
      <w:r w:rsidRPr="00711A45">
        <w:rPr>
          <w:sz w:val="24"/>
          <w:szCs w:val="24"/>
          <w:lang w:val="de-DE"/>
        </w:rPr>
        <w:t>Tyskland</w:t>
      </w:r>
      <w:proofErr w:type="spellEnd"/>
    </w:p>
    <w:p w14:paraId="7B403560" w14:textId="694C9B75" w:rsidR="004C39CF" w:rsidRDefault="004C39CF" w:rsidP="00A36972">
      <w:pPr>
        <w:ind w:left="851"/>
        <w:rPr>
          <w:sz w:val="24"/>
          <w:szCs w:val="24"/>
          <w:lang w:val="de-DE"/>
        </w:rPr>
      </w:pPr>
    </w:p>
    <w:p w14:paraId="3AF4D3D0" w14:textId="5ACFB779" w:rsidR="004C39CF" w:rsidRDefault="004C39CF" w:rsidP="00A36972">
      <w:pPr>
        <w:ind w:left="851"/>
        <w:rPr>
          <w:sz w:val="24"/>
          <w:szCs w:val="24"/>
          <w:lang w:val="de-DE"/>
        </w:rPr>
      </w:pPr>
      <w:proofErr w:type="spellStart"/>
      <w:r>
        <w:rPr>
          <w:b/>
          <w:sz w:val="24"/>
          <w:szCs w:val="24"/>
          <w:lang w:val="de-DE"/>
        </w:rPr>
        <w:t>Repræsentant</w:t>
      </w:r>
      <w:proofErr w:type="spellEnd"/>
    </w:p>
    <w:p w14:paraId="70BF456B" w14:textId="77777777" w:rsidR="004C39CF" w:rsidRPr="004C39CF" w:rsidRDefault="004C39CF" w:rsidP="004C39CF">
      <w:pPr>
        <w:ind w:left="851"/>
        <w:rPr>
          <w:sz w:val="24"/>
          <w:szCs w:val="24"/>
          <w:lang w:val="de-DE"/>
        </w:rPr>
      </w:pPr>
      <w:proofErr w:type="spellStart"/>
      <w:r w:rsidRPr="004C39CF">
        <w:rPr>
          <w:sz w:val="24"/>
          <w:szCs w:val="24"/>
          <w:lang w:val="de-DE"/>
        </w:rPr>
        <w:t>Desitin</w:t>
      </w:r>
      <w:proofErr w:type="spellEnd"/>
      <w:r w:rsidRPr="004C39CF">
        <w:rPr>
          <w:sz w:val="24"/>
          <w:szCs w:val="24"/>
          <w:lang w:val="de-DE"/>
        </w:rPr>
        <w:t xml:space="preserve"> </w:t>
      </w:r>
      <w:proofErr w:type="spellStart"/>
      <w:r w:rsidRPr="004C39CF">
        <w:rPr>
          <w:sz w:val="24"/>
          <w:szCs w:val="24"/>
          <w:lang w:val="de-DE"/>
        </w:rPr>
        <w:t>Pharma</w:t>
      </w:r>
      <w:proofErr w:type="spellEnd"/>
      <w:r w:rsidRPr="004C39CF">
        <w:rPr>
          <w:sz w:val="24"/>
          <w:szCs w:val="24"/>
          <w:lang w:val="de-DE"/>
        </w:rPr>
        <w:t xml:space="preserve"> A/S</w:t>
      </w:r>
    </w:p>
    <w:p w14:paraId="74D70FCE" w14:textId="77777777" w:rsidR="004C39CF" w:rsidRPr="004C39CF" w:rsidRDefault="004C39CF" w:rsidP="004C39CF">
      <w:pPr>
        <w:ind w:left="851"/>
        <w:rPr>
          <w:sz w:val="24"/>
          <w:szCs w:val="24"/>
          <w:lang w:val="de-DE"/>
        </w:rPr>
      </w:pPr>
      <w:proofErr w:type="spellStart"/>
      <w:r w:rsidRPr="004C39CF">
        <w:rPr>
          <w:sz w:val="24"/>
          <w:szCs w:val="24"/>
          <w:lang w:val="de-DE"/>
        </w:rPr>
        <w:t>Automatikvej</w:t>
      </w:r>
      <w:proofErr w:type="spellEnd"/>
      <w:r w:rsidRPr="004C39CF">
        <w:rPr>
          <w:sz w:val="24"/>
          <w:szCs w:val="24"/>
          <w:lang w:val="de-DE"/>
        </w:rPr>
        <w:t xml:space="preserve"> 1, 4.</w:t>
      </w:r>
    </w:p>
    <w:p w14:paraId="6DBE9045" w14:textId="0C1CE5D4" w:rsidR="004C39CF" w:rsidRPr="004C39CF" w:rsidRDefault="004C39CF" w:rsidP="004C39CF">
      <w:pPr>
        <w:ind w:left="851"/>
        <w:rPr>
          <w:sz w:val="24"/>
          <w:szCs w:val="24"/>
          <w:lang w:val="de-DE"/>
        </w:rPr>
      </w:pPr>
      <w:r w:rsidRPr="004C39CF">
        <w:rPr>
          <w:sz w:val="24"/>
          <w:szCs w:val="24"/>
          <w:lang w:val="de-DE"/>
        </w:rPr>
        <w:t xml:space="preserve">2860 </w:t>
      </w:r>
      <w:proofErr w:type="spellStart"/>
      <w:r w:rsidRPr="004C39CF">
        <w:rPr>
          <w:sz w:val="24"/>
          <w:szCs w:val="24"/>
          <w:lang w:val="de-DE"/>
        </w:rPr>
        <w:t>Søborg</w:t>
      </w:r>
      <w:proofErr w:type="spellEnd"/>
    </w:p>
    <w:p w14:paraId="19E8E5B1" w14:textId="77777777" w:rsidR="00641C65" w:rsidRPr="00711A45" w:rsidRDefault="00641C65" w:rsidP="009260DE">
      <w:pPr>
        <w:tabs>
          <w:tab w:val="left" w:pos="851"/>
        </w:tabs>
        <w:ind w:left="851"/>
        <w:rPr>
          <w:sz w:val="24"/>
          <w:szCs w:val="24"/>
        </w:rPr>
      </w:pPr>
    </w:p>
    <w:p w14:paraId="16C07F89" w14:textId="77777777" w:rsidR="009260DE" w:rsidRPr="00711A45" w:rsidRDefault="009260DE" w:rsidP="009260DE">
      <w:pPr>
        <w:tabs>
          <w:tab w:val="left" w:pos="851"/>
        </w:tabs>
        <w:ind w:left="851" w:hanging="851"/>
        <w:rPr>
          <w:b/>
          <w:sz w:val="24"/>
          <w:szCs w:val="24"/>
        </w:rPr>
      </w:pPr>
      <w:r w:rsidRPr="00711A45">
        <w:rPr>
          <w:b/>
          <w:sz w:val="24"/>
          <w:szCs w:val="24"/>
        </w:rPr>
        <w:t>8.</w:t>
      </w:r>
      <w:r w:rsidRPr="00711A45">
        <w:rPr>
          <w:b/>
          <w:sz w:val="24"/>
          <w:szCs w:val="24"/>
        </w:rPr>
        <w:tab/>
        <w:t>MARKEDSFØRINGSTILLADELSESNUMMER (</w:t>
      </w:r>
      <w:r w:rsidR="00BF6243" w:rsidRPr="00711A45">
        <w:rPr>
          <w:b/>
          <w:sz w:val="24"/>
          <w:szCs w:val="24"/>
        </w:rPr>
        <w:t>-</w:t>
      </w:r>
      <w:r w:rsidRPr="00711A45">
        <w:rPr>
          <w:b/>
          <w:sz w:val="24"/>
          <w:szCs w:val="24"/>
        </w:rPr>
        <w:t>NUMRE)</w:t>
      </w:r>
    </w:p>
    <w:p w14:paraId="2166E1D6" w14:textId="4681DC53" w:rsidR="00E60BF9" w:rsidRDefault="00D60CA9" w:rsidP="004C39CF">
      <w:pPr>
        <w:tabs>
          <w:tab w:val="left" w:pos="851"/>
        </w:tabs>
        <w:ind w:left="851"/>
        <w:rPr>
          <w:sz w:val="24"/>
          <w:szCs w:val="24"/>
        </w:rPr>
      </w:pPr>
      <w:r w:rsidRPr="00711A45">
        <w:rPr>
          <w:sz w:val="24"/>
          <w:szCs w:val="24"/>
        </w:rPr>
        <w:t>69721</w:t>
      </w:r>
      <w:bookmarkStart w:id="1" w:name="_GoBack"/>
      <w:bookmarkEnd w:id="1"/>
    </w:p>
    <w:p w14:paraId="6AE7C8F3" w14:textId="77777777" w:rsidR="009260DE" w:rsidRPr="00711A45" w:rsidRDefault="009260DE" w:rsidP="009260DE">
      <w:pPr>
        <w:tabs>
          <w:tab w:val="left" w:pos="851"/>
        </w:tabs>
        <w:ind w:left="851"/>
        <w:jc w:val="both"/>
        <w:rPr>
          <w:sz w:val="24"/>
          <w:szCs w:val="24"/>
        </w:rPr>
      </w:pPr>
    </w:p>
    <w:p w14:paraId="02F291CF" w14:textId="77777777" w:rsidR="009260DE" w:rsidRPr="00711A45" w:rsidRDefault="009260DE" w:rsidP="009260DE">
      <w:pPr>
        <w:tabs>
          <w:tab w:val="left" w:pos="851"/>
        </w:tabs>
        <w:ind w:left="851" w:hanging="851"/>
        <w:rPr>
          <w:b/>
          <w:sz w:val="24"/>
          <w:szCs w:val="24"/>
        </w:rPr>
      </w:pPr>
      <w:r w:rsidRPr="00711A45">
        <w:rPr>
          <w:b/>
          <w:sz w:val="24"/>
          <w:szCs w:val="24"/>
        </w:rPr>
        <w:t>9.</w:t>
      </w:r>
      <w:r w:rsidRPr="00711A45">
        <w:rPr>
          <w:b/>
          <w:sz w:val="24"/>
          <w:szCs w:val="24"/>
        </w:rPr>
        <w:tab/>
        <w:t>DATO FOR FØRSTE MARKEDSFØRINGSTILLADELSE</w:t>
      </w:r>
    </w:p>
    <w:p w14:paraId="2ED0551E" w14:textId="4942D236" w:rsidR="009260DE" w:rsidRPr="00711A45" w:rsidRDefault="00096985" w:rsidP="009260DE">
      <w:pPr>
        <w:tabs>
          <w:tab w:val="left" w:pos="851"/>
        </w:tabs>
        <w:ind w:left="851"/>
        <w:rPr>
          <w:sz w:val="24"/>
          <w:szCs w:val="24"/>
        </w:rPr>
      </w:pPr>
      <w:r>
        <w:rPr>
          <w:sz w:val="24"/>
          <w:szCs w:val="24"/>
        </w:rPr>
        <w:t>15. maj 2024</w:t>
      </w:r>
    </w:p>
    <w:p w14:paraId="095E2C1B" w14:textId="77777777" w:rsidR="009260DE" w:rsidRPr="00711A45" w:rsidRDefault="009260DE" w:rsidP="009260DE">
      <w:pPr>
        <w:tabs>
          <w:tab w:val="left" w:pos="851"/>
        </w:tabs>
        <w:ind w:left="851"/>
        <w:rPr>
          <w:sz w:val="24"/>
          <w:szCs w:val="24"/>
        </w:rPr>
      </w:pPr>
    </w:p>
    <w:p w14:paraId="7CCEC7DE" w14:textId="77777777" w:rsidR="009260DE" w:rsidRPr="00711A45" w:rsidRDefault="009260DE" w:rsidP="009260DE">
      <w:pPr>
        <w:tabs>
          <w:tab w:val="left" w:pos="851"/>
        </w:tabs>
        <w:ind w:left="851" w:hanging="851"/>
        <w:rPr>
          <w:b/>
          <w:sz w:val="24"/>
          <w:szCs w:val="24"/>
        </w:rPr>
      </w:pPr>
      <w:r w:rsidRPr="00711A45">
        <w:rPr>
          <w:b/>
          <w:sz w:val="24"/>
          <w:szCs w:val="24"/>
        </w:rPr>
        <w:t>10.</w:t>
      </w:r>
      <w:r w:rsidRPr="00711A45">
        <w:rPr>
          <w:b/>
          <w:sz w:val="24"/>
          <w:szCs w:val="24"/>
        </w:rPr>
        <w:tab/>
        <w:t>DATO FOR ÆNDRING AF TEKSTEN</w:t>
      </w:r>
    </w:p>
    <w:p w14:paraId="23D69B77" w14:textId="22E1AB73" w:rsidR="009260DE" w:rsidRPr="00711A45" w:rsidRDefault="004C39CF" w:rsidP="009260DE">
      <w:pPr>
        <w:tabs>
          <w:tab w:val="left" w:pos="851"/>
        </w:tabs>
        <w:ind w:left="851"/>
        <w:rPr>
          <w:sz w:val="24"/>
          <w:szCs w:val="24"/>
        </w:rPr>
      </w:pPr>
      <w:r>
        <w:rPr>
          <w:sz w:val="24"/>
          <w:szCs w:val="24"/>
        </w:rPr>
        <w:t>9. oktober 2024</w:t>
      </w:r>
    </w:p>
    <w:sectPr w:rsidR="009260DE" w:rsidRPr="00711A4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BF972" w14:textId="77777777" w:rsidR="00565841" w:rsidRDefault="00565841">
      <w:r>
        <w:separator/>
      </w:r>
    </w:p>
  </w:endnote>
  <w:endnote w:type="continuationSeparator" w:id="0">
    <w:p w14:paraId="5250EABC" w14:textId="77777777" w:rsidR="00565841" w:rsidRDefault="0056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A362" w14:textId="77777777" w:rsidR="000259B9" w:rsidRDefault="000259B9">
    <w:pPr>
      <w:pStyle w:val="Sidefod"/>
      <w:pBdr>
        <w:bottom w:val="single" w:sz="6" w:space="1" w:color="auto"/>
      </w:pBdr>
    </w:pPr>
  </w:p>
  <w:p w14:paraId="48B29EA6" w14:textId="77777777" w:rsidR="000259B9" w:rsidRDefault="000259B9" w:rsidP="00C42586">
    <w:pPr>
      <w:pStyle w:val="Sidefod"/>
      <w:tabs>
        <w:tab w:val="clear" w:pos="4819"/>
        <w:tab w:val="left" w:pos="8505"/>
      </w:tabs>
      <w:rPr>
        <w:i/>
        <w:sz w:val="18"/>
        <w:szCs w:val="18"/>
      </w:rPr>
    </w:pPr>
  </w:p>
  <w:p w14:paraId="077D1B0E" w14:textId="2480AB3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96985">
      <w:rPr>
        <w:i/>
        <w:noProof/>
        <w:sz w:val="18"/>
        <w:szCs w:val="18"/>
      </w:rPr>
      <w:t>Ospolot, oral suspension 20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E1001" w14:textId="77777777" w:rsidR="00565841" w:rsidRDefault="00565841">
      <w:r>
        <w:separator/>
      </w:r>
    </w:p>
  </w:footnote>
  <w:footnote w:type="continuationSeparator" w:id="0">
    <w:p w14:paraId="02C77606" w14:textId="77777777" w:rsidR="00565841" w:rsidRDefault="00565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0066254"/>
    <w:multiLevelType w:val="hybridMultilevel"/>
    <w:tmpl w:val="EF16A96E"/>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743431A7"/>
    <w:multiLevelType w:val="hybridMultilevel"/>
    <w:tmpl w:val="03D41482"/>
    <w:lvl w:ilvl="0" w:tplc="FFFFFFFF">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41"/>
    <w:rsid w:val="000259B9"/>
    <w:rsid w:val="00041491"/>
    <w:rsid w:val="00050D16"/>
    <w:rsid w:val="000730CA"/>
    <w:rsid w:val="00074F2A"/>
    <w:rsid w:val="00096985"/>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C39CF"/>
    <w:rsid w:val="004E3B12"/>
    <w:rsid w:val="00532310"/>
    <w:rsid w:val="00565841"/>
    <w:rsid w:val="00565F0F"/>
    <w:rsid w:val="00594A86"/>
    <w:rsid w:val="00596D86"/>
    <w:rsid w:val="00637F5A"/>
    <w:rsid w:val="00641C65"/>
    <w:rsid w:val="006560B1"/>
    <w:rsid w:val="006756DD"/>
    <w:rsid w:val="00711A45"/>
    <w:rsid w:val="0071241E"/>
    <w:rsid w:val="00737275"/>
    <w:rsid w:val="00740EEC"/>
    <w:rsid w:val="0078011A"/>
    <w:rsid w:val="00782AF4"/>
    <w:rsid w:val="00790EE7"/>
    <w:rsid w:val="007B6649"/>
    <w:rsid w:val="0082576E"/>
    <w:rsid w:val="0089346F"/>
    <w:rsid w:val="00907F75"/>
    <w:rsid w:val="009260DE"/>
    <w:rsid w:val="0093258A"/>
    <w:rsid w:val="009C7BA3"/>
    <w:rsid w:val="009D1F5A"/>
    <w:rsid w:val="009F49CB"/>
    <w:rsid w:val="00A10294"/>
    <w:rsid w:val="00A36972"/>
    <w:rsid w:val="00AE11EB"/>
    <w:rsid w:val="00B003BF"/>
    <w:rsid w:val="00B22D75"/>
    <w:rsid w:val="00B373D7"/>
    <w:rsid w:val="00B55271"/>
    <w:rsid w:val="00BD7931"/>
    <w:rsid w:val="00BF6243"/>
    <w:rsid w:val="00C36276"/>
    <w:rsid w:val="00C42586"/>
    <w:rsid w:val="00C45F6B"/>
    <w:rsid w:val="00C60CCD"/>
    <w:rsid w:val="00C84483"/>
    <w:rsid w:val="00C95551"/>
    <w:rsid w:val="00CB20D7"/>
    <w:rsid w:val="00CF1B16"/>
    <w:rsid w:val="00D020B0"/>
    <w:rsid w:val="00D11748"/>
    <w:rsid w:val="00D237F6"/>
    <w:rsid w:val="00D34D98"/>
    <w:rsid w:val="00D366CF"/>
    <w:rsid w:val="00D60CA9"/>
    <w:rsid w:val="00D93992"/>
    <w:rsid w:val="00E108AA"/>
    <w:rsid w:val="00E3749A"/>
    <w:rsid w:val="00E60BF9"/>
    <w:rsid w:val="00E7437F"/>
    <w:rsid w:val="00E865B8"/>
    <w:rsid w:val="00EC0B9B"/>
    <w:rsid w:val="00ED5E9F"/>
    <w:rsid w:val="00F66D4F"/>
    <w:rsid w:val="00F8704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56910"/>
  <w15:chartTrackingRefBased/>
  <w15:docId w15:val="{A091151D-5A7C-41D8-B006-29550C85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1Tegn">
    <w:name w:val="Overskrift 1 Tegn"/>
    <w:basedOn w:val="Standardskrifttypeiafsnit"/>
    <w:link w:val="Overskrift1"/>
    <w:uiPriority w:val="99"/>
    <w:rsid w:val="00D60CA9"/>
    <w:rPr>
      <w:rFonts w:ascii="Arial" w:hAnsi="Arial"/>
      <w:b/>
      <w:kern w:val="28"/>
      <w:sz w:val="28"/>
      <w:lang w:eastAsia="en-US"/>
    </w:rPr>
  </w:style>
  <w:style w:type="character" w:customStyle="1" w:styleId="SidefodTegn">
    <w:name w:val="Sidefod Tegn"/>
    <w:basedOn w:val="Standardskrifttypeiafsnit"/>
    <w:link w:val="Sidefod"/>
    <w:uiPriority w:val="99"/>
    <w:rsid w:val="00D60CA9"/>
    <w:rPr>
      <w:sz w:val="23"/>
      <w:lang w:eastAsia="en-US"/>
    </w:rPr>
  </w:style>
  <w:style w:type="character" w:styleId="Hyperlink">
    <w:name w:val="Hyperlink"/>
    <w:uiPriority w:val="99"/>
    <w:semiHidden/>
    <w:unhideWhenUsed/>
    <w:rsid w:val="00D60CA9"/>
    <w:rPr>
      <w:color w:val="0000FF"/>
      <w:u w:val="single"/>
    </w:rPr>
  </w:style>
  <w:style w:type="paragraph" w:styleId="Listeafsnit">
    <w:name w:val="List Paragraph"/>
    <w:basedOn w:val="Normal"/>
    <w:uiPriority w:val="34"/>
    <w:qFormat/>
    <w:rsid w:val="00711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7129">
      <w:bodyDiv w:val="1"/>
      <w:marLeft w:val="0"/>
      <w:marRight w:val="0"/>
      <w:marTop w:val="0"/>
      <w:marBottom w:val="0"/>
      <w:divBdr>
        <w:top w:val="none" w:sz="0" w:space="0" w:color="auto"/>
        <w:left w:val="none" w:sz="0" w:space="0" w:color="auto"/>
        <w:bottom w:val="none" w:sz="0" w:space="0" w:color="auto"/>
        <w:right w:val="none" w:sz="0" w:space="0" w:color="auto"/>
      </w:divBdr>
    </w:div>
    <w:div w:id="1327990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4852513">
      <w:bodyDiv w:val="1"/>
      <w:marLeft w:val="0"/>
      <w:marRight w:val="0"/>
      <w:marTop w:val="0"/>
      <w:marBottom w:val="0"/>
      <w:divBdr>
        <w:top w:val="none" w:sz="0" w:space="0" w:color="auto"/>
        <w:left w:val="none" w:sz="0" w:space="0" w:color="auto"/>
        <w:bottom w:val="none" w:sz="0" w:space="0" w:color="auto"/>
        <w:right w:val="none" w:sz="0" w:space="0" w:color="auto"/>
      </w:divBdr>
    </w:div>
    <w:div w:id="343287702">
      <w:bodyDiv w:val="1"/>
      <w:marLeft w:val="0"/>
      <w:marRight w:val="0"/>
      <w:marTop w:val="0"/>
      <w:marBottom w:val="0"/>
      <w:divBdr>
        <w:top w:val="none" w:sz="0" w:space="0" w:color="auto"/>
        <w:left w:val="none" w:sz="0" w:space="0" w:color="auto"/>
        <w:bottom w:val="none" w:sz="0" w:space="0" w:color="auto"/>
        <w:right w:val="none" w:sz="0" w:space="0" w:color="auto"/>
      </w:divBdr>
    </w:div>
    <w:div w:id="388114034">
      <w:bodyDiv w:val="1"/>
      <w:marLeft w:val="0"/>
      <w:marRight w:val="0"/>
      <w:marTop w:val="0"/>
      <w:marBottom w:val="0"/>
      <w:divBdr>
        <w:top w:val="none" w:sz="0" w:space="0" w:color="auto"/>
        <w:left w:val="none" w:sz="0" w:space="0" w:color="auto"/>
        <w:bottom w:val="none" w:sz="0" w:space="0" w:color="auto"/>
        <w:right w:val="none" w:sz="0" w:space="0" w:color="auto"/>
      </w:divBdr>
    </w:div>
    <w:div w:id="566696474">
      <w:bodyDiv w:val="1"/>
      <w:marLeft w:val="0"/>
      <w:marRight w:val="0"/>
      <w:marTop w:val="0"/>
      <w:marBottom w:val="0"/>
      <w:divBdr>
        <w:top w:val="none" w:sz="0" w:space="0" w:color="auto"/>
        <w:left w:val="none" w:sz="0" w:space="0" w:color="auto"/>
        <w:bottom w:val="none" w:sz="0" w:space="0" w:color="auto"/>
        <w:right w:val="none" w:sz="0" w:space="0" w:color="auto"/>
      </w:divBdr>
    </w:div>
    <w:div w:id="640040069">
      <w:bodyDiv w:val="1"/>
      <w:marLeft w:val="0"/>
      <w:marRight w:val="0"/>
      <w:marTop w:val="0"/>
      <w:marBottom w:val="0"/>
      <w:divBdr>
        <w:top w:val="none" w:sz="0" w:space="0" w:color="auto"/>
        <w:left w:val="none" w:sz="0" w:space="0" w:color="auto"/>
        <w:bottom w:val="none" w:sz="0" w:space="0" w:color="auto"/>
        <w:right w:val="none" w:sz="0" w:space="0" w:color="auto"/>
      </w:divBdr>
    </w:div>
    <w:div w:id="659430679">
      <w:bodyDiv w:val="1"/>
      <w:marLeft w:val="0"/>
      <w:marRight w:val="0"/>
      <w:marTop w:val="0"/>
      <w:marBottom w:val="0"/>
      <w:divBdr>
        <w:top w:val="none" w:sz="0" w:space="0" w:color="auto"/>
        <w:left w:val="none" w:sz="0" w:space="0" w:color="auto"/>
        <w:bottom w:val="none" w:sz="0" w:space="0" w:color="auto"/>
        <w:right w:val="none" w:sz="0" w:space="0" w:color="auto"/>
      </w:divBdr>
    </w:div>
    <w:div w:id="788865345">
      <w:bodyDiv w:val="1"/>
      <w:marLeft w:val="0"/>
      <w:marRight w:val="0"/>
      <w:marTop w:val="0"/>
      <w:marBottom w:val="0"/>
      <w:divBdr>
        <w:top w:val="none" w:sz="0" w:space="0" w:color="auto"/>
        <w:left w:val="none" w:sz="0" w:space="0" w:color="auto"/>
        <w:bottom w:val="none" w:sz="0" w:space="0" w:color="auto"/>
        <w:right w:val="none" w:sz="0" w:space="0" w:color="auto"/>
      </w:divBdr>
    </w:div>
    <w:div w:id="1086147372">
      <w:bodyDiv w:val="1"/>
      <w:marLeft w:val="0"/>
      <w:marRight w:val="0"/>
      <w:marTop w:val="0"/>
      <w:marBottom w:val="0"/>
      <w:divBdr>
        <w:top w:val="none" w:sz="0" w:space="0" w:color="auto"/>
        <w:left w:val="none" w:sz="0" w:space="0" w:color="auto"/>
        <w:bottom w:val="none" w:sz="0" w:space="0" w:color="auto"/>
        <w:right w:val="none" w:sz="0" w:space="0" w:color="auto"/>
      </w:divBdr>
    </w:div>
    <w:div w:id="1149251173">
      <w:bodyDiv w:val="1"/>
      <w:marLeft w:val="0"/>
      <w:marRight w:val="0"/>
      <w:marTop w:val="0"/>
      <w:marBottom w:val="0"/>
      <w:divBdr>
        <w:top w:val="none" w:sz="0" w:space="0" w:color="auto"/>
        <w:left w:val="none" w:sz="0" w:space="0" w:color="auto"/>
        <w:bottom w:val="none" w:sz="0" w:space="0" w:color="auto"/>
        <w:right w:val="none" w:sz="0" w:space="0" w:color="auto"/>
      </w:divBdr>
    </w:div>
    <w:div w:id="1229222511">
      <w:bodyDiv w:val="1"/>
      <w:marLeft w:val="0"/>
      <w:marRight w:val="0"/>
      <w:marTop w:val="0"/>
      <w:marBottom w:val="0"/>
      <w:divBdr>
        <w:top w:val="none" w:sz="0" w:space="0" w:color="auto"/>
        <w:left w:val="none" w:sz="0" w:space="0" w:color="auto"/>
        <w:bottom w:val="none" w:sz="0" w:space="0" w:color="auto"/>
        <w:right w:val="none" w:sz="0" w:space="0" w:color="auto"/>
      </w:divBdr>
    </w:div>
    <w:div w:id="1296637644">
      <w:bodyDiv w:val="1"/>
      <w:marLeft w:val="0"/>
      <w:marRight w:val="0"/>
      <w:marTop w:val="0"/>
      <w:marBottom w:val="0"/>
      <w:divBdr>
        <w:top w:val="none" w:sz="0" w:space="0" w:color="auto"/>
        <w:left w:val="none" w:sz="0" w:space="0" w:color="auto"/>
        <w:bottom w:val="none" w:sz="0" w:space="0" w:color="auto"/>
        <w:right w:val="none" w:sz="0" w:space="0" w:color="auto"/>
      </w:divBdr>
    </w:div>
    <w:div w:id="1366326972">
      <w:bodyDiv w:val="1"/>
      <w:marLeft w:val="0"/>
      <w:marRight w:val="0"/>
      <w:marTop w:val="0"/>
      <w:marBottom w:val="0"/>
      <w:divBdr>
        <w:top w:val="none" w:sz="0" w:space="0" w:color="auto"/>
        <w:left w:val="none" w:sz="0" w:space="0" w:color="auto"/>
        <w:bottom w:val="none" w:sz="0" w:space="0" w:color="auto"/>
        <w:right w:val="none" w:sz="0" w:space="0" w:color="auto"/>
      </w:divBdr>
    </w:div>
    <w:div w:id="1408845097">
      <w:bodyDiv w:val="1"/>
      <w:marLeft w:val="0"/>
      <w:marRight w:val="0"/>
      <w:marTop w:val="0"/>
      <w:marBottom w:val="0"/>
      <w:divBdr>
        <w:top w:val="none" w:sz="0" w:space="0" w:color="auto"/>
        <w:left w:val="none" w:sz="0" w:space="0" w:color="auto"/>
        <w:bottom w:val="none" w:sz="0" w:space="0" w:color="auto"/>
        <w:right w:val="none" w:sz="0" w:space="0" w:color="auto"/>
      </w:divBdr>
    </w:div>
    <w:div w:id="1429229489">
      <w:bodyDiv w:val="1"/>
      <w:marLeft w:val="0"/>
      <w:marRight w:val="0"/>
      <w:marTop w:val="0"/>
      <w:marBottom w:val="0"/>
      <w:divBdr>
        <w:top w:val="none" w:sz="0" w:space="0" w:color="auto"/>
        <w:left w:val="none" w:sz="0" w:space="0" w:color="auto"/>
        <w:bottom w:val="none" w:sz="0" w:space="0" w:color="auto"/>
        <w:right w:val="none" w:sz="0" w:space="0" w:color="auto"/>
      </w:divBdr>
    </w:div>
    <w:div w:id="1462311261">
      <w:bodyDiv w:val="1"/>
      <w:marLeft w:val="0"/>
      <w:marRight w:val="0"/>
      <w:marTop w:val="0"/>
      <w:marBottom w:val="0"/>
      <w:divBdr>
        <w:top w:val="none" w:sz="0" w:space="0" w:color="auto"/>
        <w:left w:val="none" w:sz="0" w:space="0" w:color="auto"/>
        <w:bottom w:val="none" w:sz="0" w:space="0" w:color="auto"/>
        <w:right w:val="none" w:sz="0" w:space="0" w:color="auto"/>
      </w:divBdr>
    </w:div>
    <w:div w:id="1468402057">
      <w:bodyDiv w:val="1"/>
      <w:marLeft w:val="0"/>
      <w:marRight w:val="0"/>
      <w:marTop w:val="0"/>
      <w:marBottom w:val="0"/>
      <w:divBdr>
        <w:top w:val="none" w:sz="0" w:space="0" w:color="auto"/>
        <w:left w:val="none" w:sz="0" w:space="0" w:color="auto"/>
        <w:bottom w:val="none" w:sz="0" w:space="0" w:color="auto"/>
        <w:right w:val="none" w:sz="0" w:space="0" w:color="auto"/>
      </w:divBdr>
    </w:div>
    <w:div w:id="1891914676">
      <w:bodyDiv w:val="1"/>
      <w:marLeft w:val="0"/>
      <w:marRight w:val="0"/>
      <w:marTop w:val="0"/>
      <w:marBottom w:val="0"/>
      <w:divBdr>
        <w:top w:val="none" w:sz="0" w:space="0" w:color="auto"/>
        <w:left w:val="none" w:sz="0" w:space="0" w:color="auto"/>
        <w:bottom w:val="none" w:sz="0" w:space="0" w:color="auto"/>
        <w:right w:val="none" w:sz="0" w:space="0" w:color="auto"/>
      </w:divBdr>
    </w:div>
    <w:div w:id="2022269113">
      <w:bodyDiv w:val="1"/>
      <w:marLeft w:val="0"/>
      <w:marRight w:val="0"/>
      <w:marTop w:val="0"/>
      <w:marBottom w:val="0"/>
      <w:divBdr>
        <w:top w:val="none" w:sz="0" w:space="0" w:color="auto"/>
        <w:left w:val="none" w:sz="0" w:space="0" w:color="auto"/>
        <w:bottom w:val="none" w:sz="0" w:space="0" w:color="auto"/>
        <w:right w:val="none" w:sz="0" w:space="0" w:color="auto"/>
      </w:divBdr>
    </w:div>
    <w:div w:id="20582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10</Pages>
  <Words>2389</Words>
  <Characters>15657</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2024093726_x000d_
Tilføjelse af lokal repræsentant</dc:description>
  <cp:lastModifiedBy>Marianne Ott Jensen</cp:lastModifiedBy>
  <cp:revision>5</cp:revision>
  <cp:lastPrinted>2012-08-22T08:53:00Z</cp:lastPrinted>
  <dcterms:created xsi:type="dcterms:W3CDTF">2024-10-09T11:16:00Z</dcterms:created>
  <dcterms:modified xsi:type="dcterms:W3CDTF">2024-10-09T11:18:00Z</dcterms:modified>
</cp:coreProperties>
</file>