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B054D" w14:textId="6400726F" w:rsidR="009260DE" w:rsidRPr="000C548C" w:rsidRDefault="0021526C" w:rsidP="009C67AF">
      <w:pPr>
        <w:rPr>
          <w:b/>
          <w:sz w:val="24"/>
          <w:szCs w:val="24"/>
        </w:rPr>
      </w:pPr>
      <w:bookmarkStart w:id="0" w:name="_GoBack"/>
      <w:bookmarkEnd w:id="0"/>
      <w:r w:rsidRPr="000C548C">
        <w:rPr>
          <w:noProof/>
          <w:sz w:val="24"/>
          <w:szCs w:val="24"/>
          <w:lang w:eastAsia="da-DK"/>
        </w:rPr>
        <w:drawing>
          <wp:anchor distT="0" distB="0" distL="114300" distR="114300" simplePos="0" relativeHeight="251658240" behindDoc="0" locked="0" layoutInCell="1" allowOverlap="1" wp14:anchorId="542307AE" wp14:editId="5EEA808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C548C">
        <w:rPr>
          <w:sz w:val="24"/>
          <w:szCs w:val="24"/>
        </w:rPr>
        <w:br w:type="textWrapping" w:clear="all"/>
      </w:r>
    </w:p>
    <w:p w14:paraId="1606F92C" w14:textId="4A043504" w:rsidR="009260DE" w:rsidRPr="000C548C" w:rsidRDefault="009260DE" w:rsidP="009260DE">
      <w:pPr>
        <w:pStyle w:val="Titel"/>
        <w:tabs>
          <w:tab w:val="right" w:pos="9356"/>
        </w:tabs>
        <w:jc w:val="left"/>
        <w:rPr>
          <w:b w:val="0"/>
          <w:szCs w:val="24"/>
          <w:lang w:eastAsia="en-US"/>
        </w:rPr>
      </w:pPr>
      <w:r w:rsidRPr="000C548C">
        <w:rPr>
          <w:b w:val="0"/>
          <w:szCs w:val="24"/>
          <w:lang w:eastAsia="en-US"/>
        </w:rPr>
        <w:tab/>
      </w:r>
      <w:r w:rsidR="00AF4986">
        <w:rPr>
          <w:szCs w:val="24"/>
        </w:rPr>
        <w:t>16. december 2025</w:t>
      </w:r>
    </w:p>
    <w:p w14:paraId="2491C82F" w14:textId="77777777" w:rsidR="009260DE" w:rsidRPr="000C548C" w:rsidRDefault="009260DE" w:rsidP="009260DE">
      <w:pPr>
        <w:pStyle w:val="Titel"/>
        <w:tabs>
          <w:tab w:val="left" w:pos="8222"/>
        </w:tabs>
        <w:jc w:val="left"/>
        <w:rPr>
          <w:b w:val="0"/>
          <w:szCs w:val="24"/>
        </w:rPr>
      </w:pPr>
    </w:p>
    <w:p w14:paraId="07B96A3A" w14:textId="77777777" w:rsidR="009260DE" w:rsidRPr="000C548C" w:rsidRDefault="009260DE" w:rsidP="009260DE">
      <w:pPr>
        <w:pStyle w:val="Titel"/>
        <w:jc w:val="left"/>
        <w:rPr>
          <w:b w:val="0"/>
          <w:szCs w:val="24"/>
        </w:rPr>
      </w:pPr>
    </w:p>
    <w:p w14:paraId="3731F3B9" w14:textId="4D251D1D" w:rsidR="00694C7E" w:rsidRPr="000C548C" w:rsidRDefault="00694C7E" w:rsidP="009260DE">
      <w:pPr>
        <w:pStyle w:val="Titel"/>
        <w:jc w:val="left"/>
        <w:rPr>
          <w:b w:val="0"/>
          <w:szCs w:val="24"/>
        </w:rPr>
      </w:pPr>
    </w:p>
    <w:p w14:paraId="26C96F3A" w14:textId="77777777" w:rsidR="009260DE" w:rsidRPr="000C548C" w:rsidRDefault="009260DE" w:rsidP="009260DE">
      <w:pPr>
        <w:jc w:val="center"/>
        <w:rPr>
          <w:b/>
          <w:sz w:val="24"/>
          <w:szCs w:val="24"/>
        </w:rPr>
      </w:pPr>
      <w:r w:rsidRPr="000C548C">
        <w:rPr>
          <w:b/>
          <w:sz w:val="24"/>
          <w:szCs w:val="24"/>
        </w:rPr>
        <w:t>PRODUKTRESUMÉ</w:t>
      </w:r>
    </w:p>
    <w:p w14:paraId="18BCBE71" w14:textId="77777777" w:rsidR="009260DE" w:rsidRPr="000C548C" w:rsidRDefault="009260DE" w:rsidP="009260DE">
      <w:pPr>
        <w:jc w:val="center"/>
        <w:rPr>
          <w:b/>
          <w:sz w:val="24"/>
          <w:szCs w:val="24"/>
        </w:rPr>
      </w:pPr>
    </w:p>
    <w:p w14:paraId="1BE2BBA3" w14:textId="77777777" w:rsidR="009260DE" w:rsidRPr="000C548C" w:rsidRDefault="009260DE" w:rsidP="009260DE">
      <w:pPr>
        <w:jc w:val="center"/>
        <w:rPr>
          <w:b/>
          <w:sz w:val="24"/>
          <w:szCs w:val="24"/>
        </w:rPr>
      </w:pPr>
      <w:r w:rsidRPr="000C548C">
        <w:rPr>
          <w:b/>
          <w:sz w:val="24"/>
          <w:szCs w:val="24"/>
        </w:rPr>
        <w:t>for</w:t>
      </w:r>
    </w:p>
    <w:p w14:paraId="644513BC" w14:textId="77777777" w:rsidR="000B058C" w:rsidRPr="000C548C" w:rsidRDefault="000B058C" w:rsidP="009260DE">
      <w:pPr>
        <w:jc w:val="center"/>
        <w:rPr>
          <w:b/>
          <w:sz w:val="24"/>
          <w:szCs w:val="24"/>
        </w:rPr>
      </w:pPr>
    </w:p>
    <w:p w14:paraId="491303FD" w14:textId="6A66B435" w:rsidR="009260DE" w:rsidRPr="000C548C" w:rsidRDefault="00C139CF" w:rsidP="009260DE">
      <w:pPr>
        <w:jc w:val="center"/>
        <w:rPr>
          <w:b/>
          <w:sz w:val="24"/>
          <w:szCs w:val="24"/>
        </w:rPr>
      </w:pPr>
      <w:proofErr w:type="spellStart"/>
      <w:r w:rsidRPr="000C548C">
        <w:rPr>
          <w:b/>
          <w:sz w:val="24"/>
          <w:szCs w:val="24"/>
        </w:rPr>
        <w:t>Ospolot</w:t>
      </w:r>
      <w:proofErr w:type="spellEnd"/>
      <w:r w:rsidRPr="000C548C">
        <w:rPr>
          <w:b/>
          <w:sz w:val="24"/>
          <w:szCs w:val="24"/>
        </w:rPr>
        <w:t>-tab, filmovertrukne tabletter</w:t>
      </w:r>
    </w:p>
    <w:p w14:paraId="798CE1F0" w14:textId="77777777" w:rsidR="009260DE" w:rsidRPr="000C548C" w:rsidRDefault="009260DE" w:rsidP="009260DE">
      <w:pPr>
        <w:jc w:val="both"/>
        <w:rPr>
          <w:sz w:val="24"/>
          <w:szCs w:val="24"/>
        </w:rPr>
      </w:pPr>
    </w:p>
    <w:p w14:paraId="2CC4BD02" w14:textId="77777777" w:rsidR="009260DE" w:rsidRPr="000C548C" w:rsidRDefault="009260DE" w:rsidP="009260DE">
      <w:pPr>
        <w:jc w:val="both"/>
        <w:rPr>
          <w:sz w:val="24"/>
          <w:szCs w:val="24"/>
        </w:rPr>
      </w:pPr>
    </w:p>
    <w:p w14:paraId="1293C348" w14:textId="77777777" w:rsidR="009260DE" w:rsidRPr="000C548C" w:rsidRDefault="009260DE" w:rsidP="009260DE">
      <w:pPr>
        <w:tabs>
          <w:tab w:val="left" w:pos="851"/>
        </w:tabs>
        <w:ind w:left="851" w:hanging="851"/>
        <w:rPr>
          <w:b/>
          <w:sz w:val="24"/>
          <w:szCs w:val="24"/>
        </w:rPr>
      </w:pPr>
      <w:r w:rsidRPr="000C548C">
        <w:rPr>
          <w:b/>
          <w:sz w:val="24"/>
          <w:szCs w:val="24"/>
        </w:rPr>
        <w:t>0.</w:t>
      </w:r>
      <w:r w:rsidRPr="000C548C">
        <w:rPr>
          <w:b/>
          <w:sz w:val="24"/>
          <w:szCs w:val="24"/>
        </w:rPr>
        <w:tab/>
        <w:t>D.SP.NR.</w:t>
      </w:r>
    </w:p>
    <w:p w14:paraId="49B7548F" w14:textId="60FF23E9" w:rsidR="009260DE" w:rsidRPr="000C548C" w:rsidRDefault="006E10A3" w:rsidP="009260DE">
      <w:pPr>
        <w:tabs>
          <w:tab w:val="left" w:pos="851"/>
        </w:tabs>
        <w:ind w:left="851"/>
        <w:rPr>
          <w:sz w:val="24"/>
          <w:szCs w:val="24"/>
        </w:rPr>
      </w:pPr>
      <w:r w:rsidRPr="000C548C">
        <w:rPr>
          <w:sz w:val="24"/>
          <w:szCs w:val="24"/>
        </w:rPr>
        <w:t>34809</w:t>
      </w:r>
    </w:p>
    <w:p w14:paraId="1933BCA8" w14:textId="77777777" w:rsidR="009260DE" w:rsidRPr="000C548C" w:rsidRDefault="009260DE" w:rsidP="009260DE">
      <w:pPr>
        <w:tabs>
          <w:tab w:val="left" w:pos="851"/>
        </w:tabs>
        <w:ind w:left="851"/>
        <w:rPr>
          <w:sz w:val="24"/>
          <w:szCs w:val="24"/>
        </w:rPr>
      </w:pPr>
    </w:p>
    <w:p w14:paraId="70D9302D" w14:textId="77777777" w:rsidR="009260DE" w:rsidRPr="000C548C" w:rsidRDefault="009260DE" w:rsidP="009260DE">
      <w:pPr>
        <w:tabs>
          <w:tab w:val="left" w:pos="851"/>
        </w:tabs>
        <w:ind w:left="851" w:hanging="851"/>
        <w:rPr>
          <w:b/>
          <w:sz w:val="24"/>
          <w:szCs w:val="24"/>
        </w:rPr>
      </w:pPr>
      <w:r w:rsidRPr="000C548C">
        <w:rPr>
          <w:b/>
          <w:sz w:val="24"/>
          <w:szCs w:val="24"/>
        </w:rPr>
        <w:t>1.</w:t>
      </w:r>
      <w:r w:rsidRPr="000C548C">
        <w:rPr>
          <w:b/>
          <w:sz w:val="24"/>
          <w:szCs w:val="24"/>
        </w:rPr>
        <w:tab/>
        <w:t>LÆGEMIDLETS NAVN</w:t>
      </w:r>
    </w:p>
    <w:p w14:paraId="571A228F" w14:textId="3992DFD9" w:rsidR="009260DE" w:rsidRPr="000C548C" w:rsidRDefault="00C139CF" w:rsidP="009260DE">
      <w:pPr>
        <w:tabs>
          <w:tab w:val="left" w:pos="851"/>
        </w:tabs>
        <w:ind w:left="851"/>
        <w:rPr>
          <w:sz w:val="24"/>
          <w:szCs w:val="24"/>
        </w:rPr>
      </w:pPr>
      <w:proofErr w:type="spellStart"/>
      <w:r w:rsidRPr="000C548C">
        <w:rPr>
          <w:sz w:val="24"/>
          <w:szCs w:val="24"/>
        </w:rPr>
        <w:t>Ospolot</w:t>
      </w:r>
      <w:proofErr w:type="spellEnd"/>
      <w:r w:rsidRPr="000C548C">
        <w:rPr>
          <w:sz w:val="24"/>
          <w:szCs w:val="24"/>
        </w:rPr>
        <w:t>-tab</w:t>
      </w:r>
    </w:p>
    <w:p w14:paraId="20ACBDAA" w14:textId="77777777" w:rsidR="009260DE" w:rsidRPr="000C548C" w:rsidRDefault="009260DE" w:rsidP="009260DE">
      <w:pPr>
        <w:tabs>
          <w:tab w:val="left" w:pos="851"/>
        </w:tabs>
        <w:ind w:left="851"/>
        <w:rPr>
          <w:sz w:val="24"/>
          <w:szCs w:val="24"/>
        </w:rPr>
      </w:pPr>
    </w:p>
    <w:p w14:paraId="1DF4E3F3" w14:textId="77777777" w:rsidR="009260DE" w:rsidRPr="000C548C" w:rsidRDefault="009260DE" w:rsidP="009260DE">
      <w:pPr>
        <w:tabs>
          <w:tab w:val="left" w:pos="851"/>
        </w:tabs>
        <w:ind w:left="851" w:hanging="851"/>
        <w:rPr>
          <w:b/>
          <w:sz w:val="24"/>
          <w:szCs w:val="24"/>
        </w:rPr>
      </w:pPr>
      <w:r w:rsidRPr="000C548C">
        <w:rPr>
          <w:b/>
          <w:sz w:val="24"/>
          <w:szCs w:val="24"/>
        </w:rPr>
        <w:t>2.</w:t>
      </w:r>
      <w:r w:rsidRPr="000C548C">
        <w:rPr>
          <w:b/>
          <w:sz w:val="24"/>
          <w:szCs w:val="24"/>
        </w:rPr>
        <w:tab/>
        <w:t>KVALITATIV OG KVANTITATIV SAMMENSÆTNING</w:t>
      </w:r>
    </w:p>
    <w:p w14:paraId="232E6864" w14:textId="1B306F26" w:rsidR="006E10A3" w:rsidRDefault="006E10A3" w:rsidP="009C67AF">
      <w:pPr>
        <w:ind w:left="851"/>
        <w:rPr>
          <w:sz w:val="24"/>
          <w:szCs w:val="24"/>
        </w:rPr>
      </w:pPr>
      <w:r w:rsidRPr="000C548C">
        <w:rPr>
          <w:sz w:val="24"/>
          <w:szCs w:val="24"/>
        </w:rPr>
        <w:t xml:space="preserve">Filmovertrukne tabletter indeholdende 50 mg eller 200 mg </w:t>
      </w:r>
      <w:proofErr w:type="spellStart"/>
      <w:r w:rsidRPr="000C548C">
        <w:rPr>
          <w:sz w:val="24"/>
          <w:szCs w:val="24"/>
        </w:rPr>
        <w:t>sultiam</w:t>
      </w:r>
      <w:proofErr w:type="spellEnd"/>
      <w:r w:rsidRPr="000C548C">
        <w:rPr>
          <w:sz w:val="24"/>
          <w:szCs w:val="24"/>
        </w:rPr>
        <w:t>.</w:t>
      </w:r>
    </w:p>
    <w:p w14:paraId="2C24D50E" w14:textId="77777777" w:rsidR="000C548C" w:rsidRPr="000C548C" w:rsidRDefault="000C548C" w:rsidP="009C67AF">
      <w:pPr>
        <w:ind w:left="851"/>
        <w:rPr>
          <w:sz w:val="24"/>
          <w:szCs w:val="24"/>
        </w:rPr>
      </w:pPr>
    </w:p>
    <w:p w14:paraId="218F36B3" w14:textId="77777777" w:rsidR="006E10A3" w:rsidRPr="000C548C" w:rsidRDefault="006E10A3" w:rsidP="009C67AF">
      <w:pPr>
        <w:ind w:left="851"/>
        <w:rPr>
          <w:sz w:val="24"/>
          <w:szCs w:val="24"/>
        </w:rPr>
      </w:pPr>
      <w:r w:rsidRPr="000C548C">
        <w:rPr>
          <w:sz w:val="24"/>
          <w:szCs w:val="24"/>
          <w:u w:val="single"/>
        </w:rPr>
        <w:t>Hjælpestof(fer), som behandleren skal være opmærksom på:</w:t>
      </w:r>
      <w:r w:rsidRPr="000C548C">
        <w:rPr>
          <w:sz w:val="24"/>
          <w:szCs w:val="24"/>
        </w:rPr>
        <w:t xml:space="preserve"> </w:t>
      </w:r>
    </w:p>
    <w:p w14:paraId="373BBD2E" w14:textId="7E3C4DE2" w:rsidR="006E10A3" w:rsidRPr="000C548C" w:rsidRDefault="006E10A3" w:rsidP="009C67AF">
      <w:pPr>
        <w:ind w:left="851"/>
        <w:rPr>
          <w:sz w:val="24"/>
          <w:szCs w:val="24"/>
          <w:u w:val="single"/>
        </w:rPr>
      </w:pPr>
      <w:r w:rsidRPr="000C548C">
        <w:rPr>
          <w:sz w:val="24"/>
          <w:szCs w:val="24"/>
        </w:rPr>
        <w:t xml:space="preserve">50 mg: </w:t>
      </w:r>
      <w:r w:rsidR="00027DFF">
        <w:rPr>
          <w:sz w:val="24"/>
          <w:szCs w:val="24"/>
        </w:rPr>
        <w:t>H</w:t>
      </w:r>
      <w:r w:rsidRPr="000C548C">
        <w:rPr>
          <w:sz w:val="24"/>
          <w:szCs w:val="24"/>
        </w:rPr>
        <w:t xml:space="preserve">ver tablet indeholder 12,5 mg </w:t>
      </w:r>
      <w:proofErr w:type="spellStart"/>
      <w:r w:rsidRPr="000C548C">
        <w:rPr>
          <w:sz w:val="24"/>
          <w:szCs w:val="24"/>
        </w:rPr>
        <w:t>lactosemonohydrat</w:t>
      </w:r>
      <w:proofErr w:type="spellEnd"/>
      <w:r w:rsidRPr="000C548C">
        <w:rPr>
          <w:sz w:val="24"/>
          <w:szCs w:val="24"/>
        </w:rPr>
        <w:t>.</w:t>
      </w:r>
    </w:p>
    <w:p w14:paraId="09D55858" w14:textId="0239A00F" w:rsidR="006E10A3" w:rsidRPr="000C548C" w:rsidRDefault="006E10A3" w:rsidP="009C67AF">
      <w:pPr>
        <w:ind w:left="851"/>
        <w:rPr>
          <w:sz w:val="24"/>
          <w:szCs w:val="24"/>
          <w:u w:val="single"/>
        </w:rPr>
      </w:pPr>
      <w:r w:rsidRPr="000C548C">
        <w:rPr>
          <w:sz w:val="24"/>
          <w:szCs w:val="24"/>
        </w:rPr>
        <w:t xml:space="preserve">200 mg: </w:t>
      </w:r>
      <w:r w:rsidR="00027DFF">
        <w:rPr>
          <w:sz w:val="24"/>
          <w:szCs w:val="24"/>
        </w:rPr>
        <w:t>H</w:t>
      </w:r>
      <w:r w:rsidRPr="000C548C">
        <w:rPr>
          <w:sz w:val="24"/>
          <w:szCs w:val="24"/>
        </w:rPr>
        <w:t xml:space="preserve">ver tablet indeholder 50 mg </w:t>
      </w:r>
      <w:proofErr w:type="spellStart"/>
      <w:r w:rsidRPr="000C548C">
        <w:rPr>
          <w:sz w:val="24"/>
          <w:szCs w:val="24"/>
        </w:rPr>
        <w:t>lactosemonohydrat</w:t>
      </w:r>
      <w:proofErr w:type="spellEnd"/>
      <w:r w:rsidRPr="000C548C">
        <w:rPr>
          <w:sz w:val="24"/>
          <w:szCs w:val="24"/>
        </w:rPr>
        <w:t>.</w:t>
      </w:r>
    </w:p>
    <w:p w14:paraId="58AAD825" w14:textId="77777777" w:rsidR="006E10A3" w:rsidRPr="000C548C" w:rsidRDefault="006E10A3" w:rsidP="009C67AF">
      <w:pPr>
        <w:ind w:left="851"/>
        <w:rPr>
          <w:sz w:val="24"/>
          <w:szCs w:val="24"/>
        </w:rPr>
      </w:pPr>
    </w:p>
    <w:p w14:paraId="2D32FBC7" w14:textId="77777777" w:rsidR="006E10A3" w:rsidRPr="000C548C" w:rsidRDefault="006E10A3" w:rsidP="009C67AF">
      <w:pPr>
        <w:ind w:left="851"/>
        <w:rPr>
          <w:sz w:val="24"/>
          <w:szCs w:val="24"/>
        </w:rPr>
      </w:pPr>
      <w:r w:rsidRPr="000C548C">
        <w:rPr>
          <w:sz w:val="24"/>
          <w:szCs w:val="24"/>
        </w:rPr>
        <w:t>Alle hjælpestoffer er anført under pkt. 6.1.</w:t>
      </w:r>
    </w:p>
    <w:p w14:paraId="7454BFF9" w14:textId="77777777" w:rsidR="009260DE" w:rsidRPr="000C548C" w:rsidRDefault="009260DE" w:rsidP="009C67AF">
      <w:pPr>
        <w:ind w:left="851"/>
        <w:rPr>
          <w:sz w:val="24"/>
          <w:szCs w:val="24"/>
        </w:rPr>
      </w:pPr>
    </w:p>
    <w:p w14:paraId="72559FE0" w14:textId="77777777" w:rsidR="009260DE" w:rsidRPr="000C548C" w:rsidRDefault="009260DE" w:rsidP="009260DE">
      <w:pPr>
        <w:tabs>
          <w:tab w:val="left" w:pos="851"/>
        </w:tabs>
        <w:ind w:left="851" w:hanging="851"/>
        <w:rPr>
          <w:b/>
          <w:sz w:val="24"/>
          <w:szCs w:val="24"/>
        </w:rPr>
      </w:pPr>
      <w:r w:rsidRPr="000C548C">
        <w:rPr>
          <w:b/>
          <w:sz w:val="24"/>
          <w:szCs w:val="24"/>
        </w:rPr>
        <w:t>3.</w:t>
      </w:r>
      <w:r w:rsidRPr="000C548C">
        <w:rPr>
          <w:b/>
          <w:sz w:val="24"/>
          <w:szCs w:val="24"/>
        </w:rPr>
        <w:tab/>
        <w:t>LÆGEMIDDELFORM</w:t>
      </w:r>
    </w:p>
    <w:p w14:paraId="68850751" w14:textId="01001C13" w:rsidR="006E10A3" w:rsidRPr="000C548C" w:rsidRDefault="006E10A3" w:rsidP="009C67AF">
      <w:pPr>
        <w:ind w:left="851"/>
        <w:rPr>
          <w:sz w:val="24"/>
          <w:szCs w:val="24"/>
          <w:lang w:eastAsia="de-DE"/>
        </w:rPr>
      </w:pPr>
      <w:r w:rsidRPr="000C548C">
        <w:rPr>
          <w:sz w:val="24"/>
          <w:szCs w:val="24"/>
        </w:rPr>
        <w:t>Filmovertruk</w:t>
      </w:r>
      <w:r w:rsidR="000C548C">
        <w:rPr>
          <w:sz w:val="24"/>
          <w:szCs w:val="24"/>
        </w:rPr>
        <w:t>ne</w:t>
      </w:r>
      <w:r w:rsidRPr="000C548C">
        <w:rPr>
          <w:sz w:val="24"/>
          <w:szCs w:val="24"/>
        </w:rPr>
        <w:t xml:space="preserve"> tablet</w:t>
      </w:r>
      <w:r w:rsidR="000C548C">
        <w:rPr>
          <w:sz w:val="24"/>
          <w:szCs w:val="24"/>
        </w:rPr>
        <w:t>ter</w:t>
      </w:r>
    </w:p>
    <w:p w14:paraId="52769E11" w14:textId="77777777" w:rsidR="006E10A3" w:rsidRPr="000C548C" w:rsidRDefault="006E10A3" w:rsidP="009C67AF">
      <w:pPr>
        <w:ind w:left="851"/>
        <w:rPr>
          <w:i/>
          <w:sz w:val="24"/>
          <w:szCs w:val="24"/>
        </w:rPr>
      </w:pPr>
    </w:p>
    <w:p w14:paraId="2B9AE4BE" w14:textId="77777777" w:rsidR="006E10A3" w:rsidRPr="000C548C" w:rsidRDefault="006E10A3" w:rsidP="009C67AF">
      <w:pPr>
        <w:ind w:left="851"/>
        <w:rPr>
          <w:iCs/>
          <w:sz w:val="24"/>
          <w:szCs w:val="24"/>
          <w:u w:val="single"/>
        </w:rPr>
      </w:pPr>
      <w:proofErr w:type="spellStart"/>
      <w:r w:rsidRPr="000C548C">
        <w:rPr>
          <w:iCs/>
          <w:sz w:val="24"/>
          <w:szCs w:val="24"/>
          <w:u w:val="single"/>
        </w:rPr>
        <w:t>Ospolot</w:t>
      </w:r>
      <w:proofErr w:type="spellEnd"/>
      <w:r w:rsidRPr="000C548C">
        <w:rPr>
          <w:iCs/>
          <w:sz w:val="24"/>
          <w:szCs w:val="24"/>
          <w:u w:val="single"/>
        </w:rPr>
        <w:t>-tab 200 mg</w:t>
      </w:r>
    </w:p>
    <w:p w14:paraId="70461C72" w14:textId="527B792D" w:rsidR="006E10A3" w:rsidRPr="000C548C" w:rsidRDefault="006E10A3" w:rsidP="009C67AF">
      <w:pPr>
        <w:ind w:left="851"/>
        <w:rPr>
          <w:sz w:val="24"/>
          <w:szCs w:val="24"/>
        </w:rPr>
      </w:pPr>
      <w:r w:rsidRPr="000C548C">
        <w:rPr>
          <w:sz w:val="24"/>
          <w:szCs w:val="24"/>
        </w:rPr>
        <w:t>Hvid, rund, let hvælvet filmovertrukke</w:t>
      </w:r>
      <w:r w:rsidR="00027DFF">
        <w:rPr>
          <w:sz w:val="24"/>
          <w:szCs w:val="24"/>
        </w:rPr>
        <w:t>t</w:t>
      </w:r>
      <w:r w:rsidRPr="000C548C">
        <w:rPr>
          <w:sz w:val="24"/>
          <w:szCs w:val="24"/>
        </w:rPr>
        <w:t xml:space="preserve"> tablet med en delekærv på den ene side og præget ”200” på den anden side. Tabletten kan deles i lige store doser.</w:t>
      </w:r>
    </w:p>
    <w:p w14:paraId="4CBE2FEF" w14:textId="77777777" w:rsidR="006E10A3" w:rsidRPr="000C548C" w:rsidRDefault="006E10A3" w:rsidP="009C67AF">
      <w:pPr>
        <w:ind w:left="851"/>
        <w:rPr>
          <w:sz w:val="24"/>
          <w:szCs w:val="24"/>
        </w:rPr>
      </w:pPr>
    </w:p>
    <w:p w14:paraId="3741BAAB" w14:textId="77777777" w:rsidR="006E10A3" w:rsidRPr="000C548C" w:rsidRDefault="006E10A3" w:rsidP="009C67AF">
      <w:pPr>
        <w:ind w:left="851"/>
        <w:rPr>
          <w:iCs/>
          <w:sz w:val="24"/>
          <w:szCs w:val="24"/>
          <w:u w:val="single"/>
        </w:rPr>
      </w:pPr>
      <w:proofErr w:type="spellStart"/>
      <w:r w:rsidRPr="000C548C">
        <w:rPr>
          <w:iCs/>
          <w:sz w:val="24"/>
          <w:szCs w:val="24"/>
          <w:u w:val="single"/>
        </w:rPr>
        <w:t>Ospolot</w:t>
      </w:r>
      <w:proofErr w:type="spellEnd"/>
      <w:r w:rsidRPr="000C548C">
        <w:rPr>
          <w:iCs/>
          <w:sz w:val="24"/>
          <w:szCs w:val="24"/>
          <w:u w:val="single"/>
        </w:rPr>
        <w:t>-tab 50 mg</w:t>
      </w:r>
    </w:p>
    <w:p w14:paraId="6FA2F99A" w14:textId="75E8FF8C" w:rsidR="006E10A3" w:rsidRPr="000C548C" w:rsidRDefault="006E10A3" w:rsidP="00027DFF">
      <w:pPr>
        <w:ind w:left="851"/>
        <w:rPr>
          <w:sz w:val="24"/>
          <w:szCs w:val="24"/>
        </w:rPr>
      </w:pPr>
      <w:r w:rsidRPr="000C548C">
        <w:rPr>
          <w:sz w:val="24"/>
          <w:szCs w:val="24"/>
        </w:rPr>
        <w:t>Hvid, rund, let hvælvet filmovertrukke</w:t>
      </w:r>
      <w:r w:rsidR="00027DFF">
        <w:rPr>
          <w:sz w:val="24"/>
          <w:szCs w:val="24"/>
        </w:rPr>
        <w:t>t</w:t>
      </w:r>
      <w:r w:rsidRPr="000C548C">
        <w:rPr>
          <w:sz w:val="24"/>
          <w:szCs w:val="24"/>
        </w:rPr>
        <w:t xml:space="preserve"> tablet præget ”50” på den ene side.</w:t>
      </w:r>
    </w:p>
    <w:p w14:paraId="003F0E61" w14:textId="77777777" w:rsidR="009260DE" w:rsidRPr="000C548C" w:rsidRDefault="009260DE" w:rsidP="009260DE">
      <w:pPr>
        <w:tabs>
          <w:tab w:val="left" w:pos="851"/>
        </w:tabs>
        <w:ind w:left="851"/>
        <w:rPr>
          <w:sz w:val="24"/>
          <w:szCs w:val="24"/>
        </w:rPr>
      </w:pPr>
    </w:p>
    <w:p w14:paraId="0E175A23" w14:textId="77777777" w:rsidR="009260DE" w:rsidRPr="000C548C" w:rsidRDefault="009260DE" w:rsidP="009260DE">
      <w:pPr>
        <w:tabs>
          <w:tab w:val="left" w:pos="851"/>
        </w:tabs>
        <w:ind w:left="851"/>
        <w:rPr>
          <w:sz w:val="24"/>
          <w:szCs w:val="24"/>
        </w:rPr>
      </w:pPr>
    </w:p>
    <w:p w14:paraId="30E99B5A" w14:textId="77777777" w:rsidR="009260DE" w:rsidRPr="000C548C" w:rsidRDefault="009260DE" w:rsidP="009260DE">
      <w:pPr>
        <w:tabs>
          <w:tab w:val="left" w:pos="851"/>
        </w:tabs>
        <w:ind w:left="851" w:hanging="851"/>
        <w:rPr>
          <w:b/>
          <w:sz w:val="24"/>
          <w:szCs w:val="24"/>
        </w:rPr>
      </w:pPr>
      <w:r w:rsidRPr="000C548C">
        <w:rPr>
          <w:b/>
          <w:sz w:val="24"/>
          <w:szCs w:val="24"/>
        </w:rPr>
        <w:t>4.</w:t>
      </w:r>
      <w:r w:rsidRPr="000C548C">
        <w:rPr>
          <w:b/>
          <w:sz w:val="24"/>
          <w:szCs w:val="24"/>
        </w:rPr>
        <w:tab/>
        <w:t>KLINISKE OPLYSNINGER</w:t>
      </w:r>
    </w:p>
    <w:p w14:paraId="0CF99B1B" w14:textId="77777777" w:rsidR="009260DE" w:rsidRPr="000C548C" w:rsidRDefault="009260DE" w:rsidP="009260DE">
      <w:pPr>
        <w:tabs>
          <w:tab w:val="left" w:pos="851"/>
        </w:tabs>
        <w:ind w:left="851"/>
        <w:rPr>
          <w:b/>
          <w:sz w:val="24"/>
          <w:szCs w:val="24"/>
        </w:rPr>
      </w:pPr>
    </w:p>
    <w:p w14:paraId="5EC00478" w14:textId="77777777" w:rsidR="009260DE" w:rsidRPr="000C548C" w:rsidRDefault="009260DE" w:rsidP="009260DE">
      <w:pPr>
        <w:tabs>
          <w:tab w:val="left" w:pos="851"/>
        </w:tabs>
        <w:ind w:left="851" w:hanging="851"/>
        <w:rPr>
          <w:b/>
          <w:sz w:val="24"/>
          <w:szCs w:val="24"/>
          <w:u w:val="single"/>
        </w:rPr>
      </w:pPr>
      <w:r w:rsidRPr="000C548C">
        <w:rPr>
          <w:b/>
          <w:sz w:val="24"/>
          <w:szCs w:val="24"/>
        </w:rPr>
        <w:t>4.1</w:t>
      </w:r>
      <w:r w:rsidRPr="000C548C">
        <w:rPr>
          <w:b/>
          <w:sz w:val="24"/>
          <w:szCs w:val="24"/>
        </w:rPr>
        <w:tab/>
        <w:t>Terapeutiske indikationer</w:t>
      </w:r>
    </w:p>
    <w:p w14:paraId="51732F0A" w14:textId="21658249" w:rsidR="006E10A3" w:rsidRDefault="00D06D12" w:rsidP="009C67AF">
      <w:pPr>
        <w:ind w:left="851"/>
        <w:rPr>
          <w:sz w:val="24"/>
          <w:szCs w:val="24"/>
        </w:rPr>
      </w:pPr>
      <w:r w:rsidRPr="000C548C">
        <w:rPr>
          <w:sz w:val="24"/>
          <w:szCs w:val="24"/>
        </w:rPr>
        <w:t xml:space="preserve">Til behandling af </w:t>
      </w:r>
      <w:proofErr w:type="spellStart"/>
      <w:r>
        <w:rPr>
          <w:sz w:val="24"/>
          <w:szCs w:val="24"/>
        </w:rPr>
        <w:t>SeLECTS</w:t>
      </w:r>
      <w:proofErr w:type="spellEnd"/>
      <w:r>
        <w:rPr>
          <w:sz w:val="24"/>
          <w:szCs w:val="24"/>
        </w:rPr>
        <w:t xml:space="preserve"> (selvlimiterende epilepsi med </w:t>
      </w:r>
      <w:proofErr w:type="spellStart"/>
      <w:r>
        <w:rPr>
          <w:sz w:val="24"/>
          <w:szCs w:val="24"/>
        </w:rPr>
        <w:t>centrotemporale</w:t>
      </w:r>
      <w:proofErr w:type="spellEnd"/>
      <w:r>
        <w:rPr>
          <w:sz w:val="24"/>
          <w:szCs w:val="24"/>
        </w:rPr>
        <w:t xml:space="preserve"> </w:t>
      </w:r>
      <w:proofErr w:type="spellStart"/>
      <w:r>
        <w:rPr>
          <w:sz w:val="24"/>
          <w:szCs w:val="24"/>
        </w:rPr>
        <w:t>spikes</w:t>
      </w:r>
      <w:proofErr w:type="spellEnd"/>
      <w:r>
        <w:rPr>
          <w:sz w:val="24"/>
          <w:szCs w:val="24"/>
        </w:rPr>
        <w:t xml:space="preserve">) (tidligere kendt som </w:t>
      </w:r>
      <w:proofErr w:type="spellStart"/>
      <w:r>
        <w:rPr>
          <w:sz w:val="24"/>
          <w:szCs w:val="24"/>
        </w:rPr>
        <w:t>R</w:t>
      </w:r>
      <w:r w:rsidRPr="000C548C">
        <w:rPr>
          <w:sz w:val="24"/>
          <w:szCs w:val="24"/>
        </w:rPr>
        <w:t>olandisk</w:t>
      </w:r>
      <w:proofErr w:type="spellEnd"/>
      <w:r w:rsidRPr="000C548C">
        <w:rPr>
          <w:sz w:val="24"/>
          <w:szCs w:val="24"/>
        </w:rPr>
        <w:t xml:space="preserve"> epilepsi).</w:t>
      </w:r>
    </w:p>
    <w:p w14:paraId="4E43F1ED" w14:textId="77777777" w:rsidR="00D06D12" w:rsidRPr="000C548C" w:rsidRDefault="00D06D12" w:rsidP="009C67AF">
      <w:pPr>
        <w:ind w:left="851"/>
        <w:rPr>
          <w:sz w:val="24"/>
          <w:szCs w:val="24"/>
        </w:rPr>
      </w:pPr>
    </w:p>
    <w:p w14:paraId="4AE06D72" w14:textId="77777777" w:rsidR="006E10A3" w:rsidRPr="000C548C" w:rsidRDefault="006E10A3" w:rsidP="009C67AF">
      <w:pPr>
        <w:ind w:left="851"/>
        <w:rPr>
          <w:sz w:val="24"/>
          <w:szCs w:val="24"/>
          <w:u w:val="single"/>
        </w:rPr>
      </w:pPr>
      <w:r w:rsidRPr="000C548C">
        <w:rPr>
          <w:sz w:val="24"/>
          <w:szCs w:val="24"/>
          <w:u w:val="single"/>
        </w:rPr>
        <w:t>Bemærk:</w:t>
      </w:r>
    </w:p>
    <w:p w14:paraId="1ED38DF3" w14:textId="77777777" w:rsidR="006E10A3" w:rsidRPr="000C548C" w:rsidRDefault="006E10A3" w:rsidP="009C67AF">
      <w:pPr>
        <w:ind w:left="851"/>
        <w:rPr>
          <w:sz w:val="24"/>
          <w:szCs w:val="24"/>
        </w:rPr>
      </w:pPr>
      <w:r w:rsidRPr="000C548C">
        <w:rPr>
          <w:sz w:val="24"/>
          <w:szCs w:val="24"/>
        </w:rPr>
        <w:t xml:space="preserve">Behandling med </w:t>
      </w:r>
      <w:proofErr w:type="spellStart"/>
      <w:r w:rsidRPr="000C548C">
        <w:rPr>
          <w:iCs/>
          <w:sz w:val="24"/>
          <w:szCs w:val="24"/>
        </w:rPr>
        <w:t>Ospolot</w:t>
      </w:r>
      <w:proofErr w:type="spellEnd"/>
      <w:r w:rsidRPr="000C548C">
        <w:rPr>
          <w:iCs/>
          <w:sz w:val="24"/>
          <w:szCs w:val="24"/>
        </w:rPr>
        <w:t>-tab</w:t>
      </w:r>
      <w:r w:rsidRPr="000C548C">
        <w:rPr>
          <w:sz w:val="24"/>
          <w:szCs w:val="24"/>
        </w:rPr>
        <w:t xml:space="preserve"> må kun udføres af en pædiatrisk neurolog med tilstrækkelig erfaring i behandling af epilepsi.</w:t>
      </w:r>
    </w:p>
    <w:p w14:paraId="2C9A7984" w14:textId="0BCCC1DF" w:rsidR="009260DE" w:rsidRDefault="00D06D12" w:rsidP="009260DE">
      <w:pPr>
        <w:tabs>
          <w:tab w:val="left" w:pos="851"/>
        </w:tabs>
        <w:ind w:left="851"/>
        <w:rPr>
          <w:sz w:val="24"/>
          <w:szCs w:val="24"/>
        </w:rPr>
      </w:pPr>
      <w:r w:rsidRPr="000C548C">
        <w:rPr>
          <w:sz w:val="24"/>
          <w:szCs w:val="24"/>
        </w:rPr>
        <w:lastRenderedPageBreak/>
        <w:t xml:space="preserve">Der foreligger begrænsede data fra kontrollerede kliniske forsøg vedrørende effekten og sikkerheden af </w:t>
      </w:r>
      <w:proofErr w:type="spellStart"/>
      <w:r w:rsidRPr="000C548C">
        <w:rPr>
          <w:iCs/>
          <w:sz w:val="24"/>
          <w:szCs w:val="24"/>
        </w:rPr>
        <w:t>Ospolot</w:t>
      </w:r>
      <w:proofErr w:type="spellEnd"/>
      <w:r w:rsidRPr="000C548C">
        <w:rPr>
          <w:iCs/>
          <w:sz w:val="24"/>
          <w:szCs w:val="24"/>
        </w:rPr>
        <w:t>-tab</w:t>
      </w:r>
      <w:r w:rsidRPr="000C548C">
        <w:rPr>
          <w:sz w:val="24"/>
          <w:szCs w:val="24"/>
        </w:rPr>
        <w:t xml:space="preserve">. Der bør foretages en grundig </w:t>
      </w:r>
      <w:proofErr w:type="spellStart"/>
      <w:r w:rsidRPr="000C548C">
        <w:rPr>
          <w:sz w:val="24"/>
          <w:szCs w:val="24"/>
        </w:rPr>
        <w:t>differentialdiagnostisk</w:t>
      </w:r>
      <w:proofErr w:type="spellEnd"/>
      <w:r w:rsidRPr="000C548C">
        <w:rPr>
          <w:sz w:val="24"/>
          <w:szCs w:val="24"/>
        </w:rPr>
        <w:t xml:space="preserve"> under</w:t>
      </w:r>
      <w:r>
        <w:rPr>
          <w:sz w:val="24"/>
          <w:szCs w:val="24"/>
        </w:rPr>
        <w:softHyphen/>
      </w:r>
      <w:r w:rsidRPr="000C548C">
        <w:rPr>
          <w:sz w:val="24"/>
          <w:szCs w:val="24"/>
        </w:rPr>
        <w:t xml:space="preserve">søgelse af andre typer af epilepsi hos børn, inden behandlingen med </w:t>
      </w:r>
      <w:proofErr w:type="spellStart"/>
      <w:r w:rsidRPr="000C548C">
        <w:rPr>
          <w:sz w:val="24"/>
          <w:szCs w:val="24"/>
        </w:rPr>
        <w:t>sultiam</w:t>
      </w:r>
      <w:proofErr w:type="spellEnd"/>
      <w:r w:rsidRPr="000C548C">
        <w:rPr>
          <w:sz w:val="24"/>
          <w:szCs w:val="24"/>
        </w:rPr>
        <w:t xml:space="preserve"> påbegyndes. </w:t>
      </w:r>
      <w:proofErr w:type="spellStart"/>
      <w:r>
        <w:rPr>
          <w:sz w:val="24"/>
          <w:szCs w:val="24"/>
        </w:rPr>
        <w:t>SeLECTS</w:t>
      </w:r>
      <w:proofErr w:type="spellEnd"/>
      <w:r w:rsidRPr="000C548C">
        <w:rPr>
          <w:sz w:val="24"/>
          <w:szCs w:val="24"/>
        </w:rPr>
        <w:t xml:space="preserve"> har en høj procentdel af spontane remissioner – selv uden medicinsk behandling – og har normalt et gunstigt forløb og en god prognose.</w:t>
      </w:r>
    </w:p>
    <w:p w14:paraId="49365004" w14:textId="77777777" w:rsidR="00D06D12" w:rsidRPr="000C548C" w:rsidRDefault="00D06D12" w:rsidP="009260DE">
      <w:pPr>
        <w:tabs>
          <w:tab w:val="left" w:pos="851"/>
        </w:tabs>
        <w:ind w:left="851"/>
        <w:rPr>
          <w:sz w:val="24"/>
          <w:szCs w:val="24"/>
        </w:rPr>
      </w:pPr>
    </w:p>
    <w:p w14:paraId="3D348077" w14:textId="77777777" w:rsidR="009260DE" w:rsidRPr="000C548C" w:rsidRDefault="009260DE" w:rsidP="009260DE">
      <w:pPr>
        <w:tabs>
          <w:tab w:val="left" w:pos="851"/>
        </w:tabs>
        <w:ind w:left="851" w:hanging="851"/>
        <w:rPr>
          <w:b/>
          <w:sz w:val="24"/>
          <w:szCs w:val="24"/>
        </w:rPr>
      </w:pPr>
      <w:r w:rsidRPr="000C548C">
        <w:rPr>
          <w:b/>
          <w:sz w:val="24"/>
          <w:szCs w:val="24"/>
        </w:rPr>
        <w:t>4.2</w:t>
      </w:r>
      <w:r w:rsidRPr="000C548C">
        <w:rPr>
          <w:b/>
          <w:sz w:val="24"/>
          <w:szCs w:val="24"/>
        </w:rPr>
        <w:tab/>
        <w:t xml:space="preserve">Dosering og </w:t>
      </w:r>
      <w:r w:rsidR="002C1EC0" w:rsidRPr="000C548C">
        <w:rPr>
          <w:b/>
          <w:sz w:val="24"/>
          <w:szCs w:val="24"/>
        </w:rPr>
        <w:t>administration</w:t>
      </w:r>
    </w:p>
    <w:p w14:paraId="0264BABB" w14:textId="77777777" w:rsidR="000C548C" w:rsidRDefault="000C548C" w:rsidP="009C67AF">
      <w:pPr>
        <w:ind w:left="851"/>
        <w:rPr>
          <w:sz w:val="24"/>
          <w:szCs w:val="24"/>
        </w:rPr>
      </w:pPr>
    </w:p>
    <w:p w14:paraId="4CB79158" w14:textId="7C41C663" w:rsidR="006E10A3" w:rsidRPr="000C548C" w:rsidRDefault="006E10A3" w:rsidP="009C67AF">
      <w:pPr>
        <w:ind w:left="851"/>
        <w:rPr>
          <w:bCs/>
          <w:sz w:val="24"/>
          <w:szCs w:val="24"/>
          <w:u w:val="single"/>
          <w:lang w:eastAsia="de-DE"/>
        </w:rPr>
      </w:pPr>
      <w:r w:rsidRPr="000C548C">
        <w:rPr>
          <w:sz w:val="24"/>
          <w:szCs w:val="24"/>
          <w:u w:val="single"/>
        </w:rPr>
        <w:t>Dosering</w:t>
      </w:r>
    </w:p>
    <w:p w14:paraId="394FBDC7" w14:textId="43A898A6" w:rsidR="006E10A3" w:rsidRPr="000C548C" w:rsidRDefault="006E10A3" w:rsidP="009C67AF">
      <w:pPr>
        <w:ind w:left="851"/>
        <w:rPr>
          <w:sz w:val="24"/>
          <w:szCs w:val="24"/>
        </w:rPr>
      </w:pPr>
      <w:r w:rsidRPr="000C548C">
        <w:rPr>
          <w:sz w:val="24"/>
          <w:szCs w:val="24"/>
        </w:rPr>
        <w:t>Doseringen skal fastsættes og overvåges af lægen på individuel basis. Vedligeholdelses</w:t>
      </w:r>
      <w:r w:rsidR="00D06D12">
        <w:rPr>
          <w:sz w:val="24"/>
          <w:szCs w:val="24"/>
        </w:rPr>
        <w:softHyphen/>
      </w:r>
      <w:r w:rsidRPr="000C548C">
        <w:rPr>
          <w:sz w:val="24"/>
          <w:szCs w:val="24"/>
        </w:rPr>
        <w:t xml:space="preserve">dosis er omkring 5 til 10 mg/kg kropsvægt/dag. Den skal øges gradvist (trappes op) over en periode på en uge. </w:t>
      </w:r>
      <w:proofErr w:type="spellStart"/>
      <w:r w:rsidRPr="000C548C">
        <w:rPr>
          <w:iCs/>
          <w:sz w:val="24"/>
          <w:szCs w:val="24"/>
        </w:rPr>
        <w:t>Ospolot</w:t>
      </w:r>
      <w:proofErr w:type="spellEnd"/>
      <w:r w:rsidRPr="000C548C">
        <w:rPr>
          <w:iCs/>
          <w:sz w:val="24"/>
          <w:szCs w:val="24"/>
        </w:rPr>
        <w:t>-tab</w:t>
      </w:r>
      <w:r w:rsidRPr="000C548C">
        <w:rPr>
          <w:i/>
          <w:sz w:val="24"/>
          <w:szCs w:val="24"/>
          <w:vertAlign w:val="superscript"/>
        </w:rPr>
        <w:t xml:space="preserve"> </w:t>
      </w:r>
      <w:r w:rsidRPr="000C548C">
        <w:rPr>
          <w:iCs/>
          <w:sz w:val="24"/>
          <w:szCs w:val="24"/>
        </w:rPr>
        <w:t>50 mg</w:t>
      </w:r>
      <w:r w:rsidRPr="000C548C">
        <w:rPr>
          <w:sz w:val="24"/>
          <w:szCs w:val="24"/>
        </w:rPr>
        <w:t xml:space="preserve"> er velegnet til en langsom øgning af dosis.</w:t>
      </w:r>
      <w:r w:rsidRPr="000C548C">
        <w:rPr>
          <w:i/>
          <w:sz w:val="24"/>
          <w:szCs w:val="24"/>
        </w:rPr>
        <w:t xml:space="preserve"> </w:t>
      </w:r>
      <w:proofErr w:type="spellStart"/>
      <w:r w:rsidRPr="000C548C">
        <w:rPr>
          <w:iCs/>
          <w:sz w:val="24"/>
          <w:szCs w:val="24"/>
        </w:rPr>
        <w:t>Ospolot</w:t>
      </w:r>
      <w:proofErr w:type="spellEnd"/>
      <w:r w:rsidRPr="000C548C">
        <w:rPr>
          <w:iCs/>
          <w:sz w:val="24"/>
          <w:szCs w:val="24"/>
        </w:rPr>
        <w:t>-tab</w:t>
      </w:r>
      <w:r w:rsidRPr="000C548C">
        <w:rPr>
          <w:iCs/>
          <w:sz w:val="24"/>
          <w:szCs w:val="24"/>
          <w:vertAlign w:val="superscript"/>
        </w:rPr>
        <w:t xml:space="preserve"> </w:t>
      </w:r>
      <w:r w:rsidRPr="000C548C">
        <w:rPr>
          <w:iCs/>
          <w:sz w:val="24"/>
          <w:szCs w:val="24"/>
        </w:rPr>
        <w:t>200 mg</w:t>
      </w:r>
      <w:r w:rsidRPr="000C548C">
        <w:rPr>
          <w:sz w:val="24"/>
          <w:szCs w:val="24"/>
        </w:rPr>
        <w:t xml:space="preserve"> filmovertrukne tabletter har en delekærv.</w:t>
      </w:r>
    </w:p>
    <w:p w14:paraId="433048D8" w14:textId="77777777" w:rsidR="006E10A3" w:rsidRPr="000C548C" w:rsidRDefault="006E10A3" w:rsidP="009C67AF">
      <w:pPr>
        <w:ind w:left="851"/>
        <w:rPr>
          <w:sz w:val="24"/>
          <w:szCs w:val="24"/>
        </w:rPr>
      </w:pPr>
      <w:r w:rsidRPr="000C548C">
        <w:rPr>
          <w:sz w:val="24"/>
          <w:szCs w:val="24"/>
        </w:rPr>
        <w:t xml:space="preserve">Da </w:t>
      </w:r>
      <w:proofErr w:type="spellStart"/>
      <w:r w:rsidRPr="000C548C">
        <w:rPr>
          <w:sz w:val="24"/>
          <w:szCs w:val="24"/>
        </w:rPr>
        <w:t>sultiam</w:t>
      </w:r>
      <w:proofErr w:type="spellEnd"/>
      <w:r w:rsidRPr="000C548C">
        <w:rPr>
          <w:sz w:val="24"/>
          <w:szCs w:val="24"/>
        </w:rPr>
        <w:t xml:space="preserve"> har en kort halveringstid, bør den daglige dosis så vidt muligt fordeles på tre enkeltdoser. Hvis den daglige dosis fordeles på denne måde hen over dagen, kan der forventes konstante plasmaniveauer efter fem til seks dage. De terapeutiske plasmakoncentrationer af </w:t>
      </w:r>
      <w:proofErr w:type="spellStart"/>
      <w:r w:rsidRPr="000C548C">
        <w:rPr>
          <w:sz w:val="24"/>
          <w:szCs w:val="24"/>
        </w:rPr>
        <w:t>sultiam</w:t>
      </w:r>
      <w:proofErr w:type="spellEnd"/>
      <w:r w:rsidRPr="000C548C">
        <w:rPr>
          <w:sz w:val="24"/>
          <w:szCs w:val="24"/>
        </w:rPr>
        <w:t xml:space="preserve"> er endnu ikke fastlagt.</w:t>
      </w:r>
    </w:p>
    <w:p w14:paraId="2E67603C" w14:textId="77777777" w:rsidR="006E10A3" w:rsidRPr="000C548C" w:rsidRDefault="006E10A3" w:rsidP="009C67AF">
      <w:pPr>
        <w:ind w:left="851"/>
        <w:rPr>
          <w:sz w:val="24"/>
          <w:szCs w:val="24"/>
        </w:rPr>
      </w:pPr>
    </w:p>
    <w:p w14:paraId="4EE3A880" w14:textId="77777777" w:rsidR="006E10A3" w:rsidRPr="000C548C" w:rsidRDefault="006E10A3" w:rsidP="009C67AF">
      <w:pPr>
        <w:ind w:left="851"/>
        <w:rPr>
          <w:sz w:val="24"/>
          <w:szCs w:val="24"/>
          <w:u w:val="single"/>
        </w:rPr>
      </w:pPr>
      <w:r w:rsidRPr="000C548C">
        <w:rPr>
          <w:sz w:val="24"/>
          <w:szCs w:val="24"/>
          <w:u w:val="single"/>
        </w:rPr>
        <w:t>Administration</w:t>
      </w:r>
    </w:p>
    <w:p w14:paraId="0EC41404" w14:textId="1A05A333" w:rsidR="006E10A3" w:rsidRPr="000C548C" w:rsidRDefault="006E10A3" w:rsidP="009C67AF">
      <w:pPr>
        <w:ind w:left="851"/>
        <w:rPr>
          <w:sz w:val="24"/>
          <w:szCs w:val="24"/>
        </w:rPr>
      </w:pPr>
      <w:r w:rsidRPr="000C548C">
        <w:rPr>
          <w:sz w:val="24"/>
          <w:szCs w:val="24"/>
        </w:rPr>
        <w:t xml:space="preserve">De filmovertrukne tabletter må ikke tygges og skal indtages med rigeligt væske (ca. et glas vand), så vidt muligt fordelt på 3 enkeltdoser. </w:t>
      </w:r>
      <w:proofErr w:type="spellStart"/>
      <w:r w:rsidRPr="000C548C">
        <w:rPr>
          <w:sz w:val="24"/>
          <w:szCs w:val="24"/>
        </w:rPr>
        <w:t>Ospolot</w:t>
      </w:r>
      <w:proofErr w:type="spellEnd"/>
      <w:r w:rsidRPr="000C548C">
        <w:rPr>
          <w:sz w:val="24"/>
          <w:szCs w:val="24"/>
        </w:rPr>
        <w:t xml:space="preserve">-tab kan indtages sammen med eller uden mad, men det er bedst, at patienten ikke ændrer den måde, de tager </w:t>
      </w:r>
      <w:proofErr w:type="spellStart"/>
      <w:r w:rsidRPr="000C548C">
        <w:rPr>
          <w:sz w:val="24"/>
          <w:szCs w:val="24"/>
        </w:rPr>
        <w:t>Ospolot</w:t>
      </w:r>
      <w:proofErr w:type="spellEnd"/>
      <w:r w:rsidRPr="000C548C">
        <w:rPr>
          <w:sz w:val="24"/>
          <w:szCs w:val="24"/>
        </w:rPr>
        <w:t>-tab på under behandlingen.</w:t>
      </w:r>
    </w:p>
    <w:p w14:paraId="134084F2" w14:textId="655289C2" w:rsidR="006E10A3" w:rsidRPr="000C548C" w:rsidRDefault="006E10A3" w:rsidP="009C67AF">
      <w:pPr>
        <w:ind w:left="851"/>
        <w:rPr>
          <w:sz w:val="24"/>
          <w:szCs w:val="24"/>
        </w:rPr>
      </w:pPr>
      <w:r w:rsidRPr="000C548C">
        <w:rPr>
          <w:sz w:val="24"/>
          <w:szCs w:val="24"/>
        </w:rPr>
        <w:t xml:space="preserve">Overgang fra anden medicin eller kombinationsbehandling skal ske gradvist. </w:t>
      </w:r>
      <w:proofErr w:type="spellStart"/>
      <w:r w:rsidRPr="000C548C">
        <w:rPr>
          <w:iCs/>
          <w:sz w:val="24"/>
          <w:szCs w:val="24"/>
        </w:rPr>
        <w:t>Ospolot</w:t>
      </w:r>
      <w:proofErr w:type="spellEnd"/>
      <w:r w:rsidRPr="000C548C">
        <w:rPr>
          <w:iCs/>
          <w:sz w:val="24"/>
          <w:szCs w:val="24"/>
        </w:rPr>
        <w:t>-tab</w:t>
      </w:r>
      <w:r w:rsidRPr="000C548C">
        <w:rPr>
          <w:sz w:val="24"/>
          <w:szCs w:val="24"/>
        </w:rPr>
        <w:t xml:space="preserve"> må ikke seponeres pludseligt. Dosisjustering, behandlingsvarighed og </w:t>
      </w:r>
      <w:proofErr w:type="spellStart"/>
      <w:r w:rsidRPr="000C548C">
        <w:rPr>
          <w:sz w:val="24"/>
          <w:szCs w:val="24"/>
        </w:rPr>
        <w:t>seponering</w:t>
      </w:r>
      <w:proofErr w:type="spellEnd"/>
      <w:r w:rsidRPr="000C548C">
        <w:rPr>
          <w:sz w:val="24"/>
          <w:szCs w:val="24"/>
        </w:rPr>
        <w:t xml:space="preserve"> bør afgøres individuelt af en pædiatrisk neurolog med erfaring i behandling af epilepsi.</w:t>
      </w:r>
    </w:p>
    <w:p w14:paraId="2D38E0D4" w14:textId="2A7BB417" w:rsidR="006E10A3" w:rsidRPr="000C548C" w:rsidRDefault="006E10A3" w:rsidP="009C67AF">
      <w:pPr>
        <w:ind w:left="851"/>
        <w:rPr>
          <w:sz w:val="24"/>
          <w:szCs w:val="24"/>
        </w:rPr>
      </w:pPr>
      <w:r w:rsidRPr="000C548C">
        <w:rPr>
          <w:sz w:val="24"/>
          <w:szCs w:val="24"/>
        </w:rPr>
        <w:t xml:space="preserve">Hvis behandlingen ikke er succesfuld, bør behandlingen med </w:t>
      </w:r>
      <w:proofErr w:type="spellStart"/>
      <w:r w:rsidRPr="000C548C">
        <w:rPr>
          <w:sz w:val="24"/>
          <w:szCs w:val="24"/>
        </w:rPr>
        <w:t>sultiam</w:t>
      </w:r>
      <w:proofErr w:type="spellEnd"/>
      <w:r w:rsidRPr="000C548C">
        <w:rPr>
          <w:sz w:val="24"/>
          <w:szCs w:val="24"/>
        </w:rPr>
        <w:t xml:space="preserve"> seponeres efter ca. en til to måneder.</w:t>
      </w:r>
    </w:p>
    <w:p w14:paraId="7A15DF3B" w14:textId="77777777" w:rsidR="006E10A3" w:rsidRPr="000C548C" w:rsidRDefault="006E10A3" w:rsidP="009C67AF">
      <w:pPr>
        <w:ind w:left="851"/>
        <w:rPr>
          <w:sz w:val="24"/>
          <w:szCs w:val="24"/>
        </w:rPr>
      </w:pPr>
    </w:p>
    <w:p w14:paraId="3421DFCF" w14:textId="5377E06D" w:rsidR="006E10A3" w:rsidRPr="000C548C" w:rsidRDefault="006E10A3" w:rsidP="009C67AF">
      <w:pPr>
        <w:ind w:left="851"/>
        <w:rPr>
          <w:sz w:val="24"/>
          <w:szCs w:val="24"/>
        </w:rPr>
      </w:pPr>
      <w:r w:rsidRPr="000C548C">
        <w:rPr>
          <w:sz w:val="24"/>
          <w:szCs w:val="24"/>
        </w:rPr>
        <w:t xml:space="preserve">Det anbefales at overvåge blodprocenten, leverenzymerne og nyrefunktionsparametrene før behandling med </w:t>
      </w:r>
      <w:proofErr w:type="spellStart"/>
      <w:r w:rsidRPr="000C548C">
        <w:rPr>
          <w:iCs/>
          <w:sz w:val="24"/>
          <w:szCs w:val="24"/>
        </w:rPr>
        <w:t>Ospolot</w:t>
      </w:r>
      <w:proofErr w:type="spellEnd"/>
      <w:r w:rsidRPr="000C548C">
        <w:rPr>
          <w:iCs/>
          <w:sz w:val="24"/>
          <w:szCs w:val="24"/>
        </w:rPr>
        <w:t>-tab</w:t>
      </w:r>
      <w:r w:rsidRPr="000C548C">
        <w:rPr>
          <w:sz w:val="24"/>
          <w:szCs w:val="24"/>
        </w:rPr>
        <w:t>. Derefter med ugentlige intervaller i den første behandlingsmåned og efterfølgende med månedlige intervaller. Efter seks måneders behandling er to til fire kontroller om året tilstrækkeligt.</w:t>
      </w:r>
    </w:p>
    <w:p w14:paraId="51F08DD8" w14:textId="77777777" w:rsidR="009260DE" w:rsidRPr="000C548C" w:rsidRDefault="009260DE" w:rsidP="009260DE">
      <w:pPr>
        <w:tabs>
          <w:tab w:val="left" w:pos="851"/>
        </w:tabs>
        <w:ind w:left="851"/>
        <w:rPr>
          <w:sz w:val="24"/>
          <w:szCs w:val="24"/>
        </w:rPr>
      </w:pPr>
    </w:p>
    <w:p w14:paraId="147E6925" w14:textId="77777777" w:rsidR="009260DE" w:rsidRPr="000C548C" w:rsidRDefault="009260DE" w:rsidP="009260DE">
      <w:pPr>
        <w:tabs>
          <w:tab w:val="left" w:pos="851"/>
        </w:tabs>
        <w:ind w:left="851" w:hanging="851"/>
        <w:rPr>
          <w:b/>
          <w:sz w:val="24"/>
          <w:szCs w:val="24"/>
        </w:rPr>
      </w:pPr>
      <w:r w:rsidRPr="000C548C">
        <w:rPr>
          <w:b/>
          <w:sz w:val="24"/>
          <w:szCs w:val="24"/>
        </w:rPr>
        <w:t>4.3</w:t>
      </w:r>
      <w:r w:rsidRPr="000C548C">
        <w:rPr>
          <w:b/>
          <w:sz w:val="24"/>
          <w:szCs w:val="24"/>
        </w:rPr>
        <w:tab/>
        <w:t>Kontraindikationer</w:t>
      </w:r>
    </w:p>
    <w:p w14:paraId="08F6FE40" w14:textId="5855DABB" w:rsidR="006E10A3" w:rsidRPr="000C548C" w:rsidRDefault="006E10A3" w:rsidP="000C548C">
      <w:pPr>
        <w:pStyle w:val="Listeafsnit"/>
        <w:numPr>
          <w:ilvl w:val="0"/>
          <w:numId w:val="8"/>
        </w:numPr>
        <w:ind w:left="1276" w:hanging="425"/>
        <w:rPr>
          <w:sz w:val="24"/>
          <w:szCs w:val="24"/>
          <w:lang w:eastAsia="de-DE"/>
        </w:rPr>
      </w:pPr>
      <w:r w:rsidRPr="000C548C">
        <w:rPr>
          <w:sz w:val="24"/>
          <w:szCs w:val="24"/>
        </w:rPr>
        <w:t xml:space="preserve">Overfølsomhed over for det aktive stof eller over for et eller flere af hjælpestofferne anført i </w:t>
      </w:r>
      <w:r w:rsidR="00027DFF">
        <w:rPr>
          <w:sz w:val="24"/>
          <w:szCs w:val="24"/>
        </w:rPr>
        <w:t>pkt.</w:t>
      </w:r>
      <w:r w:rsidRPr="000C548C">
        <w:rPr>
          <w:sz w:val="24"/>
          <w:szCs w:val="24"/>
        </w:rPr>
        <w:t xml:space="preserve"> 6.1.</w:t>
      </w:r>
    </w:p>
    <w:p w14:paraId="068497FF" w14:textId="77777777" w:rsidR="006E10A3" w:rsidRPr="000C548C" w:rsidRDefault="006E10A3" w:rsidP="009C67AF">
      <w:pPr>
        <w:ind w:left="851"/>
        <w:rPr>
          <w:sz w:val="24"/>
          <w:szCs w:val="24"/>
        </w:rPr>
      </w:pPr>
    </w:p>
    <w:p w14:paraId="27C7D4B3" w14:textId="470DEEF2" w:rsidR="006E10A3" w:rsidRPr="000C548C" w:rsidRDefault="006E10A3" w:rsidP="009C67AF">
      <w:pPr>
        <w:ind w:left="851"/>
        <w:rPr>
          <w:sz w:val="24"/>
          <w:szCs w:val="24"/>
        </w:rPr>
      </w:pPr>
      <w:proofErr w:type="spellStart"/>
      <w:r w:rsidRPr="000C548C">
        <w:rPr>
          <w:sz w:val="24"/>
          <w:szCs w:val="24"/>
        </w:rPr>
        <w:t>Sultiam</w:t>
      </w:r>
      <w:proofErr w:type="spellEnd"/>
      <w:r w:rsidRPr="000C548C">
        <w:rPr>
          <w:sz w:val="24"/>
          <w:szCs w:val="24"/>
        </w:rPr>
        <w:t xml:space="preserve"> bør ikke anvendes til patienter med:</w:t>
      </w:r>
    </w:p>
    <w:p w14:paraId="3837A04F" w14:textId="7C949613" w:rsidR="006E10A3" w:rsidRPr="000C548C" w:rsidRDefault="006E10A3" w:rsidP="000C548C">
      <w:pPr>
        <w:pStyle w:val="Listeafsnit"/>
        <w:numPr>
          <w:ilvl w:val="0"/>
          <w:numId w:val="8"/>
        </w:numPr>
        <w:ind w:left="1276" w:hanging="425"/>
        <w:rPr>
          <w:sz w:val="24"/>
          <w:szCs w:val="24"/>
        </w:rPr>
      </w:pPr>
      <w:r w:rsidRPr="000C548C">
        <w:rPr>
          <w:sz w:val="24"/>
          <w:szCs w:val="24"/>
        </w:rPr>
        <w:t xml:space="preserve">kendt akut </w:t>
      </w:r>
      <w:proofErr w:type="spellStart"/>
      <w:r w:rsidRPr="000C548C">
        <w:rPr>
          <w:sz w:val="24"/>
          <w:szCs w:val="24"/>
        </w:rPr>
        <w:t>porfyri</w:t>
      </w:r>
      <w:proofErr w:type="spellEnd"/>
    </w:p>
    <w:p w14:paraId="490DC2E7" w14:textId="6B4E40C6" w:rsidR="006E10A3" w:rsidRPr="000C548C" w:rsidRDefault="006E10A3" w:rsidP="000C548C">
      <w:pPr>
        <w:pStyle w:val="Listeafsnit"/>
        <w:numPr>
          <w:ilvl w:val="0"/>
          <w:numId w:val="8"/>
        </w:numPr>
        <w:ind w:left="1276" w:hanging="425"/>
        <w:rPr>
          <w:sz w:val="24"/>
          <w:szCs w:val="24"/>
        </w:rPr>
      </w:pPr>
      <w:proofErr w:type="spellStart"/>
      <w:r w:rsidRPr="000C548C">
        <w:rPr>
          <w:sz w:val="24"/>
          <w:szCs w:val="24"/>
        </w:rPr>
        <w:t>hyperthyreoidisme</w:t>
      </w:r>
      <w:proofErr w:type="spellEnd"/>
      <w:r w:rsidRPr="000C548C">
        <w:rPr>
          <w:sz w:val="24"/>
          <w:szCs w:val="24"/>
        </w:rPr>
        <w:t xml:space="preserve"> eller arteriel hypertension.</w:t>
      </w:r>
    </w:p>
    <w:p w14:paraId="67B8C0D1" w14:textId="77777777" w:rsidR="009260DE" w:rsidRPr="000C548C" w:rsidRDefault="009260DE" w:rsidP="009C67AF">
      <w:pPr>
        <w:ind w:left="851"/>
        <w:rPr>
          <w:sz w:val="24"/>
          <w:szCs w:val="24"/>
        </w:rPr>
      </w:pPr>
    </w:p>
    <w:p w14:paraId="35CA040B" w14:textId="77777777" w:rsidR="009260DE" w:rsidRPr="000C548C" w:rsidRDefault="009260DE" w:rsidP="009260DE">
      <w:pPr>
        <w:tabs>
          <w:tab w:val="left" w:pos="851"/>
        </w:tabs>
        <w:ind w:left="851" w:hanging="851"/>
        <w:rPr>
          <w:b/>
          <w:sz w:val="24"/>
          <w:szCs w:val="24"/>
        </w:rPr>
      </w:pPr>
      <w:r w:rsidRPr="000C548C">
        <w:rPr>
          <w:b/>
          <w:sz w:val="24"/>
          <w:szCs w:val="24"/>
        </w:rPr>
        <w:t>4.4</w:t>
      </w:r>
      <w:r w:rsidRPr="000C548C">
        <w:rPr>
          <w:b/>
          <w:sz w:val="24"/>
          <w:szCs w:val="24"/>
        </w:rPr>
        <w:tab/>
        <w:t>Særlige advarsler og forsigtighedsregler vedrørende brugen</w:t>
      </w:r>
    </w:p>
    <w:p w14:paraId="32BB233E" w14:textId="3417DF18" w:rsidR="006E10A3" w:rsidRPr="000C548C" w:rsidRDefault="006E10A3" w:rsidP="009C67AF">
      <w:pPr>
        <w:ind w:left="851"/>
        <w:rPr>
          <w:sz w:val="24"/>
          <w:szCs w:val="24"/>
          <w:lang w:eastAsia="de-DE"/>
        </w:rPr>
      </w:pPr>
      <w:proofErr w:type="spellStart"/>
      <w:r w:rsidRPr="000C548C">
        <w:rPr>
          <w:sz w:val="24"/>
          <w:szCs w:val="24"/>
        </w:rPr>
        <w:t>Sultiam</w:t>
      </w:r>
      <w:proofErr w:type="spellEnd"/>
      <w:r w:rsidRPr="000C548C">
        <w:rPr>
          <w:sz w:val="24"/>
          <w:szCs w:val="24"/>
        </w:rPr>
        <w:t xml:space="preserve"> bør ikke administreres eller må kun administreres med særlig forsigtighed </w:t>
      </w:r>
    </w:p>
    <w:p w14:paraId="5043CF86" w14:textId="12D67C9B" w:rsidR="006E10A3" w:rsidRPr="000C548C" w:rsidRDefault="006E10A3" w:rsidP="000C548C">
      <w:pPr>
        <w:pStyle w:val="Listeafsnit"/>
        <w:numPr>
          <w:ilvl w:val="0"/>
          <w:numId w:val="9"/>
        </w:numPr>
        <w:ind w:left="1276" w:hanging="425"/>
        <w:rPr>
          <w:sz w:val="24"/>
          <w:szCs w:val="24"/>
        </w:rPr>
      </w:pPr>
      <w:r w:rsidRPr="000C548C">
        <w:rPr>
          <w:sz w:val="24"/>
          <w:szCs w:val="24"/>
        </w:rPr>
        <w:t>hos patienter med nedsat nyrefunktion</w:t>
      </w:r>
    </w:p>
    <w:p w14:paraId="547D24E4" w14:textId="4976F477" w:rsidR="006E10A3" w:rsidRPr="000C548C" w:rsidRDefault="006E10A3" w:rsidP="000C548C">
      <w:pPr>
        <w:pStyle w:val="Listeafsnit"/>
        <w:numPr>
          <w:ilvl w:val="0"/>
          <w:numId w:val="9"/>
        </w:numPr>
        <w:ind w:left="1276" w:hanging="425"/>
        <w:rPr>
          <w:sz w:val="24"/>
          <w:szCs w:val="24"/>
        </w:rPr>
      </w:pPr>
      <w:r w:rsidRPr="000C548C">
        <w:rPr>
          <w:sz w:val="24"/>
          <w:szCs w:val="24"/>
        </w:rPr>
        <w:t>hos patienter med en anamnese med psykiatriske lidelser</w:t>
      </w:r>
    </w:p>
    <w:p w14:paraId="5FFD172B" w14:textId="77777777" w:rsidR="006E10A3" w:rsidRPr="000C548C" w:rsidRDefault="006E10A3" w:rsidP="009C67AF">
      <w:pPr>
        <w:ind w:left="851"/>
        <w:rPr>
          <w:sz w:val="24"/>
          <w:szCs w:val="24"/>
        </w:rPr>
      </w:pPr>
    </w:p>
    <w:p w14:paraId="0B6EAC62" w14:textId="77777777" w:rsidR="006E10A3" w:rsidRPr="000C548C" w:rsidRDefault="006E10A3" w:rsidP="009C67AF">
      <w:pPr>
        <w:ind w:left="851"/>
        <w:rPr>
          <w:sz w:val="24"/>
          <w:szCs w:val="24"/>
          <w:u w:val="single"/>
        </w:rPr>
      </w:pPr>
      <w:r w:rsidRPr="000C548C">
        <w:rPr>
          <w:sz w:val="24"/>
          <w:szCs w:val="24"/>
          <w:u w:val="single"/>
        </w:rPr>
        <w:t>Bemærk:</w:t>
      </w:r>
    </w:p>
    <w:p w14:paraId="2FD7E453" w14:textId="70772812" w:rsidR="006E10A3" w:rsidRPr="000C548C" w:rsidRDefault="006E10A3" w:rsidP="009C67AF">
      <w:pPr>
        <w:ind w:left="851"/>
        <w:rPr>
          <w:sz w:val="24"/>
          <w:szCs w:val="24"/>
        </w:rPr>
      </w:pPr>
      <w:r w:rsidRPr="000C548C">
        <w:rPr>
          <w:sz w:val="24"/>
          <w:szCs w:val="24"/>
        </w:rPr>
        <w:t xml:space="preserve">Patienten eller patientens forældrene skal instrueres om straks at konsultere den behandlende læge, hvis der opstår feber, ondt i halsen, allergiske hudreaktioner med hævede lymfeknuder og/eller influenzalignende symptomer under behandlingen med </w:t>
      </w:r>
      <w:proofErr w:type="spellStart"/>
      <w:r w:rsidRPr="000C548C">
        <w:rPr>
          <w:sz w:val="24"/>
          <w:szCs w:val="24"/>
        </w:rPr>
        <w:lastRenderedPageBreak/>
        <w:t>Ospolot</w:t>
      </w:r>
      <w:proofErr w:type="spellEnd"/>
      <w:r w:rsidRPr="000C548C">
        <w:rPr>
          <w:sz w:val="24"/>
          <w:szCs w:val="24"/>
        </w:rPr>
        <w:t xml:space="preserve">-tab. Progressiv </w:t>
      </w:r>
      <w:proofErr w:type="spellStart"/>
      <w:r w:rsidRPr="000C548C">
        <w:rPr>
          <w:sz w:val="24"/>
          <w:szCs w:val="24"/>
        </w:rPr>
        <w:t>trombocytopeni</w:t>
      </w:r>
      <w:proofErr w:type="spellEnd"/>
      <w:r w:rsidRPr="000C548C">
        <w:rPr>
          <w:sz w:val="24"/>
          <w:szCs w:val="24"/>
        </w:rPr>
        <w:t xml:space="preserve"> eller </w:t>
      </w:r>
      <w:proofErr w:type="spellStart"/>
      <w:r w:rsidRPr="000C548C">
        <w:rPr>
          <w:sz w:val="24"/>
          <w:szCs w:val="24"/>
        </w:rPr>
        <w:t>leukopeni</w:t>
      </w:r>
      <w:proofErr w:type="spellEnd"/>
      <w:r w:rsidRPr="000C548C">
        <w:rPr>
          <w:sz w:val="24"/>
          <w:szCs w:val="24"/>
        </w:rPr>
        <w:t xml:space="preserve">, der ledsages af kliniske symptomer, såsom feber eller ondt i halsen, kræver </w:t>
      </w:r>
      <w:proofErr w:type="spellStart"/>
      <w:r w:rsidRPr="000C548C">
        <w:rPr>
          <w:sz w:val="24"/>
          <w:szCs w:val="24"/>
        </w:rPr>
        <w:t>seponering</w:t>
      </w:r>
      <w:proofErr w:type="spellEnd"/>
      <w:r w:rsidRPr="000C548C">
        <w:rPr>
          <w:sz w:val="24"/>
          <w:szCs w:val="24"/>
        </w:rPr>
        <w:t xml:space="preserve"> af behandlingen. Ved alvorlige allergiske reaktioner skal </w:t>
      </w:r>
      <w:proofErr w:type="spellStart"/>
      <w:r w:rsidRPr="000C548C">
        <w:rPr>
          <w:sz w:val="24"/>
          <w:szCs w:val="24"/>
        </w:rPr>
        <w:t>Ospolot</w:t>
      </w:r>
      <w:proofErr w:type="spellEnd"/>
      <w:r w:rsidRPr="000C548C">
        <w:rPr>
          <w:sz w:val="24"/>
          <w:szCs w:val="24"/>
        </w:rPr>
        <w:t xml:space="preserve">-tab seponeres med det samme. Behandlingen skal også seponeres, hvis der opstår en vedvarende stigning i </w:t>
      </w:r>
      <w:proofErr w:type="spellStart"/>
      <w:r w:rsidRPr="000C548C">
        <w:rPr>
          <w:sz w:val="24"/>
          <w:szCs w:val="24"/>
        </w:rPr>
        <w:t>kreatinin</w:t>
      </w:r>
      <w:proofErr w:type="spellEnd"/>
      <w:r w:rsidRPr="000C548C">
        <w:rPr>
          <w:sz w:val="24"/>
          <w:szCs w:val="24"/>
        </w:rPr>
        <w:t xml:space="preserve">. Blodprocenten, leverenzymerne og urinen skal kontrolleres regelmæssigt (se også </w:t>
      </w:r>
      <w:r w:rsidR="00027DFF">
        <w:rPr>
          <w:sz w:val="24"/>
          <w:szCs w:val="24"/>
        </w:rPr>
        <w:t>pkt.</w:t>
      </w:r>
      <w:r w:rsidRPr="000C548C">
        <w:rPr>
          <w:sz w:val="24"/>
          <w:szCs w:val="24"/>
        </w:rPr>
        <w:t xml:space="preserve"> 4.2).</w:t>
      </w:r>
    </w:p>
    <w:p w14:paraId="085F0AE3" w14:textId="77777777" w:rsidR="006E10A3" w:rsidRPr="000C548C" w:rsidRDefault="006E10A3" w:rsidP="009C67AF">
      <w:pPr>
        <w:ind w:left="851"/>
        <w:rPr>
          <w:sz w:val="24"/>
          <w:szCs w:val="24"/>
        </w:rPr>
      </w:pPr>
    </w:p>
    <w:p w14:paraId="41316BEC" w14:textId="77777777" w:rsidR="006E10A3" w:rsidRPr="000C548C" w:rsidRDefault="006E10A3" w:rsidP="009C67AF">
      <w:pPr>
        <w:ind w:left="851"/>
        <w:rPr>
          <w:sz w:val="24"/>
          <w:szCs w:val="24"/>
          <w:u w:val="single"/>
        </w:rPr>
      </w:pPr>
      <w:r w:rsidRPr="000C548C">
        <w:rPr>
          <w:sz w:val="24"/>
          <w:szCs w:val="24"/>
          <w:u w:val="single"/>
        </w:rPr>
        <w:t>Selvmordstanker og selvmordsadfærd</w:t>
      </w:r>
    </w:p>
    <w:p w14:paraId="20062530" w14:textId="0F17B275" w:rsidR="006E10A3" w:rsidRPr="000C548C" w:rsidRDefault="006E10A3" w:rsidP="009C67AF">
      <w:pPr>
        <w:ind w:left="851"/>
        <w:rPr>
          <w:sz w:val="24"/>
          <w:szCs w:val="24"/>
        </w:rPr>
      </w:pPr>
      <w:r w:rsidRPr="000C548C">
        <w:rPr>
          <w:sz w:val="24"/>
          <w:szCs w:val="24"/>
        </w:rPr>
        <w:t xml:space="preserve">Der er rapporteret om selvmordstanker og selvmordsadfærd hos patienter, der er behandlet med </w:t>
      </w:r>
      <w:proofErr w:type="spellStart"/>
      <w:r w:rsidRPr="000C548C">
        <w:rPr>
          <w:sz w:val="24"/>
          <w:szCs w:val="24"/>
        </w:rPr>
        <w:t>antiepileptika</w:t>
      </w:r>
      <w:proofErr w:type="spellEnd"/>
      <w:r w:rsidRPr="000C548C">
        <w:rPr>
          <w:sz w:val="24"/>
          <w:szCs w:val="24"/>
        </w:rPr>
        <w:t xml:space="preserve"> ved flere indikationer. En metaanalyse af randomiserede, placebokontrollerede forsøg med </w:t>
      </w:r>
      <w:proofErr w:type="spellStart"/>
      <w:r w:rsidRPr="000C548C">
        <w:rPr>
          <w:sz w:val="24"/>
          <w:szCs w:val="24"/>
        </w:rPr>
        <w:t>antiepileptika</w:t>
      </w:r>
      <w:proofErr w:type="spellEnd"/>
      <w:r w:rsidRPr="000C548C">
        <w:rPr>
          <w:sz w:val="24"/>
          <w:szCs w:val="24"/>
        </w:rPr>
        <w:t xml:space="preserve"> har også vist en lille øget risiko for selvmordstanker og selvmordsadfærd. Mekanismen bag denne risiko er ukendt, og de tilgængelige data udelukker ikke muligheden for en øget risiko for </w:t>
      </w:r>
      <w:proofErr w:type="spellStart"/>
      <w:r w:rsidRPr="000C548C">
        <w:rPr>
          <w:sz w:val="24"/>
          <w:szCs w:val="24"/>
        </w:rPr>
        <w:t>sultiam</w:t>
      </w:r>
      <w:proofErr w:type="spellEnd"/>
      <w:r w:rsidRPr="000C548C">
        <w:rPr>
          <w:sz w:val="24"/>
          <w:szCs w:val="24"/>
        </w:rPr>
        <w:t>.</w:t>
      </w:r>
    </w:p>
    <w:p w14:paraId="26CD5DDC" w14:textId="77777777" w:rsidR="006E10A3" w:rsidRPr="000C548C" w:rsidRDefault="006E10A3" w:rsidP="009C67AF">
      <w:pPr>
        <w:ind w:left="851"/>
        <w:rPr>
          <w:sz w:val="24"/>
          <w:szCs w:val="24"/>
        </w:rPr>
      </w:pPr>
    </w:p>
    <w:p w14:paraId="2F9675F9" w14:textId="57BF1582" w:rsidR="006E10A3" w:rsidRPr="000C548C" w:rsidRDefault="006E10A3" w:rsidP="009C67AF">
      <w:pPr>
        <w:ind w:left="851"/>
        <w:rPr>
          <w:sz w:val="24"/>
          <w:szCs w:val="24"/>
        </w:rPr>
      </w:pPr>
      <w:r w:rsidRPr="000C548C">
        <w:rPr>
          <w:sz w:val="24"/>
          <w:szCs w:val="24"/>
        </w:rPr>
        <w:t>Patienterne bør derfor overvåges for tegn på selvmordstanker og -adfærd, og passende behandling bør overvejes. Patienter (og pårørende til patienter) bør rådes til at søge læge, hvis der opstår tegn på selvmordstanker eller -adfærd.</w:t>
      </w:r>
    </w:p>
    <w:p w14:paraId="3A389C03" w14:textId="77777777" w:rsidR="006E10A3" w:rsidRPr="000C548C" w:rsidRDefault="006E10A3" w:rsidP="009C67AF">
      <w:pPr>
        <w:ind w:left="851"/>
        <w:rPr>
          <w:sz w:val="24"/>
          <w:szCs w:val="24"/>
        </w:rPr>
      </w:pPr>
    </w:p>
    <w:p w14:paraId="28C5EEAA" w14:textId="77777777" w:rsidR="006E10A3" w:rsidRPr="000C548C" w:rsidRDefault="006E10A3" w:rsidP="009C67AF">
      <w:pPr>
        <w:ind w:left="851"/>
        <w:rPr>
          <w:sz w:val="24"/>
          <w:szCs w:val="24"/>
          <w:u w:val="single"/>
        </w:rPr>
      </w:pPr>
      <w:r w:rsidRPr="000C548C">
        <w:rPr>
          <w:sz w:val="24"/>
          <w:szCs w:val="24"/>
          <w:u w:val="single"/>
        </w:rPr>
        <w:t>Hjælpestoffer</w:t>
      </w:r>
    </w:p>
    <w:p w14:paraId="4C61C5DA" w14:textId="77777777" w:rsidR="006E10A3" w:rsidRPr="000C548C" w:rsidRDefault="006E10A3" w:rsidP="009C67AF">
      <w:pPr>
        <w:ind w:left="851"/>
        <w:rPr>
          <w:sz w:val="24"/>
          <w:szCs w:val="24"/>
        </w:rPr>
      </w:pPr>
      <w:proofErr w:type="spellStart"/>
      <w:r w:rsidRPr="000C548C">
        <w:rPr>
          <w:sz w:val="24"/>
          <w:szCs w:val="24"/>
        </w:rPr>
        <w:t>Ospolot</w:t>
      </w:r>
      <w:proofErr w:type="spellEnd"/>
      <w:r w:rsidRPr="000C548C">
        <w:rPr>
          <w:sz w:val="24"/>
          <w:szCs w:val="24"/>
        </w:rPr>
        <w:t xml:space="preserve">-tab indeholder </w:t>
      </w:r>
      <w:proofErr w:type="spellStart"/>
      <w:r w:rsidRPr="000C548C">
        <w:rPr>
          <w:sz w:val="24"/>
          <w:szCs w:val="24"/>
        </w:rPr>
        <w:t>lactose</w:t>
      </w:r>
      <w:proofErr w:type="spellEnd"/>
      <w:r w:rsidRPr="000C548C">
        <w:rPr>
          <w:sz w:val="24"/>
          <w:szCs w:val="24"/>
        </w:rPr>
        <w:t xml:space="preserve">. Bør ikke anvendes til patienter med hereditær </w:t>
      </w:r>
      <w:proofErr w:type="spellStart"/>
      <w:r w:rsidRPr="000C548C">
        <w:rPr>
          <w:sz w:val="24"/>
          <w:szCs w:val="24"/>
        </w:rPr>
        <w:t>galactoseintolerans</w:t>
      </w:r>
      <w:proofErr w:type="spellEnd"/>
      <w:r w:rsidRPr="000C548C">
        <w:rPr>
          <w:sz w:val="24"/>
          <w:szCs w:val="24"/>
        </w:rPr>
        <w:t xml:space="preserve">, total </w:t>
      </w:r>
      <w:proofErr w:type="spellStart"/>
      <w:r w:rsidRPr="000C548C">
        <w:rPr>
          <w:sz w:val="24"/>
          <w:szCs w:val="24"/>
        </w:rPr>
        <w:t>lactasemangel</w:t>
      </w:r>
      <w:proofErr w:type="spellEnd"/>
      <w:r w:rsidRPr="000C548C">
        <w:rPr>
          <w:sz w:val="24"/>
          <w:szCs w:val="24"/>
        </w:rPr>
        <w:t xml:space="preserve"> eller </w:t>
      </w:r>
      <w:proofErr w:type="spellStart"/>
      <w:r w:rsidRPr="000C548C">
        <w:rPr>
          <w:sz w:val="24"/>
          <w:szCs w:val="24"/>
        </w:rPr>
        <w:t>glucose</w:t>
      </w:r>
      <w:proofErr w:type="spellEnd"/>
      <w:r w:rsidRPr="000C548C">
        <w:rPr>
          <w:sz w:val="24"/>
          <w:szCs w:val="24"/>
        </w:rPr>
        <w:t>/</w:t>
      </w:r>
      <w:proofErr w:type="spellStart"/>
      <w:r w:rsidRPr="000C548C">
        <w:rPr>
          <w:sz w:val="24"/>
          <w:szCs w:val="24"/>
        </w:rPr>
        <w:t>galactosemalabsorption</w:t>
      </w:r>
      <w:proofErr w:type="spellEnd"/>
      <w:r w:rsidRPr="000C548C">
        <w:rPr>
          <w:sz w:val="24"/>
          <w:szCs w:val="24"/>
        </w:rPr>
        <w:t>.</w:t>
      </w:r>
    </w:p>
    <w:p w14:paraId="70C86256" w14:textId="77777777" w:rsidR="009260DE" w:rsidRPr="000C548C" w:rsidRDefault="009260DE" w:rsidP="009260DE">
      <w:pPr>
        <w:tabs>
          <w:tab w:val="left" w:pos="851"/>
        </w:tabs>
        <w:ind w:left="851"/>
        <w:rPr>
          <w:sz w:val="24"/>
          <w:szCs w:val="24"/>
        </w:rPr>
      </w:pPr>
    </w:p>
    <w:p w14:paraId="52717820" w14:textId="77777777" w:rsidR="009260DE" w:rsidRPr="000C548C" w:rsidRDefault="009260DE" w:rsidP="009260DE">
      <w:pPr>
        <w:tabs>
          <w:tab w:val="left" w:pos="851"/>
        </w:tabs>
        <w:ind w:left="851" w:hanging="851"/>
        <w:rPr>
          <w:b/>
          <w:sz w:val="24"/>
          <w:szCs w:val="24"/>
        </w:rPr>
      </w:pPr>
      <w:r w:rsidRPr="000C548C">
        <w:rPr>
          <w:b/>
          <w:sz w:val="24"/>
          <w:szCs w:val="24"/>
        </w:rPr>
        <w:t>4.5</w:t>
      </w:r>
      <w:r w:rsidRPr="000C548C">
        <w:rPr>
          <w:b/>
          <w:sz w:val="24"/>
          <w:szCs w:val="24"/>
        </w:rPr>
        <w:tab/>
        <w:t>Interaktion med andre lægemidler og andre former for interaktion</w:t>
      </w:r>
    </w:p>
    <w:p w14:paraId="76623226" w14:textId="69306B17" w:rsidR="006E10A3" w:rsidRPr="000C548C" w:rsidRDefault="006E10A3" w:rsidP="009C67AF">
      <w:pPr>
        <w:ind w:left="851"/>
        <w:rPr>
          <w:bCs/>
          <w:snapToGrid w:val="0"/>
          <w:sz w:val="24"/>
          <w:szCs w:val="24"/>
          <w:lang w:eastAsia="de-DE"/>
        </w:rPr>
      </w:pPr>
      <w:r w:rsidRPr="000C548C">
        <w:rPr>
          <w:snapToGrid w:val="0"/>
          <w:sz w:val="24"/>
          <w:szCs w:val="24"/>
        </w:rPr>
        <w:t xml:space="preserve">Inden behandlingen med </w:t>
      </w:r>
      <w:proofErr w:type="spellStart"/>
      <w:r w:rsidRPr="000C548C">
        <w:rPr>
          <w:iCs/>
          <w:sz w:val="24"/>
          <w:szCs w:val="24"/>
        </w:rPr>
        <w:t>Ospolot</w:t>
      </w:r>
      <w:proofErr w:type="spellEnd"/>
      <w:r w:rsidRPr="000C548C">
        <w:rPr>
          <w:iCs/>
          <w:sz w:val="24"/>
          <w:szCs w:val="24"/>
        </w:rPr>
        <w:t>-tab</w:t>
      </w:r>
      <w:r w:rsidRPr="000C548C">
        <w:rPr>
          <w:iCs/>
          <w:sz w:val="24"/>
          <w:szCs w:val="24"/>
          <w:vertAlign w:val="superscript"/>
        </w:rPr>
        <w:t xml:space="preserve"> </w:t>
      </w:r>
      <w:r w:rsidRPr="000C548C">
        <w:rPr>
          <w:snapToGrid w:val="0"/>
          <w:sz w:val="24"/>
          <w:szCs w:val="24"/>
        </w:rPr>
        <w:t>påbegyndes, skal patienten spørges om andre lægemidler, herunder håndkøbslægemidler, som han/hun tager.</w:t>
      </w:r>
    </w:p>
    <w:p w14:paraId="302AD138" w14:textId="77777777" w:rsidR="006E10A3" w:rsidRPr="000C548C" w:rsidRDefault="006E10A3" w:rsidP="009C67AF">
      <w:pPr>
        <w:ind w:left="851"/>
        <w:rPr>
          <w:bCs/>
          <w:snapToGrid w:val="0"/>
          <w:sz w:val="24"/>
          <w:szCs w:val="24"/>
          <w:lang w:eastAsia="cs-CZ"/>
        </w:rPr>
      </w:pPr>
    </w:p>
    <w:p w14:paraId="75A91D18" w14:textId="01893E01" w:rsidR="006E10A3" w:rsidRPr="000C548C" w:rsidRDefault="006E10A3" w:rsidP="009C67AF">
      <w:pPr>
        <w:ind w:left="851"/>
        <w:rPr>
          <w:bCs/>
          <w:snapToGrid w:val="0"/>
          <w:sz w:val="24"/>
          <w:szCs w:val="24"/>
          <w:u w:val="single"/>
          <w:lang w:eastAsia="de-DE"/>
        </w:rPr>
      </w:pPr>
      <w:r w:rsidRPr="000C548C">
        <w:rPr>
          <w:snapToGrid w:val="0"/>
          <w:sz w:val="24"/>
          <w:szCs w:val="24"/>
          <w:u w:val="single"/>
        </w:rPr>
        <w:t xml:space="preserve">Andre lægemidlers indvirkning på </w:t>
      </w:r>
      <w:proofErr w:type="spellStart"/>
      <w:r w:rsidRPr="000C548C">
        <w:rPr>
          <w:snapToGrid w:val="0"/>
          <w:sz w:val="24"/>
          <w:szCs w:val="24"/>
          <w:u w:val="single"/>
        </w:rPr>
        <w:t>sultiam</w:t>
      </w:r>
      <w:proofErr w:type="spellEnd"/>
    </w:p>
    <w:p w14:paraId="73CE140E" w14:textId="77777777" w:rsidR="006E10A3" w:rsidRPr="000C548C" w:rsidRDefault="006E10A3" w:rsidP="009C67AF">
      <w:pPr>
        <w:ind w:left="851"/>
        <w:rPr>
          <w:bCs/>
          <w:snapToGrid w:val="0"/>
          <w:sz w:val="24"/>
          <w:szCs w:val="24"/>
          <w:u w:val="single"/>
          <w:lang w:eastAsia="cs-CZ"/>
        </w:rPr>
      </w:pPr>
    </w:p>
    <w:p w14:paraId="43E4647B" w14:textId="77777777" w:rsidR="006E10A3" w:rsidRPr="000C548C" w:rsidRDefault="006E10A3" w:rsidP="009C67AF">
      <w:pPr>
        <w:ind w:left="851"/>
        <w:rPr>
          <w:bCs/>
          <w:i/>
          <w:snapToGrid w:val="0"/>
          <w:sz w:val="24"/>
          <w:szCs w:val="24"/>
          <w:lang w:eastAsia="de-DE"/>
        </w:rPr>
      </w:pPr>
      <w:proofErr w:type="spellStart"/>
      <w:r w:rsidRPr="000C548C">
        <w:rPr>
          <w:i/>
          <w:snapToGrid w:val="0"/>
          <w:sz w:val="24"/>
          <w:szCs w:val="24"/>
        </w:rPr>
        <w:t>Primidon</w:t>
      </w:r>
      <w:proofErr w:type="spellEnd"/>
    </w:p>
    <w:p w14:paraId="2BEFA537" w14:textId="22C333B1" w:rsidR="006E10A3" w:rsidRPr="000C548C" w:rsidRDefault="006E10A3" w:rsidP="009C67AF">
      <w:pPr>
        <w:ind w:left="851"/>
        <w:rPr>
          <w:sz w:val="24"/>
          <w:szCs w:val="24"/>
        </w:rPr>
      </w:pPr>
      <w:r w:rsidRPr="000C548C">
        <w:rPr>
          <w:sz w:val="24"/>
          <w:szCs w:val="24"/>
        </w:rPr>
        <w:t xml:space="preserve">Hvis </w:t>
      </w:r>
      <w:proofErr w:type="spellStart"/>
      <w:r w:rsidRPr="000C548C">
        <w:rPr>
          <w:sz w:val="24"/>
          <w:szCs w:val="24"/>
        </w:rPr>
        <w:t>sultiam</w:t>
      </w:r>
      <w:proofErr w:type="spellEnd"/>
      <w:r w:rsidRPr="000C548C">
        <w:rPr>
          <w:sz w:val="24"/>
          <w:szCs w:val="24"/>
        </w:rPr>
        <w:t xml:space="preserve"> kombineres med </w:t>
      </w:r>
      <w:proofErr w:type="spellStart"/>
      <w:r w:rsidRPr="000C548C">
        <w:rPr>
          <w:sz w:val="24"/>
          <w:szCs w:val="24"/>
        </w:rPr>
        <w:t>primidon</w:t>
      </w:r>
      <w:proofErr w:type="spellEnd"/>
      <w:r w:rsidRPr="000C548C">
        <w:rPr>
          <w:sz w:val="24"/>
          <w:szCs w:val="24"/>
        </w:rPr>
        <w:t xml:space="preserve">, kan intensiteten af de bivirkninger, der er forbundet med </w:t>
      </w:r>
      <w:proofErr w:type="spellStart"/>
      <w:r w:rsidRPr="000C548C">
        <w:rPr>
          <w:sz w:val="24"/>
          <w:szCs w:val="24"/>
        </w:rPr>
        <w:t>sultiam</w:t>
      </w:r>
      <w:proofErr w:type="spellEnd"/>
      <w:r w:rsidRPr="000C548C">
        <w:rPr>
          <w:sz w:val="24"/>
          <w:szCs w:val="24"/>
        </w:rPr>
        <w:t xml:space="preserve">, øges. Især hos børn kan der forekomme svimmelhed, ustabil gang og døsighed. </w:t>
      </w:r>
    </w:p>
    <w:p w14:paraId="23A2035A" w14:textId="77777777" w:rsidR="006E10A3" w:rsidRPr="000C548C" w:rsidRDefault="006E10A3" w:rsidP="009C67AF">
      <w:pPr>
        <w:ind w:left="851"/>
        <w:rPr>
          <w:sz w:val="24"/>
          <w:szCs w:val="24"/>
          <w:u w:val="single"/>
        </w:rPr>
      </w:pPr>
    </w:p>
    <w:p w14:paraId="19675B68" w14:textId="77777777" w:rsidR="006E10A3" w:rsidRPr="000C548C" w:rsidRDefault="006E10A3" w:rsidP="009C67AF">
      <w:pPr>
        <w:ind w:left="851"/>
        <w:rPr>
          <w:i/>
          <w:sz w:val="24"/>
          <w:szCs w:val="24"/>
        </w:rPr>
      </w:pPr>
      <w:proofErr w:type="spellStart"/>
      <w:r w:rsidRPr="000C548C">
        <w:rPr>
          <w:i/>
          <w:sz w:val="24"/>
          <w:szCs w:val="24"/>
        </w:rPr>
        <w:t>Carbamzepin</w:t>
      </w:r>
      <w:proofErr w:type="spellEnd"/>
    </w:p>
    <w:p w14:paraId="2D2A51BD" w14:textId="425E1649" w:rsidR="006E10A3" w:rsidRPr="000C548C" w:rsidRDefault="006E10A3" w:rsidP="009C67AF">
      <w:pPr>
        <w:ind w:left="851"/>
        <w:rPr>
          <w:sz w:val="24"/>
          <w:szCs w:val="24"/>
        </w:rPr>
      </w:pPr>
      <w:r w:rsidRPr="000C548C">
        <w:rPr>
          <w:sz w:val="24"/>
          <w:szCs w:val="24"/>
        </w:rPr>
        <w:t xml:space="preserve">Der er tegn på, at serumkoncentrationen af </w:t>
      </w:r>
      <w:proofErr w:type="spellStart"/>
      <w:r w:rsidRPr="000C548C">
        <w:rPr>
          <w:sz w:val="24"/>
          <w:szCs w:val="24"/>
        </w:rPr>
        <w:t>sultiam</w:t>
      </w:r>
      <w:proofErr w:type="spellEnd"/>
      <w:r w:rsidRPr="000C548C">
        <w:rPr>
          <w:sz w:val="24"/>
          <w:szCs w:val="24"/>
        </w:rPr>
        <w:t xml:space="preserve"> kan falde, hvis der samtidig tages </w:t>
      </w:r>
      <w:proofErr w:type="spellStart"/>
      <w:r w:rsidRPr="000C548C">
        <w:rPr>
          <w:sz w:val="24"/>
          <w:szCs w:val="24"/>
        </w:rPr>
        <w:t>carbamazepin</w:t>
      </w:r>
      <w:proofErr w:type="spellEnd"/>
      <w:r w:rsidRPr="000C548C">
        <w:rPr>
          <w:sz w:val="24"/>
          <w:szCs w:val="24"/>
        </w:rPr>
        <w:t>.</w:t>
      </w:r>
    </w:p>
    <w:p w14:paraId="4B8E98E6" w14:textId="77777777" w:rsidR="006E10A3" w:rsidRPr="000C548C" w:rsidRDefault="006E10A3" w:rsidP="009C67AF">
      <w:pPr>
        <w:ind w:left="851"/>
        <w:rPr>
          <w:sz w:val="24"/>
          <w:szCs w:val="24"/>
        </w:rPr>
      </w:pPr>
    </w:p>
    <w:p w14:paraId="388C9635" w14:textId="2E89C1FE" w:rsidR="006E10A3" w:rsidRPr="000C548C" w:rsidRDefault="006E10A3" w:rsidP="009C67AF">
      <w:pPr>
        <w:ind w:left="851"/>
        <w:rPr>
          <w:sz w:val="24"/>
          <w:szCs w:val="24"/>
          <w:u w:val="single"/>
        </w:rPr>
      </w:pPr>
      <w:proofErr w:type="spellStart"/>
      <w:r w:rsidRPr="000C548C">
        <w:rPr>
          <w:sz w:val="24"/>
          <w:szCs w:val="24"/>
          <w:u w:val="single"/>
        </w:rPr>
        <w:t>Sultiams</w:t>
      </w:r>
      <w:proofErr w:type="spellEnd"/>
      <w:r w:rsidRPr="000C548C">
        <w:rPr>
          <w:sz w:val="24"/>
          <w:szCs w:val="24"/>
          <w:u w:val="single"/>
        </w:rPr>
        <w:t xml:space="preserve"> indvirkning på andre lægemidler</w:t>
      </w:r>
    </w:p>
    <w:p w14:paraId="046B4341" w14:textId="77777777" w:rsidR="006E10A3" w:rsidRPr="000C548C" w:rsidRDefault="006E10A3" w:rsidP="009C67AF">
      <w:pPr>
        <w:ind w:left="851"/>
        <w:rPr>
          <w:sz w:val="24"/>
          <w:szCs w:val="24"/>
          <w:u w:val="single"/>
        </w:rPr>
      </w:pPr>
    </w:p>
    <w:p w14:paraId="21FFB97B" w14:textId="77777777" w:rsidR="006E10A3" w:rsidRPr="000C548C" w:rsidRDefault="006E10A3" w:rsidP="009C67AF">
      <w:pPr>
        <w:ind w:left="851"/>
        <w:rPr>
          <w:i/>
          <w:sz w:val="24"/>
          <w:szCs w:val="24"/>
        </w:rPr>
      </w:pPr>
      <w:proofErr w:type="spellStart"/>
      <w:r w:rsidRPr="000C548C">
        <w:rPr>
          <w:i/>
          <w:sz w:val="24"/>
          <w:szCs w:val="24"/>
        </w:rPr>
        <w:t>Phenytoin</w:t>
      </w:r>
      <w:proofErr w:type="spellEnd"/>
    </w:p>
    <w:p w14:paraId="6A7B653E" w14:textId="75E3EE15" w:rsidR="006E10A3" w:rsidRPr="000C548C" w:rsidRDefault="006E10A3" w:rsidP="009C67AF">
      <w:pPr>
        <w:ind w:left="851"/>
        <w:rPr>
          <w:sz w:val="24"/>
          <w:szCs w:val="24"/>
        </w:rPr>
      </w:pPr>
      <w:r w:rsidRPr="000C548C">
        <w:rPr>
          <w:sz w:val="24"/>
          <w:szCs w:val="24"/>
        </w:rPr>
        <w:t xml:space="preserve">Hvis </w:t>
      </w:r>
      <w:proofErr w:type="spellStart"/>
      <w:r w:rsidRPr="000C548C">
        <w:rPr>
          <w:sz w:val="24"/>
          <w:szCs w:val="24"/>
        </w:rPr>
        <w:t>sultiam</w:t>
      </w:r>
      <w:proofErr w:type="spellEnd"/>
      <w:r w:rsidRPr="000C548C">
        <w:rPr>
          <w:sz w:val="24"/>
          <w:szCs w:val="24"/>
        </w:rPr>
        <w:t xml:space="preserve"> kombineres med </w:t>
      </w:r>
      <w:proofErr w:type="spellStart"/>
      <w:r w:rsidRPr="000C548C">
        <w:rPr>
          <w:sz w:val="24"/>
          <w:szCs w:val="24"/>
        </w:rPr>
        <w:t>phenytoin</w:t>
      </w:r>
      <w:proofErr w:type="spellEnd"/>
      <w:r w:rsidRPr="000C548C">
        <w:rPr>
          <w:sz w:val="24"/>
          <w:szCs w:val="24"/>
        </w:rPr>
        <w:t xml:space="preserve">, kan plasmaniveauerne af </w:t>
      </w:r>
      <w:proofErr w:type="spellStart"/>
      <w:r w:rsidRPr="000C548C">
        <w:rPr>
          <w:sz w:val="24"/>
          <w:szCs w:val="24"/>
        </w:rPr>
        <w:t>phenytoin</w:t>
      </w:r>
      <w:proofErr w:type="spellEnd"/>
      <w:r w:rsidRPr="000C548C">
        <w:rPr>
          <w:sz w:val="24"/>
          <w:szCs w:val="24"/>
        </w:rPr>
        <w:t xml:space="preserve"> stige markant. Denne kombination kræver særlig streng overvågning og hyppige kontroller af </w:t>
      </w:r>
      <w:proofErr w:type="spellStart"/>
      <w:r w:rsidRPr="000C548C">
        <w:rPr>
          <w:sz w:val="24"/>
          <w:szCs w:val="24"/>
        </w:rPr>
        <w:t>phenytoin</w:t>
      </w:r>
      <w:proofErr w:type="spellEnd"/>
      <w:r w:rsidRPr="000C548C">
        <w:rPr>
          <w:sz w:val="24"/>
          <w:szCs w:val="24"/>
        </w:rPr>
        <w:t xml:space="preserve">-plasmaniveauer, især i tilfælde af nedsat nyrefunktion. </w:t>
      </w:r>
    </w:p>
    <w:p w14:paraId="1AE7F941" w14:textId="77777777" w:rsidR="006E10A3" w:rsidRPr="000C548C" w:rsidRDefault="006E10A3" w:rsidP="009C67AF">
      <w:pPr>
        <w:ind w:left="851"/>
        <w:rPr>
          <w:sz w:val="24"/>
          <w:szCs w:val="24"/>
        </w:rPr>
      </w:pPr>
    </w:p>
    <w:p w14:paraId="50520482" w14:textId="77777777" w:rsidR="006E10A3" w:rsidRPr="000C548C" w:rsidRDefault="006E10A3" w:rsidP="009C67AF">
      <w:pPr>
        <w:ind w:left="851"/>
        <w:rPr>
          <w:i/>
          <w:sz w:val="24"/>
          <w:szCs w:val="24"/>
        </w:rPr>
      </w:pPr>
      <w:proofErr w:type="spellStart"/>
      <w:r w:rsidRPr="000C548C">
        <w:rPr>
          <w:i/>
          <w:sz w:val="24"/>
          <w:szCs w:val="24"/>
        </w:rPr>
        <w:t>Lamotrigin</w:t>
      </w:r>
      <w:proofErr w:type="spellEnd"/>
    </w:p>
    <w:p w14:paraId="7583DD85" w14:textId="77777777" w:rsidR="006E10A3" w:rsidRPr="000C548C" w:rsidRDefault="006E10A3" w:rsidP="009C67AF">
      <w:pPr>
        <w:ind w:left="851"/>
        <w:rPr>
          <w:sz w:val="24"/>
          <w:szCs w:val="24"/>
        </w:rPr>
      </w:pPr>
      <w:r w:rsidRPr="000C548C">
        <w:rPr>
          <w:sz w:val="24"/>
          <w:szCs w:val="24"/>
        </w:rPr>
        <w:t xml:space="preserve">I kombination med </w:t>
      </w:r>
      <w:proofErr w:type="spellStart"/>
      <w:r w:rsidRPr="000C548C">
        <w:rPr>
          <w:sz w:val="24"/>
          <w:szCs w:val="24"/>
        </w:rPr>
        <w:t>lamotrigin</w:t>
      </w:r>
      <w:proofErr w:type="spellEnd"/>
      <w:r w:rsidRPr="000C548C">
        <w:rPr>
          <w:sz w:val="24"/>
          <w:szCs w:val="24"/>
        </w:rPr>
        <w:t xml:space="preserve"> er der også i enkelte tilfælde observeret en stigning i </w:t>
      </w:r>
      <w:proofErr w:type="spellStart"/>
      <w:r w:rsidRPr="000C548C">
        <w:rPr>
          <w:sz w:val="24"/>
          <w:szCs w:val="24"/>
        </w:rPr>
        <w:t>lamotriginniveauerne</w:t>
      </w:r>
      <w:proofErr w:type="spellEnd"/>
      <w:r w:rsidRPr="000C548C">
        <w:rPr>
          <w:sz w:val="24"/>
          <w:szCs w:val="24"/>
        </w:rPr>
        <w:t xml:space="preserve"> i blodet. Derfor bør </w:t>
      </w:r>
      <w:proofErr w:type="spellStart"/>
      <w:r w:rsidRPr="000C548C">
        <w:rPr>
          <w:sz w:val="24"/>
          <w:szCs w:val="24"/>
        </w:rPr>
        <w:t>lamotriginniveauerne</w:t>
      </w:r>
      <w:proofErr w:type="spellEnd"/>
      <w:r w:rsidRPr="000C548C">
        <w:rPr>
          <w:sz w:val="24"/>
          <w:szCs w:val="24"/>
        </w:rPr>
        <w:t xml:space="preserve"> kontrolleres hyppigere i begyndelsen af en sådan behandling.</w:t>
      </w:r>
    </w:p>
    <w:p w14:paraId="5ED61F8A" w14:textId="6E940932" w:rsidR="00027DFF" w:rsidRDefault="00027DFF">
      <w:pPr>
        <w:rPr>
          <w:sz w:val="24"/>
          <w:szCs w:val="24"/>
        </w:rPr>
      </w:pPr>
      <w:r>
        <w:rPr>
          <w:sz w:val="24"/>
          <w:szCs w:val="24"/>
        </w:rPr>
        <w:br w:type="page"/>
      </w:r>
    </w:p>
    <w:p w14:paraId="4031A8B1" w14:textId="77777777" w:rsidR="006E10A3" w:rsidRPr="000C548C" w:rsidRDefault="006E10A3" w:rsidP="009C67AF">
      <w:pPr>
        <w:ind w:left="851"/>
        <w:rPr>
          <w:sz w:val="24"/>
          <w:szCs w:val="24"/>
        </w:rPr>
      </w:pPr>
    </w:p>
    <w:p w14:paraId="5784E472" w14:textId="77777777" w:rsidR="006E10A3" w:rsidRPr="000C548C" w:rsidRDefault="006E10A3" w:rsidP="009C67AF">
      <w:pPr>
        <w:ind w:left="851"/>
        <w:rPr>
          <w:i/>
          <w:sz w:val="24"/>
          <w:szCs w:val="24"/>
        </w:rPr>
      </w:pPr>
      <w:proofErr w:type="spellStart"/>
      <w:r w:rsidRPr="000C548C">
        <w:rPr>
          <w:i/>
          <w:sz w:val="24"/>
          <w:szCs w:val="24"/>
        </w:rPr>
        <w:t>Carboanhydrasehæmmere</w:t>
      </w:r>
      <w:proofErr w:type="spellEnd"/>
    </w:p>
    <w:p w14:paraId="203CD829" w14:textId="5E65CA8D" w:rsidR="006E10A3" w:rsidRPr="000C548C" w:rsidRDefault="006E10A3" w:rsidP="009C67AF">
      <w:pPr>
        <w:ind w:left="851"/>
        <w:rPr>
          <w:sz w:val="24"/>
          <w:szCs w:val="24"/>
        </w:rPr>
      </w:pPr>
      <w:r w:rsidRPr="000C548C">
        <w:rPr>
          <w:sz w:val="24"/>
          <w:szCs w:val="24"/>
        </w:rPr>
        <w:t xml:space="preserve">Samtidig brug af </w:t>
      </w:r>
      <w:proofErr w:type="spellStart"/>
      <w:r w:rsidRPr="000C548C">
        <w:rPr>
          <w:sz w:val="24"/>
          <w:szCs w:val="24"/>
        </w:rPr>
        <w:t>sultiam</w:t>
      </w:r>
      <w:proofErr w:type="spellEnd"/>
      <w:r w:rsidRPr="000C548C">
        <w:rPr>
          <w:sz w:val="24"/>
          <w:szCs w:val="24"/>
        </w:rPr>
        <w:t xml:space="preserve"> og andre </w:t>
      </w:r>
      <w:proofErr w:type="spellStart"/>
      <w:r w:rsidRPr="000C548C">
        <w:rPr>
          <w:sz w:val="24"/>
          <w:szCs w:val="24"/>
        </w:rPr>
        <w:t>carboanhydrasehæmmere</w:t>
      </w:r>
      <w:proofErr w:type="spellEnd"/>
      <w:r w:rsidRPr="000C548C">
        <w:rPr>
          <w:sz w:val="24"/>
          <w:szCs w:val="24"/>
        </w:rPr>
        <w:t xml:space="preserve"> (f.eks. </w:t>
      </w:r>
      <w:proofErr w:type="spellStart"/>
      <w:r w:rsidRPr="000C548C">
        <w:rPr>
          <w:sz w:val="24"/>
          <w:szCs w:val="24"/>
        </w:rPr>
        <w:t>topiramat</w:t>
      </w:r>
      <w:proofErr w:type="spellEnd"/>
      <w:r w:rsidRPr="000C548C">
        <w:rPr>
          <w:sz w:val="24"/>
          <w:szCs w:val="24"/>
        </w:rPr>
        <w:t xml:space="preserve">, </w:t>
      </w:r>
      <w:proofErr w:type="spellStart"/>
      <w:r w:rsidRPr="000C548C">
        <w:rPr>
          <w:sz w:val="24"/>
          <w:szCs w:val="24"/>
        </w:rPr>
        <w:t>acetazolamid</w:t>
      </w:r>
      <w:proofErr w:type="spellEnd"/>
      <w:r w:rsidRPr="000C548C">
        <w:rPr>
          <w:sz w:val="24"/>
          <w:szCs w:val="24"/>
        </w:rPr>
        <w:t xml:space="preserve">) kan øge risikoen for bivirkninger på grund af </w:t>
      </w:r>
      <w:proofErr w:type="spellStart"/>
      <w:r w:rsidRPr="000C548C">
        <w:rPr>
          <w:sz w:val="24"/>
          <w:szCs w:val="24"/>
        </w:rPr>
        <w:t>carboanhydrasehæmning</w:t>
      </w:r>
      <w:proofErr w:type="spellEnd"/>
      <w:r w:rsidRPr="000C548C">
        <w:rPr>
          <w:sz w:val="24"/>
          <w:szCs w:val="24"/>
        </w:rPr>
        <w:t xml:space="preserve"> (se også </w:t>
      </w:r>
      <w:r w:rsidR="00027DFF">
        <w:rPr>
          <w:sz w:val="24"/>
          <w:szCs w:val="24"/>
        </w:rPr>
        <w:t>pkt.</w:t>
      </w:r>
      <w:r w:rsidRPr="000C548C">
        <w:rPr>
          <w:sz w:val="24"/>
          <w:szCs w:val="24"/>
        </w:rPr>
        <w:t xml:space="preserve"> 4.8).</w:t>
      </w:r>
    </w:p>
    <w:p w14:paraId="593D6234" w14:textId="77777777" w:rsidR="006E10A3" w:rsidRPr="000C548C" w:rsidRDefault="006E10A3" w:rsidP="009C67AF">
      <w:pPr>
        <w:ind w:left="851"/>
        <w:rPr>
          <w:sz w:val="24"/>
          <w:szCs w:val="24"/>
        </w:rPr>
      </w:pPr>
    </w:p>
    <w:p w14:paraId="22ED3F68" w14:textId="77777777" w:rsidR="006E10A3" w:rsidRPr="000C548C" w:rsidRDefault="006E10A3" w:rsidP="009C67AF">
      <w:pPr>
        <w:ind w:left="851"/>
        <w:rPr>
          <w:sz w:val="24"/>
          <w:szCs w:val="24"/>
          <w:u w:val="single"/>
        </w:rPr>
      </w:pPr>
      <w:r w:rsidRPr="000C548C">
        <w:rPr>
          <w:sz w:val="24"/>
          <w:szCs w:val="24"/>
          <w:u w:val="single"/>
        </w:rPr>
        <w:t>Alkohol</w:t>
      </w:r>
    </w:p>
    <w:p w14:paraId="02A63C72" w14:textId="28E31978" w:rsidR="006E10A3" w:rsidRPr="000C548C" w:rsidRDefault="006E10A3" w:rsidP="009C67AF">
      <w:pPr>
        <w:ind w:left="851"/>
        <w:rPr>
          <w:sz w:val="24"/>
          <w:szCs w:val="24"/>
        </w:rPr>
      </w:pPr>
      <w:r w:rsidRPr="000C548C">
        <w:rPr>
          <w:sz w:val="24"/>
          <w:szCs w:val="24"/>
        </w:rPr>
        <w:t xml:space="preserve">Under behandling med </w:t>
      </w:r>
      <w:proofErr w:type="spellStart"/>
      <w:r w:rsidRPr="000C548C">
        <w:rPr>
          <w:sz w:val="24"/>
          <w:szCs w:val="24"/>
        </w:rPr>
        <w:t>sultiam</w:t>
      </w:r>
      <w:proofErr w:type="spellEnd"/>
      <w:r w:rsidRPr="000C548C">
        <w:rPr>
          <w:sz w:val="24"/>
          <w:szCs w:val="24"/>
        </w:rPr>
        <w:t xml:space="preserve"> bør patienten afholde sig fra alkohol, da sulfonamider har en virkning, der ligner </w:t>
      </w:r>
      <w:proofErr w:type="spellStart"/>
      <w:r w:rsidRPr="000C548C">
        <w:rPr>
          <w:sz w:val="24"/>
          <w:szCs w:val="24"/>
        </w:rPr>
        <w:t>disulfiram</w:t>
      </w:r>
      <w:proofErr w:type="spellEnd"/>
      <w:r w:rsidRPr="000C548C">
        <w:rPr>
          <w:sz w:val="24"/>
          <w:szCs w:val="24"/>
        </w:rPr>
        <w:t xml:space="preserve">, og </w:t>
      </w:r>
      <w:proofErr w:type="spellStart"/>
      <w:r w:rsidRPr="000C548C">
        <w:rPr>
          <w:sz w:val="24"/>
          <w:szCs w:val="24"/>
        </w:rPr>
        <w:t>sultiam</w:t>
      </w:r>
      <w:proofErr w:type="spellEnd"/>
      <w:r w:rsidRPr="000C548C">
        <w:rPr>
          <w:sz w:val="24"/>
          <w:szCs w:val="24"/>
        </w:rPr>
        <w:t xml:space="preserve">, som er et sulfonamidderivat, kan teoretisk set have en lignende virkning. Disse symptomer omfatter en meget ubehagelig, men generelt selvbegrænsende systemisk reaktion, der er forårsaget af vasodilatation med pulserende hovedpine, respirationsdepression, kvalme, opkastning, </w:t>
      </w:r>
      <w:proofErr w:type="spellStart"/>
      <w:r w:rsidRPr="000C548C">
        <w:rPr>
          <w:sz w:val="24"/>
          <w:szCs w:val="24"/>
        </w:rPr>
        <w:t>takykardi</w:t>
      </w:r>
      <w:proofErr w:type="spellEnd"/>
      <w:r w:rsidRPr="000C548C">
        <w:rPr>
          <w:sz w:val="24"/>
          <w:szCs w:val="24"/>
        </w:rPr>
        <w:t xml:space="preserve">, hypotension, </w:t>
      </w:r>
      <w:proofErr w:type="spellStart"/>
      <w:r w:rsidRPr="000C548C">
        <w:rPr>
          <w:sz w:val="24"/>
          <w:szCs w:val="24"/>
        </w:rPr>
        <w:t>amblyopi</w:t>
      </w:r>
      <w:proofErr w:type="spellEnd"/>
      <w:r w:rsidRPr="000C548C">
        <w:rPr>
          <w:sz w:val="24"/>
          <w:szCs w:val="24"/>
        </w:rPr>
        <w:t xml:space="preserve">, forvirring, </w:t>
      </w:r>
      <w:proofErr w:type="spellStart"/>
      <w:r w:rsidRPr="000C548C">
        <w:rPr>
          <w:sz w:val="24"/>
          <w:szCs w:val="24"/>
        </w:rPr>
        <w:t>shockreaktioner</w:t>
      </w:r>
      <w:proofErr w:type="spellEnd"/>
      <w:r w:rsidRPr="000C548C">
        <w:rPr>
          <w:sz w:val="24"/>
          <w:szCs w:val="24"/>
        </w:rPr>
        <w:t xml:space="preserve">, </w:t>
      </w:r>
      <w:proofErr w:type="spellStart"/>
      <w:r w:rsidRPr="000C548C">
        <w:rPr>
          <w:sz w:val="24"/>
          <w:szCs w:val="24"/>
        </w:rPr>
        <w:t>arytmier</w:t>
      </w:r>
      <w:proofErr w:type="spellEnd"/>
      <w:r w:rsidRPr="000C548C">
        <w:rPr>
          <w:sz w:val="24"/>
          <w:szCs w:val="24"/>
        </w:rPr>
        <w:t>, bevidsthedstab og kramper. Graden og varigheden af disse symptomer kan variere i stor udstrækning.</w:t>
      </w:r>
    </w:p>
    <w:p w14:paraId="1713D726" w14:textId="77777777" w:rsidR="009260DE" w:rsidRPr="000C548C" w:rsidRDefault="009260DE" w:rsidP="009260DE">
      <w:pPr>
        <w:tabs>
          <w:tab w:val="left" w:pos="851"/>
        </w:tabs>
        <w:ind w:left="851"/>
        <w:rPr>
          <w:sz w:val="24"/>
          <w:szCs w:val="24"/>
        </w:rPr>
      </w:pPr>
    </w:p>
    <w:p w14:paraId="6F31806D" w14:textId="77777777" w:rsidR="009260DE" w:rsidRPr="000C548C" w:rsidRDefault="009260DE" w:rsidP="009260DE">
      <w:pPr>
        <w:tabs>
          <w:tab w:val="left" w:pos="851"/>
        </w:tabs>
        <w:ind w:left="851" w:hanging="851"/>
        <w:rPr>
          <w:b/>
          <w:sz w:val="24"/>
          <w:szCs w:val="24"/>
        </w:rPr>
      </w:pPr>
      <w:r w:rsidRPr="000C548C">
        <w:rPr>
          <w:b/>
          <w:sz w:val="24"/>
          <w:szCs w:val="24"/>
        </w:rPr>
        <w:t>4.6</w:t>
      </w:r>
      <w:r w:rsidRPr="000C548C">
        <w:rPr>
          <w:b/>
          <w:sz w:val="24"/>
          <w:szCs w:val="24"/>
        </w:rPr>
        <w:tab/>
      </w:r>
      <w:r w:rsidR="0071241E" w:rsidRPr="000C548C">
        <w:rPr>
          <w:b/>
          <w:sz w:val="24"/>
          <w:szCs w:val="24"/>
        </w:rPr>
        <w:t>Fertilitet, g</w:t>
      </w:r>
      <w:r w:rsidRPr="000C548C">
        <w:rPr>
          <w:b/>
          <w:sz w:val="24"/>
          <w:szCs w:val="24"/>
        </w:rPr>
        <w:t>raviditet og amning</w:t>
      </w:r>
    </w:p>
    <w:p w14:paraId="5BA2DEEA" w14:textId="77777777" w:rsidR="000C548C" w:rsidRDefault="000C548C" w:rsidP="009C67AF">
      <w:pPr>
        <w:ind w:left="851"/>
        <w:rPr>
          <w:snapToGrid w:val="0"/>
          <w:sz w:val="24"/>
          <w:szCs w:val="24"/>
        </w:rPr>
      </w:pPr>
    </w:p>
    <w:p w14:paraId="5C43D0AA" w14:textId="44A07B31" w:rsidR="006E10A3" w:rsidRPr="000C548C" w:rsidRDefault="006E10A3" w:rsidP="009C67AF">
      <w:pPr>
        <w:ind w:left="851"/>
        <w:rPr>
          <w:snapToGrid w:val="0"/>
          <w:sz w:val="24"/>
          <w:szCs w:val="24"/>
          <w:u w:val="single"/>
          <w:lang w:eastAsia="de-DE"/>
        </w:rPr>
      </w:pPr>
      <w:r w:rsidRPr="000C548C">
        <w:rPr>
          <w:snapToGrid w:val="0"/>
          <w:sz w:val="24"/>
          <w:szCs w:val="24"/>
          <w:u w:val="single"/>
        </w:rPr>
        <w:t>Graviditet</w:t>
      </w:r>
    </w:p>
    <w:p w14:paraId="30A8DF41" w14:textId="7CD9536B" w:rsidR="006E10A3" w:rsidRPr="000C548C" w:rsidRDefault="006E10A3" w:rsidP="009C67AF">
      <w:pPr>
        <w:ind w:left="851"/>
        <w:rPr>
          <w:sz w:val="24"/>
          <w:szCs w:val="24"/>
        </w:rPr>
      </w:pPr>
      <w:r w:rsidRPr="000C548C">
        <w:rPr>
          <w:snapToGrid w:val="0"/>
          <w:sz w:val="24"/>
          <w:szCs w:val="24"/>
        </w:rPr>
        <w:t xml:space="preserve">Der foreligger ingen systematisk erfaring med administration af </w:t>
      </w:r>
      <w:proofErr w:type="spellStart"/>
      <w:r w:rsidRPr="000C548C">
        <w:rPr>
          <w:snapToGrid w:val="0"/>
          <w:sz w:val="24"/>
          <w:szCs w:val="24"/>
        </w:rPr>
        <w:t>sultiam</w:t>
      </w:r>
      <w:proofErr w:type="spellEnd"/>
      <w:r w:rsidRPr="000C548C">
        <w:rPr>
          <w:snapToGrid w:val="0"/>
          <w:sz w:val="24"/>
          <w:szCs w:val="24"/>
        </w:rPr>
        <w:t xml:space="preserve"> til mennesker under graviditet. I eksperimentelle dyreforsøg er der påvist embryotoksiske virkninger </w:t>
      </w:r>
      <w:r w:rsidRPr="000C548C">
        <w:rPr>
          <w:sz w:val="24"/>
          <w:szCs w:val="24"/>
        </w:rPr>
        <w:t xml:space="preserve">(se også </w:t>
      </w:r>
      <w:r w:rsidR="00027DFF">
        <w:rPr>
          <w:sz w:val="24"/>
          <w:szCs w:val="24"/>
        </w:rPr>
        <w:t>pkt.</w:t>
      </w:r>
      <w:r w:rsidRPr="000C548C">
        <w:rPr>
          <w:sz w:val="24"/>
          <w:szCs w:val="24"/>
        </w:rPr>
        <w:t xml:space="preserve"> 5.3)</w:t>
      </w:r>
      <w:r w:rsidRPr="000C548C">
        <w:rPr>
          <w:snapToGrid w:val="0"/>
          <w:sz w:val="24"/>
          <w:szCs w:val="24"/>
        </w:rPr>
        <w:t xml:space="preserve">. Generelt er der observeret en øget risiko for misdannelser efter administration af </w:t>
      </w:r>
      <w:proofErr w:type="spellStart"/>
      <w:r w:rsidRPr="000C548C">
        <w:rPr>
          <w:snapToGrid w:val="0"/>
          <w:sz w:val="24"/>
          <w:szCs w:val="24"/>
        </w:rPr>
        <w:t>antiepileptika</w:t>
      </w:r>
      <w:proofErr w:type="spellEnd"/>
      <w:r w:rsidRPr="000C548C">
        <w:rPr>
          <w:snapToGrid w:val="0"/>
          <w:sz w:val="24"/>
          <w:szCs w:val="24"/>
        </w:rPr>
        <w:t xml:space="preserve">, som kan øges ved samtidig administration af forskellige </w:t>
      </w:r>
      <w:proofErr w:type="spellStart"/>
      <w:r w:rsidRPr="000C548C">
        <w:rPr>
          <w:snapToGrid w:val="0"/>
          <w:sz w:val="24"/>
          <w:szCs w:val="24"/>
        </w:rPr>
        <w:t>antiepileptika</w:t>
      </w:r>
      <w:proofErr w:type="spellEnd"/>
      <w:r w:rsidRPr="000C548C">
        <w:rPr>
          <w:snapToGrid w:val="0"/>
          <w:sz w:val="24"/>
          <w:szCs w:val="24"/>
        </w:rPr>
        <w:t xml:space="preserve">. Derfor anbefales det ikke at administrere </w:t>
      </w:r>
      <w:proofErr w:type="spellStart"/>
      <w:r w:rsidRPr="000C548C">
        <w:rPr>
          <w:iCs/>
          <w:sz w:val="24"/>
          <w:szCs w:val="24"/>
        </w:rPr>
        <w:t>Ospolot</w:t>
      </w:r>
      <w:proofErr w:type="spellEnd"/>
      <w:r w:rsidRPr="000C548C">
        <w:rPr>
          <w:iCs/>
          <w:sz w:val="24"/>
          <w:szCs w:val="24"/>
        </w:rPr>
        <w:t>-tab</w:t>
      </w:r>
      <w:r w:rsidRPr="000C548C">
        <w:rPr>
          <w:sz w:val="24"/>
          <w:szCs w:val="24"/>
        </w:rPr>
        <w:t xml:space="preserve"> under graviditet eller til kvinder i den fødedygtige alder, som ikke bruger prævention.</w:t>
      </w:r>
    </w:p>
    <w:p w14:paraId="59897DC1" w14:textId="0C9B99A7" w:rsidR="006E10A3" w:rsidRPr="000C548C" w:rsidRDefault="006E10A3" w:rsidP="009C67AF">
      <w:pPr>
        <w:ind w:left="851"/>
        <w:rPr>
          <w:sz w:val="24"/>
          <w:szCs w:val="24"/>
        </w:rPr>
      </w:pPr>
      <w:r w:rsidRPr="000C548C">
        <w:rPr>
          <w:sz w:val="24"/>
          <w:szCs w:val="24"/>
        </w:rPr>
        <w:t xml:space="preserve">I tilfælde af graviditet skal den laveste </w:t>
      </w:r>
      <w:proofErr w:type="spellStart"/>
      <w:r w:rsidRPr="000C548C">
        <w:rPr>
          <w:sz w:val="24"/>
          <w:szCs w:val="24"/>
        </w:rPr>
        <w:t>anfaldsbekæmpende</w:t>
      </w:r>
      <w:proofErr w:type="spellEnd"/>
      <w:r w:rsidRPr="000C548C">
        <w:rPr>
          <w:sz w:val="24"/>
          <w:szCs w:val="24"/>
        </w:rPr>
        <w:t xml:space="preserve"> dosis af </w:t>
      </w:r>
      <w:proofErr w:type="spellStart"/>
      <w:r w:rsidRPr="000C548C">
        <w:rPr>
          <w:sz w:val="24"/>
          <w:szCs w:val="24"/>
        </w:rPr>
        <w:t>Ospolot</w:t>
      </w:r>
      <w:proofErr w:type="spellEnd"/>
      <w:r w:rsidRPr="000C548C">
        <w:rPr>
          <w:sz w:val="24"/>
          <w:szCs w:val="24"/>
        </w:rPr>
        <w:t>-tab gives, så vidt muligt som monoterapi. Det anbefales at foretage prænatal diagnostik for tidlig påvisning af skader (ultralyd med høj opløsning og bestemmelse af alfa-</w:t>
      </w:r>
      <w:proofErr w:type="spellStart"/>
      <w:r w:rsidRPr="000C548C">
        <w:rPr>
          <w:sz w:val="24"/>
          <w:szCs w:val="24"/>
        </w:rPr>
        <w:t>fetoprotein</w:t>
      </w:r>
      <w:proofErr w:type="spellEnd"/>
      <w:r w:rsidRPr="000C548C">
        <w:rPr>
          <w:sz w:val="24"/>
          <w:szCs w:val="24"/>
        </w:rPr>
        <w:t xml:space="preserve">). Behandling med </w:t>
      </w:r>
      <w:proofErr w:type="spellStart"/>
      <w:r w:rsidRPr="000C548C">
        <w:rPr>
          <w:sz w:val="24"/>
          <w:szCs w:val="24"/>
        </w:rPr>
        <w:t>antiepileptika</w:t>
      </w:r>
      <w:proofErr w:type="spellEnd"/>
      <w:r w:rsidRPr="000C548C">
        <w:rPr>
          <w:sz w:val="24"/>
          <w:szCs w:val="24"/>
        </w:rPr>
        <w:t xml:space="preserve"> må under ingen omstændigheder seponeres uden lægelig rådgivning, da ukontrollerede anfald kan have alvorlige konsekvenser for både moderen og det ufødte barn.</w:t>
      </w:r>
    </w:p>
    <w:p w14:paraId="0AAA3759" w14:textId="77777777" w:rsidR="006E10A3" w:rsidRPr="000C548C" w:rsidRDefault="006E10A3" w:rsidP="009C67AF">
      <w:pPr>
        <w:ind w:left="851"/>
        <w:rPr>
          <w:sz w:val="24"/>
          <w:szCs w:val="24"/>
        </w:rPr>
      </w:pPr>
    </w:p>
    <w:p w14:paraId="3F1A09D4" w14:textId="77777777" w:rsidR="006E10A3" w:rsidRPr="00024816" w:rsidRDefault="006E10A3" w:rsidP="009C67AF">
      <w:pPr>
        <w:ind w:left="851"/>
        <w:rPr>
          <w:sz w:val="24"/>
          <w:szCs w:val="24"/>
          <w:u w:val="single"/>
        </w:rPr>
      </w:pPr>
      <w:r w:rsidRPr="00024816">
        <w:rPr>
          <w:sz w:val="24"/>
          <w:szCs w:val="24"/>
          <w:u w:val="single"/>
        </w:rPr>
        <w:t>Amning</w:t>
      </w:r>
    </w:p>
    <w:p w14:paraId="64F7E234" w14:textId="7FE78013" w:rsidR="006E10A3" w:rsidRPr="000C548C" w:rsidRDefault="006E10A3" w:rsidP="009C67AF">
      <w:pPr>
        <w:ind w:left="851"/>
        <w:rPr>
          <w:sz w:val="24"/>
          <w:szCs w:val="24"/>
        </w:rPr>
      </w:pPr>
      <w:r w:rsidRPr="000C548C">
        <w:rPr>
          <w:sz w:val="24"/>
          <w:szCs w:val="24"/>
        </w:rPr>
        <w:t xml:space="preserve">Det vides ikke, om </w:t>
      </w:r>
      <w:proofErr w:type="spellStart"/>
      <w:r w:rsidRPr="000C548C">
        <w:rPr>
          <w:sz w:val="24"/>
          <w:szCs w:val="24"/>
        </w:rPr>
        <w:t>sultiam</w:t>
      </w:r>
      <w:proofErr w:type="spellEnd"/>
      <w:r w:rsidRPr="000C548C">
        <w:rPr>
          <w:sz w:val="24"/>
          <w:szCs w:val="24"/>
        </w:rPr>
        <w:t xml:space="preserve"> udskilles i modermælken. Da en risiko for det nyfødte barn ikke kan udelukkes, bør </w:t>
      </w:r>
      <w:proofErr w:type="spellStart"/>
      <w:r w:rsidRPr="000C548C">
        <w:rPr>
          <w:sz w:val="24"/>
          <w:szCs w:val="24"/>
        </w:rPr>
        <w:t>sultiam</w:t>
      </w:r>
      <w:proofErr w:type="spellEnd"/>
      <w:r w:rsidRPr="000C548C">
        <w:rPr>
          <w:sz w:val="24"/>
          <w:szCs w:val="24"/>
        </w:rPr>
        <w:t xml:space="preserve"> ikke anvendes under amning.</w:t>
      </w:r>
    </w:p>
    <w:p w14:paraId="29AC4130" w14:textId="77777777" w:rsidR="009260DE" w:rsidRPr="000C548C" w:rsidRDefault="009260DE" w:rsidP="009260DE">
      <w:pPr>
        <w:tabs>
          <w:tab w:val="left" w:pos="851"/>
        </w:tabs>
        <w:ind w:left="851"/>
        <w:rPr>
          <w:sz w:val="24"/>
          <w:szCs w:val="24"/>
        </w:rPr>
      </w:pPr>
    </w:p>
    <w:p w14:paraId="504D9D69" w14:textId="77777777" w:rsidR="009260DE" w:rsidRPr="000C548C" w:rsidRDefault="009260DE" w:rsidP="009260DE">
      <w:pPr>
        <w:tabs>
          <w:tab w:val="left" w:pos="851"/>
        </w:tabs>
        <w:ind w:left="851" w:hanging="851"/>
        <w:rPr>
          <w:b/>
          <w:sz w:val="24"/>
          <w:szCs w:val="24"/>
        </w:rPr>
      </w:pPr>
      <w:r w:rsidRPr="000C548C">
        <w:rPr>
          <w:b/>
          <w:sz w:val="24"/>
          <w:szCs w:val="24"/>
        </w:rPr>
        <w:t>4.7</w:t>
      </w:r>
      <w:r w:rsidRPr="000C548C">
        <w:rPr>
          <w:b/>
          <w:sz w:val="24"/>
          <w:szCs w:val="24"/>
        </w:rPr>
        <w:tab/>
        <w:t xml:space="preserve">Virkning på evnen til at føre motorkøretøj </w:t>
      </w:r>
      <w:r w:rsidR="0071241E" w:rsidRPr="000C548C">
        <w:rPr>
          <w:b/>
          <w:sz w:val="24"/>
          <w:szCs w:val="24"/>
        </w:rPr>
        <w:t>og</w:t>
      </w:r>
      <w:r w:rsidRPr="000C548C">
        <w:rPr>
          <w:b/>
          <w:sz w:val="24"/>
          <w:szCs w:val="24"/>
        </w:rPr>
        <w:t xml:space="preserve"> betjene maskiner</w:t>
      </w:r>
    </w:p>
    <w:p w14:paraId="02607AD7" w14:textId="77777777" w:rsidR="006E10A3" w:rsidRPr="000C548C" w:rsidRDefault="006E10A3" w:rsidP="009C67AF">
      <w:pPr>
        <w:ind w:left="851"/>
        <w:rPr>
          <w:sz w:val="24"/>
          <w:szCs w:val="24"/>
          <w:lang w:eastAsia="de-DE"/>
        </w:rPr>
      </w:pPr>
      <w:r w:rsidRPr="000C548C">
        <w:rPr>
          <w:sz w:val="24"/>
          <w:szCs w:val="24"/>
        </w:rPr>
        <w:t>Mærkning.</w:t>
      </w:r>
    </w:p>
    <w:p w14:paraId="4A552FDE" w14:textId="1E63888B" w:rsidR="006E10A3" w:rsidRPr="000C548C" w:rsidRDefault="006E10A3" w:rsidP="009C67AF">
      <w:pPr>
        <w:ind w:left="851"/>
        <w:rPr>
          <w:sz w:val="24"/>
          <w:szCs w:val="24"/>
        </w:rPr>
      </w:pPr>
      <w:r w:rsidRPr="000C548C">
        <w:rPr>
          <w:sz w:val="24"/>
          <w:szCs w:val="24"/>
        </w:rPr>
        <w:t>Selv når det anvendes som foreskrevet, kan dette lægemiddel påvirke reaktionerne i en sådan grad – især i begyndelsen af behandlingen – at evnen til at føre motorkøretøj eller betjene maskiner kan være nedsat. Dette gælder i højere grad i kombination med alkohol.</w:t>
      </w:r>
    </w:p>
    <w:p w14:paraId="32211D7A" w14:textId="77777777" w:rsidR="009260DE" w:rsidRPr="000C548C" w:rsidRDefault="009260DE" w:rsidP="009260DE">
      <w:pPr>
        <w:tabs>
          <w:tab w:val="left" w:pos="851"/>
        </w:tabs>
        <w:ind w:left="851"/>
        <w:rPr>
          <w:sz w:val="24"/>
          <w:szCs w:val="24"/>
        </w:rPr>
      </w:pPr>
    </w:p>
    <w:p w14:paraId="3B748F96" w14:textId="77777777" w:rsidR="009260DE" w:rsidRPr="000C548C" w:rsidRDefault="009260DE" w:rsidP="009260DE">
      <w:pPr>
        <w:tabs>
          <w:tab w:val="left" w:pos="851"/>
        </w:tabs>
        <w:ind w:left="851" w:hanging="851"/>
        <w:rPr>
          <w:b/>
          <w:sz w:val="24"/>
          <w:szCs w:val="24"/>
        </w:rPr>
      </w:pPr>
      <w:r w:rsidRPr="000C548C">
        <w:rPr>
          <w:b/>
          <w:sz w:val="24"/>
          <w:szCs w:val="24"/>
        </w:rPr>
        <w:t>4.8</w:t>
      </w:r>
      <w:r w:rsidRPr="000C548C">
        <w:rPr>
          <w:b/>
          <w:sz w:val="24"/>
          <w:szCs w:val="24"/>
        </w:rPr>
        <w:tab/>
        <w:t>Bivirkninger</w:t>
      </w:r>
    </w:p>
    <w:p w14:paraId="6B6B7566" w14:textId="77777777" w:rsidR="006E10A3" w:rsidRPr="000C548C" w:rsidRDefault="006E10A3" w:rsidP="009C67AF">
      <w:pPr>
        <w:ind w:left="851"/>
        <w:rPr>
          <w:sz w:val="24"/>
          <w:szCs w:val="24"/>
          <w:lang w:eastAsia="de-DE"/>
        </w:rPr>
      </w:pPr>
      <w:r w:rsidRPr="000C548C">
        <w:rPr>
          <w:sz w:val="24"/>
          <w:szCs w:val="24"/>
        </w:rPr>
        <w:t>Følgende hyppighedskategorier anvendes til vurdering af bivirkninger:</w:t>
      </w:r>
    </w:p>
    <w:p w14:paraId="1483CD1B" w14:textId="77777777" w:rsidR="006E10A3" w:rsidRPr="000C548C" w:rsidRDefault="006E10A3" w:rsidP="00024816">
      <w:pPr>
        <w:tabs>
          <w:tab w:val="left" w:pos="2977"/>
        </w:tabs>
        <w:ind w:left="851"/>
        <w:rPr>
          <w:snapToGrid w:val="0"/>
          <w:sz w:val="24"/>
          <w:szCs w:val="24"/>
        </w:rPr>
      </w:pPr>
      <w:r w:rsidRPr="000C548C">
        <w:rPr>
          <w:sz w:val="24"/>
          <w:szCs w:val="24"/>
        </w:rPr>
        <w:t xml:space="preserve">Meget almindelig </w:t>
      </w:r>
      <w:r w:rsidRPr="000C548C">
        <w:rPr>
          <w:sz w:val="24"/>
          <w:szCs w:val="24"/>
        </w:rPr>
        <w:tab/>
        <w:t>(</w:t>
      </w:r>
      <w:r w:rsidRPr="000C548C">
        <w:rPr>
          <w:sz w:val="24"/>
          <w:szCs w:val="24"/>
        </w:rPr>
        <w:sym w:font="Symbol" w:char="F0B3"/>
      </w:r>
      <w:r w:rsidRPr="000C548C">
        <w:rPr>
          <w:sz w:val="24"/>
          <w:szCs w:val="24"/>
        </w:rPr>
        <w:t xml:space="preserve"> 1/10)</w:t>
      </w:r>
    </w:p>
    <w:p w14:paraId="1F6052D0" w14:textId="5C839E90" w:rsidR="006E10A3" w:rsidRPr="000C548C" w:rsidRDefault="006E10A3" w:rsidP="00024816">
      <w:pPr>
        <w:tabs>
          <w:tab w:val="left" w:pos="2977"/>
        </w:tabs>
        <w:ind w:left="851"/>
        <w:rPr>
          <w:snapToGrid w:val="0"/>
          <w:sz w:val="24"/>
          <w:szCs w:val="24"/>
        </w:rPr>
      </w:pPr>
      <w:r w:rsidRPr="000C548C">
        <w:rPr>
          <w:snapToGrid w:val="0"/>
          <w:sz w:val="24"/>
          <w:szCs w:val="24"/>
        </w:rPr>
        <w:t>Almindelig</w:t>
      </w:r>
      <w:r w:rsidRPr="000C548C">
        <w:rPr>
          <w:snapToGrid w:val="0"/>
          <w:sz w:val="24"/>
          <w:szCs w:val="24"/>
        </w:rPr>
        <w:tab/>
        <w:t>(</w:t>
      </w:r>
      <w:r w:rsidRPr="000C548C">
        <w:rPr>
          <w:sz w:val="24"/>
          <w:szCs w:val="24"/>
        </w:rPr>
        <w:sym w:font="Symbol" w:char="F0B3"/>
      </w:r>
      <w:r w:rsidRPr="000C548C">
        <w:rPr>
          <w:snapToGrid w:val="0"/>
          <w:sz w:val="24"/>
          <w:szCs w:val="24"/>
        </w:rPr>
        <w:t xml:space="preserve"> 1/100 til </w:t>
      </w:r>
      <w:r w:rsidRPr="000C548C">
        <w:rPr>
          <w:sz w:val="24"/>
          <w:szCs w:val="24"/>
        </w:rPr>
        <w:sym w:font="Symbol" w:char="F03C"/>
      </w:r>
      <w:r w:rsidRPr="000C548C">
        <w:rPr>
          <w:snapToGrid w:val="0"/>
          <w:sz w:val="24"/>
          <w:szCs w:val="24"/>
        </w:rPr>
        <w:t xml:space="preserve"> 1/10)</w:t>
      </w:r>
    </w:p>
    <w:p w14:paraId="4D55AC69" w14:textId="4066EEC0" w:rsidR="006E10A3" w:rsidRPr="000C548C" w:rsidRDefault="006E10A3" w:rsidP="00024816">
      <w:pPr>
        <w:tabs>
          <w:tab w:val="left" w:pos="2977"/>
        </w:tabs>
        <w:ind w:left="851"/>
        <w:rPr>
          <w:snapToGrid w:val="0"/>
          <w:sz w:val="24"/>
          <w:szCs w:val="24"/>
        </w:rPr>
      </w:pPr>
      <w:r w:rsidRPr="000C548C">
        <w:rPr>
          <w:snapToGrid w:val="0"/>
          <w:sz w:val="24"/>
          <w:szCs w:val="24"/>
        </w:rPr>
        <w:t>Ikke almindelig</w:t>
      </w:r>
      <w:r w:rsidRPr="000C548C">
        <w:rPr>
          <w:snapToGrid w:val="0"/>
          <w:sz w:val="24"/>
          <w:szCs w:val="24"/>
        </w:rPr>
        <w:tab/>
        <w:t>(</w:t>
      </w:r>
      <w:r w:rsidRPr="000C548C">
        <w:rPr>
          <w:sz w:val="24"/>
          <w:szCs w:val="24"/>
        </w:rPr>
        <w:sym w:font="Symbol" w:char="F0B3"/>
      </w:r>
      <w:r w:rsidRPr="000C548C">
        <w:rPr>
          <w:snapToGrid w:val="0"/>
          <w:sz w:val="24"/>
          <w:szCs w:val="24"/>
        </w:rPr>
        <w:t xml:space="preserve"> 1/1.000 til </w:t>
      </w:r>
      <w:r w:rsidRPr="000C548C">
        <w:rPr>
          <w:sz w:val="24"/>
          <w:szCs w:val="24"/>
        </w:rPr>
        <w:sym w:font="Symbol" w:char="F03C"/>
      </w:r>
      <w:r w:rsidRPr="000C548C">
        <w:rPr>
          <w:snapToGrid w:val="0"/>
          <w:sz w:val="24"/>
          <w:szCs w:val="24"/>
        </w:rPr>
        <w:t xml:space="preserve"> 1/100)</w:t>
      </w:r>
    </w:p>
    <w:p w14:paraId="6AC4107C" w14:textId="48EFC1AE" w:rsidR="006E10A3" w:rsidRPr="000C548C" w:rsidRDefault="006E10A3" w:rsidP="00024816">
      <w:pPr>
        <w:tabs>
          <w:tab w:val="left" w:pos="2977"/>
        </w:tabs>
        <w:ind w:left="851"/>
        <w:rPr>
          <w:snapToGrid w:val="0"/>
          <w:sz w:val="24"/>
          <w:szCs w:val="24"/>
        </w:rPr>
      </w:pPr>
      <w:r w:rsidRPr="000C548C">
        <w:rPr>
          <w:snapToGrid w:val="0"/>
          <w:sz w:val="24"/>
          <w:szCs w:val="24"/>
        </w:rPr>
        <w:t>Sjælden</w:t>
      </w:r>
      <w:r w:rsidRPr="000C548C">
        <w:rPr>
          <w:snapToGrid w:val="0"/>
          <w:sz w:val="24"/>
          <w:szCs w:val="24"/>
        </w:rPr>
        <w:tab/>
        <w:t>(</w:t>
      </w:r>
      <w:r w:rsidRPr="000C548C">
        <w:rPr>
          <w:sz w:val="24"/>
          <w:szCs w:val="24"/>
        </w:rPr>
        <w:sym w:font="Symbol" w:char="F0B3"/>
      </w:r>
      <w:r w:rsidRPr="000C548C">
        <w:rPr>
          <w:snapToGrid w:val="0"/>
          <w:sz w:val="24"/>
          <w:szCs w:val="24"/>
        </w:rPr>
        <w:t xml:space="preserve"> 1/10.000 til &lt; 1/1.000)</w:t>
      </w:r>
    </w:p>
    <w:p w14:paraId="7EB944CD" w14:textId="30E61058" w:rsidR="006E10A3" w:rsidRPr="000C548C" w:rsidRDefault="006E10A3" w:rsidP="00024816">
      <w:pPr>
        <w:tabs>
          <w:tab w:val="left" w:pos="2977"/>
        </w:tabs>
        <w:ind w:left="851"/>
        <w:rPr>
          <w:snapToGrid w:val="0"/>
          <w:sz w:val="24"/>
          <w:szCs w:val="24"/>
        </w:rPr>
      </w:pPr>
      <w:r w:rsidRPr="000C548C">
        <w:rPr>
          <w:snapToGrid w:val="0"/>
          <w:sz w:val="24"/>
          <w:szCs w:val="24"/>
        </w:rPr>
        <w:t>Meget sjælden</w:t>
      </w:r>
      <w:r w:rsidRPr="000C548C">
        <w:rPr>
          <w:snapToGrid w:val="0"/>
          <w:sz w:val="24"/>
          <w:szCs w:val="24"/>
        </w:rPr>
        <w:tab/>
        <w:t>(</w:t>
      </w:r>
      <w:r w:rsidRPr="000C548C">
        <w:rPr>
          <w:sz w:val="24"/>
          <w:szCs w:val="24"/>
        </w:rPr>
        <w:sym w:font="Symbol" w:char="F03C"/>
      </w:r>
      <w:r w:rsidRPr="000C548C">
        <w:rPr>
          <w:snapToGrid w:val="0"/>
          <w:sz w:val="24"/>
          <w:szCs w:val="24"/>
        </w:rPr>
        <w:t xml:space="preserve"> 1/10.000)</w:t>
      </w:r>
    </w:p>
    <w:p w14:paraId="249171EC" w14:textId="77777777" w:rsidR="006E10A3" w:rsidRPr="000C548C" w:rsidRDefault="006E10A3" w:rsidP="009C67AF">
      <w:pPr>
        <w:ind w:left="851"/>
        <w:rPr>
          <w:snapToGrid w:val="0"/>
          <w:sz w:val="24"/>
          <w:szCs w:val="24"/>
        </w:rPr>
      </w:pPr>
      <w:r w:rsidRPr="000C548C">
        <w:rPr>
          <w:snapToGrid w:val="0"/>
          <w:sz w:val="24"/>
          <w:szCs w:val="24"/>
        </w:rPr>
        <w:t>Ikke kendt (kan ikke estimeres ud fra tilgængelige data)</w:t>
      </w:r>
    </w:p>
    <w:p w14:paraId="7ACC318A" w14:textId="4C216CEF" w:rsidR="00027DFF" w:rsidRDefault="00027DFF">
      <w:pPr>
        <w:rPr>
          <w:sz w:val="24"/>
          <w:szCs w:val="24"/>
        </w:rPr>
      </w:pPr>
      <w:r>
        <w:rPr>
          <w:sz w:val="24"/>
          <w:szCs w:val="24"/>
        </w:rPr>
        <w:br w:type="page"/>
      </w:r>
    </w:p>
    <w:p w14:paraId="395CF679" w14:textId="77777777" w:rsidR="006E10A3" w:rsidRPr="000C548C" w:rsidRDefault="006E10A3" w:rsidP="009C67AF">
      <w:pPr>
        <w:ind w:left="851"/>
        <w:rPr>
          <w:sz w:val="24"/>
          <w:szCs w:val="24"/>
        </w:rPr>
      </w:pPr>
    </w:p>
    <w:p w14:paraId="06956DED" w14:textId="77777777" w:rsidR="006E10A3" w:rsidRPr="000C548C" w:rsidRDefault="006E10A3" w:rsidP="009C67AF">
      <w:pPr>
        <w:ind w:left="851"/>
        <w:rPr>
          <w:sz w:val="24"/>
          <w:szCs w:val="24"/>
          <w:u w:val="single"/>
        </w:rPr>
      </w:pPr>
      <w:r w:rsidRPr="000C548C">
        <w:rPr>
          <w:sz w:val="24"/>
          <w:szCs w:val="24"/>
          <w:u w:val="single"/>
        </w:rPr>
        <w:t>Metabolisme og ernæring</w:t>
      </w:r>
    </w:p>
    <w:p w14:paraId="2DA6DB11" w14:textId="77A8063C" w:rsidR="006E10A3" w:rsidRPr="000C548C" w:rsidRDefault="006E10A3" w:rsidP="00024816">
      <w:pPr>
        <w:tabs>
          <w:tab w:val="left" w:pos="2977"/>
        </w:tabs>
        <w:ind w:left="851"/>
        <w:rPr>
          <w:sz w:val="24"/>
          <w:szCs w:val="24"/>
        </w:rPr>
      </w:pPr>
      <w:r w:rsidRPr="000C548C">
        <w:rPr>
          <w:i/>
          <w:sz w:val="24"/>
          <w:szCs w:val="24"/>
        </w:rPr>
        <w:t>Almindelige</w:t>
      </w:r>
      <w:r w:rsidRPr="000C548C">
        <w:rPr>
          <w:sz w:val="24"/>
          <w:szCs w:val="24"/>
        </w:rPr>
        <w:t>:</w:t>
      </w:r>
      <w:r w:rsidRPr="000C548C">
        <w:rPr>
          <w:sz w:val="24"/>
          <w:szCs w:val="24"/>
        </w:rPr>
        <w:tab/>
        <w:t>vægttab, manglende appetit</w:t>
      </w:r>
    </w:p>
    <w:p w14:paraId="752ED6F7" w14:textId="77777777" w:rsidR="006E10A3" w:rsidRPr="000C548C" w:rsidRDefault="006E10A3" w:rsidP="00024816">
      <w:pPr>
        <w:tabs>
          <w:tab w:val="left" w:pos="2977"/>
        </w:tabs>
        <w:ind w:left="851"/>
        <w:rPr>
          <w:sz w:val="24"/>
          <w:szCs w:val="24"/>
        </w:rPr>
      </w:pPr>
    </w:p>
    <w:p w14:paraId="20F9BFFD" w14:textId="77777777" w:rsidR="006E10A3" w:rsidRPr="000C548C" w:rsidRDefault="006E10A3" w:rsidP="00024816">
      <w:pPr>
        <w:tabs>
          <w:tab w:val="left" w:pos="2977"/>
        </w:tabs>
        <w:ind w:left="851"/>
        <w:rPr>
          <w:sz w:val="24"/>
          <w:szCs w:val="24"/>
          <w:u w:val="single"/>
        </w:rPr>
      </w:pPr>
      <w:r w:rsidRPr="000C548C">
        <w:rPr>
          <w:sz w:val="24"/>
          <w:szCs w:val="24"/>
          <w:u w:val="single"/>
        </w:rPr>
        <w:t>Psykiske forstyrrelser</w:t>
      </w:r>
    </w:p>
    <w:p w14:paraId="284702EF" w14:textId="6B7A009B" w:rsidR="006E10A3" w:rsidRPr="000C548C" w:rsidRDefault="006E10A3" w:rsidP="00024816">
      <w:pPr>
        <w:tabs>
          <w:tab w:val="left" w:pos="2977"/>
        </w:tabs>
        <w:ind w:left="851"/>
        <w:rPr>
          <w:sz w:val="24"/>
          <w:szCs w:val="24"/>
        </w:rPr>
      </w:pPr>
      <w:r w:rsidRPr="000C548C">
        <w:rPr>
          <w:i/>
          <w:sz w:val="24"/>
          <w:szCs w:val="24"/>
        </w:rPr>
        <w:t>Ikke almindelige</w:t>
      </w:r>
      <w:r w:rsidRPr="000C548C">
        <w:rPr>
          <w:sz w:val="24"/>
          <w:szCs w:val="24"/>
        </w:rPr>
        <w:t>:</w:t>
      </w:r>
      <w:r w:rsidRPr="000C548C">
        <w:rPr>
          <w:sz w:val="24"/>
          <w:szCs w:val="24"/>
        </w:rPr>
        <w:tab/>
        <w:t>hallucinationer, angst, manglende motivation</w:t>
      </w:r>
    </w:p>
    <w:p w14:paraId="4748633D" w14:textId="2FF343EB" w:rsidR="006E10A3" w:rsidRPr="000C548C" w:rsidRDefault="006E10A3" w:rsidP="00024816">
      <w:pPr>
        <w:tabs>
          <w:tab w:val="left" w:pos="2977"/>
        </w:tabs>
        <w:ind w:left="2975" w:hanging="2124"/>
        <w:rPr>
          <w:sz w:val="24"/>
          <w:szCs w:val="24"/>
        </w:rPr>
      </w:pPr>
      <w:r w:rsidRPr="000C548C">
        <w:rPr>
          <w:i/>
          <w:sz w:val="24"/>
          <w:szCs w:val="24"/>
        </w:rPr>
        <w:t>Ikke kendt:</w:t>
      </w:r>
      <w:r w:rsidRPr="000C548C">
        <w:rPr>
          <w:sz w:val="24"/>
          <w:szCs w:val="24"/>
        </w:rPr>
        <w:tab/>
      </w:r>
      <w:r w:rsidR="00024816">
        <w:rPr>
          <w:sz w:val="24"/>
          <w:szCs w:val="24"/>
        </w:rPr>
        <w:tab/>
      </w:r>
      <w:r w:rsidRPr="000C548C">
        <w:rPr>
          <w:sz w:val="24"/>
          <w:szCs w:val="24"/>
        </w:rPr>
        <w:t>depressivt humør/depression, personlighedsændringer og adfærdsmæssige afvigelser (f.eks. aggressivitet, irritabilitet, humørsvingninger), kognitiv svækkelse</w:t>
      </w:r>
    </w:p>
    <w:p w14:paraId="3F1401E3" w14:textId="77777777" w:rsidR="006E10A3" w:rsidRPr="000C548C" w:rsidRDefault="006E10A3" w:rsidP="00024816">
      <w:pPr>
        <w:tabs>
          <w:tab w:val="left" w:pos="2977"/>
        </w:tabs>
        <w:ind w:left="851"/>
        <w:rPr>
          <w:sz w:val="24"/>
          <w:szCs w:val="24"/>
        </w:rPr>
      </w:pPr>
    </w:p>
    <w:p w14:paraId="7D993C6D" w14:textId="77777777" w:rsidR="006E10A3" w:rsidRPr="000C548C" w:rsidRDefault="006E10A3" w:rsidP="00024816">
      <w:pPr>
        <w:tabs>
          <w:tab w:val="left" w:pos="2977"/>
        </w:tabs>
        <w:ind w:left="851"/>
        <w:rPr>
          <w:sz w:val="24"/>
          <w:szCs w:val="24"/>
          <w:u w:val="single"/>
        </w:rPr>
      </w:pPr>
      <w:r w:rsidRPr="000C548C">
        <w:rPr>
          <w:sz w:val="24"/>
          <w:szCs w:val="24"/>
          <w:u w:val="single"/>
        </w:rPr>
        <w:t>Nervesystemet</w:t>
      </w:r>
    </w:p>
    <w:p w14:paraId="7AB00F11" w14:textId="77777777" w:rsidR="006E10A3" w:rsidRPr="000C548C" w:rsidRDefault="006E10A3" w:rsidP="00024816">
      <w:pPr>
        <w:tabs>
          <w:tab w:val="left" w:pos="2977"/>
        </w:tabs>
        <w:ind w:left="851"/>
        <w:rPr>
          <w:sz w:val="24"/>
          <w:szCs w:val="24"/>
        </w:rPr>
      </w:pPr>
      <w:r w:rsidRPr="000C548C">
        <w:rPr>
          <w:i/>
          <w:sz w:val="24"/>
          <w:szCs w:val="24"/>
        </w:rPr>
        <w:t>Almindelige:</w:t>
      </w:r>
      <w:r w:rsidRPr="000C548C">
        <w:rPr>
          <w:sz w:val="24"/>
          <w:szCs w:val="24"/>
        </w:rPr>
        <w:t xml:space="preserve"> </w:t>
      </w:r>
      <w:r w:rsidRPr="000C548C">
        <w:rPr>
          <w:sz w:val="24"/>
          <w:szCs w:val="24"/>
        </w:rPr>
        <w:tab/>
      </w:r>
      <w:proofErr w:type="spellStart"/>
      <w:r w:rsidRPr="000C548C">
        <w:rPr>
          <w:sz w:val="24"/>
          <w:szCs w:val="24"/>
        </w:rPr>
        <w:t>paræstesi</w:t>
      </w:r>
      <w:proofErr w:type="spellEnd"/>
      <w:r w:rsidRPr="000C548C">
        <w:rPr>
          <w:sz w:val="24"/>
          <w:szCs w:val="24"/>
        </w:rPr>
        <w:t xml:space="preserve"> i ekstremiteterne og i ansigtet*, svimmelhed, hovedpine </w:t>
      </w:r>
    </w:p>
    <w:p w14:paraId="4F3EE78D" w14:textId="77777777" w:rsidR="006E10A3" w:rsidRPr="000C548C" w:rsidRDefault="006E10A3" w:rsidP="00024816">
      <w:pPr>
        <w:tabs>
          <w:tab w:val="left" w:pos="2977"/>
        </w:tabs>
        <w:ind w:left="851"/>
        <w:rPr>
          <w:sz w:val="24"/>
          <w:szCs w:val="24"/>
        </w:rPr>
      </w:pPr>
      <w:r w:rsidRPr="000C548C">
        <w:rPr>
          <w:i/>
          <w:sz w:val="24"/>
          <w:szCs w:val="24"/>
        </w:rPr>
        <w:t>Ikke almindelige:</w:t>
      </w:r>
      <w:r w:rsidRPr="000C548C">
        <w:rPr>
          <w:sz w:val="24"/>
          <w:szCs w:val="24"/>
        </w:rPr>
        <w:t xml:space="preserve"> </w:t>
      </w:r>
      <w:r w:rsidRPr="000C548C">
        <w:rPr>
          <w:sz w:val="24"/>
          <w:szCs w:val="24"/>
        </w:rPr>
        <w:tab/>
      </w:r>
      <w:proofErr w:type="spellStart"/>
      <w:r w:rsidRPr="000C548C">
        <w:rPr>
          <w:sz w:val="24"/>
          <w:szCs w:val="24"/>
        </w:rPr>
        <w:t>myasteniske</w:t>
      </w:r>
      <w:proofErr w:type="spellEnd"/>
      <w:r w:rsidRPr="000C548C">
        <w:rPr>
          <w:sz w:val="24"/>
          <w:szCs w:val="24"/>
        </w:rPr>
        <w:t xml:space="preserve"> fænomener, grand mal-status, øget </w:t>
      </w:r>
      <w:proofErr w:type="spellStart"/>
      <w:r w:rsidRPr="000C548C">
        <w:rPr>
          <w:sz w:val="24"/>
          <w:szCs w:val="24"/>
        </w:rPr>
        <w:t>anfaldsaktivitet</w:t>
      </w:r>
      <w:proofErr w:type="spellEnd"/>
    </w:p>
    <w:p w14:paraId="3B45E71C" w14:textId="77777777" w:rsidR="006E10A3" w:rsidRPr="000C548C" w:rsidRDefault="006E10A3" w:rsidP="00024816">
      <w:pPr>
        <w:tabs>
          <w:tab w:val="left" w:pos="2977"/>
        </w:tabs>
        <w:ind w:left="851"/>
        <w:rPr>
          <w:sz w:val="24"/>
          <w:szCs w:val="24"/>
        </w:rPr>
      </w:pPr>
      <w:r w:rsidRPr="000C548C">
        <w:rPr>
          <w:i/>
          <w:sz w:val="24"/>
          <w:szCs w:val="24"/>
        </w:rPr>
        <w:t>Ikke kendt:</w:t>
      </w:r>
      <w:r w:rsidRPr="000C548C">
        <w:rPr>
          <w:sz w:val="24"/>
          <w:szCs w:val="24"/>
        </w:rPr>
        <w:tab/>
      </w:r>
      <w:proofErr w:type="spellStart"/>
      <w:r w:rsidRPr="000C548C">
        <w:rPr>
          <w:sz w:val="24"/>
          <w:szCs w:val="24"/>
        </w:rPr>
        <w:t>polyneuritis</w:t>
      </w:r>
      <w:proofErr w:type="spellEnd"/>
    </w:p>
    <w:p w14:paraId="03C003AE" w14:textId="77777777" w:rsidR="006E10A3" w:rsidRPr="000C548C" w:rsidRDefault="006E10A3" w:rsidP="00024816">
      <w:pPr>
        <w:tabs>
          <w:tab w:val="left" w:pos="2977"/>
        </w:tabs>
        <w:ind w:left="851"/>
        <w:rPr>
          <w:sz w:val="24"/>
          <w:szCs w:val="24"/>
        </w:rPr>
      </w:pPr>
    </w:p>
    <w:p w14:paraId="7859C9E7" w14:textId="77777777" w:rsidR="006E10A3" w:rsidRPr="000C548C" w:rsidRDefault="006E10A3" w:rsidP="00024816">
      <w:pPr>
        <w:tabs>
          <w:tab w:val="left" w:pos="2977"/>
        </w:tabs>
        <w:ind w:left="851"/>
        <w:rPr>
          <w:sz w:val="24"/>
          <w:szCs w:val="24"/>
          <w:u w:val="single"/>
        </w:rPr>
      </w:pPr>
      <w:r w:rsidRPr="000C548C">
        <w:rPr>
          <w:sz w:val="24"/>
          <w:szCs w:val="24"/>
          <w:u w:val="single"/>
        </w:rPr>
        <w:t>Øjne</w:t>
      </w:r>
    </w:p>
    <w:p w14:paraId="27A39CC1" w14:textId="77777777" w:rsidR="006E10A3" w:rsidRPr="000C548C" w:rsidRDefault="006E10A3" w:rsidP="00024816">
      <w:pPr>
        <w:tabs>
          <w:tab w:val="left" w:pos="2977"/>
        </w:tabs>
        <w:ind w:left="851"/>
        <w:rPr>
          <w:sz w:val="24"/>
          <w:szCs w:val="24"/>
        </w:rPr>
      </w:pPr>
      <w:r w:rsidRPr="000C548C">
        <w:rPr>
          <w:i/>
          <w:sz w:val="24"/>
          <w:szCs w:val="24"/>
        </w:rPr>
        <w:t>Almindelige:</w:t>
      </w:r>
      <w:r w:rsidRPr="000C548C">
        <w:rPr>
          <w:sz w:val="24"/>
          <w:szCs w:val="24"/>
        </w:rPr>
        <w:tab/>
        <w:t>dobbeltsyn</w:t>
      </w:r>
    </w:p>
    <w:p w14:paraId="4AC15913" w14:textId="77777777" w:rsidR="006E10A3" w:rsidRPr="000C548C" w:rsidRDefault="006E10A3" w:rsidP="00024816">
      <w:pPr>
        <w:tabs>
          <w:tab w:val="left" w:pos="2977"/>
        </w:tabs>
        <w:ind w:left="851"/>
        <w:rPr>
          <w:sz w:val="24"/>
          <w:szCs w:val="24"/>
        </w:rPr>
      </w:pPr>
    </w:p>
    <w:p w14:paraId="76831A3F" w14:textId="77777777" w:rsidR="006E10A3" w:rsidRPr="000C548C" w:rsidRDefault="006E10A3" w:rsidP="00024816">
      <w:pPr>
        <w:tabs>
          <w:tab w:val="left" w:pos="2977"/>
        </w:tabs>
        <w:ind w:left="851"/>
        <w:rPr>
          <w:sz w:val="24"/>
          <w:szCs w:val="24"/>
          <w:u w:val="single"/>
        </w:rPr>
      </w:pPr>
      <w:r w:rsidRPr="000C548C">
        <w:rPr>
          <w:sz w:val="24"/>
          <w:szCs w:val="24"/>
          <w:u w:val="single"/>
        </w:rPr>
        <w:t>Hjerte</w:t>
      </w:r>
    </w:p>
    <w:p w14:paraId="1E92D5C1" w14:textId="77777777" w:rsidR="006E10A3" w:rsidRPr="000C548C" w:rsidRDefault="006E10A3" w:rsidP="00024816">
      <w:pPr>
        <w:tabs>
          <w:tab w:val="left" w:pos="2977"/>
        </w:tabs>
        <w:ind w:left="851"/>
        <w:rPr>
          <w:sz w:val="24"/>
          <w:szCs w:val="24"/>
        </w:rPr>
      </w:pPr>
      <w:r w:rsidRPr="000C548C">
        <w:rPr>
          <w:i/>
          <w:sz w:val="24"/>
          <w:szCs w:val="24"/>
        </w:rPr>
        <w:t>Almindelige:</w:t>
      </w:r>
      <w:r w:rsidRPr="000C548C">
        <w:rPr>
          <w:sz w:val="24"/>
          <w:szCs w:val="24"/>
        </w:rPr>
        <w:tab/>
      </w:r>
      <w:proofErr w:type="spellStart"/>
      <w:r w:rsidRPr="000C548C">
        <w:rPr>
          <w:sz w:val="24"/>
          <w:szCs w:val="24"/>
        </w:rPr>
        <w:t>stenokardi</w:t>
      </w:r>
      <w:proofErr w:type="spellEnd"/>
      <w:r w:rsidRPr="000C548C">
        <w:rPr>
          <w:sz w:val="24"/>
          <w:szCs w:val="24"/>
        </w:rPr>
        <w:t xml:space="preserve">, </w:t>
      </w:r>
      <w:proofErr w:type="spellStart"/>
      <w:r w:rsidRPr="000C548C">
        <w:rPr>
          <w:sz w:val="24"/>
          <w:szCs w:val="24"/>
        </w:rPr>
        <w:t>takykardi</w:t>
      </w:r>
      <w:proofErr w:type="spellEnd"/>
    </w:p>
    <w:p w14:paraId="021F1220" w14:textId="77777777" w:rsidR="006E10A3" w:rsidRPr="000C548C" w:rsidRDefault="006E10A3" w:rsidP="00024816">
      <w:pPr>
        <w:tabs>
          <w:tab w:val="left" w:pos="2977"/>
        </w:tabs>
        <w:ind w:left="851"/>
        <w:rPr>
          <w:sz w:val="24"/>
          <w:szCs w:val="24"/>
        </w:rPr>
      </w:pPr>
    </w:p>
    <w:p w14:paraId="7D071443" w14:textId="77777777" w:rsidR="006E10A3" w:rsidRPr="000C548C" w:rsidRDefault="006E10A3" w:rsidP="00024816">
      <w:pPr>
        <w:tabs>
          <w:tab w:val="left" w:pos="2977"/>
        </w:tabs>
        <w:ind w:left="851"/>
        <w:rPr>
          <w:sz w:val="24"/>
          <w:szCs w:val="24"/>
          <w:u w:val="single"/>
        </w:rPr>
      </w:pPr>
      <w:r w:rsidRPr="000C548C">
        <w:rPr>
          <w:sz w:val="24"/>
          <w:szCs w:val="24"/>
          <w:u w:val="single"/>
        </w:rPr>
        <w:t xml:space="preserve">Luftveje, thorax og </w:t>
      </w:r>
      <w:proofErr w:type="spellStart"/>
      <w:r w:rsidRPr="000C548C">
        <w:rPr>
          <w:sz w:val="24"/>
          <w:szCs w:val="24"/>
          <w:u w:val="single"/>
        </w:rPr>
        <w:t>mediastinum</w:t>
      </w:r>
      <w:proofErr w:type="spellEnd"/>
    </w:p>
    <w:p w14:paraId="13A148DA" w14:textId="12856544" w:rsidR="006E10A3" w:rsidRPr="000C548C" w:rsidRDefault="006E10A3" w:rsidP="00024816">
      <w:pPr>
        <w:tabs>
          <w:tab w:val="left" w:pos="2977"/>
        </w:tabs>
        <w:ind w:left="851"/>
        <w:rPr>
          <w:sz w:val="24"/>
          <w:szCs w:val="24"/>
        </w:rPr>
      </w:pPr>
      <w:r w:rsidRPr="000C548C">
        <w:rPr>
          <w:i/>
          <w:sz w:val="24"/>
          <w:szCs w:val="24"/>
        </w:rPr>
        <w:t>Almindelige:</w:t>
      </w:r>
      <w:r w:rsidRPr="000C548C">
        <w:rPr>
          <w:sz w:val="24"/>
          <w:szCs w:val="24"/>
        </w:rPr>
        <w:tab/>
      </w:r>
      <w:proofErr w:type="spellStart"/>
      <w:r w:rsidRPr="000C548C">
        <w:rPr>
          <w:sz w:val="24"/>
          <w:szCs w:val="24"/>
        </w:rPr>
        <w:t>takypnø</w:t>
      </w:r>
      <w:proofErr w:type="spellEnd"/>
      <w:r w:rsidRPr="000C548C">
        <w:rPr>
          <w:sz w:val="24"/>
          <w:szCs w:val="24"/>
        </w:rPr>
        <w:t xml:space="preserve">*, </w:t>
      </w:r>
      <w:proofErr w:type="spellStart"/>
      <w:r w:rsidRPr="000C548C">
        <w:rPr>
          <w:sz w:val="24"/>
          <w:szCs w:val="24"/>
        </w:rPr>
        <w:t>hyperpnø</w:t>
      </w:r>
      <w:proofErr w:type="spellEnd"/>
      <w:r w:rsidRPr="000C548C">
        <w:rPr>
          <w:sz w:val="24"/>
          <w:szCs w:val="24"/>
        </w:rPr>
        <w:t xml:space="preserve">*, dyspnø, </w:t>
      </w:r>
      <w:proofErr w:type="spellStart"/>
      <w:r w:rsidRPr="000C548C">
        <w:rPr>
          <w:sz w:val="24"/>
          <w:szCs w:val="24"/>
        </w:rPr>
        <w:t>singultus</w:t>
      </w:r>
      <w:proofErr w:type="spellEnd"/>
    </w:p>
    <w:p w14:paraId="2D749D00" w14:textId="77777777" w:rsidR="006E10A3" w:rsidRPr="000C548C" w:rsidRDefault="006E10A3" w:rsidP="00024816">
      <w:pPr>
        <w:tabs>
          <w:tab w:val="left" w:pos="2977"/>
        </w:tabs>
        <w:ind w:left="851"/>
        <w:rPr>
          <w:sz w:val="24"/>
          <w:szCs w:val="24"/>
        </w:rPr>
      </w:pPr>
    </w:p>
    <w:p w14:paraId="6DB7DF9D" w14:textId="77777777" w:rsidR="006E10A3" w:rsidRPr="000C548C" w:rsidRDefault="006E10A3" w:rsidP="00024816">
      <w:pPr>
        <w:tabs>
          <w:tab w:val="left" w:pos="2977"/>
        </w:tabs>
        <w:ind w:left="851"/>
        <w:rPr>
          <w:sz w:val="24"/>
          <w:szCs w:val="24"/>
          <w:u w:val="single"/>
        </w:rPr>
      </w:pPr>
      <w:r w:rsidRPr="000C548C">
        <w:rPr>
          <w:sz w:val="24"/>
          <w:szCs w:val="24"/>
          <w:u w:val="single"/>
        </w:rPr>
        <w:t>Mave-tarm-kanalen</w:t>
      </w:r>
    </w:p>
    <w:p w14:paraId="420A8957" w14:textId="77777777" w:rsidR="006E10A3" w:rsidRPr="000C548C" w:rsidRDefault="006E10A3" w:rsidP="00024816">
      <w:pPr>
        <w:tabs>
          <w:tab w:val="left" w:pos="2977"/>
        </w:tabs>
        <w:ind w:left="2975" w:hanging="2124"/>
        <w:rPr>
          <w:sz w:val="24"/>
          <w:szCs w:val="24"/>
        </w:rPr>
      </w:pPr>
      <w:r w:rsidRPr="000C548C">
        <w:rPr>
          <w:i/>
          <w:sz w:val="24"/>
          <w:szCs w:val="24"/>
        </w:rPr>
        <w:t>Meget almindelige</w:t>
      </w:r>
      <w:r w:rsidRPr="000C548C">
        <w:rPr>
          <w:sz w:val="24"/>
          <w:szCs w:val="24"/>
        </w:rPr>
        <w:t>:</w:t>
      </w:r>
      <w:r w:rsidRPr="000C548C">
        <w:rPr>
          <w:sz w:val="24"/>
          <w:szCs w:val="24"/>
        </w:rPr>
        <w:tab/>
        <w:t>maveproblemer, som f.eks. kvalme, opkastning (hos ca. 10 % af patienterne)</w:t>
      </w:r>
    </w:p>
    <w:p w14:paraId="29439976" w14:textId="7193AC77" w:rsidR="006E10A3" w:rsidRPr="000C548C" w:rsidRDefault="006E10A3" w:rsidP="00024816">
      <w:pPr>
        <w:tabs>
          <w:tab w:val="left" w:pos="2977"/>
        </w:tabs>
        <w:ind w:left="851"/>
        <w:rPr>
          <w:sz w:val="24"/>
          <w:szCs w:val="24"/>
        </w:rPr>
      </w:pPr>
      <w:r w:rsidRPr="000C548C">
        <w:rPr>
          <w:i/>
          <w:sz w:val="24"/>
          <w:szCs w:val="24"/>
        </w:rPr>
        <w:t>Ikke kendt:</w:t>
      </w:r>
      <w:r w:rsidR="00024816">
        <w:rPr>
          <w:i/>
          <w:sz w:val="24"/>
          <w:szCs w:val="24"/>
        </w:rPr>
        <w:tab/>
      </w:r>
      <w:r w:rsidRPr="000C548C">
        <w:rPr>
          <w:sz w:val="24"/>
          <w:szCs w:val="24"/>
        </w:rPr>
        <w:t xml:space="preserve">diarré </w:t>
      </w:r>
    </w:p>
    <w:p w14:paraId="216308F4" w14:textId="77777777" w:rsidR="006E10A3" w:rsidRPr="000C548C" w:rsidRDefault="006E10A3" w:rsidP="00024816">
      <w:pPr>
        <w:tabs>
          <w:tab w:val="left" w:pos="2977"/>
        </w:tabs>
        <w:ind w:left="851"/>
        <w:rPr>
          <w:sz w:val="24"/>
          <w:szCs w:val="24"/>
        </w:rPr>
      </w:pPr>
    </w:p>
    <w:p w14:paraId="6F5B3E3F" w14:textId="77777777" w:rsidR="006E10A3" w:rsidRPr="000C548C" w:rsidRDefault="006E10A3" w:rsidP="00024816">
      <w:pPr>
        <w:tabs>
          <w:tab w:val="left" w:pos="2977"/>
        </w:tabs>
        <w:ind w:left="851"/>
        <w:rPr>
          <w:sz w:val="24"/>
          <w:szCs w:val="24"/>
          <w:u w:val="single"/>
        </w:rPr>
      </w:pPr>
      <w:r w:rsidRPr="000C548C">
        <w:rPr>
          <w:sz w:val="24"/>
          <w:szCs w:val="24"/>
          <w:u w:val="single"/>
        </w:rPr>
        <w:t>Lever og galdeveje</w:t>
      </w:r>
    </w:p>
    <w:p w14:paraId="1A6FED47" w14:textId="494C5601" w:rsidR="006E10A3" w:rsidRPr="000C548C" w:rsidRDefault="006E10A3" w:rsidP="00024816">
      <w:pPr>
        <w:tabs>
          <w:tab w:val="left" w:pos="2977"/>
        </w:tabs>
        <w:ind w:left="851"/>
        <w:rPr>
          <w:sz w:val="24"/>
          <w:szCs w:val="24"/>
        </w:rPr>
      </w:pPr>
      <w:r w:rsidRPr="000C548C">
        <w:rPr>
          <w:i/>
          <w:sz w:val="24"/>
          <w:szCs w:val="24"/>
        </w:rPr>
        <w:t>Ikke kendt:</w:t>
      </w:r>
      <w:r w:rsidRPr="000C548C">
        <w:rPr>
          <w:sz w:val="24"/>
          <w:szCs w:val="24"/>
        </w:rPr>
        <w:tab/>
      </w:r>
      <w:proofErr w:type="spellStart"/>
      <w:r w:rsidRPr="000C548C">
        <w:rPr>
          <w:sz w:val="24"/>
          <w:szCs w:val="24"/>
        </w:rPr>
        <w:t>hepatotoksiske</w:t>
      </w:r>
      <w:proofErr w:type="spellEnd"/>
      <w:r w:rsidRPr="000C548C">
        <w:rPr>
          <w:sz w:val="24"/>
          <w:szCs w:val="24"/>
        </w:rPr>
        <w:t xml:space="preserve"> reaktioner, forhøjede leverenzymer</w:t>
      </w:r>
    </w:p>
    <w:p w14:paraId="52EE6FF8" w14:textId="77777777" w:rsidR="006E10A3" w:rsidRPr="000C548C" w:rsidRDefault="006E10A3" w:rsidP="00024816">
      <w:pPr>
        <w:tabs>
          <w:tab w:val="left" w:pos="2977"/>
        </w:tabs>
        <w:ind w:left="851"/>
        <w:rPr>
          <w:sz w:val="24"/>
          <w:szCs w:val="24"/>
        </w:rPr>
      </w:pPr>
    </w:p>
    <w:p w14:paraId="204A5942" w14:textId="77777777" w:rsidR="006E10A3" w:rsidRPr="000C548C" w:rsidRDefault="006E10A3" w:rsidP="00024816">
      <w:pPr>
        <w:tabs>
          <w:tab w:val="left" w:pos="2977"/>
        </w:tabs>
        <w:ind w:left="851"/>
        <w:rPr>
          <w:sz w:val="24"/>
          <w:szCs w:val="24"/>
          <w:u w:val="single"/>
        </w:rPr>
      </w:pPr>
      <w:r w:rsidRPr="000C548C">
        <w:rPr>
          <w:sz w:val="24"/>
          <w:szCs w:val="24"/>
          <w:u w:val="single"/>
        </w:rPr>
        <w:t>Hud og subkutane væv</w:t>
      </w:r>
    </w:p>
    <w:p w14:paraId="5F4EFC7C" w14:textId="229B11C7" w:rsidR="006E10A3" w:rsidRPr="000C548C" w:rsidRDefault="006E10A3" w:rsidP="00024816">
      <w:pPr>
        <w:tabs>
          <w:tab w:val="left" w:pos="2977"/>
        </w:tabs>
        <w:ind w:left="851"/>
        <w:rPr>
          <w:sz w:val="24"/>
          <w:szCs w:val="24"/>
        </w:rPr>
      </w:pPr>
      <w:r w:rsidRPr="000C548C">
        <w:rPr>
          <w:i/>
          <w:sz w:val="24"/>
          <w:szCs w:val="24"/>
        </w:rPr>
        <w:t>Ikke kendt:</w:t>
      </w:r>
      <w:r w:rsidRPr="000C548C">
        <w:rPr>
          <w:sz w:val="24"/>
          <w:szCs w:val="24"/>
        </w:rPr>
        <w:tab/>
      </w:r>
      <w:r w:rsidR="00D06D12" w:rsidRPr="000C548C">
        <w:rPr>
          <w:sz w:val="24"/>
          <w:szCs w:val="24"/>
        </w:rPr>
        <w:t xml:space="preserve">Stevens-Johnsons syndrom, </w:t>
      </w:r>
      <w:r w:rsidR="00D06D12">
        <w:rPr>
          <w:sz w:val="24"/>
          <w:szCs w:val="24"/>
        </w:rPr>
        <w:t xml:space="preserve">toksisk </w:t>
      </w:r>
      <w:proofErr w:type="spellStart"/>
      <w:r w:rsidR="00D06D12">
        <w:rPr>
          <w:sz w:val="24"/>
          <w:szCs w:val="24"/>
        </w:rPr>
        <w:t>epidermal</w:t>
      </w:r>
      <w:proofErr w:type="spellEnd"/>
      <w:r w:rsidR="00D06D12">
        <w:rPr>
          <w:sz w:val="24"/>
          <w:szCs w:val="24"/>
        </w:rPr>
        <w:t xml:space="preserve"> </w:t>
      </w:r>
      <w:proofErr w:type="spellStart"/>
      <w:r w:rsidR="00D06D12">
        <w:rPr>
          <w:sz w:val="24"/>
          <w:szCs w:val="24"/>
        </w:rPr>
        <w:t>nekrolyse</w:t>
      </w:r>
      <w:proofErr w:type="spellEnd"/>
      <w:r w:rsidR="00D06D12">
        <w:rPr>
          <w:sz w:val="24"/>
          <w:szCs w:val="24"/>
        </w:rPr>
        <w:t xml:space="preserve"> (TEN)</w:t>
      </w:r>
    </w:p>
    <w:p w14:paraId="74391422" w14:textId="77777777" w:rsidR="006E10A3" w:rsidRPr="000C548C" w:rsidRDefault="006E10A3" w:rsidP="00024816">
      <w:pPr>
        <w:tabs>
          <w:tab w:val="left" w:pos="2977"/>
        </w:tabs>
        <w:ind w:left="851"/>
        <w:rPr>
          <w:sz w:val="24"/>
          <w:szCs w:val="24"/>
        </w:rPr>
      </w:pPr>
    </w:p>
    <w:p w14:paraId="4CC65C8E" w14:textId="77777777" w:rsidR="006E10A3" w:rsidRPr="000C548C" w:rsidRDefault="006E10A3" w:rsidP="00024816">
      <w:pPr>
        <w:tabs>
          <w:tab w:val="left" w:pos="2977"/>
        </w:tabs>
        <w:ind w:left="851"/>
        <w:rPr>
          <w:sz w:val="24"/>
          <w:szCs w:val="24"/>
          <w:u w:val="single"/>
        </w:rPr>
      </w:pPr>
      <w:r w:rsidRPr="000C548C">
        <w:rPr>
          <w:sz w:val="24"/>
          <w:szCs w:val="24"/>
          <w:u w:val="single"/>
        </w:rPr>
        <w:t>Knogler, led, muskler og bindevæv</w:t>
      </w:r>
    </w:p>
    <w:p w14:paraId="70D98554" w14:textId="77777777" w:rsidR="006E10A3" w:rsidRPr="000C548C" w:rsidRDefault="006E10A3" w:rsidP="00024816">
      <w:pPr>
        <w:tabs>
          <w:tab w:val="left" w:pos="2977"/>
        </w:tabs>
        <w:ind w:left="851"/>
        <w:rPr>
          <w:sz w:val="24"/>
          <w:szCs w:val="24"/>
        </w:rPr>
      </w:pPr>
      <w:r w:rsidRPr="000C548C">
        <w:rPr>
          <w:i/>
          <w:sz w:val="24"/>
          <w:szCs w:val="24"/>
        </w:rPr>
        <w:t>Ikke almindelige:</w:t>
      </w:r>
      <w:r w:rsidRPr="000C548C">
        <w:rPr>
          <w:sz w:val="24"/>
          <w:szCs w:val="24"/>
        </w:rPr>
        <w:tab/>
        <w:t>ledsmerter</w:t>
      </w:r>
    </w:p>
    <w:p w14:paraId="63DCEE3C" w14:textId="77777777" w:rsidR="006E10A3" w:rsidRPr="000C548C" w:rsidRDefault="006E10A3" w:rsidP="00024816">
      <w:pPr>
        <w:tabs>
          <w:tab w:val="left" w:pos="2977"/>
        </w:tabs>
        <w:ind w:left="851"/>
        <w:rPr>
          <w:sz w:val="24"/>
          <w:szCs w:val="24"/>
        </w:rPr>
      </w:pPr>
    </w:p>
    <w:p w14:paraId="2DAC646A" w14:textId="77777777" w:rsidR="006E10A3" w:rsidRPr="000C548C" w:rsidRDefault="006E10A3" w:rsidP="00024816">
      <w:pPr>
        <w:tabs>
          <w:tab w:val="left" w:pos="2977"/>
        </w:tabs>
        <w:ind w:left="851"/>
        <w:rPr>
          <w:sz w:val="24"/>
          <w:szCs w:val="24"/>
          <w:u w:val="single"/>
        </w:rPr>
      </w:pPr>
      <w:r w:rsidRPr="000C548C">
        <w:rPr>
          <w:sz w:val="24"/>
          <w:szCs w:val="24"/>
          <w:u w:val="single"/>
        </w:rPr>
        <w:t>Nyrer og urinveje</w:t>
      </w:r>
    </w:p>
    <w:p w14:paraId="49951092" w14:textId="108C391C" w:rsidR="006E10A3" w:rsidRPr="000C548C" w:rsidRDefault="006E10A3" w:rsidP="00024816">
      <w:pPr>
        <w:tabs>
          <w:tab w:val="left" w:pos="2977"/>
        </w:tabs>
        <w:ind w:left="851"/>
        <w:rPr>
          <w:sz w:val="24"/>
          <w:szCs w:val="24"/>
        </w:rPr>
      </w:pPr>
      <w:r w:rsidRPr="000C548C">
        <w:rPr>
          <w:i/>
          <w:sz w:val="24"/>
          <w:szCs w:val="24"/>
        </w:rPr>
        <w:t>Ikke kendt:</w:t>
      </w:r>
      <w:r w:rsidRPr="000C548C">
        <w:rPr>
          <w:sz w:val="24"/>
          <w:szCs w:val="24"/>
        </w:rPr>
        <w:t xml:space="preserve"> </w:t>
      </w:r>
      <w:r w:rsidRPr="000C548C">
        <w:rPr>
          <w:sz w:val="24"/>
          <w:szCs w:val="24"/>
        </w:rPr>
        <w:tab/>
        <w:t>akut nyresvigt</w:t>
      </w:r>
    </w:p>
    <w:p w14:paraId="76A9979D" w14:textId="77777777" w:rsidR="006E10A3" w:rsidRPr="000C548C" w:rsidRDefault="006E10A3" w:rsidP="009C67AF">
      <w:pPr>
        <w:ind w:left="851"/>
        <w:rPr>
          <w:sz w:val="24"/>
          <w:szCs w:val="24"/>
        </w:rPr>
      </w:pPr>
    </w:p>
    <w:p w14:paraId="632A556C" w14:textId="77777777" w:rsidR="006E10A3" w:rsidRPr="000C548C" w:rsidRDefault="006E10A3" w:rsidP="009C67AF">
      <w:pPr>
        <w:ind w:left="851"/>
        <w:rPr>
          <w:sz w:val="24"/>
          <w:szCs w:val="24"/>
        </w:rPr>
      </w:pPr>
      <w:r w:rsidRPr="000C548C">
        <w:rPr>
          <w:sz w:val="24"/>
          <w:szCs w:val="24"/>
        </w:rPr>
        <w:t>*Dosisafhængigt, hvis nødvendigt skal dosis tilpasses.</w:t>
      </w:r>
    </w:p>
    <w:p w14:paraId="6A1C05F2" w14:textId="77777777" w:rsidR="006E10A3" w:rsidRPr="000C548C" w:rsidRDefault="006E10A3" w:rsidP="009C67AF">
      <w:pPr>
        <w:ind w:left="851"/>
        <w:rPr>
          <w:sz w:val="24"/>
          <w:szCs w:val="24"/>
        </w:rPr>
      </w:pPr>
    </w:p>
    <w:p w14:paraId="501CFC77" w14:textId="121169DB" w:rsidR="006E10A3" w:rsidRPr="000C548C" w:rsidRDefault="006E10A3" w:rsidP="009C67AF">
      <w:pPr>
        <w:ind w:left="851"/>
        <w:rPr>
          <w:sz w:val="24"/>
          <w:szCs w:val="24"/>
        </w:rPr>
      </w:pPr>
      <w:r w:rsidRPr="000C548C">
        <w:rPr>
          <w:sz w:val="24"/>
          <w:szCs w:val="24"/>
        </w:rPr>
        <w:t xml:space="preserve">I ét tilfælde førte administration af </w:t>
      </w:r>
      <w:proofErr w:type="spellStart"/>
      <w:r w:rsidRPr="000C548C">
        <w:rPr>
          <w:iCs/>
          <w:sz w:val="24"/>
          <w:szCs w:val="24"/>
        </w:rPr>
        <w:t>Ospolot</w:t>
      </w:r>
      <w:proofErr w:type="spellEnd"/>
      <w:r w:rsidRPr="000C548C">
        <w:rPr>
          <w:iCs/>
          <w:sz w:val="24"/>
          <w:szCs w:val="24"/>
        </w:rPr>
        <w:t xml:space="preserve">-tab </w:t>
      </w:r>
      <w:r w:rsidRPr="000C548C">
        <w:rPr>
          <w:sz w:val="24"/>
          <w:szCs w:val="24"/>
        </w:rPr>
        <w:t xml:space="preserve">til progressiv svaghed i lemmerne, </w:t>
      </w:r>
      <w:proofErr w:type="spellStart"/>
      <w:r w:rsidRPr="000C548C">
        <w:rPr>
          <w:sz w:val="24"/>
          <w:szCs w:val="24"/>
        </w:rPr>
        <w:t>hypersalivation</w:t>
      </w:r>
      <w:proofErr w:type="spellEnd"/>
      <w:r w:rsidRPr="000C548C">
        <w:rPr>
          <w:sz w:val="24"/>
          <w:szCs w:val="24"/>
        </w:rPr>
        <w:t xml:space="preserve">, sløret tale, tiltagende døsighed op til koma. Symptomerne aftog inden for få timer efter </w:t>
      </w:r>
      <w:proofErr w:type="spellStart"/>
      <w:r w:rsidRPr="000C548C">
        <w:rPr>
          <w:sz w:val="24"/>
          <w:szCs w:val="24"/>
        </w:rPr>
        <w:t>seponering</w:t>
      </w:r>
      <w:proofErr w:type="spellEnd"/>
      <w:r w:rsidRPr="000C548C">
        <w:rPr>
          <w:sz w:val="24"/>
          <w:szCs w:val="24"/>
        </w:rPr>
        <w:t xml:space="preserve"> af </w:t>
      </w:r>
      <w:proofErr w:type="spellStart"/>
      <w:r w:rsidRPr="000C548C">
        <w:rPr>
          <w:iCs/>
          <w:sz w:val="24"/>
          <w:szCs w:val="24"/>
        </w:rPr>
        <w:t>Ospolot</w:t>
      </w:r>
      <w:proofErr w:type="spellEnd"/>
      <w:r w:rsidRPr="000C548C">
        <w:rPr>
          <w:iCs/>
          <w:sz w:val="24"/>
          <w:szCs w:val="24"/>
        </w:rPr>
        <w:t>-tab</w:t>
      </w:r>
      <w:r w:rsidRPr="000C548C">
        <w:rPr>
          <w:sz w:val="24"/>
          <w:szCs w:val="24"/>
        </w:rPr>
        <w:t>.</w:t>
      </w:r>
    </w:p>
    <w:p w14:paraId="030E3C1F" w14:textId="77777777" w:rsidR="006E10A3" w:rsidRPr="000C548C" w:rsidRDefault="006E10A3" w:rsidP="009C67AF">
      <w:pPr>
        <w:ind w:left="851"/>
        <w:rPr>
          <w:sz w:val="24"/>
          <w:szCs w:val="24"/>
        </w:rPr>
      </w:pPr>
    </w:p>
    <w:p w14:paraId="54253166" w14:textId="2AA74879" w:rsidR="006E10A3" w:rsidRPr="000C548C" w:rsidRDefault="006E10A3" w:rsidP="009C67AF">
      <w:pPr>
        <w:ind w:left="851"/>
        <w:rPr>
          <w:sz w:val="24"/>
          <w:szCs w:val="24"/>
        </w:rPr>
      </w:pPr>
      <w:proofErr w:type="spellStart"/>
      <w:r w:rsidRPr="000C548C">
        <w:rPr>
          <w:sz w:val="24"/>
          <w:szCs w:val="24"/>
        </w:rPr>
        <w:t>Sultiam</w:t>
      </w:r>
      <w:proofErr w:type="spellEnd"/>
      <w:r w:rsidRPr="000C548C">
        <w:rPr>
          <w:sz w:val="24"/>
          <w:szCs w:val="24"/>
        </w:rPr>
        <w:t xml:space="preserve"> er en </w:t>
      </w:r>
      <w:proofErr w:type="spellStart"/>
      <w:r w:rsidRPr="000C548C">
        <w:rPr>
          <w:sz w:val="24"/>
          <w:szCs w:val="24"/>
        </w:rPr>
        <w:t>carboanhydrasehæmmer</w:t>
      </w:r>
      <w:proofErr w:type="spellEnd"/>
      <w:r w:rsidRPr="000C548C">
        <w:rPr>
          <w:sz w:val="24"/>
          <w:szCs w:val="24"/>
        </w:rPr>
        <w:t xml:space="preserve">. Derfor kan der opstå bivirkninger ved </w:t>
      </w:r>
      <w:proofErr w:type="spellStart"/>
      <w:r w:rsidRPr="000C548C">
        <w:rPr>
          <w:sz w:val="24"/>
          <w:szCs w:val="24"/>
        </w:rPr>
        <w:t>carboanhydrasehæmning</w:t>
      </w:r>
      <w:proofErr w:type="spellEnd"/>
      <w:r w:rsidRPr="000C548C">
        <w:rPr>
          <w:sz w:val="24"/>
          <w:szCs w:val="24"/>
        </w:rPr>
        <w:t xml:space="preserve">, såsom dannelse af nyresten, metabolisk </w:t>
      </w:r>
      <w:proofErr w:type="spellStart"/>
      <w:r w:rsidRPr="000C548C">
        <w:rPr>
          <w:sz w:val="24"/>
          <w:szCs w:val="24"/>
        </w:rPr>
        <w:t>acidose</w:t>
      </w:r>
      <w:proofErr w:type="spellEnd"/>
      <w:r w:rsidRPr="000C548C">
        <w:rPr>
          <w:sz w:val="24"/>
          <w:szCs w:val="24"/>
        </w:rPr>
        <w:t xml:space="preserve">, træthed/udmattelse, </w:t>
      </w:r>
      <w:proofErr w:type="spellStart"/>
      <w:r w:rsidRPr="000C548C">
        <w:rPr>
          <w:sz w:val="24"/>
          <w:szCs w:val="24"/>
        </w:rPr>
        <w:t>hæmodilution</w:t>
      </w:r>
      <w:proofErr w:type="spellEnd"/>
      <w:r w:rsidRPr="000C548C">
        <w:rPr>
          <w:sz w:val="24"/>
          <w:szCs w:val="24"/>
        </w:rPr>
        <w:t xml:space="preserve"> og ændringer i serumelektrolytværdier (f.eks. </w:t>
      </w:r>
      <w:proofErr w:type="spellStart"/>
      <w:r w:rsidRPr="000C548C">
        <w:rPr>
          <w:sz w:val="24"/>
          <w:szCs w:val="24"/>
        </w:rPr>
        <w:t>hypokalcæmi</w:t>
      </w:r>
      <w:proofErr w:type="spellEnd"/>
      <w:r w:rsidRPr="000C548C">
        <w:rPr>
          <w:sz w:val="24"/>
          <w:szCs w:val="24"/>
        </w:rPr>
        <w:t xml:space="preserve">) under administration af </w:t>
      </w:r>
      <w:proofErr w:type="spellStart"/>
      <w:r w:rsidRPr="000C548C">
        <w:rPr>
          <w:sz w:val="24"/>
          <w:szCs w:val="24"/>
        </w:rPr>
        <w:t>sultiam</w:t>
      </w:r>
      <w:proofErr w:type="spellEnd"/>
      <w:r w:rsidRPr="000C548C">
        <w:rPr>
          <w:sz w:val="24"/>
          <w:szCs w:val="24"/>
        </w:rPr>
        <w:t xml:space="preserve"> (se også </w:t>
      </w:r>
      <w:r w:rsidR="00027DFF">
        <w:rPr>
          <w:sz w:val="24"/>
          <w:szCs w:val="24"/>
        </w:rPr>
        <w:t>pkt.</w:t>
      </w:r>
      <w:r w:rsidRPr="000C548C">
        <w:rPr>
          <w:sz w:val="24"/>
          <w:szCs w:val="24"/>
        </w:rPr>
        <w:t xml:space="preserve"> 4.5).</w:t>
      </w:r>
    </w:p>
    <w:p w14:paraId="31E5027B" w14:textId="77777777" w:rsidR="006E10A3" w:rsidRPr="000C548C" w:rsidRDefault="006E10A3" w:rsidP="009C67AF">
      <w:pPr>
        <w:ind w:left="851"/>
        <w:rPr>
          <w:sz w:val="24"/>
          <w:szCs w:val="24"/>
        </w:rPr>
      </w:pPr>
    </w:p>
    <w:p w14:paraId="399CECCB" w14:textId="77777777" w:rsidR="006E10A3" w:rsidRPr="000C548C" w:rsidRDefault="006E10A3" w:rsidP="009C67AF">
      <w:pPr>
        <w:ind w:left="851"/>
        <w:rPr>
          <w:sz w:val="24"/>
          <w:szCs w:val="24"/>
          <w:u w:val="single"/>
        </w:rPr>
      </w:pPr>
      <w:r w:rsidRPr="000C548C">
        <w:rPr>
          <w:sz w:val="24"/>
          <w:szCs w:val="24"/>
          <w:u w:val="single"/>
        </w:rPr>
        <w:t>Indberetning af formodede bivirkninger</w:t>
      </w:r>
    </w:p>
    <w:p w14:paraId="543505DB" w14:textId="77777777" w:rsidR="006E10A3" w:rsidRPr="000C548C" w:rsidRDefault="006E10A3" w:rsidP="009C67AF">
      <w:pPr>
        <w:ind w:left="851"/>
        <w:rPr>
          <w:sz w:val="24"/>
          <w:szCs w:val="24"/>
        </w:rPr>
      </w:pPr>
      <w:r w:rsidRPr="000C548C">
        <w:rPr>
          <w:sz w:val="24"/>
          <w:szCs w:val="24"/>
        </w:rPr>
        <w:t>Når lægemidlet er godkendt, er indberetning af formodede bivirkninger vigtig. Det muliggør løbende overvågning af benefit/</w:t>
      </w:r>
      <w:proofErr w:type="spellStart"/>
      <w:r w:rsidRPr="000C548C">
        <w:rPr>
          <w:sz w:val="24"/>
          <w:szCs w:val="24"/>
        </w:rPr>
        <w:t>risk</w:t>
      </w:r>
      <w:proofErr w:type="spellEnd"/>
      <w:r w:rsidRPr="000C548C">
        <w:rPr>
          <w:sz w:val="24"/>
          <w:szCs w:val="24"/>
        </w:rPr>
        <w:t>-forholdet for lægemidlet. Sundhedspersoner anmodes om at indberette alle formodede bivirkninger via:</w:t>
      </w:r>
    </w:p>
    <w:p w14:paraId="112E81CC" w14:textId="77777777" w:rsidR="006E10A3" w:rsidRPr="000C548C" w:rsidRDefault="006E10A3" w:rsidP="009C67AF">
      <w:pPr>
        <w:ind w:left="851"/>
        <w:rPr>
          <w:sz w:val="24"/>
          <w:szCs w:val="24"/>
        </w:rPr>
      </w:pPr>
    </w:p>
    <w:p w14:paraId="40361D6A" w14:textId="77777777" w:rsidR="006E10A3" w:rsidRPr="000C548C" w:rsidRDefault="006E10A3" w:rsidP="009C67AF">
      <w:pPr>
        <w:ind w:left="851"/>
        <w:rPr>
          <w:rFonts w:eastAsia="Calibri"/>
          <w:color w:val="000000"/>
          <w:sz w:val="24"/>
          <w:szCs w:val="24"/>
          <w:lang w:eastAsia="zh-CN"/>
        </w:rPr>
      </w:pPr>
      <w:r w:rsidRPr="000C548C">
        <w:rPr>
          <w:sz w:val="24"/>
          <w:szCs w:val="24"/>
          <w:lang w:bidi="da-DK"/>
        </w:rPr>
        <w:t>Lægemiddelstyrelsen</w:t>
      </w:r>
    </w:p>
    <w:p w14:paraId="77134F16" w14:textId="77777777" w:rsidR="006E10A3" w:rsidRPr="000C548C" w:rsidRDefault="006E10A3" w:rsidP="009C67AF">
      <w:pPr>
        <w:ind w:left="851"/>
        <w:rPr>
          <w:rFonts w:eastAsia="Calibri"/>
          <w:noProof/>
          <w:sz w:val="24"/>
          <w:szCs w:val="24"/>
          <w:lang w:eastAsia="zh-CN"/>
        </w:rPr>
      </w:pPr>
      <w:r w:rsidRPr="000C548C">
        <w:rPr>
          <w:sz w:val="24"/>
          <w:szCs w:val="24"/>
          <w:lang w:eastAsia="zh-CN" w:bidi="da-DK"/>
        </w:rPr>
        <w:t>Axel Heides Gade 1</w:t>
      </w:r>
    </w:p>
    <w:p w14:paraId="3ACDE831" w14:textId="77777777" w:rsidR="006E10A3" w:rsidRPr="000C548C" w:rsidRDefault="006E10A3" w:rsidP="009C67AF">
      <w:pPr>
        <w:ind w:left="851"/>
        <w:rPr>
          <w:rFonts w:eastAsia="Calibri"/>
          <w:noProof/>
          <w:sz w:val="24"/>
          <w:szCs w:val="24"/>
          <w:lang w:eastAsia="zh-CN"/>
        </w:rPr>
      </w:pPr>
      <w:r w:rsidRPr="000C548C">
        <w:rPr>
          <w:noProof/>
          <w:sz w:val="24"/>
          <w:szCs w:val="24"/>
          <w:lang w:eastAsia="zh-CN" w:bidi="da-DK"/>
        </w:rPr>
        <w:t>DK-2300 København S</w:t>
      </w:r>
    </w:p>
    <w:p w14:paraId="08517A8B" w14:textId="77777777" w:rsidR="006E10A3" w:rsidRPr="000C548C" w:rsidRDefault="006E10A3" w:rsidP="009C67AF">
      <w:pPr>
        <w:ind w:left="851"/>
        <w:rPr>
          <w:rFonts w:eastAsia="Calibri"/>
          <w:noProof/>
          <w:sz w:val="24"/>
          <w:szCs w:val="24"/>
          <w:lang w:eastAsia="zh-CN"/>
        </w:rPr>
      </w:pPr>
      <w:r w:rsidRPr="000C548C">
        <w:rPr>
          <w:sz w:val="24"/>
          <w:szCs w:val="24"/>
          <w:lang w:eastAsia="zh-CN" w:bidi="da-DK"/>
        </w:rPr>
        <w:t xml:space="preserve">Websted: </w:t>
      </w:r>
      <w:hyperlink r:id="rId8" w:history="1">
        <w:r w:rsidRPr="000C548C">
          <w:rPr>
            <w:rStyle w:val="Hyperlink"/>
            <w:sz w:val="24"/>
            <w:szCs w:val="24"/>
            <w:lang w:eastAsia="zh-CN" w:bidi="da-DK"/>
          </w:rPr>
          <w:t>www.meldenbivirkning.dk</w:t>
        </w:r>
      </w:hyperlink>
      <w:r w:rsidRPr="000C548C">
        <w:rPr>
          <w:sz w:val="24"/>
          <w:szCs w:val="24"/>
        </w:rPr>
        <w:t xml:space="preserve"> </w:t>
      </w:r>
    </w:p>
    <w:p w14:paraId="222AFD4E" w14:textId="77777777" w:rsidR="009260DE" w:rsidRPr="000C548C" w:rsidRDefault="009260DE" w:rsidP="00A10294">
      <w:pPr>
        <w:tabs>
          <w:tab w:val="left" w:pos="851"/>
        </w:tabs>
        <w:ind w:left="851"/>
        <w:rPr>
          <w:sz w:val="24"/>
          <w:szCs w:val="24"/>
        </w:rPr>
      </w:pPr>
    </w:p>
    <w:p w14:paraId="664450C9" w14:textId="77777777" w:rsidR="009260DE" w:rsidRPr="000C548C" w:rsidRDefault="009260DE" w:rsidP="009260DE">
      <w:pPr>
        <w:tabs>
          <w:tab w:val="left" w:pos="851"/>
        </w:tabs>
        <w:ind w:left="851" w:hanging="851"/>
        <w:rPr>
          <w:b/>
          <w:sz w:val="24"/>
          <w:szCs w:val="24"/>
        </w:rPr>
      </w:pPr>
      <w:r w:rsidRPr="000C548C">
        <w:rPr>
          <w:b/>
          <w:sz w:val="24"/>
          <w:szCs w:val="24"/>
        </w:rPr>
        <w:t>4.9</w:t>
      </w:r>
      <w:r w:rsidRPr="000C548C">
        <w:rPr>
          <w:b/>
          <w:sz w:val="24"/>
          <w:szCs w:val="24"/>
        </w:rPr>
        <w:tab/>
        <w:t>Overdosering</w:t>
      </w:r>
    </w:p>
    <w:p w14:paraId="0E19C4E8" w14:textId="77777777" w:rsidR="00024816" w:rsidRDefault="00024816" w:rsidP="009C67AF">
      <w:pPr>
        <w:ind w:left="851"/>
        <w:rPr>
          <w:sz w:val="24"/>
          <w:szCs w:val="24"/>
        </w:rPr>
      </w:pPr>
    </w:p>
    <w:p w14:paraId="04CE4A89" w14:textId="7FF5A722" w:rsidR="006E10A3" w:rsidRPr="00024816" w:rsidRDefault="006E10A3" w:rsidP="009C67AF">
      <w:pPr>
        <w:ind w:left="851"/>
        <w:rPr>
          <w:sz w:val="24"/>
          <w:szCs w:val="24"/>
          <w:u w:val="single"/>
          <w:lang w:eastAsia="de-DE"/>
        </w:rPr>
      </w:pPr>
      <w:r w:rsidRPr="00024816">
        <w:rPr>
          <w:sz w:val="24"/>
          <w:szCs w:val="24"/>
          <w:u w:val="single"/>
        </w:rPr>
        <w:t>Symptomer på forgiftning</w:t>
      </w:r>
    </w:p>
    <w:p w14:paraId="790E1BF8" w14:textId="040FDB26" w:rsidR="006E10A3" w:rsidRPr="000C548C" w:rsidRDefault="006E10A3" w:rsidP="009C67AF">
      <w:pPr>
        <w:ind w:left="851"/>
        <w:rPr>
          <w:sz w:val="24"/>
          <w:szCs w:val="24"/>
        </w:rPr>
      </w:pPr>
      <w:r w:rsidRPr="000C548C">
        <w:rPr>
          <w:sz w:val="24"/>
          <w:szCs w:val="24"/>
        </w:rPr>
        <w:t xml:space="preserve">Hovedpine, svimmelhed, </w:t>
      </w:r>
      <w:proofErr w:type="spellStart"/>
      <w:r w:rsidRPr="000C548C">
        <w:rPr>
          <w:sz w:val="24"/>
          <w:szCs w:val="24"/>
        </w:rPr>
        <w:t>ataksi</w:t>
      </w:r>
      <w:proofErr w:type="spellEnd"/>
      <w:r w:rsidRPr="000C548C">
        <w:rPr>
          <w:sz w:val="24"/>
          <w:szCs w:val="24"/>
        </w:rPr>
        <w:t xml:space="preserve">, nedsat bevidsthed, metabolisk </w:t>
      </w:r>
      <w:proofErr w:type="spellStart"/>
      <w:r w:rsidRPr="000C548C">
        <w:rPr>
          <w:sz w:val="24"/>
          <w:szCs w:val="24"/>
        </w:rPr>
        <w:t>acidose</w:t>
      </w:r>
      <w:proofErr w:type="spellEnd"/>
      <w:r w:rsidRPr="000C548C">
        <w:rPr>
          <w:sz w:val="24"/>
          <w:szCs w:val="24"/>
        </w:rPr>
        <w:t xml:space="preserve">, krystaller i urinen. </w:t>
      </w:r>
      <w:proofErr w:type="spellStart"/>
      <w:r w:rsidRPr="000C548C">
        <w:rPr>
          <w:sz w:val="24"/>
          <w:szCs w:val="24"/>
        </w:rPr>
        <w:t>Sultiam</w:t>
      </w:r>
      <w:proofErr w:type="spellEnd"/>
      <w:r w:rsidRPr="000C548C">
        <w:rPr>
          <w:sz w:val="24"/>
          <w:szCs w:val="24"/>
        </w:rPr>
        <w:t xml:space="preserve"> har en lav toksicitet. Overdoser på 4 til 5 g </w:t>
      </w:r>
      <w:proofErr w:type="spellStart"/>
      <w:r w:rsidRPr="000C548C">
        <w:rPr>
          <w:sz w:val="24"/>
          <w:szCs w:val="24"/>
        </w:rPr>
        <w:t>sultiam</w:t>
      </w:r>
      <w:proofErr w:type="spellEnd"/>
      <w:r w:rsidRPr="000C548C">
        <w:rPr>
          <w:sz w:val="24"/>
          <w:szCs w:val="24"/>
        </w:rPr>
        <w:t xml:space="preserve"> er blevet overlevet. Indtagelse af ca. 20 g </w:t>
      </w:r>
      <w:proofErr w:type="spellStart"/>
      <w:r w:rsidRPr="000C548C">
        <w:rPr>
          <w:sz w:val="24"/>
          <w:szCs w:val="24"/>
        </w:rPr>
        <w:t>sultiam</w:t>
      </w:r>
      <w:proofErr w:type="spellEnd"/>
      <w:r w:rsidRPr="000C548C">
        <w:rPr>
          <w:sz w:val="24"/>
          <w:szCs w:val="24"/>
        </w:rPr>
        <w:t xml:space="preserve"> af voksne med det formål at begå selvmord var i ét tilfælde dødeligt. I et andet tilfælde blev der opnået </w:t>
      </w:r>
      <w:proofErr w:type="spellStart"/>
      <w:r w:rsidRPr="000C548C">
        <w:rPr>
          <w:i/>
          <w:sz w:val="24"/>
          <w:szCs w:val="24"/>
        </w:rPr>
        <w:t>restitutio</w:t>
      </w:r>
      <w:proofErr w:type="spellEnd"/>
      <w:r w:rsidRPr="000C548C">
        <w:rPr>
          <w:i/>
          <w:sz w:val="24"/>
          <w:szCs w:val="24"/>
        </w:rPr>
        <w:t xml:space="preserve"> ad </w:t>
      </w:r>
      <w:proofErr w:type="spellStart"/>
      <w:r w:rsidRPr="000C548C">
        <w:rPr>
          <w:i/>
          <w:sz w:val="24"/>
          <w:szCs w:val="24"/>
        </w:rPr>
        <w:t>integrum</w:t>
      </w:r>
      <w:proofErr w:type="spellEnd"/>
      <w:r w:rsidRPr="000C548C">
        <w:rPr>
          <w:sz w:val="24"/>
          <w:szCs w:val="24"/>
        </w:rPr>
        <w:t>.</w:t>
      </w:r>
    </w:p>
    <w:p w14:paraId="2D53EDC2" w14:textId="77777777" w:rsidR="006E10A3" w:rsidRPr="000C548C" w:rsidRDefault="006E10A3" w:rsidP="009C67AF">
      <w:pPr>
        <w:ind w:left="851"/>
        <w:rPr>
          <w:sz w:val="24"/>
          <w:szCs w:val="24"/>
        </w:rPr>
      </w:pPr>
    </w:p>
    <w:p w14:paraId="07D4FE47" w14:textId="77777777" w:rsidR="006E10A3" w:rsidRPr="00024816" w:rsidRDefault="006E10A3" w:rsidP="009C67AF">
      <w:pPr>
        <w:ind w:left="851"/>
        <w:rPr>
          <w:bCs/>
          <w:sz w:val="24"/>
          <w:szCs w:val="24"/>
          <w:u w:val="single"/>
        </w:rPr>
      </w:pPr>
      <w:r w:rsidRPr="00024816">
        <w:rPr>
          <w:sz w:val="24"/>
          <w:szCs w:val="24"/>
          <w:u w:val="single"/>
        </w:rPr>
        <w:t>Behandling af forgiftninger</w:t>
      </w:r>
    </w:p>
    <w:p w14:paraId="112B9242" w14:textId="77777777" w:rsidR="006E10A3" w:rsidRPr="000C548C" w:rsidRDefault="006E10A3" w:rsidP="009C67AF">
      <w:pPr>
        <w:ind w:left="851"/>
        <w:rPr>
          <w:sz w:val="24"/>
          <w:szCs w:val="24"/>
        </w:rPr>
      </w:pPr>
      <w:r w:rsidRPr="000C548C">
        <w:rPr>
          <w:sz w:val="24"/>
          <w:szCs w:val="24"/>
        </w:rPr>
        <w:t xml:space="preserve">Der kendes ikke en specifik modgift. Der bør træffes standardforanstaltninger (udpumpning og aktivt kul) for at minimere absorptionen og opretholde vitale funktioner. Der kan gives </w:t>
      </w:r>
      <w:proofErr w:type="spellStart"/>
      <w:r w:rsidRPr="000C548C">
        <w:rPr>
          <w:sz w:val="24"/>
          <w:szCs w:val="24"/>
        </w:rPr>
        <w:t>natriumbicarbonat</w:t>
      </w:r>
      <w:proofErr w:type="spellEnd"/>
      <w:r w:rsidRPr="000C548C">
        <w:rPr>
          <w:sz w:val="24"/>
          <w:szCs w:val="24"/>
        </w:rPr>
        <w:t xml:space="preserve"> til behandling af </w:t>
      </w:r>
      <w:proofErr w:type="spellStart"/>
      <w:r w:rsidRPr="000C548C">
        <w:rPr>
          <w:sz w:val="24"/>
          <w:szCs w:val="24"/>
        </w:rPr>
        <w:t>acidose</w:t>
      </w:r>
      <w:proofErr w:type="spellEnd"/>
      <w:r w:rsidRPr="000C548C">
        <w:rPr>
          <w:sz w:val="24"/>
          <w:szCs w:val="24"/>
        </w:rPr>
        <w:t xml:space="preserve">. </w:t>
      </w:r>
      <w:proofErr w:type="spellStart"/>
      <w:r w:rsidRPr="000C548C">
        <w:rPr>
          <w:sz w:val="24"/>
          <w:szCs w:val="24"/>
        </w:rPr>
        <w:t>Alkalisering</w:t>
      </w:r>
      <w:proofErr w:type="spellEnd"/>
      <w:r w:rsidRPr="000C548C">
        <w:rPr>
          <w:sz w:val="24"/>
          <w:szCs w:val="24"/>
        </w:rPr>
        <w:t xml:space="preserve"> med </w:t>
      </w:r>
      <w:proofErr w:type="spellStart"/>
      <w:r w:rsidRPr="000C548C">
        <w:rPr>
          <w:sz w:val="24"/>
          <w:szCs w:val="24"/>
        </w:rPr>
        <w:t>diuretika</w:t>
      </w:r>
      <w:proofErr w:type="spellEnd"/>
      <w:r w:rsidRPr="000C548C">
        <w:rPr>
          <w:sz w:val="24"/>
          <w:szCs w:val="24"/>
        </w:rPr>
        <w:t xml:space="preserve"> anbefales for at forebygge nyreskader og </w:t>
      </w:r>
      <w:proofErr w:type="spellStart"/>
      <w:r w:rsidRPr="000C548C">
        <w:rPr>
          <w:sz w:val="24"/>
          <w:szCs w:val="24"/>
        </w:rPr>
        <w:t>krystalluri</w:t>
      </w:r>
      <w:proofErr w:type="spellEnd"/>
      <w:r w:rsidRPr="000C548C">
        <w:rPr>
          <w:sz w:val="24"/>
          <w:szCs w:val="24"/>
        </w:rPr>
        <w:t>.</w:t>
      </w:r>
    </w:p>
    <w:p w14:paraId="4560D0B0" w14:textId="77777777" w:rsidR="009260DE" w:rsidRPr="000C548C" w:rsidRDefault="009260DE" w:rsidP="009260DE">
      <w:pPr>
        <w:tabs>
          <w:tab w:val="left" w:pos="851"/>
        </w:tabs>
        <w:ind w:left="851"/>
        <w:rPr>
          <w:sz w:val="24"/>
          <w:szCs w:val="24"/>
        </w:rPr>
      </w:pPr>
    </w:p>
    <w:p w14:paraId="2E32D2D8" w14:textId="77777777" w:rsidR="009260DE" w:rsidRPr="000C548C" w:rsidRDefault="009260DE" w:rsidP="009260DE">
      <w:pPr>
        <w:tabs>
          <w:tab w:val="left" w:pos="851"/>
        </w:tabs>
        <w:ind w:left="851" w:hanging="851"/>
        <w:rPr>
          <w:b/>
          <w:sz w:val="24"/>
          <w:szCs w:val="24"/>
        </w:rPr>
      </w:pPr>
      <w:r w:rsidRPr="000C548C">
        <w:rPr>
          <w:b/>
          <w:sz w:val="24"/>
          <w:szCs w:val="24"/>
        </w:rPr>
        <w:t>4.10</w:t>
      </w:r>
      <w:r w:rsidRPr="000C548C">
        <w:rPr>
          <w:b/>
          <w:sz w:val="24"/>
          <w:szCs w:val="24"/>
        </w:rPr>
        <w:tab/>
        <w:t>Udlevering</w:t>
      </w:r>
    </w:p>
    <w:p w14:paraId="6ECF7950" w14:textId="5C9A114C" w:rsidR="009260DE" w:rsidRPr="000C548C" w:rsidRDefault="00D06D12" w:rsidP="009260DE">
      <w:pPr>
        <w:tabs>
          <w:tab w:val="left" w:pos="851"/>
        </w:tabs>
        <w:ind w:left="851"/>
        <w:rPr>
          <w:sz w:val="24"/>
          <w:szCs w:val="24"/>
        </w:rPr>
      </w:pPr>
      <w:r>
        <w:rPr>
          <w:sz w:val="24"/>
          <w:szCs w:val="24"/>
        </w:rPr>
        <w:t xml:space="preserve">NBS - </w:t>
      </w:r>
      <w:r w:rsidRPr="00FD1824">
        <w:rPr>
          <w:sz w:val="24"/>
          <w:szCs w:val="24"/>
        </w:rPr>
        <w:t xml:space="preserve">kun til sygehuse og efter ordination af speciallæger i </w:t>
      </w:r>
      <w:r>
        <w:rPr>
          <w:sz w:val="24"/>
          <w:szCs w:val="24"/>
        </w:rPr>
        <w:t>neurologi</w:t>
      </w:r>
      <w:r w:rsidRPr="00FD1824">
        <w:rPr>
          <w:sz w:val="24"/>
          <w:szCs w:val="24"/>
        </w:rPr>
        <w:t>.</w:t>
      </w:r>
    </w:p>
    <w:p w14:paraId="286DF1E4" w14:textId="77777777" w:rsidR="009260DE" w:rsidRPr="000C548C" w:rsidRDefault="009260DE" w:rsidP="009260DE">
      <w:pPr>
        <w:tabs>
          <w:tab w:val="left" w:pos="851"/>
        </w:tabs>
        <w:ind w:left="851"/>
        <w:rPr>
          <w:sz w:val="24"/>
          <w:szCs w:val="24"/>
        </w:rPr>
      </w:pPr>
    </w:p>
    <w:p w14:paraId="1CE58D2D" w14:textId="77777777" w:rsidR="009260DE" w:rsidRPr="000C548C" w:rsidRDefault="009260DE" w:rsidP="009260DE">
      <w:pPr>
        <w:tabs>
          <w:tab w:val="left" w:pos="851"/>
        </w:tabs>
        <w:ind w:left="851"/>
        <w:rPr>
          <w:sz w:val="24"/>
          <w:szCs w:val="24"/>
        </w:rPr>
      </w:pPr>
    </w:p>
    <w:p w14:paraId="2D65A68E" w14:textId="77777777" w:rsidR="009260DE" w:rsidRPr="000C548C" w:rsidRDefault="009260DE" w:rsidP="009260DE">
      <w:pPr>
        <w:tabs>
          <w:tab w:val="left" w:pos="851"/>
        </w:tabs>
        <w:ind w:left="851" w:hanging="851"/>
        <w:rPr>
          <w:b/>
          <w:sz w:val="24"/>
          <w:szCs w:val="24"/>
        </w:rPr>
      </w:pPr>
      <w:r w:rsidRPr="000C548C">
        <w:rPr>
          <w:b/>
          <w:sz w:val="24"/>
          <w:szCs w:val="24"/>
        </w:rPr>
        <w:t>5.</w:t>
      </w:r>
      <w:r w:rsidRPr="000C548C">
        <w:rPr>
          <w:b/>
          <w:sz w:val="24"/>
          <w:szCs w:val="24"/>
        </w:rPr>
        <w:tab/>
        <w:t>FARMAKOLOGISKE EGENSKABER</w:t>
      </w:r>
    </w:p>
    <w:p w14:paraId="2FB359B2" w14:textId="77777777" w:rsidR="009260DE" w:rsidRPr="000C548C" w:rsidRDefault="009260DE" w:rsidP="009260DE">
      <w:pPr>
        <w:tabs>
          <w:tab w:val="left" w:pos="851"/>
        </w:tabs>
        <w:ind w:left="851"/>
        <w:rPr>
          <w:sz w:val="24"/>
          <w:szCs w:val="24"/>
        </w:rPr>
      </w:pPr>
    </w:p>
    <w:p w14:paraId="0E84DFC7" w14:textId="77777777" w:rsidR="009260DE" w:rsidRPr="000C548C" w:rsidRDefault="009260DE" w:rsidP="009260DE">
      <w:pPr>
        <w:tabs>
          <w:tab w:val="num" w:pos="851"/>
        </w:tabs>
        <w:ind w:left="851" w:hanging="851"/>
        <w:rPr>
          <w:b/>
          <w:sz w:val="24"/>
          <w:szCs w:val="24"/>
        </w:rPr>
      </w:pPr>
      <w:r w:rsidRPr="000C548C">
        <w:rPr>
          <w:b/>
          <w:sz w:val="24"/>
          <w:szCs w:val="24"/>
        </w:rPr>
        <w:t>5.1</w:t>
      </w:r>
      <w:r w:rsidRPr="000C548C">
        <w:rPr>
          <w:b/>
          <w:sz w:val="24"/>
          <w:szCs w:val="24"/>
        </w:rPr>
        <w:tab/>
      </w:r>
      <w:proofErr w:type="spellStart"/>
      <w:r w:rsidRPr="000C548C">
        <w:rPr>
          <w:b/>
          <w:sz w:val="24"/>
          <w:szCs w:val="24"/>
        </w:rPr>
        <w:t>Farmakodynamiske</w:t>
      </w:r>
      <w:proofErr w:type="spellEnd"/>
      <w:r w:rsidRPr="000C548C">
        <w:rPr>
          <w:b/>
          <w:sz w:val="24"/>
          <w:szCs w:val="24"/>
        </w:rPr>
        <w:t xml:space="preserve"> egenskaber</w:t>
      </w:r>
    </w:p>
    <w:p w14:paraId="57A4712E" w14:textId="747C101F" w:rsidR="006E10A3" w:rsidRPr="000C548C" w:rsidRDefault="006E10A3" w:rsidP="009C67AF">
      <w:pPr>
        <w:ind w:left="851"/>
        <w:rPr>
          <w:sz w:val="24"/>
          <w:szCs w:val="24"/>
        </w:rPr>
      </w:pPr>
      <w:proofErr w:type="spellStart"/>
      <w:r w:rsidRPr="000C548C">
        <w:rPr>
          <w:sz w:val="24"/>
          <w:szCs w:val="24"/>
        </w:rPr>
        <w:t>Farmakoterapeutisk</w:t>
      </w:r>
      <w:proofErr w:type="spellEnd"/>
      <w:r w:rsidRPr="000C548C">
        <w:rPr>
          <w:sz w:val="24"/>
          <w:szCs w:val="24"/>
        </w:rPr>
        <w:t xml:space="preserve"> klassifikation: Andre </w:t>
      </w:r>
      <w:proofErr w:type="spellStart"/>
      <w:r w:rsidRPr="000C548C">
        <w:rPr>
          <w:sz w:val="24"/>
          <w:szCs w:val="24"/>
        </w:rPr>
        <w:t>antiepileptika</w:t>
      </w:r>
      <w:proofErr w:type="spellEnd"/>
      <w:r w:rsidRPr="000C548C">
        <w:rPr>
          <w:sz w:val="24"/>
          <w:szCs w:val="24"/>
        </w:rPr>
        <w:t>, ATC-kode: N03AX03.</w:t>
      </w:r>
    </w:p>
    <w:p w14:paraId="5A96D763" w14:textId="77777777" w:rsidR="006E10A3" w:rsidRPr="000C548C" w:rsidRDefault="006E10A3" w:rsidP="009C67AF">
      <w:pPr>
        <w:ind w:left="851"/>
        <w:rPr>
          <w:sz w:val="24"/>
          <w:szCs w:val="24"/>
        </w:rPr>
      </w:pPr>
    </w:p>
    <w:p w14:paraId="67D1DD75" w14:textId="0980C789" w:rsidR="006E10A3" w:rsidRPr="000C548C" w:rsidRDefault="006E10A3" w:rsidP="009C67AF">
      <w:pPr>
        <w:ind w:left="851"/>
        <w:rPr>
          <w:sz w:val="24"/>
          <w:szCs w:val="24"/>
        </w:rPr>
      </w:pPr>
      <w:proofErr w:type="spellStart"/>
      <w:r w:rsidRPr="000C548C">
        <w:rPr>
          <w:sz w:val="24"/>
          <w:szCs w:val="24"/>
        </w:rPr>
        <w:t>Sultiam</w:t>
      </w:r>
      <w:proofErr w:type="spellEnd"/>
      <w:r w:rsidRPr="000C548C">
        <w:rPr>
          <w:sz w:val="24"/>
          <w:szCs w:val="24"/>
        </w:rPr>
        <w:t xml:space="preserve"> tilhører gruppen af </w:t>
      </w:r>
      <w:proofErr w:type="spellStart"/>
      <w:r w:rsidRPr="000C548C">
        <w:rPr>
          <w:sz w:val="24"/>
          <w:szCs w:val="24"/>
        </w:rPr>
        <w:t>carboanhydrasehæmmere</w:t>
      </w:r>
      <w:proofErr w:type="spellEnd"/>
      <w:r w:rsidRPr="000C548C">
        <w:rPr>
          <w:sz w:val="24"/>
          <w:szCs w:val="24"/>
        </w:rPr>
        <w:t xml:space="preserve"> og udviser en </w:t>
      </w:r>
      <w:proofErr w:type="spellStart"/>
      <w:r w:rsidRPr="000C548C">
        <w:rPr>
          <w:sz w:val="24"/>
          <w:szCs w:val="24"/>
        </w:rPr>
        <w:t>antikonvulsiv</w:t>
      </w:r>
      <w:proofErr w:type="spellEnd"/>
      <w:r w:rsidRPr="000C548C">
        <w:rPr>
          <w:sz w:val="24"/>
          <w:szCs w:val="24"/>
        </w:rPr>
        <w:t xml:space="preserve"> virkning i elektrokonvulsionstesten (rotter og mus) og i konvulsionstesten med </w:t>
      </w:r>
      <w:proofErr w:type="spellStart"/>
      <w:r w:rsidRPr="000C548C">
        <w:rPr>
          <w:sz w:val="24"/>
          <w:szCs w:val="24"/>
        </w:rPr>
        <w:t>pentamethylentetrazol</w:t>
      </w:r>
      <w:proofErr w:type="spellEnd"/>
      <w:r w:rsidRPr="000C548C">
        <w:rPr>
          <w:sz w:val="24"/>
          <w:szCs w:val="24"/>
        </w:rPr>
        <w:t xml:space="preserve"> (mus).</w:t>
      </w:r>
    </w:p>
    <w:p w14:paraId="2A1FB5EE" w14:textId="77777777" w:rsidR="009260DE" w:rsidRPr="000C548C" w:rsidRDefault="009260DE" w:rsidP="009260DE">
      <w:pPr>
        <w:tabs>
          <w:tab w:val="left" w:pos="851"/>
        </w:tabs>
        <w:ind w:left="851"/>
        <w:rPr>
          <w:sz w:val="24"/>
          <w:szCs w:val="24"/>
        </w:rPr>
      </w:pPr>
    </w:p>
    <w:p w14:paraId="1D9328AE" w14:textId="77777777" w:rsidR="009260DE" w:rsidRPr="000C548C" w:rsidRDefault="009260DE" w:rsidP="009260DE">
      <w:pPr>
        <w:tabs>
          <w:tab w:val="left" w:pos="851"/>
        </w:tabs>
        <w:ind w:left="851" w:hanging="851"/>
        <w:rPr>
          <w:b/>
          <w:sz w:val="24"/>
          <w:szCs w:val="24"/>
        </w:rPr>
      </w:pPr>
      <w:r w:rsidRPr="000C548C">
        <w:rPr>
          <w:b/>
          <w:sz w:val="24"/>
          <w:szCs w:val="24"/>
        </w:rPr>
        <w:t>5.2</w:t>
      </w:r>
      <w:r w:rsidRPr="000C548C">
        <w:rPr>
          <w:b/>
          <w:sz w:val="24"/>
          <w:szCs w:val="24"/>
        </w:rPr>
        <w:tab/>
      </w:r>
      <w:proofErr w:type="spellStart"/>
      <w:r w:rsidRPr="000C548C">
        <w:rPr>
          <w:b/>
          <w:sz w:val="24"/>
          <w:szCs w:val="24"/>
        </w:rPr>
        <w:t>Farmakokinetiske</w:t>
      </w:r>
      <w:proofErr w:type="spellEnd"/>
      <w:r w:rsidRPr="000C548C">
        <w:rPr>
          <w:b/>
          <w:sz w:val="24"/>
          <w:szCs w:val="24"/>
        </w:rPr>
        <w:t xml:space="preserve"> egenskaber</w:t>
      </w:r>
    </w:p>
    <w:p w14:paraId="3A9AF99E" w14:textId="2C7394DC" w:rsidR="006E10A3" w:rsidRPr="000C548C" w:rsidRDefault="006E10A3" w:rsidP="009C67AF">
      <w:pPr>
        <w:ind w:left="851"/>
        <w:rPr>
          <w:sz w:val="24"/>
          <w:szCs w:val="24"/>
          <w:lang w:eastAsia="de-DE"/>
        </w:rPr>
      </w:pPr>
      <w:proofErr w:type="spellStart"/>
      <w:r w:rsidRPr="000C548C">
        <w:rPr>
          <w:sz w:val="24"/>
          <w:szCs w:val="24"/>
        </w:rPr>
        <w:t>Sultiams</w:t>
      </w:r>
      <w:proofErr w:type="spellEnd"/>
      <w:r w:rsidRPr="000C548C">
        <w:rPr>
          <w:sz w:val="24"/>
          <w:szCs w:val="24"/>
        </w:rPr>
        <w:t xml:space="preserve"> farmakokinetik er ikke blevet undersøgt systematisk i forskellige alderskategorier hos børn og unge.</w:t>
      </w:r>
    </w:p>
    <w:p w14:paraId="6666E95A" w14:textId="77777777" w:rsidR="006E10A3" w:rsidRPr="000C548C" w:rsidRDefault="006E10A3" w:rsidP="009C67AF">
      <w:pPr>
        <w:ind w:left="851"/>
        <w:rPr>
          <w:sz w:val="24"/>
          <w:szCs w:val="24"/>
        </w:rPr>
      </w:pPr>
    </w:p>
    <w:p w14:paraId="1513226D" w14:textId="77777777" w:rsidR="006E10A3" w:rsidRPr="000C548C" w:rsidRDefault="006E10A3" w:rsidP="009C67AF">
      <w:pPr>
        <w:ind w:left="851"/>
        <w:rPr>
          <w:iCs/>
          <w:sz w:val="24"/>
          <w:szCs w:val="24"/>
          <w:u w:val="single"/>
        </w:rPr>
      </w:pPr>
      <w:r w:rsidRPr="000C548C">
        <w:rPr>
          <w:sz w:val="24"/>
          <w:szCs w:val="24"/>
          <w:u w:val="single"/>
        </w:rPr>
        <w:t>Absorption</w:t>
      </w:r>
    </w:p>
    <w:p w14:paraId="1A1C6553" w14:textId="125E2A60" w:rsidR="006E10A3" w:rsidRPr="000C548C" w:rsidRDefault="006E10A3" w:rsidP="009C67AF">
      <w:pPr>
        <w:ind w:left="851"/>
        <w:rPr>
          <w:sz w:val="24"/>
          <w:szCs w:val="24"/>
        </w:rPr>
      </w:pPr>
      <w:r w:rsidRPr="000C548C">
        <w:rPr>
          <w:sz w:val="24"/>
          <w:szCs w:val="24"/>
        </w:rPr>
        <w:t xml:space="preserve">Efter oral administration absorberes </w:t>
      </w:r>
      <w:proofErr w:type="spellStart"/>
      <w:r w:rsidRPr="000C548C">
        <w:rPr>
          <w:sz w:val="24"/>
          <w:szCs w:val="24"/>
        </w:rPr>
        <w:t>sultiam</w:t>
      </w:r>
      <w:proofErr w:type="spellEnd"/>
      <w:r w:rsidRPr="000C548C">
        <w:rPr>
          <w:sz w:val="24"/>
          <w:szCs w:val="24"/>
        </w:rPr>
        <w:t xml:space="preserve"> hurtigt og fuldstændigt, hovedsageligt fra den øverste del af tyndtarmen. Maksimal plasmakoncentration måles efter 1-5 timer.</w:t>
      </w:r>
    </w:p>
    <w:p w14:paraId="4E67DDB2" w14:textId="13B7B285" w:rsidR="006E10A3" w:rsidRPr="000C548C" w:rsidRDefault="006E10A3" w:rsidP="009C67AF">
      <w:pPr>
        <w:ind w:left="851"/>
        <w:rPr>
          <w:sz w:val="24"/>
          <w:szCs w:val="24"/>
        </w:rPr>
      </w:pPr>
      <w:r w:rsidRPr="000C548C">
        <w:rPr>
          <w:sz w:val="24"/>
          <w:szCs w:val="24"/>
        </w:rPr>
        <w:t xml:space="preserve">I et enkelt forsøg med 16 forsøgspersoner blev indflydelsen af madindtagelse på absorptionen af </w:t>
      </w:r>
      <w:proofErr w:type="spellStart"/>
      <w:r w:rsidRPr="000C548C">
        <w:rPr>
          <w:sz w:val="24"/>
          <w:szCs w:val="24"/>
        </w:rPr>
        <w:t>Ospolot</w:t>
      </w:r>
      <w:proofErr w:type="spellEnd"/>
      <w:r w:rsidRPr="000C548C">
        <w:rPr>
          <w:sz w:val="24"/>
          <w:szCs w:val="24"/>
        </w:rPr>
        <w:t xml:space="preserve">-tab 200 mg tabletter undersøgt. Resultaterne viser, at indtagelse af </w:t>
      </w:r>
      <w:proofErr w:type="spellStart"/>
      <w:r w:rsidRPr="000C548C">
        <w:rPr>
          <w:sz w:val="24"/>
          <w:szCs w:val="24"/>
        </w:rPr>
        <w:t>Ospolot</w:t>
      </w:r>
      <w:proofErr w:type="spellEnd"/>
      <w:r w:rsidRPr="000C548C">
        <w:rPr>
          <w:sz w:val="24"/>
          <w:szCs w:val="24"/>
        </w:rPr>
        <w:t xml:space="preserve">-tab sammen med mad fører til en moderat reduceret biotilgængelighed af </w:t>
      </w:r>
      <w:proofErr w:type="spellStart"/>
      <w:r w:rsidRPr="000C548C">
        <w:rPr>
          <w:sz w:val="24"/>
          <w:szCs w:val="24"/>
        </w:rPr>
        <w:t>sultiam</w:t>
      </w:r>
      <w:proofErr w:type="spellEnd"/>
      <w:r w:rsidRPr="000C548C">
        <w:rPr>
          <w:sz w:val="24"/>
          <w:szCs w:val="24"/>
        </w:rPr>
        <w:t>.</w:t>
      </w:r>
    </w:p>
    <w:p w14:paraId="01B0C684" w14:textId="77777777" w:rsidR="006E10A3" w:rsidRPr="000C548C" w:rsidRDefault="006E10A3" w:rsidP="009C67AF">
      <w:pPr>
        <w:ind w:left="851"/>
        <w:rPr>
          <w:i/>
          <w:iCs/>
          <w:sz w:val="24"/>
          <w:szCs w:val="24"/>
        </w:rPr>
      </w:pPr>
    </w:p>
    <w:p w14:paraId="75BC690D" w14:textId="77777777" w:rsidR="006E10A3" w:rsidRPr="000C548C" w:rsidRDefault="006E10A3" w:rsidP="009C67AF">
      <w:pPr>
        <w:ind w:left="851"/>
        <w:rPr>
          <w:iCs/>
          <w:sz w:val="24"/>
          <w:szCs w:val="24"/>
          <w:u w:val="single"/>
        </w:rPr>
      </w:pPr>
      <w:r w:rsidRPr="000C548C">
        <w:rPr>
          <w:sz w:val="24"/>
          <w:szCs w:val="24"/>
          <w:u w:val="single"/>
        </w:rPr>
        <w:t>Fordeling</w:t>
      </w:r>
    </w:p>
    <w:p w14:paraId="58171348" w14:textId="77777777" w:rsidR="006E10A3" w:rsidRPr="000C548C" w:rsidRDefault="006E10A3" w:rsidP="009C67AF">
      <w:pPr>
        <w:ind w:left="851"/>
        <w:rPr>
          <w:sz w:val="24"/>
          <w:szCs w:val="24"/>
        </w:rPr>
      </w:pPr>
      <w:r w:rsidRPr="000C548C">
        <w:rPr>
          <w:sz w:val="24"/>
          <w:szCs w:val="24"/>
        </w:rPr>
        <w:t>Ca. 29 % af det aktive stof bindes til plasmaproteiner.</w:t>
      </w:r>
    </w:p>
    <w:p w14:paraId="084B8FCB" w14:textId="77777777" w:rsidR="006E10A3" w:rsidRPr="000C548C" w:rsidRDefault="006E10A3" w:rsidP="009C67AF">
      <w:pPr>
        <w:ind w:left="851"/>
        <w:rPr>
          <w:i/>
          <w:iCs/>
          <w:sz w:val="24"/>
          <w:szCs w:val="24"/>
        </w:rPr>
      </w:pPr>
    </w:p>
    <w:p w14:paraId="55D82208" w14:textId="77777777" w:rsidR="006E10A3" w:rsidRPr="000C548C" w:rsidRDefault="006E10A3" w:rsidP="009C67AF">
      <w:pPr>
        <w:ind w:left="851"/>
        <w:rPr>
          <w:sz w:val="24"/>
          <w:szCs w:val="24"/>
          <w:u w:val="single"/>
        </w:rPr>
      </w:pPr>
      <w:r w:rsidRPr="000C548C">
        <w:rPr>
          <w:sz w:val="24"/>
          <w:szCs w:val="24"/>
          <w:u w:val="single"/>
        </w:rPr>
        <w:t>Elimination</w:t>
      </w:r>
    </w:p>
    <w:p w14:paraId="5F9E6B17" w14:textId="77777777" w:rsidR="006E10A3" w:rsidRPr="000C548C" w:rsidRDefault="006E10A3" w:rsidP="009C67AF">
      <w:pPr>
        <w:ind w:left="851"/>
        <w:rPr>
          <w:sz w:val="24"/>
          <w:szCs w:val="24"/>
        </w:rPr>
      </w:pPr>
      <w:r w:rsidRPr="000C548C">
        <w:rPr>
          <w:sz w:val="24"/>
          <w:szCs w:val="24"/>
        </w:rPr>
        <w:t xml:space="preserve">80 til 90 % udskilles med urinen og 10 til 20 % med fæces efter galdeudskillelse. 32 % af den administrerede dosis udskilles uændret via nyrerne inden for 24 timer. I et </w:t>
      </w:r>
      <w:proofErr w:type="spellStart"/>
      <w:r w:rsidRPr="000C548C">
        <w:rPr>
          <w:sz w:val="24"/>
          <w:szCs w:val="24"/>
        </w:rPr>
        <w:t>farmakokinetisk</w:t>
      </w:r>
      <w:proofErr w:type="spellEnd"/>
      <w:r w:rsidRPr="000C548C">
        <w:rPr>
          <w:sz w:val="24"/>
          <w:szCs w:val="24"/>
        </w:rPr>
        <w:t xml:space="preserve"> forsøg med en enkelt dosis hos 16 raske voksne forsøgspersoner blev der bestemt en halveringstid på ca. 12 timer. Der antages en kortere halveringstid hos børn på baggrund af offentliggjorte </w:t>
      </w:r>
      <w:proofErr w:type="spellStart"/>
      <w:r w:rsidRPr="000C548C">
        <w:rPr>
          <w:sz w:val="24"/>
          <w:szCs w:val="24"/>
        </w:rPr>
        <w:t>farmakokinetiske</w:t>
      </w:r>
      <w:proofErr w:type="spellEnd"/>
      <w:r w:rsidRPr="000C548C">
        <w:rPr>
          <w:sz w:val="24"/>
          <w:szCs w:val="24"/>
        </w:rPr>
        <w:t xml:space="preserve"> forsøg.</w:t>
      </w:r>
    </w:p>
    <w:p w14:paraId="7100CD18" w14:textId="77777777" w:rsidR="009260DE" w:rsidRPr="000C548C" w:rsidRDefault="009260DE" w:rsidP="009260DE">
      <w:pPr>
        <w:tabs>
          <w:tab w:val="left" w:pos="851"/>
        </w:tabs>
        <w:ind w:left="851"/>
        <w:rPr>
          <w:sz w:val="24"/>
          <w:szCs w:val="24"/>
        </w:rPr>
      </w:pPr>
    </w:p>
    <w:p w14:paraId="46C910A6" w14:textId="77777777" w:rsidR="009260DE" w:rsidRPr="000C548C" w:rsidRDefault="009260DE" w:rsidP="009260DE">
      <w:pPr>
        <w:tabs>
          <w:tab w:val="left" w:pos="851"/>
        </w:tabs>
        <w:ind w:left="851" w:hanging="851"/>
        <w:rPr>
          <w:b/>
          <w:sz w:val="24"/>
          <w:szCs w:val="24"/>
        </w:rPr>
      </w:pPr>
      <w:r w:rsidRPr="000C548C">
        <w:rPr>
          <w:b/>
          <w:sz w:val="24"/>
          <w:szCs w:val="24"/>
        </w:rPr>
        <w:t>5.3</w:t>
      </w:r>
      <w:r w:rsidRPr="000C548C">
        <w:rPr>
          <w:b/>
          <w:sz w:val="24"/>
          <w:szCs w:val="24"/>
        </w:rPr>
        <w:tab/>
      </w:r>
      <w:r w:rsidR="00BD7931" w:rsidRPr="000C548C">
        <w:rPr>
          <w:b/>
          <w:sz w:val="24"/>
          <w:szCs w:val="24"/>
        </w:rPr>
        <w:t>Non-</w:t>
      </w:r>
      <w:r w:rsidRPr="000C548C">
        <w:rPr>
          <w:b/>
          <w:sz w:val="24"/>
          <w:szCs w:val="24"/>
        </w:rPr>
        <w:t>kliniske sikkerhedsdata</w:t>
      </w:r>
    </w:p>
    <w:p w14:paraId="6A72355B" w14:textId="77777777" w:rsidR="006E10A3" w:rsidRPr="00024816" w:rsidRDefault="006E10A3" w:rsidP="009C67AF">
      <w:pPr>
        <w:ind w:left="851"/>
        <w:rPr>
          <w:sz w:val="24"/>
          <w:szCs w:val="24"/>
          <w:u w:val="single"/>
          <w:lang w:eastAsia="de-DE"/>
        </w:rPr>
      </w:pPr>
      <w:r w:rsidRPr="00024816">
        <w:rPr>
          <w:sz w:val="24"/>
          <w:szCs w:val="24"/>
          <w:u w:val="single"/>
        </w:rPr>
        <w:t>På baggrund af konventionelle forsøg med toksicitet ved gentagen dosering viser prækliniske data ingen særlig fare for mennesker</w:t>
      </w:r>
      <w:r w:rsidRPr="00024816">
        <w:rPr>
          <w:snapToGrid w:val="0"/>
          <w:sz w:val="24"/>
          <w:szCs w:val="24"/>
          <w:u w:val="single"/>
        </w:rPr>
        <w:t>.</w:t>
      </w:r>
    </w:p>
    <w:p w14:paraId="3A75E23D" w14:textId="77777777" w:rsidR="006E10A3" w:rsidRPr="000C548C" w:rsidRDefault="006E10A3" w:rsidP="009C67AF">
      <w:pPr>
        <w:ind w:left="851"/>
        <w:rPr>
          <w:sz w:val="24"/>
          <w:szCs w:val="24"/>
        </w:rPr>
      </w:pPr>
    </w:p>
    <w:p w14:paraId="57751381" w14:textId="77777777" w:rsidR="006E10A3" w:rsidRPr="00024816" w:rsidRDefault="006E10A3" w:rsidP="009C67AF">
      <w:pPr>
        <w:ind w:left="851"/>
        <w:rPr>
          <w:sz w:val="24"/>
          <w:szCs w:val="24"/>
          <w:u w:val="single"/>
        </w:rPr>
      </w:pPr>
      <w:proofErr w:type="spellStart"/>
      <w:r w:rsidRPr="00024816">
        <w:rPr>
          <w:snapToGrid w:val="0"/>
          <w:sz w:val="24"/>
          <w:szCs w:val="24"/>
          <w:u w:val="single"/>
        </w:rPr>
        <w:t>Karcinogent</w:t>
      </w:r>
      <w:proofErr w:type="spellEnd"/>
      <w:r w:rsidRPr="00024816">
        <w:rPr>
          <w:snapToGrid w:val="0"/>
          <w:sz w:val="24"/>
          <w:szCs w:val="24"/>
          <w:u w:val="single"/>
        </w:rPr>
        <w:t xml:space="preserve"> og mutagent potentiale</w:t>
      </w:r>
    </w:p>
    <w:p w14:paraId="417A116E" w14:textId="09485995" w:rsidR="006E10A3" w:rsidRPr="000C548C" w:rsidRDefault="006E10A3" w:rsidP="009C67AF">
      <w:pPr>
        <w:ind w:left="851"/>
        <w:rPr>
          <w:sz w:val="24"/>
          <w:szCs w:val="24"/>
        </w:rPr>
      </w:pPr>
      <w:r w:rsidRPr="000C548C">
        <w:rPr>
          <w:snapToGrid w:val="0"/>
          <w:sz w:val="24"/>
          <w:szCs w:val="24"/>
        </w:rPr>
        <w:t xml:space="preserve">Der er ikke påvist noget mutagent potentiale for </w:t>
      </w:r>
      <w:proofErr w:type="spellStart"/>
      <w:r w:rsidRPr="000C548C">
        <w:rPr>
          <w:snapToGrid w:val="0"/>
          <w:sz w:val="24"/>
          <w:szCs w:val="24"/>
        </w:rPr>
        <w:t>sultiam</w:t>
      </w:r>
      <w:proofErr w:type="spellEnd"/>
      <w:r w:rsidRPr="000C548C">
        <w:rPr>
          <w:snapToGrid w:val="0"/>
          <w:sz w:val="24"/>
          <w:szCs w:val="24"/>
        </w:rPr>
        <w:t xml:space="preserve"> i tre forskellige </w:t>
      </w:r>
      <w:r w:rsidRPr="000C548C">
        <w:rPr>
          <w:i/>
          <w:snapToGrid w:val="0"/>
          <w:sz w:val="24"/>
          <w:szCs w:val="24"/>
        </w:rPr>
        <w:t xml:space="preserve">in </w:t>
      </w:r>
      <w:proofErr w:type="spellStart"/>
      <w:r w:rsidRPr="000C548C">
        <w:rPr>
          <w:i/>
          <w:snapToGrid w:val="0"/>
          <w:sz w:val="24"/>
          <w:szCs w:val="24"/>
        </w:rPr>
        <w:t>vivo</w:t>
      </w:r>
      <w:proofErr w:type="spellEnd"/>
      <w:r w:rsidRPr="000C548C">
        <w:rPr>
          <w:snapToGrid w:val="0"/>
          <w:sz w:val="24"/>
          <w:szCs w:val="24"/>
        </w:rPr>
        <w:t xml:space="preserve">- og </w:t>
      </w:r>
      <w:r w:rsidRPr="000C548C">
        <w:rPr>
          <w:i/>
          <w:snapToGrid w:val="0"/>
          <w:sz w:val="24"/>
          <w:szCs w:val="24"/>
        </w:rPr>
        <w:t xml:space="preserve">in </w:t>
      </w:r>
      <w:proofErr w:type="spellStart"/>
      <w:r w:rsidRPr="000C548C">
        <w:rPr>
          <w:i/>
          <w:snapToGrid w:val="0"/>
          <w:sz w:val="24"/>
          <w:szCs w:val="24"/>
        </w:rPr>
        <w:t>vitro</w:t>
      </w:r>
      <w:proofErr w:type="spellEnd"/>
      <w:r w:rsidRPr="000C548C">
        <w:rPr>
          <w:snapToGrid w:val="0"/>
          <w:sz w:val="24"/>
          <w:szCs w:val="24"/>
        </w:rPr>
        <w:t xml:space="preserve">-forsøgsmodeller. Der er ikke gennemført langvarige </w:t>
      </w:r>
      <w:proofErr w:type="spellStart"/>
      <w:r w:rsidRPr="000C548C">
        <w:rPr>
          <w:snapToGrid w:val="0"/>
          <w:sz w:val="24"/>
          <w:szCs w:val="24"/>
        </w:rPr>
        <w:t>karcinogenicitetsforsøg</w:t>
      </w:r>
      <w:proofErr w:type="spellEnd"/>
      <w:r w:rsidRPr="000C548C">
        <w:rPr>
          <w:snapToGrid w:val="0"/>
          <w:sz w:val="24"/>
          <w:szCs w:val="24"/>
        </w:rPr>
        <w:t>.</w:t>
      </w:r>
    </w:p>
    <w:p w14:paraId="02FB9370" w14:textId="77777777" w:rsidR="006E10A3" w:rsidRPr="000C548C" w:rsidRDefault="006E10A3" w:rsidP="009C67AF">
      <w:pPr>
        <w:ind w:left="851"/>
        <w:rPr>
          <w:sz w:val="24"/>
          <w:szCs w:val="24"/>
        </w:rPr>
      </w:pPr>
    </w:p>
    <w:p w14:paraId="0853E770" w14:textId="77777777" w:rsidR="006E10A3" w:rsidRPr="00024816" w:rsidRDefault="006E10A3" w:rsidP="009C67AF">
      <w:pPr>
        <w:ind w:left="851"/>
        <w:rPr>
          <w:sz w:val="24"/>
          <w:szCs w:val="24"/>
          <w:u w:val="single"/>
        </w:rPr>
      </w:pPr>
      <w:r w:rsidRPr="00024816">
        <w:rPr>
          <w:sz w:val="24"/>
          <w:szCs w:val="24"/>
          <w:u w:val="single"/>
        </w:rPr>
        <w:t>Reproduktionstoksicitet</w:t>
      </w:r>
    </w:p>
    <w:p w14:paraId="15E26C90" w14:textId="37A1649F" w:rsidR="006E10A3" w:rsidRPr="000C548C" w:rsidRDefault="006E10A3" w:rsidP="009C67AF">
      <w:pPr>
        <w:ind w:left="851"/>
        <w:rPr>
          <w:sz w:val="24"/>
          <w:szCs w:val="24"/>
        </w:rPr>
      </w:pPr>
      <w:proofErr w:type="spellStart"/>
      <w:r w:rsidRPr="000C548C">
        <w:rPr>
          <w:snapToGrid w:val="0"/>
          <w:sz w:val="24"/>
          <w:szCs w:val="24"/>
        </w:rPr>
        <w:t>Sultiams</w:t>
      </w:r>
      <w:proofErr w:type="spellEnd"/>
      <w:r w:rsidRPr="000C548C">
        <w:rPr>
          <w:snapToGrid w:val="0"/>
          <w:sz w:val="24"/>
          <w:szCs w:val="24"/>
        </w:rPr>
        <w:t xml:space="preserve"> reproduktionstoksiske egenskaber er ikke tilstrækkeligt undersøgt.</w:t>
      </w:r>
      <w:r w:rsidRPr="000C548C">
        <w:rPr>
          <w:sz w:val="24"/>
          <w:szCs w:val="24"/>
        </w:rPr>
        <w:t xml:space="preserve"> </w:t>
      </w:r>
      <w:r w:rsidRPr="000C548C">
        <w:rPr>
          <w:snapToGrid w:val="0"/>
          <w:sz w:val="24"/>
          <w:szCs w:val="24"/>
        </w:rPr>
        <w:t>I et embryotoksicitetsforsøg hos rotter er der påvist embryotoksiske virkninger ved den laveste undersøgte dosis (30 mg/kg/dag).</w:t>
      </w:r>
      <w:r w:rsidRPr="000C548C">
        <w:rPr>
          <w:sz w:val="24"/>
          <w:szCs w:val="24"/>
        </w:rPr>
        <w:t xml:space="preserve"> </w:t>
      </w:r>
      <w:r w:rsidRPr="000C548C">
        <w:rPr>
          <w:snapToGrid w:val="0"/>
          <w:sz w:val="24"/>
          <w:szCs w:val="24"/>
        </w:rPr>
        <w:t xml:space="preserve">Der mangler undersøgelser af fertilitetsforstyrrelser og virkninger på peri- og </w:t>
      </w:r>
      <w:proofErr w:type="spellStart"/>
      <w:r w:rsidRPr="000C548C">
        <w:rPr>
          <w:snapToGrid w:val="0"/>
          <w:sz w:val="24"/>
          <w:szCs w:val="24"/>
        </w:rPr>
        <w:t>postnatal</w:t>
      </w:r>
      <w:proofErr w:type="spellEnd"/>
      <w:r w:rsidRPr="000C548C">
        <w:rPr>
          <w:snapToGrid w:val="0"/>
          <w:sz w:val="24"/>
          <w:szCs w:val="24"/>
        </w:rPr>
        <w:t xml:space="preserve"> udvikling af afkommet.</w:t>
      </w:r>
      <w:r w:rsidRPr="000C548C">
        <w:rPr>
          <w:sz w:val="24"/>
          <w:szCs w:val="24"/>
        </w:rPr>
        <w:t xml:space="preserve"> </w:t>
      </w:r>
    </w:p>
    <w:p w14:paraId="045B92C6" w14:textId="77777777" w:rsidR="009260DE" w:rsidRPr="000C548C" w:rsidRDefault="009260DE" w:rsidP="009260DE">
      <w:pPr>
        <w:tabs>
          <w:tab w:val="left" w:pos="851"/>
        </w:tabs>
        <w:ind w:left="851"/>
        <w:rPr>
          <w:sz w:val="24"/>
          <w:szCs w:val="24"/>
        </w:rPr>
      </w:pPr>
    </w:p>
    <w:p w14:paraId="481A758B" w14:textId="77777777" w:rsidR="009260DE" w:rsidRPr="000C548C" w:rsidRDefault="009260DE" w:rsidP="009260DE">
      <w:pPr>
        <w:tabs>
          <w:tab w:val="left" w:pos="851"/>
        </w:tabs>
        <w:ind w:left="851"/>
        <w:rPr>
          <w:sz w:val="24"/>
          <w:szCs w:val="24"/>
        </w:rPr>
      </w:pPr>
    </w:p>
    <w:p w14:paraId="3A1C3781" w14:textId="77777777" w:rsidR="009260DE" w:rsidRPr="000C548C" w:rsidRDefault="009260DE" w:rsidP="009260DE">
      <w:pPr>
        <w:tabs>
          <w:tab w:val="left" w:pos="851"/>
        </w:tabs>
        <w:ind w:left="851" w:hanging="851"/>
        <w:rPr>
          <w:b/>
          <w:sz w:val="24"/>
          <w:szCs w:val="24"/>
        </w:rPr>
      </w:pPr>
      <w:r w:rsidRPr="000C548C">
        <w:rPr>
          <w:b/>
          <w:sz w:val="24"/>
          <w:szCs w:val="24"/>
        </w:rPr>
        <w:t>6.</w:t>
      </w:r>
      <w:r w:rsidRPr="000C548C">
        <w:rPr>
          <w:b/>
          <w:sz w:val="24"/>
          <w:szCs w:val="24"/>
        </w:rPr>
        <w:tab/>
        <w:t>FARMACEUTISKE OPLYSNINGER</w:t>
      </w:r>
    </w:p>
    <w:p w14:paraId="678A19D1" w14:textId="77777777" w:rsidR="009260DE" w:rsidRPr="000C548C" w:rsidRDefault="009260DE" w:rsidP="009260DE">
      <w:pPr>
        <w:tabs>
          <w:tab w:val="left" w:pos="851"/>
        </w:tabs>
        <w:ind w:left="851"/>
        <w:rPr>
          <w:sz w:val="24"/>
          <w:szCs w:val="24"/>
        </w:rPr>
      </w:pPr>
    </w:p>
    <w:p w14:paraId="380D4B7B" w14:textId="77777777" w:rsidR="009260DE" w:rsidRPr="000C548C" w:rsidRDefault="009260DE" w:rsidP="009260DE">
      <w:pPr>
        <w:tabs>
          <w:tab w:val="left" w:pos="851"/>
        </w:tabs>
        <w:ind w:left="851" w:hanging="851"/>
        <w:rPr>
          <w:b/>
          <w:sz w:val="24"/>
          <w:szCs w:val="24"/>
        </w:rPr>
      </w:pPr>
      <w:r w:rsidRPr="000C548C">
        <w:rPr>
          <w:b/>
          <w:sz w:val="24"/>
          <w:szCs w:val="24"/>
        </w:rPr>
        <w:t>6.1</w:t>
      </w:r>
      <w:r w:rsidRPr="000C548C">
        <w:rPr>
          <w:b/>
          <w:sz w:val="24"/>
          <w:szCs w:val="24"/>
        </w:rPr>
        <w:tab/>
        <w:t>Hjælpestoffer</w:t>
      </w:r>
    </w:p>
    <w:p w14:paraId="5B573F44" w14:textId="77777777" w:rsidR="00024816" w:rsidRDefault="00024816" w:rsidP="009C67AF">
      <w:pPr>
        <w:ind w:left="851"/>
        <w:rPr>
          <w:sz w:val="24"/>
          <w:szCs w:val="24"/>
        </w:rPr>
      </w:pPr>
    </w:p>
    <w:p w14:paraId="635404A2" w14:textId="5037664C" w:rsidR="006E10A3" w:rsidRPr="0045653E" w:rsidRDefault="006E10A3" w:rsidP="009C67AF">
      <w:pPr>
        <w:ind w:left="851"/>
        <w:rPr>
          <w:iCs/>
          <w:sz w:val="24"/>
          <w:szCs w:val="24"/>
          <w:u w:val="single"/>
          <w:lang w:eastAsia="de-DE"/>
        </w:rPr>
      </w:pPr>
      <w:proofErr w:type="spellStart"/>
      <w:r w:rsidRPr="0045653E">
        <w:rPr>
          <w:sz w:val="24"/>
          <w:szCs w:val="24"/>
          <w:u w:val="single"/>
        </w:rPr>
        <w:t>Ospolot</w:t>
      </w:r>
      <w:proofErr w:type="spellEnd"/>
      <w:r w:rsidRPr="0045653E">
        <w:rPr>
          <w:sz w:val="24"/>
          <w:szCs w:val="24"/>
          <w:u w:val="single"/>
        </w:rPr>
        <w:t>-tab</w:t>
      </w:r>
      <w:r w:rsidR="00024816" w:rsidRPr="0045653E">
        <w:rPr>
          <w:sz w:val="24"/>
          <w:szCs w:val="24"/>
          <w:u w:val="single"/>
        </w:rPr>
        <w:t xml:space="preserve"> </w:t>
      </w:r>
      <w:r w:rsidR="00A40901" w:rsidRPr="0045653E">
        <w:rPr>
          <w:sz w:val="24"/>
          <w:szCs w:val="24"/>
          <w:u w:val="single"/>
        </w:rPr>
        <w:t xml:space="preserve">50 </w:t>
      </w:r>
      <w:r w:rsidRPr="0045653E">
        <w:rPr>
          <w:sz w:val="24"/>
          <w:szCs w:val="24"/>
          <w:u w:val="single"/>
        </w:rPr>
        <w:t>mg</w:t>
      </w:r>
      <w:r w:rsidR="00A40901" w:rsidRPr="0045653E">
        <w:rPr>
          <w:sz w:val="24"/>
          <w:szCs w:val="24"/>
          <w:u w:val="single"/>
        </w:rPr>
        <w:t xml:space="preserve"> og 200 mg</w:t>
      </w:r>
    </w:p>
    <w:p w14:paraId="29429E95" w14:textId="77777777" w:rsidR="006E10A3" w:rsidRPr="0045653E" w:rsidRDefault="006E10A3" w:rsidP="009C67AF">
      <w:pPr>
        <w:ind w:left="851"/>
        <w:rPr>
          <w:sz w:val="24"/>
          <w:szCs w:val="24"/>
        </w:rPr>
      </w:pPr>
      <w:r w:rsidRPr="0045653E">
        <w:rPr>
          <w:sz w:val="24"/>
          <w:szCs w:val="24"/>
        </w:rPr>
        <w:t xml:space="preserve">Gelatine, </w:t>
      </w:r>
      <w:proofErr w:type="spellStart"/>
      <w:r w:rsidRPr="0045653E">
        <w:rPr>
          <w:sz w:val="24"/>
          <w:szCs w:val="24"/>
        </w:rPr>
        <w:t>hypromellose</w:t>
      </w:r>
      <w:proofErr w:type="spellEnd"/>
      <w:r w:rsidRPr="0045653E">
        <w:rPr>
          <w:sz w:val="24"/>
          <w:szCs w:val="24"/>
        </w:rPr>
        <w:t xml:space="preserve">, </w:t>
      </w:r>
      <w:proofErr w:type="spellStart"/>
      <w:r w:rsidRPr="0045653E">
        <w:rPr>
          <w:sz w:val="24"/>
          <w:szCs w:val="24"/>
        </w:rPr>
        <w:t>lactosemonohydrat</w:t>
      </w:r>
      <w:proofErr w:type="spellEnd"/>
      <w:r w:rsidRPr="0045653E">
        <w:rPr>
          <w:sz w:val="24"/>
          <w:szCs w:val="24"/>
        </w:rPr>
        <w:t xml:space="preserve">, </w:t>
      </w:r>
      <w:proofErr w:type="spellStart"/>
      <w:r w:rsidRPr="0045653E">
        <w:rPr>
          <w:sz w:val="24"/>
          <w:szCs w:val="24"/>
        </w:rPr>
        <w:t>macrogol</w:t>
      </w:r>
      <w:proofErr w:type="spellEnd"/>
      <w:r w:rsidRPr="0045653E">
        <w:rPr>
          <w:sz w:val="24"/>
          <w:szCs w:val="24"/>
        </w:rPr>
        <w:t xml:space="preserve"> 4000, </w:t>
      </w:r>
      <w:proofErr w:type="spellStart"/>
      <w:r w:rsidRPr="0045653E">
        <w:rPr>
          <w:sz w:val="24"/>
          <w:szCs w:val="24"/>
        </w:rPr>
        <w:t>magnesiumstearat</w:t>
      </w:r>
      <w:proofErr w:type="spellEnd"/>
      <w:r w:rsidRPr="0045653E">
        <w:rPr>
          <w:sz w:val="24"/>
          <w:szCs w:val="24"/>
        </w:rPr>
        <w:t xml:space="preserve"> (</w:t>
      </w:r>
      <w:proofErr w:type="spellStart"/>
      <w:r w:rsidRPr="0045653E">
        <w:rPr>
          <w:sz w:val="24"/>
          <w:szCs w:val="24"/>
        </w:rPr>
        <w:t>Ph</w:t>
      </w:r>
      <w:proofErr w:type="spellEnd"/>
      <w:r w:rsidRPr="0045653E">
        <w:rPr>
          <w:sz w:val="24"/>
          <w:szCs w:val="24"/>
        </w:rPr>
        <w:t xml:space="preserve">. </w:t>
      </w:r>
      <w:proofErr w:type="spellStart"/>
      <w:r w:rsidRPr="0045653E">
        <w:rPr>
          <w:sz w:val="24"/>
          <w:szCs w:val="24"/>
        </w:rPr>
        <w:t>Eur</w:t>
      </w:r>
      <w:proofErr w:type="spellEnd"/>
      <w:r w:rsidRPr="0045653E">
        <w:rPr>
          <w:sz w:val="24"/>
          <w:szCs w:val="24"/>
        </w:rPr>
        <w:t xml:space="preserve">.) [vegetabilsk kilde], majsstivelse, kolloid vandfri </w:t>
      </w:r>
      <w:proofErr w:type="spellStart"/>
      <w:r w:rsidRPr="0045653E">
        <w:rPr>
          <w:sz w:val="24"/>
          <w:szCs w:val="24"/>
        </w:rPr>
        <w:t>silica</w:t>
      </w:r>
      <w:proofErr w:type="spellEnd"/>
      <w:r w:rsidRPr="0045653E">
        <w:rPr>
          <w:sz w:val="24"/>
          <w:szCs w:val="24"/>
        </w:rPr>
        <w:t xml:space="preserve">, </w:t>
      </w:r>
      <w:proofErr w:type="spellStart"/>
      <w:r w:rsidRPr="0045653E">
        <w:rPr>
          <w:sz w:val="24"/>
          <w:szCs w:val="24"/>
        </w:rPr>
        <w:t>talcum</w:t>
      </w:r>
      <w:proofErr w:type="spellEnd"/>
      <w:r w:rsidRPr="0045653E">
        <w:rPr>
          <w:sz w:val="24"/>
          <w:szCs w:val="24"/>
        </w:rPr>
        <w:t>, titandioxid (E 171).</w:t>
      </w:r>
    </w:p>
    <w:p w14:paraId="609E4121" w14:textId="77777777" w:rsidR="009260DE" w:rsidRPr="000C548C" w:rsidRDefault="009260DE" w:rsidP="009260DE">
      <w:pPr>
        <w:tabs>
          <w:tab w:val="left" w:pos="851"/>
        </w:tabs>
        <w:ind w:left="851"/>
        <w:rPr>
          <w:sz w:val="24"/>
          <w:szCs w:val="24"/>
        </w:rPr>
      </w:pPr>
    </w:p>
    <w:p w14:paraId="32356C6D" w14:textId="77777777" w:rsidR="009260DE" w:rsidRPr="000C548C" w:rsidRDefault="009260DE" w:rsidP="009260DE">
      <w:pPr>
        <w:tabs>
          <w:tab w:val="left" w:pos="851"/>
        </w:tabs>
        <w:ind w:left="851" w:hanging="851"/>
        <w:rPr>
          <w:b/>
          <w:sz w:val="24"/>
          <w:szCs w:val="24"/>
        </w:rPr>
      </w:pPr>
      <w:r w:rsidRPr="000C548C">
        <w:rPr>
          <w:b/>
          <w:sz w:val="24"/>
          <w:szCs w:val="24"/>
        </w:rPr>
        <w:t>6.2</w:t>
      </w:r>
      <w:r w:rsidRPr="000C548C">
        <w:rPr>
          <w:b/>
          <w:sz w:val="24"/>
          <w:szCs w:val="24"/>
        </w:rPr>
        <w:tab/>
        <w:t>Uforligeligheder</w:t>
      </w:r>
    </w:p>
    <w:p w14:paraId="347F0025" w14:textId="77777777" w:rsidR="006E10A3" w:rsidRPr="000C548C" w:rsidRDefault="006E10A3" w:rsidP="009C67AF">
      <w:pPr>
        <w:ind w:left="851"/>
        <w:rPr>
          <w:sz w:val="24"/>
          <w:szCs w:val="24"/>
          <w:lang w:eastAsia="de-DE"/>
        </w:rPr>
      </w:pPr>
      <w:r w:rsidRPr="000C548C">
        <w:rPr>
          <w:sz w:val="24"/>
          <w:szCs w:val="24"/>
        </w:rPr>
        <w:t>Ikke relevant.</w:t>
      </w:r>
    </w:p>
    <w:p w14:paraId="37883A14" w14:textId="77777777" w:rsidR="009260DE" w:rsidRPr="000C548C" w:rsidRDefault="009260DE" w:rsidP="009260DE">
      <w:pPr>
        <w:tabs>
          <w:tab w:val="left" w:pos="851"/>
        </w:tabs>
        <w:ind w:left="851"/>
        <w:rPr>
          <w:sz w:val="24"/>
          <w:szCs w:val="24"/>
        </w:rPr>
      </w:pPr>
    </w:p>
    <w:p w14:paraId="0028F17A" w14:textId="77777777" w:rsidR="009260DE" w:rsidRPr="000C548C" w:rsidRDefault="009260DE" w:rsidP="009260DE">
      <w:pPr>
        <w:tabs>
          <w:tab w:val="left" w:pos="851"/>
        </w:tabs>
        <w:ind w:left="851" w:hanging="851"/>
        <w:rPr>
          <w:b/>
          <w:sz w:val="24"/>
          <w:szCs w:val="24"/>
        </w:rPr>
      </w:pPr>
      <w:r w:rsidRPr="000C548C">
        <w:rPr>
          <w:b/>
          <w:sz w:val="24"/>
          <w:szCs w:val="24"/>
        </w:rPr>
        <w:t>6.3</w:t>
      </w:r>
      <w:r w:rsidRPr="000C548C">
        <w:rPr>
          <w:b/>
          <w:sz w:val="24"/>
          <w:szCs w:val="24"/>
        </w:rPr>
        <w:tab/>
        <w:t>Opbevaringstid</w:t>
      </w:r>
    </w:p>
    <w:p w14:paraId="1DFB2150" w14:textId="77777777" w:rsidR="006E10A3" w:rsidRPr="000C548C" w:rsidRDefault="006E10A3" w:rsidP="009C67AF">
      <w:pPr>
        <w:ind w:left="851"/>
        <w:rPr>
          <w:sz w:val="24"/>
          <w:szCs w:val="24"/>
          <w:lang w:eastAsia="de-DE"/>
        </w:rPr>
      </w:pPr>
      <w:r w:rsidRPr="000C548C">
        <w:rPr>
          <w:sz w:val="24"/>
          <w:szCs w:val="24"/>
        </w:rPr>
        <w:t>3 år</w:t>
      </w:r>
    </w:p>
    <w:p w14:paraId="390E3CC8" w14:textId="77777777" w:rsidR="009260DE" w:rsidRPr="000C548C" w:rsidRDefault="009260DE" w:rsidP="009260DE">
      <w:pPr>
        <w:tabs>
          <w:tab w:val="left" w:pos="851"/>
        </w:tabs>
        <w:ind w:left="851"/>
        <w:rPr>
          <w:sz w:val="24"/>
          <w:szCs w:val="24"/>
        </w:rPr>
      </w:pPr>
    </w:p>
    <w:p w14:paraId="723E9ABF" w14:textId="77777777" w:rsidR="009260DE" w:rsidRPr="000C548C" w:rsidRDefault="009260DE" w:rsidP="009260DE">
      <w:pPr>
        <w:tabs>
          <w:tab w:val="left" w:pos="851"/>
        </w:tabs>
        <w:ind w:left="851" w:hanging="851"/>
        <w:rPr>
          <w:b/>
          <w:sz w:val="24"/>
          <w:szCs w:val="24"/>
        </w:rPr>
      </w:pPr>
      <w:r w:rsidRPr="000C548C">
        <w:rPr>
          <w:b/>
          <w:sz w:val="24"/>
          <w:szCs w:val="24"/>
        </w:rPr>
        <w:t>6.4</w:t>
      </w:r>
      <w:r w:rsidRPr="000C548C">
        <w:rPr>
          <w:b/>
          <w:sz w:val="24"/>
          <w:szCs w:val="24"/>
        </w:rPr>
        <w:tab/>
        <w:t>Særlige opbevaringsforhold</w:t>
      </w:r>
    </w:p>
    <w:p w14:paraId="19CBBE40" w14:textId="77777777" w:rsidR="006E10A3" w:rsidRPr="000C548C" w:rsidRDefault="006E10A3" w:rsidP="009C67AF">
      <w:pPr>
        <w:ind w:left="851"/>
        <w:rPr>
          <w:sz w:val="24"/>
          <w:szCs w:val="24"/>
          <w:lang w:eastAsia="de-DE"/>
        </w:rPr>
      </w:pPr>
      <w:r w:rsidRPr="000C548C">
        <w:rPr>
          <w:sz w:val="24"/>
          <w:szCs w:val="24"/>
        </w:rPr>
        <w:t>Hold beholderen tæt lukket.</w:t>
      </w:r>
    </w:p>
    <w:p w14:paraId="7603130D" w14:textId="77777777" w:rsidR="009260DE" w:rsidRPr="000C548C" w:rsidRDefault="009260DE" w:rsidP="009260DE">
      <w:pPr>
        <w:tabs>
          <w:tab w:val="left" w:pos="851"/>
        </w:tabs>
        <w:ind w:left="851"/>
        <w:rPr>
          <w:sz w:val="24"/>
          <w:szCs w:val="24"/>
        </w:rPr>
      </w:pPr>
    </w:p>
    <w:p w14:paraId="6EFEE1F1" w14:textId="77777777" w:rsidR="009260DE" w:rsidRPr="000C548C" w:rsidRDefault="009260DE" w:rsidP="009260DE">
      <w:pPr>
        <w:tabs>
          <w:tab w:val="left" w:pos="851"/>
        </w:tabs>
        <w:ind w:left="851" w:hanging="851"/>
        <w:rPr>
          <w:b/>
          <w:sz w:val="24"/>
          <w:szCs w:val="24"/>
        </w:rPr>
      </w:pPr>
      <w:r w:rsidRPr="000C548C">
        <w:rPr>
          <w:b/>
          <w:sz w:val="24"/>
          <w:szCs w:val="24"/>
        </w:rPr>
        <w:t>6.5</w:t>
      </w:r>
      <w:r w:rsidRPr="000C548C">
        <w:rPr>
          <w:b/>
          <w:sz w:val="24"/>
          <w:szCs w:val="24"/>
        </w:rPr>
        <w:tab/>
        <w:t>Emballagetype og pakningsstørrelser</w:t>
      </w:r>
    </w:p>
    <w:p w14:paraId="11C36325" w14:textId="7553A852" w:rsidR="006E10A3" w:rsidRPr="000C548C" w:rsidRDefault="006E10A3" w:rsidP="009C67AF">
      <w:pPr>
        <w:ind w:left="851"/>
        <w:rPr>
          <w:sz w:val="24"/>
          <w:szCs w:val="24"/>
          <w:lang w:eastAsia="de-DE"/>
        </w:rPr>
      </w:pPr>
      <w:r w:rsidRPr="000C548C">
        <w:rPr>
          <w:sz w:val="24"/>
          <w:szCs w:val="24"/>
        </w:rPr>
        <w:t xml:space="preserve">Pakninger indeholdende 50 og 200 filmovertrukne tabletter i </w:t>
      </w:r>
      <w:proofErr w:type="spellStart"/>
      <w:r w:rsidRPr="000C548C">
        <w:rPr>
          <w:sz w:val="24"/>
          <w:szCs w:val="24"/>
        </w:rPr>
        <w:t>polyethylenbeholdere</w:t>
      </w:r>
      <w:proofErr w:type="spellEnd"/>
      <w:r w:rsidRPr="000C548C">
        <w:rPr>
          <w:sz w:val="24"/>
          <w:szCs w:val="24"/>
        </w:rPr>
        <w:t xml:space="preserve"> med børnesikret polypropylen-skruelåg.</w:t>
      </w:r>
    </w:p>
    <w:p w14:paraId="0FBF39BE" w14:textId="256D4ABA" w:rsidR="006E10A3" w:rsidRPr="000C548C" w:rsidRDefault="006E10A3" w:rsidP="009C67AF">
      <w:pPr>
        <w:ind w:left="851"/>
        <w:rPr>
          <w:sz w:val="24"/>
          <w:szCs w:val="24"/>
        </w:rPr>
      </w:pPr>
      <w:r w:rsidRPr="000C548C">
        <w:rPr>
          <w:sz w:val="24"/>
          <w:szCs w:val="24"/>
        </w:rPr>
        <w:t>Klinikpakning indeholdende 250 (5 × 50) filmovertrukne tabletter.</w:t>
      </w:r>
    </w:p>
    <w:p w14:paraId="3616E373" w14:textId="6CD87BA3" w:rsidR="006E10A3" w:rsidRPr="000C548C" w:rsidRDefault="006E10A3" w:rsidP="009C67AF">
      <w:pPr>
        <w:ind w:left="851"/>
        <w:rPr>
          <w:sz w:val="24"/>
          <w:szCs w:val="24"/>
        </w:rPr>
      </w:pPr>
      <w:r w:rsidRPr="000C548C">
        <w:rPr>
          <w:sz w:val="24"/>
          <w:szCs w:val="24"/>
        </w:rPr>
        <w:t>Multipakning indeholdende 200 (4 × 50) filmovertrukne tabletter.</w:t>
      </w:r>
    </w:p>
    <w:p w14:paraId="272079D0" w14:textId="77777777" w:rsidR="006E10A3" w:rsidRPr="000C548C" w:rsidRDefault="006E10A3" w:rsidP="009C67AF">
      <w:pPr>
        <w:ind w:left="851"/>
        <w:rPr>
          <w:sz w:val="24"/>
          <w:szCs w:val="24"/>
        </w:rPr>
      </w:pPr>
    </w:p>
    <w:p w14:paraId="23EDDB88" w14:textId="77777777" w:rsidR="006E10A3" w:rsidRPr="000C548C" w:rsidRDefault="006E10A3" w:rsidP="009C67AF">
      <w:pPr>
        <w:ind w:left="851"/>
        <w:rPr>
          <w:sz w:val="24"/>
          <w:szCs w:val="24"/>
        </w:rPr>
      </w:pPr>
      <w:r w:rsidRPr="000C548C">
        <w:rPr>
          <w:sz w:val="24"/>
          <w:szCs w:val="24"/>
        </w:rPr>
        <w:t>Ikke alle pakningsstørrelser er nødvendigvis markedsført.</w:t>
      </w:r>
    </w:p>
    <w:p w14:paraId="7318A312" w14:textId="77777777" w:rsidR="009260DE" w:rsidRPr="000C548C" w:rsidRDefault="009260DE" w:rsidP="009260DE">
      <w:pPr>
        <w:tabs>
          <w:tab w:val="left" w:pos="851"/>
        </w:tabs>
        <w:ind w:left="851"/>
        <w:rPr>
          <w:sz w:val="24"/>
          <w:szCs w:val="24"/>
        </w:rPr>
      </w:pPr>
    </w:p>
    <w:p w14:paraId="1334DE95" w14:textId="77777777" w:rsidR="009260DE" w:rsidRPr="000C548C" w:rsidRDefault="009260DE" w:rsidP="009260DE">
      <w:pPr>
        <w:tabs>
          <w:tab w:val="left" w:pos="851"/>
        </w:tabs>
        <w:ind w:left="851" w:hanging="851"/>
        <w:rPr>
          <w:b/>
          <w:sz w:val="24"/>
          <w:szCs w:val="24"/>
        </w:rPr>
      </w:pPr>
      <w:r w:rsidRPr="000C548C">
        <w:rPr>
          <w:b/>
          <w:sz w:val="24"/>
          <w:szCs w:val="24"/>
        </w:rPr>
        <w:t>6.6</w:t>
      </w:r>
      <w:r w:rsidRPr="000C548C">
        <w:rPr>
          <w:b/>
          <w:sz w:val="24"/>
          <w:szCs w:val="24"/>
        </w:rPr>
        <w:tab/>
        <w:t xml:space="preserve">Regler for </w:t>
      </w:r>
      <w:r w:rsidR="00BD7931" w:rsidRPr="000C548C">
        <w:rPr>
          <w:b/>
          <w:sz w:val="24"/>
          <w:szCs w:val="24"/>
        </w:rPr>
        <w:t>bortskaffelse</w:t>
      </w:r>
      <w:r w:rsidRPr="000C548C">
        <w:rPr>
          <w:b/>
          <w:sz w:val="24"/>
          <w:szCs w:val="24"/>
        </w:rPr>
        <w:t xml:space="preserve"> og anden håndtering</w:t>
      </w:r>
    </w:p>
    <w:p w14:paraId="0083328E" w14:textId="77777777" w:rsidR="006E10A3" w:rsidRPr="000C548C" w:rsidRDefault="006E10A3" w:rsidP="009C67AF">
      <w:pPr>
        <w:ind w:left="851"/>
        <w:rPr>
          <w:sz w:val="24"/>
          <w:szCs w:val="24"/>
          <w:lang w:eastAsia="de-DE"/>
        </w:rPr>
      </w:pPr>
      <w:r w:rsidRPr="000C548C">
        <w:rPr>
          <w:sz w:val="24"/>
          <w:szCs w:val="24"/>
        </w:rPr>
        <w:t>Ikke anvendt lægemiddel samt affald heraf skal bortskaffes i henhold til lokale retningslinjer.</w:t>
      </w:r>
    </w:p>
    <w:p w14:paraId="44372031" w14:textId="77777777" w:rsidR="006E10A3" w:rsidRPr="000C548C" w:rsidRDefault="006E10A3" w:rsidP="009C67AF">
      <w:pPr>
        <w:ind w:left="851"/>
        <w:rPr>
          <w:sz w:val="24"/>
          <w:szCs w:val="24"/>
        </w:rPr>
      </w:pPr>
    </w:p>
    <w:p w14:paraId="11DAD0E5" w14:textId="77777777" w:rsidR="006E10A3" w:rsidRPr="000C548C" w:rsidRDefault="006E10A3" w:rsidP="009C67AF">
      <w:pPr>
        <w:ind w:left="851"/>
        <w:rPr>
          <w:sz w:val="24"/>
          <w:szCs w:val="24"/>
        </w:rPr>
      </w:pPr>
      <w:r w:rsidRPr="000C548C">
        <w:rPr>
          <w:sz w:val="24"/>
          <w:szCs w:val="24"/>
        </w:rPr>
        <w:t>Ingen særlige forholdsregler.</w:t>
      </w:r>
    </w:p>
    <w:p w14:paraId="66BD7716" w14:textId="77777777" w:rsidR="009260DE" w:rsidRPr="000C548C" w:rsidRDefault="009260DE" w:rsidP="000730CA">
      <w:pPr>
        <w:tabs>
          <w:tab w:val="left" w:pos="851"/>
        </w:tabs>
        <w:ind w:left="851"/>
        <w:rPr>
          <w:sz w:val="24"/>
          <w:szCs w:val="24"/>
        </w:rPr>
      </w:pPr>
    </w:p>
    <w:p w14:paraId="0D8E6209" w14:textId="77777777" w:rsidR="009260DE" w:rsidRPr="000C548C" w:rsidRDefault="009260DE" w:rsidP="009260DE">
      <w:pPr>
        <w:tabs>
          <w:tab w:val="left" w:pos="851"/>
        </w:tabs>
        <w:ind w:left="851" w:hanging="851"/>
        <w:rPr>
          <w:b/>
          <w:sz w:val="24"/>
          <w:szCs w:val="24"/>
        </w:rPr>
      </w:pPr>
      <w:r w:rsidRPr="000C548C">
        <w:rPr>
          <w:b/>
          <w:sz w:val="24"/>
          <w:szCs w:val="24"/>
        </w:rPr>
        <w:t>7.</w:t>
      </w:r>
      <w:r w:rsidRPr="000C548C">
        <w:rPr>
          <w:b/>
          <w:sz w:val="24"/>
          <w:szCs w:val="24"/>
        </w:rPr>
        <w:tab/>
        <w:t>INDEHAVER AF MARKEDSFØRINGSTILLADELSEN</w:t>
      </w:r>
    </w:p>
    <w:p w14:paraId="2A539AFC" w14:textId="27EF6F21" w:rsidR="009260DE" w:rsidRPr="00A40901" w:rsidRDefault="00805B25" w:rsidP="009260DE">
      <w:pPr>
        <w:tabs>
          <w:tab w:val="left" w:pos="851"/>
        </w:tabs>
        <w:ind w:left="851"/>
        <w:rPr>
          <w:sz w:val="24"/>
          <w:szCs w:val="24"/>
          <w:lang w:val="en-US"/>
        </w:rPr>
      </w:pPr>
      <w:r w:rsidRPr="00A40901">
        <w:rPr>
          <w:sz w:val="24"/>
          <w:szCs w:val="24"/>
          <w:lang w:val="en-US"/>
        </w:rPr>
        <w:t xml:space="preserve">Desitin </w:t>
      </w:r>
      <w:proofErr w:type="spellStart"/>
      <w:r w:rsidRPr="00A40901">
        <w:rPr>
          <w:sz w:val="24"/>
          <w:szCs w:val="24"/>
          <w:lang w:val="en-US"/>
        </w:rPr>
        <w:t>Arzneimittel</w:t>
      </w:r>
      <w:proofErr w:type="spellEnd"/>
      <w:r w:rsidRPr="00A40901">
        <w:rPr>
          <w:sz w:val="24"/>
          <w:szCs w:val="24"/>
          <w:lang w:val="en-US"/>
        </w:rPr>
        <w:t xml:space="preserve"> GmbH</w:t>
      </w:r>
    </w:p>
    <w:p w14:paraId="27871DDB" w14:textId="052788F2" w:rsidR="00805B25" w:rsidRPr="00A40901" w:rsidRDefault="00805B25" w:rsidP="009260DE">
      <w:pPr>
        <w:tabs>
          <w:tab w:val="left" w:pos="851"/>
        </w:tabs>
        <w:ind w:left="851"/>
        <w:rPr>
          <w:sz w:val="24"/>
          <w:szCs w:val="24"/>
          <w:lang w:val="en-US"/>
        </w:rPr>
      </w:pPr>
      <w:proofErr w:type="spellStart"/>
      <w:r w:rsidRPr="00A40901">
        <w:rPr>
          <w:sz w:val="24"/>
          <w:szCs w:val="24"/>
          <w:lang w:val="en-US"/>
        </w:rPr>
        <w:t>Weg</w:t>
      </w:r>
      <w:proofErr w:type="spellEnd"/>
      <w:r w:rsidRPr="00A40901">
        <w:rPr>
          <w:sz w:val="24"/>
          <w:szCs w:val="24"/>
          <w:lang w:val="en-US"/>
        </w:rPr>
        <w:t xml:space="preserve"> </w:t>
      </w:r>
      <w:proofErr w:type="spellStart"/>
      <w:r w:rsidRPr="00A40901">
        <w:rPr>
          <w:sz w:val="24"/>
          <w:szCs w:val="24"/>
          <w:lang w:val="en-US"/>
        </w:rPr>
        <w:t>Beim</w:t>
      </w:r>
      <w:proofErr w:type="spellEnd"/>
      <w:r w:rsidRPr="00A40901">
        <w:rPr>
          <w:sz w:val="24"/>
          <w:szCs w:val="24"/>
          <w:lang w:val="en-US"/>
        </w:rPr>
        <w:t xml:space="preserve"> Jaeger 214</w:t>
      </w:r>
    </w:p>
    <w:p w14:paraId="58BD58CC" w14:textId="7B8942BC" w:rsidR="00805B25" w:rsidRPr="00A40901" w:rsidRDefault="00805B25" w:rsidP="009260DE">
      <w:pPr>
        <w:tabs>
          <w:tab w:val="left" w:pos="851"/>
        </w:tabs>
        <w:ind w:left="851"/>
        <w:rPr>
          <w:sz w:val="24"/>
          <w:szCs w:val="24"/>
          <w:lang w:val="en-US"/>
        </w:rPr>
      </w:pPr>
      <w:r w:rsidRPr="00A40901">
        <w:rPr>
          <w:sz w:val="24"/>
          <w:szCs w:val="24"/>
          <w:lang w:val="en-US"/>
        </w:rPr>
        <w:t xml:space="preserve">Gross </w:t>
      </w:r>
      <w:proofErr w:type="spellStart"/>
      <w:r w:rsidRPr="00A40901">
        <w:rPr>
          <w:sz w:val="24"/>
          <w:szCs w:val="24"/>
          <w:lang w:val="en-US"/>
        </w:rPr>
        <w:t>Borstel</w:t>
      </w:r>
      <w:proofErr w:type="spellEnd"/>
    </w:p>
    <w:p w14:paraId="5BD21EB5" w14:textId="7FC6D3EE" w:rsidR="00805B25" w:rsidRPr="00A40901" w:rsidRDefault="00805B25" w:rsidP="009260DE">
      <w:pPr>
        <w:tabs>
          <w:tab w:val="left" w:pos="851"/>
        </w:tabs>
        <w:ind w:left="851"/>
        <w:rPr>
          <w:sz w:val="24"/>
          <w:szCs w:val="24"/>
          <w:lang w:val="en-US"/>
        </w:rPr>
      </w:pPr>
      <w:r w:rsidRPr="00A40901">
        <w:rPr>
          <w:sz w:val="24"/>
          <w:szCs w:val="24"/>
          <w:lang w:val="en-US"/>
        </w:rPr>
        <w:t>22335 Hamburg</w:t>
      </w:r>
    </w:p>
    <w:p w14:paraId="09BD4D9F" w14:textId="732C6495" w:rsidR="00805B25" w:rsidRPr="00A40901" w:rsidRDefault="00805B25" w:rsidP="009260DE">
      <w:pPr>
        <w:tabs>
          <w:tab w:val="left" w:pos="851"/>
        </w:tabs>
        <w:ind w:left="851"/>
        <w:rPr>
          <w:sz w:val="24"/>
          <w:szCs w:val="24"/>
          <w:lang w:val="en-US"/>
        </w:rPr>
      </w:pPr>
      <w:proofErr w:type="spellStart"/>
      <w:r w:rsidRPr="00A40901">
        <w:rPr>
          <w:sz w:val="24"/>
          <w:szCs w:val="24"/>
          <w:lang w:val="en-US"/>
        </w:rPr>
        <w:t>Tyskland</w:t>
      </w:r>
      <w:proofErr w:type="spellEnd"/>
    </w:p>
    <w:p w14:paraId="646D735C" w14:textId="77777777" w:rsidR="009260DE" w:rsidRPr="00A40901" w:rsidRDefault="009260DE" w:rsidP="009260DE">
      <w:pPr>
        <w:tabs>
          <w:tab w:val="left" w:pos="851"/>
        </w:tabs>
        <w:ind w:left="851"/>
        <w:rPr>
          <w:sz w:val="24"/>
          <w:szCs w:val="24"/>
          <w:lang w:val="en-US"/>
        </w:rPr>
      </w:pPr>
    </w:p>
    <w:p w14:paraId="55EF8B01" w14:textId="77777777" w:rsidR="00641C65" w:rsidRPr="00A40901" w:rsidRDefault="00641C65" w:rsidP="009260DE">
      <w:pPr>
        <w:tabs>
          <w:tab w:val="left" w:pos="851"/>
        </w:tabs>
        <w:ind w:left="851"/>
        <w:rPr>
          <w:sz w:val="24"/>
          <w:szCs w:val="24"/>
          <w:lang w:val="en-US"/>
        </w:rPr>
      </w:pPr>
      <w:proofErr w:type="spellStart"/>
      <w:r w:rsidRPr="00A40901">
        <w:rPr>
          <w:b/>
          <w:sz w:val="24"/>
          <w:szCs w:val="24"/>
          <w:lang w:val="en-US"/>
        </w:rPr>
        <w:t>Repræsentant</w:t>
      </w:r>
      <w:proofErr w:type="spellEnd"/>
    </w:p>
    <w:p w14:paraId="61B4857F" w14:textId="031E2072" w:rsidR="00641C65" w:rsidRPr="00A40901" w:rsidRDefault="003D0426" w:rsidP="009260DE">
      <w:pPr>
        <w:tabs>
          <w:tab w:val="left" w:pos="851"/>
        </w:tabs>
        <w:ind w:left="851"/>
        <w:rPr>
          <w:sz w:val="24"/>
          <w:szCs w:val="24"/>
          <w:lang w:val="en-US"/>
        </w:rPr>
      </w:pPr>
      <w:r w:rsidRPr="00A40901">
        <w:rPr>
          <w:sz w:val="24"/>
          <w:szCs w:val="24"/>
          <w:lang w:val="en-US"/>
        </w:rPr>
        <w:t>Desitin Pharma A/S</w:t>
      </w:r>
    </w:p>
    <w:p w14:paraId="35CF7255" w14:textId="71FD6981" w:rsidR="003D0426" w:rsidRPr="000C548C" w:rsidRDefault="003D0426" w:rsidP="009260DE">
      <w:pPr>
        <w:tabs>
          <w:tab w:val="left" w:pos="851"/>
        </w:tabs>
        <w:ind w:left="851"/>
        <w:rPr>
          <w:sz w:val="24"/>
          <w:szCs w:val="24"/>
        </w:rPr>
      </w:pPr>
      <w:r w:rsidRPr="000C548C">
        <w:rPr>
          <w:sz w:val="24"/>
          <w:szCs w:val="24"/>
        </w:rPr>
        <w:t>Automatikvej 1</w:t>
      </w:r>
    </w:p>
    <w:p w14:paraId="21C57054" w14:textId="4C1EB907" w:rsidR="003D0426" w:rsidRPr="000C548C" w:rsidRDefault="003D0426" w:rsidP="009260DE">
      <w:pPr>
        <w:tabs>
          <w:tab w:val="left" w:pos="851"/>
        </w:tabs>
        <w:ind w:left="851"/>
        <w:rPr>
          <w:sz w:val="24"/>
          <w:szCs w:val="24"/>
        </w:rPr>
      </w:pPr>
      <w:r w:rsidRPr="000C548C">
        <w:rPr>
          <w:sz w:val="24"/>
          <w:szCs w:val="24"/>
        </w:rPr>
        <w:t>2860 Søborg</w:t>
      </w:r>
    </w:p>
    <w:p w14:paraId="657234B2" w14:textId="77777777" w:rsidR="00641C65" w:rsidRPr="000C548C" w:rsidRDefault="00641C65" w:rsidP="009260DE">
      <w:pPr>
        <w:tabs>
          <w:tab w:val="left" w:pos="851"/>
        </w:tabs>
        <w:ind w:left="851"/>
        <w:rPr>
          <w:sz w:val="24"/>
          <w:szCs w:val="24"/>
        </w:rPr>
      </w:pPr>
    </w:p>
    <w:p w14:paraId="695C8F84" w14:textId="77777777" w:rsidR="009260DE" w:rsidRPr="000C548C" w:rsidRDefault="009260DE" w:rsidP="009260DE">
      <w:pPr>
        <w:tabs>
          <w:tab w:val="left" w:pos="851"/>
        </w:tabs>
        <w:ind w:left="851" w:hanging="851"/>
        <w:rPr>
          <w:b/>
          <w:sz w:val="24"/>
          <w:szCs w:val="24"/>
        </w:rPr>
      </w:pPr>
      <w:r w:rsidRPr="000C548C">
        <w:rPr>
          <w:b/>
          <w:sz w:val="24"/>
          <w:szCs w:val="24"/>
        </w:rPr>
        <w:t>8.</w:t>
      </w:r>
      <w:r w:rsidRPr="000C548C">
        <w:rPr>
          <w:b/>
          <w:sz w:val="24"/>
          <w:szCs w:val="24"/>
        </w:rPr>
        <w:tab/>
        <w:t>MARKEDSFØRINGSTILLADELSESNUMMER (</w:t>
      </w:r>
      <w:r w:rsidR="00BF6243" w:rsidRPr="000C548C">
        <w:rPr>
          <w:b/>
          <w:sz w:val="24"/>
          <w:szCs w:val="24"/>
        </w:rPr>
        <w:t>-</w:t>
      </w:r>
      <w:r w:rsidRPr="000C548C">
        <w:rPr>
          <w:b/>
          <w:sz w:val="24"/>
          <w:szCs w:val="24"/>
        </w:rPr>
        <w:t>NUMRE)</w:t>
      </w:r>
    </w:p>
    <w:p w14:paraId="1EFAA8A7" w14:textId="21320687" w:rsidR="009260DE" w:rsidRPr="000C548C" w:rsidRDefault="00805B25" w:rsidP="009C67AF">
      <w:pPr>
        <w:tabs>
          <w:tab w:val="left" w:pos="851"/>
          <w:tab w:val="left" w:pos="1985"/>
        </w:tabs>
        <w:ind w:left="851"/>
        <w:rPr>
          <w:sz w:val="24"/>
          <w:szCs w:val="24"/>
        </w:rPr>
      </w:pPr>
      <w:r w:rsidRPr="000C548C">
        <w:rPr>
          <w:sz w:val="24"/>
          <w:szCs w:val="24"/>
        </w:rPr>
        <w:t xml:space="preserve">50 mg: </w:t>
      </w:r>
      <w:r w:rsidR="009C67AF" w:rsidRPr="000C548C">
        <w:rPr>
          <w:sz w:val="24"/>
          <w:szCs w:val="24"/>
        </w:rPr>
        <w:tab/>
      </w:r>
      <w:r w:rsidRPr="000C548C">
        <w:rPr>
          <w:sz w:val="24"/>
          <w:szCs w:val="24"/>
        </w:rPr>
        <w:t>74778</w:t>
      </w:r>
    </w:p>
    <w:p w14:paraId="26D9B66E" w14:textId="1731200B" w:rsidR="00805B25" w:rsidRPr="000C548C" w:rsidRDefault="00805B25" w:rsidP="009C67AF">
      <w:pPr>
        <w:tabs>
          <w:tab w:val="left" w:pos="851"/>
          <w:tab w:val="left" w:pos="1985"/>
        </w:tabs>
        <w:ind w:left="851"/>
        <w:rPr>
          <w:sz w:val="24"/>
          <w:szCs w:val="24"/>
        </w:rPr>
      </w:pPr>
      <w:r w:rsidRPr="000C548C">
        <w:rPr>
          <w:sz w:val="24"/>
          <w:szCs w:val="24"/>
        </w:rPr>
        <w:t xml:space="preserve">200 mg: </w:t>
      </w:r>
      <w:r w:rsidR="009C67AF" w:rsidRPr="000C548C">
        <w:rPr>
          <w:sz w:val="24"/>
          <w:szCs w:val="24"/>
        </w:rPr>
        <w:tab/>
      </w:r>
      <w:r w:rsidRPr="000C548C">
        <w:rPr>
          <w:sz w:val="24"/>
          <w:szCs w:val="24"/>
        </w:rPr>
        <w:t>74779</w:t>
      </w:r>
    </w:p>
    <w:p w14:paraId="1124BF26" w14:textId="77777777" w:rsidR="009260DE" w:rsidRPr="000C548C" w:rsidRDefault="009260DE" w:rsidP="009260DE">
      <w:pPr>
        <w:tabs>
          <w:tab w:val="left" w:pos="851"/>
        </w:tabs>
        <w:ind w:left="851"/>
        <w:jc w:val="both"/>
        <w:rPr>
          <w:sz w:val="24"/>
          <w:szCs w:val="24"/>
        </w:rPr>
      </w:pPr>
    </w:p>
    <w:p w14:paraId="49C5DC49" w14:textId="77777777" w:rsidR="009260DE" w:rsidRPr="000C548C" w:rsidRDefault="009260DE" w:rsidP="009260DE">
      <w:pPr>
        <w:tabs>
          <w:tab w:val="left" w:pos="851"/>
        </w:tabs>
        <w:ind w:left="851" w:hanging="851"/>
        <w:rPr>
          <w:b/>
          <w:sz w:val="24"/>
          <w:szCs w:val="24"/>
        </w:rPr>
      </w:pPr>
      <w:r w:rsidRPr="000C548C">
        <w:rPr>
          <w:b/>
          <w:sz w:val="24"/>
          <w:szCs w:val="24"/>
        </w:rPr>
        <w:t>9.</w:t>
      </w:r>
      <w:r w:rsidRPr="000C548C">
        <w:rPr>
          <w:b/>
          <w:sz w:val="24"/>
          <w:szCs w:val="24"/>
        </w:rPr>
        <w:tab/>
        <w:t>DATO FOR FØRSTE MARKEDSFØRINGSTILLADELSE</w:t>
      </w:r>
    </w:p>
    <w:p w14:paraId="46A0C14C" w14:textId="6EAA56D0" w:rsidR="009260DE" w:rsidRPr="000C548C" w:rsidRDefault="00A40901" w:rsidP="009260DE">
      <w:pPr>
        <w:tabs>
          <w:tab w:val="left" w:pos="851"/>
        </w:tabs>
        <w:ind w:left="851"/>
        <w:rPr>
          <w:sz w:val="24"/>
          <w:szCs w:val="24"/>
        </w:rPr>
      </w:pPr>
      <w:r>
        <w:rPr>
          <w:sz w:val="24"/>
          <w:szCs w:val="24"/>
        </w:rPr>
        <w:t>30. oktober 2025</w:t>
      </w:r>
    </w:p>
    <w:p w14:paraId="20246637" w14:textId="77777777" w:rsidR="009260DE" w:rsidRPr="000C548C" w:rsidRDefault="009260DE" w:rsidP="009260DE">
      <w:pPr>
        <w:tabs>
          <w:tab w:val="left" w:pos="851"/>
        </w:tabs>
        <w:ind w:left="851"/>
        <w:rPr>
          <w:sz w:val="24"/>
          <w:szCs w:val="24"/>
        </w:rPr>
      </w:pPr>
    </w:p>
    <w:p w14:paraId="2F720B25" w14:textId="77777777" w:rsidR="009260DE" w:rsidRPr="000C548C" w:rsidRDefault="009260DE" w:rsidP="009260DE">
      <w:pPr>
        <w:tabs>
          <w:tab w:val="left" w:pos="851"/>
        </w:tabs>
        <w:ind w:left="851" w:hanging="851"/>
        <w:rPr>
          <w:b/>
          <w:sz w:val="24"/>
          <w:szCs w:val="24"/>
        </w:rPr>
      </w:pPr>
      <w:r w:rsidRPr="000C548C">
        <w:rPr>
          <w:b/>
          <w:sz w:val="24"/>
          <w:szCs w:val="24"/>
        </w:rPr>
        <w:t>10.</w:t>
      </w:r>
      <w:r w:rsidRPr="000C548C">
        <w:rPr>
          <w:b/>
          <w:sz w:val="24"/>
          <w:szCs w:val="24"/>
        </w:rPr>
        <w:tab/>
        <w:t>DATO FOR ÆNDRING AF TEKSTEN</w:t>
      </w:r>
    </w:p>
    <w:p w14:paraId="45226900" w14:textId="5B934668" w:rsidR="009260DE" w:rsidRPr="000C548C" w:rsidRDefault="0045653E" w:rsidP="009260DE">
      <w:pPr>
        <w:tabs>
          <w:tab w:val="left" w:pos="851"/>
        </w:tabs>
        <w:ind w:left="851"/>
        <w:rPr>
          <w:sz w:val="24"/>
          <w:szCs w:val="24"/>
        </w:rPr>
      </w:pPr>
      <w:r>
        <w:rPr>
          <w:sz w:val="24"/>
          <w:szCs w:val="24"/>
        </w:rPr>
        <w:t>16. december 2025</w:t>
      </w:r>
    </w:p>
    <w:sectPr w:rsidR="009260DE" w:rsidRPr="000C548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C5DDD" w14:textId="77777777" w:rsidR="003F0939" w:rsidRDefault="003F0939">
      <w:r>
        <w:separator/>
      </w:r>
    </w:p>
  </w:endnote>
  <w:endnote w:type="continuationSeparator" w:id="0">
    <w:p w14:paraId="715D72AE" w14:textId="77777777" w:rsidR="003F0939" w:rsidRDefault="003F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8E5" w14:textId="77777777" w:rsidR="000259B9" w:rsidRDefault="000259B9">
    <w:pPr>
      <w:pStyle w:val="Sidefod"/>
      <w:pBdr>
        <w:bottom w:val="single" w:sz="6" w:space="1" w:color="auto"/>
      </w:pBdr>
    </w:pPr>
  </w:p>
  <w:p w14:paraId="7812ECCF" w14:textId="77777777" w:rsidR="000259B9" w:rsidRDefault="000259B9" w:rsidP="00C42586">
    <w:pPr>
      <w:pStyle w:val="Sidefod"/>
      <w:tabs>
        <w:tab w:val="clear" w:pos="4819"/>
        <w:tab w:val="left" w:pos="8505"/>
      </w:tabs>
      <w:rPr>
        <w:i/>
        <w:sz w:val="18"/>
        <w:szCs w:val="18"/>
      </w:rPr>
    </w:pPr>
  </w:p>
  <w:p w14:paraId="0913B651" w14:textId="5194871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C75B7">
      <w:rPr>
        <w:i/>
        <w:noProof/>
        <w:sz w:val="18"/>
        <w:szCs w:val="18"/>
      </w:rPr>
      <w:t>Ospolot-tab, filmovertrukne tabletter 50 mg og 200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28347" w14:textId="77777777" w:rsidR="003F0939" w:rsidRDefault="003F0939">
      <w:r>
        <w:separator/>
      </w:r>
    </w:p>
  </w:footnote>
  <w:footnote w:type="continuationSeparator" w:id="0">
    <w:p w14:paraId="12C6BCCD" w14:textId="77777777" w:rsidR="003F0939" w:rsidRDefault="003F0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54F4"/>
    <w:multiLevelType w:val="hybridMultilevel"/>
    <w:tmpl w:val="5400DC6C"/>
    <w:lvl w:ilvl="0" w:tplc="B1CA38A0">
      <w:start w:val="4"/>
      <w:numFmt w:val="bullet"/>
      <w:lvlText w:val="-"/>
      <w:lvlJc w:val="left"/>
      <w:pPr>
        <w:ind w:left="930" w:hanging="57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7365E6"/>
    <w:multiLevelType w:val="hybridMultilevel"/>
    <w:tmpl w:val="E5F8DDD4"/>
    <w:lvl w:ilvl="0" w:tplc="B1CA38A0">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80030B"/>
    <w:multiLevelType w:val="hybridMultilevel"/>
    <w:tmpl w:val="8C5C21C6"/>
    <w:lvl w:ilvl="0" w:tplc="B1CA38A0">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39"/>
    <w:rsid w:val="00024816"/>
    <w:rsid w:val="000259B9"/>
    <w:rsid w:val="00027DFF"/>
    <w:rsid w:val="00041491"/>
    <w:rsid w:val="00050D16"/>
    <w:rsid w:val="000730CA"/>
    <w:rsid w:val="00074F2A"/>
    <w:rsid w:val="000A1CA8"/>
    <w:rsid w:val="000A466B"/>
    <w:rsid w:val="000B058C"/>
    <w:rsid w:val="000B125A"/>
    <w:rsid w:val="000C548C"/>
    <w:rsid w:val="000D68B0"/>
    <w:rsid w:val="000E4EE6"/>
    <w:rsid w:val="001454E2"/>
    <w:rsid w:val="00206CE8"/>
    <w:rsid w:val="0021526C"/>
    <w:rsid w:val="00283A2B"/>
    <w:rsid w:val="002B30AD"/>
    <w:rsid w:val="002C1EC0"/>
    <w:rsid w:val="002C2C01"/>
    <w:rsid w:val="003A29AE"/>
    <w:rsid w:val="003A32D7"/>
    <w:rsid w:val="003B4074"/>
    <w:rsid w:val="003C769A"/>
    <w:rsid w:val="003D0426"/>
    <w:rsid w:val="003D3A90"/>
    <w:rsid w:val="003F0939"/>
    <w:rsid w:val="003F1838"/>
    <w:rsid w:val="004251C1"/>
    <w:rsid w:val="0045653E"/>
    <w:rsid w:val="0045746C"/>
    <w:rsid w:val="0049104B"/>
    <w:rsid w:val="004E3B12"/>
    <w:rsid w:val="00532310"/>
    <w:rsid w:val="00565F0F"/>
    <w:rsid w:val="00594A86"/>
    <w:rsid w:val="00596D86"/>
    <w:rsid w:val="00637F5A"/>
    <w:rsid w:val="00641C65"/>
    <w:rsid w:val="006560B1"/>
    <w:rsid w:val="006756DD"/>
    <w:rsid w:val="00694C7E"/>
    <w:rsid w:val="006E10A3"/>
    <w:rsid w:val="0071241E"/>
    <w:rsid w:val="00737275"/>
    <w:rsid w:val="00740EEC"/>
    <w:rsid w:val="0078011A"/>
    <w:rsid w:val="00782AF4"/>
    <w:rsid w:val="00790EE7"/>
    <w:rsid w:val="007B6649"/>
    <w:rsid w:val="007D5DB4"/>
    <w:rsid w:val="00805B25"/>
    <w:rsid w:val="0082576E"/>
    <w:rsid w:val="0089346F"/>
    <w:rsid w:val="00907F75"/>
    <w:rsid w:val="009260DE"/>
    <w:rsid w:val="0093258A"/>
    <w:rsid w:val="009601BC"/>
    <w:rsid w:val="009C67AF"/>
    <w:rsid w:val="009C7BA3"/>
    <w:rsid w:val="009D1F5A"/>
    <w:rsid w:val="00A10294"/>
    <w:rsid w:val="00A35CE0"/>
    <w:rsid w:val="00A40901"/>
    <w:rsid w:val="00AF4986"/>
    <w:rsid w:val="00B003BF"/>
    <w:rsid w:val="00B373D7"/>
    <w:rsid w:val="00B55271"/>
    <w:rsid w:val="00BC75B7"/>
    <w:rsid w:val="00BD7931"/>
    <w:rsid w:val="00BF6243"/>
    <w:rsid w:val="00C139CF"/>
    <w:rsid w:val="00C36276"/>
    <w:rsid w:val="00C42586"/>
    <w:rsid w:val="00C45F6B"/>
    <w:rsid w:val="00C60CCD"/>
    <w:rsid w:val="00C84483"/>
    <w:rsid w:val="00C95551"/>
    <w:rsid w:val="00CB20D7"/>
    <w:rsid w:val="00D020B0"/>
    <w:rsid w:val="00D06D12"/>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7261"/>
  <w15:chartTrackingRefBased/>
  <w15:docId w15:val="{76C94EDA-5F4B-434C-A917-7853AB23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1Tegn">
    <w:name w:val="Overskrift 1 Tegn"/>
    <w:basedOn w:val="Standardskrifttypeiafsnit"/>
    <w:link w:val="Overskrift1"/>
    <w:uiPriority w:val="99"/>
    <w:rsid w:val="006E10A3"/>
    <w:rPr>
      <w:rFonts w:ascii="Arial" w:hAnsi="Arial"/>
      <w:b/>
      <w:kern w:val="28"/>
      <w:sz w:val="28"/>
      <w:lang w:eastAsia="en-US"/>
    </w:rPr>
  </w:style>
  <w:style w:type="character" w:customStyle="1" w:styleId="SidefodTegn">
    <w:name w:val="Sidefod Tegn"/>
    <w:basedOn w:val="Standardskrifttypeiafsnit"/>
    <w:link w:val="Sidefod"/>
    <w:uiPriority w:val="99"/>
    <w:rsid w:val="006E10A3"/>
    <w:rPr>
      <w:sz w:val="23"/>
      <w:lang w:eastAsia="en-US"/>
    </w:rPr>
  </w:style>
  <w:style w:type="character" w:styleId="Hyperlink">
    <w:name w:val="Hyperlink"/>
    <w:uiPriority w:val="99"/>
    <w:semiHidden/>
    <w:unhideWhenUsed/>
    <w:rsid w:val="006E10A3"/>
    <w:rPr>
      <w:color w:val="0000FF"/>
      <w:u w:val="single"/>
    </w:rPr>
  </w:style>
  <w:style w:type="paragraph" w:styleId="Fodnotetekst">
    <w:name w:val="footnote text"/>
    <w:basedOn w:val="Normal"/>
    <w:link w:val="FodnotetekstTegn"/>
    <w:uiPriority w:val="99"/>
    <w:semiHidden/>
    <w:unhideWhenUsed/>
    <w:rsid w:val="006E10A3"/>
    <w:pPr>
      <w:autoSpaceDE w:val="0"/>
      <w:autoSpaceDN w:val="0"/>
    </w:pPr>
    <w:rPr>
      <w:sz w:val="20"/>
      <w:lang w:eastAsia="de-DE"/>
    </w:rPr>
  </w:style>
  <w:style w:type="character" w:customStyle="1" w:styleId="FodnotetekstTegn">
    <w:name w:val="Fodnotetekst Tegn"/>
    <w:basedOn w:val="Standardskrifttypeiafsnit"/>
    <w:link w:val="Fodnotetekst"/>
    <w:uiPriority w:val="99"/>
    <w:semiHidden/>
    <w:rsid w:val="006E10A3"/>
    <w:rPr>
      <w:lang w:eastAsia="de-DE"/>
    </w:rPr>
  </w:style>
  <w:style w:type="character" w:styleId="Fodnotehenvisning">
    <w:name w:val="footnote reference"/>
    <w:uiPriority w:val="99"/>
    <w:semiHidden/>
    <w:unhideWhenUsed/>
    <w:rsid w:val="006E10A3"/>
    <w:rPr>
      <w:vertAlign w:val="superscript"/>
    </w:rPr>
  </w:style>
  <w:style w:type="paragraph" w:styleId="Listeafsnit">
    <w:name w:val="List Paragraph"/>
    <w:basedOn w:val="Normal"/>
    <w:uiPriority w:val="34"/>
    <w:qFormat/>
    <w:rsid w:val="000C5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57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614901">
      <w:bodyDiv w:val="1"/>
      <w:marLeft w:val="0"/>
      <w:marRight w:val="0"/>
      <w:marTop w:val="0"/>
      <w:marBottom w:val="0"/>
      <w:divBdr>
        <w:top w:val="none" w:sz="0" w:space="0" w:color="auto"/>
        <w:left w:val="none" w:sz="0" w:space="0" w:color="auto"/>
        <w:bottom w:val="none" w:sz="0" w:space="0" w:color="auto"/>
        <w:right w:val="none" w:sz="0" w:space="0" w:color="auto"/>
      </w:divBdr>
    </w:div>
    <w:div w:id="523786954">
      <w:bodyDiv w:val="1"/>
      <w:marLeft w:val="0"/>
      <w:marRight w:val="0"/>
      <w:marTop w:val="0"/>
      <w:marBottom w:val="0"/>
      <w:divBdr>
        <w:top w:val="none" w:sz="0" w:space="0" w:color="auto"/>
        <w:left w:val="none" w:sz="0" w:space="0" w:color="auto"/>
        <w:bottom w:val="none" w:sz="0" w:space="0" w:color="auto"/>
        <w:right w:val="none" w:sz="0" w:space="0" w:color="auto"/>
      </w:divBdr>
    </w:div>
    <w:div w:id="561020505">
      <w:bodyDiv w:val="1"/>
      <w:marLeft w:val="0"/>
      <w:marRight w:val="0"/>
      <w:marTop w:val="0"/>
      <w:marBottom w:val="0"/>
      <w:divBdr>
        <w:top w:val="none" w:sz="0" w:space="0" w:color="auto"/>
        <w:left w:val="none" w:sz="0" w:space="0" w:color="auto"/>
        <w:bottom w:val="none" w:sz="0" w:space="0" w:color="auto"/>
        <w:right w:val="none" w:sz="0" w:space="0" w:color="auto"/>
      </w:divBdr>
    </w:div>
    <w:div w:id="711926597">
      <w:bodyDiv w:val="1"/>
      <w:marLeft w:val="0"/>
      <w:marRight w:val="0"/>
      <w:marTop w:val="0"/>
      <w:marBottom w:val="0"/>
      <w:divBdr>
        <w:top w:val="none" w:sz="0" w:space="0" w:color="auto"/>
        <w:left w:val="none" w:sz="0" w:space="0" w:color="auto"/>
        <w:bottom w:val="none" w:sz="0" w:space="0" w:color="auto"/>
        <w:right w:val="none" w:sz="0" w:space="0" w:color="auto"/>
      </w:divBdr>
    </w:div>
    <w:div w:id="853878597">
      <w:bodyDiv w:val="1"/>
      <w:marLeft w:val="0"/>
      <w:marRight w:val="0"/>
      <w:marTop w:val="0"/>
      <w:marBottom w:val="0"/>
      <w:divBdr>
        <w:top w:val="none" w:sz="0" w:space="0" w:color="auto"/>
        <w:left w:val="none" w:sz="0" w:space="0" w:color="auto"/>
        <w:bottom w:val="none" w:sz="0" w:space="0" w:color="auto"/>
        <w:right w:val="none" w:sz="0" w:space="0" w:color="auto"/>
      </w:divBdr>
    </w:div>
    <w:div w:id="903875349">
      <w:bodyDiv w:val="1"/>
      <w:marLeft w:val="0"/>
      <w:marRight w:val="0"/>
      <w:marTop w:val="0"/>
      <w:marBottom w:val="0"/>
      <w:divBdr>
        <w:top w:val="none" w:sz="0" w:space="0" w:color="auto"/>
        <w:left w:val="none" w:sz="0" w:space="0" w:color="auto"/>
        <w:bottom w:val="none" w:sz="0" w:space="0" w:color="auto"/>
        <w:right w:val="none" w:sz="0" w:space="0" w:color="auto"/>
      </w:divBdr>
    </w:div>
    <w:div w:id="1021475362">
      <w:bodyDiv w:val="1"/>
      <w:marLeft w:val="0"/>
      <w:marRight w:val="0"/>
      <w:marTop w:val="0"/>
      <w:marBottom w:val="0"/>
      <w:divBdr>
        <w:top w:val="none" w:sz="0" w:space="0" w:color="auto"/>
        <w:left w:val="none" w:sz="0" w:space="0" w:color="auto"/>
        <w:bottom w:val="none" w:sz="0" w:space="0" w:color="auto"/>
        <w:right w:val="none" w:sz="0" w:space="0" w:color="auto"/>
      </w:divBdr>
    </w:div>
    <w:div w:id="1106120461">
      <w:bodyDiv w:val="1"/>
      <w:marLeft w:val="0"/>
      <w:marRight w:val="0"/>
      <w:marTop w:val="0"/>
      <w:marBottom w:val="0"/>
      <w:divBdr>
        <w:top w:val="none" w:sz="0" w:space="0" w:color="auto"/>
        <w:left w:val="none" w:sz="0" w:space="0" w:color="auto"/>
        <w:bottom w:val="none" w:sz="0" w:space="0" w:color="auto"/>
        <w:right w:val="none" w:sz="0" w:space="0" w:color="auto"/>
      </w:divBdr>
    </w:div>
    <w:div w:id="1161384471">
      <w:bodyDiv w:val="1"/>
      <w:marLeft w:val="0"/>
      <w:marRight w:val="0"/>
      <w:marTop w:val="0"/>
      <w:marBottom w:val="0"/>
      <w:divBdr>
        <w:top w:val="none" w:sz="0" w:space="0" w:color="auto"/>
        <w:left w:val="none" w:sz="0" w:space="0" w:color="auto"/>
        <w:bottom w:val="none" w:sz="0" w:space="0" w:color="auto"/>
        <w:right w:val="none" w:sz="0" w:space="0" w:color="auto"/>
      </w:divBdr>
    </w:div>
    <w:div w:id="1299528752">
      <w:bodyDiv w:val="1"/>
      <w:marLeft w:val="0"/>
      <w:marRight w:val="0"/>
      <w:marTop w:val="0"/>
      <w:marBottom w:val="0"/>
      <w:divBdr>
        <w:top w:val="none" w:sz="0" w:space="0" w:color="auto"/>
        <w:left w:val="none" w:sz="0" w:space="0" w:color="auto"/>
        <w:bottom w:val="none" w:sz="0" w:space="0" w:color="auto"/>
        <w:right w:val="none" w:sz="0" w:space="0" w:color="auto"/>
      </w:divBdr>
    </w:div>
    <w:div w:id="1303847302">
      <w:bodyDiv w:val="1"/>
      <w:marLeft w:val="0"/>
      <w:marRight w:val="0"/>
      <w:marTop w:val="0"/>
      <w:marBottom w:val="0"/>
      <w:divBdr>
        <w:top w:val="none" w:sz="0" w:space="0" w:color="auto"/>
        <w:left w:val="none" w:sz="0" w:space="0" w:color="auto"/>
        <w:bottom w:val="none" w:sz="0" w:space="0" w:color="auto"/>
        <w:right w:val="none" w:sz="0" w:space="0" w:color="auto"/>
      </w:divBdr>
    </w:div>
    <w:div w:id="1315600779">
      <w:bodyDiv w:val="1"/>
      <w:marLeft w:val="0"/>
      <w:marRight w:val="0"/>
      <w:marTop w:val="0"/>
      <w:marBottom w:val="0"/>
      <w:divBdr>
        <w:top w:val="none" w:sz="0" w:space="0" w:color="auto"/>
        <w:left w:val="none" w:sz="0" w:space="0" w:color="auto"/>
        <w:bottom w:val="none" w:sz="0" w:space="0" w:color="auto"/>
        <w:right w:val="none" w:sz="0" w:space="0" w:color="auto"/>
      </w:divBdr>
    </w:div>
    <w:div w:id="1337683684">
      <w:bodyDiv w:val="1"/>
      <w:marLeft w:val="0"/>
      <w:marRight w:val="0"/>
      <w:marTop w:val="0"/>
      <w:marBottom w:val="0"/>
      <w:divBdr>
        <w:top w:val="none" w:sz="0" w:space="0" w:color="auto"/>
        <w:left w:val="none" w:sz="0" w:space="0" w:color="auto"/>
        <w:bottom w:val="none" w:sz="0" w:space="0" w:color="auto"/>
        <w:right w:val="none" w:sz="0" w:space="0" w:color="auto"/>
      </w:divBdr>
    </w:div>
    <w:div w:id="1463815118">
      <w:bodyDiv w:val="1"/>
      <w:marLeft w:val="0"/>
      <w:marRight w:val="0"/>
      <w:marTop w:val="0"/>
      <w:marBottom w:val="0"/>
      <w:divBdr>
        <w:top w:val="none" w:sz="0" w:space="0" w:color="auto"/>
        <w:left w:val="none" w:sz="0" w:space="0" w:color="auto"/>
        <w:bottom w:val="none" w:sz="0" w:space="0" w:color="auto"/>
        <w:right w:val="none" w:sz="0" w:space="0" w:color="auto"/>
      </w:divBdr>
    </w:div>
    <w:div w:id="1754400034">
      <w:bodyDiv w:val="1"/>
      <w:marLeft w:val="0"/>
      <w:marRight w:val="0"/>
      <w:marTop w:val="0"/>
      <w:marBottom w:val="0"/>
      <w:divBdr>
        <w:top w:val="none" w:sz="0" w:space="0" w:color="auto"/>
        <w:left w:val="none" w:sz="0" w:space="0" w:color="auto"/>
        <w:bottom w:val="none" w:sz="0" w:space="0" w:color="auto"/>
        <w:right w:val="none" w:sz="0" w:space="0" w:color="auto"/>
      </w:divBdr>
    </w:div>
    <w:div w:id="1774739580">
      <w:bodyDiv w:val="1"/>
      <w:marLeft w:val="0"/>
      <w:marRight w:val="0"/>
      <w:marTop w:val="0"/>
      <w:marBottom w:val="0"/>
      <w:divBdr>
        <w:top w:val="none" w:sz="0" w:space="0" w:color="auto"/>
        <w:left w:val="none" w:sz="0" w:space="0" w:color="auto"/>
        <w:bottom w:val="none" w:sz="0" w:space="0" w:color="auto"/>
        <w:right w:val="none" w:sz="0" w:space="0" w:color="auto"/>
      </w:divBdr>
    </w:div>
    <w:div w:id="1849561555">
      <w:bodyDiv w:val="1"/>
      <w:marLeft w:val="0"/>
      <w:marRight w:val="0"/>
      <w:marTop w:val="0"/>
      <w:marBottom w:val="0"/>
      <w:divBdr>
        <w:top w:val="none" w:sz="0" w:space="0" w:color="auto"/>
        <w:left w:val="none" w:sz="0" w:space="0" w:color="auto"/>
        <w:bottom w:val="none" w:sz="0" w:space="0" w:color="auto"/>
        <w:right w:val="none" w:sz="0" w:space="0" w:color="auto"/>
      </w:divBdr>
    </w:div>
    <w:div w:id="1974867098">
      <w:bodyDiv w:val="1"/>
      <w:marLeft w:val="0"/>
      <w:marRight w:val="0"/>
      <w:marTop w:val="0"/>
      <w:marBottom w:val="0"/>
      <w:divBdr>
        <w:top w:val="none" w:sz="0" w:space="0" w:color="auto"/>
        <w:left w:val="none" w:sz="0" w:space="0" w:color="auto"/>
        <w:bottom w:val="none" w:sz="0" w:space="0" w:color="auto"/>
        <w:right w:val="none" w:sz="0" w:space="0" w:color="auto"/>
      </w:divBdr>
    </w:div>
    <w:div w:id="212573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TotalTime>
  <Pages>8</Pages>
  <Words>1962</Words>
  <Characters>13110</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2025093227, opdatering af pkt. 4.1, 4.8 og 4.10</dc:description>
  <cp:lastModifiedBy>Gitte Jørgensen</cp:lastModifiedBy>
  <cp:revision>7</cp:revision>
  <cp:lastPrinted>2012-08-22T08:53:00Z</cp:lastPrinted>
  <dcterms:created xsi:type="dcterms:W3CDTF">2025-12-16T11:14:00Z</dcterms:created>
  <dcterms:modified xsi:type="dcterms:W3CDTF">2025-12-16T11:22:00Z</dcterms:modified>
</cp:coreProperties>
</file>