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9C8AA" w14:textId="77777777" w:rsidR="004A3BF4" w:rsidRPr="002734EF" w:rsidRDefault="00056601" w:rsidP="004A3BF4">
      <w:pPr>
        <w:rPr>
          <w:sz w:val="24"/>
          <w:szCs w:val="24"/>
          <w:lang w:val="en-GB"/>
        </w:rPr>
      </w:pPr>
      <w:r w:rsidRPr="002734EF">
        <w:rPr>
          <w:noProof/>
          <w:sz w:val="24"/>
          <w:szCs w:val="24"/>
          <w:lang w:val="en-GB"/>
        </w:rPr>
        <w:drawing>
          <wp:inline distT="0" distB="0" distL="0" distR="0" wp14:anchorId="4558EE38" wp14:editId="7FB7B7ED">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0813E007" w14:textId="77777777" w:rsidR="006B3847" w:rsidRPr="002734EF" w:rsidRDefault="006B3847" w:rsidP="006B3847">
      <w:pPr>
        <w:rPr>
          <w:sz w:val="24"/>
          <w:szCs w:val="24"/>
          <w:lang w:val="en-GB"/>
        </w:rPr>
      </w:pPr>
    </w:p>
    <w:p w14:paraId="7D861DD8" w14:textId="015E9484" w:rsidR="006B3847" w:rsidRPr="002734EF" w:rsidRDefault="006B3847" w:rsidP="006B3847">
      <w:pPr>
        <w:tabs>
          <w:tab w:val="right" w:pos="9356"/>
        </w:tabs>
        <w:rPr>
          <w:b/>
          <w:sz w:val="24"/>
          <w:szCs w:val="24"/>
          <w:lang w:val="en-GB"/>
        </w:rPr>
      </w:pPr>
      <w:r w:rsidRPr="002734EF">
        <w:rPr>
          <w:b/>
          <w:sz w:val="24"/>
          <w:szCs w:val="24"/>
          <w:lang w:val="en-GB"/>
        </w:rPr>
        <w:tab/>
      </w:r>
      <w:r w:rsidR="0086247E">
        <w:rPr>
          <w:b/>
          <w:sz w:val="24"/>
          <w:szCs w:val="24"/>
          <w:lang w:val="en-GB"/>
        </w:rPr>
        <w:t>25 June 2026</w:t>
      </w:r>
    </w:p>
    <w:p w14:paraId="1D33D53E" w14:textId="77777777" w:rsidR="006B3847" w:rsidRPr="002734EF" w:rsidRDefault="006B3847" w:rsidP="006B3847">
      <w:pPr>
        <w:rPr>
          <w:sz w:val="24"/>
          <w:szCs w:val="24"/>
          <w:lang w:val="en-GB"/>
        </w:rPr>
      </w:pPr>
    </w:p>
    <w:p w14:paraId="6888630B" w14:textId="77777777" w:rsidR="007C5D2A" w:rsidRPr="002734EF" w:rsidRDefault="007C5D2A" w:rsidP="007C5D2A">
      <w:pPr>
        <w:rPr>
          <w:sz w:val="24"/>
          <w:szCs w:val="24"/>
          <w:lang w:val="en-GB"/>
        </w:rPr>
      </w:pPr>
    </w:p>
    <w:p w14:paraId="534C8DB0" w14:textId="77777777" w:rsidR="007C5D2A" w:rsidRPr="002734EF" w:rsidRDefault="007C5D2A" w:rsidP="007C5D2A">
      <w:pPr>
        <w:rPr>
          <w:sz w:val="24"/>
          <w:szCs w:val="24"/>
          <w:lang w:val="en-GB"/>
        </w:rPr>
      </w:pPr>
    </w:p>
    <w:p w14:paraId="3AE479F8" w14:textId="77777777" w:rsidR="007C5D2A" w:rsidRPr="002734EF" w:rsidRDefault="007C5D2A" w:rsidP="007C5D2A">
      <w:pPr>
        <w:jc w:val="center"/>
        <w:rPr>
          <w:b/>
          <w:sz w:val="24"/>
          <w:szCs w:val="24"/>
          <w:lang w:val="en-GB"/>
        </w:rPr>
      </w:pPr>
      <w:bookmarkStart w:id="0" w:name="_Hlk49158549"/>
      <w:r w:rsidRPr="002734EF">
        <w:rPr>
          <w:b/>
          <w:sz w:val="24"/>
          <w:szCs w:val="24"/>
          <w:lang w:val="en-GB"/>
        </w:rPr>
        <w:t>SUMMARY OF PRODUCT CHARACTERISTICS</w:t>
      </w:r>
    </w:p>
    <w:bookmarkEnd w:id="0"/>
    <w:p w14:paraId="6A28018C" w14:textId="77777777" w:rsidR="007C5D2A" w:rsidRPr="002734EF" w:rsidRDefault="007C5D2A" w:rsidP="007C5D2A">
      <w:pPr>
        <w:jc w:val="center"/>
        <w:rPr>
          <w:sz w:val="24"/>
          <w:szCs w:val="24"/>
          <w:lang w:val="en-GB"/>
        </w:rPr>
      </w:pPr>
    </w:p>
    <w:p w14:paraId="1BD04BA0" w14:textId="77777777" w:rsidR="007C5D2A" w:rsidRPr="002734EF" w:rsidRDefault="007C5D2A" w:rsidP="007C5D2A">
      <w:pPr>
        <w:jc w:val="center"/>
        <w:rPr>
          <w:b/>
          <w:sz w:val="24"/>
          <w:szCs w:val="24"/>
          <w:lang w:val="en-GB"/>
        </w:rPr>
      </w:pPr>
      <w:r w:rsidRPr="002734EF">
        <w:rPr>
          <w:b/>
          <w:sz w:val="24"/>
          <w:szCs w:val="24"/>
          <w:lang w:val="en-GB"/>
        </w:rPr>
        <w:t>for</w:t>
      </w:r>
    </w:p>
    <w:p w14:paraId="20F204F4" w14:textId="77777777" w:rsidR="007C5D2A" w:rsidRPr="002734EF" w:rsidRDefault="007C5D2A" w:rsidP="007C5D2A">
      <w:pPr>
        <w:jc w:val="center"/>
        <w:rPr>
          <w:sz w:val="24"/>
          <w:szCs w:val="24"/>
          <w:lang w:val="en-GB"/>
        </w:rPr>
      </w:pPr>
    </w:p>
    <w:p w14:paraId="7FB4D795" w14:textId="1374BED0" w:rsidR="007C5D2A" w:rsidRPr="002734EF" w:rsidRDefault="00DC5F3B" w:rsidP="007C5D2A">
      <w:pPr>
        <w:jc w:val="center"/>
        <w:rPr>
          <w:b/>
          <w:sz w:val="24"/>
          <w:szCs w:val="24"/>
          <w:lang w:val="en-GB"/>
        </w:rPr>
      </w:pPr>
      <w:proofErr w:type="spellStart"/>
      <w:r w:rsidRPr="002734EF">
        <w:rPr>
          <w:b/>
          <w:sz w:val="24"/>
          <w:szCs w:val="24"/>
          <w:lang w:val="en-GB"/>
        </w:rPr>
        <w:t>Otrafexi</w:t>
      </w:r>
      <w:proofErr w:type="spellEnd"/>
      <w:r w:rsidRPr="002734EF">
        <w:rPr>
          <w:b/>
          <w:sz w:val="24"/>
          <w:szCs w:val="24"/>
          <w:lang w:val="en-GB"/>
        </w:rPr>
        <w:t>, film-coated tablets</w:t>
      </w:r>
    </w:p>
    <w:p w14:paraId="57BF7241" w14:textId="77777777" w:rsidR="007C5D2A" w:rsidRPr="002734EF" w:rsidRDefault="007C5D2A" w:rsidP="007C5D2A">
      <w:pPr>
        <w:jc w:val="both"/>
        <w:rPr>
          <w:sz w:val="24"/>
          <w:szCs w:val="24"/>
          <w:lang w:val="en-GB"/>
        </w:rPr>
      </w:pPr>
    </w:p>
    <w:p w14:paraId="668EFCA8" w14:textId="77777777" w:rsidR="0042292D" w:rsidRPr="002734EF" w:rsidRDefault="0042292D" w:rsidP="007C5D2A">
      <w:pPr>
        <w:jc w:val="both"/>
        <w:rPr>
          <w:sz w:val="24"/>
          <w:szCs w:val="24"/>
          <w:lang w:val="en-GB"/>
        </w:rPr>
      </w:pPr>
    </w:p>
    <w:p w14:paraId="167F9918" w14:textId="77777777" w:rsidR="008F2F8C" w:rsidRPr="002734EF" w:rsidRDefault="008F2F8C" w:rsidP="008F2F8C">
      <w:pPr>
        <w:tabs>
          <w:tab w:val="left" w:pos="8222"/>
        </w:tabs>
        <w:ind w:left="851" w:hanging="851"/>
        <w:rPr>
          <w:b/>
          <w:sz w:val="24"/>
          <w:szCs w:val="24"/>
          <w:lang w:val="en-GB"/>
        </w:rPr>
      </w:pPr>
      <w:r w:rsidRPr="002734EF">
        <w:rPr>
          <w:b/>
          <w:sz w:val="24"/>
          <w:szCs w:val="24"/>
          <w:lang w:val="en-GB"/>
        </w:rPr>
        <w:t>0.</w:t>
      </w:r>
      <w:r w:rsidRPr="002734EF">
        <w:rPr>
          <w:b/>
          <w:sz w:val="24"/>
          <w:szCs w:val="24"/>
          <w:lang w:val="en-GB"/>
        </w:rPr>
        <w:tab/>
      </w:r>
      <w:proofErr w:type="gramStart"/>
      <w:r w:rsidRPr="002734EF">
        <w:rPr>
          <w:b/>
          <w:sz w:val="24"/>
          <w:szCs w:val="24"/>
          <w:lang w:val="en-GB"/>
        </w:rPr>
        <w:t>D.SP.NO</w:t>
      </w:r>
      <w:proofErr w:type="gramEnd"/>
      <w:r w:rsidRPr="002734EF">
        <w:rPr>
          <w:b/>
          <w:sz w:val="24"/>
          <w:szCs w:val="24"/>
          <w:lang w:val="en-GB"/>
        </w:rPr>
        <w:t>.</w:t>
      </w:r>
    </w:p>
    <w:p w14:paraId="3820DBF3" w14:textId="65BEFEA2" w:rsidR="008F2F8C" w:rsidRPr="002734EF" w:rsidRDefault="00DC5F3B" w:rsidP="008F2F8C">
      <w:pPr>
        <w:tabs>
          <w:tab w:val="left" w:pos="8222"/>
        </w:tabs>
        <w:ind w:left="851"/>
        <w:rPr>
          <w:sz w:val="24"/>
          <w:szCs w:val="24"/>
          <w:lang w:val="en-GB"/>
        </w:rPr>
      </w:pPr>
      <w:r w:rsidRPr="002734EF">
        <w:rPr>
          <w:sz w:val="24"/>
          <w:szCs w:val="24"/>
          <w:lang w:val="en-GB"/>
        </w:rPr>
        <w:t>34348</w:t>
      </w:r>
    </w:p>
    <w:p w14:paraId="5FA2D5E3" w14:textId="77777777" w:rsidR="007C5D2A" w:rsidRPr="002734EF" w:rsidRDefault="007C5D2A" w:rsidP="007C5D2A">
      <w:pPr>
        <w:tabs>
          <w:tab w:val="left" w:pos="851"/>
        </w:tabs>
        <w:jc w:val="both"/>
        <w:rPr>
          <w:sz w:val="24"/>
          <w:szCs w:val="24"/>
          <w:lang w:val="en-GB"/>
        </w:rPr>
      </w:pPr>
    </w:p>
    <w:p w14:paraId="04F452CA" w14:textId="77777777" w:rsidR="007C5D2A" w:rsidRPr="002734EF" w:rsidRDefault="009925C9" w:rsidP="007C5D2A">
      <w:pPr>
        <w:tabs>
          <w:tab w:val="left" w:pos="851"/>
        </w:tabs>
        <w:ind w:left="851" w:hanging="851"/>
        <w:rPr>
          <w:sz w:val="24"/>
          <w:szCs w:val="24"/>
          <w:lang w:val="en-GB"/>
        </w:rPr>
      </w:pPr>
      <w:r w:rsidRPr="002734EF">
        <w:rPr>
          <w:b/>
          <w:sz w:val="24"/>
          <w:szCs w:val="24"/>
          <w:lang w:val="en-GB"/>
        </w:rPr>
        <w:t>1.</w:t>
      </w:r>
      <w:r w:rsidR="007C5D2A" w:rsidRPr="002734EF">
        <w:rPr>
          <w:b/>
          <w:sz w:val="24"/>
          <w:szCs w:val="24"/>
          <w:lang w:val="en-GB"/>
        </w:rPr>
        <w:tab/>
        <w:t>NAME OF THE MEDICINAL PRODUCT</w:t>
      </w:r>
    </w:p>
    <w:p w14:paraId="2C18C362" w14:textId="249F3ABC" w:rsidR="007C5D2A" w:rsidRPr="002734EF" w:rsidRDefault="00DC5F3B" w:rsidP="004A3BF4">
      <w:pPr>
        <w:tabs>
          <w:tab w:val="left" w:pos="851"/>
        </w:tabs>
        <w:ind w:left="851"/>
        <w:rPr>
          <w:sz w:val="24"/>
          <w:szCs w:val="24"/>
          <w:lang w:val="en-GB"/>
        </w:rPr>
      </w:pPr>
      <w:proofErr w:type="spellStart"/>
      <w:r w:rsidRPr="002734EF">
        <w:rPr>
          <w:sz w:val="24"/>
          <w:szCs w:val="24"/>
          <w:lang w:val="en-GB"/>
        </w:rPr>
        <w:t>Otrafexi</w:t>
      </w:r>
      <w:proofErr w:type="spellEnd"/>
    </w:p>
    <w:p w14:paraId="4D0C62B0" w14:textId="77777777" w:rsidR="007C5D2A" w:rsidRPr="002734EF" w:rsidRDefault="007C5D2A" w:rsidP="004A3BF4">
      <w:pPr>
        <w:tabs>
          <w:tab w:val="left" w:pos="851"/>
        </w:tabs>
        <w:ind w:left="851"/>
        <w:rPr>
          <w:sz w:val="24"/>
          <w:szCs w:val="24"/>
          <w:lang w:val="en-GB"/>
        </w:rPr>
      </w:pPr>
    </w:p>
    <w:p w14:paraId="6F32DCD7" w14:textId="77777777" w:rsidR="007C5D2A" w:rsidRPr="002734EF" w:rsidRDefault="009925C9" w:rsidP="007C5D2A">
      <w:pPr>
        <w:ind w:left="851" w:hanging="851"/>
        <w:rPr>
          <w:b/>
          <w:sz w:val="24"/>
          <w:szCs w:val="24"/>
          <w:lang w:val="en-GB"/>
        </w:rPr>
      </w:pPr>
      <w:r w:rsidRPr="002734EF">
        <w:rPr>
          <w:b/>
          <w:sz w:val="24"/>
          <w:szCs w:val="24"/>
          <w:lang w:val="en-GB"/>
        </w:rPr>
        <w:t>2.</w:t>
      </w:r>
      <w:r w:rsidR="007C5D2A" w:rsidRPr="002734EF">
        <w:rPr>
          <w:b/>
          <w:sz w:val="24"/>
          <w:szCs w:val="24"/>
          <w:lang w:val="en-GB"/>
        </w:rPr>
        <w:tab/>
        <w:t>QUALITATIVE AND QUANTITATIVE COMPOSITION</w:t>
      </w:r>
    </w:p>
    <w:p w14:paraId="4FA63F34" w14:textId="4915E686" w:rsidR="00D42494" w:rsidRPr="00D42494" w:rsidRDefault="00D42494" w:rsidP="00AF5C49">
      <w:pPr>
        <w:ind w:left="851"/>
        <w:rPr>
          <w:bCs/>
          <w:iCs/>
          <w:sz w:val="24"/>
          <w:szCs w:val="24"/>
          <w:lang w:val="en-US"/>
        </w:rPr>
      </w:pPr>
      <w:r w:rsidRPr="00D42494">
        <w:rPr>
          <w:sz w:val="24"/>
          <w:szCs w:val="24"/>
          <w:lang w:val="en-US"/>
        </w:rPr>
        <w:t xml:space="preserve">Each film-coated tablet contains </w:t>
      </w:r>
      <w:r w:rsidRPr="00D42494">
        <w:rPr>
          <w:bCs/>
          <w:sz w:val="24"/>
          <w:szCs w:val="24"/>
          <w:lang w:val="en-US"/>
        </w:rPr>
        <w:t>120 mg of fexofenadine hydrochloride, equivalent to 112</w:t>
      </w:r>
      <w:r w:rsidR="002734EF">
        <w:rPr>
          <w:bCs/>
          <w:sz w:val="24"/>
          <w:szCs w:val="24"/>
          <w:lang w:val="en-US"/>
        </w:rPr>
        <w:t> </w:t>
      </w:r>
      <w:r w:rsidRPr="00D42494">
        <w:rPr>
          <w:bCs/>
          <w:sz w:val="24"/>
          <w:szCs w:val="24"/>
          <w:lang w:val="en-US"/>
        </w:rPr>
        <w:t>mg of fexofenadine.</w:t>
      </w:r>
    </w:p>
    <w:p w14:paraId="37D391C5" w14:textId="77777777" w:rsidR="00D42494" w:rsidRPr="00D42494" w:rsidRDefault="00D42494" w:rsidP="00AF5C49">
      <w:pPr>
        <w:ind w:left="851"/>
        <w:rPr>
          <w:sz w:val="24"/>
          <w:szCs w:val="24"/>
          <w:lang w:val="en-US"/>
        </w:rPr>
      </w:pPr>
    </w:p>
    <w:p w14:paraId="4A8C1147" w14:textId="6E96F451" w:rsidR="00D42494" w:rsidRPr="00D42494" w:rsidRDefault="00D42494" w:rsidP="00AF5C49">
      <w:pPr>
        <w:ind w:left="851"/>
        <w:rPr>
          <w:sz w:val="24"/>
          <w:szCs w:val="24"/>
          <w:lang w:val="en-US"/>
        </w:rPr>
      </w:pPr>
      <w:r w:rsidRPr="00D42494">
        <w:rPr>
          <w:sz w:val="24"/>
          <w:szCs w:val="24"/>
          <w:lang w:val="en-US"/>
        </w:rPr>
        <w:t>For the full list of excipients, see section 6.1.</w:t>
      </w:r>
    </w:p>
    <w:p w14:paraId="2ED7CBF7" w14:textId="77777777" w:rsidR="007C5D2A" w:rsidRPr="002734EF" w:rsidRDefault="007C5D2A" w:rsidP="004A3BF4">
      <w:pPr>
        <w:tabs>
          <w:tab w:val="left" w:pos="851"/>
        </w:tabs>
        <w:ind w:left="851"/>
        <w:rPr>
          <w:sz w:val="24"/>
          <w:szCs w:val="24"/>
          <w:lang w:val="en-US"/>
        </w:rPr>
      </w:pPr>
    </w:p>
    <w:p w14:paraId="27B89EE5" w14:textId="77777777" w:rsidR="007C5D2A" w:rsidRPr="002734EF" w:rsidRDefault="007C5D2A" w:rsidP="007C5D2A">
      <w:pPr>
        <w:tabs>
          <w:tab w:val="left" w:pos="851"/>
        </w:tabs>
        <w:ind w:left="851" w:hanging="851"/>
        <w:rPr>
          <w:b/>
          <w:sz w:val="24"/>
          <w:szCs w:val="24"/>
          <w:lang w:val="en-GB"/>
        </w:rPr>
      </w:pPr>
      <w:r w:rsidRPr="002734EF">
        <w:rPr>
          <w:b/>
          <w:sz w:val="24"/>
          <w:szCs w:val="24"/>
          <w:lang w:val="en-GB"/>
        </w:rPr>
        <w:t>3.</w:t>
      </w:r>
      <w:r w:rsidRPr="002734EF">
        <w:rPr>
          <w:b/>
          <w:sz w:val="24"/>
          <w:szCs w:val="24"/>
          <w:lang w:val="en-GB"/>
        </w:rPr>
        <w:tab/>
        <w:t>PHARMACEUTICAL FORM</w:t>
      </w:r>
    </w:p>
    <w:p w14:paraId="1EA1F74C" w14:textId="00C081A3" w:rsidR="00D42494" w:rsidRPr="00D42494" w:rsidRDefault="00D42494" w:rsidP="00AF5C49">
      <w:pPr>
        <w:ind w:left="851"/>
        <w:rPr>
          <w:sz w:val="24"/>
          <w:szCs w:val="24"/>
          <w:lang w:val="en-US"/>
        </w:rPr>
      </w:pPr>
      <w:r w:rsidRPr="00D42494">
        <w:rPr>
          <w:sz w:val="24"/>
          <w:szCs w:val="24"/>
          <w:lang w:val="en-US"/>
        </w:rPr>
        <w:t>Film coated tablet</w:t>
      </w:r>
      <w:r w:rsidR="00AF5C49" w:rsidRPr="002734EF">
        <w:rPr>
          <w:sz w:val="24"/>
          <w:szCs w:val="24"/>
          <w:lang w:val="en-US"/>
        </w:rPr>
        <w:t>s</w:t>
      </w:r>
    </w:p>
    <w:p w14:paraId="4698D874" w14:textId="77777777" w:rsidR="00D42494" w:rsidRPr="00D42494" w:rsidRDefault="00D42494" w:rsidP="00AF5C49">
      <w:pPr>
        <w:ind w:left="851"/>
        <w:rPr>
          <w:sz w:val="24"/>
          <w:szCs w:val="24"/>
          <w:lang w:val="en-US"/>
        </w:rPr>
      </w:pPr>
    </w:p>
    <w:p w14:paraId="70B4BCAB" w14:textId="7439F6DF" w:rsidR="00D42494" w:rsidRPr="00D42494" w:rsidRDefault="00D42494" w:rsidP="00AF5C49">
      <w:pPr>
        <w:ind w:left="851"/>
        <w:rPr>
          <w:sz w:val="24"/>
          <w:szCs w:val="24"/>
          <w:lang w:val="en-US"/>
        </w:rPr>
      </w:pPr>
      <w:r w:rsidRPr="00D42494">
        <w:rPr>
          <w:sz w:val="24"/>
          <w:szCs w:val="24"/>
          <w:lang w:val="en-US"/>
        </w:rPr>
        <w:t>Peach-</w:t>
      </w:r>
      <w:proofErr w:type="spellStart"/>
      <w:r w:rsidRPr="00D42494">
        <w:rPr>
          <w:sz w:val="24"/>
          <w:szCs w:val="24"/>
          <w:lang w:val="en-US"/>
        </w:rPr>
        <w:t>coloured</w:t>
      </w:r>
      <w:proofErr w:type="spellEnd"/>
      <w:r w:rsidRPr="00D42494">
        <w:rPr>
          <w:sz w:val="24"/>
          <w:szCs w:val="24"/>
          <w:lang w:val="en-US"/>
        </w:rPr>
        <w:t>, oblong, biconvex (15.3 mm in length and 6.8 mm in width) film-coated tablet.</w:t>
      </w:r>
    </w:p>
    <w:p w14:paraId="56D4181E" w14:textId="77777777" w:rsidR="007C5D2A" w:rsidRPr="002734EF" w:rsidRDefault="007C5D2A" w:rsidP="004A3BF4">
      <w:pPr>
        <w:tabs>
          <w:tab w:val="left" w:pos="851"/>
        </w:tabs>
        <w:ind w:left="851"/>
        <w:rPr>
          <w:sz w:val="24"/>
          <w:szCs w:val="24"/>
          <w:lang w:val="en-US"/>
        </w:rPr>
      </w:pPr>
    </w:p>
    <w:p w14:paraId="21AE10BD" w14:textId="77777777" w:rsidR="007C5D2A" w:rsidRPr="002734EF" w:rsidRDefault="007C5D2A" w:rsidP="004A3BF4">
      <w:pPr>
        <w:tabs>
          <w:tab w:val="left" w:pos="851"/>
        </w:tabs>
        <w:ind w:left="851"/>
        <w:rPr>
          <w:sz w:val="24"/>
          <w:szCs w:val="24"/>
          <w:lang w:val="en-GB"/>
        </w:rPr>
      </w:pPr>
    </w:p>
    <w:p w14:paraId="2DC4F455" w14:textId="77777777" w:rsidR="007C5D2A" w:rsidRPr="002734EF" w:rsidRDefault="007C5D2A" w:rsidP="007C5D2A">
      <w:pPr>
        <w:ind w:left="851" w:hanging="851"/>
        <w:rPr>
          <w:b/>
          <w:sz w:val="24"/>
          <w:szCs w:val="24"/>
          <w:lang w:val="en-GB"/>
        </w:rPr>
      </w:pPr>
      <w:r w:rsidRPr="002734EF">
        <w:rPr>
          <w:b/>
          <w:sz w:val="24"/>
          <w:szCs w:val="24"/>
          <w:lang w:val="en-GB"/>
        </w:rPr>
        <w:t>4.</w:t>
      </w:r>
      <w:r w:rsidRPr="002734EF">
        <w:rPr>
          <w:b/>
          <w:sz w:val="24"/>
          <w:szCs w:val="24"/>
          <w:lang w:val="en-GB"/>
        </w:rPr>
        <w:tab/>
        <w:t>CLINICAL PARTICULARS</w:t>
      </w:r>
    </w:p>
    <w:p w14:paraId="77DE3A44" w14:textId="77777777" w:rsidR="007C5D2A" w:rsidRPr="002734EF" w:rsidRDefault="007C5D2A" w:rsidP="004A3BF4">
      <w:pPr>
        <w:tabs>
          <w:tab w:val="left" w:pos="851"/>
        </w:tabs>
        <w:ind w:left="851"/>
        <w:rPr>
          <w:sz w:val="24"/>
          <w:szCs w:val="24"/>
          <w:lang w:val="en-GB"/>
        </w:rPr>
      </w:pPr>
    </w:p>
    <w:p w14:paraId="236E374B" w14:textId="77777777" w:rsidR="007C5D2A" w:rsidRPr="002734EF" w:rsidRDefault="007C5D2A" w:rsidP="007C5D2A">
      <w:pPr>
        <w:ind w:left="851" w:hanging="851"/>
        <w:rPr>
          <w:b/>
          <w:sz w:val="24"/>
          <w:szCs w:val="24"/>
          <w:u w:val="single"/>
          <w:lang w:val="en-GB"/>
        </w:rPr>
      </w:pPr>
      <w:r w:rsidRPr="002734EF">
        <w:rPr>
          <w:b/>
          <w:sz w:val="24"/>
          <w:szCs w:val="24"/>
          <w:lang w:val="en-GB"/>
        </w:rPr>
        <w:t>4.1</w:t>
      </w:r>
      <w:r w:rsidRPr="002734EF">
        <w:rPr>
          <w:b/>
          <w:sz w:val="24"/>
          <w:szCs w:val="24"/>
          <w:lang w:val="en-GB"/>
        </w:rPr>
        <w:tab/>
        <w:t>Therapeutic indications</w:t>
      </w:r>
    </w:p>
    <w:p w14:paraId="3D423FFA" w14:textId="3D424CFA" w:rsidR="007C5D2A" w:rsidRPr="002734EF" w:rsidRDefault="002734EF" w:rsidP="00AF5C49">
      <w:pPr>
        <w:ind w:left="851"/>
        <w:rPr>
          <w:sz w:val="24"/>
          <w:szCs w:val="24"/>
          <w:lang w:val="en-US"/>
        </w:rPr>
      </w:pPr>
      <w:proofErr w:type="spellStart"/>
      <w:r>
        <w:rPr>
          <w:sz w:val="24"/>
          <w:szCs w:val="24"/>
          <w:lang w:val="en-US"/>
        </w:rPr>
        <w:t>Otrafexi</w:t>
      </w:r>
      <w:proofErr w:type="spellEnd"/>
      <w:r w:rsidR="00D42494" w:rsidRPr="00D42494">
        <w:rPr>
          <w:sz w:val="24"/>
          <w:szCs w:val="24"/>
          <w:lang w:val="en-US"/>
        </w:rPr>
        <w:t xml:space="preserve"> is indicated in adults and children aged 12 years and above for the relief of symptoms associated with allergic rhinitis.</w:t>
      </w:r>
      <w:r w:rsidR="00D42494" w:rsidRPr="00D42494">
        <w:rPr>
          <w:sz w:val="24"/>
          <w:szCs w:val="24"/>
          <w:lang w:val="en-US"/>
        </w:rPr>
        <w:br/>
      </w:r>
    </w:p>
    <w:p w14:paraId="319D3AB4" w14:textId="77777777" w:rsidR="007C5D2A" w:rsidRPr="002734EF" w:rsidRDefault="009925C9" w:rsidP="007C5D2A">
      <w:pPr>
        <w:tabs>
          <w:tab w:val="left" w:pos="851"/>
        </w:tabs>
        <w:ind w:left="851" w:hanging="851"/>
        <w:rPr>
          <w:sz w:val="24"/>
          <w:szCs w:val="24"/>
          <w:lang w:val="en-GB"/>
        </w:rPr>
      </w:pPr>
      <w:r w:rsidRPr="002734EF">
        <w:rPr>
          <w:b/>
          <w:sz w:val="24"/>
          <w:szCs w:val="24"/>
          <w:lang w:val="en-GB"/>
        </w:rPr>
        <w:t>4.2</w:t>
      </w:r>
      <w:r w:rsidR="007C5D2A" w:rsidRPr="002734EF">
        <w:rPr>
          <w:b/>
          <w:sz w:val="24"/>
          <w:szCs w:val="24"/>
          <w:lang w:val="en-GB"/>
        </w:rPr>
        <w:tab/>
        <w:t>Posology and method of administration</w:t>
      </w:r>
    </w:p>
    <w:p w14:paraId="6E8B4723" w14:textId="77777777" w:rsidR="002750B6" w:rsidRPr="002750B6" w:rsidRDefault="002750B6" w:rsidP="002750B6">
      <w:pPr>
        <w:tabs>
          <w:tab w:val="left" w:pos="851"/>
        </w:tabs>
        <w:ind w:left="851"/>
        <w:rPr>
          <w:bCs/>
          <w:sz w:val="24"/>
          <w:szCs w:val="24"/>
          <w:lang w:val="en-US"/>
        </w:rPr>
      </w:pPr>
    </w:p>
    <w:p w14:paraId="70350C76" w14:textId="77777777" w:rsidR="002750B6" w:rsidRPr="002750B6" w:rsidRDefault="002750B6" w:rsidP="00AF5C49">
      <w:pPr>
        <w:ind w:left="851"/>
        <w:rPr>
          <w:sz w:val="24"/>
          <w:szCs w:val="24"/>
          <w:u w:val="single"/>
          <w:lang w:val="en-US"/>
        </w:rPr>
      </w:pPr>
      <w:r w:rsidRPr="002750B6">
        <w:rPr>
          <w:sz w:val="24"/>
          <w:szCs w:val="24"/>
          <w:u w:val="single"/>
          <w:lang w:val="en-US"/>
        </w:rPr>
        <w:t>Posology</w:t>
      </w:r>
    </w:p>
    <w:p w14:paraId="3E2C09B9" w14:textId="77777777" w:rsidR="002750B6" w:rsidRPr="002750B6" w:rsidRDefault="002750B6" w:rsidP="00AF5C49">
      <w:pPr>
        <w:ind w:left="851"/>
        <w:rPr>
          <w:sz w:val="24"/>
          <w:szCs w:val="24"/>
          <w:u w:val="single"/>
          <w:lang w:val="en-US"/>
        </w:rPr>
      </w:pPr>
    </w:p>
    <w:p w14:paraId="3A7DC59D" w14:textId="77777777" w:rsidR="002750B6" w:rsidRPr="002750B6" w:rsidRDefault="002750B6" w:rsidP="00AF5C49">
      <w:pPr>
        <w:ind w:left="851"/>
        <w:rPr>
          <w:i/>
          <w:sz w:val="24"/>
          <w:szCs w:val="24"/>
          <w:u w:val="single"/>
          <w:lang w:val="en-US"/>
        </w:rPr>
      </w:pPr>
      <w:r w:rsidRPr="002750B6">
        <w:rPr>
          <w:i/>
          <w:sz w:val="24"/>
          <w:szCs w:val="24"/>
          <w:u w:val="single"/>
          <w:lang w:val="en-US"/>
        </w:rPr>
        <w:t>Adults</w:t>
      </w:r>
    </w:p>
    <w:p w14:paraId="0612F5D9" w14:textId="77777777" w:rsidR="002750B6" w:rsidRPr="002750B6" w:rsidRDefault="002750B6" w:rsidP="00AF5C49">
      <w:pPr>
        <w:ind w:left="851"/>
        <w:rPr>
          <w:sz w:val="24"/>
          <w:szCs w:val="24"/>
          <w:lang w:val="en-US"/>
        </w:rPr>
      </w:pPr>
      <w:r w:rsidRPr="002750B6">
        <w:rPr>
          <w:sz w:val="24"/>
          <w:szCs w:val="24"/>
          <w:lang w:val="en-US"/>
        </w:rPr>
        <w:t>The recommended dose of fexofenadine hydrochloride for adults is 120 mg once daily taken before a meal.</w:t>
      </w:r>
    </w:p>
    <w:p w14:paraId="206E4932" w14:textId="77777777" w:rsidR="002750B6" w:rsidRPr="002750B6" w:rsidRDefault="002750B6" w:rsidP="00AF5C49">
      <w:pPr>
        <w:ind w:left="851"/>
        <w:rPr>
          <w:sz w:val="24"/>
          <w:szCs w:val="24"/>
          <w:lang w:val="en-US"/>
        </w:rPr>
      </w:pPr>
    </w:p>
    <w:p w14:paraId="41FAC1F4" w14:textId="77777777" w:rsidR="002750B6" w:rsidRPr="002750B6" w:rsidRDefault="002750B6" w:rsidP="00AF5C49">
      <w:pPr>
        <w:ind w:left="851"/>
        <w:rPr>
          <w:sz w:val="24"/>
          <w:szCs w:val="24"/>
          <w:lang w:val="en-US"/>
        </w:rPr>
      </w:pPr>
      <w:r w:rsidRPr="002750B6">
        <w:rPr>
          <w:sz w:val="24"/>
          <w:szCs w:val="24"/>
          <w:lang w:val="en-US"/>
        </w:rPr>
        <w:t>Fexofenadine is a pharmacologically active metabolite of terfenadine.</w:t>
      </w:r>
    </w:p>
    <w:p w14:paraId="4BEF8FB9" w14:textId="77777777" w:rsidR="002750B6" w:rsidRPr="002750B6" w:rsidRDefault="002750B6" w:rsidP="00AF5C49">
      <w:pPr>
        <w:ind w:left="851"/>
        <w:rPr>
          <w:sz w:val="24"/>
          <w:szCs w:val="24"/>
          <w:u w:val="single"/>
          <w:lang w:val="en-US"/>
        </w:rPr>
      </w:pPr>
    </w:p>
    <w:p w14:paraId="40697D21" w14:textId="77777777" w:rsidR="002750B6" w:rsidRPr="002750B6" w:rsidRDefault="002750B6" w:rsidP="00AF5C49">
      <w:pPr>
        <w:ind w:left="851"/>
        <w:rPr>
          <w:i/>
          <w:iCs/>
          <w:sz w:val="24"/>
          <w:szCs w:val="24"/>
          <w:u w:val="single"/>
          <w:lang w:val="en-US"/>
        </w:rPr>
      </w:pPr>
      <w:proofErr w:type="spellStart"/>
      <w:r w:rsidRPr="002750B6">
        <w:rPr>
          <w:i/>
          <w:iCs/>
          <w:sz w:val="24"/>
          <w:szCs w:val="24"/>
          <w:u w:val="single"/>
          <w:lang w:val="en-US"/>
        </w:rPr>
        <w:lastRenderedPageBreak/>
        <w:t>Paedriatric</w:t>
      </w:r>
      <w:proofErr w:type="spellEnd"/>
      <w:r w:rsidRPr="002750B6">
        <w:rPr>
          <w:i/>
          <w:iCs/>
          <w:sz w:val="24"/>
          <w:szCs w:val="24"/>
          <w:u w:val="single"/>
          <w:lang w:val="en-US"/>
        </w:rPr>
        <w:t xml:space="preserve"> population</w:t>
      </w:r>
    </w:p>
    <w:p w14:paraId="29F23B6C" w14:textId="77777777" w:rsidR="002750B6" w:rsidRPr="002750B6" w:rsidRDefault="002750B6" w:rsidP="00AF5C49">
      <w:pPr>
        <w:ind w:left="851"/>
        <w:rPr>
          <w:sz w:val="24"/>
          <w:szCs w:val="24"/>
          <w:u w:val="single"/>
          <w:lang w:val="en-US"/>
        </w:rPr>
      </w:pPr>
    </w:p>
    <w:p w14:paraId="4CDE6F4E" w14:textId="70AFD168" w:rsidR="002750B6" w:rsidRPr="002750B6" w:rsidRDefault="002750B6" w:rsidP="00AF5C49">
      <w:pPr>
        <w:ind w:left="851"/>
        <w:rPr>
          <w:sz w:val="24"/>
          <w:szCs w:val="24"/>
          <w:lang w:val="en-US"/>
        </w:rPr>
      </w:pPr>
      <w:r w:rsidRPr="002750B6">
        <w:rPr>
          <w:sz w:val="24"/>
          <w:szCs w:val="24"/>
          <w:lang w:val="en-US"/>
        </w:rPr>
        <w:t>Children aged 12 and over:</w:t>
      </w:r>
    </w:p>
    <w:p w14:paraId="0C60F1B5" w14:textId="77777777" w:rsidR="002750B6" w:rsidRPr="002750B6" w:rsidRDefault="002750B6" w:rsidP="00AF5C49">
      <w:pPr>
        <w:ind w:left="851"/>
        <w:rPr>
          <w:sz w:val="24"/>
          <w:szCs w:val="24"/>
          <w:lang w:val="en-US"/>
        </w:rPr>
      </w:pPr>
      <w:r w:rsidRPr="002750B6">
        <w:rPr>
          <w:sz w:val="24"/>
          <w:szCs w:val="24"/>
          <w:lang w:val="en-US"/>
        </w:rPr>
        <w:t>The recommended dose of fexofenadine hydrochloride for children aged 12 years and above is 120 mg once daily taken before a meal.</w:t>
      </w:r>
    </w:p>
    <w:p w14:paraId="7E257595" w14:textId="77777777" w:rsidR="002750B6" w:rsidRPr="002750B6" w:rsidRDefault="002750B6" w:rsidP="00AF5C49">
      <w:pPr>
        <w:ind w:left="851"/>
        <w:rPr>
          <w:sz w:val="24"/>
          <w:szCs w:val="24"/>
          <w:lang w:val="en-US"/>
        </w:rPr>
      </w:pPr>
    </w:p>
    <w:p w14:paraId="7E1CC43E" w14:textId="240181A3" w:rsidR="002750B6" w:rsidRPr="002750B6" w:rsidRDefault="002750B6" w:rsidP="00AF5C49">
      <w:pPr>
        <w:ind w:left="851"/>
        <w:rPr>
          <w:sz w:val="24"/>
          <w:szCs w:val="24"/>
          <w:lang w:val="en-US"/>
        </w:rPr>
      </w:pPr>
      <w:r w:rsidRPr="002750B6">
        <w:rPr>
          <w:sz w:val="24"/>
          <w:szCs w:val="24"/>
          <w:lang w:val="en-US"/>
        </w:rPr>
        <w:t>Children under 12 years of age:</w:t>
      </w:r>
    </w:p>
    <w:p w14:paraId="30A18D1D" w14:textId="77777777" w:rsidR="002750B6" w:rsidRPr="002750B6" w:rsidRDefault="002750B6" w:rsidP="00AF5C49">
      <w:pPr>
        <w:ind w:left="851"/>
        <w:rPr>
          <w:sz w:val="24"/>
          <w:szCs w:val="24"/>
          <w:lang w:val="en-US"/>
        </w:rPr>
      </w:pPr>
      <w:r w:rsidRPr="002750B6">
        <w:rPr>
          <w:sz w:val="24"/>
          <w:szCs w:val="24"/>
          <w:lang w:val="en-US"/>
        </w:rPr>
        <w:t xml:space="preserve">The safety and efficacy of fexofenadine hydrochloride 120 mg have not been studied in children under 12 years of age. </w:t>
      </w:r>
    </w:p>
    <w:p w14:paraId="40AF5E7D" w14:textId="77777777" w:rsidR="002750B6" w:rsidRPr="002750B6" w:rsidRDefault="002750B6" w:rsidP="00AF5C49">
      <w:pPr>
        <w:ind w:left="851"/>
        <w:rPr>
          <w:sz w:val="24"/>
          <w:szCs w:val="24"/>
          <w:u w:val="single"/>
          <w:lang w:val="en-US"/>
        </w:rPr>
      </w:pPr>
    </w:p>
    <w:p w14:paraId="22C8A9CB" w14:textId="77777777" w:rsidR="002750B6" w:rsidRPr="002750B6" w:rsidRDefault="002750B6" w:rsidP="00AF5C49">
      <w:pPr>
        <w:ind w:left="851"/>
        <w:rPr>
          <w:i/>
          <w:iCs/>
          <w:sz w:val="24"/>
          <w:szCs w:val="24"/>
          <w:u w:val="single"/>
          <w:lang w:val="en-US"/>
        </w:rPr>
      </w:pPr>
      <w:r w:rsidRPr="002750B6">
        <w:rPr>
          <w:i/>
          <w:iCs/>
          <w:sz w:val="24"/>
          <w:szCs w:val="24"/>
          <w:u w:val="single"/>
          <w:lang w:val="en-US"/>
        </w:rPr>
        <w:t>Special populations</w:t>
      </w:r>
    </w:p>
    <w:p w14:paraId="0726960F" w14:textId="77777777" w:rsidR="002750B6" w:rsidRPr="002750B6" w:rsidRDefault="002750B6" w:rsidP="00AF5C49">
      <w:pPr>
        <w:ind w:left="851"/>
        <w:rPr>
          <w:sz w:val="24"/>
          <w:szCs w:val="24"/>
          <w:lang w:val="en-US"/>
        </w:rPr>
      </w:pPr>
      <w:r w:rsidRPr="002750B6">
        <w:rPr>
          <w:sz w:val="24"/>
          <w:szCs w:val="24"/>
          <w:lang w:val="en-US"/>
        </w:rPr>
        <w:t xml:space="preserve">Studies conducted in special risk groups (elderly and patients with renal or hepatic impairment) have shown that no dose adjustment of fexofenadine </w:t>
      </w:r>
      <w:r w:rsidRPr="002750B6">
        <w:rPr>
          <w:sz w:val="24"/>
          <w:szCs w:val="24"/>
          <w:lang w:val="en-US"/>
        </w:rPr>
        <w:softHyphen/>
        <w:t>hydrochloride is necessary in these patients.</w:t>
      </w:r>
    </w:p>
    <w:p w14:paraId="2F57C34A" w14:textId="77777777" w:rsidR="007C5D2A" w:rsidRPr="002734EF" w:rsidRDefault="007C5D2A" w:rsidP="00A85D26">
      <w:pPr>
        <w:tabs>
          <w:tab w:val="left" w:pos="851"/>
        </w:tabs>
        <w:ind w:left="851"/>
        <w:rPr>
          <w:sz w:val="24"/>
          <w:szCs w:val="24"/>
          <w:lang w:val="en-US"/>
        </w:rPr>
      </w:pPr>
    </w:p>
    <w:p w14:paraId="54EBB909" w14:textId="77777777" w:rsidR="007C5D2A" w:rsidRPr="002734EF" w:rsidRDefault="007C5D2A" w:rsidP="007C5D2A">
      <w:pPr>
        <w:tabs>
          <w:tab w:val="left" w:pos="851"/>
        </w:tabs>
        <w:ind w:left="851" w:hanging="851"/>
        <w:rPr>
          <w:b/>
          <w:sz w:val="24"/>
          <w:szCs w:val="24"/>
          <w:lang w:val="en-GB"/>
        </w:rPr>
      </w:pPr>
      <w:r w:rsidRPr="002734EF">
        <w:rPr>
          <w:b/>
          <w:sz w:val="24"/>
          <w:szCs w:val="24"/>
          <w:lang w:val="en-GB"/>
        </w:rPr>
        <w:t>4.3</w:t>
      </w:r>
      <w:r w:rsidRPr="002734EF">
        <w:rPr>
          <w:b/>
          <w:sz w:val="24"/>
          <w:szCs w:val="24"/>
          <w:lang w:val="en-GB"/>
        </w:rPr>
        <w:tab/>
        <w:t>Contraindications</w:t>
      </w:r>
    </w:p>
    <w:p w14:paraId="5F591CC9" w14:textId="77777777" w:rsidR="002750B6" w:rsidRPr="002750B6" w:rsidRDefault="002750B6" w:rsidP="00AF5C49">
      <w:pPr>
        <w:ind w:left="851"/>
        <w:rPr>
          <w:sz w:val="24"/>
          <w:szCs w:val="24"/>
          <w:lang w:val="en-US"/>
        </w:rPr>
      </w:pPr>
      <w:r w:rsidRPr="002750B6">
        <w:rPr>
          <w:sz w:val="24"/>
          <w:szCs w:val="24"/>
          <w:lang w:val="en-US"/>
        </w:rPr>
        <w:t>Hypersensitivity to the active substance or to any of the excipients listed in section 6.1.</w:t>
      </w:r>
    </w:p>
    <w:p w14:paraId="4785DF8F" w14:textId="77777777" w:rsidR="007C5D2A" w:rsidRPr="002734EF" w:rsidRDefault="007C5D2A" w:rsidP="003E0341">
      <w:pPr>
        <w:tabs>
          <w:tab w:val="left" w:pos="851"/>
        </w:tabs>
        <w:ind w:left="851"/>
        <w:rPr>
          <w:sz w:val="24"/>
          <w:szCs w:val="24"/>
          <w:lang w:val="en-US"/>
        </w:rPr>
      </w:pPr>
    </w:p>
    <w:p w14:paraId="75DE428B" w14:textId="77777777" w:rsidR="007C5D2A" w:rsidRPr="002734EF" w:rsidRDefault="007C5D2A" w:rsidP="007C5D2A">
      <w:pPr>
        <w:tabs>
          <w:tab w:val="left" w:pos="851"/>
        </w:tabs>
        <w:rPr>
          <w:b/>
          <w:sz w:val="24"/>
          <w:szCs w:val="24"/>
          <w:lang w:val="en-GB"/>
        </w:rPr>
      </w:pPr>
      <w:r w:rsidRPr="002734EF">
        <w:rPr>
          <w:b/>
          <w:sz w:val="24"/>
          <w:szCs w:val="24"/>
          <w:lang w:val="en-GB"/>
        </w:rPr>
        <w:t>4.4</w:t>
      </w:r>
      <w:r w:rsidRPr="002734EF">
        <w:rPr>
          <w:b/>
          <w:sz w:val="24"/>
          <w:szCs w:val="24"/>
          <w:lang w:val="en-GB"/>
        </w:rPr>
        <w:tab/>
        <w:t>Special warnings and precautions for use</w:t>
      </w:r>
    </w:p>
    <w:p w14:paraId="3ADBD4F1" w14:textId="77777777" w:rsidR="002750B6" w:rsidRPr="002750B6" w:rsidRDefault="002750B6" w:rsidP="00AF5C49">
      <w:pPr>
        <w:ind w:left="851"/>
        <w:rPr>
          <w:sz w:val="24"/>
          <w:szCs w:val="24"/>
          <w:lang w:val="en-US"/>
        </w:rPr>
      </w:pPr>
      <w:r w:rsidRPr="002750B6">
        <w:rPr>
          <w:sz w:val="24"/>
          <w:szCs w:val="24"/>
          <w:lang w:val="en-US"/>
        </w:rPr>
        <w:t>There is only limited data in the elderly and patients with renal or hepatic impairment. Fexofenadine hydrochloride should be administered with caution in these special patient groups (see section 4.2).</w:t>
      </w:r>
    </w:p>
    <w:p w14:paraId="1E84E7C3" w14:textId="77777777" w:rsidR="002750B6" w:rsidRPr="002750B6" w:rsidRDefault="002750B6" w:rsidP="00AF5C49">
      <w:pPr>
        <w:ind w:left="851"/>
        <w:rPr>
          <w:sz w:val="24"/>
          <w:szCs w:val="24"/>
          <w:lang w:val="en-US"/>
        </w:rPr>
      </w:pPr>
    </w:p>
    <w:p w14:paraId="6BBBDEE2" w14:textId="68D7119F" w:rsidR="002750B6" w:rsidRPr="002750B6" w:rsidRDefault="002750B6" w:rsidP="00AF5C49">
      <w:pPr>
        <w:ind w:left="851"/>
        <w:rPr>
          <w:sz w:val="24"/>
          <w:szCs w:val="24"/>
          <w:lang w:val="en-US"/>
        </w:rPr>
      </w:pPr>
      <w:r w:rsidRPr="002750B6">
        <w:rPr>
          <w:sz w:val="24"/>
          <w:szCs w:val="24"/>
          <w:lang w:val="en-US"/>
        </w:rPr>
        <w:t>Patients who have or have had cardiovascular disease should be warned that antihistamines as a class of medicinal products have been associated with the adverse reactions, tachycardia and palpitations (see section 4.8).</w:t>
      </w:r>
    </w:p>
    <w:p w14:paraId="2162630A" w14:textId="77777777" w:rsidR="002750B6" w:rsidRPr="002750B6" w:rsidRDefault="002750B6" w:rsidP="00AF5C49">
      <w:pPr>
        <w:ind w:left="851"/>
        <w:rPr>
          <w:sz w:val="24"/>
          <w:szCs w:val="24"/>
          <w:lang w:val="en-GB"/>
        </w:rPr>
      </w:pPr>
    </w:p>
    <w:p w14:paraId="567E2F81" w14:textId="77777777" w:rsidR="002750B6" w:rsidRPr="002750B6" w:rsidRDefault="002750B6" w:rsidP="00AF5C49">
      <w:pPr>
        <w:ind w:left="851"/>
        <w:rPr>
          <w:sz w:val="24"/>
          <w:szCs w:val="24"/>
          <w:lang w:val="en-GB"/>
        </w:rPr>
      </w:pPr>
      <w:r w:rsidRPr="002750B6">
        <w:rPr>
          <w:sz w:val="24"/>
          <w:szCs w:val="24"/>
          <w:lang w:val="en-US"/>
        </w:rPr>
        <w:t xml:space="preserve">This medicinal product contains less than 1 mmol sodium (23 mg) per </w:t>
      </w:r>
      <w:r w:rsidRPr="002750B6">
        <w:rPr>
          <w:sz w:val="24"/>
          <w:szCs w:val="24"/>
          <w:lang w:val="en-GB"/>
        </w:rPr>
        <w:t xml:space="preserve">dose, </w:t>
      </w:r>
      <w:proofErr w:type="gramStart"/>
      <w:r w:rsidRPr="002750B6">
        <w:rPr>
          <w:sz w:val="24"/>
          <w:szCs w:val="24"/>
          <w:lang w:val="en-GB"/>
        </w:rPr>
        <w:t>that is to say essentially</w:t>
      </w:r>
      <w:proofErr w:type="gramEnd"/>
      <w:r w:rsidRPr="002750B6">
        <w:rPr>
          <w:sz w:val="24"/>
          <w:szCs w:val="24"/>
          <w:lang w:val="en-GB"/>
        </w:rPr>
        <w:t xml:space="preserve"> ’sodium-free’.</w:t>
      </w:r>
    </w:p>
    <w:p w14:paraId="5B08E780" w14:textId="77777777" w:rsidR="007C5D2A" w:rsidRPr="002734EF" w:rsidRDefault="007C5D2A" w:rsidP="003E0341">
      <w:pPr>
        <w:tabs>
          <w:tab w:val="left" w:pos="851"/>
        </w:tabs>
        <w:ind w:left="851"/>
        <w:rPr>
          <w:sz w:val="24"/>
          <w:szCs w:val="24"/>
          <w:lang w:val="en-GB"/>
        </w:rPr>
      </w:pPr>
    </w:p>
    <w:p w14:paraId="7FA60B3D" w14:textId="77777777" w:rsidR="007C5D2A" w:rsidRPr="002734EF" w:rsidRDefault="007C5D2A" w:rsidP="007C5D2A">
      <w:pPr>
        <w:ind w:left="851" w:hanging="851"/>
        <w:rPr>
          <w:b/>
          <w:sz w:val="24"/>
          <w:szCs w:val="24"/>
          <w:lang w:val="en-GB"/>
        </w:rPr>
      </w:pPr>
      <w:r w:rsidRPr="002734EF">
        <w:rPr>
          <w:b/>
          <w:sz w:val="24"/>
          <w:szCs w:val="24"/>
          <w:lang w:val="en-GB"/>
        </w:rPr>
        <w:t>4.5</w:t>
      </w:r>
      <w:r w:rsidRPr="002734EF">
        <w:rPr>
          <w:b/>
          <w:sz w:val="24"/>
          <w:szCs w:val="24"/>
          <w:lang w:val="en-GB"/>
        </w:rPr>
        <w:tab/>
        <w:t>Interaction with other medicinal products and other forms of interaction</w:t>
      </w:r>
    </w:p>
    <w:p w14:paraId="53BCE1A5" w14:textId="77777777" w:rsidR="002750B6" w:rsidRPr="002750B6" w:rsidRDefault="002750B6" w:rsidP="00AF5C49">
      <w:pPr>
        <w:ind w:left="851"/>
        <w:rPr>
          <w:sz w:val="24"/>
          <w:szCs w:val="24"/>
          <w:lang w:val="en-GB"/>
        </w:rPr>
      </w:pPr>
      <w:r w:rsidRPr="002750B6">
        <w:rPr>
          <w:sz w:val="24"/>
          <w:szCs w:val="24"/>
          <w:lang w:val="en-GB"/>
        </w:rPr>
        <w:t xml:space="preserve">Fexofenadine does not undergo hepatic biotransformation and therefore will not interact with other medicinal products through hepatic mechanisms.  </w:t>
      </w:r>
    </w:p>
    <w:p w14:paraId="102963D1" w14:textId="77777777" w:rsidR="002750B6" w:rsidRPr="002750B6" w:rsidRDefault="002750B6" w:rsidP="00AF5C49">
      <w:pPr>
        <w:ind w:left="851"/>
        <w:rPr>
          <w:sz w:val="24"/>
          <w:szCs w:val="24"/>
          <w:lang w:val="en-GB"/>
        </w:rPr>
      </w:pPr>
    </w:p>
    <w:p w14:paraId="1EE6F97B" w14:textId="77777777" w:rsidR="002750B6" w:rsidRPr="002750B6" w:rsidRDefault="002750B6" w:rsidP="00AF5C49">
      <w:pPr>
        <w:ind w:left="851"/>
        <w:rPr>
          <w:sz w:val="24"/>
          <w:szCs w:val="24"/>
          <w:lang w:val="en-GB"/>
        </w:rPr>
      </w:pPr>
      <w:r w:rsidRPr="002750B6">
        <w:rPr>
          <w:sz w:val="24"/>
          <w:szCs w:val="24"/>
          <w:lang w:val="en-GB"/>
        </w:rPr>
        <w:t>Fexofenadine is a P-glycoprotein (P-</w:t>
      </w:r>
      <w:proofErr w:type="spellStart"/>
      <w:r w:rsidRPr="002750B6">
        <w:rPr>
          <w:sz w:val="24"/>
          <w:szCs w:val="24"/>
          <w:lang w:val="en-GB"/>
        </w:rPr>
        <w:t>gp</w:t>
      </w:r>
      <w:proofErr w:type="spellEnd"/>
      <w:r w:rsidRPr="002750B6">
        <w:rPr>
          <w:sz w:val="24"/>
          <w:szCs w:val="24"/>
          <w:lang w:val="en-GB"/>
        </w:rPr>
        <w:t>) and organic-anion-transport polypeptide (OATP) substrate. Concomitant use of fexofenadine with P-</w:t>
      </w:r>
      <w:proofErr w:type="spellStart"/>
      <w:r w:rsidRPr="002750B6">
        <w:rPr>
          <w:sz w:val="24"/>
          <w:szCs w:val="24"/>
          <w:lang w:val="en-GB"/>
        </w:rPr>
        <w:t>gp</w:t>
      </w:r>
      <w:proofErr w:type="spellEnd"/>
      <w:r w:rsidRPr="002750B6">
        <w:rPr>
          <w:sz w:val="24"/>
          <w:szCs w:val="24"/>
          <w:lang w:val="en-GB"/>
        </w:rPr>
        <w:t xml:space="preserve"> inhibitors or inducers can affect the exposure to fexofenadine. Co-administration of fexofenadine hydrochloride with P-</w:t>
      </w:r>
      <w:proofErr w:type="spellStart"/>
      <w:r w:rsidRPr="002750B6">
        <w:rPr>
          <w:sz w:val="24"/>
          <w:szCs w:val="24"/>
          <w:lang w:val="en-GB"/>
        </w:rPr>
        <w:t>gp</w:t>
      </w:r>
      <w:proofErr w:type="spellEnd"/>
      <w:r w:rsidRPr="002750B6">
        <w:rPr>
          <w:sz w:val="24"/>
          <w:szCs w:val="24"/>
          <w:lang w:val="en-GB"/>
        </w:rPr>
        <w:t xml:space="preserve"> inhibitors, erythromycin or ketoconazole, has been found to result in a 2-3-times increase in the level of fexofenadine in plasma. These changes were not accompanied by any effect on the QT interval and were associated with any increase in adverse reactions compared to the medicinal product given singly. </w:t>
      </w:r>
    </w:p>
    <w:p w14:paraId="1DFDB223" w14:textId="77777777" w:rsidR="002750B6" w:rsidRPr="002750B6" w:rsidRDefault="002750B6" w:rsidP="00AF5C49">
      <w:pPr>
        <w:ind w:left="851"/>
        <w:rPr>
          <w:sz w:val="24"/>
          <w:szCs w:val="24"/>
          <w:lang w:val="en-GB"/>
        </w:rPr>
      </w:pPr>
    </w:p>
    <w:p w14:paraId="28A7A303" w14:textId="77777777" w:rsidR="002750B6" w:rsidRPr="002750B6" w:rsidRDefault="002750B6" w:rsidP="00AF5C49">
      <w:pPr>
        <w:ind w:left="851"/>
        <w:rPr>
          <w:sz w:val="24"/>
          <w:szCs w:val="24"/>
          <w:lang w:val="en-GB"/>
        </w:rPr>
      </w:pPr>
      <w:r w:rsidRPr="002750B6">
        <w:rPr>
          <w:sz w:val="24"/>
          <w:szCs w:val="24"/>
          <w:lang w:val="en-GB"/>
        </w:rPr>
        <w:t>A clinical drug-drug interaction study showed that co-administration of apalutamide (a weak inducer of P-</w:t>
      </w:r>
      <w:proofErr w:type="spellStart"/>
      <w:r w:rsidRPr="002750B6">
        <w:rPr>
          <w:sz w:val="24"/>
          <w:szCs w:val="24"/>
          <w:lang w:val="en-GB"/>
        </w:rPr>
        <w:t>gp</w:t>
      </w:r>
      <w:proofErr w:type="spellEnd"/>
      <w:r w:rsidRPr="002750B6">
        <w:rPr>
          <w:sz w:val="24"/>
          <w:szCs w:val="24"/>
          <w:lang w:val="en-GB"/>
        </w:rPr>
        <w:t xml:space="preserve">) and a single oral dose of 30 mg fexofenadine resulted in a 30% decrease in AUC of fexofenadine. </w:t>
      </w:r>
    </w:p>
    <w:p w14:paraId="422569B4" w14:textId="77777777" w:rsidR="002750B6" w:rsidRPr="002750B6" w:rsidRDefault="002750B6" w:rsidP="00AF5C49">
      <w:pPr>
        <w:ind w:left="851"/>
        <w:rPr>
          <w:sz w:val="24"/>
          <w:szCs w:val="24"/>
          <w:lang w:val="en-GB"/>
        </w:rPr>
      </w:pPr>
    </w:p>
    <w:p w14:paraId="30550066" w14:textId="77777777" w:rsidR="002750B6" w:rsidRPr="002750B6" w:rsidRDefault="002750B6" w:rsidP="00AF5C49">
      <w:pPr>
        <w:ind w:left="851"/>
        <w:rPr>
          <w:sz w:val="24"/>
          <w:szCs w:val="24"/>
          <w:lang w:val="en-GB"/>
        </w:rPr>
      </w:pPr>
      <w:r w:rsidRPr="002750B6">
        <w:rPr>
          <w:sz w:val="24"/>
          <w:szCs w:val="24"/>
          <w:lang w:val="en-GB"/>
        </w:rPr>
        <w:t xml:space="preserve">No interaction between fexofenadine and omeprazole was observed. However, the administration of an antacid containing aluminium and magnesium hydroxide gels 15 minutes prior to fexofenadine hydrochloride cause a reduction in bioavailability, most likely due to binding in the gastrointestinal tract. It is advisable to leave 2 hours between </w:t>
      </w:r>
      <w:r w:rsidRPr="002750B6">
        <w:rPr>
          <w:sz w:val="24"/>
          <w:szCs w:val="24"/>
          <w:lang w:val="en-GB"/>
        </w:rPr>
        <w:lastRenderedPageBreak/>
        <w:t>administration of fexofenadine hydrochloride and aluminium and magnesium hydroxide containing antacids.</w:t>
      </w:r>
    </w:p>
    <w:p w14:paraId="3E6ECA61" w14:textId="77777777" w:rsidR="007C5D2A" w:rsidRPr="002734EF" w:rsidRDefault="007C5D2A" w:rsidP="003E0341">
      <w:pPr>
        <w:tabs>
          <w:tab w:val="left" w:pos="851"/>
        </w:tabs>
        <w:ind w:left="851"/>
        <w:rPr>
          <w:sz w:val="24"/>
          <w:szCs w:val="24"/>
          <w:lang w:val="en-GB"/>
        </w:rPr>
      </w:pPr>
    </w:p>
    <w:p w14:paraId="3B56C4DA" w14:textId="77777777" w:rsidR="007C5D2A" w:rsidRPr="002734EF" w:rsidRDefault="007C5D2A" w:rsidP="007C5D2A">
      <w:pPr>
        <w:tabs>
          <w:tab w:val="left" w:pos="851"/>
        </w:tabs>
        <w:ind w:left="851" w:hanging="851"/>
        <w:rPr>
          <w:b/>
          <w:sz w:val="24"/>
          <w:szCs w:val="24"/>
          <w:lang w:val="en-GB"/>
        </w:rPr>
      </w:pPr>
      <w:r w:rsidRPr="002734EF">
        <w:rPr>
          <w:b/>
          <w:sz w:val="24"/>
          <w:szCs w:val="24"/>
          <w:lang w:val="en-GB"/>
        </w:rPr>
        <w:t>4.6</w:t>
      </w:r>
      <w:r w:rsidRPr="002734EF">
        <w:rPr>
          <w:b/>
          <w:sz w:val="24"/>
          <w:szCs w:val="24"/>
          <w:lang w:val="en-GB"/>
        </w:rPr>
        <w:tab/>
      </w:r>
      <w:r w:rsidR="004860D3" w:rsidRPr="002734EF">
        <w:rPr>
          <w:b/>
          <w:sz w:val="24"/>
          <w:szCs w:val="24"/>
          <w:lang w:val="en-GB"/>
        </w:rPr>
        <w:t>Fertility, p</w:t>
      </w:r>
      <w:r w:rsidRPr="002734EF">
        <w:rPr>
          <w:b/>
          <w:sz w:val="24"/>
          <w:szCs w:val="24"/>
          <w:lang w:val="en-GB"/>
        </w:rPr>
        <w:t>regnancy and lactation</w:t>
      </w:r>
    </w:p>
    <w:p w14:paraId="311E1C19" w14:textId="77777777" w:rsidR="002734EF" w:rsidRDefault="002734EF" w:rsidP="00AF5C49">
      <w:pPr>
        <w:ind w:left="851"/>
        <w:rPr>
          <w:sz w:val="24"/>
          <w:szCs w:val="24"/>
          <w:u w:val="single"/>
          <w:lang w:val="en-US"/>
        </w:rPr>
      </w:pPr>
    </w:p>
    <w:p w14:paraId="5A6799DB" w14:textId="338FDD00" w:rsidR="002750B6" w:rsidRPr="002750B6" w:rsidRDefault="002750B6" w:rsidP="00AF5C49">
      <w:pPr>
        <w:ind w:left="851"/>
        <w:rPr>
          <w:sz w:val="24"/>
          <w:szCs w:val="24"/>
          <w:u w:val="single"/>
          <w:lang w:val="en-US"/>
        </w:rPr>
      </w:pPr>
      <w:r w:rsidRPr="002750B6">
        <w:rPr>
          <w:sz w:val="24"/>
          <w:szCs w:val="24"/>
          <w:u w:val="single"/>
          <w:lang w:val="en-US"/>
        </w:rPr>
        <w:t>Pregnancy</w:t>
      </w:r>
    </w:p>
    <w:p w14:paraId="538640B2" w14:textId="77777777" w:rsidR="002750B6" w:rsidRPr="002750B6" w:rsidRDefault="002750B6" w:rsidP="00AF5C49">
      <w:pPr>
        <w:ind w:left="851"/>
        <w:rPr>
          <w:sz w:val="24"/>
          <w:szCs w:val="24"/>
          <w:lang w:val="en-US"/>
        </w:rPr>
      </w:pPr>
      <w:r w:rsidRPr="002750B6">
        <w:rPr>
          <w:sz w:val="24"/>
          <w:szCs w:val="24"/>
          <w:lang w:val="en-US"/>
        </w:rPr>
        <w:t xml:space="preserve">There is no adequate data from the use of fexofenadine hydrochloride in pregnant women. </w:t>
      </w:r>
    </w:p>
    <w:p w14:paraId="606CDA35" w14:textId="77777777" w:rsidR="002750B6" w:rsidRPr="002750B6" w:rsidRDefault="002750B6" w:rsidP="00AF5C49">
      <w:pPr>
        <w:ind w:left="851"/>
        <w:rPr>
          <w:sz w:val="24"/>
          <w:szCs w:val="24"/>
          <w:lang w:val="en-US"/>
        </w:rPr>
      </w:pPr>
    </w:p>
    <w:p w14:paraId="4AFC1286" w14:textId="77777777" w:rsidR="002750B6" w:rsidRPr="002750B6" w:rsidRDefault="002750B6" w:rsidP="00AF5C49">
      <w:pPr>
        <w:ind w:left="851"/>
        <w:rPr>
          <w:sz w:val="24"/>
          <w:szCs w:val="24"/>
          <w:lang w:val="en-US"/>
        </w:rPr>
      </w:pPr>
      <w:r w:rsidRPr="002750B6">
        <w:rPr>
          <w:sz w:val="24"/>
          <w:szCs w:val="24"/>
          <w:lang w:val="en-US"/>
        </w:rPr>
        <w:t>Limited animal studies do not indicate any direct or indirect harmful effects with respect to pregnancy, embryonal/</w:t>
      </w:r>
      <w:proofErr w:type="spellStart"/>
      <w:r w:rsidRPr="002750B6">
        <w:rPr>
          <w:sz w:val="24"/>
          <w:szCs w:val="24"/>
          <w:lang w:val="en-US"/>
        </w:rPr>
        <w:t>foetal</w:t>
      </w:r>
      <w:proofErr w:type="spellEnd"/>
      <w:r w:rsidRPr="002750B6">
        <w:rPr>
          <w:sz w:val="24"/>
          <w:szCs w:val="24"/>
          <w:lang w:val="en-US"/>
        </w:rPr>
        <w:t xml:space="preserve"> development, parturition or postnatal development (see section 5.3). Fexofenadine hydrochloride should not be used during pregnancy unless clearly necessary.</w:t>
      </w:r>
    </w:p>
    <w:p w14:paraId="435F6E67" w14:textId="77777777" w:rsidR="002750B6" w:rsidRPr="002750B6" w:rsidRDefault="002750B6" w:rsidP="00AF5C49">
      <w:pPr>
        <w:ind w:left="851"/>
        <w:rPr>
          <w:sz w:val="24"/>
          <w:szCs w:val="24"/>
          <w:u w:val="single"/>
          <w:lang w:val="en-US"/>
        </w:rPr>
      </w:pPr>
    </w:p>
    <w:p w14:paraId="3F1B4973" w14:textId="77777777" w:rsidR="002750B6" w:rsidRPr="002750B6" w:rsidRDefault="002750B6" w:rsidP="00AF5C49">
      <w:pPr>
        <w:ind w:left="851"/>
        <w:rPr>
          <w:sz w:val="24"/>
          <w:szCs w:val="24"/>
          <w:u w:val="single"/>
          <w:lang w:val="en-US"/>
        </w:rPr>
      </w:pPr>
      <w:r w:rsidRPr="002750B6">
        <w:rPr>
          <w:sz w:val="24"/>
          <w:szCs w:val="24"/>
          <w:u w:val="single"/>
          <w:lang w:val="en-US"/>
        </w:rPr>
        <w:t>Breastfeeding</w:t>
      </w:r>
    </w:p>
    <w:p w14:paraId="14DD8710" w14:textId="77777777" w:rsidR="002750B6" w:rsidRPr="002750B6" w:rsidRDefault="002750B6" w:rsidP="00AF5C49">
      <w:pPr>
        <w:ind w:left="851"/>
        <w:rPr>
          <w:sz w:val="24"/>
          <w:szCs w:val="24"/>
          <w:lang w:val="en-GB"/>
        </w:rPr>
      </w:pPr>
      <w:r w:rsidRPr="002750B6">
        <w:rPr>
          <w:sz w:val="24"/>
          <w:szCs w:val="24"/>
          <w:lang w:val="en-US"/>
        </w:rPr>
        <w:t xml:space="preserve">There </w:t>
      </w:r>
      <w:proofErr w:type="gramStart"/>
      <w:r w:rsidRPr="002750B6">
        <w:rPr>
          <w:sz w:val="24"/>
          <w:szCs w:val="24"/>
          <w:lang w:val="en-US"/>
        </w:rPr>
        <w:t>are</w:t>
      </w:r>
      <w:proofErr w:type="gramEnd"/>
      <w:r w:rsidRPr="002750B6">
        <w:rPr>
          <w:sz w:val="24"/>
          <w:szCs w:val="24"/>
          <w:lang w:val="en-US"/>
        </w:rPr>
        <w:t xml:space="preserve"> no data on the content in breast milk following administration of fexofenadine hydrochloride. However, fexofenadine has been found in breast milk after terfenadine was given to breastfeeding mothers. Therefore, fexofenadine hydrochloride is not recommended in mothers who are breast-feeding their infants. </w:t>
      </w:r>
    </w:p>
    <w:p w14:paraId="119332D4" w14:textId="77777777" w:rsidR="002750B6" w:rsidRPr="002750B6" w:rsidRDefault="002750B6" w:rsidP="00AF5C49">
      <w:pPr>
        <w:ind w:left="851"/>
        <w:rPr>
          <w:sz w:val="24"/>
          <w:szCs w:val="24"/>
          <w:lang w:val="en-US"/>
        </w:rPr>
      </w:pPr>
    </w:p>
    <w:p w14:paraId="5711A377" w14:textId="77777777" w:rsidR="002750B6" w:rsidRPr="002750B6" w:rsidRDefault="002750B6" w:rsidP="00AF5C49">
      <w:pPr>
        <w:ind w:left="851"/>
        <w:rPr>
          <w:bCs/>
          <w:sz w:val="24"/>
          <w:szCs w:val="24"/>
          <w:u w:val="single"/>
          <w:lang w:val="en-US"/>
        </w:rPr>
      </w:pPr>
      <w:r w:rsidRPr="002750B6">
        <w:rPr>
          <w:bCs/>
          <w:sz w:val="24"/>
          <w:szCs w:val="24"/>
          <w:u w:val="single"/>
          <w:lang w:val="en-US"/>
        </w:rPr>
        <w:t>Fertility</w:t>
      </w:r>
    </w:p>
    <w:p w14:paraId="5AB8EBC3" w14:textId="1DCBDE93" w:rsidR="002750B6" w:rsidRPr="002750B6" w:rsidRDefault="002750B6" w:rsidP="00AF5C49">
      <w:pPr>
        <w:ind w:left="851"/>
        <w:rPr>
          <w:sz w:val="24"/>
          <w:szCs w:val="24"/>
          <w:lang w:val="en-US"/>
        </w:rPr>
      </w:pPr>
      <w:r w:rsidRPr="002750B6">
        <w:rPr>
          <w:sz w:val="24"/>
          <w:szCs w:val="24"/>
          <w:lang w:val="en-US"/>
        </w:rPr>
        <w:t>No human data on the effects of fexofenadine hydrochloride on fertility are available. In mice, fexofenadine hydrochloride treatment had no effect on fertility (see section 5.3).</w:t>
      </w:r>
    </w:p>
    <w:p w14:paraId="1F8DCFE8" w14:textId="77777777" w:rsidR="007C5D2A" w:rsidRPr="002734EF" w:rsidRDefault="007C5D2A" w:rsidP="003E0341">
      <w:pPr>
        <w:tabs>
          <w:tab w:val="left" w:pos="851"/>
        </w:tabs>
        <w:ind w:left="851"/>
        <w:rPr>
          <w:sz w:val="24"/>
          <w:szCs w:val="24"/>
          <w:lang w:val="en-US"/>
        </w:rPr>
      </w:pPr>
    </w:p>
    <w:p w14:paraId="1E6DC463" w14:textId="77777777" w:rsidR="007C5D2A" w:rsidRPr="002734EF" w:rsidRDefault="007C5D2A" w:rsidP="007C5D2A">
      <w:pPr>
        <w:tabs>
          <w:tab w:val="left" w:pos="851"/>
        </w:tabs>
        <w:ind w:left="851" w:hanging="851"/>
        <w:rPr>
          <w:b/>
          <w:sz w:val="24"/>
          <w:szCs w:val="24"/>
          <w:lang w:val="en-GB"/>
        </w:rPr>
      </w:pPr>
      <w:r w:rsidRPr="002734EF">
        <w:rPr>
          <w:b/>
          <w:sz w:val="24"/>
          <w:szCs w:val="24"/>
          <w:lang w:val="en-GB"/>
        </w:rPr>
        <w:t>4.7</w:t>
      </w:r>
      <w:r w:rsidRPr="002734EF">
        <w:rPr>
          <w:b/>
          <w:sz w:val="24"/>
          <w:szCs w:val="24"/>
          <w:lang w:val="en-GB"/>
        </w:rPr>
        <w:tab/>
        <w:t>Effects on ability to drive and use machines</w:t>
      </w:r>
    </w:p>
    <w:p w14:paraId="4B222EF8" w14:textId="77777777" w:rsidR="002734EF" w:rsidRDefault="002734EF" w:rsidP="00AF5C49">
      <w:pPr>
        <w:ind w:left="851"/>
        <w:rPr>
          <w:sz w:val="24"/>
          <w:szCs w:val="24"/>
          <w:lang w:val="en-US"/>
        </w:rPr>
      </w:pPr>
      <w:r>
        <w:rPr>
          <w:sz w:val="24"/>
          <w:szCs w:val="24"/>
          <w:lang w:val="en-US"/>
        </w:rPr>
        <w:t>No traffic warning.</w:t>
      </w:r>
    </w:p>
    <w:p w14:paraId="70B0BC6A" w14:textId="5E7BB6D7" w:rsidR="002750B6" w:rsidRPr="002750B6" w:rsidRDefault="002750B6" w:rsidP="00AF5C49">
      <w:pPr>
        <w:ind w:left="851"/>
        <w:rPr>
          <w:sz w:val="24"/>
          <w:szCs w:val="24"/>
          <w:lang w:val="en-US"/>
        </w:rPr>
      </w:pPr>
      <w:r w:rsidRPr="002750B6">
        <w:rPr>
          <w:sz w:val="24"/>
          <w:szCs w:val="24"/>
          <w:lang w:val="en-US"/>
        </w:rPr>
        <w:t xml:space="preserve">Based on the pharmacodynamic profile and adverse reactions reported, fexofenadine hydrochloride is unlikely to affect the ability to drive and use machines. </w:t>
      </w:r>
    </w:p>
    <w:p w14:paraId="473916C0" w14:textId="784FFEC2" w:rsidR="002750B6" w:rsidRPr="002750B6" w:rsidRDefault="002750B6" w:rsidP="00AF5C49">
      <w:pPr>
        <w:ind w:left="851"/>
        <w:rPr>
          <w:sz w:val="24"/>
          <w:szCs w:val="24"/>
          <w:lang w:val="en-US"/>
        </w:rPr>
      </w:pPr>
      <w:r w:rsidRPr="002750B6">
        <w:rPr>
          <w:sz w:val="24"/>
          <w:szCs w:val="24"/>
          <w:lang w:val="en-US"/>
        </w:rPr>
        <w:t xml:space="preserve">In objective tests, </w:t>
      </w:r>
      <w:proofErr w:type="spellStart"/>
      <w:r w:rsidR="002734EF">
        <w:rPr>
          <w:sz w:val="24"/>
          <w:szCs w:val="24"/>
          <w:lang w:val="en-US"/>
        </w:rPr>
        <w:t>Otrafexi</w:t>
      </w:r>
      <w:proofErr w:type="spellEnd"/>
      <w:r w:rsidRPr="002750B6">
        <w:rPr>
          <w:sz w:val="24"/>
          <w:szCs w:val="24"/>
          <w:lang w:val="en-US"/>
        </w:rPr>
        <w:t xml:space="preserve"> has been shown to have no significant effects on the functioning of the central nervous system. This means that patients may drive or perform tasks that require concentration. However, </w:t>
      </w:r>
      <w:proofErr w:type="gramStart"/>
      <w:r w:rsidRPr="002750B6">
        <w:rPr>
          <w:sz w:val="24"/>
          <w:szCs w:val="24"/>
          <w:lang w:val="en-US"/>
        </w:rPr>
        <w:t>in order to</w:t>
      </w:r>
      <w:proofErr w:type="gramEnd"/>
      <w:r w:rsidRPr="002750B6">
        <w:rPr>
          <w:sz w:val="24"/>
          <w:szCs w:val="24"/>
          <w:lang w:val="en-US"/>
        </w:rPr>
        <w:t xml:space="preserve"> identify sensitive individuals who react abnormally to the medicine, it is recommended to monitor the patient's reaction to the medicine before driving or undertaking any complex tasks.</w:t>
      </w:r>
    </w:p>
    <w:p w14:paraId="33D04FCD" w14:textId="77777777" w:rsidR="007C5D2A" w:rsidRPr="002734EF" w:rsidRDefault="007C5D2A" w:rsidP="003E0341">
      <w:pPr>
        <w:tabs>
          <w:tab w:val="left" w:pos="851"/>
        </w:tabs>
        <w:ind w:left="851"/>
        <w:rPr>
          <w:sz w:val="24"/>
          <w:szCs w:val="24"/>
          <w:lang w:val="en-US"/>
        </w:rPr>
      </w:pPr>
    </w:p>
    <w:p w14:paraId="599246CF" w14:textId="77777777" w:rsidR="007C5D2A" w:rsidRPr="002734EF" w:rsidRDefault="007C5D2A" w:rsidP="007C5D2A">
      <w:pPr>
        <w:tabs>
          <w:tab w:val="left" w:pos="851"/>
        </w:tabs>
        <w:ind w:left="851" w:hanging="851"/>
        <w:rPr>
          <w:b/>
          <w:sz w:val="24"/>
          <w:szCs w:val="24"/>
          <w:lang w:val="en-GB"/>
        </w:rPr>
      </w:pPr>
      <w:r w:rsidRPr="002734EF">
        <w:rPr>
          <w:b/>
          <w:sz w:val="24"/>
          <w:szCs w:val="24"/>
          <w:lang w:val="en-GB"/>
        </w:rPr>
        <w:t>4.8</w:t>
      </w:r>
      <w:r w:rsidRPr="002734EF">
        <w:rPr>
          <w:b/>
          <w:sz w:val="24"/>
          <w:szCs w:val="24"/>
          <w:lang w:val="en-GB"/>
        </w:rPr>
        <w:tab/>
        <w:t>Undesirable effects</w:t>
      </w:r>
    </w:p>
    <w:p w14:paraId="7C237981" w14:textId="312670C4" w:rsidR="002750B6" w:rsidRPr="002750B6" w:rsidRDefault="002750B6" w:rsidP="00AF5C49">
      <w:pPr>
        <w:ind w:left="851"/>
        <w:rPr>
          <w:sz w:val="24"/>
          <w:szCs w:val="24"/>
          <w:lang w:val="en-US"/>
        </w:rPr>
      </w:pPr>
      <w:r w:rsidRPr="002750B6">
        <w:rPr>
          <w:sz w:val="24"/>
          <w:szCs w:val="24"/>
          <w:lang w:val="en-US"/>
        </w:rPr>
        <w:t>The following frequencies are used, where applicable:</w:t>
      </w:r>
    </w:p>
    <w:p w14:paraId="77F957A0" w14:textId="77777777" w:rsidR="002750B6" w:rsidRPr="002750B6" w:rsidRDefault="002750B6" w:rsidP="00AF5C49">
      <w:pPr>
        <w:ind w:left="851"/>
        <w:rPr>
          <w:sz w:val="24"/>
          <w:szCs w:val="24"/>
          <w:lang w:val="en-US"/>
        </w:rPr>
      </w:pPr>
      <w:r w:rsidRPr="002750B6">
        <w:rPr>
          <w:sz w:val="24"/>
          <w:szCs w:val="24"/>
          <w:lang w:val="en-US"/>
        </w:rPr>
        <w:t xml:space="preserve">Very common (≥ 1/10); Common (≥ 1/100 to &lt; 1/10); Uncommon (≥ 1/1,000 to &lt; 1/100); rare (≥ 1/10,000 to &lt; 1/1,000); Very rare (&lt; 1/10,000) and not known (cannot be estimated from available data). </w:t>
      </w:r>
    </w:p>
    <w:p w14:paraId="33A38871" w14:textId="77777777" w:rsidR="002750B6" w:rsidRPr="002750B6" w:rsidRDefault="002750B6" w:rsidP="00AF5C49">
      <w:pPr>
        <w:ind w:left="851"/>
        <w:rPr>
          <w:sz w:val="24"/>
          <w:szCs w:val="24"/>
          <w:lang w:val="en-US"/>
        </w:rPr>
      </w:pPr>
      <w:r w:rsidRPr="002750B6">
        <w:rPr>
          <w:sz w:val="24"/>
          <w:szCs w:val="24"/>
          <w:lang w:val="en-US"/>
        </w:rPr>
        <w:t xml:space="preserve">Within each frequency grouping, adverse reactions are </w:t>
      </w:r>
      <w:proofErr w:type="gramStart"/>
      <w:r w:rsidRPr="002750B6">
        <w:rPr>
          <w:sz w:val="24"/>
          <w:szCs w:val="24"/>
          <w:lang w:val="en-US"/>
        </w:rPr>
        <w:t>listed in</w:t>
      </w:r>
      <w:proofErr w:type="gramEnd"/>
      <w:r w:rsidRPr="002750B6">
        <w:rPr>
          <w:sz w:val="24"/>
          <w:szCs w:val="24"/>
          <w:lang w:val="en-US"/>
        </w:rPr>
        <w:t xml:space="preserve"> in order of decreasing seriousness.</w:t>
      </w:r>
    </w:p>
    <w:p w14:paraId="23B61F82" w14:textId="77777777" w:rsidR="002750B6" w:rsidRPr="002750B6" w:rsidRDefault="002750B6" w:rsidP="00AF5C49">
      <w:pPr>
        <w:ind w:left="851"/>
        <w:rPr>
          <w:sz w:val="24"/>
          <w:szCs w:val="24"/>
          <w:lang w:val="en-US"/>
        </w:rPr>
      </w:pPr>
    </w:p>
    <w:p w14:paraId="1CE38A82" w14:textId="77777777" w:rsidR="002750B6" w:rsidRPr="002750B6" w:rsidRDefault="002750B6" w:rsidP="00AF5C49">
      <w:pPr>
        <w:ind w:left="851"/>
        <w:rPr>
          <w:sz w:val="24"/>
          <w:szCs w:val="24"/>
          <w:lang w:val="en-US"/>
        </w:rPr>
      </w:pPr>
      <w:r w:rsidRPr="002750B6">
        <w:rPr>
          <w:sz w:val="24"/>
          <w:szCs w:val="24"/>
          <w:lang w:val="en-US"/>
        </w:rPr>
        <w:t xml:space="preserve">The following side effects have been reported in clinical trials in adults with an incidence </w:t>
      </w:r>
      <w:proofErr w:type="gramStart"/>
      <w:r w:rsidRPr="002750B6">
        <w:rPr>
          <w:sz w:val="24"/>
          <w:szCs w:val="24"/>
          <w:lang w:val="en-US"/>
        </w:rPr>
        <w:t>similar to</w:t>
      </w:r>
      <w:proofErr w:type="gramEnd"/>
      <w:r w:rsidRPr="002750B6">
        <w:rPr>
          <w:sz w:val="24"/>
          <w:szCs w:val="24"/>
          <w:lang w:val="en-US"/>
        </w:rPr>
        <w:t xml:space="preserve"> that observed for placebo:</w:t>
      </w:r>
    </w:p>
    <w:p w14:paraId="60454D41" w14:textId="77777777" w:rsidR="002750B6" w:rsidRPr="002750B6" w:rsidRDefault="002750B6" w:rsidP="00AF5C49">
      <w:pPr>
        <w:ind w:left="851"/>
        <w:rPr>
          <w:sz w:val="24"/>
          <w:szCs w:val="24"/>
          <w:lang w:val="en-US"/>
        </w:rPr>
      </w:pPr>
    </w:p>
    <w:tbl>
      <w:tblPr>
        <w:tblW w:w="808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837"/>
        <w:gridCol w:w="2696"/>
      </w:tblGrid>
      <w:tr w:rsidR="002750B6" w:rsidRPr="002750B6" w14:paraId="642708EB" w14:textId="77777777" w:rsidTr="00AF5C49">
        <w:trPr>
          <w:cantSplit/>
          <w:trHeight w:val="118"/>
          <w:tblHeader/>
        </w:trPr>
        <w:tc>
          <w:tcPr>
            <w:tcW w:w="2552" w:type="dxa"/>
            <w:tcBorders>
              <w:top w:val="single" w:sz="4" w:space="0" w:color="auto"/>
              <w:left w:val="single" w:sz="4" w:space="0" w:color="auto"/>
              <w:bottom w:val="single" w:sz="4" w:space="0" w:color="auto"/>
              <w:right w:val="single" w:sz="4" w:space="0" w:color="auto"/>
            </w:tcBorders>
            <w:shd w:val="clear" w:color="auto" w:fill="D9D9D9"/>
          </w:tcPr>
          <w:p w14:paraId="5DB1A103" w14:textId="77777777" w:rsidR="002750B6" w:rsidRPr="002750B6" w:rsidRDefault="002750B6" w:rsidP="00AF5C49">
            <w:pPr>
              <w:ind w:left="64"/>
              <w:rPr>
                <w:sz w:val="24"/>
                <w:szCs w:val="24"/>
                <w:lang w:val="en-GB"/>
              </w:rPr>
            </w:pPr>
            <w:r w:rsidRPr="002750B6">
              <w:rPr>
                <w:sz w:val="24"/>
                <w:szCs w:val="24"/>
                <w:lang w:val="en-GB"/>
              </w:rPr>
              <w:t>Frequency</w:t>
            </w:r>
          </w:p>
          <w:p w14:paraId="027AC73C" w14:textId="77777777" w:rsidR="002750B6" w:rsidRPr="002750B6" w:rsidRDefault="002750B6" w:rsidP="00AF5C49">
            <w:pPr>
              <w:ind w:left="64"/>
              <w:rPr>
                <w:sz w:val="24"/>
                <w:szCs w:val="24"/>
                <w:lang w:val="en-GB"/>
              </w:rPr>
            </w:pPr>
          </w:p>
          <w:p w14:paraId="3B3A05CA" w14:textId="77777777" w:rsidR="002750B6" w:rsidRPr="002750B6" w:rsidRDefault="002750B6" w:rsidP="00AF5C49">
            <w:pPr>
              <w:ind w:left="64"/>
              <w:rPr>
                <w:sz w:val="24"/>
                <w:szCs w:val="24"/>
                <w:lang w:val="en-GB"/>
              </w:rPr>
            </w:pPr>
          </w:p>
          <w:p w14:paraId="3BFCEAAE" w14:textId="77777777" w:rsidR="002750B6" w:rsidRPr="002750B6" w:rsidRDefault="002750B6" w:rsidP="00AF5C49">
            <w:pPr>
              <w:ind w:left="64"/>
              <w:rPr>
                <w:sz w:val="24"/>
                <w:szCs w:val="24"/>
                <w:lang w:val="en-GB"/>
              </w:rPr>
            </w:pPr>
          </w:p>
          <w:p w14:paraId="70C3ECF3" w14:textId="77777777" w:rsidR="002750B6" w:rsidRPr="002750B6" w:rsidRDefault="002750B6" w:rsidP="00AF5C49">
            <w:pPr>
              <w:ind w:left="64"/>
              <w:rPr>
                <w:sz w:val="24"/>
                <w:szCs w:val="24"/>
                <w:lang w:val="en-GB"/>
              </w:rPr>
            </w:pPr>
            <w:r w:rsidRPr="002750B6">
              <w:rPr>
                <w:sz w:val="24"/>
                <w:szCs w:val="24"/>
                <w:lang w:val="en-GB"/>
              </w:rPr>
              <w:t>Organ class</w:t>
            </w:r>
          </w:p>
        </w:tc>
        <w:tc>
          <w:tcPr>
            <w:tcW w:w="2837" w:type="dxa"/>
            <w:tcBorders>
              <w:top w:val="single" w:sz="4" w:space="0" w:color="auto"/>
              <w:left w:val="single" w:sz="4" w:space="0" w:color="auto"/>
              <w:bottom w:val="single" w:sz="4" w:space="0" w:color="auto"/>
              <w:right w:val="single" w:sz="4" w:space="0" w:color="auto"/>
            </w:tcBorders>
            <w:shd w:val="clear" w:color="auto" w:fill="D9D9D9"/>
            <w:hideMark/>
          </w:tcPr>
          <w:p w14:paraId="27661B04" w14:textId="77777777" w:rsidR="002750B6" w:rsidRPr="002750B6" w:rsidRDefault="002750B6" w:rsidP="00AF5C49">
            <w:pPr>
              <w:ind w:left="64"/>
              <w:rPr>
                <w:sz w:val="24"/>
                <w:szCs w:val="24"/>
                <w:lang w:val="en-GB"/>
              </w:rPr>
            </w:pPr>
            <w:r w:rsidRPr="002750B6">
              <w:rPr>
                <w:sz w:val="24"/>
                <w:szCs w:val="24"/>
                <w:lang w:val="en-GB"/>
              </w:rPr>
              <w:t>Common</w:t>
            </w:r>
          </w:p>
        </w:tc>
        <w:tc>
          <w:tcPr>
            <w:tcW w:w="2696" w:type="dxa"/>
            <w:tcBorders>
              <w:top w:val="single" w:sz="4" w:space="0" w:color="auto"/>
              <w:left w:val="single" w:sz="4" w:space="0" w:color="auto"/>
              <w:bottom w:val="single" w:sz="4" w:space="0" w:color="auto"/>
              <w:right w:val="single" w:sz="4" w:space="0" w:color="auto"/>
            </w:tcBorders>
            <w:shd w:val="clear" w:color="auto" w:fill="D9D9D9"/>
            <w:hideMark/>
          </w:tcPr>
          <w:p w14:paraId="1327424C" w14:textId="7970CA44" w:rsidR="002750B6" w:rsidRPr="002750B6" w:rsidRDefault="002750B6" w:rsidP="00AF5C49">
            <w:pPr>
              <w:ind w:left="64"/>
              <w:rPr>
                <w:sz w:val="24"/>
                <w:szCs w:val="24"/>
                <w:lang w:val="en-GB"/>
              </w:rPr>
            </w:pPr>
            <w:r w:rsidRPr="002750B6">
              <w:rPr>
                <w:sz w:val="24"/>
                <w:szCs w:val="24"/>
                <w:lang w:val="en-GB"/>
              </w:rPr>
              <w:t>Uncommon</w:t>
            </w:r>
          </w:p>
        </w:tc>
      </w:tr>
      <w:tr w:rsidR="002750B6" w:rsidRPr="002750B6" w14:paraId="075D6871" w14:textId="77777777" w:rsidTr="00AF5C49">
        <w:trPr>
          <w:cantSplit/>
          <w:trHeight w:val="118"/>
        </w:trPr>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488DF8C3" w14:textId="77777777" w:rsidR="002750B6" w:rsidRPr="002750B6" w:rsidRDefault="002750B6" w:rsidP="00AF5C49">
            <w:pPr>
              <w:ind w:left="64"/>
              <w:rPr>
                <w:sz w:val="24"/>
                <w:szCs w:val="24"/>
                <w:lang w:val="nb-NO"/>
              </w:rPr>
            </w:pPr>
            <w:r w:rsidRPr="002750B6">
              <w:rPr>
                <w:bCs/>
                <w:sz w:val="24"/>
                <w:szCs w:val="24"/>
                <w:lang w:val="en-GB"/>
              </w:rPr>
              <w:t>Nervous system disorders</w:t>
            </w:r>
          </w:p>
        </w:tc>
        <w:tc>
          <w:tcPr>
            <w:tcW w:w="2837" w:type="dxa"/>
            <w:tcBorders>
              <w:top w:val="single" w:sz="4" w:space="0" w:color="auto"/>
              <w:left w:val="single" w:sz="4" w:space="0" w:color="auto"/>
              <w:bottom w:val="single" w:sz="4" w:space="0" w:color="auto"/>
              <w:right w:val="single" w:sz="4" w:space="0" w:color="auto"/>
            </w:tcBorders>
            <w:hideMark/>
          </w:tcPr>
          <w:p w14:paraId="098D1F12" w14:textId="77777777" w:rsidR="002750B6" w:rsidRPr="002750B6" w:rsidRDefault="002750B6" w:rsidP="00AF5C49">
            <w:pPr>
              <w:ind w:left="64"/>
              <w:rPr>
                <w:bCs/>
                <w:sz w:val="24"/>
                <w:szCs w:val="24"/>
                <w:lang w:val="en-GB"/>
              </w:rPr>
            </w:pPr>
            <w:r w:rsidRPr="002750B6">
              <w:rPr>
                <w:sz w:val="24"/>
                <w:szCs w:val="24"/>
                <w:lang w:val="en-GB"/>
              </w:rPr>
              <w:t>Headache, drowsiness, dizziness.</w:t>
            </w:r>
          </w:p>
        </w:tc>
        <w:tc>
          <w:tcPr>
            <w:tcW w:w="2696" w:type="dxa"/>
            <w:tcBorders>
              <w:top w:val="single" w:sz="4" w:space="0" w:color="auto"/>
              <w:left w:val="single" w:sz="4" w:space="0" w:color="auto"/>
              <w:bottom w:val="single" w:sz="4" w:space="0" w:color="auto"/>
              <w:right w:val="single" w:sz="4" w:space="0" w:color="auto"/>
            </w:tcBorders>
          </w:tcPr>
          <w:p w14:paraId="05ED9AEF" w14:textId="77777777" w:rsidR="002750B6" w:rsidRPr="002750B6" w:rsidRDefault="002750B6" w:rsidP="00AF5C49">
            <w:pPr>
              <w:ind w:left="64"/>
              <w:rPr>
                <w:sz w:val="24"/>
                <w:szCs w:val="24"/>
                <w:lang w:val="en-GB"/>
              </w:rPr>
            </w:pPr>
          </w:p>
        </w:tc>
      </w:tr>
      <w:tr w:rsidR="002750B6" w:rsidRPr="002750B6" w14:paraId="1C1F3B4D" w14:textId="77777777" w:rsidTr="00AF5C49">
        <w:trPr>
          <w:cantSplit/>
          <w:trHeight w:val="118"/>
        </w:trPr>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257C7192" w14:textId="77777777" w:rsidR="002750B6" w:rsidRPr="002750B6" w:rsidRDefault="002750B6" w:rsidP="00AF5C49">
            <w:pPr>
              <w:ind w:left="64"/>
              <w:rPr>
                <w:sz w:val="24"/>
                <w:szCs w:val="24"/>
                <w:lang w:val="en-GB"/>
              </w:rPr>
            </w:pPr>
            <w:r w:rsidRPr="002750B6">
              <w:rPr>
                <w:sz w:val="24"/>
                <w:szCs w:val="24"/>
                <w:lang w:val="en-GB"/>
              </w:rPr>
              <w:t xml:space="preserve">Gastrointestinal disorders </w:t>
            </w:r>
          </w:p>
        </w:tc>
        <w:tc>
          <w:tcPr>
            <w:tcW w:w="2837" w:type="dxa"/>
            <w:tcBorders>
              <w:top w:val="single" w:sz="4" w:space="0" w:color="auto"/>
              <w:left w:val="single" w:sz="4" w:space="0" w:color="auto"/>
              <w:bottom w:val="single" w:sz="4" w:space="0" w:color="auto"/>
              <w:right w:val="single" w:sz="4" w:space="0" w:color="auto"/>
            </w:tcBorders>
            <w:hideMark/>
          </w:tcPr>
          <w:p w14:paraId="321DC28F" w14:textId="77777777" w:rsidR="002750B6" w:rsidRPr="002750B6" w:rsidRDefault="002750B6" w:rsidP="00AF5C49">
            <w:pPr>
              <w:ind w:left="64"/>
              <w:rPr>
                <w:bCs/>
                <w:sz w:val="24"/>
                <w:szCs w:val="24"/>
                <w:lang w:val="en-GB"/>
              </w:rPr>
            </w:pPr>
            <w:r w:rsidRPr="002750B6">
              <w:rPr>
                <w:sz w:val="24"/>
                <w:szCs w:val="24"/>
                <w:lang w:val="en-GB"/>
              </w:rPr>
              <w:t>Nausea.</w:t>
            </w:r>
          </w:p>
        </w:tc>
        <w:tc>
          <w:tcPr>
            <w:tcW w:w="2696" w:type="dxa"/>
            <w:tcBorders>
              <w:top w:val="single" w:sz="4" w:space="0" w:color="auto"/>
              <w:left w:val="single" w:sz="4" w:space="0" w:color="auto"/>
              <w:bottom w:val="single" w:sz="4" w:space="0" w:color="auto"/>
              <w:right w:val="single" w:sz="4" w:space="0" w:color="auto"/>
            </w:tcBorders>
          </w:tcPr>
          <w:p w14:paraId="3ABDBD98" w14:textId="77777777" w:rsidR="002750B6" w:rsidRPr="002750B6" w:rsidRDefault="002750B6" w:rsidP="00AF5C49">
            <w:pPr>
              <w:ind w:left="64"/>
              <w:rPr>
                <w:sz w:val="24"/>
                <w:szCs w:val="24"/>
                <w:lang w:val="en-GB"/>
              </w:rPr>
            </w:pPr>
          </w:p>
        </w:tc>
      </w:tr>
      <w:tr w:rsidR="002750B6" w:rsidRPr="002750B6" w14:paraId="44461240" w14:textId="77777777" w:rsidTr="00AF5C49">
        <w:trPr>
          <w:cantSplit/>
          <w:trHeight w:val="118"/>
        </w:trPr>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7532AC98" w14:textId="77777777" w:rsidR="002750B6" w:rsidRPr="002750B6" w:rsidRDefault="002750B6" w:rsidP="00AF5C49">
            <w:pPr>
              <w:ind w:left="64"/>
              <w:rPr>
                <w:bCs/>
                <w:sz w:val="24"/>
                <w:szCs w:val="24"/>
                <w:lang w:val="en-US"/>
              </w:rPr>
            </w:pPr>
            <w:r w:rsidRPr="002750B6">
              <w:rPr>
                <w:sz w:val="24"/>
                <w:szCs w:val="24"/>
                <w:lang w:val="en-US"/>
              </w:rPr>
              <w:t xml:space="preserve">General disorders and administration site </w:t>
            </w:r>
            <w:proofErr w:type="spellStart"/>
            <w:r w:rsidRPr="002750B6">
              <w:rPr>
                <w:sz w:val="24"/>
                <w:szCs w:val="24"/>
                <w:lang w:val="en-US"/>
              </w:rPr>
              <w:t>conidtions</w:t>
            </w:r>
            <w:proofErr w:type="spellEnd"/>
          </w:p>
        </w:tc>
        <w:tc>
          <w:tcPr>
            <w:tcW w:w="2837" w:type="dxa"/>
            <w:tcBorders>
              <w:top w:val="single" w:sz="4" w:space="0" w:color="auto"/>
              <w:left w:val="single" w:sz="4" w:space="0" w:color="auto"/>
              <w:bottom w:val="single" w:sz="4" w:space="0" w:color="auto"/>
              <w:right w:val="single" w:sz="4" w:space="0" w:color="auto"/>
            </w:tcBorders>
          </w:tcPr>
          <w:p w14:paraId="34144931" w14:textId="77777777" w:rsidR="002750B6" w:rsidRPr="002750B6" w:rsidRDefault="002750B6" w:rsidP="00AF5C49">
            <w:pPr>
              <w:ind w:left="64"/>
              <w:rPr>
                <w:bCs/>
                <w:sz w:val="24"/>
                <w:szCs w:val="24"/>
                <w:lang w:val="en-US"/>
              </w:rPr>
            </w:pPr>
          </w:p>
        </w:tc>
        <w:tc>
          <w:tcPr>
            <w:tcW w:w="2696" w:type="dxa"/>
            <w:tcBorders>
              <w:top w:val="single" w:sz="4" w:space="0" w:color="auto"/>
              <w:left w:val="single" w:sz="4" w:space="0" w:color="auto"/>
              <w:bottom w:val="single" w:sz="4" w:space="0" w:color="auto"/>
              <w:right w:val="single" w:sz="4" w:space="0" w:color="auto"/>
            </w:tcBorders>
            <w:hideMark/>
          </w:tcPr>
          <w:p w14:paraId="0948ADF4" w14:textId="77777777" w:rsidR="002750B6" w:rsidRPr="002750B6" w:rsidRDefault="002750B6" w:rsidP="00AF5C49">
            <w:pPr>
              <w:ind w:left="64"/>
              <w:rPr>
                <w:sz w:val="24"/>
                <w:szCs w:val="24"/>
                <w:lang w:val="en-GB"/>
              </w:rPr>
            </w:pPr>
            <w:r w:rsidRPr="002750B6">
              <w:rPr>
                <w:sz w:val="24"/>
                <w:szCs w:val="24"/>
                <w:lang w:val="en-GB"/>
              </w:rPr>
              <w:t>Fatigue.</w:t>
            </w:r>
          </w:p>
        </w:tc>
      </w:tr>
    </w:tbl>
    <w:p w14:paraId="4F370C52" w14:textId="77777777" w:rsidR="002750B6" w:rsidRPr="002750B6" w:rsidRDefault="002750B6" w:rsidP="00AF5C49">
      <w:pPr>
        <w:ind w:left="851"/>
        <w:rPr>
          <w:sz w:val="24"/>
          <w:szCs w:val="24"/>
        </w:rPr>
      </w:pPr>
    </w:p>
    <w:p w14:paraId="0DE09549" w14:textId="77777777" w:rsidR="002750B6" w:rsidRPr="002750B6" w:rsidRDefault="002750B6" w:rsidP="00AF5C49">
      <w:pPr>
        <w:ind w:left="851"/>
        <w:rPr>
          <w:sz w:val="24"/>
          <w:szCs w:val="24"/>
          <w:lang w:val="en-US"/>
        </w:rPr>
      </w:pPr>
      <w:r w:rsidRPr="002750B6">
        <w:rPr>
          <w:sz w:val="24"/>
          <w:szCs w:val="24"/>
          <w:lang w:val="en-US"/>
        </w:rPr>
        <w:t xml:space="preserve">The following side effects have been reported during post-marketing surveillance in adults: </w:t>
      </w:r>
    </w:p>
    <w:p w14:paraId="7BCBCFC8" w14:textId="77777777" w:rsidR="002750B6" w:rsidRPr="002750B6" w:rsidRDefault="002750B6" w:rsidP="00AF5C49">
      <w:pPr>
        <w:ind w:left="851"/>
        <w:rPr>
          <w:sz w:val="24"/>
          <w:szCs w:val="24"/>
          <w:lang w:val="en-US"/>
        </w:rPr>
      </w:pPr>
    </w:p>
    <w:tbl>
      <w:tblPr>
        <w:tblW w:w="808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5532"/>
      </w:tblGrid>
      <w:tr w:rsidR="002750B6" w:rsidRPr="0086247E" w14:paraId="04BE0DEA" w14:textId="77777777" w:rsidTr="00AF5C49">
        <w:trPr>
          <w:cantSplit/>
          <w:trHeight w:val="118"/>
          <w:tblHeader/>
        </w:trPr>
        <w:tc>
          <w:tcPr>
            <w:tcW w:w="2553" w:type="dxa"/>
            <w:tcBorders>
              <w:top w:val="single" w:sz="4" w:space="0" w:color="auto"/>
              <w:left w:val="single" w:sz="4" w:space="0" w:color="auto"/>
              <w:bottom w:val="single" w:sz="4" w:space="0" w:color="auto"/>
              <w:right w:val="single" w:sz="4" w:space="0" w:color="auto"/>
            </w:tcBorders>
            <w:shd w:val="clear" w:color="auto" w:fill="D9D9D9"/>
          </w:tcPr>
          <w:p w14:paraId="54EF29AF" w14:textId="77777777" w:rsidR="002750B6" w:rsidRPr="002750B6" w:rsidRDefault="002750B6" w:rsidP="00AF5C49">
            <w:pPr>
              <w:ind w:left="64"/>
              <w:rPr>
                <w:sz w:val="24"/>
                <w:szCs w:val="24"/>
                <w:lang w:val="en-GB"/>
              </w:rPr>
            </w:pPr>
            <w:r w:rsidRPr="002750B6">
              <w:rPr>
                <w:sz w:val="24"/>
                <w:szCs w:val="24"/>
                <w:lang w:val="en-GB"/>
              </w:rPr>
              <w:t>Frequency</w:t>
            </w:r>
          </w:p>
          <w:p w14:paraId="761F0C7E" w14:textId="77777777" w:rsidR="002750B6" w:rsidRPr="002750B6" w:rsidRDefault="002750B6" w:rsidP="00AF5C49">
            <w:pPr>
              <w:ind w:left="64"/>
              <w:rPr>
                <w:sz w:val="24"/>
                <w:szCs w:val="24"/>
                <w:lang w:val="en-GB"/>
              </w:rPr>
            </w:pPr>
          </w:p>
          <w:p w14:paraId="202F2986" w14:textId="77777777" w:rsidR="002750B6" w:rsidRPr="002750B6" w:rsidRDefault="002750B6" w:rsidP="00AF5C49">
            <w:pPr>
              <w:ind w:left="64"/>
              <w:rPr>
                <w:sz w:val="24"/>
                <w:szCs w:val="24"/>
                <w:lang w:val="en-GB"/>
              </w:rPr>
            </w:pPr>
          </w:p>
          <w:p w14:paraId="4C58B4F3" w14:textId="77777777" w:rsidR="002750B6" w:rsidRPr="002750B6" w:rsidRDefault="002750B6" w:rsidP="00AF5C49">
            <w:pPr>
              <w:ind w:left="64"/>
              <w:rPr>
                <w:sz w:val="24"/>
                <w:szCs w:val="24"/>
                <w:lang w:val="en-GB"/>
              </w:rPr>
            </w:pPr>
            <w:r w:rsidRPr="002750B6">
              <w:rPr>
                <w:sz w:val="24"/>
                <w:szCs w:val="24"/>
                <w:lang w:val="en-GB"/>
              </w:rPr>
              <w:t>Organ class</w:t>
            </w:r>
          </w:p>
        </w:tc>
        <w:tc>
          <w:tcPr>
            <w:tcW w:w="5532" w:type="dxa"/>
            <w:tcBorders>
              <w:top w:val="single" w:sz="4" w:space="0" w:color="auto"/>
              <w:left w:val="single" w:sz="4" w:space="0" w:color="auto"/>
              <w:bottom w:val="single" w:sz="4" w:space="0" w:color="auto"/>
              <w:right w:val="single" w:sz="4" w:space="0" w:color="auto"/>
            </w:tcBorders>
            <w:shd w:val="clear" w:color="auto" w:fill="D9D9D9"/>
            <w:hideMark/>
          </w:tcPr>
          <w:p w14:paraId="02229BC2" w14:textId="77777777" w:rsidR="002750B6" w:rsidRPr="002750B6" w:rsidRDefault="002750B6" w:rsidP="00AF5C49">
            <w:pPr>
              <w:ind w:left="64"/>
              <w:rPr>
                <w:sz w:val="24"/>
                <w:szCs w:val="24"/>
                <w:lang w:val="en-US"/>
              </w:rPr>
            </w:pPr>
            <w:r w:rsidRPr="002750B6">
              <w:rPr>
                <w:sz w:val="24"/>
                <w:szCs w:val="24"/>
                <w:lang w:val="en-US"/>
              </w:rPr>
              <w:t>Not known (cannot be estimated from the available data)</w:t>
            </w:r>
          </w:p>
        </w:tc>
      </w:tr>
      <w:tr w:rsidR="002750B6" w:rsidRPr="0086247E" w14:paraId="340AB06C" w14:textId="77777777" w:rsidTr="00AF5C49">
        <w:trPr>
          <w:cantSplit/>
          <w:trHeight w:val="118"/>
        </w:trPr>
        <w:tc>
          <w:tcPr>
            <w:tcW w:w="2553" w:type="dxa"/>
            <w:tcBorders>
              <w:top w:val="single" w:sz="4" w:space="0" w:color="auto"/>
              <w:left w:val="single" w:sz="4" w:space="0" w:color="auto"/>
              <w:bottom w:val="single" w:sz="4" w:space="0" w:color="auto"/>
              <w:right w:val="single" w:sz="4" w:space="0" w:color="auto"/>
            </w:tcBorders>
            <w:shd w:val="clear" w:color="auto" w:fill="D9D9D9"/>
            <w:hideMark/>
          </w:tcPr>
          <w:p w14:paraId="0A28727A" w14:textId="77777777" w:rsidR="002750B6" w:rsidRPr="002750B6" w:rsidRDefault="002750B6" w:rsidP="00AF5C49">
            <w:pPr>
              <w:ind w:left="64"/>
              <w:rPr>
                <w:sz w:val="24"/>
                <w:szCs w:val="24"/>
                <w:lang w:val="nb-NO"/>
              </w:rPr>
            </w:pPr>
            <w:r w:rsidRPr="002750B6">
              <w:rPr>
                <w:sz w:val="24"/>
                <w:szCs w:val="24"/>
                <w:lang w:val="en-GB"/>
              </w:rPr>
              <w:t>Immune system disorders</w:t>
            </w:r>
          </w:p>
        </w:tc>
        <w:tc>
          <w:tcPr>
            <w:tcW w:w="5532" w:type="dxa"/>
            <w:tcBorders>
              <w:top w:val="single" w:sz="4" w:space="0" w:color="auto"/>
              <w:left w:val="single" w:sz="4" w:space="0" w:color="auto"/>
              <w:bottom w:val="single" w:sz="4" w:space="0" w:color="auto"/>
              <w:right w:val="single" w:sz="4" w:space="0" w:color="auto"/>
            </w:tcBorders>
          </w:tcPr>
          <w:p w14:paraId="4CBC59B9" w14:textId="77777777" w:rsidR="002750B6" w:rsidRPr="002750B6" w:rsidRDefault="002750B6" w:rsidP="00AF5C49">
            <w:pPr>
              <w:ind w:left="64"/>
              <w:rPr>
                <w:sz w:val="24"/>
                <w:szCs w:val="24"/>
                <w:lang w:val="en-US"/>
              </w:rPr>
            </w:pPr>
            <w:r w:rsidRPr="002750B6">
              <w:rPr>
                <w:sz w:val="24"/>
                <w:szCs w:val="24"/>
                <w:lang w:val="en-US"/>
              </w:rPr>
              <w:t xml:space="preserve">Hypersensitivity reactions with manifestations such as angioedema, tightness in the chest, </w:t>
            </w:r>
            <w:proofErr w:type="spellStart"/>
            <w:r w:rsidRPr="002750B6">
              <w:rPr>
                <w:sz w:val="24"/>
                <w:szCs w:val="24"/>
                <w:lang w:val="en-US"/>
              </w:rPr>
              <w:t>dyspnoea</w:t>
            </w:r>
            <w:proofErr w:type="spellEnd"/>
            <w:r w:rsidRPr="002750B6">
              <w:rPr>
                <w:sz w:val="24"/>
                <w:szCs w:val="24"/>
                <w:lang w:val="en-US"/>
              </w:rPr>
              <w:t>, flushing and systemic anaphylaxis.</w:t>
            </w:r>
          </w:p>
          <w:p w14:paraId="70CAED9E" w14:textId="77777777" w:rsidR="002750B6" w:rsidRPr="002750B6" w:rsidRDefault="002750B6" w:rsidP="00AF5C49">
            <w:pPr>
              <w:ind w:left="64"/>
              <w:rPr>
                <w:bCs/>
                <w:sz w:val="24"/>
                <w:szCs w:val="24"/>
                <w:lang w:val="en-US"/>
              </w:rPr>
            </w:pPr>
          </w:p>
        </w:tc>
      </w:tr>
      <w:tr w:rsidR="002750B6" w:rsidRPr="0086247E" w14:paraId="5C9BB367" w14:textId="77777777" w:rsidTr="00AF5C49">
        <w:trPr>
          <w:cantSplit/>
          <w:trHeight w:val="118"/>
        </w:trPr>
        <w:tc>
          <w:tcPr>
            <w:tcW w:w="2553" w:type="dxa"/>
            <w:tcBorders>
              <w:top w:val="single" w:sz="4" w:space="0" w:color="auto"/>
              <w:left w:val="single" w:sz="4" w:space="0" w:color="auto"/>
              <w:bottom w:val="single" w:sz="4" w:space="0" w:color="auto"/>
              <w:right w:val="single" w:sz="4" w:space="0" w:color="auto"/>
            </w:tcBorders>
            <w:shd w:val="clear" w:color="auto" w:fill="D9D9D9"/>
            <w:hideMark/>
          </w:tcPr>
          <w:p w14:paraId="191EF9FA" w14:textId="77777777" w:rsidR="002750B6" w:rsidRPr="002750B6" w:rsidRDefault="002750B6" w:rsidP="00AF5C49">
            <w:pPr>
              <w:ind w:left="64"/>
              <w:rPr>
                <w:sz w:val="24"/>
                <w:szCs w:val="24"/>
                <w:lang w:val="en-GB"/>
              </w:rPr>
            </w:pPr>
            <w:r w:rsidRPr="002750B6">
              <w:rPr>
                <w:sz w:val="24"/>
                <w:szCs w:val="24"/>
                <w:lang w:val="en-GB"/>
              </w:rPr>
              <w:t>Psychiatric disorders</w:t>
            </w:r>
          </w:p>
        </w:tc>
        <w:tc>
          <w:tcPr>
            <w:tcW w:w="5532" w:type="dxa"/>
            <w:tcBorders>
              <w:top w:val="single" w:sz="4" w:space="0" w:color="auto"/>
              <w:left w:val="single" w:sz="4" w:space="0" w:color="auto"/>
              <w:bottom w:val="single" w:sz="4" w:space="0" w:color="auto"/>
              <w:right w:val="single" w:sz="4" w:space="0" w:color="auto"/>
            </w:tcBorders>
          </w:tcPr>
          <w:p w14:paraId="54689E05" w14:textId="77777777" w:rsidR="002750B6" w:rsidRPr="002750B6" w:rsidRDefault="002750B6" w:rsidP="00AF5C49">
            <w:pPr>
              <w:ind w:left="64"/>
              <w:rPr>
                <w:sz w:val="24"/>
                <w:szCs w:val="24"/>
                <w:lang w:val="en-US"/>
              </w:rPr>
            </w:pPr>
            <w:r w:rsidRPr="002750B6">
              <w:rPr>
                <w:sz w:val="24"/>
                <w:szCs w:val="24"/>
                <w:lang w:val="en-US"/>
              </w:rPr>
              <w:t>Insomnia, nervousness, sleep disturbances or nightmares/excessive dreaming (</w:t>
            </w:r>
            <w:proofErr w:type="spellStart"/>
            <w:r w:rsidRPr="002750B6">
              <w:rPr>
                <w:sz w:val="24"/>
                <w:szCs w:val="24"/>
                <w:lang w:val="en-US"/>
              </w:rPr>
              <w:t>paraoniria</w:t>
            </w:r>
            <w:proofErr w:type="spellEnd"/>
            <w:r w:rsidRPr="002750B6">
              <w:rPr>
                <w:sz w:val="24"/>
                <w:szCs w:val="24"/>
                <w:lang w:val="en-US"/>
              </w:rPr>
              <w:t>).</w:t>
            </w:r>
          </w:p>
          <w:p w14:paraId="4C831A7B" w14:textId="77777777" w:rsidR="002750B6" w:rsidRPr="002750B6" w:rsidRDefault="002750B6" w:rsidP="00AF5C49">
            <w:pPr>
              <w:ind w:left="64"/>
              <w:rPr>
                <w:bCs/>
                <w:sz w:val="24"/>
                <w:szCs w:val="24"/>
                <w:lang w:val="en-US"/>
              </w:rPr>
            </w:pPr>
          </w:p>
        </w:tc>
      </w:tr>
      <w:tr w:rsidR="002750B6" w:rsidRPr="002750B6" w14:paraId="1193940B" w14:textId="77777777" w:rsidTr="00AF5C49">
        <w:trPr>
          <w:cantSplit/>
          <w:trHeight w:val="118"/>
        </w:trPr>
        <w:tc>
          <w:tcPr>
            <w:tcW w:w="2553" w:type="dxa"/>
            <w:tcBorders>
              <w:top w:val="single" w:sz="4" w:space="0" w:color="auto"/>
              <w:left w:val="single" w:sz="4" w:space="0" w:color="auto"/>
              <w:bottom w:val="single" w:sz="4" w:space="0" w:color="auto"/>
              <w:right w:val="single" w:sz="4" w:space="0" w:color="auto"/>
            </w:tcBorders>
            <w:shd w:val="clear" w:color="auto" w:fill="D9D9D9"/>
            <w:hideMark/>
          </w:tcPr>
          <w:p w14:paraId="5C3E64A3" w14:textId="77777777" w:rsidR="002750B6" w:rsidRPr="002750B6" w:rsidRDefault="002750B6" w:rsidP="00AF5C49">
            <w:pPr>
              <w:ind w:left="64"/>
              <w:rPr>
                <w:bCs/>
                <w:sz w:val="24"/>
                <w:szCs w:val="24"/>
                <w:lang w:val="en-GB"/>
              </w:rPr>
            </w:pPr>
            <w:r w:rsidRPr="002750B6">
              <w:rPr>
                <w:bCs/>
                <w:sz w:val="24"/>
                <w:szCs w:val="24"/>
                <w:lang w:val="en-GB"/>
              </w:rPr>
              <w:t>Cardiac disorders</w:t>
            </w:r>
          </w:p>
        </w:tc>
        <w:tc>
          <w:tcPr>
            <w:tcW w:w="5532" w:type="dxa"/>
            <w:tcBorders>
              <w:top w:val="single" w:sz="4" w:space="0" w:color="auto"/>
              <w:left w:val="single" w:sz="4" w:space="0" w:color="auto"/>
              <w:bottom w:val="single" w:sz="4" w:space="0" w:color="auto"/>
              <w:right w:val="single" w:sz="4" w:space="0" w:color="auto"/>
            </w:tcBorders>
          </w:tcPr>
          <w:p w14:paraId="60A7A278" w14:textId="77777777" w:rsidR="002750B6" w:rsidRPr="002750B6" w:rsidRDefault="002750B6" w:rsidP="00AF5C49">
            <w:pPr>
              <w:ind w:left="64"/>
              <w:rPr>
                <w:sz w:val="24"/>
                <w:szCs w:val="24"/>
                <w:lang w:val="en-GB"/>
              </w:rPr>
            </w:pPr>
            <w:r w:rsidRPr="002750B6">
              <w:rPr>
                <w:sz w:val="24"/>
                <w:szCs w:val="24"/>
                <w:lang w:val="en-GB"/>
              </w:rPr>
              <w:t>Tachycardia, palpitations.</w:t>
            </w:r>
          </w:p>
          <w:p w14:paraId="1A10CCF5" w14:textId="77777777" w:rsidR="002750B6" w:rsidRPr="002750B6" w:rsidRDefault="002750B6" w:rsidP="00AF5C49">
            <w:pPr>
              <w:ind w:left="64"/>
              <w:rPr>
                <w:sz w:val="24"/>
                <w:szCs w:val="24"/>
                <w:lang w:val="en-GB"/>
              </w:rPr>
            </w:pPr>
          </w:p>
        </w:tc>
      </w:tr>
      <w:tr w:rsidR="002750B6" w:rsidRPr="002750B6" w14:paraId="1978DBE8" w14:textId="77777777" w:rsidTr="00AF5C49">
        <w:trPr>
          <w:cantSplit/>
          <w:trHeight w:val="118"/>
        </w:trPr>
        <w:tc>
          <w:tcPr>
            <w:tcW w:w="2553" w:type="dxa"/>
            <w:tcBorders>
              <w:top w:val="single" w:sz="4" w:space="0" w:color="auto"/>
              <w:left w:val="single" w:sz="4" w:space="0" w:color="auto"/>
              <w:bottom w:val="single" w:sz="4" w:space="0" w:color="auto"/>
              <w:right w:val="single" w:sz="4" w:space="0" w:color="auto"/>
            </w:tcBorders>
            <w:shd w:val="clear" w:color="auto" w:fill="D9D9D9"/>
            <w:hideMark/>
          </w:tcPr>
          <w:p w14:paraId="65A336F2" w14:textId="77777777" w:rsidR="002750B6" w:rsidRPr="002750B6" w:rsidRDefault="002750B6" w:rsidP="00AF5C49">
            <w:pPr>
              <w:ind w:left="64"/>
              <w:rPr>
                <w:bCs/>
                <w:sz w:val="24"/>
                <w:szCs w:val="24"/>
                <w:lang w:val="en-GB"/>
              </w:rPr>
            </w:pPr>
            <w:r w:rsidRPr="002750B6">
              <w:rPr>
                <w:sz w:val="24"/>
                <w:szCs w:val="24"/>
                <w:lang w:val="en-GB"/>
              </w:rPr>
              <w:t>Gastrointestinal disorders</w:t>
            </w:r>
          </w:p>
        </w:tc>
        <w:tc>
          <w:tcPr>
            <w:tcW w:w="5532" w:type="dxa"/>
            <w:tcBorders>
              <w:top w:val="single" w:sz="4" w:space="0" w:color="auto"/>
              <w:left w:val="single" w:sz="4" w:space="0" w:color="auto"/>
              <w:bottom w:val="single" w:sz="4" w:space="0" w:color="auto"/>
              <w:right w:val="single" w:sz="4" w:space="0" w:color="auto"/>
            </w:tcBorders>
          </w:tcPr>
          <w:p w14:paraId="417FD0A9" w14:textId="77777777" w:rsidR="002750B6" w:rsidRPr="002750B6" w:rsidRDefault="002750B6" w:rsidP="00AF5C49">
            <w:pPr>
              <w:ind w:left="64"/>
              <w:rPr>
                <w:sz w:val="24"/>
                <w:szCs w:val="24"/>
                <w:lang w:val="en-GB"/>
              </w:rPr>
            </w:pPr>
            <w:r w:rsidRPr="002750B6">
              <w:rPr>
                <w:sz w:val="24"/>
                <w:szCs w:val="24"/>
                <w:lang w:val="en-GB"/>
              </w:rPr>
              <w:t>Diarrhoea.</w:t>
            </w:r>
          </w:p>
          <w:p w14:paraId="5F74A8B4" w14:textId="77777777" w:rsidR="002750B6" w:rsidRPr="002750B6" w:rsidRDefault="002750B6" w:rsidP="00AF5C49">
            <w:pPr>
              <w:ind w:left="64"/>
              <w:rPr>
                <w:sz w:val="24"/>
                <w:szCs w:val="24"/>
                <w:lang w:val="en-GB"/>
              </w:rPr>
            </w:pPr>
          </w:p>
        </w:tc>
      </w:tr>
      <w:tr w:rsidR="002750B6" w:rsidRPr="002750B6" w14:paraId="54BB9930" w14:textId="77777777" w:rsidTr="00AF5C49">
        <w:trPr>
          <w:cantSplit/>
          <w:trHeight w:val="118"/>
        </w:trPr>
        <w:tc>
          <w:tcPr>
            <w:tcW w:w="2553" w:type="dxa"/>
            <w:tcBorders>
              <w:top w:val="single" w:sz="4" w:space="0" w:color="auto"/>
              <w:left w:val="single" w:sz="4" w:space="0" w:color="auto"/>
              <w:bottom w:val="single" w:sz="4" w:space="0" w:color="auto"/>
              <w:right w:val="single" w:sz="4" w:space="0" w:color="auto"/>
            </w:tcBorders>
            <w:shd w:val="clear" w:color="auto" w:fill="D9D9D9"/>
            <w:hideMark/>
          </w:tcPr>
          <w:p w14:paraId="4C9916F1" w14:textId="77777777" w:rsidR="002750B6" w:rsidRPr="002750B6" w:rsidRDefault="002750B6" w:rsidP="00AF5C49">
            <w:pPr>
              <w:ind w:left="64"/>
              <w:rPr>
                <w:sz w:val="24"/>
                <w:szCs w:val="24"/>
                <w:lang w:val="en-US"/>
              </w:rPr>
            </w:pPr>
            <w:r w:rsidRPr="002750B6">
              <w:rPr>
                <w:sz w:val="24"/>
                <w:szCs w:val="24"/>
                <w:lang w:val="en-US"/>
              </w:rPr>
              <w:t>Skin and subcutaneous tissue disorders</w:t>
            </w:r>
          </w:p>
        </w:tc>
        <w:tc>
          <w:tcPr>
            <w:tcW w:w="5532" w:type="dxa"/>
            <w:tcBorders>
              <w:top w:val="single" w:sz="4" w:space="0" w:color="auto"/>
              <w:left w:val="single" w:sz="4" w:space="0" w:color="auto"/>
              <w:bottom w:val="single" w:sz="4" w:space="0" w:color="auto"/>
              <w:right w:val="single" w:sz="4" w:space="0" w:color="auto"/>
            </w:tcBorders>
          </w:tcPr>
          <w:p w14:paraId="2811F637" w14:textId="77777777" w:rsidR="002750B6" w:rsidRPr="002750B6" w:rsidRDefault="002750B6" w:rsidP="00AF5C49">
            <w:pPr>
              <w:ind w:left="64"/>
              <w:rPr>
                <w:sz w:val="24"/>
                <w:szCs w:val="24"/>
                <w:lang w:val="en-GB"/>
              </w:rPr>
            </w:pPr>
            <w:r w:rsidRPr="002750B6">
              <w:rPr>
                <w:sz w:val="24"/>
                <w:szCs w:val="24"/>
                <w:lang w:val="en-GB"/>
              </w:rPr>
              <w:t>Rash, urticaria, pruritus.</w:t>
            </w:r>
          </w:p>
          <w:p w14:paraId="541F6D94" w14:textId="77777777" w:rsidR="002750B6" w:rsidRPr="002750B6" w:rsidRDefault="002750B6" w:rsidP="00AF5C49">
            <w:pPr>
              <w:ind w:left="64"/>
              <w:rPr>
                <w:sz w:val="24"/>
                <w:szCs w:val="24"/>
                <w:lang w:val="en-GB"/>
              </w:rPr>
            </w:pPr>
          </w:p>
        </w:tc>
      </w:tr>
      <w:tr w:rsidR="002750B6" w:rsidRPr="002750B6" w14:paraId="708E728D" w14:textId="77777777" w:rsidTr="00AF5C49">
        <w:trPr>
          <w:cantSplit/>
          <w:trHeight w:val="118"/>
        </w:trPr>
        <w:tc>
          <w:tcPr>
            <w:tcW w:w="2553" w:type="dxa"/>
            <w:tcBorders>
              <w:top w:val="single" w:sz="4" w:space="0" w:color="auto"/>
              <w:left w:val="single" w:sz="4" w:space="0" w:color="auto"/>
              <w:bottom w:val="single" w:sz="4" w:space="0" w:color="auto"/>
              <w:right w:val="single" w:sz="4" w:space="0" w:color="auto"/>
            </w:tcBorders>
            <w:shd w:val="clear" w:color="auto" w:fill="D9D9D9"/>
            <w:hideMark/>
          </w:tcPr>
          <w:p w14:paraId="3BF098C9" w14:textId="77777777" w:rsidR="002750B6" w:rsidRPr="002750B6" w:rsidRDefault="002750B6" w:rsidP="00AF5C49">
            <w:pPr>
              <w:ind w:left="64"/>
              <w:rPr>
                <w:sz w:val="24"/>
                <w:szCs w:val="24"/>
                <w:lang w:val="de-DE"/>
              </w:rPr>
            </w:pPr>
            <w:r w:rsidRPr="002750B6">
              <w:rPr>
                <w:sz w:val="24"/>
                <w:szCs w:val="24"/>
                <w:lang w:val="en-GB"/>
              </w:rPr>
              <w:t>Eye disorders</w:t>
            </w:r>
          </w:p>
        </w:tc>
        <w:tc>
          <w:tcPr>
            <w:tcW w:w="5532" w:type="dxa"/>
            <w:tcBorders>
              <w:top w:val="single" w:sz="4" w:space="0" w:color="auto"/>
              <w:left w:val="single" w:sz="4" w:space="0" w:color="auto"/>
              <w:bottom w:val="single" w:sz="4" w:space="0" w:color="auto"/>
              <w:right w:val="single" w:sz="4" w:space="0" w:color="auto"/>
            </w:tcBorders>
            <w:hideMark/>
          </w:tcPr>
          <w:p w14:paraId="18222266" w14:textId="77777777" w:rsidR="002750B6" w:rsidRPr="002750B6" w:rsidRDefault="002750B6" w:rsidP="00AF5C49">
            <w:pPr>
              <w:ind w:left="64"/>
              <w:rPr>
                <w:sz w:val="24"/>
                <w:szCs w:val="24"/>
                <w:lang w:val="en-GB"/>
              </w:rPr>
            </w:pPr>
            <w:r w:rsidRPr="002750B6">
              <w:rPr>
                <w:sz w:val="24"/>
                <w:szCs w:val="24"/>
                <w:lang w:val="en-GB"/>
              </w:rPr>
              <w:t>Blurred vision.</w:t>
            </w:r>
          </w:p>
        </w:tc>
      </w:tr>
    </w:tbl>
    <w:p w14:paraId="23CD80B6" w14:textId="77777777" w:rsidR="002750B6" w:rsidRPr="002750B6" w:rsidRDefault="002750B6" w:rsidP="002750B6">
      <w:pPr>
        <w:tabs>
          <w:tab w:val="left" w:pos="851"/>
        </w:tabs>
        <w:ind w:left="851"/>
        <w:rPr>
          <w:sz w:val="24"/>
          <w:szCs w:val="24"/>
        </w:rPr>
      </w:pPr>
    </w:p>
    <w:p w14:paraId="0C683D1C" w14:textId="77777777" w:rsidR="00AF5C49" w:rsidRPr="00AF5C49" w:rsidRDefault="00AF5C49" w:rsidP="00AF5C49">
      <w:pPr>
        <w:tabs>
          <w:tab w:val="left" w:pos="851"/>
        </w:tabs>
        <w:ind w:left="851"/>
        <w:rPr>
          <w:sz w:val="24"/>
          <w:szCs w:val="24"/>
          <w:u w:val="single"/>
          <w:lang w:val="en-GB"/>
        </w:rPr>
      </w:pPr>
      <w:r w:rsidRPr="00AF5C49">
        <w:rPr>
          <w:sz w:val="24"/>
          <w:szCs w:val="24"/>
          <w:u w:val="single"/>
          <w:lang w:val="en-GB"/>
        </w:rPr>
        <w:t>Reporting of suspected adverse reactions</w:t>
      </w:r>
    </w:p>
    <w:p w14:paraId="15FD0A14" w14:textId="77777777" w:rsidR="00AF5C49" w:rsidRPr="00AF5C49" w:rsidRDefault="00AF5C49" w:rsidP="00AF5C49">
      <w:pPr>
        <w:tabs>
          <w:tab w:val="left" w:pos="851"/>
        </w:tabs>
        <w:ind w:left="851"/>
        <w:rPr>
          <w:sz w:val="24"/>
          <w:szCs w:val="24"/>
          <w:lang w:val="en-GB"/>
        </w:rPr>
      </w:pPr>
      <w:r w:rsidRPr="00AF5C49">
        <w:rPr>
          <w:sz w:val="24"/>
          <w:szCs w:val="24"/>
          <w:lang w:val="en-GB"/>
        </w:rPr>
        <w:t>Reporting suspected adverse reactions after authorisation of the medicinal product is important. It allows continued monitoring of the benefit/risk balance of the medicinal product. Healthcare professionals are asked to report any suspected adverse reactions via:</w:t>
      </w:r>
    </w:p>
    <w:p w14:paraId="27786FDE" w14:textId="77777777" w:rsidR="00AF5C49" w:rsidRPr="00AF5C49" w:rsidRDefault="00AF5C49" w:rsidP="00AF5C49">
      <w:pPr>
        <w:tabs>
          <w:tab w:val="left" w:pos="851"/>
        </w:tabs>
        <w:ind w:left="851"/>
        <w:rPr>
          <w:sz w:val="24"/>
          <w:szCs w:val="24"/>
          <w:lang w:val="en-GB"/>
        </w:rPr>
      </w:pPr>
    </w:p>
    <w:p w14:paraId="52685FE1" w14:textId="77777777" w:rsidR="00AF5C49" w:rsidRPr="00AF5C49" w:rsidRDefault="00AF5C49" w:rsidP="00AF5C49">
      <w:pPr>
        <w:tabs>
          <w:tab w:val="left" w:pos="851"/>
        </w:tabs>
        <w:ind w:left="851"/>
        <w:rPr>
          <w:sz w:val="24"/>
          <w:szCs w:val="24"/>
        </w:rPr>
      </w:pPr>
      <w:r w:rsidRPr="00AF5C49">
        <w:rPr>
          <w:sz w:val="24"/>
          <w:szCs w:val="24"/>
        </w:rPr>
        <w:t>Lægemiddelstyrelsen</w:t>
      </w:r>
    </w:p>
    <w:p w14:paraId="0933187A" w14:textId="77777777" w:rsidR="00AF5C49" w:rsidRPr="00AF5C49" w:rsidRDefault="00AF5C49" w:rsidP="00AF5C49">
      <w:pPr>
        <w:tabs>
          <w:tab w:val="left" w:pos="851"/>
        </w:tabs>
        <w:ind w:left="851"/>
        <w:rPr>
          <w:sz w:val="24"/>
          <w:szCs w:val="24"/>
        </w:rPr>
      </w:pPr>
      <w:r w:rsidRPr="00AF5C49">
        <w:rPr>
          <w:sz w:val="24"/>
          <w:szCs w:val="24"/>
        </w:rPr>
        <w:t>Axel Heides Gade 1</w:t>
      </w:r>
    </w:p>
    <w:p w14:paraId="083EBCB7" w14:textId="77777777" w:rsidR="00AF5C49" w:rsidRPr="00AF5C49" w:rsidRDefault="00AF5C49" w:rsidP="00AF5C49">
      <w:pPr>
        <w:tabs>
          <w:tab w:val="left" w:pos="851"/>
        </w:tabs>
        <w:ind w:left="851"/>
        <w:rPr>
          <w:sz w:val="24"/>
          <w:szCs w:val="24"/>
        </w:rPr>
      </w:pPr>
      <w:r w:rsidRPr="00AF5C49">
        <w:rPr>
          <w:sz w:val="24"/>
          <w:szCs w:val="24"/>
        </w:rPr>
        <w:t>DK-2300 København S</w:t>
      </w:r>
    </w:p>
    <w:p w14:paraId="69DA7B64" w14:textId="77777777" w:rsidR="00AF5C49" w:rsidRPr="0086247E" w:rsidRDefault="00AF5C49" w:rsidP="00AF5C49">
      <w:pPr>
        <w:tabs>
          <w:tab w:val="left" w:pos="851"/>
        </w:tabs>
        <w:ind w:left="851"/>
        <w:rPr>
          <w:sz w:val="24"/>
          <w:szCs w:val="24"/>
          <w:lang w:val="en-US"/>
        </w:rPr>
      </w:pPr>
      <w:r w:rsidRPr="0086247E">
        <w:rPr>
          <w:sz w:val="24"/>
          <w:szCs w:val="24"/>
          <w:lang w:val="en-US"/>
        </w:rPr>
        <w:t>Website: www.meldenbivirkning.dk</w:t>
      </w:r>
    </w:p>
    <w:p w14:paraId="0B094E81" w14:textId="77777777" w:rsidR="007C5D2A" w:rsidRPr="002734EF" w:rsidRDefault="007C5D2A" w:rsidP="007A4CC6">
      <w:pPr>
        <w:tabs>
          <w:tab w:val="left" w:pos="851"/>
        </w:tabs>
        <w:ind w:left="851"/>
        <w:rPr>
          <w:sz w:val="24"/>
          <w:szCs w:val="24"/>
          <w:lang w:val="en-US"/>
        </w:rPr>
      </w:pPr>
    </w:p>
    <w:p w14:paraId="7F155A37" w14:textId="77777777" w:rsidR="007C5D2A" w:rsidRPr="002734EF" w:rsidRDefault="007C5D2A" w:rsidP="007C5D2A">
      <w:pPr>
        <w:tabs>
          <w:tab w:val="left" w:pos="851"/>
        </w:tabs>
        <w:ind w:left="851" w:hanging="851"/>
        <w:rPr>
          <w:b/>
          <w:sz w:val="24"/>
          <w:szCs w:val="24"/>
          <w:lang w:val="en-GB"/>
        </w:rPr>
      </w:pPr>
      <w:r w:rsidRPr="002734EF">
        <w:rPr>
          <w:b/>
          <w:sz w:val="24"/>
          <w:szCs w:val="24"/>
          <w:lang w:val="en-GB"/>
        </w:rPr>
        <w:t>4.9</w:t>
      </w:r>
      <w:r w:rsidRPr="002734EF">
        <w:rPr>
          <w:b/>
          <w:sz w:val="24"/>
          <w:szCs w:val="24"/>
          <w:lang w:val="en-GB"/>
        </w:rPr>
        <w:tab/>
        <w:t>Overdose</w:t>
      </w:r>
    </w:p>
    <w:p w14:paraId="3DC92835" w14:textId="77777777" w:rsidR="002750B6" w:rsidRPr="002750B6" w:rsidRDefault="002750B6" w:rsidP="00AF5C49">
      <w:pPr>
        <w:ind w:left="851"/>
        <w:rPr>
          <w:sz w:val="24"/>
          <w:szCs w:val="24"/>
          <w:lang w:val="en-US"/>
        </w:rPr>
      </w:pPr>
      <w:r w:rsidRPr="002750B6">
        <w:rPr>
          <w:sz w:val="24"/>
          <w:szCs w:val="24"/>
          <w:lang w:val="en-US"/>
        </w:rPr>
        <w:t xml:space="preserve">Dizziness, drowsiness, fatigue and dry mouth have been reported with overdose of fexofenadine hydrochloride. Single doses up to 800 mg and doses up to 690 mg twice daily for 1 month, or 240 mg once daily for 1 year, have been administered to healthy adult subjects without the occurrence of clinically significant adverse events as compared to placebo. The maximum tolerated dose of fexofenadine hydrochloride has not been established. </w:t>
      </w:r>
    </w:p>
    <w:p w14:paraId="6918459B" w14:textId="77777777" w:rsidR="002750B6" w:rsidRPr="002750B6" w:rsidRDefault="002750B6" w:rsidP="002750B6">
      <w:pPr>
        <w:tabs>
          <w:tab w:val="left" w:pos="851"/>
        </w:tabs>
        <w:ind w:left="851"/>
        <w:rPr>
          <w:sz w:val="24"/>
          <w:szCs w:val="24"/>
          <w:u w:val="single"/>
          <w:lang w:val="en-US"/>
        </w:rPr>
      </w:pPr>
    </w:p>
    <w:p w14:paraId="633328AB" w14:textId="77777777" w:rsidR="002750B6" w:rsidRPr="002750B6" w:rsidRDefault="002750B6" w:rsidP="00AF5C49">
      <w:pPr>
        <w:ind w:left="851"/>
        <w:rPr>
          <w:sz w:val="24"/>
          <w:szCs w:val="24"/>
          <w:lang w:val="en-US"/>
        </w:rPr>
      </w:pPr>
      <w:r w:rsidRPr="002750B6">
        <w:rPr>
          <w:sz w:val="24"/>
          <w:szCs w:val="24"/>
          <w:lang w:val="en-US"/>
        </w:rPr>
        <w:t xml:space="preserve">The usual precautions should be considered to remove any unabsorbed medicinal product. Symptomatic and supportive treatment is recommended. Fexofenadine hydrochloride cannot be effectively removed from the blood by </w:t>
      </w:r>
      <w:proofErr w:type="spellStart"/>
      <w:r w:rsidRPr="002750B6">
        <w:rPr>
          <w:sz w:val="24"/>
          <w:szCs w:val="24"/>
          <w:lang w:val="en-US"/>
        </w:rPr>
        <w:t>haemodialysis</w:t>
      </w:r>
      <w:proofErr w:type="spellEnd"/>
      <w:r w:rsidRPr="002750B6">
        <w:rPr>
          <w:sz w:val="24"/>
          <w:szCs w:val="24"/>
          <w:lang w:val="en-US"/>
        </w:rPr>
        <w:t>.</w:t>
      </w:r>
    </w:p>
    <w:p w14:paraId="490A1A45" w14:textId="77777777" w:rsidR="007C5D2A" w:rsidRPr="002734EF" w:rsidRDefault="007C5D2A" w:rsidP="003E0341">
      <w:pPr>
        <w:tabs>
          <w:tab w:val="left" w:pos="851"/>
        </w:tabs>
        <w:ind w:left="851"/>
        <w:rPr>
          <w:sz w:val="24"/>
          <w:szCs w:val="24"/>
          <w:lang w:val="en-US"/>
        </w:rPr>
      </w:pPr>
    </w:p>
    <w:p w14:paraId="239EB018" w14:textId="77777777" w:rsidR="008F2F8C" w:rsidRPr="002734EF" w:rsidRDefault="0042292D" w:rsidP="0042292D">
      <w:pPr>
        <w:tabs>
          <w:tab w:val="left" w:pos="851"/>
        </w:tabs>
        <w:rPr>
          <w:b/>
          <w:sz w:val="24"/>
          <w:szCs w:val="24"/>
          <w:lang w:val="en-GB"/>
        </w:rPr>
      </w:pPr>
      <w:r w:rsidRPr="002734EF">
        <w:rPr>
          <w:b/>
          <w:sz w:val="24"/>
          <w:szCs w:val="24"/>
          <w:lang w:val="en-GB"/>
        </w:rPr>
        <w:t>4.10</w:t>
      </w:r>
      <w:r w:rsidRPr="002734EF">
        <w:rPr>
          <w:b/>
          <w:sz w:val="24"/>
          <w:szCs w:val="24"/>
          <w:lang w:val="en-GB"/>
        </w:rPr>
        <w:tab/>
        <w:t>Legal status</w:t>
      </w:r>
    </w:p>
    <w:p w14:paraId="19D65932" w14:textId="668FEA1F" w:rsidR="00AD2E36" w:rsidRPr="002734EF" w:rsidRDefault="00AF5C49" w:rsidP="00AD2E36">
      <w:pPr>
        <w:tabs>
          <w:tab w:val="left" w:pos="851"/>
        </w:tabs>
        <w:ind w:left="851"/>
        <w:rPr>
          <w:sz w:val="24"/>
          <w:szCs w:val="24"/>
          <w:lang w:val="en-GB"/>
        </w:rPr>
      </w:pPr>
      <w:r w:rsidRPr="002734EF">
        <w:rPr>
          <w:sz w:val="24"/>
          <w:szCs w:val="24"/>
          <w:lang w:val="en-GB"/>
        </w:rPr>
        <w:t>HF</w:t>
      </w:r>
    </w:p>
    <w:p w14:paraId="4F2889C9" w14:textId="77777777" w:rsidR="007C5D2A" w:rsidRPr="002734EF" w:rsidRDefault="007C5D2A" w:rsidP="003E0341">
      <w:pPr>
        <w:tabs>
          <w:tab w:val="left" w:pos="851"/>
        </w:tabs>
        <w:ind w:left="851"/>
        <w:rPr>
          <w:sz w:val="24"/>
          <w:szCs w:val="24"/>
          <w:lang w:val="en-GB"/>
        </w:rPr>
      </w:pPr>
    </w:p>
    <w:p w14:paraId="613ACDD1" w14:textId="77777777" w:rsidR="00AD2E36" w:rsidRPr="002734EF" w:rsidRDefault="00AD2E36" w:rsidP="003E0341">
      <w:pPr>
        <w:tabs>
          <w:tab w:val="left" w:pos="851"/>
        </w:tabs>
        <w:ind w:left="851"/>
        <w:rPr>
          <w:sz w:val="24"/>
          <w:szCs w:val="24"/>
          <w:lang w:val="en-GB"/>
        </w:rPr>
      </w:pPr>
    </w:p>
    <w:p w14:paraId="27F6B70D" w14:textId="77777777" w:rsidR="007C5D2A" w:rsidRPr="002734EF" w:rsidRDefault="007C5D2A" w:rsidP="007C5D2A">
      <w:pPr>
        <w:tabs>
          <w:tab w:val="left" w:pos="851"/>
        </w:tabs>
        <w:rPr>
          <w:b/>
          <w:sz w:val="24"/>
          <w:szCs w:val="24"/>
          <w:lang w:val="en-GB"/>
        </w:rPr>
      </w:pPr>
      <w:r w:rsidRPr="002734EF">
        <w:rPr>
          <w:b/>
          <w:sz w:val="24"/>
          <w:szCs w:val="24"/>
          <w:lang w:val="en-GB"/>
        </w:rPr>
        <w:t>5.</w:t>
      </w:r>
      <w:r w:rsidRPr="002734EF">
        <w:rPr>
          <w:b/>
          <w:sz w:val="24"/>
          <w:szCs w:val="24"/>
          <w:lang w:val="en-GB"/>
        </w:rPr>
        <w:tab/>
        <w:t>PHARMACOLOGICAL PROPERTIES</w:t>
      </w:r>
    </w:p>
    <w:p w14:paraId="3ED92552" w14:textId="77777777" w:rsidR="007C5D2A" w:rsidRPr="002734EF" w:rsidRDefault="007C5D2A" w:rsidP="003E0341">
      <w:pPr>
        <w:tabs>
          <w:tab w:val="left" w:pos="851"/>
        </w:tabs>
        <w:ind w:left="851"/>
        <w:rPr>
          <w:sz w:val="24"/>
          <w:szCs w:val="24"/>
          <w:lang w:val="en-GB"/>
        </w:rPr>
      </w:pPr>
    </w:p>
    <w:p w14:paraId="2B798C16" w14:textId="77777777" w:rsidR="007C5D2A" w:rsidRPr="002734EF" w:rsidRDefault="007C5D2A" w:rsidP="007C5D2A">
      <w:pPr>
        <w:tabs>
          <w:tab w:val="left" w:pos="851"/>
        </w:tabs>
        <w:ind w:left="851" w:hanging="851"/>
        <w:rPr>
          <w:b/>
          <w:sz w:val="24"/>
          <w:szCs w:val="24"/>
          <w:lang w:val="en-GB"/>
        </w:rPr>
      </w:pPr>
      <w:r w:rsidRPr="002734EF">
        <w:rPr>
          <w:b/>
          <w:sz w:val="24"/>
          <w:szCs w:val="24"/>
          <w:lang w:val="en-GB"/>
        </w:rPr>
        <w:t>5.1</w:t>
      </w:r>
      <w:r w:rsidRPr="002734EF">
        <w:rPr>
          <w:b/>
          <w:sz w:val="24"/>
          <w:szCs w:val="24"/>
          <w:lang w:val="en-GB"/>
        </w:rPr>
        <w:tab/>
        <w:t>Pharmacodynamic properties</w:t>
      </w:r>
      <w:r w:rsidRPr="002734EF">
        <w:rPr>
          <w:b/>
          <w:sz w:val="24"/>
          <w:szCs w:val="24"/>
          <w:lang w:val="en-GB"/>
        </w:rPr>
        <w:tab/>
      </w:r>
    </w:p>
    <w:p w14:paraId="3A33D310" w14:textId="099CE18D" w:rsidR="002750B6" w:rsidRPr="002750B6" w:rsidRDefault="002750B6" w:rsidP="00AF5C49">
      <w:pPr>
        <w:ind w:left="851"/>
        <w:rPr>
          <w:sz w:val="24"/>
          <w:szCs w:val="24"/>
          <w:lang w:val="en-US"/>
        </w:rPr>
      </w:pPr>
      <w:r w:rsidRPr="002750B6">
        <w:rPr>
          <w:sz w:val="24"/>
          <w:szCs w:val="24"/>
          <w:lang w:val="en-US"/>
        </w:rPr>
        <w:t>Pharmacotherapeutic classification: Antihistamines for systemic use</w:t>
      </w:r>
      <w:r w:rsidR="002734EF">
        <w:rPr>
          <w:sz w:val="24"/>
          <w:szCs w:val="24"/>
          <w:lang w:val="en-US"/>
        </w:rPr>
        <w:t xml:space="preserve">, </w:t>
      </w:r>
      <w:r w:rsidRPr="002750B6">
        <w:rPr>
          <w:sz w:val="24"/>
          <w:szCs w:val="24"/>
          <w:lang w:val="en-US"/>
        </w:rPr>
        <w:t>ATC code: R06AX26.</w:t>
      </w:r>
    </w:p>
    <w:p w14:paraId="7134EE37" w14:textId="77777777" w:rsidR="002750B6" w:rsidRPr="002750B6" w:rsidRDefault="002750B6" w:rsidP="00AF5C49">
      <w:pPr>
        <w:ind w:left="851"/>
        <w:rPr>
          <w:sz w:val="24"/>
          <w:szCs w:val="24"/>
          <w:lang w:val="en-US"/>
        </w:rPr>
      </w:pPr>
    </w:p>
    <w:p w14:paraId="16A3B948" w14:textId="77777777" w:rsidR="002750B6" w:rsidRPr="002750B6" w:rsidRDefault="002750B6" w:rsidP="00AF5C49">
      <w:pPr>
        <w:ind w:left="851"/>
        <w:rPr>
          <w:sz w:val="24"/>
          <w:szCs w:val="24"/>
          <w:lang w:val="en-US"/>
        </w:rPr>
      </w:pPr>
      <w:r w:rsidRPr="002750B6">
        <w:rPr>
          <w:iCs/>
          <w:sz w:val="24"/>
          <w:szCs w:val="24"/>
          <w:u w:val="single"/>
          <w:lang w:val="en-US"/>
        </w:rPr>
        <w:t xml:space="preserve">Mechanism of action </w:t>
      </w:r>
    </w:p>
    <w:p w14:paraId="2207B807" w14:textId="77777777" w:rsidR="002750B6" w:rsidRPr="002750B6" w:rsidRDefault="002750B6" w:rsidP="00AF5C49">
      <w:pPr>
        <w:ind w:left="851"/>
        <w:rPr>
          <w:sz w:val="24"/>
          <w:szCs w:val="24"/>
          <w:lang w:val="en-US"/>
        </w:rPr>
      </w:pPr>
      <w:r w:rsidRPr="002750B6">
        <w:rPr>
          <w:sz w:val="24"/>
          <w:szCs w:val="24"/>
          <w:lang w:val="en-US"/>
        </w:rPr>
        <w:t>Fexofenadine hydrochloride is a non-sedating H1 antihistamine. Fexofenadine is a pharmacologically active metabolite of terfenadine.</w:t>
      </w:r>
    </w:p>
    <w:p w14:paraId="1D2BB937" w14:textId="77777777" w:rsidR="002750B6" w:rsidRPr="002750B6" w:rsidRDefault="002750B6" w:rsidP="00AF5C49">
      <w:pPr>
        <w:ind w:left="851"/>
        <w:rPr>
          <w:sz w:val="24"/>
          <w:szCs w:val="24"/>
          <w:lang w:val="en-US"/>
        </w:rPr>
      </w:pPr>
    </w:p>
    <w:p w14:paraId="316D3033" w14:textId="77777777" w:rsidR="002750B6" w:rsidRPr="002750B6" w:rsidRDefault="002750B6" w:rsidP="00AF5C49">
      <w:pPr>
        <w:ind w:left="851"/>
        <w:rPr>
          <w:sz w:val="24"/>
          <w:szCs w:val="24"/>
          <w:u w:val="single"/>
          <w:lang w:val="en-US"/>
        </w:rPr>
      </w:pPr>
      <w:r w:rsidRPr="002750B6">
        <w:rPr>
          <w:sz w:val="24"/>
          <w:szCs w:val="24"/>
          <w:u w:val="single"/>
          <w:lang w:val="en-US"/>
        </w:rPr>
        <w:t>Clinical efficacy and safety</w:t>
      </w:r>
    </w:p>
    <w:p w14:paraId="44DED75D" w14:textId="77777777" w:rsidR="002750B6" w:rsidRPr="002750B6" w:rsidRDefault="002750B6" w:rsidP="00AF5C49">
      <w:pPr>
        <w:ind w:left="851"/>
        <w:rPr>
          <w:sz w:val="24"/>
          <w:szCs w:val="24"/>
          <w:lang w:val="en-US"/>
        </w:rPr>
      </w:pPr>
      <w:r w:rsidRPr="002750B6">
        <w:rPr>
          <w:sz w:val="24"/>
          <w:szCs w:val="24"/>
          <w:lang w:val="en-US"/>
        </w:rPr>
        <w:t xml:space="preserve">In human histamine </w:t>
      </w:r>
      <w:proofErr w:type="gramStart"/>
      <w:r w:rsidRPr="002750B6">
        <w:rPr>
          <w:sz w:val="24"/>
          <w:szCs w:val="24"/>
          <w:lang w:val="en-US"/>
        </w:rPr>
        <w:t>wheal</w:t>
      </w:r>
      <w:proofErr w:type="gramEnd"/>
      <w:r w:rsidRPr="002750B6">
        <w:rPr>
          <w:sz w:val="24"/>
          <w:szCs w:val="24"/>
          <w:lang w:val="en-US"/>
        </w:rPr>
        <w:t xml:space="preserve"> and flare studies following administration of fexofenadine hydrochloride once and twice daily, the medicinal product was shown to exert an antihistamine effect occurring within 1 hour, achieving maximum at 6 hours and lasting for 24 hours. There was no evidence of tolerance development to these effects after 28 days of administration. A positive dose-response relationship was observed between oral doses of 10 mg to 130 mg. In this model of antihistamine activity, it was found that it required doses of at least 130 mg to achieve a constant effect over 24 hours. The maximum inhibition of swelling and redness of the skin was greater than 80%. Clinical studies conducted in patients with seasonal allergic rhinitis have shown that a dose of 120 mg is sufficient for 24 hours of effect.</w:t>
      </w:r>
    </w:p>
    <w:p w14:paraId="33F8E586" w14:textId="77777777" w:rsidR="002750B6" w:rsidRPr="002750B6" w:rsidRDefault="002750B6" w:rsidP="00AF5C49">
      <w:pPr>
        <w:ind w:left="851"/>
        <w:rPr>
          <w:sz w:val="24"/>
          <w:szCs w:val="24"/>
          <w:lang w:val="en-US"/>
        </w:rPr>
      </w:pPr>
    </w:p>
    <w:p w14:paraId="6E8A1E3E" w14:textId="77777777" w:rsidR="002750B6" w:rsidRPr="002750B6" w:rsidRDefault="002750B6" w:rsidP="00AF5C49">
      <w:pPr>
        <w:ind w:left="851"/>
        <w:rPr>
          <w:sz w:val="24"/>
          <w:szCs w:val="24"/>
          <w:lang w:val="en-US"/>
        </w:rPr>
      </w:pPr>
      <w:r w:rsidRPr="002750B6">
        <w:rPr>
          <w:sz w:val="24"/>
          <w:szCs w:val="24"/>
          <w:lang w:val="en-US"/>
        </w:rPr>
        <w:t>No significant differences in QTc intervals were observed in patients with seasonal allergic rhinitis who received up to 240 mg fexofenadine hydrochloride twice daily for 2 weeks compared to placebo. Nor were significant changes in QTc intervals observed in healthy subjects who received up to 60 mg fexofenadine hydrochloride twice daily for 6 months, 400 mg twice daily for 6.5 days, and 240 mg once daily for 1 year, compared to placebo. Fexofenadine at concentrations 32 times higher than the therapeutic level in humans had no effect on the delayed rectifier K+ channel cloned from the human heart.</w:t>
      </w:r>
    </w:p>
    <w:p w14:paraId="43B72530" w14:textId="77777777" w:rsidR="002750B6" w:rsidRPr="002750B6" w:rsidRDefault="002750B6" w:rsidP="00AF5C49">
      <w:pPr>
        <w:ind w:left="851"/>
        <w:rPr>
          <w:sz w:val="24"/>
          <w:szCs w:val="24"/>
          <w:lang w:val="en-US"/>
        </w:rPr>
      </w:pPr>
    </w:p>
    <w:p w14:paraId="641A753B" w14:textId="77777777" w:rsidR="002750B6" w:rsidRPr="002750B6" w:rsidRDefault="002750B6" w:rsidP="00AF5C49">
      <w:pPr>
        <w:ind w:left="851"/>
        <w:rPr>
          <w:sz w:val="24"/>
          <w:szCs w:val="24"/>
          <w:lang w:val="en-US"/>
        </w:rPr>
      </w:pPr>
      <w:r w:rsidRPr="002750B6">
        <w:rPr>
          <w:sz w:val="24"/>
          <w:szCs w:val="24"/>
          <w:lang w:val="en-US"/>
        </w:rPr>
        <w:t xml:space="preserve">Fexofenadine hydrochloride (5-10 mg/kg orally) inhibited antigen-induced bronchospasms in </w:t>
      </w:r>
      <w:proofErr w:type="spellStart"/>
      <w:r w:rsidRPr="002750B6">
        <w:rPr>
          <w:sz w:val="24"/>
          <w:szCs w:val="24"/>
          <w:lang w:val="en-US"/>
        </w:rPr>
        <w:t>sensitised</w:t>
      </w:r>
      <w:proofErr w:type="spellEnd"/>
      <w:r w:rsidRPr="002750B6">
        <w:rPr>
          <w:sz w:val="24"/>
          <w:szCs w:val="24"/>
          <w:lang w:val="en-US"/>
        </w:rPr>
        <w:t xml:space="preserve"> guinea pigs, and at subtherapeutic concentrations (10-100 </w:t>
      </w:r>
      <w:r w:rsidRPr="002750B6">
        <w:rPr>
          <w:sz w:val="24"/>
          <w:szCs w:val="24"/>
        </w:rPr>
        <w:t>μ</w:t>
      </w:r>
      <w:r w:rsidRPr="002750B6">
        <w:rPr>
          <w:sz w:val="24"/>
          <w:szCs w:val="24"/>
          <w:lang w:val="en-US"/>
        </w:rPr>
        <w:t>m) it inhibited histamine release from peritoneal mast cells.</w:t>
      </w:r>
    </w:p>
    <w:p w14:paraId="28C8F4C0" w14:textId="77777777" w:rsidR="007C5D2A" w:rsidRPr="002734EF" w:rsidRDefault="007C5D2A" w:rsidP="003E0341">
      <w:pPr>
        <w:tabs>
          <w:tab w:val="left" w:pos="851"/>
        </w:tabs>
        <w:ind w:left="851"/>
        <w:rPr>
          <w:sz w:val="24"/>
          <w:szCs w:val="24"/>
          <w:lang w:val="en-US"/>
        </w:rPr>
      </w:pPr>
    </w:p>
    <w:p w14:paraId="406233B4" w14:textId="62858A21" w:rsidR="007C5D2A" w:rsidRPr="002734EF" w:rsidRDefault="007C5D2A" w:rsidP="007C5D2A">
      <w:pPr>
        <w:tabs>
          <w:tab w:val="left" w:pos="851"/>
        </w:tabs>
        <w:ind w:left="851" w:hanging="851"/>
        <w:rPr>
          <w:b/>
          <w:sz w:val="24"/>
          <w:szCs w:val="24"/>
          <w:lang w:val="en-GB"/>
        </w:rPr>
      </w:pPr>
      <w:r w:rsidRPr="002734EF">
        <w:rPr>
          <w:b/>
          <w:sz w:val="24"/>
          <w:szCs w:val="24"/>
          <w:lang w:val="en-GB"/>
        </w:rPr>
        <w:t>5.2</w:t>
      </w:r>
      <w:r w:rsidRPr="002734EF">
        <w:rPr>
          <w:b/>
          <w:sz w:val="24"/>
          <w:szCs w:val="24"/>
          <w:lang w:val="en-GB"/>
        </w:rPr>
        <w:tab/>
        <w:t>Pharmacokinetic properties</w:t>
      </w:r>
    </w:p>
    <w:p w14:paraId="0049D203" w14:textId="77777777" w:rsidR="002750B6" w:rsidRPr="0086247E" w:rsidRDefault="002750B6" w:rsidP="002750B6">
      <w:pPr>
        <w:tabs>
          <w:tab w:val="left" w:pos="851"/>
        </w:tabs>
        <w:ind w:left="851"/>
        <w:rPr>
          <w:sz w:val="24"/>
          <w:szCs w:val="24"/>
          <w:u w:val="single"/>
          <w:lang w:val="en-US"/>
        </w:rPr>
      </w:pPr>
    </w:p>
    <w:p w14:paraId="2B0A6B06" w14:textId="77777777" w:rsidR="002750B6" w:rsidRPr="002750B6" w:rsidRDefault="002750B6" w:rsidP="00AF5C49">
      <w:pPr>
        <w:ind w:left="851"/>
        <w:rPr>
          <w:sz w:val="24"/>
          <w:szCs w:val="24"/>
          <w:u w:val="single"/>
          <w:lang w:val="en-US"/>
        </w:rPr>
      </w:pPr>
      <w:r w:rsidRPr="002750B6">
        <w:rPr>
          <w:sz w:val="24"/>
          <w:szCs w:val="24"/>
          <w:u w:val="single"/>
          <w:lang w:val="en-US"/>
        </w:rPr>
        <w:t>Absorption</w:t>
      </w:r>
    </w:p>
    <w:p w14:paraId="49B885EB" w14:textId="77777777" w:rsidR="002750B6" w:rsidRPr="002750B6" w:rsidRDefault="002750B6" w:rsidP="00AF5C49">
      <w:pPr>
        <w:ind w:left="851"/>
        <w:rPr>
          <w:sz w:val="24"/>
          <w:szCs w:val="24"/>
          <w:lang w:val="en-US"/>
        </w:rPr>
      </w:pPr>
      <w:r w:rsidRPr="002750B6">
        <w:rPr>
          <w:sz w:val="24"/>
          <w:szCs w:val="24"/>
          <w:lang w:val="en-US"/>
        </w:rPr>
        <w:t xml:space="preserve">After oral administration, fexofenadine hydrochloride is rapidly absorbed into the body. </w:t>
      </w:r>
      <w:proofErr w:type="spellStart"/>
      <w:r w:rsidRPr="002750B6">
        <w:rPr>
          <w:sz w:val="24"/>
          <w:szCs w:val="24"/>
          <w:lang w:val="en-US"/>
        </w:rPr>
        <w:t>T</w:t>
      </w:r>
      <w:r w:rsidRPr="002750B6">
        <w:rPr>
          <w:sz w:val="24"/>
          <w:szCs w:val="24"/>
          <w:vertAlign w:val="subscript"/>
          <w:lang w:val="en-US"/>
        </w:rPr>
        <w:t>max</w:t>
      </w:r>
      <w:proofErr w:type="spellEnd"/>
      <w:r w:rsidRPr="002750B6">
        <w:rPr>
          <w:sz w:val="24"/>
          <w:szCs w:val="24"/>
          <w:lang w:val="en-US"/>
        </w:rPr>
        <w:t xml:space="preserve"> occurs approximately 1-3 hours after administration. The mean C</w:t>
      </w:r>
      <w:r w:rsidRPr="002750B6">
        <w:rPr>
          <w:sz w:val="24"/>
          <w:szCs w:val="24"/>
          <w:vertAlign w:val="subscript"/>
          <w:lang w:val="en-US"/>
        </w:rPr>
        <w:t>max</w:t>
      </w:r>
      <w:r w:rsidRPr="002750B6">
        <w:rPr>
          <w:sz w:val="24"/>
          <w:szCs w:val="24"/>
          <w:lang w:val="en-US"/>
        </w:rPr>
        <w:t xml:space="preserve"> was approximately 427 ng/ml after administration of 120 mg once daily.</w:t>
      </w:r>
    </w:p>
    <w:p w14:paraId="46F66E33" w14:textId="77777777" w:rsidR="002750B6" w:rsidRPr="002750B6" w:rsidRDefault="002750B6" w:rsidP="00AF5C49">
      <w:pPr>
        <w:ind w:left="851"/>
        <w:rPr>
          <w:sz w:val="24"/>
          <w:szCs w:val="24"/>
          <w:lang w:val="en-US"/>
        </w:rPr>
      </w:pPr>
    </w:p>
    <w:p w14:paraId="76EE6E98" w14:textId="77777777" w:rsidR="002750B6" w:rsidRPr="002750B6" w:rsidRDefault="002750B6" w:rsidP="00AF5C49">
      <w:pPr>
        <w:ind w:left="851"/>
        <w:rPr>
          <w:sz w:val="24"/>
          <w:szCs w:val="24"/>
          <w:u w:val="single"/>
          <w:lang w:val="en-US"/>
        </w:rPr>
      </w:pPr>
      <w:r w:rsidRPr="002750B6">
        <w:rPr>
          <w:sz w:val="24"/>
          <w:szCs w:val="24"/>
          <w:u w:val="single"/>
          <w:lang w:val="en-US"/>
        </w:rPr>
        <w:t>Distribution</w:t>
      </w:r>
    </w:p>
    <w:p w14:paraId="3415B5C8" w14:textId="77777777" w:rsidR="002750B6" w:rsidRPr="002750B6" w:rsidRDefault="002750B6" w:rsidP="00AF5C49">
      <w:pPr>
        <w:ind w:left="851"/>
        <w:rPr>
          <w:sz w:val="24"/>
          <w:szCs w:val="24"/>
          <w:lang w:val="en-US"/>
        </w:rPr>
      </w:pPr>
      <w:r w:rsidRPr="002750B6">
        <w:rPr>
          <w:sz w:val="24"/>
          <w:szCs w:val="24"/>
          <w:lang w:val="en-US"/>
        </w:rPr>
        <w:t xml:space="preserve">Fexofenadine is 60-70% plasma protein bound. </w:t>
      </w:r>
    </w:p>
    <w:p w14:paraId="3FEB772C" w14:textId="77777777" w:rsidR="002750B6" w:rsidRPr="002750B6" w:rsidRDefault="002750B6" w:rsidP="00AF5C49">
      <w:pPr>
        <w:ind w:left="851"/>
        <w:rPr>
          <w:sz w:val="24"/>
          <w:szCs w:val="24"/>
          <w:lang w:val="en-US"/>
        </w:rPr>
      </w:pPr>
    </w:p>
    <w:p w14:paraId="4747B1B2" w14:textId="77777777" w:rsidR="002750B6" w:rsidRPr="002750B6" w:rsidRDefault="002750B6" w:rsidP="00AF5C49">
      <w:pPr>
        <w:ind w:left="851"/>
        <w:rPr>
          <w:sz w:val="24"/>
          <w:szCs w:val="24"/>
          <w:u w:val="single"/>
          <w:lang w:val="en-US"/>
        </w:rPr>
      </w:pPr>
      <w:r w:rsidRPr="002750B6">
        <w:rPr>
          <w:sz w:val="24"/>
          <w:szCs w:val="24"/>
          <w:u w:val="single"/>
          <w:lang w:val="en-US"/>
        </w:rPr>
        <w:t>Biotransformation and elimination</w:t>
      </w:r>
    </w:p>
    <w:p w14:paraId="2478C3EC" w14:textId="77777777" w:rsidR="002750B6" w:rsidRPr="002750B6" w:rsidRDefault="002750B6" w:rsidP="00AF5C49">
      <w:pPr>
        <w:ind w:left="851"/>
        <w:rPr>
          <w:sz w:val="24"/>
          <w:szCs w:val="24"/>
          <w:lang w:val="en-US"/>
        </w:rPr>
      </w:pPr>
      <w:r w:rsidRPr="002750B6">
        <w:rPr>
          <w:sz w:val="24"/>
          <w:szCs w:val="24"/>
          <w:lang w:val="en-US"/>
        </w:rPr>
        <w:t xml:space="preserve">Fexofenadine undergoes negligible metabolism (hepatic or non-hepatic), being the only significant substance identified in animal and human </w:t>
      </w:r>
      <w:proofErr w:type="spellStart"/>
      <w:r w:rsidRPr="002750B6">
        <w:rPr>
          <w:sz w:val="24"/>
          <w:szCs w:val="24"/>
          <w:lang w:val="en-US"/>
        </w:rPr>
        <w:t>faeces</w:t>
      </w:r>
      <w:proofErr w:type="spellEnd"/>
      <w:r w:rsidRPr="002750B6">
        <w:rPr>
          <w:sz w:val="24"/>
          <w:szCs w:val="24"/>
          <w:lang w:val="en-US"/>
        </w:rPr>
        <w:t xml:space="preserve">. The plasma concentration profiles of fexofenadine follow a bi-exponential decline with a terminal half-life ranging from 11 to 15 hours after repeated dosing. The single and multiple dose </w:t>
      </w:r>
      <w:r w:rsidRPr="002750B6">
        <w:rPr>
          <w:sz w:val="24"/>
          <w:szCs w:val="24"/>
          <w:lang w:val="en-US"/>
        </w:rPr>
        <w:softHyphen/>
        <w:t>pharmacokinetics of fexofenadine are linear at oral doses up to 120 mg twice daily. At a dose of 240 mg twice daily, a slightly more than proportional increase (8.8%) was seen in the steady-state area below the curve, suggesting that the pharmacokinetics of fexofenadine are virtually linear at daily intake of these doses between 40 and 240 mg. The major route of elimination is assumed to occur via biliary excretion, while up to 10% of the administered dose is excreted unchanged in the urine.</w:t>
      </w:r>
    </w:p>
    <w:p w14:paraId="7D3B689C" w14:textId="77777777" w:rsidR="007C5D2A" w:rsidRPr="002734EF" w:rsidRDefault="007C5D2A" w:rsidP="003E0341">
      <w:pPr>
        <w:tabs>
          <w:tab w:val="left" w:pos="851"/>
        </w:tabs>
        <w:ind w:left="851"/>
        <w:rPr>
          <w:sz w:val="24"/>
          <w:szCs w:val="24"/>
          <w:lang w:val="en-US"/>
        </w:rPr>
      </w:pPr>
    </w:p>
    <w:p w14:paraId="6B291A90" w14:textId="77777777" w:rsidR="007C5D2A" w:rsidRPr="002734EF" w:rsidRDefault="00180A12" w:rsidP="007C5D2A">
      <w:pPr>
        <w:tabs>
          <w:tab w:val="left" w:pos="851"/>
        </w:tabs>
        <w:ind w:left="851" w:hanging="851"/>
        <w:rPr>
          <w:b/>
          <w:sz w:val="24"/>
          <w:szCs w:val="24"/>
          <w:lang w:val="en-GB"/>
        </w:rPr>
      </w:pPr>
      <w:r w:rsidRPr="002734EF">
        <w:rPr>
          <w:b/>
          <w:sz w:val="24"/>
          <w:szCs w:val="24"/>
          <w:lang w:val="en-GB"/>
        </w:rPr>
        <w:t>5.3</w:t>
      </w:r>
      <w:r w:rsidRPr="002734EF">
        <w:rPr>
          <w:b/>
          <w:sz w:val="24"/>
          <w:szCs w:val="24"/>
          <w:lang w:val="en-GB"/>
        </w:rPr>
        <w:tab/>
        <w:t>Preclinical safety data</w:t>
      </w:r>
    </w:p>
    <w:p w14:paraId="617B7833" w14:textId="77777777" w:rsidR="002750B6" w:rsidRPr="002750B6" w:rsidRDefault="002750B6" w:rsidP="00AF5C49">
      <w:pPr>
        <w:ind w:left="851"/>
        <w:rPr>
          <w:sz w:val="24"/>
          <w:szCs w:val="24"/>
          <w:lang w:val="en-US"/>
        </w:rPr>
      </w:pPr>
      <w:r w:rsidRPr="002750B6">
        <w:rPr>
          <w:sz w:val="24"/>
          <w:szCs w:val="24"/>
          <w:lang w:val="en-US"/>
        </w:rPr>
        <w:t>Dogs tolerated doses of 450 mg/kg administered twice daily for 6 months and showed no evidence of toxicity except for occasional vomiting. In single-dose studies in dogs and rodents, no significant treatment-related findings were observed at subsequent autopsy.</w:t>
      </w:r>
    </w:p>
    <w:p w14:paraId="58BF25F3" w14:textId="77777777" w:rsidR="002750B6" w:rsidRPr="002750B6" w:rsidRDefault="002750B6" w:rsidP="00AF5C49">
      <w:pPr>
        <w:ind w:left="851"/>
        <w:rPr>
          <w:sz w:val="24"/>
          <w:szCs w:val="24"/>
          <w:lang w:val="en-US"/>
        </w:rPr>
      </w:pPr>
    </w:p>
    <w:p w14:paraId="381FCAEC" w14:textId="77777777" w:rsidR="002750B6" w:rsidRPr="002750B6" w:rsidRDefault="002750B6" w:rsidP="00AF5C49">
      <w:pPr>
        <w:ind w:left="851"/>
        <w:rPr>
          <w:sz w:val="24"/>
          <w:szCs w:val="24"/>
          <w:lang w:val="en-US"/>
        </w:rPr>
      </w:pPr>
      <w:r w:rsidRPr="002750B6">
        <w:rPr>
          <w:sz w:val="24"/>
          <w:szCs w:val="24"/>
          <w:lang w:val="en-US"/>
        </w:rPr>
        <w:t xml:space="preserve">Studies with </w:t>
      </w:r>
      <w:proofErr w:type="spellStart"/>
      <w:r w:rsidRPr="002750B6">
        <w:rPr>
          <w:sz w:val="24"/>
          <w:szCs w:val="24"/>
          <w:lang w:val="en-US"/>
        </w:rPr>
        <w:t>radiolabelled</w:t>
      </w:r>
      <w:proofErr w:type="spellEnd"/>
      <w:r w:rsidRPr="002750B6">
        <w:rPr>
          <w:sz w:val="24"/>
          <w:szCs w:val="24"/>
          <w:lang w:val="en-US"/>
        </w:rPr>
        <w:t xml:space="preserve"> fexofenadine used in tissue studies on rats indicated that fexofenadine did not cross the blood-brain barrier.</w:t>
      </w:r>
    </w:p>
    <w:p w14:paraId="36B88BF0" w14:textId="77777777" w:rsidR="002750B6" w:rsidRPr="002750B6" w:rsidRDefault="002750B6" w:rsidP="00AF5C49">
      <w:pPr>
        <w:ind w:left="851"/>
        <w:rPr>
          <w:sz w:val="24"/>
          <w:szCs w:val="24"/>
          <w:lang w:val="en-US"/>
        </w:rPr>
      </w:pPr>
    </w:p>
    <w:p w14:paraId="60DD459C" w14:textId="77777777" w:rsidR="002750B6" w:rsidRPr="002750B6" w:rsidRDefault="002750B6" w:rsidP="00AF5C49">
      <w:pPr>
        <w:ind w:left="851"/>
        <w:rPr>
          <w:sz w:val="24"/>
          <w:szCs w:val="24"/>
          <w:lang w:val="en-US"/>
        </w:rPr>
      </w:pPr>
      <w:r w:rsidRPr="002750B6">
        <w:rPr>
          <w:sz w:val="24"/>
          <w:szCs w:val="24"/>
          <w:lang w:val="en-US"/>
        </w:rPr>
        <w:t xml:space="preserve">It has been demonstrated in various </w:t>
      </w:r>
      <w:r w:rsidRPr="002750B6">
        <w:rPr>
          <w:i/>
          <w:sz w:val="24"/>
          <w:szCs w:val="24"/>
          <w:lang w:val="en-US"/>
        </w:rPr>
        <w:t>in</w:t>
      </w:r>
      <w:r w:rsidRPr="002750B6">
        <w:rPr>
          <w:sz w:val="24"/>
          <w:szCs w:val="24"/>
          <w:lang w:val="en-US"/>
        </w:rPr>
        <w:t xml:space="preserve"> </w:t>
      </w:r>
      <w:r w:rsidRPr="002750B6">
        <w:rPr>
          <w:i/>
          <w:sz w:val="24"/>
          <w:szCs w:val="24"/>
          <w:lang w:val="en-US"/>
        </w:rPr>
        <w:t>vitro</w:t>
      </w:r>
      <w:r w:rsidRPr="002750B6">
        <w:rPr>
          <w:sz w:val="24"/>
          <w:szCs w:val="24"/>
          <w:lang w:val="en-US"/>
        </w:rPr>
        <w:t xml:space="preserve"> and </w:t>
      </w:r>
      <w:r w:rsidRPr="002750B6">
        <w:rPr>
          <w:i/>
          <w:sz w:val="24"/>
          <w:szCs w:val="24"/>
          <w:lang w:val="en-US"/>
        </w:rPr>
        <w:t xml:space="preserve">in vivo </w:t>
      </w:r>
      <w:r w:rsidRPr="002750B6">
        <w:rPr>
          <w:iCs/>
          <w:sz w:val="24"/>
          <w:szCs w:val="24"/>
          <w:lang w:val="en-US"/>
        </w:rPr>
        <w:t>mutagenicity tests</w:t>
      </w:r>
      <w:r w:rsidRPr="002750B6">
        <w:rPr>
          <w:i/>
          <w:sz w:val="24"/>
          <w:szCs w:val="24"/>
          <w:lang w:val="en-US"/>
        </w:rPr>
        <w:t xml:space="preserve"> </w:t>
      </w:r>
      <w:r w:rsidRPr="002750B6">
        <w:rPr>
          <w:sz w:val="24"/>
          <w:szCs w:val="24"/>
          <w:lang w:val="en-US"/>
        </w:rPr>
        <w:t xml:space="preserve">that fexofenadine </w:t>
      </w:r>
      <w:r w:rsidRPr="002750B6">
        <w:rPr>
          <w:sz w:val="24"/>
          <w:szCs w:val="24"/>
          <w:lang w:val="en-US"/>
        </w:rPr>
        <w:softHyphen/>
        <w:t>hydrochloride is not mutagenic.</w:t>
      </w:r>
    </w:p>
    <w:p w14:paraId="23C46031" w14:textId="77777777" w:rsidR="002750B6" w:rsidRPr="002750B6" w:rsidRDefault="002750B6" w:rsidP="00AF5C49">
      <w:pPr>
        <w:ind w:left="851"/>
        <w:rPr>
          <w:sz w:val="24"/>
          <w:szCs w:val="24"/>
          <w:lang w:val="en-US"/>
        </w:rPr>
      </w:pPr>
    </w:p>
    <w:p w14:paraId="3FAB0E91" w14:textId="77777777" w:rsidR="002750B6" w:rsidRPr="002750B6" w:rsidRDefault="002750B6" w:rsidP="00AF5C49">
      <w:pPr>
        <w:ind w:left="851"/>
        <w:rPr>
          <w:sz w:val="24"/>
          <w:szCs w:val="24"/>
          <w:lang w:val="en-US"/>
        </w:rPr>
      </w:pPr>
      <w:r w:rsidRPr="002750B6">
        <w:rPr>
          <w:sz w:val="24"/>
          <w:szCs w:val="24"/>
          <w:lang w:val="en-US"/>
        </w:rPr>
        <w:t>The carcinogenic potential of fexofenadine hydrochloride was assessed based on terfenadine studies and supporting pharmacokinetic studies showing exposure to fexofenadine hydrochloride (via plasma AUC values). No evidence of carcinogenicity was observed in rats and mice given terfenadine (up to 150 mg/kg/day).</w:t>
      </w:r>
    </w:p>
    <w:p w14:paraId="205AB78E" w14:textId="77777777" w:rsidR="002750B6" w:rsidRPr="002750B6" w:rsidRDefault="002750B6" w:rsidP="00AF5C49">
      <w:pPr>
        <w:ind w:left="851"/>
        <w:rPr>
          <w:sz w:val="24"/>
          <w:szCs w:val="24"/>
          <w:lang w:val="en-US"/>
        </w:rPr>
      </w:pPr>
    </w:p>
    <w:p w14:paraId="5340851F" w14:textId="77777777" w:rsidR="002750B6" w:rsidRPr="002750B6" w:rsidRDefault="002750B6" w:rsidP="00AF5C49">
      <w:pPr>
        <w:ind w:left="851"/>
        <w:rPr>
          <w:sz w:val="24"/>
          <w:szCs w:val="24"/>
          <w:lang w:val="en-US"/>
        </w:rPr>
      </w:pPr>
      <w:r w:rsidRPr="002750B6">
        <w:rPr>
          <w:sz w:val="24"/>
          <w:szCs w:val="24"/>
          <w:lang w:val="en-US"/>
        </w:rPr>
        <w:t>In a reproductive toxicity study in mice, fexofenadine hydrochloride did not impair fertility, was not teratogenic and did not impair pre- or postnatal development.</w:t>
      </w:r>
    </w:p>
    <w:p w14:paraId="74EA03B4" w14:textId="77777777" w:rsidR="007C5D2A" w:rsidRPr="002734EF" w:rsidRDefault="007C5D2A" w:rsidP="003E0341">
      <w:pPr>
        <w:tabs>
          <w:tab w:val="left" w:pos="851"/>
        </w:tabs>
        <w:ind w:left="851"/>
        <w:rPr>
          <w:sz w:val="24"/>
          <w:szCs w:val="24"/>
          <w:lang w:val="en-US"/>
        </w:rPr>
      </w:pPr>
    </w:p>
    <w:p w14:paraId="509D111E" w14:textId="77777777" w:rsidR="007C5D2A" w:rsidRPr="002734EF" w:rsidRDefault="007C5D2A" w:rsidP="003E0341">
      <w:pPr>
        <w:tabs>
          <w:tab w:val="left" w:pos="851"/>
        </w:tabs>
        <w:ind w:left="851"/>
        <w:rPr>
          <w:sz w:val="24"/>
          <w:szCs w:val="24"/>
          <w:lang w:val="en-GB"/>
        </w:rPr>
      </w:pPr>
    </w:p>
    <w:p w14:paraId="34A68823" w14:textId="77777777" w:rsidR="007C5D2A" w:rsidRPr="002734EF" w:rsidRDefault="009925C9" w:rsidP="007C5D2A">
      <w:pPr>
        <w:ind w:left="851" w:hanging="851"/>
        <w:rPr>
          <w:b/>
          <w:sz w:val="24"/>
          <w:szCs w:val="24"/>
          <w:lang w:val="en-GB"/>
        </w:rPr>
      </w:pPr>
      <w:r w:rsidRPr="002734EF">
        <w:rPr>
          <w:b/>
          <w:sz w:val="24"/>
          <w:szCs w:val="24"/>
          <w:lang w:val="en-GB"/>
        </w:rPr>
        <w:t>6.</w:t>
      </w:r>
      <w:r w:rsidR="007C5D2A" w:rsidRPr="002734EF">
        <w:rPr>
          <w:b/>
          <w:sz w:val="24"/>
          <w:szCs w:val="24"/>
          <w:lang w:val="en-GB"/>
        </w:rPr>
        <w:tab/>
        <w:t>PHARMACEUTICAL PARTICULARS</w:t>
      </w:r>
    </w:p>
    <w:p w14:paraId="73C17131" w14:textId="77777777" w:rsidR="007C5D2A" w:rsidRPr="002734EF" w:rsidRDefault="007C5D2A" w:rsidP="003E0341">
      <w:pPr>
        <w:tabs>
          <w:tab w:val="left" w:pos="851"/>
        </w:tabs>
        <w:ind w:left="851"/>
        <w:rPr>
          <w:sz w:val="24"/>
          <w:szCs w:val="24"/>
          <w:lang w:val="en-GB"/>
        </w:rPr>
      </w:pPr>
    </w:p>
    <w:p w14:paraId="5F2053C5" w14:textId="77777777" w:rsidR="007C5D2A" w:rsidRPr="002734EF" w:rsidRDefault="007C5D2A" w:rsidP="007C5D2A">
      <w:pPr>
        <w:ind w:left="851" w:hanging="851"/>
        <w:rPr>
          <w:b/>
          <w:sz w:val="24"/>
          <w:szCs w:val="24"/>
          <w:lang w:val="en-GB"/>
        </w:rPr>
      </w:pPr>
      <w:r w:rsidRPr="002734EF">
        <w:rPr>
          <w:b/>
          <w:sz w:val="24"/>
          <w:szCs w:val="24"/>
          <w:lang w:val="en-GB"/>
        </w:rPr>
        <w:t>6.1</w:t>
      </w:r>
      <w:r w:rsidRPr="002734EF">
        <w:rPr>
          <w:b/>
          <w:sz w:val="24"/>
          <w:szCs w:val="24"/>
          <w:lang w:val="en-GB"/>
        </w:rPr>
        <w:tab/>
        <w:t>List of excipients</w:t>
      </w:r>
    </w:p>
    <w:p w14:paraId="7F0A5275" w14:textId="77777777" w:rsidR="002734EF" w:rsidRDefault="002734EF" w:rsidP="00AF5C49">
      <w:pPr>
        <w:ind w:left="851"/>
        <w:rPr>
          <w:sz w:val="24"/>
          <w:szCs w:val="24"/>
          <w:u w:val="single"/>
          <w:lang w:val="en-US"/>
        </w:rPr>
      </w:pPr>
      <w:bookmarkStart w:id="1" w:name="_Hlk211446683"/>
    </w:p>
    <w:p w14:paraId="3C5928BD" w14:textId="3810FEC3" w:rsidR="002750B6" w:rsidRPr="002750B6" w:rsidRDefault="002750B6" w:rsidP="00AF5C49">
      <w:pPr>
        <w:ind w:left="851"/>
        <w:rPr>
          <w:sz w:val="24"/>
          <w:szCs w:val="24"/>
          <w:u w:val="single"/>
          <w:lang w:val="en-US"/>
        </w:rPr>
      </w:pPr>
      <w:r w:rsidRPr="002750B6">
        <w:rPr>
          <w:sz w:val="24"/>
          <w:szCs w:val="24"/>
          <w:u w:val="single"/>
          <w:lang w:val="en-US"/>
        </w:rPr>
        <w:t>Tablet core:</w:t>
      </w:r>
    </w:p>
    <w:p w14:paraId="437CB519" w14:textId="77777777" w:rsidR="002750B6" w:rsidRPr="002750B6" w:rsidRDefault="002750B6" w:rsidP="00AF5C49">
      <w:pPr>
        <w:ind w:left="851"/>
        <w:rPr>
          <w:sz w:val="24"/>
          <w:szCs w:val="24"/>
          <w:lang w:val="en-US"/>
        </w:rPr>
      </w:pPr>
      <w:r w:rsidRPr="002750B6">
        <w:rPr>
          <w:sz w:val="24"/>
          <w:szCs w:val="24"/>
          <w:lang w:val="en-US"/>
        </w:rPr>
        <w:t>Microcrystalline Cellulose</w:t>
      </w:r>
    </w:p>
    <w:p w14:paraId="223C6324" w14:textId="77777777" w:rsidR="002750B6" w:rsidRPr="002750B6" w:rsidRDefault="002750B6" w:rsidP="00AF5C49">
      <w:pPr>
        <w:ind w:left="851"/>
        <w:rPr>
          <w:sz w:val="24"/>
          <w:szCs w:val="24"/>
          <w:lang w:val="en-US"/>
        </w:rPr>
      </w:pPr>
      <w:r w:rsidRPr="002750B6">
        <w:rPr>
          <w:sz w:val="24"/>
          <w:szCs w:val="24"/>
          <w:lang w:val="en-US"/>
        </w:rPr>
        <w:t xml:space="preserve">Croscarmellose Sodium </w:t>
      </w:r>
    </w:p>
    <w:p w14:paraId="01B41481" w14:textId="77777777" w:rsidR="002750B6" w:rsidRPr="002750B6" w:rsidRDefault="002750B6" w:rsidP="00AF5C49">
      <w:pPr>
        <w:ind w:left="851"/>
        <w:rPr>
          <w:sz w:val="24"/>
          <w:szCs w:val="24"/>
          <w:lang w:val="en-US"/>
        </w:rPr>
      </w:pPr>
      <w:r w:rsidRPr="002750B6">
        <w:rPr>
          <w:sz w:val="24"/>
          <w:szCs w:val="24"/>
          <w:lang w:val="en-US"/>
        </w:rPr>
        <w:t>Maize Starch</w:t>
      </w:r>
    </w:p>
    <w:p w14:paraId="748343B8" w14:textId="77777777" w:rsidR="002750B6" w:rsidRPr="002750B6" w:rsidRDefault="002750B6" w:rsidP="00AF5C49">
      <w:pPr>
        <w:ind w:left="851"/>
        <w:rPr>
          <w:sz w:val="24"/>
          <w:szCs w:val="24"/>
          <w:lang w:val="en-US"/>
        </w:rPr>
      </w:pPr>
      <w:r w:rsidRPr="002750B6">
        <w:rPr>
          <w:sz w:val="24"/>
          <w:szCs w:val="24"/>
          <w:lang w:val="en-US"/>
        </w:rPr>
        <w:t>Povidone K-30</w:t>
      </w:r>
    </w:p>
    <w:p w14:paraId="6AC9E626" w14:textId="77777777" w:rsidR="002750B6" w:rsidRPr="002750B6" w:rsidRDefault="002750B6" w:rsidP="00AF5C49">
      <w:pPr>
        <w:ind w:left="851"/>
        <w:rPr>
          <w:sz w:val="24"/>
          <w:szCs w:val="24"/>
          <w:lang w:val="en-US"/>
        </w:rPr>
      </w:pPr>
      <w:r w:rsidRPr="002750B6">
        <w:rPr>
          <w:sz w:val="24"/>
          <w:szCs w:val="24"/>
          <w:lang w:val="en-US"/>
        </w:rPr>
        <w:t>Magnesium stearate</w:t>
      </w:r>
    </w:p>
    <w:p w14:paraId="5E8F3DC2" w14:textId="77777777" w:rsidR="002750B6" w:rsidRPr="002750B6" w:rsidRDefault="002750B6" w:rsidP="00AF5C49">
      <w:pPr>
        <w:ind w:left="851"/>
        <w:rPr>
          <w:sz w:val="24"/>
          <w:szCs w:val="24"/>
          <w:lang w:val="en-US"/>
        </w:rPr>
      </w:pPr>
    </w:p>
    <w:p w14:paraId="3841225B" w14:textId="77777777" w:rsidR="002750B6" w:rsidRPr="002750B6" w:rsidRDefault="002750B6" w:rsidP="00AF5C49">
      <w:pPr>
        <w:ind w:left="851"/>
        <w:rPr>
          <w:sz w:val="24"/>
          <w:szCs w:val="24"/>
          <w:u w:val="single"/>
          <w:lang w:val="en-US"/>
        </w:rPr>
      </w:pPr>
      <w:r w:rsidRPr="002750B6">
        <w:rPr>
          <w:sz w:val="24"/>
          <w:szCs w:val="24"/>
          <w:u w:val="single"/>
          <w:lang w:val="en-US"/>
        </w:rPr>
        <w:t>Tablet coating:</w:t>
      </w:r>
    </w:p>
    <w:p w14:paraId="35CFBF99" w14:textId="77777777" w:rsidR="002750B6" w:rsidRPr="002750B6" w:rsidRDefault="002750B6" w:rsidP="00AF5C49">
      <w:pPr>
        <w:ind w:left="851"/>
        <w:rPr>
          <w:sz w:val="24"/>
          <w:szCs w:val="24"/>
        </w:rPr>
      </w:pPr>
      <w:proofErr w:type="spellStart"/>
      <w:r w:rsidRPr="002750B6">
        <w:rPr>
          <w:sz w:val="24"/>
          <w:szCs w:val="24"/>
        </w:rPr>
        <w:t>Hypromellose</w:t>
      </w:r>
      <w:proofErr w:type="spellEnd"/>
      <w:r w:rsidRPr="002750B6">
        <w:rPr>
          <w:sz w:val="24"/>
          <w:szCs w:val="24"/>
        </w:rPr>
        <w:t xml:space="preserve"> 2910 (6 </w:t>
      </w:r>
      <w:proofErr w:type="spellStart"/>
      <w:r w:rsidRPr="002750B6">
        <w:rPr>
          <w:sz w:val="24"/>
          <w:szCs w:val="24"/>
        </w:rPr>
        <w:t>mPas</w:t>
      </w:r>
      <w:proofErr w:type="spellEnd"/>
      <w:r w:rsidRPr="002750B6">
        <w:rPr>
          <w:sz w:val="24"/>
          <w:szCs w:val="24"/>
        </w:rPr>
        <w:t>) (E464)</w:t>
      </w:r>
    </w:p>
    <w:p w14:paraId="7DF60F72" w14:textId="77777777" w:rsidR="002750B6" w:rsidRPr="002750B6" w:rsidRDefault="002750B6" w:rsidP="00AF5C49">
      <w:pPr>
        <w:ind w:left="851"/>
        <w:rPr>
          <w:sz w:val="24"/>
          <w:szCs w:val="24"/>
          <w:lang w:val="de-DE"/>
        </w:rPr>
      </w:pPr>
      <w:r w:rsidRPr="002750B6">
        <w:rPr>
          <w:sz w:val="24"/>
          <w:szCs w:val="24"/>
          <w:lang w:val="de-DE"/>
        </w:rPr>
        <w:t xml:space="preserve">Titanium </w:t>
      </w:r>
      <w:proofErr w:type="spellStart"/>
      <w:r w:rsidRPr="002750B6">
        <w:rPr>
          <w:sz w:val="24"/>
          <w:szCs w:val="24"/>
          <w:lang w:val="de-DE"/>
        </w:rPr>
        <w:t>dioxide</w:t>
      </w:r>
      <w:proofErr w:type="spellEnd"/>
      <w:r w:rsidRPr="002750B6">
        <w:rPr>
          <w:sz w:val="24"/>
          <w:szCs w:val="24"/>
          <w:lang w:val="de-DE"/>
        </w:rPr>
        <w:t xml:space="preserve"> (E171)</w:t>
      </w:r>
    </w:p>
    <w:p w14:paraId="63BB7176" w14:textId="77777777" w:rsidR="002750B6" w:rsidRPr="002750B6" w:rsidRDefault="002750B6" w:rsidP="00AF5C49">
      <w:pPr>
        <w:ind w:left="851"/>
        <w:rPr>
          <w:sz w:val="24"/>
          <w:szCs w:val="24"/>
          <w:lang w:val="de-DE"/>
        </w:rPr>
      </w:pPr>
      <w:r w:rsidRPr="002750B6">
        <w:rPr>
          <w:sz w:val="24"/>
          <w:szCs w:val="24"/>
          <w:lang w:val="de-DE"/>
        </w:rPr>
        <w:t>Macrogol 400</w:t>
      </w:r>
    </w:p>
    <w:p w14:paraId="28FCAF2F" w14:textId="77777777" w:rsidR="002750B6" w:rsidRPr="002750B6" w:rsidRDefault="002750B6" w:rsidP="00AF5C49">
      <w:pPr>
        <w:ind w:left="851"/>
        <w:rPr>
          <w:sz w:val="24"/>
          <w:szCs w:val="24"/>
          <w:lang w:val="de-DE"/>
        </w:rPr>
      </w:pPr>
      <w:r w:rsidRPr="002750B6">
        <w:rPr>
          <w:sz w:val="24"/>
          <w:szCs w:val="24"/>
          <w:lang w:val="de-DE"/>
        </w:rPr>
        <w:t>Macrogol 4000</w:t>
      </w:r>
    </w:p>
    <w:p w14:paraId="00D96676" w14:textId="77777777" w:rsidR="002750B6" w:rsidRPr="002750B6" w:rsidRDefault="002750B6" w:rsidP="00AF5C49">
      <w:pPr>
        <w:ind w:left="851"/>
        <w:rPr>
          <w:sz w:val="24"/>
          <w:szCs w:val="24"/>
          <w:lang w:val="en-US"/>
        </w:rPr>
      </w:pPr>
      <w:r w:rsidRPr="002750B6">
        <w:rPr>
          <w:sz w:val="24"/>
          <w:szCs w:val="24"/>
          <w:lang w:val="en-US"/>
        </w:rPr>
        <w:t>Iron oxide red (E172)</w:t>
      </w:r>
    </w:p>
    <w:p w14:paraId="2F3C5BD0" w14:textId="77777777" w:rsidR="002750B6" w:rsidRPr="002750B6" w:rsidRDefault="002750B6" w:rsidP="00AF5C49">
      <w:pPr>
        <w:ind w:left="851"/>
        <w:rPr>
          <w:sz w:val="24"/>
          <w:szCs w:val="24"/>
          <w:lang w:val="en-US"/>
        </w:rPr>
      </w:pPr>
      <w:r w:rsidRPr="002750B6">
        <w:rPr>
          <w:sz w:val="24"/>
          <w:szCs w:val="24"/>
          <w:lang w:val="en-US"/>
        </w:rPr>
        <w:t>Iron oxide yellow (E172)</w:t>
      </w:r>
      <w:bookmarkEnd w:id="1"/>
    </w:p>
    <w:p w14:paraId="3E5454AD" w14:textId="77777777" w:rsidR="007C5D2A" w:rsidRPr="002734EF" w:rsidRDefault="007C5D2A" w:rsidP="003D727E">
      <w:pPr>
        <w:tabs>
          <w:tab w:val="left" w:pos="851"/>
        </w:tabs>
        <w:ind w:left="851"/>
        <w:rPr>
          <w:sz w:val="24"/>
          <w:szCs w:val="24"/>
          <w:lang w:val="en-GB"/>
        </w:rPr>
      </w:pPr>
    </w:p>
    <w:p w14:paraId="444157E0" w14:textId="77777777" w:rsidR="007C5D2A" w:rsidRPr="002734EF" w:rsidRDefault="007C5D2A" w:rsidP="007C5D2A">
      <w:pPr>
        <w:ind w:left="851" w:hanging="851"/>
        <w:rPr>
          <w:b/>
          <w:sz w:val="24"/>
          <w:szCs w:val="24"/>
          <w:lang w:val="en-GB"/>
        </w:rPr>
      </w:pPr>
      <w:r w:rsidRPr="002734EF">
        <w:rPr>
          <w:b/>
          <w:sz w:val="24"/>
          <w:szCs w:val="24"/>
          <w:lang w:val="en-GB"/>
        </w:rPr>
        <w:t>6.2</w:t>
      </w:r>
      <w:r w:rsidRPr="002734EF">
        <w:rPr>
          <w:b/>
          <w:sz w:val="24"/>
          <w:szCs w:val="24"/>
          <w:lang w:val="en-GB"/>
        </w:rPr>
        <w:tab/>
        <w:t>Incompatibilities</w:t>
      </w:r>
    </w:p>
    <w:p w14:paraId="4793F67B" w14:textId="77777777" w:rsidR="002750B6" w:rsidRPr="002750B6" w:rsidRDefault="002750B6" w:rsidP="00AF5C49">
      <w:pPr>
        <w:ind w:left="851"/>
        <w:rPr>
          <w:sz w:val="24"/>
          <w:szCs w:val="24"/>
          <w:lang w:val="en-US"/>
        </w:rPr>
      </w:pPr>
      <w:r w:rsidRPr="002750B6">
        <w:rPr>
          <w:sz w:val="24"/>
          <w:szCs w:val="24"/>
          <w:lang w:val="en-US"/>
        </w:rPr>
        <w:t>Not applicable.</w:t>
      </w:r>
    </w:p>
    <w:p w14:paraId="1AF4EDD2" w14:textId="77777777" w:rsidR="007C5D2A" w:rsidRPr="002734EF" w:rsidRDefault="007C5D2A" w:rsidP="003E0341">
      <w:pPr>
        <w:tabs>
          <w:tab w:val="left" w:pos="851"/>
        </w:tabs>
        <w:ind w:left="851"/>
        <w:rPr>
          <w:sz w:val="24"/>
          <w:szCs w:val="24"/>
          <w:lang w:val="en-US"/>
        </w:rPr>
      </w:pPr>
    </w:p>
    <w:p w14:paraId="415454BA" w14:textId="77777777" w:rsidR="007C5D2A" w:rsidRPr="002734EF" w:rsidRDefault="007C5D2A" w:rsidP="007C5D2A">
      <w:pPr>
        <w:ind w:left="851" w:hanging="851"/>
        <w:rPr>
          <w:b/>
          <w:sz w:val="24"/>
          <w:szCs w:val="24"/>
          <w:lang w:val="en-GB"/>
        </w:rPr>
      </w:pPr>
      <w:r w:rsidRPr="002734EF">
        <w:rPr>
          <w:b/>
          <w:sz w:val="24"/>
          <w:szCs w:val="24"/>
          <w:lang w:val="en-GB"/>
        </w:rPr>
        <w:t>6.3</w:t>
      </w:r>
      <w:r w:rsidRPr="002734EF">
        <w:rPr>
          <w:b/>
          <w:sz w:val="24"/>
          <w:szCs w:val="24"/>
          <w:lang w:val="en-GB"/>
        </w:rPr>
        <w:tab/>
        <w:t>Shelf</w:t>
      </w:r>
      <w:r w:rsidR="00B45DC5" w:rsidRPr="002734EF">
        <w:rPr>
          <w:b/>
          <w:sz w:val="24"/>
          <w:szCs w:val="24"/>
          <w:lang w:val="en-GB"/>
        </w:rPr>
        <w:t xml:space="preserve"> </w:t>
      </w:r>
      <w:r w:rsidRPr="002734EF">
        <w:rPr>
          <w:b/>
          <w:sz w:val="24"/>
          <w:szCs w:val="24"/>
          <w:lang w:val="en-GB"/>
        </w:rPr>
        <w:t>life</w:t>
      </w:r>
    </w:p>
    <w:p w14:paraId="59800E49" w14:textId="6648B124" w:rsidR="002750B6" w:rsidRPr="002750B6" w:rsidRDefault="002750B6" w:rsidP="00AF5C49">
      <w:pPr>
        <w:ind w:left="851"/>
        <w:rPr>
          <w:sz w:val="24"/>
          <w:szCs w:val="24"/>
          <w:lang w:val="en-US"/>
        </w:rPr>
      </w:pPr>
      <w:r w:rsidRPr="002750B6">
        <w:rPr>
          <w:sz w:val="24"/>
          <w:szCs w:val="24"/>
          <w:lang w:val="en-US"/>
        </w:rPr>
        <w:t>4 years</w:t>
      </w:r>
    </w:p>
    <w:p w14:paraId="3A95597A" w14:textId="77777777" w:rsidR="007C5D2A" w:rsidRPr="002734EF" w:rsidRDefault="007C5D2A" w:rsidP="003E0341">
      <w:pPr>
        <w:tabs>
          <w:tab w:val="left" w:pos="851"/>
        </w:tabs>
        <w:ind w:left="851"/>
        <w:rPr>
          <w:sz w:val="24"/>
          <w:szCs w:val="24"/>
          <w:lang w:val="en-GB"/>
        </w:rPr>
      </w:pPr>
    </w:p>
    <w:p w14:paraId="0E966E9F" w14:textId="77777777" w:rsidR="007C5D2A" w:rsidRPr="002734EF" w:rsidRDefault="007C5D2A" w:rsidP="007C5D2A">
      <w:pPr>
        <w:ind w:left="851" w:hanging="851"/>
        <w:rPr>
          <w:b/>
          <w:sz w:val="24"/>
          <w:szCs w:val="24"/>
          <w:lang w:val="en-GB"/>
        </w:rPr>
      </w:pPr>
      <w:r w:rsidRPr="002734EF">
        <w:rPr>
          <w:b/>
          <w:sz w:val="24"/>
          <w:szCs w:val="24"/>
          <w:lang w:val="en-GB"/>
        </w:rPr>
        <w:t>6.4</w:t>
      </w:r>
      <w:r w:rsidRPr="002734EF">
        <w:rPr>
          <w:b/>
          <w:sz w:val="24"/>
          <w:szCs w:val="24"/>
          <w:lang w:val="en-GB"/>
        </w:rPr>
        <w:tab/>
        <w:t>Special precautions for storage</w:t>
      </w:r>
    </w:p>
    <w:p w14:paraId="38A7B020" w14:textId="0DC09FC7" w:rsidR="002750B6" w:rsidRPr="002750B6" w:rsidRDefault="002750B6" w:rsidP="00AF5C49">
      <w:pPr>
        <w:ind w:left="851"/>
        <w:rPr>
          <w:sz w:val="24"/>
          <w:szCs w:val="24"/>
          <w:lang w:val="en-US"/>
        </w:rPr>
      </w:pPr>
      <w:r w:rsidRPr="002750B6">
        <w:rPr>
          <w:sz w:val="24"/>
          <w:szCs w:val="24"/>
          <w:lang w:val="en-US"/>
        </w:rPr>
        <w:t xml:space="preserve">Keep the blister in the outer carton </w:t>
      </w:r>
      <w:proofErr w:type="gramStart"/>
      <w:r w:rsidRPr="002750B6">
        <w:rPr>
          <w:sz w:val="24"/>
          <w:szCs w:val="24"/>
          <w:lang w:val="en-US"/>
        </w:rPr>
        <w:t>in order to</w:t>
      </w:r>
      <w:proofErr w:type="gramEnd"/>
      <w:r w:rsidRPr="002750B6">
        <w:rPr>
          <w:sz w:val="24"/>
          <w:szCs w:val="24"/>
          <w:lang w:val="en-US"/>
        </w:rPr>
        <w:t xml:space="preserve"> protect from light and moisture.</w:t>
      </w:r>
    </w:p>
    <w:p w14:paraId="792D3987" w14:textId="77777777" w:rsidR="007C5D2A" w:rsidRPr="002734EF" w:rsidRDefault="007C5D2A" w:rsidP="003E0341">
      <w:pPr>
        <w:tabs>
          <w:tab w:val="left" w:pos="851"/>
        </w:tabs>
        <w:ind w:left="851"/>
        <w:rPr>
          <w:sz w:val="24"/>
          <w:szCs w:val="24"/>
          <w:lang w:val="en-US"/>
        </w:rPr>
      </w:pPr>
    </w:p>
    <w:p w14:paraId="5704E049" w14:textId="77777777" w:rsidR="007C5D2A" w:rsidRPr="002734EF" w:rsidRDefault="007C5D2A" w:rsidP="007C5D2A">
      <w:pPr>
        <w:ind w:left="851" w:hanging="851"/>
        <w:rPr>
          <w:b/>
          <w:sz w:val="24"/>
          <w:szCs w:val="24"/>
          <w:lang w:val="en-GB"/>
        </w:rPr>
      </w:pPr>
      <w:r w:rsidRPr="002734EF">
        <w:rPr>
          <w:b/>
          <w:sz w:val="24"/>
          <w:szCs w:val="24"/>
          <w:lang w:val="en-GB"/>
        </w:rPr>
        <w:t>6.5</w:t>
      </w:r>
      <w:r w:rsidRPr="002734EF">
        <w:rPr>
          <w:b/>
          <w:sz w:val="24"/>
          <w:szCs w:val="24"/>
          <w:lang w:val="en-GB"/>
        </w:rPr>
        <w:tab/>
        <w:t>Nature and contents of container</w:t>
      </w:r>
    </w:p>
    <w:p w14:paraId="54104854" w14:textId="77777777" w:rsidR="002750B6" w:rsidRPr="002750B6" w:rsidRDefault="002750B6" w:rsidP="00AF5C49">
      <w:pPr>
        <w:ind w:left="851"/>
        <w:rPr>
          <w:sz w:val="24"/>
          <w:szCs w:val="24"/>
          <w:lang w:val="en-US"/>
        </w:rPr>
      </w:pPr>
      <w:r w:rsidRPr="002750B6">
        <w:rPr>
          <w:sz w:val="24"/>
          <w:szCs w:val="24"/>
          <w:lang w:val="en-US"/>
        </w:rPr>
        <w:t>PVC/</w:t>
      </w:r>
      <w:proofErr w:type="gramStart"/>
      <w:r w:rsidRPr="002750B6">
        <w:rPr>
          <w:sz w:val="24"/>
          <w:szCs w:val="24"/>
          <w:lang w:val="en-US"/>
        </w:rPr>
        <w:t>PVDC//</w:t>
      </w:r>
      <w:proofErr w:type="gramEnd"/>
      <w:r w:rsidRPr="002750B6">
        <w:rPr>
          <w:sz w:val="24"/>
          <w:szCs w:val="24"/>
          <w:lang w:val="en-US"/>
        </w:rPr>
        <w:t>Alu blisters of 2, 7, 10, 15, 20, 30 film-coated tablets.</w:t>
      </w:r>
    </w:p>
    <w:p w14:paraId="0FB393F0" w14:textId="77777777" w:rsidR="002750B6" w:rsidRPr="002750B6" w:rsidRDefault="002750B6" w:rsidP="00AF5C49">
      <w:pPr>
        <w:ind w:left="851"/>
        <w:rPr>
          <w:sz w:val="24"/>
          <w:szCs w:val="24"/>
          <w:lang w:val="en-US"/>
        </w:rPr>
      </w:pPr>
      <w:r w:rsidRPr="002750B6">
        <w:rPr>
          <w:sz w:val="24"/>
          <w:szCs w:val="24"/>
          <w:lang w:val="en-US"/>
        </w:rPr>
        <w:t>Not all pack sizes may be marketed.</w:t>
      </w:r>
    </w:p>
    <w:p w14:paraId="0784565F" w14:textId="77777777" w:rsidR="007C5D2A" w:rsidRPr="002734EF" w:rsidRDefault="007C5D2A" w:rsidP="003E0341">
      <w:pPr>
        <w:tabs>
          <w:tab w:val="left" w:pos="851"/>
        </w:tabs>
        <w:ind w:left="851"/>
        <w:rPr>
          <w:sz w:val="24"/>
          <w:szCs w:val="24"/>
          <w:lang w:val="en-US"/>
        </w:rPr>
      </w:pPr>
    </w:p>
    <w:p w14:paraId="7AF23D92" w14:textId="77777777" w:rsidR="007C5D2A" w:rsidRPr="002734EF" w:rsidRDefault="007C5D2A" w:rsidP="007C5D2A">
      <w:pPr>
        <w:ind w:left="851" w:hanging="851"/>
        <w:rPr>
          <w:b/>
          <w:sz w:val="24"/>
          <w:szCs w:val="24"/>
          <w:lang w:val="en-GB"/>
        </w:rPr>
      </w:pPr>
      <w:r w:rsidRPr="002734EF">
        <w:rPr>
          <w:b/>
          <w:sz w:val="24"/>
          <w:szCs w:val="24"/>
          <w:lang w:val="en-GB"/>
        </w:rPr>
        <w:t>6.6</w:t>
      </w:r>
      <w:r w:rsidRPr="002734EF">
        <w:rPr>
          <w:b/>
          <w:sz w:val="24"/>
          <w:szCs w:val="24"/>
          <w:lang w:val="en-GB"/>
        </w:rPr>
        <w:tab/>
        <w:t>Special precautions for disposal and other handling</w:t>
      </w:r>
    </w:p>
    <w:p w14:paraId="52E3340C" w14:textId="77777777" w:rsidR="002750B6" w:rsidRPr="002750B6" w:rsidRDefault="002750B6" w:rsidP="00AF5C49">
      <w:pPr>
        <w:ind w:left="851"/>
        <w:rPr>
          <w:sz w:val="24"/>
          <w:szCs w:val="24"/>
          <w:lang w:val="en-US"/>
        </w:rPr>
      </w:pPr>
      <w:r w:rsidRPr="002750B6">
        <w:rPr>
          <w:sz w:val="24"/>
          <w:szCs w:val="24"/>
          <w:lang w:val="en-US"/>
        </w:rPr>
        <w:t>Any unused product or waste material should be disposed of in accordance with local requirements.</w:t>
      </w:r>
    </w:p>
    <w:p w14:paraId="03E77AEE" w14:textId="77777777" w:rsidR="007C5D2A" w:rsidRPr="002734EF" w:rsidRDefault="007C5D2A" w:rsidP="00AB4376">
      <w:pPr>
        <w:tabs>
          <w:tab w:val="left" w:pos="851"/>
        </w:tabs>
        <w:ind w:left="851"/>
        <w:rPr>
          <w:sz w:val="24"/>
          <w:szCs w:val="24"/>
          <w:lang w:val="en-US"/>
        </w:rPr>
      </w:pPr>
    </w:p>
    <w:p w14:paraId="6263B375" w14:textId="77777777" w:rsidR="007C5D2A" w:rsidRPr="0086247E" w:rsidRDefault="007C5D2A" w:rsidP="007C5D2A">
      <w:pPr>
        <w:tabs>
          <w:tab w:val="left" w:pos="851"/>
        </w:tabs>
        <w:ind w:left="851" w:hanging="851"/>
        <w:jc w:val="both"/>
        <w:rPr>
          <w:b/>
          <w:sz w:val="24"/>
          <w:szCs w:val="24"/>
        </w:rPr>
      </w:pPr>
      <w:r w:rsidRPr="0086247E">
        <w:rPr>
          <w:b/>
          <w:sz w:val="24"/>
          <w:szCs w:val="24"/>
        </w:rPr>
        <w:t>7.</w:t>
      </w:r>
      <w:r w:rsidRPr="0086247E">
        <w:rPr>
          <w:b/>
          <w:sz w:val="24"/>
          <w:szCs w:val="24"/>
        </w:rPr>
        <w:tab/>
        <w:t>MARKETING AUTHORISATION HOLDER</w:t>
      </w:r>
    </w:p>
    <w:p w14:paraId="61FB512C" w14:textId="6B5D7565" w:rsidR="007C5D2A" w:rsidRPr="0086247E" w:rsidRDefault="00AF5C49" w:rsidP="00AF5C49">
      <w:pPr>
        <w:ind w:left="851"/>
        <w:rPr>
          <w:sz w:val="24"/>
          <w:szCs w:val="24"/>
        </w:rPr>
      </w:pPr>
      <w:proofErr w:type="spellStart"/>
      <w:r w:rsidRPr="0086247E">
        <w:rPr>
          <w:sz w:val="24"/>
          <w:szCs w:val="24"/>
        </w:rPr>
        <w:t>Haleon</w:t>
      </w:r>
      <w:proofErr w:type="spellEnd"/>
      <w:r w:rsidRPr="0086247E">
        <w:rPr>
          <w:sz w:val="24"/>
          <w:szCs w:val="24"/>
        </w:rPr>
        <w:t xml:space="preserve"> Denmark ApS</w:t>
      </w:r>
    </w:p>
    <w:p w14:paraId="36413071" w14:textId="5928978B" w:rsidR="00AF5C49" w:rsidRPr="0086247E" w:rsidRDefault="00AF5C49" w:rsidP="00AF5C49">
      <w:pPr>
        <w:ind w:left="851"/>
        <w:rPr>
          <w:sz w:val="24"/>
          <w:szCs w:val="24"/>
        </w:rPr>
      </w:pPr>
      <w:r w:rsidRPr="0086247E">
        <w:rPr>
          <w:sz w:val="24"/>
          <w:szCs w:val="24"/>
        </w:rPr>
        <w:t>Delta Park 37</w:t>
      </w:r>
    </w:p>
    <w:p w14:paraId="17979903" w14:textId="75DC9C60" w:rsidR="00AF5C49" w:rsidRPr="0086247E" w:rsidRDefault="00AF5C49" w:rsidP="00AF5C49">
      <w:pPr>
        <w:ind w:left="851"/>
        <w:rPr>
          <w:sz w:val="24"/>
          <w:szCs w:val="24"/>
        </w:rPr>
      </w:pPr>
      <w:r w:rsidRPr="0086247E">
        <w:rPr>
          <w:sz w:val="24"/>
          <w:szCs w:val="24"/>
        </w:rPr>
        <w:t>2665 Vallensbæk Strand</w:t>
      </w:r>
    </w:p>
    <w:p w14:paraId="78C05ECB" w14:textId="77777777" w:rsidR="008A24F6" w:rsidRPr="0086247E" w:rsidRDefault="008A24F6" w:rsidP="003E0341">
      <w:pPr>
        <w:tabs>
          <w:tab w:val="left" w:pos="851"/>
        </w:tabs>
        <w:ind w:left="851"/>
        <w:jc w:val="both"/>
        <w:rPr>
          <w:sz w:val="24"/>
          <w:szCs w:val="24"/>
        </w:rPr>
      </w:pPr>
    </w:p>
    <w:p w14:paraId="07018969" w14:textId="77777777" w:rsidR="007C5D2A" w:rsidRPr="002734EF" w:rsidRDefault="007C5D2A" w:rsidP="007C5D2A">
      <w:pPr>
        <w:ind w:left="851" w:hanging="851"/>
        <w:jc w:val="both"/>
        <w:rPr>
          <w:b/>
          <w:sz w:val="24"/>
          <w:szCs w:val="24"/>
          <w:lang w:val="en-GB"/>
        </w:rPr>
      </w:pPr>
      <w:r w:rsidRPr="002734EF">
        <w:rPr>
          <w:b/>
          <w:sz w:val="24"/>
          <w:szCs w:val="24"/>
          <w:lang w:val="en-GB"/>
        </w:rPr>
        <w:t>8.</w:t>
      </w:r>
      <w:r w:rsidRPr="002734EF">
        <w:rPr>
          <w:b/>
          <w:sz w:val="24"/>
          <w:szCs w:val="24"/>
          <w:lang w:val="en-GB"/>
        </w:rPr>
        <w:tab/>
        <w:t>MARKETING AUTHORISATION NUMBER(S)</w:t>
      </w:r>
    </w:p>
    <w:p w14:paraId="610137C4" w14:textId="3FCF612F" w:rsidR="007C5D2A" w:rsidRPr="002734EF" w:rsidRDefault="000E4153" w:rsidP="00A85D26">
      <w:pPr>
        <w:tabs>
          <w:tab w:val="left" w:pos="851"/>
        </w:tabs>
        <w:ind w:left="851"/>
        <w:jc w:val="both"/>
        <w:rPr>
          <w:sz w:val="24"/>
          <w:szCs w:val="24"/>
          <w:lang w:val="en-GB"/>
        </w:rPr>
      </w:pPr>
      <w:r w:rsidRPr="002734EF">
        <w:rPr>
          <w:sz w:val="24"/>
          <w:szCs w:val="24"/>
          <w:lang w:val="en-GB"/>
        </w:rPr>
        <w:t>73013</w:t>
      </w:r>
    </w:p>
    <w:p w14:paraId="06C54401" w14:textId="77777777" w:rsidR="007C5D2A" w:rsidRPr="002734EF" w:rsidRDefault="007C5D2A" w:rsidP="00180A12">
      <w:pPr>
        <w:tabs>
          <w:tab w:val="left" w:pos="851"/>
        </w:tabs>
        <w:ind w:left="851"/>
        <w:jc w:val="both"/>
        <w:rPr>
          <w:sz w:val="24"/>
          <w:szCs w:val="24"/>
          <w:lang w:val="en-GB"/>
        </w:rPr>
      </w:pPr>
    </w:p>
    <w:p w14:paraId="58CEA01F" w14:textId="77777777" w:rsidR="007C5D2A" w:rsidRPr="002734EF" w:rsidRDefault="007C5D2A" w:rsidP="007C5D2A">
      <w:pPr>
        <w:tabs>
          <w:tab w:val="left" w:pos="851"/>
        </w:tabs>
        <w:jc w:val="both"/>
        <w:rPr>
          <w:sz w:val="24"/>
          <w:szCs w:val="24"/>
          <w:lang w:val="en-GB"/>
        </w:rPr>
      </w:pPr>
      <w:r w:rsidRPr="002734EF">
        <w:rPr>
          <w:b/>
          <w:sz w:val="24"/>
          <w:szCs w:val="24"/>
          <w:lang w:val="en-GB"/>
        </w:rPr>
        <w:t>9.</w:t>
      </w:r>
      <w:r w:rsidRPr="002734EF">
        <w:rPr>
          <w:b/>
          <w:sz w:val="24"/>
          <w:szCs w:val="24"/>
          <w:lang w:val="en-GB"/>
        </w:rPr>
        <w:tab/>
        <w:t>DATE OF FIRST AUTHORISATION</w:t>
      </w:r>
    </w:p>
    <w:p w14:paraId="09E1A33A" w14:textId="6952F1CF" w:rsidR="007C5D2A" w:rsidRPr="002734EF" w:rsidRDefault="00544E91" w:rsidP="00A85D26">
      <w:pPr>
        <w:ind w:left="851"/>
        <w:jc w:val="both"/>
        <w:rPr>
          <w:sz w:val="24"/>
          <w:szCs w:val="24"/>
          <w:lang w:val="en-GB"/>
        </w:rPr>
      </w:pPr>
      <w:r>
        <w:rPr>
          <w:sz w:val="24"/>
          <w:szCs w:val="24"/>
          <w:lang w:val="en-GB"/>
        </w:rPr>
        <w:t>25 June 2026</w:t>
      </w:r>
    </w:p>
    <w:p w14:paraId="303F9301" w14:textId="77777777" w:rsidR="007C5D2A" w:rsidRPr="002734EF" w:rsidRDefault="007C5D2A" w:rsidP="003E0341">
      <w:pPr>
        <w:tabs>
          <w:tab w:val="left" w:pos="851"/>
        </w:tabs>
        <w:ind w:left="851"/>
        <w:jc w:val="both"/>
        <w:rPr>
          <w:sz w:val="24"/>
          <w:szCs w:val="24"/>
          <w:lang w:val="en-GB"/>
        </w:rPr>
      </w:pPr>
    </w:p>
    <w:p w14:paraId="11F76A47" w14:textId="77777777" w:rsidR="007C5D2A" w:rsidRPr="002734EF" w:rsidRDefault="007C5D2A" w:rsidP="007C5D2A">
      <w:pPr>
        <w:tabs>
          <w:tab w:val="left" w:pos="851"/>
        </w:tabs>
        <w:jc w:val="both"/>
        <w:rPr>
          <w:sz w:val="24"/>
          <w:szCs w:val="24"/>
          <w:lang w:val="en-GB"/>
        </w:rPr>
      </w:pPr>
      <w:r w:rsidRPr="002734EF">
        <w:rPr>
          <w:b/>
          <w:sz w:val="24"/>
          <w:szCs w:val="24"/>
          <w:lang w:val="en-GB"/>
        </w:rPr>
        <w:t>10.</w:t>
      </w:r>
      <w:r w:rsidRPr="002734EF">
        <w:rPr>
          <w:b/>
          <w:sz w:val="24"/>
          <w:szCs w:val="24"/>
          <w:lang w:val="en-GB"/>
        </w:rPr>
        <w:tab/>
        <w:t>DATE OF REVISION OF THE TEXT</w:t>
      </w:r>
    </w:p>
    <w:p w14:paraId="5BB4E242" w14:textId="02065DDA" w:rsidR="007C5D2A" w:rsidRPr="002734EF" w:rsidRDefault="000E4153" w:rsidP="003E0341">
      <w:pPr>
        <w:tabs>
          <w:tab w:val="left" w:pos="851"/>
        </w:tabs>
        <w:ind w:left="851"/>
        <w:jc w:val="both"/>
        <w:rPr>
          <w:sz w:val="24"/>
          <w:szCs w:val="24"/>
          <w:lang w:val="en-GB"/>
        </w:rPr>
      </w:pPr>
      <w:r w:rsidRPr="002734EF">
        <w:rPr>
          <w:sz w:val="24"/>
          <w:szCs w:val="24"/>
          <w:lang w:val="en-GB"/>
        </w:rPr>
        <w:t>-</w:t>
      </w:r>
    </w:p>
    <w:sectPr w:rsidR="007C5D2A" w:rsidRPr="002734EF" w:rsidSect="004A3BF4">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BFDA2" w14:textId="77777777" w:rsidR="00245283" w:rsidRDefault="00245283">
      <w:r>
        <w:separator/>
      </w:r>
    </w:p>
  </w:endnote>
  <w:endnote w:type="continuationSeparator" w:id="0">
    <w:p w14:paraId="4519873F" w14:textId="77777777" w:rsidR="00245283" w:rsidRDefault="00245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E1301" w14:textId="77777777" w:rsidR="00AC033C" w:rsidRDefault="00AC033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3580C" w14:textId="77777777" w:rsidR="00864538" w:rsidRDefault="00864538">
    <w:pPr>
      <w:pStyle w:val="Sidefod"/>
      <w:pBdr>
        <w:bottom w:val="single" w:sz="6" w:space="1" w:color="auto"/>
      </w:pBdr>
    </w:pPr>
  </w:p>
  <w:p w14:paraId="5E859056" w14:textId="77777777" w:rsidR="00864538" w:rsidRDefault="00864538">
    <w:pPr>
      <w:pStyle w:val="Sidefod"/>
      <w:tabs>
        <w:tab w:val="clear" w:pos="4819"/>
        <w:tab w:val="left" w:pos="8647"/>
      </w:tabs>
      <w:rPr>
        <w:i/>
        <w:snapToGrid w:val="0"/>
        <w:sz w:val="18"/>
      </w:rPr>
    </w:pPr>
  </w:p>
  <w:p w14:paraId="44FF1420" w14:textId="2BE65C65" w:rsidR="00864538" w:rsidRDefault="00E36A80" w:rsidP="00AC033C">
    <w:pPr>
      <w:pStyle w:val="Sidefod"/>
      <w:tabs>
        <w:tab w:val="clear" w:pos="4819"/>
        <w:tab w:val="left" w:pos="8364"/>
      </w:tabs>
      <w:rPr>
        <w:i/>
        <w:sz w:val="18"/>
      </w:rPr>
    </w:pPr>
    <w:r>
      <w:rPr>
        <w:i/>
        <w:snapToGrid w:val="0"/>
        <w:sz w:val="18"/>
      </w:rPr>
      <w:fldChar w:fldCharType="begin"/>
    </w:r>
    <w:r w:rsidR="00864538">
      <w:rPr>
        <w:i/>
        <w:snapToGrid w:val="0"/>
        <w:sz w:val="18"/>
      </w:rPr>
      <w:instrText xml:space="preserve"> FILENAME </w:instrText>
    </w:r>
    <w:r>
      <w:rPr>
        <w:i/>
        <w:snapToGrid w:val="0"/>
        <w:sz w:val="18"/>
      </w:rPr>
      <w:fldChar w:fldCharType="separate"/>
    </w:r>
    <w:r w:rsidR="002E1E78">
      <w:rPr>
        <w:i/>
        <w:noProof/>
        <w:snapToGrid w:val="0"/>
        <w:sz w:val="18"/>
      </w:rPr>
      <w:t>Otrafexi, filmovertrukne tabletter 120 mg.docx</w:t>
    </w:r>
    <w:r>
      <w:rPr>
        <w:i/>
        <w:snapToGrid w:val="0"/>
        <w:sz w:val="18"/>
      </w:rPr>
      <w:fldChar w:fldCharType="end"/>
    </w:r>
    <w:r w:rsidR="00864538">
      <w:rPr>
        <w:i/>
        <w:snapToGrid w:val="0"/>
        <w:sz w:val="18"/>
      </w:rPr>
      <w:tab/>
      <w:t xml:space="preserve">Page </w:t>
    </w:r>
    <w:r>
      <w:rPr>
        <w:i/>
        <w:snapToGrid w:val="0"/>
        <w:sz w:val="18"/>
      </w:rPr>
      <w:fldChar w:fldCharType="begin"/>
    </w:r>
    <w:r w:rsidR="00864538">
      <w:rPr>
        <w:i/>
        <w:snapToGrid w:val="0"/>
        <w:sz w:val="18"/>
      </w:rPr>
      <w:instrText xml:space="preserve"> PAGE </w:instrText>
    </w:r>
    <w:r>
      <w:rPr>
        <w:i/>
        <w:snapToGrid w:val="0"/>
        <w:sz w:val="18"/>
      </w:rPr>
      <w:fldChar w:fldCharType="separate"/>
    </w:r>
    <w:r w:rsidR="00AC033C">
      <w:rPr>
        <w:i/>
        <w:noProof/>
        <w:snapToGrid w:val="0"/>
        <w:sz w:val="18"/>
      </w:rPr>
      <w:t>1</w:t>
    </w:r>
    <w:r>
      <w:rPr>
        <w:i/>
        <w:snapToGrid w:val="0"/>
        <w:sz w:val="18"/>
      </w:rPr>
      <w:fldChar w:fldCharType="end"/>
    </w:r>
    <w:r w:rsidR="00864538">
      <w:rPr>
        <w:i/>
        <w:snapToGrid w:val="0"/>
        <w:sz w:val="18"/>
      </w:rPr>
      <w:t xml:space="preserve"> of </w:t>
    </w:r>
    <w:r>
      <w:rPr>
        <w:i/>
        <w:snapToGrid w:val="0"/>
        <w:sz w:val="18"/>
      </w:rPr>
      <w:fldChar w:fldCharType="begin"/>
    </w:r>
    <w:r w:rsidR="00864538">
      <w:rPr>
        <w:i/>
        <w:snapToGrid w:val="0"/>
        <w:sz w:val="18"/>
      </w:rPr>
      <w:instrText xml:space="preserve"> NUMPAGES </w:instrText>
    </w:r>
    <w:r>
      <w:rPr>
        <w:i/>
        <w:snapToGrid w:val="0"/>
        <w:sz w:val="18"/>
      </w:rPr>
      <w:fldChar w:fldCharType="separate"/>
    </w:r>
    <w:r w:rsidR="00AC033C">
      <w:rPr>
        <w:i/>
        <w:noProof/>
        <w:snapToGrid w:val="0"/>
        <w:sz w:val="18"/>
      </w:rPr>
      <w:t>3</w:t>
    </w:r>
    <w:r>
      <w:rPr>
        <w:i/>
        <w:snapToGrid w:val="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084AE" w14:textId="77777777" w:rsidR="00864538" w:rsidRDefault="00864538">
    <w:pPr>
      <w:pStyle w:val="Sidefod"/>
      <w:pBdr>
        <w:bottom w:val="single" w:sz="6" w:space="1" w:color="auto"/>
      </w:pBdr>
      <w:tabs>
        <w:tab w:val="clear" w:pos="4819"/>
        <w:tab w:val="left" w:pos="8789"/>
      </w:tabs>
      <w:rPr>
        <w:i/>
        <w:snapToGrid w:val="0"/>
        <w:sz w:val="18"/>
      </w:rPr>
    </w:pPr>
  </w:p>
  <w:p w14:paraId="59EECE77" w14:textId="77777777" w:rsidR="00864538" w:rsidRDefault="00864538">
    <w:pPr>
      <w:pStyle w:val="Sidefod"/>
      <w:tabs>
        <w:tab w:val="clear" w:pos="4819"/>
        <w:tab w:val="left" w:pos="8789"/>
      </w:tabs>
      <w:rPr>
        <w:i/>
        <w:snapToGrid w:val="0"/>
        <w:sz w:val="18"/>
      </w:rPr>
    </w:pPr>
  </w:p>
  <w:p w14:paraId="3973A178" w14:textId="45144DE7" w:rsidR="00864538" w:rsidRDefault="00E36A80">
    <w:pPr>
      <w:pStyle w:val="Sidefod"/>
      <w:tabs>
        <w:tab w:val="clear" w:pos="4819"/>
        <w:tab w:val="left" w:pos="8647"/>
      </w:tabs>
      <w:rPr>
        <w:i/>
        <w:sz w:val="18"/>
      </w:rPr>
    </w:pPr>
    <w:r>
      <w:rPr>
        <w:i/>
        <w:snapToGrid w:val="0"/>
        <w:sz w:val="18"/>
      </w:rPr>
      <w:fldChar w:fldCharType="begin"/>
    </w:r>
    <w:r w:rsidR="00864538">
      <w:rPr>
        <w:i/>
        <w:snapToGrid w:val="0"/>
        <w:sz w:val="18"/>
      </w:rPr>
      <w:instrText xml:space="preserve"> FILENAME </w:instrText>
    </w:r>
    <w:r>
      <w:rPr>
        <w:i/>
        <w:snapToGrid w:val="0"/>
        <w:sz w:val="18"/>
      </w:rPr>
      <w:fldChar w:fldCharType="separate"/>
    </w:r>
    <w:r w:rsidR="002E1E78">
      <w:rPr>
        <w:i/>
        <w:noProof/>
        <w:snapToGrid w:val="0"/>
        <w:sz w:val="18"/>
      </w:rPr>
      <w:t>Otrafexi, filmovertrukne tabletter 120 mg.docx</w:t>
    </w:r>
    <w:r>
      <w:rPr>
        <w:i/>
        <w:snapToGrid w:val="0"/>
        <w:sz w:val="18"/>
      </w:rPr>
      <w:fldChar w:fldCharType="end"/>
    </w:r>
    <w:r w:rsidR="00864538">
      <w:rPr>
        <w:i/>
        <w:snapToGrid w:val="0"/>
        <w:sz w:val="18"/>
      </w:rPr>
      <w:tab/>
      <w:t xml:space="preserve">Page </w:t>
    </w:r>
    <w:r>
      <w:rPr>
        <w:i/>
        <w:snapToGrid w:val="0"/>
        <w:sz w:val="18"/>
      </w:rPr>
      <w:fldChar w:fldCharType="begin"/>
    </w:r>
    <w:r w:rsidR="00864538">
      <w:rPr>
        <w:i/>
        <w:snapToGrid w:val="0"/>
        <w:sz w:val="18"/>
      </w:rPr>
      <w:instrText xml:space="preserve"> PAGE </w:instrText>
    </w:r>
    <w:r>
      <w:rPr>
        <w:i/>
        <w:snapToGrid w:val="0"/>
        <w:sz w:val="18"/>
      </w:rPr>
      <w:fldChar w:fldCharType="separate"/>
    </w:r>
    <w:r w:rsidR="00D97B77">
      <w:rPr>
        <w:i/>
        <w:noProof/>
        <w:snapToGrid w:val="0"/>
        <w:sz w:val="18"/>
      </w:rPr>
      <w:t>1</w:t>
    </w:r>
    <w:r>
      <w:rPr>
        <w:i/>
        <w:snapToGrid w:val="0"/>
        <w:sz w:val="18"/>
      </w:rPr>
      <w:fldChar w:fldCharType="end"/>
    </w:r>
    <w:r w:rsidR="00864538">
      <w:rPr>
        <w:i/>
        <w:snapToGrid w:val="0"/>
        <w:sz w:val="18"/>
      </w:rPr>
      <w:t xml:space="preserve"> of </w:t>
    </w:r>
    <w:r>
      <w:rPr>
        <w:i/>
        <w:snapToGrid w:val="0"/>
        <w:sz w:val="18"/>
      </w:rPr>
      <w:fldChar w:fldCharType="begin"/>
    </w:r>
    <w:r w:rsidR="00864538">
      <w:rPr>
        <w:i/>
        <w:snapToGrid w:val="0"/>
        <w:sz w:val="18"/>
      </w:rPr>
      <w:instrText xml:space="preserve"> NUMPAGES </w:instrText>
    </w:r>
    <w:r>
      <w:rPr>
        <w:i/>
        <w:snapToGrid w:val="0"/>
        <w:sz w:val="18"/>
      </w:rPr>
      <w:fldChar w:fldCharType="separate"/>
    </w:r>
    <w:r w:rsidR="00E1290F">
      <w:rPr>
        <w:i/>
        <w:noProof/>
        <w:snapToGrid w:val="0"/>
        <w:sz w:val="18"/>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5890" w14:textId="77777777" w:rsidR="00245283" w:rsidRDefault="00245283">
      <w:r>
        <w:separator/>
      </w:r>
    </w:p>
  </w:footnote>
  <w:footnote w:type="continuationSeparator" w:id="0">
    <w:p w14:paraId="58169FE0" w14:textId="77777777" w:rsidR="00245283" w:rsidRDefault="00245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D5620" w14:textId="77777777" w:rsidR="00AC033C" w:rsidRDefault="00AC033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2D226" w14:textId="77777777" w:rsidR="00864538" w:rsidRDefault="000D3C9D">
    <w:pPr>
      <w:pStyle w:val="Sidehoved"/>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43515" w14:textId="77777777" w:rsidR="00AC033C" w:rsidRDefault="00AC033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A86"/>
    <w:multiLevelType w:val="multilevel"/>
    <w:tmpl w:val="D4ECF4E0"/>
    <w:lvl w:ilvl="0">
      <w:start w:val="4"/>
      <w:numFmt w:val="decimal"/>
      <w:lvlText w:val="%1."/>
      <w:lvlJc w:val="left"/>
      <w:pPr>
        <w:tabs>
          <w:tab w:val="num" w:pos="855"/>
        </w:tabs>
        <w:ind w:left="855" w:hanging="855"/>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1" w15:restartNumberingAfterBreak="0">
    <w:nsid w:val="03C2602A"/>
    <w:multiLevelType w:val="hybridMultilevel"/>
    <w:tmpl w:val="EC8C595A"/>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 w15:restartNumberingAfterBreak="0">
    <w:nsid w:val="14C1732C"/>
    <w:multiLevelType w:val="multilevel"/>
    <w:tmpl w:val="7BE2F61C"/>
    <w:lvl w:ilvl="0">
      <w:start w:val="6"/>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9BE6F9D"/>
    <w:multiLevelType w:val="multilevel"/>
    <w:tmpl w:val="5D748B46"/>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num w:numId="1" w16cid:durableId="1380592008">
    <w:abstractNumId w:val="2"/>
  </w:num>
  <w:num w:numId="2" w16cid:durableId="819809552">
    <w:abstractNumId w:val="0"/>
  </w:num>
  <w:num w:numId="3" w16cid:durableId="387344226">
    <w:abstractNumId w:val="3"/>
  </w:num>
  <w:num w:numId="4" w16cid:durableId="1379935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283"/>
    <w:rsid w:val="00056601"/>
    <w:rsid w:val="000C3846"/>
    <w:rsid w:val="000C6218"/>
    <w:rsid w:val="000D3C9D"/>
    <w:rsid w:val="000E4153"/>
    <w:rsid w:val="000F0D47"/>
    <w:rsid w:val="001242DE"/>
    <w:rsid w:val="00180A12"/>
    <w:rsid w:val="00214331"/>
    <w:rsid w:val="00214CF4"/>
    <w:rsid w:val="00245283"/>
    <w:rsid w:val="002734EF"/>
    <w:rsid w:val="002750B6"/>
    <w:rsid w:val="00281F03"/>
    <w:rsid w:val="0029458A"/>
    <w:rsid w:val="002A1587"/>
    <w:rsid w:val="002B27C5"/>
    <w:rsid w:val="002E1E78"/>
    <w:rsid w:val="002F6D9C"/>
    <w:rsid w:val="00303008"/>
    <w:rsid w:val="00373B55"/>
    <w:rsid w:val="003D727E"/>
    <w:rsid w:val="003E0341"/>
    <w:rsid w:val="003E3402"/>
    <w:rsid w:val="003F4736"/>
    <w:rsid w:val="00401B49"/>
    <w:rsid w:val="0042292D"/>
    <w:rsid w:val="00437D5B"/>
    <w:rsid w:val="00440254"/>
    <w:rsid w:val="004860D3"/>
    <w:rsid w:val="004A3BF4"/>
    <w:rsid w:val="004A5DB3"/>
    <w:rsid w:val="005152D9"/>
    <w:rsid w:val="00533AD4"/>
    <w:rsid w:val="00534849"/>
    <w:rsid w:val="00544E91"/>
    <w:rsid w:val="00560102"/>
    <w:rsid w:val="00562EA1"/>
    <w:rsid w:val="005A498B"/>
    <w:rsid w:val="00617BB8"/>
    <w:rsid w:val="006207FF"/>
    <w:rsid w:val="00680052"/>
    <w:rsid w:val="00683267"/>
    <w:rsid w:val="006844E9"/>
    <w:rsid w:val="006B3847"/>
    <w:rsid w:val="0075453D"/>
    <w:rsid w:val="007A4CC6"/>
    <w:rsid w:val="007C3623"/>
    <w:rsid w:val="007C5D2A"/>
    <w:rsid w:val="007F1E00"/>
    <w:rsid w:val="00827444"/>
    <w:rsid w:val="008400E3"/>
    <w:rsid w:val="0086247E"/>
    <w:rsid w:val="00864538"/>
    <w:rsid w:val="00873B4F"/>
    <w:rsid w:val="008A24F6"/>
    <w:rsid w:val="008E51AE"/>
    <w:rsid w:val="008F2F8C"/>
    <w:rsid w:val="009925C9"/>
    <w:rsid w:val="00A179D0"/>
    <w:rsid w:val="00A358A3"/>
    <w:rsid w:val="00A46747"/>
    <w:rsid w:val="00A80446"/>
    <w:rsid w:val="00A85D26"/>
    <w:rsid w:val="00A9153A"/>
    <w:rsid w:val="00AB4376"/>
    <w:rsid w:val="00AC033C"/>
    <w:rsid w:val="00AD2E36"/>
    <w:rsid w:val="00AF5C49"/>
    <w:rsid w:val="00B45DC5"/>
    <w:rsid w:val="00BD3490"/>
    <w:rsid w:val="00C26226"/>
    <w:rsid w:val="00C3571D"/>
    <w:rsid w:val="00C54F0B"/>
    <w:rsid w:val="00C82621"/>
    <w:rsid w:val="00CB1423"/>
    <w:rsid w:val="00CD680F"/>
    <w:rsid w:val="00CF4EC5"/>
    <w:rsid w:val="00D02508"/>
    <w:rsid w:val="00D42494"/>
    <w:rsid w:val="00D778CC"/>
    <w:rsid w:val="00D82FE9"/>
    <w:rsid w:val="00D97B77"/>
    <w:rsid w:val="00DB6A85"/>
    <w:rsid w:val="00DC5F3B"/>
    <w:rsid w:val="00E06B32"/>
    <w:rsid w:val="00E1290F"/>
    <w:rsid w:val="00E36A80"/>
    <w:rsid w:val="00EB21D7"/>
    <w:rsid w:val="00EE3EB7"/>
    <w:rsid w:val="00F57E16"/>
    <w:rsid w:val="00F60336"/>
    <w:rsid w:val="00FD652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8D093E"/>
  <w15:chartTrackingRefBased/>
  <w15:docId w15:val="{D2DC743B-A309-478B-AA75-FF5F5AC1E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B55"/>
    <w:rPr>
      <w:sz w:val="23"/>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qFormat/>
    <w:rsid w:val="00373B55"/>
    <w:pPr>
      <w:jc w:val="center"/>
    </w:pPr>
    <w:rPr>
      <w:b/>
      <w:sz w:val="24"/>
    </w:rPr>
  </w:style>
  <w:style w:type="paragraph" w:styleId="Sidehoved">
    <w:name w:val="header"/>
    <w:basedOn w:val="Normal"/>
    <w:rsid w:val="00373B55"/>
    <w:pPr>
      <w:tabs>
        <w:tab w:val="center" w:pos="4819"/>
        <w:tab w:val="right" w:pos="9638"/>
      </w:tabs>
    </w:pPr>
    <w:rPr>
      <w:sz w:val="24"/>
    </w:rPr>
  </w:style>
  <w:style w:type="paragraph" w:styleId="Sidefod">
    <w:name w:val="footer"/>
    <w:basedOn w:val="Normal"/>
    <w:rsid w:val="00373B55"/>
    <w:pPr>
      <w:tabs>
        <w:tab w:val="center" w:pos="4819"/>
        <w:tab w:val="right" w:pos="9638"/>
      </w:tabs>
    </w:pPr>
    <w:rPr>
      <w:sz w:val="24"/>
    </w:rPr>
  </w:style>
  <w:style w:type="character" w:styleId="Sidetal">
    <w:name w:val="page number"/>
    <w:basedOn w:val="Standardskrifttypeiafsnit"/>
    <w:rsid w:val="00373B55"/>
  </w:style>
  <w:style w:type="character" w:styleId="Kommentarhenvisning">
    <w:name w:val="annotation reference"/>
    <w:basedOn w:val="Standardskrifttypeiafsnit"/>
    <w:semiHidden/>
    <w:rsid w:val="00373B55"/>
    <w:rPr>
      <w:sz w:val="16"/>
    </w:rPr>
  </w:style>
  <w:style w:type="paragraph" w:styleId="Kommentartekst">
    <w:name w:val="annotation text"/>
    <w:basedOn w:val="Normal"/>
    <w:link w:val="KommentartekstTegn"/>
    <w:semiHidden/>
    <w:rsid w:val="00373B55"/>
    <w:rPr>
      <w:sz w:val="20"/>
    </w:rPr>
  </w:style>
  <w:style w:type="paragraph" w:styleId="Markeringsbobletekst">
    <w:name w:val="Balloon Text"/>
    <w:basedOn w:val="Normal"/>
    <w:link w:val="MarkeringsbobletekstTegn"/>
    <w:uiPriority w:val="99"/>
    <w:semiHidden/>
    <w:unhideWhenUsed/>
    <w:rsid w:val="004A5DB3"/>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A5DB3"/>
    <w:rPr>
      <w:rFonts w:ascii="Tahoma" w:hAnsi="Tahoma" w:cs="Tahoma"/>
      <w:sz w:val="16"/>
      <w:szCs w:val="16"/>
    </w:rPr>
  </w:style>
  <w:style w:type="paragraph" w:styleId="Kommentaremne">
    <w:name w:val="annotation subject"/>
    <w:basedOn w:val="Kommentartekst"/>
    <w:next w:val="Kommentartekst"/>
    <w:link w:val="KommentaremneTegn"/>
    <w:uiPriority w:val="99"/>
    <w:semiHidden/>
    <w:unhideWhenUsed/>
    <w:rsid w:val="00873B4F"/>
    <w:rPr>
      <w:b/>
      <w:bCs/>
    </w:rPr>
  </w:style>
  <w:style w:type="character" w:customStyle="1" w:styleId="KommentartekstTegn">
    <w:name w:val="Kommentartekst Tegn"/>
    <w:basedOn w:val="Standardskrifttypeiafsnit"/>
    <w:link w:val="Kommentartekst"/>
    <w:semiHidden/>
    <w:rsid w:val="00873B4F"/>
  </w:style>
  <w:style w:type="character" w:customStyle="1" w:styleId="KommentaremneTegn">
    <w:name w:val="Kommentaremne Tegn"/>
    <w:basedOn w:val="KommentartekstTegn"/>
    <w:link w:val="Kommentaremne"/>
    <w:uiPriority w:val="99"/>
    <w:semiHidden/>
    <w:rsid w:val="00873B4F"/>
    <w:rPr>
      <w:b/>
      <w:bCs/>
    </w:rPr>
  </w:style>
  <w:style w:type="character" w:styleId="Hyperlink">
    <w:name w:val="Hyperlink"/>
    <w:basedOn w:val="Standardskrifttypeiafsnit"/>
    <w:uiPriority w:val="99"/>
    <w:unhideWhenUsed/>
    <w:rsid w:val="002750B6"/>
    <w:rPr>
      <w:color w:val="0563C1" w:themeColor="hyperlink"/>
      <w:u w:val="single"/>
    </w:rPr>
  </w:style>
  <w:style w:type="character" w:styleId="Ulstomtale">
    <w:name w:val="Unresolved Mention"/>
    <w:basedOn w:val="Standardskrifttypeiafsnit"/>
    <w:uiPriority w:val="99"/>
    <w:semiHidden/>
    <w:unhideWhenUsed/>
    <w:rsid w:val="00275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30124">
      <w:bodyDiv w:val="1"/>
      <w:marLeft w:val="0"/>
      <w:marRight w:val="0"/>
      <w:marTop w:val="0"/>
      <w:marBottom w:val="0"/>
      <w:divBdr>
        <w:top w:val="none" w:sz="0" w:space="0" w:color="auto"/>
        <w:left w:val="none" w:sz="0" w:space="0" w:color="auto"/>
        <w:bottom w:val="none" w:sz="0" w:space="0" w:color="auto"/>
        <w:right w:val="none" w:sz="0" w:space="0" w:color="auto"/>
      </w:divBdr>
    </w:div>
    <w:div w:id="67002171">
      <w:bodyDiv w:val="1"/>
      <w:marLeft w:val="0"/>
      <w:marRight w:val="0"/>
      <w:marTop w:val="0"/>
      <w:marBottom w:val="0"/>
      <w:divBdr>
        <w:top w:val="none" w:sz="0" w:space="0" w:color="auto"/>
        <w:left w:val="none" w:sz="0" w:space="0" w:color="auto"/>
        <w:bottom w:val="none" w:sz="0" w:space="0" w:color="auto"/>
        <w:right w:val="none" w:sz="0" w:space="0" w:color="auto"/>
      </w:divBdr>
    </w:div>
    <w:div w:id="166991696">
      <w:bodyDiv w:val="1"/>
      <w:marLeft w:val="0"/>
      <w:marRight w:val="0"/>
      <w:marTop w:val="0"/>
      <w:marBottom w:val="0"/>
      <w:divBdr>
        <w:top w:val="none" w:sz="0" w:space="0" w:color="auto"/>
        <w:left w:val="none" w:sz="0" w:space="0" w:color="auto"/>
        <w:bottom w:val="none" w:sz="0" w:space="0" w:color="auto"/>
        <w:right w:val="none" w:sz="0" w:space="0" w:color="auto"/>
      </w:divBdr>
    </w:div>
    <w:div w:id="187447843">
      <w:bodyDiv w:val="1"/>
      <w:marLeft w:val="0"/>
      <w:marRight w:val="0"/>
      <w:marTop w:val="0"/>
      <w:marBottom w:val="0"/>
      <w:divBdr>
        <w:top w:val="none" w:sz="0" w:space="0" w:color="auto"/>
        <w:left w:val="none" w:sz="0" w:space="0" w:color="auto"/>
        <w:bottom w:val="none" w:sz="0" w:space="0" w:color="auto"/>
        <w:right w:val="none" w:sz="0" w:space="0" w:color="auto"/>
      </w:divBdr>
    </w:div>
    <w:div w:id="191694768">
      <w:bodyDiv w:val="1"/>
      <w:marLeft w:val="0"/>
      <w:marRight w:val="0"/>
      <w:marTop w:val="0"/>
      <w:marBottom w:val="0"/>
      <w:divBdr>
        <w:top w:val="none" w:sz="0" w:space="0" w:color="auto"/>
        <w:left w:val="none" w:sz="0" w:space="0" w:color="auto"/>
        <w:bottom w:val="none" w:sz="0" w:space="0" w:color="auto"/>
        <w:right w:val="none" w:sz="0" w:space="0" w:color="auto"/>
      </w:divBdr>
    </w:div>
    <w:div w:id="236013880">
      <w:bodyDiv w:val="1"/>
      <w:marLeft w:val="0"/>
      <w:marRight w:val="0"/>
      <w:marTop w:val="0"/>
      <w:marBottom w:val="0"/>
      <w:divBdr>
        <w:top w:val="none" w:sz="0" w:space="0" w:color="auto"/>
        <w:left w:val="none" w:sz="0" w:space="0" w:color="auto"/>
        <w:bottom w:val="none" w:sz="0" w:space="0" w:color="auto"/>
        <w:right w:val="none" w:sz="0" w:space="0" w:color="auto"/>
      </w:divBdr>
    </w:div>
    <w:div w:id="364526116">
      <w:bodyDiv w:val="1"/>
      <w:marLeft w:val="0"/>
      <w:marRight w:val="0"/>
      <w:marTop w:val="0"/>
      <w:marBottom w:val="0"/>
      <w:divBdr>
        <w:top w:val="none" w:sz="0" w:space="0" w:color="auto"/>
        <w:left w:val="none" w:sz="0" w:space="0" w:color="auto"/>
        <w:bottom w:val="none" w:sz="0" w:space="0" w:color="auto"/>
        <w:right w:val="none" w:sz="0" w:space="0" w:color="auto"/>
      </w:divBdr>
    </w:div>
    <w:div w:id="445660512">
      <w:bodyDiv w:val="1"/>
      <w:marLeft w:val="0"/>
      <w:marRight w:val="0"/>
      <w:marTop w:val="0"/>
      <w:marBottom w:val="0"/>
      <w:divBdr>
        <w:top w:val="none" w:sz="0" w:space="0" w:color="auto"/>
        <w:left w:val="none" w:sz="0" w:space="0" w:color="auto"/>
        <w:bottom w:val="none" w:sz="0" w:space="0" w:color="auto"/>
        <w:right w:val="none" w:sz="0" w:space="0" w:color="auto"/>
      </w:divBdr>
    </w:div>
    <w:div w:id="466892696">
      <w:bodyDiv w:val="1"/>
      <w:marLeft w:val="0"/>
      <w:marRight w:val="0"/>
      <w:marTop w:val="0"/>
      <w:marBottom w:val="0"/>
      <w:divBdr>
        <w:top w:val="none" w:sz="0" w:space="0" w:color="auto"/>
        <w:left w:val="none" w:sz="0" w:space="0" w:color="auto"/>
        <w:bottom w:val="none" w:sz="0" w:space="0" w:color="auto"/>
        <w:right w:val="none" w:sz="0" w:space="0" w:color="auto"/>
      </w:divBdr>
    </w:div>
    <w:div w:id="541328182">
      <w:bodyDiv w:val="1"/>
      <w:marLeft w:val="0"/>
      <w:marRight w:val="0"/>
      <w:marTop w:val="0"/>
      <w:marBottom w:val="0"/>
      <w:divBdr>
        <w:top w:val="none" w:sz="0" w:space="0" w:color="auto"/>
        <w:left w:val="none" w:sz="0" w:space="0" w:color="auto"/>
        <w:bottom w:val="none" w:sz="0" w:space="0" w:color="auto"/>
        <w:right w:val="none" w:sz="0" w:space="0" w:color="auto"/>
      </w:divBdr>
    </w:div>
    <w:div w:id="552159510">
      <w:bodyDiv w:val="1"/>
      <w:marLeft w:val="0"/>
      <w:marRight w:val="0"/>
      <w:marTop w:val="0"/>
      <w:marBottom w:val="0"/>
      <w:divBdr>
        <w:top w:val="none" w:sz="0" w:space="0" w:color="auto"/>
        <w:left w:val="none" w:sz="0" w:space="0" w:color="auto"/>
        <w:bottom w:val="none" w:sz="0" w:space="0" w:color="auto"/>
        <w:right w:val="none" w:sz="0" w:space="0" w:color="auto"/>
      </w:divBdr>
    </w:div>
    <w:div w:id="579217311">
      <w:bodyDiv w:val="1"/>
      <w:marLeft w:val="0"/>
      <w:marRight w:val="0"/>
      <w:marTop w:val="0"/>
      <w:marBottom w:val="0"/>
      <w:divBdr>
        <w:top w:val="none" w:sz="0" w:space="0" w:color="auto"/>
        <w:left w:val="none" w:sz="0" w:space="0" w:color="auto"/>
        <w:bottom w:val="none" w:sz="0" w:space="0" w:color="auto"/>
        <w:right w:val="none" w:sz="0" w:space="0" w:color="auto"/>
      </w:divBdr>
    </w:div>
    <w:div w:id="610934966">
      <w:bodyDiv w:val="1"/>
      <w:marLeft w:val="0"/>
      <w:marRight w:val="0"/>
      <w:marTop w:val="0"/>
      <w:marBottom w:val="0"/>
      <w:divBdr>
        <w:top w:val="none" w:sz="0" w:space="0" w:color="auto"/>
        <w:left w:val="none" w:sz="0" w:space="0" w:color="auto"/>
        <w:bottom w:val="none" w:sz="0" w:space="0" w:color="auto"/>
        <w:right w:val="none" w:sz="0" w:space="0" w:color="auto"/>
      </w:divBdr>
    </w:div>
    <w:div w:id="621347008">
      <w:bodyDiv w:val="1"/>
      <w:marLeft w:val="0"/>
      <w:marRight w:val="0"/>
      <w:marTop w:val="0"/>
      <w:marBottom w:val="0"/>
      <w:divBdr>
        <w:top w:val="none" w:sz="0" w:space="0" w:color="auto"/>
        <w:left w:val="none" w:sz="0" w:space="0" w:color="auto"/>
        <w:bottom w:val="none" w:sz="0" w:space="0" w:color="auto"/>
        <w:right w:val="none" w:sz="0" w:space="0" w:color="auto"/>
      </w:divBdr>
    </w:div>
    <w:div w:id="640615955">
      <w:bodyDiv w:val="1"/>
      <w:marLeft w:val="0"/>
      <w:marRight w:val="0"/>
      <w:marTop w:val="0"/>
      <w:marBottom w:val="0"/>
      <w:divBdr>
        <w:top w:val="none" w:sz="0" w:space="0" w:color="auto"/>
        <w:left w:val="none" w:sz="0" w:space="0" w:color="auto"/>
        <w:bottom w:val="none" w:sz="0" w:space="0" w:color="auto"/>
        <w:right w:val="none" w:sz="0" w:space="0" w:color="auto"/>
      </w:divBdr>
    </w:div>
    <w:div w:id="660961478">
      <w:bodyDiv w:val="1"/>
      <w:marLeft w:val="0"/>
      <w:marRight w:val="0"/>
      <w:marTop w:val="0"/>
      <w:marBottom w:val="0"/>
      <w:divBdr>
        <w:top w:val="none" w:sz="0" w:space="0" w:color="auto"/>
        <w:left w:val="none" w:sz="0" w:space="0" w:color="auto"/>
        <w:bottom w:val="none" w:sz="0" w:space="0" w:color="auto"/>
        <w:right w:val="none" w:sz="0" w:space="0" w:color="auto"/>
      </w:divBdr>
    </w:div>
    <w:div w:id="690954895">
      <w:bodyDiv w:val="1"/>
      <w:marLeft w:val="0"/>
      <w:marRight w:val="0"/>
      <w:marTop w:val="0"/>
      <w:marBottom w:val="0"/>
      <w:divBdr>
        <w:top w:val="none" w:sz="0" w:space="0" w:color="auto"/>
        <w:left w:val="none" w:sz="0" w:space="0" w:color="auto"/>
        <w:bottom w:val="none" w:sz="0" w:space="0" w:color="auto"/>
        <w:right w:val="none" w:sz="0" w:space="0" w:color="auto"/>
      </w:divBdr>
    </w:div>
    <w:div w:id="698435025">
      <w:bodyDiv w:val="1"/>
      <w:marLeft w:val="0"/>
      <w:marRight w:val="0"/>
      <w:marTop w:val="0"/>
      <w:marBottom w:val="0"/>
      <w:divBdr>
        <w:top w:val="none" w:sz="0" w:space="0" w:color="auto"/>
        <w:left w:val="none" w:sz="0" w:space="0" w:color="auto"/>
        <w:bottom w:val="none" w:sz="0" w:space="0" w:color="auto"/>
        <w:right w:val="none" w:sz="0" w:space="0" w:color="auto"/>
      </w:divBdr>
    </w:div>
    <w:div w:id="823352325">
      <w:bodyDiv w:val="1"/>
      <w:marLeft w:val="0"/>
      <w:marRight w:val="0"/>
      <w:marTop w:val="0"/>
      <w:marBottom w:val="0"/>
      <w:divBdr>
        <w:top w:val="none" w:sz="0" w:space="0" w:color="auto"/>
        <w:left w:val="none" w:sz="0" w:space="0" w:color="auto"/>
        <w:bottom w:val="none" w:sz="0" w:space="0" w:color="auto"/>
        <w:right w:val="none" w:sz="0" w:space="0" w:color="auto"/>
      </w:divBdr>
    </w:div>
    <w:div w:id="833255994">
      <w:bodyDiv w:val="1"/>
      <w:marLeft w:val="0"/>
      <w:marRight w:val="0"/>
      <w:marTop w:val="0"/>
      <w:marBottom w:val="0"/>
      <w:divBdr>
        <w:top w:val="none" w:sz="0" w:space="0" w:color="auto"/>
        <w:left w:val="none" w:sz="0" w:space="0" w:color="auto"/>
        <w:bottom w:val="none" w:sz="0" w:space="0" w:color="auto"/>
        <w:right w:val="none" w:sz="0" w:space="0" w:color="auto"/>
      </w:divBdr>
    </w:div>
    <w:div w:id="937054759">
      <w:bodyDiv w:val="1"/>
      <w:marLeft w:val="0"/>
      <w:marRight w:val="0"/>
      <w:marTop w:val="0"/>
      <w:marBottom w:val="0"/>
      <w:divBdr>
        <w:top w:val="none" w:sz="0" w:space="0" w:color="auto"/>
        <w:left w:val="none" w:sz="0" w:space="0" w:color="auto"/>
        <w:bottom w:val="none" w:sz="0" w:space="0" w:color="auto"/>
        <w:right w:val="none" w:sz="0" w:space="0" w:color="auto"/>
      </w:divBdr>
    </w:div>
    <w:div w:id="938949228">
      <w:bodyDiv w:val="1"/>
      <w:marLeft w:val="0"/>
      <w:marRight w:val="0"/>
      <w:marTop w:val="0"/>
      <w:marBottom w:val="0"/>
      <w:divBdr>
        <w:top w:val="none" w:sz="0" w:space="0" w:color="auto"/>
        <w:left w:val="none" w:sz="0" w:space="0" w:color="auto"/>
        <w:bottom w:val="none" w:sz="0" w:space="0" w:color="auto"/>
        <w:right w:val="none" w:sz="0" w:space="0" w:color="auto"/>
      </w:divBdr>
    </w:div>
    <w:div w:id="962348940">
      <w:bodyDiv w:val="1"/>
      <w:marLeft w:val="0"/>
      <w:marRight w:val="0"/>
      <w:marTop w:val="0"/>
      <w:marBottom w:val="0"/>
      <w:divBdr>
        <w:top w:val="none" w:sz="0" w:space="0" w:color="auto"/>
        <w:left w:val="none" w:sz="0" w:space="0" w:color="auto"/>
        <w:bottom w:val="none" w:sz="0" w:space="0" w:color="auto"/>
        <w:right w:val="none" w:sz="0" w:space="0" w:color="auto"/>
      </w:divBdr>
    </w:div>
    <w:div w:id="1004240127">
      <w:bodyDiv w:val="1"/>
      <w:marLeft w:val="0"/>
      <w:marRight w:val="0"/>
      <w:marTop w:val="0"/>
      <w:marBottom w:val="0"/>
      <w:divBdr>
        <w:top w:val="none" w:sz="0" w:space="0" w:color="auto"/>
        <w:left w:val="none" w:sz="0" w:space="0" w:color="auto"/>
        <w:bottom w:val="none" w:sz="0" w:space="0" w:color="auto"/>
        <w:right w:val="none" w:sz="0" w:space="0" w:color="auto"/>
      </w:divBdr>
    </w:div>
    <w:div w:id="1011642321">
      <w:bodyDiv w:val="1"/>
      <w:marLeft w:val="0"/>
      <w:marRight w:val="0"/>
      <w:marTop w:val="0"/>
      <w:marBottom w:val="0"/>
      <w:divBdr>
        <w:top w:val="none" w:sz="0" w:space="0" w:color="auto"/>
        <w:left w:val="none" w:sz="0" w:space="0" w:color="auto"/>
        <w:bottom w:val="none" w:sz="0" w:space="0" w:color="auto"/>
        <w:right w:val="none" w:sz="0" w:space="0" w:color="auto"/>
      </w:divBdr>
    </w:div>
    <w:div w:id="1018242206">
      <w:bodyDiv w:val="1"/>
      <w:marLeft w:val="0"/>
      <w:marRight w:val="0"/>
      <w:marTop w:val="0"/>
      <w:marBottom w:val="0"/>
      <w:divBdr>
        <w:top w:val="none" w:sz="0" w:space="0" w:color="auto"/>
        <w:left w:val="none" w:sz="0" w:space="0" w:color="auto"/>
        <w:bottom w:val="none" w:sz="0" w:space="0" w:color="auto"/>
        <w:right w:val="none" w:sz="0" w:space="0" w:color="auto"/>
      </w:divBdr>
    </w:div>
    <w:div w:id="1069617059">
      <w:bodyDiv w:val="1"/>
      <w:marLeft w:val="0"/>
      <w:marRight w:val="0"/>
      <w:marTop w:val="0"/>
      <w:marBottom w:val="0"/>
      <w:divBdr>
        <w:top w:val="none" w:sz="0" w:space="0" w:color="auto"/>
        <w:left w:val="none" w:sz="0" w:space="0" w:color="auto"/>
        <w:bottom w:val="none" w:sz="0" w:space="0" w:color="auto"/>
        <w:right w:val="none" w:sz="0" w:space="0" w:color="auto"/>
      </w:divBdr>
    </w:div>
    <w:div w:id="1116674901">
      <w:bodyDiv w:val="1"/>
      <w:marLeft w:val="0"/>
      <w:marRight w:val="0"/>
      <w:marTop w:val="0"/>
      <w:marBottom w:val="0"/>
      <w:divBdr>
        <w:top w:val="none" w:sz="0" w:space="0" w:color="auto"/>
        <w:left w:val="none" w:sz="0" w:space="0" w:color="auto"/>
        <w:bottom w:val="none" w:sz="0" w:space="0" w:color="auto"/>
        <w:right w:val="none" w:sz="0" w:space="0" w:color="auto"/>
      </w:divBdr>
    </w:div>
    <w:div w:id="1171720492">
      <w:bodyDiv w:val="1"/>
      <w:marLeft w:val="0"/>
      <w:marRight w:val="0"/>
      <w:marTop w:val="0"/>
      <w:marBottom w:val="0"/>
      <w:divBdr>
        <w:top w:val="none" w:sz="0" w:space="0" w:color="auto"/>
        <w:left w:val="none" w:sz="0" w:space="0" w:color="auto"/>
        <w:bottom w:val="none" w:sz="0" w:space="0" w:color="auto"/>
        <w:right w:val="none" w:sz="0" w:space="0" w:color="auto"/>
      </w:divBdr>
    </w:div>
    <w:div w:id="1181697259">
      <w:bodyDiv w:val="1"/>
      <w:marLeft w:val="0"/>
      <w:marRight w:val="0"/>
      <w:marTop w:val="0"/>
      <w:marBottom w:val="0"/>
      <w:divBdr>
        <w:top w:val="none" w:sz="0" w:space="0" w:color="auto"/>
        <w:left w:val="none" w:sz="0" w:space="0" w:color="auto"/>
        <w:bottom w:val="none" w:sz="0" w:space="0" w:color="auto"/>
        <w:right w:val="none" w:sz="0" w:space="0" w:color="auto"/>
      </w:divBdr>
    </w:div>
    <w:div w:id="1191603714">
      <w:bodyDiv w:val="1"/>
      <w:marLeft w:val="0"/>
      <w:marRight w:val="0"/>
      <w:marTop w:val="0"/>
      <w:marBottom w:val="0"/>
      <w:divBdr>
        <w:top w:val="none" w:sz="0" w:space="0" w:color="auto"/>
        <w:left w:val="none" w:sz="0" w:space="0" w:color="auto"/>
        <w:bottom w:val="none" w:sz="0" w:space="0" w:color="auto"/>
        <w:right w:val="none" w:sz="0" w:space="0" w:color="auto"/>
      </w:divBdr>
    </w:div>
    <w:div w:id="1545174787">
      <w:bodyDiv w:val="1"/>
      <w:marLeft w:val="0"/>
      <w:marRight w:val="0"/>
      <w:marTop w:val="0"/>
      <w:marBottom w:val="0"/>
      <w:divBdr>
        <w:top w:val="none" w:sz="0" w:space="0" w:color="auto"/>
        <w:left w:val="none" w:sz="0" w:space="0" w:color="auto"/>
        <w:bottom w:val="none" w:sz="0" w:space="0" w:color="auto"/>
        <w:right w:val="none" w:sz="0" w:space="0" w:color="auto"/>
      </w:divBdr>
    </w:div>
    <w:div w:id="1640307980">
      <w:bodyDiv w:val="1"/>
      <w:marLeft w:val="0"/>
      <w:marRight w:val="0"/>
      <w:marTop w:val="0"/>
      <w:marBottom w:val="0"/>
      <w:divBdr>
        <w:top w:val="none" w:sz="0" w:space="0" w:color="auto"/>
        <w:left w:val="none" w:sz="0" w:space="0" w:color="auto"/>
        <w:bottom w:val="none" w:sz="0" w:space="0" w:color="auto"/>
        <w:right w:val="none" w:sz="0" w:space="0" w:color="auto"/>
      </w:divBdr>
    </w:div>
    <w:div w:id="1712028351">
      <w:bodyDiv w:val="1"/>
      <w:marLeft w:val="0"/>
      <w:marRight w:val="0"/>
      <w:marTop w:val="0"/>
      <w:marBottom w:val="0"/>
      <w:divBdr>
        <w:top w:val="none" w:sz="0" w:space="0" w:color="auto"/>
        <w:left w:val="none" w:sz="0" w:space="0" w:color="auto"/>
        <w:bottom w:val="none" w:sz="0" w:space="0" w:color="auto"/>
        <w:right w:val="none" w:sz="0" w:space="0" w:color="auto"/>
      </w:divBdr>
    </w:div>
    <w:div w:id="1721633405">
      <w:bodyDiv w:val="1"/>
      <w:marLeft w:val="0"/>
      <w:marRight w:val="0"/>
      <w:marTop w:val="0"/>
      <w:marBottom w:val="0"/>
      <w:divBdr>
        <w:top w:val="none" w:sz="0" w:space="0" w:color="auto"/>
        <w:left w:val="none" w:sz="0" w:space="0" w:color="auto"/>
        <w:bottom w:val="none" w:sz="0" w:space="0" w:color="auto"/>
        <w:right w:val="none" w:sz="0" w:space="0" w:color="auto"/>
      </w:divBdr>
    </w:div>
    <w:div w:id="1758944621">
      <w:bodyDiv w:val="1"/>
      <w:marLeft w:val="0"/>
      <w:marRight w:val="0"/>
      <w:marTop w:val="0"/>
      <w:marBottom w:val="0"/>
      <w:divBdr>
        <w:top w:val="none" w:sz="0" w:space="0" w:color="auto"/>
        <w:left w:val="none" w:sz="0" w:space="0" w:color="auto"/>
        <w:bottom w:val="none" w:sz="0" w:space="0" w:color="auto"/>
        <w:right w:val="none" w:sz="0" w:space="0" w:color="auto"/>
      </w:divBdr>
    </w:div>
    <w:div w:id="1804931404">
      <w:bodyDiv w:val="1"/>
      <w:marLeft w:val="0"/>
      <w:marRight w:val="0"/>
      <w:marTop w:val="0"/>
      <w:marBottom w:val="0"/>
      <w:divBdr>
        <w:top w:val="none" w:sz="0" w:space="0" w:color="auto"/>
        <w:left w:val="none" w:sz="0" w:space="0" w:color="auto"/>
        <w:bottom w:val="none" w:sz="0" w:space="0" w:color="auto"/>
        <w:right w:val="none" w:sz="0" w:space="0" w:color="auto"/>
      </w:divBdr>
    </w:div>
    <w:div w:id="1907228902">
      <w:bodyDiv w:val="1"/>
      <w:marLeft w:val="0"/>
      <w:marRight w:val="0"/>
      <w:marTop w:val="0"/>
      <w:marBottom w:val="0"/>
      <w:divBdr>
        <w:top w:val="none" w:sz="0" w:space="0" w:color="auto"/>
        <w:left w:val="none" w:sz="0" w:space="0" w:color="auto"/>
        <w:bottom w:val="none" w:sz="0" w:space="0" w:color="auto"/>
        <w:right w:val="none" w:sz="0" w:space="0" w:color="auto"/>
      </w:divBdr>
    </w:div>
    <w:div w:id="1972006523">
      <w:bodyDiv w:val="1"/>
      <w:marLeft w:val="0"/>
      <w:marRight w:val="0"/>
      <w:marTop w:val="0"/>
      <w:marBottom w:val="0"/>
      <w:divBdr>
        <w:top w:val="none" w:sz="0" w:space="0" w:color="auto"/>
        <w:left w:val="none" w:sz="0" w:space="0" w:color="auto"/>
        <w:bottom w:val="none" w:sz="0" w:space="0" w:color="auto"/>
        <w:right w:val="none" w:sz="0" w:space="0" w:color="auto"/>
      </w:divBdr>
    </w:div>
    <w:div w:id="1990282444">
      <w:bodyDiv w:val="1"/>
      <w:marLeft w:val="0"/>
      <w:marRight w:val="0"/>
      <w:marTop w:val="0"/>
      <w:marBottom w:val="0"/>
      <w:divBdr>
        <w:top w:val="none" w:sz="0" w:space="0" w:color="auto"/>
        <w:left w:val="none" w:sz="0" w:space="0" w:color="auto"/>
        <w:bottom w:val="none" w:sz="0" w:space="0" w:color="auto"/>
        <w:right w:val="none" w:sz="0" w:space="0" w:color="auto"/>
      </w:divBdr>
    </w:div>
    <w:div w:id="2048409942">
      <w:bodyDiv w:val="1"/>
      <w:marLeft w:val="0"/>
      <w:marRight w:val="0"/>
      <w:marTop w:val="0"/>
      <w:marBottom w:val="0"/>
      <w:divBdr>
        <w:top w:val="none" w:sz="0" w:space="0" w:color="auto"/>
        <w:left w:val="none" w:sz="0" w:space="0" w:color="auto"/>
        <w:bottom w:val="none" w:sz="0" w:space="0" w:color="auto"/>
        <w:right w:val="none" w:sz="0" w:space="0" w:color="auto"/>
      </w:divBdr>
    </w:div>
    <w:div w:id="213178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6-01-SKB%20SPC%20Hum%20skabelon%20-%20engelsk.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006-01-SKB SPC Hum skabelon - engelsk.dotx</Template>
  <TotalTime>40</TotalTime>
  <Pages>7</Pages>
  <Words>1838</Words>
  <Characters>11049</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2024122998, MT</dc:description>
  <cp:lastModifiedBy>Gitte Jørgensen</cp:lastModifiedBy>
  <cp:revision>9</cp:revision>
  <cp:lastPrinted>2006-02-24T09:31:00Z</cp:lastPrinted>
  <dcterms:created xsi:type="dcterms:W3CDTF">2026-06-25T07:29:00Z</dcterms:created>
  <dcterms:modified xsi:type="dcterms:W3CDTF">2026-06-25T09:27:00Z</dcterms:modified>
</cp:coreProperties>
</file>