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E7120">
        <w:rPr>
          <w:szCs w:val="24"/>
          <w:lang w:eastAsia="en-US"/>
        </w:rPr>
        <w:t>30</w:t>
      </w:r>
      <w:r w:rsidR="00797239">
        <w:rPr>
          <w:szCs w:val="24"/>
          <w:lang w:eastAsia="en-US"/>
        </w:rPr>
        <w:t>. september 2024</w:t>
      </w:r>
    </w:p>
    <w:p w:rsidR="00C27BE3" w:rsidRPr="00C84483" w:rsidRDefault="00C27BE3"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F0473C" w:rsidP="009260DE">
      <w:pPr>
        <w:jc w:val="center"/>
        <w:rPr>
          <w:b/>
          <w:sz w:val="24"/>
          <w:szCs w:val="24"/>
        </w:rPr>
      </w:pPr>
      <w:r>
        <w:rPr>
          <w:b/>
          <w:sz w:val="24"/>
          <w:szCs w:val="24"/>
        </w:rPr>
        <w:t>Oxytocin "Orifarm"</w:t>
      </w:r>
      <w:r w:rsidR="0025382B">
        <w:rPr>
          <w:b/>
          <w:sz w:val="24"/>
          <w:szCs w:val="24"/>
        </w:rPr>
        <w:t>, koncentrat til injektions-/infusionsvæske,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6A39FF" w:rsidP="009260DE">
      <w:pPr>
        <w:tabs>
          <w:tab w:val="left" w:pos="851"/>
        </w:tabs>
        <w:ind w:left="851"/>
        <w:rPr>
          <w:sz w:val="24"/>
          <w:szCs w:val="24"/>
        </w:rPr>
      </w:pPr>
      <w:r>
        <w:rPr>
          <w:sz w:val="24"/>
          <w:szCs w:val="24"/>
        </w:rPr>
        <w:t>30396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F0473C" w:rsidP="009260DE">
      <w:pPr>
        <w:tabs>
          <w:tab w:val="left" w:pos="851"/>
        </w:tabs>
        <w:ind w:left="851"/>
        <w:rPr>
          <w:sz w:val="24"/>
          <w:szCs w:val="24"/>
        </w:rPr>
      </w:pPr>
      <w:r>
        <w:rPr>
          <w:sz w:val="24"/>
          <w:szCs w:val="24"/>
        </w:rPr>
        <w:t>Oxytocin "Orifarm"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23C63" w:rsidRDefault="00C23C63" w:rsidP="00C23C63">
      <w:pPr>
        <w:tabs>
          <w:tab w:val="left" w:pos="851"/>
        </w:tabs>
        <w:ind w:left="851"/>
        <w:rPr>
          <w:sz w:val="24"/>
          <w:szCs w:val="24"/>
        </w:rPr>
      </w:pPr>
    </w:p>
    <w:p w:rsidR="00C23C63" w:rsidRPr="00C23C63" w:rsidRDefault="00C23C63" w:rsidP="00C23C63">
      <w:pPr>
        <w:tabs>
          <w:tab w:val="left" w:pos="851"/>
        </w:tabs>
        <w:ind w:left="851"/>
        <w:rPr>
          <w:sz w:val="24"/>
          <w:szCs w:val="24"/>
          <w:u w:val="single"/>
        </w:rPr>
      </w:pPr>
      <w:r w:rsidRPr="00C23C63">
        <w:rPr>
          <w:sz w:val="24"/>
          <w:szCs w:val="24"/>
          <w:u w:val="single"/>
        </w:rPr>
        <w:t>5 IE/ml</w:t>
      </w:r>
    </w:p>
    <w:p w:rsidR="00C23C63" w:rsidRPr="00C23C63" w:rsidRDefault="00C23C63" w:rsidP="00C23C63">
      <w:pPr>
        <w:tabs>
          <w:tab w:val="left" w:pos="851"/>
        </w:tabs>
        <w:ind w:left="851"/>
        <w:rPr>
          <w:sz w:val="24"/>
          <w:szCs w:val="24"/>
        </w:rPr>
      </w:pPr>
      <w:r w:rsidRPr="00C23C63">
        <w:rPr>
          <w:sz w:val="24"/>
          <w:szCs w:val="24"/>
        </w:rPr>
        <w:t>1 ml koncentrat til injektions-/infusionsvæske, opløsning indeholder 5 IE (8,3 mikrogram) oxytocin.</w:t>
      </w:r>
    </w:p>
    <w:p w:rsidR="00C23C63" w:rsidRDefault="00C23C63" w:rsidP="00C23C63">
      <w:pPr>
        <w:tabs>
          <w:tab w:val="left" w:pos="851"/>
        </w:tabs>
        <w:ind w:left="851"/>
        <w:rPr>
          <w:sz w:val="24"/>
          <w:szCs w:val="24"/>
        </w:rPr>
      </w:pPr>
    </w:p>
    <w:p w:rsidR="00C23C63" w:rsidRPr="00C23C63" w:rsidRDefault="00C23C63" w:rsidP="00C23C63">
      <w:pPr>
        <w:tabs>
          <w:tab w:val="left" w:pos="851"/>
        </w:tabs>
        <w:ind w:left="851"/>
        <w:rPr>
          <w:sz w:val="24"/>
          <w:szCs w:val="24"/>
          <w:u w:val="single"/>
        </w:rPr>
      </w:pPr>
      <w:r w:rsidRPr="00C23C63">
        <w:rPr>
          <w:sz w:val="24"/>
          <w:szCs w:val="24"/>
          <w:u w:val="single"/>
        </w:rPr>
        <w:t>10 IE/ml</w:t>
      </w:r>
    </w:p>
    <w:p w:rsidR="00C23C63" w:rsidRPr="00C23C63" w:rsidRDefault="00C23C63" w:rsidP="00C23C63">
      <w:pPr>
        <w:tabs>
          <w:tab w:val="left" w:pos="851"/>
        </w:tabs>
        <w:ind w:left="851"/>
        <w:rPr>
          <w:sz w:val="24"/>
          <w:szCs w:val="24"/>
        </w:rPr>
      </w:pPr>
      <w:r w:rsidRPr="00C23C63">
        <w:rPr>
          <w:sz w:val="24"/>
          <w:szCs w:val="24"/>
        </w:rPr>
        <w:t>1 ml koncentrat til injektions-/infusionsvæske, opløsning indeholder 10 IE (16,7 mikrogram) oxytocin.</w:t>
      </w:r>
    </w:p>
    <w:p w:rsidR="00C23C63" w:rsidRPr="00C23C63" w:rsidRDefault="00C23C63" w:rsidP="00C23C63">
      <w:pPr>
        <w:tabs>
          <w:tab w:val="left" w:pos="851"/>
        </w:tabs>
        <w:ind w:left="851"/>
        <w:rPr>
          <w:sz w:val="24"/>
          <w:szCs w:val="24"/>
        </w:rPr>
      </w:pPr>
    </w:p>
    <w:p w:rsidR="00C23C63" w:rsidRPr="00C23C63" w:rsidRDefault="00C23C63" w:rsidP="00C23C63">
      <w:pPr>
        <w:tabs>
          <w:tab w:val="left" w:pos="851"/>
        </w:tabs>
        <w:ind w:left="851"/>
        <w:rPr>
          <w:sz w:val="24"/>
          <w:szCs w:val="24"/>
        </w:rPr>
      </w:pPr>
      <w:r w:rsidRPr="00C23C63">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C23C63" w:rsidRPr="00C23C63" w:rsidRDefault="00C23C63" w:rsidP="00C23C63">
      <w:pPr>
        <w:tabs>
          <w:tab w:val="left" w:pos="851"/>
        </w:tabs>
        <w:ind w:left="851"/>
        <w:rPr>
          <w:sz w:val="24"/>
          <w:szCs w:val="24"/>
        </w:rPr>
      </w:pPr>
      <w:r w:rsidRPr="00C23C63">
        <w:rPr>
          <w:sz w:val="24"/>
          <w:szCs w:val="24"/>
        </w:rPr>
        <w:t>Koncentrat til injektions-/infusions</w:t>
      </w:r>
      <w:r>
        <w:rPr>
          <w:sz w:val="24"/>
          <w:szCs w:val="24"/>
        </w:rPr>
        <w:t>væske, opløsning</w:t>
      </w:r>
    </w:p>
    <w:p w:rsidR="00C23C63" w:rsidRPr="00C23C63" w:rsidRDefault="00C23C63" w:rsidP="00C23C63">
      <w:pPr>
        <w:tabs>
          <w:tab w:val="left" w:pos="851"/>
        </w:tabs>
        <w:ind w:left="851"/>
        <w:rPr>
          <w:sz w:val="24"/>
          <w:szCs w:val="24"/>
        </w:rPr>
      </w:pPr>
    </w:p>
    <w:p w:rsidR="00C23C63" w:rsidRPr="00C23C63" w:rsidRDefault="00C23C63" w:rsidP="00C23C63">
      <w:pPr>
        <w:tabs>
          <w:tab w:val="left" w:pos="851"/>
        </w:tabs>
        <w:ind w:left="851"/>
        <w:rPr>
          <w:sz w:val="24"/>
          <w:szCs w:val="24"/>
        </w:rPr>
      </w:pPr>
      <w:r w:rsidRPr="00C23C63">
        <w:rPr>
          <w:sz w:val="24"/>
          <w:szCs w:val="24"/>
        </w:rPr>
        <w:t>Farveløs, klar væske</w:t>
      </w:r>
      <w:r w:rsidR="00797239">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D6E08" w:rsidRDefault="007D6E08" w:rsidP="007D6E08">
      <w:pPr>
        <w:tabs>
          <w:tab w:val="left" w:pos="851"/>
        </w:tabs>
        <w:ind w:left="851"/>
        <w:rPr>
          <w:b/>
          <w:sz w:val="24"/>
          <w:szCs w:val="24"/>
        </w:rPr>
      </w:pPr>
    </w:p>
    <w:p w:rsidR="007D6E08" w:rsidRPr="00A22689" w:rsidRDefault="007D6E08" w:rsidP="007D6E08">
      <w:pPr>
        <w:tabs>
          <w:tab w:val="left" w:pos="851"/>
        </w:tabs>
        <w:ind w:left="851"/>
        <w:rPr>
          <w:sz w:val="24"/>
          <w:szCs w:val="24"/>
          <w:u w:val="single"/>
        </w:rPr>
      </w:pPr>
      <w:r w:rsidRPr="00A22689">
        <w:rPr>
          <w:sz w:val="24"/>
          <w:szCs w:val="24"/>
          <w:u w:val="single"/>
        </w:rPr>
        <w:t>Før fødsel</w:t>
      </w:r>
    </w:p>
    <w:p w:rsidR="007D6E08" w:rsidRPr="007D6E08" w:rsidRDefault="007D6E08" w:rsidP="00A22689">
      <w:pPr>
        <w:numPr>
          <w:ilvl w:val="0"/>
          <w:numId w:val="6"/>
        </w:numPr>
        <w:tabs>
          <w:tab w:val="left" w:pos="851"/>
        </w:tabs>
        <w:ind w:left="1134" w:hanging="283"/>
        <w:rPr>
          <w:sz w:val="24"/>
          <w:szCs w:val="24"/>
        </w:rPr>
      </w:pPr>
      <w:r w:rsidRPr="007D6E08">
        <w:rPr>
          <w:sz w:val="24"/>
          <w:szCs w:val="24"/>
        </w:rPr>
        <w:t>Igangsætning af fødsel i tilfælde af forsinket fødsel, præmatur hindebristning eller præeklampsi.</w:t>
      </w:r>
    </w:p>
    <w:p w:rsidR="007D6E08" w:rsidRPr="007D6E08" w:rsidRDefault="007D6E08" w:rsidP="00A22689">
      <w:pPr>
        <w:numPr>
          <w:ilvl w:val="0"/>
          <w:numId w:val="6"/>
        </w:numPr>
        <w:tabs>
          <w:tab w:val="left" w:pos="851"/>
        </w:tabs>
        <w:ind w:left="1134" w:hanging="283"/>
        <w:rPr>
          <w:sz w:val="24"/>
          <w:szCs w:val="24"/>
        </w:rPr>
      </w:pPr>
      <w:r w:rsidRPr="007D6E08">
        <w:rPr>
          <w:sz w:val="24"/>
          <w:szCs w:val="24"/>
        </w:rPr>
        <w:t>Primær og sekundær vesvækkelse.</w:t>
      </w:r>
    </w:p>
    <w:p w:rsidR="00A22689" w:rsidRDefault="00A22689">
      <w:pPr>
        <w:rPr>
          <w:sz w:val="24"/>
          <w:szCs w:val="24"/>
        </w:rPr>
      </w:pPr>
      <w:r>
        <w:rPr>
          <w:sz w:val="24"/>
          <w:szCs w:val="24"/>
        </w:rPr>
        <w:br w:type="page"/>
      </w:r>
    </w:p>
    <w:p w:rsidR="007D6E08" w:rsidRPr="007D6E08" w:rsidRDefault="007D6E08" w:rsidP="007D6E08">
      <w:pPr>
        <w:tabs>
          <w:tab w:val="left" w:pos="851"/>
        </w:tabs>
        <w:ind w:left="851"/>
        <w:rPr>
          <w:sz w:val="24"/>
          <w:szCs w:val="24"/>
        </w:rPr>
      </w:pPr>
    </w:p>
    <w:p w:rsidR="007D6E08" w:rsidRPr="00A22689" w:rsidRDefault="007D6E08" w:rsidP="007D6E08">
      <w:pPr>
        <w:tabs>
          <w:tab w:val="left" w:pos="851"/>
        </w:tabs>
        <w:ind w:left="851"/>
        <w:rPr>
          <w:sz w:val="24"/>
          <w:szCs w:val="24"/>
          <w:u w:val="single"/>
        </w:rPr>
      </w:pPr>
      <w:r w:rsidRPr="00A22689">
        <w:rPr>
          <w:sz w:val="24"/>
          <w:szCs w:val="24"/>
          <w:u w:val="single"/>
        </w:rPr>
        <w:t>Efter fødsel</w:t>
      </w:r>
    </w:p>
    <w:p w:rsidR="007D6E08" w:rsidRPr="007D6E08" w:rsidRDefault="007D6E08" w:rsidP="00A22689">
      <w:pPr>
        <w:numPr>
          <w:ilvl w:val="0"/>
          <w:numId w:val="6"/>
        </w:numPr>
        <w:tabs>
          <w:tab w:val="left" w:pos="851"/>
        </w:tabs>
        <w:ind w:left="1134" w:hanging="283"/>
        <w:rPr>
          <w:sz w:val="24"/>
          <w:szCs w:val="24"/>
        </w:rPr>
      </w:pPr>
      <w:r w:rsidRPr="007D6E08">
        <w:rPr>
          <w:sz w:val="24"/>
          <w:szCs w:val="24"/>
        </w:rPr>
        <w:t>Under kejsersnit efter at barnet er født.</w:t>
      </w:r>
    </w:p>
    <w:p w:rsidR="007D6E08" w:rsidRPr="007D6E08" w:rsidRDefault="007D6E08" w:rsidP="00A22689">
      <w:pPr>
        <w:numPr>
          <w:ilvl w:val="0"/>
          <w:numId w:val="6"/>
        </w:numPr>
        <w:tabs>
          <w:tab w:val="left" w:pos="851"/>
        </w:tabs>
        <w:ind w:left="1134" w:hanging="283"/>
        <w:rPr>
          <w:sz w:val="24"/>
          <w:szCs w:val="24"/>
        </w:rPr>
      </w:pPr>
      <w:r w:rsidRPr="007D6E08">
        <w:rPr>
          <w:sz w:val="24"/>
          <w:szCs w:val="24"/>
        </w:rPr>
        <w:t>Forebyggelse og behandling af blødning og atoni i efterbyrd</w:t>
      </w:r>
      <w:r w:rsidR="00FF6D9A">
        <w:rPr>
          <w:sz w:val="24"/>
          <w:szCs w:val="24"/>
        </w:rPr>
        <w:t>s</w:t>
      </w:r>
      <w:r w:rsidRPr="007D6E08">
        <w:rPr>
          <w:sz w:val="24"/>
          <w:szCs w:val="24"/>
        </w:rPr>
        <w:t>perioden.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1B1C50">
        <w:rPr>
          <w:b/>
          <w:sz w:val="24"/>
          <w:szCs w:val="24"/>
        </w:rPr>
        <w:t>administration</w:t>
      </w:r>
    </w:p>
    <w:p w:rsidR="005C132B" w:rsidRPr="005C132B" w:rsidRDefault="005C132B" w:rsidP="005C132B">
      <w:pPr>
        <w:tabs>
          <w:tab w:val="left" w:pos="851"/>
        </w:tabs>
        <w:ind w:left="851"/>
        <w:rPr>
          <w:sz w:val="24"/>
          <w:szCs w:val="24"/>
        </w:rPr>
      </w:pPr>
    </w:p>
    <w:p w:rsidR="005C132B" w:rsidRPr="009E2AD9" w:rsidRDefault="005C132B" w:rsidP="005C132B">
      <w:pPr>
        <w:tabs>
          <w:tab w:val="left" w:pos="851"/>
        </w:tabs>
        <w:ind w:left="851"/>
        <w:rPr>
          <w:b/>
          <w:sz w:val="24"/>
          <w:szCs w:val="24"/>
        </w:rPr>
      </w:pPr>
      <w:r w:rsidRPr="009E2AD9">
        <w:rPr>
          <w:b/>
          <w:sz w:val="24"/>
          <w:szCs w:val="24"/>
        </w:rPr>
        <w:t>Dosering</w:t>
      </w:r>
    </w:p>
    <w:p w:rsidR="00657B88" w:rsidRPr="00E41CD3" w:rsidRDefault="00657B88" w:rsidP="00657B88">
      <w:pPr>
        <w:tabs>
          <w:tab w:val="left" w:pos="851"/>
        </w:tabs>
        <w:ind w:left="851"/>
        <w:rPr>
          <w:i/>
          <w:sz w:val="24"/>
          <w:szCs w:val="24"/>
        </w:rPr>
      </w:pPr>
      <w:bookmarkStart w:id="0" w:name="_Hlk146792416"/>
      <w:r w:rsidRPr="00E41CD3">
        <w:rPr>
          <w:i/>
          <w:sz w:val="24"/>
          <w:szCs w:val="24"/>
        </w:rPr>
        <w:t xml:space="preserve">Ved brug af Oxytocin "Orifarm" 10 IE koncentrat til injektions-/infusionsvæske skal </w:t>
      </w:r>
      <w:r w:rsidRPr="00BE5E23">
        <w:rPr>
          <w:i/>
          <w:sz w:val="24"/>
          <w:szCs w:val="24"/>
        </w:rPr>
        <w:t xml:space="preserve">der anvendes dobbelt volumen af fortynding </w:t>
      </w:r>
      <w:r w:rsidRPr="00E41CD3">
        <w:rPr>
          <w:i/>
          <w:sz w:val="24"/>
          <w:szCs w:val="24"/>
        </w:rPr>
        <w:t>(angivet for Oxytocin "Orifarm" 5 IE koncentrat).</w:t>
      </w:r>
    </w:p>
    <w:bookmarkEnd w:id="0"/>
    <w:p w:rsidR="005C132B" w:rsidRPr="00F0473C" w:rsidRDefault="005C132B" w:rsidP="005C132B">
      <w:pPr>
        <w:tabs>
          <w:tab w:val="left" w:pos="851"/>
        </w:tabs>
        <w:ind w:left="851"/>
        <w:rPr>
          <w:sz w:val="24"/>
          <w:szCs w:val="24"/>
        </w:rPr>
      </w:pPr>
    </w:p>
    <w:p w:rsidR="005C132B" w:rsidRPr="009E2AD9" w:rsidRDefault="005C132B" w:rsidP="005C132B">
      <w:pPr>
        <w:tabs>
          <w:tab w:val="left" w:pos="851"/>
        </w:tabs>
        <w:ind w:left="851"/>
        <w:rPr>
          <w:sz w:val="24"/>
          <w:szCs w:val="24"/>
          <w:u w:val="single"/>
        </w:rPr>
      </w:pPr>
      <w:r w:rsidRPr="009E2AD9">
        <w:rPr>
          <w:sz w:val="24"/>
          <w:szCs w:val="24"/>
          <w:u w:val="single"/>
        </w:rPr>
        <w:t xml:space="preserve">Igangsættelse eller stimulering </w:t>
      </w:r>
      <w:r w:rsidR="009E2AD9">
        <w:rPr>
          <w:sz w:val="24"/>
          <w:szCs w:val="24"/>
          <w:u w:val="single"/>
        </w:rPr>
        <w:t>af fødsel</w:t>
      </w:r>
    </w:p>
    <w:p w:rsidR="00ED0F9D" w:rsidRPr="00E41CD3" w:rsidRDefault="00ED0F9D" w:rsidP="00ED0F9D">
      <w:pPr>
        <w:tabs>
          <w:tab w:val="left" w:pos="851"/>
        </w:tabs>
        <w:ind w:left="851"/>
        <w:rPr>
          <w:sz w:val="24"/>
          <w:szCs w:val="24"/>
        </w:rPr>
      </w:pPr>
      <w:r w:rsidRPr="00E41CD3">
        <w:rPr>
          <w:sz w:val="24"/>
          <w:szCs w:val="24"/>
        </w:rPr>
        <w:t xml:space="preserve">Oxytocin "Orifarm" </w:t>
      </w:r>
      <w:r w:rsidRPr="00DF034C">
        <w:rPr>
          <w:sz w:val="24"/>
          <w:szCs w:val="24"/>
        </w:rPr>
        <w:t>må kun administreres som en intravenøs infusion, aldrig ved subkutan injektion, intramuskulær injektion eller intravenøs bolusinjektion</w:t>
      </w:r>
      <w:r w:rsidRPr="00E41CD3">
        <w:rPr>
          <w:sz w:val="24"/>
          <w:szCs w:val="24"/>
        </w:rPr>
        <w:t xml:space="preserve">. </w:t>
      </w:r>
    </w:p>
    <w:p w:rsidR="00ED0F9D" w:rsidRPr="00E41CD3" w:rsidRDefault="00ED0F9D" w:rsidP="00ED0F9D">
      <w:pPr>
        <w:tabs>
          <w:tab w:val="left" w:pos="851"/>
        </w:tabs>
        <w:ind w:left="851"/>
        <w:rPr>
          <w:sz w:val="24"/>
          <w:szCs w:val="24"/>
        </w:rPr>
      </w:pPr>
      <w:r w:rsidRPr="00DF034C">
        <w:rPr>
          <w:sz w:val="24"/>
          <w:szCs w:val="24"/>
        </w:rPr>
        <w:t xml:space="preserve">Oxytocin </w:t>
      </w:r>
      <w:r>
        <w:rPr>
          <w:sz w:val="24"/>
          <w:szCs w:val="24"/>
        </w:rPr>
        <w:t>må</w:t>
      </w:r>
      <w:r w:rsidRPr="00DF034C">
        <w:rPr>
          <w:sz w:val="24"/>
          <w:szCs w:val="24"/>
        </w:rPr>
        <w:t xml:space="preserve"> ikke startes i 6 timer efter administration af vaginale prostaglandiner</w:t>
      </w:r>
      <w:r w:rsidRPr="00E41CD3">
        <w:rPr>
          <w:sz w:val="24"/>
          <w:szCs w:val="24"/>
        </w:rPr>
        <w:t xml:space="preserve">. </w:t>
      </w:r>
    </w:p>
    <w:p w:rsidR="00ED0F9D" w:rsidRPr="007E30DD" w:rsidRDefault="00ED0F9D" w:rsidP="00ED0F9D">
      <w:pPr>
        <w:tabs>
          <w:tab w:val="left" w:pos="851"/>
        </w:tabs>
        <w:ind w:left="851"/>
        <w:rPr>
          <w:sz w:val="24"/>
          <w:szCs w:val="24"/>
        </w:rPr>
      </w:pPr>
      <w:r w:rsidRPr="00E41CD3">
        <w:rPr>
          <w:sz w:val="24"/>
          <w:szCs w:val="24"/>
        </w:rPr>
        <w:t>Oxytocin "Orifarm" bør administreres som intravenøs (i.v.) dråbeinfusion eller fortrinsvis ved hjælp af infusionspumpe med variabel hastighed. Til dråbeinfusion anbefales det at tilsætte 5 IE Oxytocin "Orifarm" til 500 ml 0,9 % natriumchloridinfusionsvæske eller 5</w:t>
      </w:r>
      <w:r>
        <w:rPr>
          <w:sz w:val="24"/>
          <w:szCs w:val="24"/>
        </w:rPr>
        <w:t xml:space="preserve"> </w:t>
      </w:r>
      <w:r w:rsidRPr="00E41CD3">
        <w:rPr>
          <w:sz w:val="24"/>
          <w:szCs w:val="24"/>
        </w:rPr>
        <w:t>% glucoseinfusionsvæske, Ringer-acetat eller Ringers opløsning</w:t>
      </w:r>
      <w:r w:rsidRPr="00DF034C">
        <w:rPr>
          <w:sz w:val="24"/>
          <w:szCs w:val="24"/>
        </w:rPr>
        <w:t xml:space="preserve"> </w:t>
      </w:r>
      <w:r w:rsidRPr="00E41CD3">
        <w:rPr>
          <w:sz w:val="24"/>
          <w:szCs w:val="24"/>
        </w:rPr>
        <w:t>eller at tilsætte 10 IE oxytocin til 1000 ml 0,9 % natriumchloridinfusionsvæske eller 5</w:t>
      </w:r>
      <w:r>
        <w:rPr>
          <w:sz w:val="24"/>
          <w:szCs w:val="24"/>
        </w:rPr>
        <w:t xml:space="preserve"> </w:t>
      </w:r>
      <w:r w:rsidRPr="00E41CD3">
        <w:rPr>
          <w:sz w:val="24"/>
          <w:szCs w:val="24"/>
        </w:rPr>
        <w:t>% glucose-</w:t>
      </w:r>
      <w:r w:rsidRPr="007E30DD">
        <w:rPr>
          <w:sz w:val="24"/>
          <w:szCs w:val="24"/>
        </w:rPr>
        <w:t>infusionsvæske. Til patienter, hvor infusion af natriumchlorid skal undgås, kan 5 % glucoseopløsning anvendes som fortyndingsmiddel (se pkt. 4.4). For at sikre jævn blanding skal flasken eller posen vendes på hovedet flere gange før brug.</w:t>
      </w:r>
    </w:p>
    <w:p w:rsidR="005C132B" w:rsidRPr="007E30DD" w:rsidRDefault="005C132B" w:rsidP="005C132B">
      <w:pPr>
        <w:tabs>
          <w:tab w:val="left" w:pos="851"/>
        </w:tabs>
        <w:ind w:left="851"/>
        <w:rPr>
          <w:sz w:val="24"/>
          <w:szCs w:val="24"/>
        </w:rPr>
      </w:pPr>
    </w:p>
    <w:p w:rsidR="006D537A" w:rsidRPr="007E30DD" w:rsidRDefault="006D537A" w:rsidP="006D537A">
      <w:pPr>
        <w:tabs>
          <w:tab w:val="left" w:pos="851"/>
        </w:tabs>
        <w:ind w:left="851"/>
        <w:rPr>
          <w:sz w:val="24"/>
          <w:szCs w:val="24"/>
        </w:rPr>
      </w:pPr>
      <w:r w:rsidRPr="007E30DD">
        <w:rPr>
          <w:sz w:val="24"/>
          <w:szCs w:val="24"/>
        </w:rPr>
        <w:t xml:space="preserve">Den indledende infusionshastighed bør fastsættes til 1 til 4 millienheder/min (6-24 ml/time, 2-8 dråber/minut). Infusionshastighed kan gradvist øges med intervaller på ikke mindre end 20 minutter </w:t>
      </w:r>
      <w:r w:rsidRPr="007E30DD">
        <w:rPr>
          <w:spacing w:val="-3"/>
          <w:sz w:val="24"/>
          <w:szCs w:val="24"/>
        </w:rPr>
        <w:t>(</w:t>
      </w:r>
      <w:r w:rsidRPr="007E30DD">
        <w:rPr>
          <w:sz w:val="24"/>
          <w:szCs w:val="24"/>
        </w:rPr>
        <w:t xml:space="preserve">maksimal stigningshastighed </w:t>
      </w:r>
      <w:r w:rsidRPr="007E30DD">
        <w:rPr>
          <w:spacing w:val="-3"/>
          <w:sz w:val="24"/>
          <w:szCs w:val="24"/>
        </w:rPr>
        <w:t>1 til 2 millienheder/minut)</w:t>
      </w:r>
      <w:r w:rsidRPr="007E30DD">
        <w:rPr>
          <w:sz w:val="24"/>
          <w:szCs w:val="24"/>
        </w:rPr>
        <w:t xml:space="preserve">, indtil et sammentrækningsmønster er etableret svarende til et vemønster som ved normal fødsel. Ved graviditet tæt på termin kan dette ofte opnås med infusion af mindre end </w:t>
      </w:r>
      <w:r w:rsidRPr="007E30DD">
        <w:rPr>
          <w:spacing w:val="-3"/>
          <w:sz w:val="24"/>
          <w:szCs w:val="24"/>
        </w:rPr>
        <w:t xml:space="preserve">10 millienheder/min (60 ml/time, </w:t>
      </w:r>
      <w:r w:rsidRPr="007E30DD">
        <w:rPr>
          <w:sz w:val="24"/>
          <w:szCs w:val="24"/>
        </w:rPr>
        <w:t xml:space="preserve">20 dråber/minut)., Den anbefalede maksimale infusionshastighed er </w:t>
      </w:r>
      <w:r w:rsidRPr="007E30DD">
        <w:rPr>
          <w:spacing w:val="-3"/>
          <w:sz w:val="24"/>
          <w:szCs w:val="24"/>
        </w:rPr>
        <w:t xml:space="preserve">20 millienheder/min (120 ml/time, </w:t>
      </w:r>
      <w:r w:rsidRPr="007E30DD">
        <w:rPr>
          <w:sz w:val="24"/>
          <w:szCs w:val="24"/>
        </w:rPr>
        <w:t>40 dråber/minut). I særlige tilfælde, hvor en højere hastighed er påkrævet, hvilket kan forekomme ved fødsel af dødt foster eller til igangsættelse af fødsel på et tidligere stadie af graviditeten, når livmoderen er mindre følsom over for oxytocin, anbefales det at bruge en oxytocinopløsning med en højere koncentration, f.eks. 5 IE i 250 ml eller 10 IE i 500 ml.</w:t>
      </w:r>
    </w:p>
    <w:p w:rsidR="005C132B" w:rsidRPr="007E30DD" w:rsidRDefault="005C132B" w:rsidP="005C132B">
      <w:pPr>
        <w:tabs>
          <w:tab w:val="left" w:pos="851"/>
        </w:tabs>
        <w:ind w:left="851"/>
        <w:rPr>
          <w:sz w:val="24"/>
          <w:szCs w:val="24"/>
        </w:rPr>
      </w:pPr>
    </w:p>
    <w:p w:rsidR="005C132B" w:rsidRPr="007E30DD" w:rsidRDefault="005C132B" w:rsidP="005C132B">
      <w:pPr>
        <w:tabs>
          <w:tab w:val="left" w:pos="851"/>
        </w:tabs>
        <w:ind w:left="851"/>
        <w:rPr>
          <w:sz w:val="24"/>
          <w:szCs w:val="24"/>
        </w:rPr>
      </w:pPr>
      <w:r w:rsidRPr="007E30DD">
        <w:rPr>
          <w:sz w:val="24"/>
          <w:szCs w:val="24"/>
        </w:rPr>
        <w:t>Ved anvendelse af motordrevet infusionspumpe, som administrerer mindre volumener end ved dråbeinfusion, skal den for infusionen egnede koncentration inden for det anbefalede dosisinterval beregnes ud fra pumpens specifikationer.</w:t>
      </w:r>
    </w:p>
    <w:p w:rsidR="005C132B" w:rsidRPr="005C132B" w:rsidRDefault="005C132B" w:rsidP="005C132B">
      <w:pPr>
        <w:tabs>
          <w:tab w:val="left" w:pos="851"/>
        </w:tabs>
        <w:ind w:left="851"/>
        <w:rPr>
          <w:sz w:val="24"/>
          <w:szCs w:val="24"/>
        </w:rPr>
      </w:pPr>
    </w:p>
    <w:p w:rsidR="005C132B" w:rsidRPr="005C132B" w:rsidRDefault="005C132B" w:rsidP="005C132B">
      <w:pPr>
        <w:tabs>
          <w:tab w:val="left" w:pos="851"/>
        </w:tabs>
        <w:ind w:left="851"/>
        <w:rPr>
          <w:sz w:val="24"/>
          <w:szCs w:val="24"/>
        </w:rPr>
      </w:pPr>
      <w:r w:rsidRPr="005C132B">
        <w:rPr>
          <w:sz w:val="24"/>
          <w:szCs w:val="24"/>
        </w:rPr>
        <w:t>Veernes frekvens, styrke og varighed samt fostrets hjertelyd skal monitoreres tæt under infusionen. Infusionshastigheden kan ofte reduceres, når der er opnået tilpas veaktivitet. Infusionen skal straks afbrydes ved optræden af kontraktionshyperaktivitet og/eller ved påvirkning af fostret.</w:t>
      </w:r>
    </w:p>
    <w:p w:rsidR="005C132B" w:rsidRPr="005C132B" w:rsidRDefault="005C132B" w:rsidP="005C132B">
      <w:pPr>
        <w:tabs>
          <w:tab w:val="left" w:pos="851"/>
        </w:tabs>
        <w:ind w:left="851"/>
        <w:rPr>
          <w:sz w:val="24"/>
          <w:szCs w:val="24"/>
        </w:rPr>
      </w:pPr>
    </w:p>
    <w:p w:rsidR="005C132B" w:rsidRPr="005C132B" w:rsidRDefault="005C132B" w:rsidP="005C132B">
      <w:pPr>
        <w:tabs>
          <w:tab w:val="left" w:pos="851"/>
        </w:tabs>
        <w:ind w:left="851"/>
        <w:rPr>
          <w:sz w:val="24"/>
          <w:szCs w:val="24"/>
        </w:rPr>
      </w:pPr>
      <w:r w:rsidRPr="005C132B">
        <w:rPr>
          <w:sz w:val="24"/>
          <w:szCs w:val="24"/>
        </w:rPr>
        <w:t xml:space="preserve">Hvis der, hos kvinder ved termin eller nær termin, ikke etableres regelmæssige veer efter infusion af i alt 5 IE (8,3 mikrogram), anbefales det at afbryde forsøget med at igangsætte fødslen. Behandlingen kan genoptages den efterfølgende dag, igen startende med en infusionshastighed </w:t>
      </w:r>
      <w:r w:rsidR="006D537A" w:rsidRPr="005C132B">
        <w:rPr>
          <w:sz w:val="24"/>
          <w:szCs w:val="24"/>
        </w:rPr>
        <w:t xml:space="preserve">på </w:t>
      </w:r>
      <w:r w:rsidR="006D537A">
        <w:rPr>
          <w:sz w:val="24"/>
          <w:szCs w:val="24"/>
        </w:rPr>
        <w:t>1-4 millienheder/min (</w:t>
      </w:r>
      <w:r w:rsidR="006D537A" w:rsidRPr="005C132B">
        <w:rPr>
          <w:sz w:val="24"/>
          <w:szCs w:val="24"/>
        </w:rPr>
        <w:t>2-8 dråber/min</w:t>
      </w:r>
      <w:r w:rsidR="006D537A">
        <w:rPr>
          <w:sz w:val="24"/>
          <w:szCs w:val="24"/>
        </w:rPr>
        <w:t>)</w:t>
      </w:r>
      <w:r w:rsidR="006D537A" w:rsidRPr="005C132B">
        <w:rPr>
          <w:sz w:val="24"/>
          <w:szCs w:val="24"/>
        </w:rPr>
        <w:t>.</w:t>
      </w:r>
    </w:p>
    <w:p w:rsidR="005C132B" w:rsidRPr="005C132B" w:rsidRDefault="005C132B" w:rsidP="005C132B">
      <w:pPr>
        <w:tabs>
          <w:tab w:val="left" w:pos="851"/>
        </w:tabs>
        <w:ind w:left="851"/>
        <w:rPr>
          <w:sz w:val="24"/>
          <w:szCs w:val="24"/>
        </w:rPr>
      </w:pPr>
    </w:p>
    <w:p w:rsidR="005C132B" w:rsidRDefault="005C132B" w:rsidP="005C132B">
      <w:pPr>
        <w:tabs>
          <w:tab w:val="left" w:pos="851"/>
        </w:tabs>
        <w:ind w:left="851"/>
        <w:rPr>
          <w:sz w:val="24"/>
          <w:szCs w:val="24"/>
        </w:rPr>
      </w:pPr>
      <w:r w:rsidRPr="005C132B">
        <w:rPr>
          <w:b/>
          <w:sz w:val="24"/>
          <w:szCs w:val="24"/>
        </w:rPr>
        <w:t>BEMÆRK</w:t>
      </w:r>
      <w:r w:rsidRPr="005C132B">
        <w:rPr>
          <w:sz w:val="24"/>
          <w:szCs w:val="24"/>
        </w:rPr>
        <w:t xml:space="preserve">: Utilsigtet infusion med </w:t>
      </w:r>
      <w:r w:rsidR="00F0473C">
        <w:rPr>
          <w:sz w:val="24"/>
          <w:szCs w:val="24"/>
        </w:rPr>
        <w:t>Oxytocin "Orifarm"</w:t>
      </w:r>
      <w:r w:rsidRPr="005C132B">
        <w:rPr>
          <w:sz w:val="24"/>
          <w:szCs w:val="24"/>
        </w:rPr>
        <w:t xml:space="preserve"> uden for venen er ikke skadelig.</w:t>
      </w:r>
    </w:p>
    <w:p w:rsidR="00A619B8" w:rsidRDefault="00A619B8" w:rsidP="005C132B">
      <w:pPr>
        <w:tabs>
          <w:tab w:val="left" w:pos="851"/>
        </w:tabs>
        <w:ind w:left="851"/>
        <w:rPr>
          <w:sz w:val="24"/>
          <w:szCs w:val="24"/>
        </w:rPr>
      </w:pPr>
    </w:p>
    <w:p w:rsidR="00A619B8" w:rsidRPr="00445567" w:rsidRDefault="00A619B8" w:rsidP="00A619B8">
      <w:pPr>
        <w:tabs>
          <w:tab w:val="left" w:pos="851"/>
        </w:tabs>
        <w:ind w:left="851"/>
        <w:rPr>
          <w:sz w:val="24"/>
          <w:szCs w:val="24"/>
          <w:u w:val="single"/>
        </w:rPr>
      </w:pPr>
      <w:r w:rsidRPr="00445567">
        <w:rPr>
          <w:sz w:val="24"/>
          <w:szCs w:val="24"/>
          <w:u w:val="single"/>
        </w:rPr>
        <w:t>Ufuldstændig, uundgåelig, eller forpasset abort</w:t>
      </w:r>
    </w:p>
    <w:p w:rsidR="00A619B8" w:rsidRPr="007E30DD" w:rsidRDefault="00A619B8" w:rsidP="00A619B8">
      <w:pPr>
        <w:tabs>
          <w:tab w:val="left" w:pos="851"/>
        </w:tabs>
        <w:ind w:left="851"/>
        <w:rPr>
          <w:sz w:val="24"/>
          <w:szCs w:val="24"/>
        </w:rPr>
      </w:pPr>
      <w:r w:rsidRPr="00E41CD3">
        <w:rPr>
          <w:sz w:val="24"/>
          <w:szCs w:val="24"/>
        </w:rPr>
        <w:t xml:space="preserve">5 IE ved i.v. infusion (5 IE fortyndet i fysiologisk elektrolytopløsning og administreret som </w:t>
      </w:r>
      <w:r>
        <w:rPr>
          <w:sz w:val="24"/>
          <w:szCs w:val="24"/>
        </w:rPr>
        <w:t>dråbe</w:t>
      </w:r>
      <w:r w:rsidRPr="00E41CD3">
        <w:rPr>
          <w:sz w:val="24"/>
          <w:szCs w:val="24"/>
        </w:rPr>
        <w:t xml:space="preserve">infusion eller </w:t>
      </w:r>
      <w:r>
        <w:rPr>
          <w:sz w:val="24"/>
          <w:szCs w:val="24"/>
        </w:rPr>
        <w:t>f</w:t>
      </w:r>
      <w:r>
        <w:rPr>
          <w:noProof/>
          <w:szCs w:val="22"/>
        </w:rPr>
        <w:t>ortrinsvis</w:t>
      </w:r>
      <w:r w:rsidRPr="00E41CD3">
        <w:rPr>
          <w:sz w:val="24"/>
          <w:szCs w:val="24"/>
        </w:rPr>
        <w:t xml:space="preserve"> </w:t>
      </w:r>
      <w:r>
        <w:t xml:space="preserve">ved anvendelse </w:t>
      </w:r>
      <w:r w:rsidRPr="00E41CD3">
        <w:rPr>
          <w:sz w:val="24"/>
          <w:szCs w:val="24"/>
        </w:rPr>
        <w:t xml:space="preserve">af </w:t>
      </w:r>
      <w:r>
        <w:rPr>
          <w:sz w:val="24"/>
          <w:szCs w:val="24"/>
        </w:rPr>
        <w:t xml:space="preserve">en </w:t>
      </w:r>
      <w:r w:rsidRPr="00E41CD3">
        <w:rPr>
          <w:sz w:val="24"/>
          <w:szCs w:val="24"/>
        </w:rPr>
        <w:t xml:space="preserve">hastigheds-infusionspumpe </w:t>
      </w:r>
      <w:r>
        <w:rPr>
          <w:sz w:val="24"/>
          <w:szCs w:val="24"/>
        </w:rPr>
        <w:t>over</w:t>
      </w:r>
      <w:r w:rsidRPr="00E41CD3">
        <w:rPr>
          <w:sz w:val="24"/>
          <w:szCs w:val="24"/>
        </w:rPr>
        <w:t xml:space="preserve"> 5 </w:t>
      </w:r>
      <w:r w:rsidRPr="007E30DD">
        <w:rPr>
          <w:sz w:val="24"/>
          <w:szCs w:val="24"/>
        </w:rPr>
        <w:t>minutter) eller 5-10 IE intramuskulær injektion efterfulgt af i.v. infusion med en hastighed på 20-40 millienheder/minut.</w:t>
      </w:r>
    </w:p>
    <w:p w:rsidR="005C132B" w:rsidRPr="007E30DD" w:rsidRDefault="005C132B" w:rsidP="005C132B">
      <w:pPr>
        <w:tabs>
          <w:tab w:val="left" w:pos="851"/>
        </w:tabs>
        <w:ind w:left="851"/>
        <w:rPr>
          <w:sz w:val="24"/>
          <w:szCs w:val="24"/>
        </w:rPr>
      </w:pPr>
    </w:p>
    <w:p w:rsidR="005C132B" w:rsidRPr="007E30DD" w:rsidRDefault="000A09BE" w:rsidP="005C132B">
      <w:pPr>
        <w:tabs>
          <w:tab w:val="left" w:pos="851"/>
        </w:tabs>
        <w:ind w:left="851"/>
        <w:rPr>
          <w:sz w:val="24"/>
          <w:szCs w:val="24"/>
          <w:u w:val="single"/>
        </w:rPr>
      </w:pPr>
      <w:r w:rsidRPr="007E30DD">
        <w:rPr>
          <w:sz w:val="24"/>
          <w:szCs w:val="24"/>
          <w:u w:val="single"/>
        </w:rPr>
        <w:t>Kejsersnit</w:t>
      </w:r>
    </w:p>
    <w:p w:rsidR="005C132B" w:rsidRPr="007E30DD" w:rsidRDefault="005C132B" w:rsidP="005C132B">
      <w:pPr>
        <w:tabs>
          <w:tab w:val="left" w:pos="851"/>
        </w:tabs>
        <w:ind w:left="851"/>
        <w:rPr>
          <w:sz w:val="24"/>
          <w:szCs w:val="24"/>
        </w:rPr>
      </w:pPr>
      <w:r w:rsidRPr="007E30DD">
        <w:rPr>
          <w:sz w:val="24"/>
          <w:szCs w:val="24"/>
        </w:rPr>
        <w:t xml:space="preserve">5 IE ved intravenøs infusion (5 IE fortyndet i </w:t>
      </w:r>
      <w:r w:rsidR="00A619B8" w:rsidRPr="007E30DD">
        <w:rPr>
          <w:sz w:val="24"/>
          <w:szCs w:val="24"/>
        </w:rPr>
        <w:t xml:space="preserve">natriumchloridinfusionsvæske </w:t>
      </w:r>
      <w:r w:rsidR="00A619B8" w:rsidRPr="007E30DD">
        <w:rPr>
          <w:spacing w:val="-3"/>
          <w:sz w:val="24"/>
          <w:szCs w:val="24"/>
        </w:rPr>
        <w:t>eller 5 % glucose-infusionsvæske</w:t>
      </w:r>
      <w:r w:rsidR="00A619B8" w:rsidRPr="007E30DD">
        <w:rPr>
          <w:sz w:val="24"/>
          <w:szCs w:val="24"/>
        </w:rPr>
        <w:t xml:space="preserve"> </w:t>
      </w:r>
      <w:r w:rsidRPr="007E30DD">
        <w:rPr>
          <w:sz w:val="24"/>
          <w:szCs w:val="24"/>
        </w:rPr>
        <w:t xml:space="preserve">og administreret som intravenøs </w:t>
      </w:r>
      <w:r w:rsidR="00825C4B" w:rsidRPr="007E30DD">
        <w:rPr>
          <w:sz w:val="24"/>
          <w:szCs w:val="24"/>
        </w:rPr>
        <w:t>dråbe</w:t>
      </w:r>
      <w:r w:rsidRPr="007E30DD">
        <w:rPr>
          <w:sz w:val="24"/>
          <w:szCs w:val="24"/>
        </w:rPr>
        <w:t>infusion eller fortrinsvis ved hjælp af en infusionspumpe med variabel hastighed over 5 min.) straks efter forløsning.</w:t>
      </w:r>
    </w:p>
    <w:p w:rsidR="005C132B" w:rsidRPr="007E30DD" w:rsidRDefault="005C132B" w:rsidP="005C132B">
      <w:pPr>
        <w:tabs>
          <w:tab w:val="left" w:pos="851"/>
        </w:tabs>
        <w:ind w:left="851"/>
        <w:rPr>
          <w:sz w:val="24"/>
          <w:szCs w:val="24"/>
        </w:rPr>
      </w:pPr>
    </w:p>
    <w:p w:rsidR="00825C4B" w:rsidRPr="007E30DD" w:rsidRDefault="00825C4B" w:rsidP="00825C4B">
      <w:pPr>
        <w:tabs>
          <w:tab w:val="left" w:pos="851"/>
        </w:tabs>
        <w:ind w:left="851"/>
        <w:rPr>
          <w:sz w:val="24"/>
          <w:szCs w:val="24"/>
          <w:u w:val="single"/>
        </w:rPr>
      </w:pPr>
      <w:r w:rsidRPr="007E30DD">
        <w:rPr>
          <w:sz w:val="24"/>
          <w:szCs w:val="24"/>
          <w:u w:val="single"/>
        </w:rPr>
        <w:t>Forebyggelse af uterin blødning efter fødslen</w:t>
      </w:r>
    </w:p>
    <w:p w:rsidR="00825C4B" w:rsidRPr="007E30DD" w:rsidRDefault="00825C4B" w:rsidP="00825C4B">
      <w:pPr>
        <w:tabs>
          <w:tab w:val="left" w:pos="851"/>
        </w:tabs>
        <w:ind w:left="851"/>
        <w:rPr>
          <w:sz w:val="24"/>
          <w:szCs w:val="24"/>
        </w:rPr>
      </w:pPr>
      <w:r w:rsidRPr="007E30DD">
        <w:rPr>
          <w:sz w:val="24"/>
          <w:szCs w:val="24"/>
        </w:rPr>
        <w:t xml:space="preserve">Den sædvanlige dosis er 5 IE ved intravenøs infusion (5 IE fortyndet i natriumkloridopløsning til infusion eller 5 % glucoseopløsning til infusion og administreret som intravenøs dråbeinfusion eller fortrinsvis ved anvendelse af en variabel hastigheds-infusionspumpe over 5 minutter) eller 5-10 IE i.m. efter fødsel af placenta. Hos kvinder, der behandles med Oxytocin </w:t>
      </w:r>
      <w:r w:rsidR="00CA6358" w:rsidRPr="007E30DD">
        <w:rPr>
          <w:sz w:val="24"/>
          <w:szCs w:val="24"/>
        </w:rPr>
        <w:t>"</w:t>
      </w:r>
      <w:r w:rsidRPr="007E30DD">
        <w:rPr>
          <w:sz w:val="24"/>
          <w:szCs w:val="24"/>
        </w:rPr>
        <w:t>Orifarm</w:t>
      </w:r>
      <w:r w:rsidR="00CA6358" w:rsidRPr="007E30DD">
        <w:rPr>
          <w:sz w:val="24"/>
          <w:szCs w:val="24"/>
        </w:rPr>
        <w:t>"</w:t>
      </w:r>
      <w:r w:rsidRPr="007E30DD">
        <w:rPr>
          <w:sz w:val="24"/>
          <w:szCs w:val="24"/>
        </w:rPr>
        <w:t xml:space="preserve"> til at igangsætte eller stimulering af fødslen, bør infusionen fortsættes med en øget hastighed i tredje stadie af fødslen og gennem de næste få timer.</w:t>
      </w:r>
    </w:p>
    <w:p w:rsidR="00825C4B" w:rsidRPr="007E30DD" w:rsidRDefault="00825C4B" w:rsidP="00825C4B">
      <w:pPr>
        <w:tabs>
          <w:tab w:val="left" w:pos="851"/>
        </w:tabs>
        <w:ind w:left="851"/>
        <w:rPr>
          <w:sz w:val="24"/>
          <w:szCs w:val="24"/>
        </w:rPr>
      </w:pPr>
    </w:p>
    <w:p w:rsidR="00825C4B" w:rsidRPr="007E30DD" w:rsidRDefault="00825C4B" w:rsidP="00825C4B">
      <w:pPr>
        <w:tabs>
          <w:tab w:val="left" w:pos="851"/>
        </w:tabs>
        <w:ind w:left="851"/>
        <w:rPr>
          <w:sz w:val="24"/>
          <w:szCs w:val="24"/>
          <w:u w:val="single"/>
        </w:rPr>
      </w:pPr>
      <w:r w:rsidRPr="007E30DD">
        <w:rPr>
          <w:sz w:val="24"/>
          <w:szCs w:val="24"/>
          <w:u w:val="single"/>
        </w:rPr>
        <w:t>Behandling af blødning i efterbyrdperioden</w:t>
      </w:r>
    </w:p>
    <w:p w:rsidR="00825C4B" w:rsidRPr="007E30DD" w:rsidRDefault="00825C4B" w:rsidP="00825C4B">
      <w:pPr>
        <w:tabs>
          <w:tab w:val="left" w:pos="851"/>
        </w:tabs>
        <w:ind w:left="851"/>
        <w:rPr>
          <w:sz w:val="24"/>
          <w:szCs w:val="24"/>
        </w:rPr>
      </w:pPr>
      <w:r w:rsidRPr="007E30DD">
        <w:rPr>
          <w:sz w:val="24"/>
          <w:szCs w:val="24"/>
        </w:rPr>
        <w:t xml:space="preserve">5 IE ved intravenøs infusion (5 IE fortyndet i natriumchloridinfusionsvæske </w:t>
      </w:r>
      <w:r w:rsidRPr="007E30DD">
        <w:rPr>
          <w:spacing w:val="-3"/>
          <w:sz w:val="24"/>
          <w:szCs w:val="24"/>
        </w:rPr>
        <w:t>eller 5</w:t>
      </w:r>
      <w:r w:rsidR="007E30DD" w:rsidRPr="007E30DD">
        <w:rPr>
          <w:spacing w:val="-3"/>
          <w:sz w:val="24"/>
          <w:szCs w:val="24"/>
        </w:rPr>
        <w:t xml:space="preserve"> </w:t>
      </w:r>
      <w:r w:rsidRPr="007E30DD">
        <w:rPr>
          <w:spacing w:val="-3"/>
          <w:sz w:val="24"/>
          <w:szCs w:val="24"/>
        </w:rPr>
        <w:t xml:space="preserve">% glucose-infusionsvæske </w:t>
      </w:r>
      <w:r w:rsidRPr="007E30DD">
        <w:rPr>
          <w:sz w:val="24"/>
          <w:szCs w:val="24"/>
        </w:rPr>
        <w:t>og administreret som intravenøs dråbeinfusion eller fortrinsvis ved hjælp af en infusionspumpe med variabel hastighed over 5 min.) eller 5-10 IE i.m. i svære tilfælde efterfulgt af intravenøs infusion af en opløsning indeholdende 5 til 20 IE oxytocin i 500 ml elektrolytholdig infusionsvæske, givet i en hastighed, som er tilstrækkelig til kontrol af uterin atoni.</w:t>
      </w:r>
    </w:p>
    <w:p w:rsidR="00825C4B" w:rsidRPr="007E30DD" w:rsidRDefault="00825C4B" w:rsidP="00825C4B">
      <w:pPr>
        <w:tabs>
          <w:tab w:val="left" w:pos="851"/>
        </w:tabs>
        <w:ind w:left="851"/>
        <w:rPr>
          <w:sz w:val="24"/>
          <w:szCs w:val="24"/>
        </w:rPr>
      </w:pPr>
    </w:p>
    <w:p w:rsidR="00825C4B" w:rsidRPr="007E30DD" w:rsidRDefault="00825C4B" w:rsidP="00825C4B">
      <w:pPr>
        <w:tabs>
          <w:tab w:val="left" w:pos="851"/>
        </w:tabs>
        <w:ind w:left="851"/>
        <w:rPr>
          <w:sz w:val="24"/>
          <w:szCs w:val="24"/>
        </w:rPr>
      </w:pPr>
      <w:r w:rsidRPr="007E30DD">
        <w:rPr>
          <w:sz w:val="24"/>
          <w:szCs w:val="24"/>
        </w:rPr>
        <w:t>For instruktioner om fortynding af lægemidlet før administration, se pkt. 6.6.</w:t>
      </w:r>
    </w:p>
    <w:p w:rsidR="009260DE" w:rsidRPr="007E30DD"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10163A" w:rsidRPr="0010163A" w:rsidRDefault="0010163A" w:rsidP="0010163A">
      <w:pPr>
        <w:numPr>
          <w:ilvl w:val="0"/>
          <w:numId w:val="7"/>
        </w:numPr>
        <w:tabs>
          <w:tab w:val="left" w:pos="851"/>
        </w:tabs>
        <w:ind w:left="1134" w:hanging="283"/>
        <w:rPr>
          <w:sz w:val="24"/>
          <w:szCs w:val="24"/>
        </w:rPr>
      </w:pPr>
      <w:r w:rsidRPr="0010163A">
        <w:rPr>
          <w:sz w:val="24"/>
          <w:szCs w:val="24"/>
        </w:rPr>
        <w:t>Overfølsomhed over for det aktive stof eller over for et eller flere af hjælpestofferne anført i pkt. 6.1.</w:t>
      </w:r>
    </w:p>
    <w:p w:rsidR="0010163A" w:rsidRPr="0010163A" w:rsidRDefault="0010163A" w:rsidP="0010163A">
      <w:pPr>
        <w:numPr>
          <w:ilvl w:val="0"/>
          <w:numId w:val="7"/>
        </w:numPr>
        <w:tabs>
          <w:tab w:val="left" w:pos="851"/>
        </w:tabs>
        <w:ind w:left="1134" w:hanging="283"/>
        <w:rPr>
          <w:sz w:val="24"/>
          <w:szCs w:val="24"/>
        </w:rPr>
      </w:pPr>
      <w:r w:rsidRPr="0010163A">
        <w:rPr>
          <w:sz w:val="24"/>
          <w:szCs w:val="24"/>
        </w:rPr>
        <w:t>Hypertoniske uterine sammentrækninger eller føtal påvirkning ved ikke umiddelbart forestående fødsel.</w:t>
      </w:r>
    </w:p>
    <w:p w:rsidR="0010163A" w:rsidRPr="0010163A" w:rsidRDefault="0010163A" w:rsidP="0010163A">
      <w:pPr>
        <w:numPr>
          <w:ilvl w:val="0"/>
          <w:numId w:val="7"/>
        </w:numPr>
        <w:tabs>
          <w:tab w:val="left" w:pos="851"/>
        </w:tabs>
        <w:ind w:left="1134" w:hanging="283"/>
        <w:rPr>
          <w:sz w:val="24"/>
          <w:szCs w:val="24"/>
        </w:rPr>
      </w:pPr>
      <w:r w:rsidRPr="0010163A">
        <w:rPr>
          <w:sz w:val="24"/>
          <w:szCs w:val="24"/>
        </w:rPr>
        <w:t>Enhver situation, hvor spontan fødsel og/eller vaginal forløsning ikke er tilrådeligt af hensyn til fostret eller moderen er kontraindikeret: f.eks. signifikant disproportion mellem barnets hoved og moderens bækken, unormal fosterstilling, placenta prævia og vasa prævia, abruptio placentae, for</w:t>
      </w:r>
      <w:r w:rsidR="00FF6D9A">
        <w:rPr>
          <w:sz w:val="24"/>
          <w:szCs w:val="24"/>
        </w:rPr>
        <w:t>e</w:t>
      </w:r>
      <w:r w:rsidRPr="0010163A">
        <w:rPr>
          <w:sz w:val="24"/>
          <w:szCs w:val="24"/>
        </w:rPr>
        <w:t>liggende navlestreng eller navlestrengsfremfald, overstrækning eller nedsat modstand mod ruptur i uterus som ved gentagen graviditet, polyhydramnia, multipara og ved forekomst af uterusar som resultat af større kirurgiske indgreb inklusive klassisk kejsersnit.</w:t>
      </w:r>
    </w:p>
    <w:p w:rsidR="0010163A" w:rsidRPr="0010163A" w:rsidRDefault="0010163A" w:rsidP="0010163A">
      <w:pPr>
        <w:numPr>
          <w:ilvl w:val="0"/>
          <w:numId w:val="7"/>
        </w:numPr>
        <w:tabs>
          <w:tab w:val="left" w:pos="851"/>
        </w:tabs>
        <w:ind w:left="1134" w:hanging="283"/>
        <w:rPr>
          <w:sz w:val="24"/>
          <w:szCs w:val="24"/>
        </w:rPr>
      </w:pPr>
      <w:r w:rsidRPr="0010163A">
        <w:rPr>
          <w:sz w:val="24"/>
          <w:szCs w:val="24"/>
        </w:rPr>
        <w:t>Oxytocin må ikke administreres inden for 6 timer efter indgift af vaginale prostaglandiner (se pkt. 4.5).</w:t>
      </w:r>
    </w:p>
    <w:p w:rsidR="009260DE" w:rsidRPr="00C84483" w:rsidRDefault="009260DE" w:rsidP="0010163A">
      <w:pPr>
        <w:tabs>
          <w:tab w:val="left" w:pos="851"/>
        </w:tabs>
        <w:ind w:left="1134" w:hanging="283"/>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0163A" w:rsidRPr="0010163A" w:rsidRDefault="0010163A" w:rsidP="0010163A">
      <w:pPr>
        <w:tabs>
          <w:tab w:val="left" w:pos="851"/>
        </w:tabs>
        <w:ind w:left="851"/>
        <w:rPr>
          <w:sz w:val="24"/>
          <w:szCs w:val="24"/>
        </w:rPr>
      </w:pPr>
      <w:r w:rsidRPr="0010163A">
        <w:rPr>
          <w:sz w:val="24"/>
          <w:szCs w:val="24"/>
        </w:rPr>
        <w:t>Igangsætning af fødsel med oxytocin bør kun foretages på god indikation af medicinske grunde. Administration bør kun foregå på specialafdeling under kvalificeret, medicinsk monitorering.</w:t>
      </w:r>
    </w:p>
    <w:p w:rsidR="0010163A" w:rsidRPr="0010163A" w:rsidRDefault="0010163A" w:rsidP="0010163A">
      <w:pPr>
        <w:tabs>
          <w:tab w:val="left" w:pos="851"/>
        </w:tabs>
        <w:ind w:left="851"/>
        <w:rPr>
          <w:sz w:val="24"/>
          <w:szCs w:val="24"/>
        </w:rPr>
      </w:pPr>
    </w:p>
    <w:p w:rsidR="0010163A" w:rsidRPr="0010163A" w:rsidRDefault="00F0473C" w:rsidP="0010163A">
      <w:pPr>
        <w:tabs>
          <w:tab w:val="left" w:pos="851"/>
        </w:tabs>
        <w:ind w:left="851"/>
        <w:rPr>
          <w:sz w:val="24"/>
          <w:szCs w:val="24"/>
        </w:rPr>
      </w:pPr>
      <w:r>
        <w:rPr>
          <w:sz w:val="24"/>
          <w:szCs w:val="24"/>
        </w:rPr>
        <w:lastRenderedPageBreak/>
        <w:t>Oxytocin "Orifarm"</w:t>
      </w:r>
      <w:r w:rsidR="0010163A" w:rsidRPr="0010163A">
        <w:rPr>
          <w:sz w:val="24"/>
          <w:szCs w:val="24"/>
        </w:rPr>
        <w:t xml:space="preserve"> bør ikke anvendes i længere perioder hos patienter med oxytocin-resistent vesvækkelse, alvorlig præeklampsi eller alvorlige kardiovaskulære lidelser.</w:t>
      </w:r>
    </w:p>
    <w:p w:rsidR="0010163A" w:rsidRPr="0010163A" w:rsidRDefault="0010163A" w:rsidP="0010163A">
      <w:pPr>
        <w:tabs>
          <w:tab w:val="left" w:pos="851"/>
        </w:tabs>
        <w:ind w:left="851"/>
        <w:rPr>
          <w:sz w:val="24"/>
          <w:szCs w:val="24"/>
        </w:rPr>
      </w:pPr>
    </w:p>
    <w:p w:rsidR="0010163A" w:rsidRPr="0010163A" w:rsidRDefault="00F0473C" w:rsidP="0010163A">
      <w:pPr>
        <w:tabs>
          <w:tab w:val="left" w:pos="851"/>
        </w:tabs>
        <w:ind w:left="851"/>
        <w:rPr>
          <w:sz w:val="24"/>
          <w:szCs w:val="24"/>
        </w:rPr>
      </w:pPr>
      <w:r>
        <w:rPr>
          <w:sz w:val="24"/>
          <w:szCs w:val="24"/>
        </w:rPr>
        <w:t>Oxytocin "Orifarm"</w:t>
      </w:r>
      <w:r w:rsidR="0010163A" w:rsidRPr="0010163A">
        <w:rPr>
          <w:sz w:val="24"/>
          <w:szCs w:val="24"/>
        </w:rPr>
        <w:t xml:space="preserve"> må kun administreres som en intravenøs infusion og aldrig som intravenøs bolusinjektion, da det kan give anledning til akut kortvarig hypotension ledsaget af rødme og refleks-takykardi.</w:t>
      </w:r>
    </w:p>
    <w:p w:rsidR="0010163A" w:rsidRPr="0010163A" w:rsidRDefault="0010163A" w:rsidP="0010163A">
      <w:pPr>
        <w:tabs>
          <w:tab w:val="left" w:pos="851"/>
        </w:tabs>
        <w:ind w:left="851"/>
        <w:rPr>
          <w:sz w:val="24"/>
          <w:szCs w:val="24"/>
        </w:rPr>
      </w:pPr>
    </w:p>
    <w:p w:rsidR="0010163A" w:rsidRPr="0010163A" w:rsidRDefault="00F0473C" w:rsidP="0010163A">
      <w:pPr>
        <w:tabs>
          <w:tab w:val="left" w:pos="851"/>
        </w:tabs>
        <w:ind w:left="851"/>
        <w:rPr>
          <w:sz w:val="24"/>
          <w:szCs w:val="24"/>
        </w:rPr>
      </w:pPr>
      <w:r>
        <w:rPr>
          <w:sz w:val="24"/>
          <w:szCs w:val="24"/>
        </w:rPr>
        <w:t>Oxytocin "Orifarm"</w:t>
      </w:r>
      <w:r w:rsidR="0010163A" w:rsidRPr="0010163A">
        <w:rPr>
          <w:sz w:val="24"/>
          <w:szCs w:val="24"/>
        </w:rPr>
        <w:t xml:space="preserve"> skal anvendes med forsigtighed hos patienter, som er prædisponerede for myokardieiskæmi på grund af eksisterende kardiovaskulær lidelse (som hypertrofisk kardiomyopati, hjerteklaplidelse og/eller iskæmisk hjertesygdom, inklusive vasospasmer i koronararterier) for at undgå signifikante ændringer i blodtryk og hjertefrekvens hos disse patienter.</w:t>
      </w:r>
    </w:p>
    <w:p w:rsidR="0010163A" w:rsidRPr="0010163A" w:rsidRDefault="0010163A" w:rsidP="0010163A">
      <w:pPr>
        <w:tabs>
          <w:tab w:val="left" w:pos="851"/>
        </w:tabs>
        <w:ind w:left="851"/>
        <w:rPr>
          <w:sz w:val="24"/>
          <w:szCs w:val="24"/>
        </w:rPr>
      </w:pPr>
    </w:p>
    <w:p w:rsidR="0010163A" w:rsidRPr="0010163A" w:rsidRDefault="00F0473C" w:rsidP="0010163A">
      <w:pPr>
        <w:tabs>
          <w:tab w:val="left" w:pos="851"/>
        </w:tabs>
        <w:ind w:left="851"/>
        <w:rPr>
          <w:sz w:val="24"/>
          <w:szCs w:val="24"/>
        </w:rPr>
      </w:pPr>
      <w:r>
        <w:rPr>
          <w:sz w:val="24"/>
          <w:szCs w:val="24"/>
        </w:rPr>
        <w:t>Oxytocin "Orifarm"</w:t>
      </w:r>
      <w:r w:rsidR="0010163A" w:rsidRPr="0010163A">
        <w:rPr>
          <w:sz w:val="24"/>
          <w:szCs w:val="24"/>
        </w:rPr>
        <w:t xml:space="preserve"> skal anvendes med forsigtighed hos patienter med kendt forlænget QT-syndrom eller relaterede symptomer og til patienter, som bruger lægemidler, som er kendt for at forlænge QT-intervallet.</w:t>
      </w:r>
    </w:p>
    <w:p w:rsidR="0010163A" w:rsidRPr="0010163A" w:rsidRDefault="0010163A" w:rsidP="0010163A">
      <w:pPr>
        <w:tabs>
          <w:tab w:val="left" w:pos="851"/>
        </w:tabs>
        <w:ind w:left="851"/>
        <w:rPr>
          <w:sz w:val="24"/>
          <w:szCs w:val="24"/>
        </w:rPr>
      </w:pPr>
    </w:p>
    <w:p w:rsidR="0010163A" w:rsidRPr="00531FB0" w:rsidRDefault="0010163A" w:rsidP="0010163A">
      <w:pPr>
        <w:tabs>
          <w:tab w:val="left" w:pos="851"/>
        </w:tabs>
        <w:ind w:left="851"/>
        <w:rPr>
          <w:sz w:val="24"/>
          <w:szCs w:val="24"/>
          <w:u w:val="single"/>
        </w:rPr>
      </w:pPr>
      <w:r w:rsidRPr="00531FB0">
        <w:rPr>
          <w:sz w:val="24"/>
          <w:szCs w:val="24"/>
          <w:u w:val="single"/>
        </w:rPr>
        <w:t xml:space="preserve">Når </w:t>
      </w:r>
      <w:r w:rsidR="00F0473C">
        <w:rPr>
          <w:sz w:val="24"/>
          <w:szCs w:val="24"/>
          <w:u w:val="single"/>
        </w:rPr>
        <w:t>Oxytocin "Orifarm"</w:t>
      </w:r>
      <w:r w:rsidRPr="00531FB0">
        <w:rPr>
          <w:sz w:val="24"/>
          <w:szCs w:val="24"/>
          <w:u w:val="single"/>
        </w:rPr>
        <w:t xml:space="preserve"> administreres til igangsættelse og stimulering </w:t>
      </w:r>
      <w:r w:rsidR="00531FB0">
        <w:rPr>
          <w:sz w:val="24"/>
          <w:szCs w:val="24"/>
          <w:u w:val="single"/>
        </w:rPr>
        <w:t>af fødsel</w:t>
      </w:r>
    </w:p>
    <w:p w:rsidR="0010163A" w:rsidRPr="0010163A" w:rsidRDefault="0010163A" w:rsidP="0010163A">
      <w:pPr>
        <w:tabs>
          <w:tab w:val="left" w:pos="1134"/>
        </w:tabs>
        <w:ind w:left="1134" w:hanging="283"/>
        <w:rPr>
          <w:sz w:val="24"/>
          <w:szCs w:val="24"/>
        </w:rPr>
      </w:pPr>
      <w:r w:rsidRPr="0010163A">
        <w:rPr>
          <w:sz w:val="24"/>
          <w:szCs w:val="24"/>
        </w:rPr>
        <w:t>•</w:t>
      </w:r>
      <w:r w:rsidRPr="0010163A">
        <w:rPr>
          <w:sz w:val="24"/>
          <w:szCs w:val="24"/>
        </w:rPr>
        <w:tab/>
        <w:t>Oxytocin må kun administreres som en intravenøs infusion, og aldrig som subkutan injektion, intramuskulær injektion eller som intravenøs bolusinjektion.</w:t>
      </w:r>
    </w:p>
    <w:p w:rsidR="0010163A" w:rsidRPr="0010163A" w:rsidRDefault="0010163A" w:rsidP="00531FB0">
      <w:pPr>
        <w:tabs>
          <w:tab w:val="left" w:pos="1134"/>
        </w:tabs>
        <w:ind w:left="1134" w:hanging="283"/>
        <w:rPr>
          <w:sz w:val="24"/>
          <w:szCs w:val="24"/>
        </w:rPr>
      </w:pPr>
      <w:r w:rsidRPr="0010163A">
        <w:rPr>
          <w:sz w:val="24"/>
          <w:szCs w:val="24"/>
        </w:rPr>
        <w:t>•</w:t>
      </w:r>
      <w:r w:rsidRPr="0010163A">
        <w:rPr>
          <w:sz w:val="24"/>
          <w:szCs w:val="24"/>
        </w:rPr>
        <w:tab/>
        <w:t>Administration af oxytocin kan ved overdrevne doser resultere i overstimulation af uterus, som kan foranledige føtal påvirkning, asfyksi og fosterdød, eller foranledige hypertoni, tetania eller uterusruptur. Omhyggelig monitorering af fostrets hjerterytme og uterusaktivitet (frekvens, styrke og varighed af sammentrækningerne) er essentiel, så dosis kan tilpasses individuelt respons.</w:t>
      </w:r>
    </w:p>
    <w:p w:rsidR="0010163A" w:rsidRPr="0010163A" w:rsidRDefault="0010163A" w:rsidP="00531FB0">
      <w:pPr>
        <w:tabs>
          <w:tab w:val="left" w:pos="1134"/>
        </w:tabs>
        <w:ind w:left="1134" w:hanging="283"/>
        <w:rPr>
          <w:sz w:val="24"/>
          <w:szCs w:val="24"/>
        </w:rPr>
      </w:pPr>
      <w:r w:rsidRPr="0010163A">
        <w:rPr>
          <w:sz w:val="24"/>
          <w:szCs w:val="24"/>
        </w:rPr>
        <w:t>•</w:t>
      </w:r>
      <w:r w:rsidRPr="0010163A">
        <w:rPr>
          <w:sz w:val="24"/>
          <w:szCs w:val="24"/>
        </w:rPr>
        <w:tab/>
        <w:t>Særlig forsigtighed er nødvendigt i tilfælde af grænsetilfælde for disproportion mellem fostrets hoved og moderens bækken, sekundær vesvækkelse, mild eller moderat grad af graviditetsinduceret hypertension eller hjertesygdom og hos patienter over 35 år eller med kejsersnit i det nedre uterinsegment i anamnesen.</w:t>
      </w:r>
    </w:p>
    <w:p w:rsidR="0010163A" w:rsidRPr="0010163A" w:rsidRDefault="0010163A" w:rsidP="00531FB0">
      <w:pPr>
        <w:tabs>
          <w:tab w:val="left" w:pos="1134"/>
        </w:tabs>
        <w:ind w:left="1134" w:hanging="283"/>
        <w:rPr>
          <w:sz w:val="24"/>
          <w:szCs w:val="24"/>
        </w:rPr>
      </w:pPr>
      <w:r w:rsidRPr="0010163A">
        <w:rPr>
          <w:sz w:val="24"/>
          <w:szCs w:val="24"/>
        </w:rPr>
        <w:t>•</w:t>
      </w:r>
      <w:r w:rsidRPr="0010163A">
        <w:rPr>
          <w:sz w:val="24"/>
          <w:szCs w:val="24"/>
        </w:rPr>
        <w:tab/>
        <w:t>I sjældne tilfælde kan farmakologisk igangsættelse af fødsel med uterotoniske stoffer, inklusive oxytocin, forøge risikoen for post partum dissemineret intravaskulær koagulation (DIC). Den farmakologiske igangsættelse i sig selv og ikke et specifikt stof er forbundet med en sådan risiko. Denne forøgede risiko gælder navnlig, hvis kvinden har yderligere risikofaktorer for DIC, kvinder på 35 år eller ældre, kvinder med komplikationer igennem svangerskabet og kvinder over 40. uge i svangerskabet. Til disse kvinder bør oxytocin eller anden medicin anvendes med forsigtighed, og behandlerne skal være opmærksomme på tegn på DIC.</w:t>
      </w:r>
    </w:p>
    <w:p w:rsidR="0010163A" w:rsidRPr="0010163A" w:rsidRDefault="0010163A" w:rsidP="0010163A">
      <w:pPr>
        <w:tabs>
          <w:tab w:val="left" w:pos="851"/>
        </w:tabs>
        <w:ind w:left="851"/>
        <w:rPr>
          <w:sz w:val="24"/>
          <w:szCs w:val="24"/>
        </w:rPr>
      </w:pPr>
    </w:p>
    <w:p w:rsidR="0010163A" w:rsidRPr="0010163A" w:rsidRDefault="0010163A" w:rsidP="0010163A">
      <w:pPr>
        <w:tabs>
          <w:tab w:val="left" w:pos="851"/>
        </w:tabs>
        <w:ind w:left="851"/>
        <w:rPr>
          <w:sz w:val="24"/>
          <w:szCs w:val="24"/>
        </w:rPr>
      </w:pPr>
      <w:r w:rsidRPr="0010163A">
        <w:rPr>
          <w:sz w:val="24"/>
          <w:szCs w:val="24"/>
        </w:rPr>
        <w:t>I tilfælde af fosterdød i uterus og/eller tilstedeværelsen af mekonium-farvet fostervand, bør et voldsomt fødselsforløb undgås, da det kan forårsage fostervandsemboli.</w:t>
      </w:r>
    </w:p>
    <w:p w:rsidR="0010163A" w:rsidRPr="0010163A" w:rsidRDefault="0010163A" w:rsidP="0010163A">
      <w:pPr>
        <w:tabs>
          <w:tab w:val="left" w:pos="851"/>
        </w:tabs>
        <w:ind w:left="851"/>
        <w:rPr>
          <w:sz w:val="24"/>
          <w:szCs w:val="24"/>
        </w:rPr>
      </w:pPr>
    </w:p>
    <w:p w:rsidR="0010163A" w:rsidRPr="0010163A" w:rsidRDefault="0010163A" w:rsidP="00A304B8">
      <w:pPr>
        <w:tabs>
          <w:tab w:val="left" w:pos="993"/>
        </w:tabs>
        <w:ind w:left="851"/>
        <w:rPr>
          <w:sz w:val="24"/>
          <w:szCs w:val="24"/>
        </w:rPr>
      </w:pPr>
      <w:r w:rsidRPr="0010163A">
        <w:rPr>
          <w:sz w:val="24"/>
          <w:szCs w:val="24"/>
        </w:rPr>
        <w:t xml:space="preserve">Oxytocin har en lettere antidiuretisk effekt. Derfor kan længerevarende intravenøs anvendelse ved høje doser kombineret med store væskemængder forårsage vandforgiftning associeret med hyponatriæmi som kan være tilfældet ved behandling af uundgåelig abort eller missed abortion eller ved kontrol af post partum blødning. Den samlede antidiuretiske effekt af oxytocin og intravenøs væskeadministration kan lede til overhydrering og derved forårsage en hæmodynamisk form for akut pulmonært ødem uden hyponatriæmi. For at undgå disse sjældne komplikationer bør følgende forsigtighedsregler følges, når høje doser oxytocin administreres gennem en længere periode: Der skal anvendes en elektrolytholdig fortyndingsvæske (ikke dextrose), volumen af infusionsvæsken skal holdes nede (ved infusion af oxytocin i en højere koncentration end anbefalet til igangsættelse eller </w:t>
      </w:r>
      <w:r w:rsidRPr="0010163A">
        <w:rPr>
          <w:sz w:val="24"/>
          <w:szCs w:val="24"/>
        </w:rPr>
        <w:lastRenderedPageBreak/>
        <w:t>stimulering af fødsel ved termin), oralt væskeindtag skal begrænses, der bør føres væskebalanceskema og serum-elektrolytter bør måles ved mistanke om elektrolyt-forstyrrelser.</w:t>
      </w:r>
    </w:p>
    <w:p w:rsidR="0010163A" w:rsidRDefault="0010163A" w:rsidP="00A304B8">
      <w:pPr>
        <w:tabs>
          <w:tab w:val="left" w:pos="993"/>
        </w:tabs>
        <w:rPr>
          <w:sz w:val="24"/>
          <w:szCs w:val="24"/>
        </w:rPr>
      </w:pPr>
    </w:p>
    <w:p w:rsidR="00A304B8" w:rsidRPr="000B2AAE" w:rsidRDefault="00A304B8" w:rsidP="00A304B8">
      <w:pPr>
        <w:widowControl w:val="0"/>
        <w:tabs>
          <w:tab w:val="left" w:pos="993"/>
        </w:tabs>
        <w:autoSpaceDE w:val="0"/>
        <w:autoSpaceDN w:val="0"/>
        <w:adjustRightInd w:val="0"/>
        <w:ind w:left="851"/>
        <w:rPr>
          <w:rFonts w:eastAsia="SimSun"/>
          <w:szCs w:val="22"/>
        </w:rPr>
      </w:pPr>
      <w:r w:rsidRPr="000B2AAE">
        <w:rPr>
          <w:rFonts w:eastAsia="SimSun"/>
          <w:szCs w:val="22"/>
        </w:rPr>
        <w:t>Dette lægemiddel indeholder mindre end 1 mmol (23 mg) natrium pr. ampul, dvs. de</w:t>
      </w:r>
      <w:r>
        <w:rPr>
          <w:rFonts w:eastAsia="SimSun"/>
          <w:szCs w:val="22"/>
        </w:rPr>
        <w:t>t</w:t>
      </w:r>
      <w:r w:rsidRPr="000B2AAE">
        <w:rPr>
          <w:rFonts w:eastAsia="SimSun"/>
          <w:szCs w:val="22"/>
        </w:rPr>
        <w:t xml:space="preserve"> er i det væsentlige natriumfri</w:t>
      </w:r>
      <w:r>
        <w:rPr>
          <w:rFonts w:eastAsia="SimSun"/>
          <w:szCs w:val="22"/>
        </w:rPr>
        <w:t>t</w:t>
      </w:r>
      <w:r w:rsidRPr="000B2AAE">
        <w:rPr>
          <w:rFonts w:eastAsia="SimSun"/>
          <w:szCs w:val="22"/>
        </w:rPr>
        <w:t>.</w:t>
      </w:r>
    </w:p>
    <w:p w:rsidR="00A304B8" w:rsidRPr="0010163A" w:rsidRDefault="00A304B8" w:rsidP="00A304B8">
      <w:pPr>
        <w:tabs>
          <w:tab w:val="left" w:pos="993"/>
        </w:tabs>
        <w:rPr>
          <w:sz w:val="24"/>
          <w:szCs w:val="24"/>
        </w:rPr>
      </w:pPr>
    </w:p>
    <w:p w:rsidR="0010163A" w:rsidRDefault="0010163A" w:rsidP="00A304B8">
      <w:pPr>
        <w:tabs>
          <w:tab w:val="left" w:pos="993"/>
        </w:tabs>
        <w:ind w:left="851"/>
        <w:rPr>
          <w:sz w:val="24"/>
          <w:szCs w:val="24"/>
        </w:rPr>
      </w:pPr>
      <w:r w:rsidRPr="0010163A">
        <w:rPr>
          <w:sz w:val="24"/>
          <w:szCs w:val="24"/>
        </w:rPr>
        <w:t>Parenteral oxytocin må ikke gives samtidig med næsespray indeholdende oxytocin.</w:t>
      </w:r>
    </w:p>
    <w:p w:rsidR="00FF6D9A" w:rsidRDefault="00FF6D9A" w:rsidP="0010163A">
      <w:pPr>
        <w:tabs>
          <w:tab w:val="left" w:pos="851"/>
        </w:tabs>
        <w:ind w:left="851"/>
        <w:rPr>
          <w:sz w:val="24"/>
          <w:szCs w:val="24"/>
        </w:rPr>
      </w:pPr>
    </w:p>
    <w:p w:rsidR="00FF6D9A" w:rsidRPr="00E4529A" w:rsidRDefault="00FF6D9A" w:rsidP="00FF6D9A">
      <w:pPr>
        <w:tabs>
          <w:tab w:val="left" w:pos="851"/>
        </w:tabs>
        <w:ind w:left="851"/>
        <w:rPr>
          <w:i/>
          <w:sz w:val="24"/>
          <w:szCs w:val="24"/>
        </w:rPr>
      </w:pPr>
      <w:r w:rsidRPr="00E4529A">
        <w:rPr>
          <w:i/>
          <w:sz w:val="24"/>
          <w:szCs w:val="24"/>
        </w:rPr>
        <w:t>Anafylaksi hos kvinder med latexallergi</w:t>
      </w:r>
    </w:p>
    <w:p w:rsidR="00FF6D9A" w:rsidRPr="0010163A" w:rsidRDefault="00FF6D9A" w:rsidP="00FF6D9A">
      <w:pPr>
        <w:tabs>
          <w:tab w:val="left" w:pos="851"/>
        </w:tabs>
        <w:ind w:left="851"/>
        <w:rPr>
          <w:sz w:val="24"/>
          <w:szCs w:val="24"/>
        </w:rPr>
      </w:pPr>
      <w:r w:rsidRPr="00E4529A">
        <w:rPr>
          <w:sz w:val="24"/>
          <w:szCs w:val="24"/>
        </w:rPr>
        <w:t>Der er blevet rapporteret anafylaksi efter brug af oxytocin hos kvinder med en kendt latexallergi. Grundet den eksisterende strukturelle homologi mellem oxytocin og latex kan latex</w:t>
      </w:r>
      <w:r>
        <w:rPr>
          <w:sz w:val="24"/>
          <w:szCs w:val="24"/>
        </w:rPr>
        <w:t>-</w:t>
      </w:r>
      <w:r w:rsidRPr="00E4529A">
        <w:rPr>
          <w:sz w:val="24"/>
          <w:szCs w:val="24"/>
        </w:rPr>
        <w:t>allergi/intolerance være en væsentlig prædisponerende risikofaktor for anafylaksi efter brug af oxytocin.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B105D" w:rsidRPr="002B105D" w:rsidRDefault="002B105D" w:rsidP="002B105D">
      <w:pPr>
        <w:tabs>
          <w:tab w:val="left" w:pos="851"/>
        </w:tabs>
        <w:ind w:left="851"/>
        <w:rPr>
          <w:sz w:val="24"/>
          <w:szCs w:val="24"/>
        </w:rPr>
      </w:pPr>
      <w:r w:rsidRPr="002B105D">
        <w:rPr>
          <w:sz w:val="24"/>
          <w:szCs w:val="24"/>
        </w:rPr>
        <w:t>Prostaglandiner og disses analoger fremmer sammentrækningen af myometriet, og oxytocin kan derfor potensere prostaglandinernes og analogernes uterine virkning og vice versa (se pkt. 4.3). Af denne grund kræver samtidig administration meget tæt monitorering.</w:t>
      </w:r>
    </w:p>
    <w:p w:rsidR="002B105D" w:rsidRPr="002B105D" w:rsidRDefault="002B105D" w:rsidP="002B105D">
      <w:pPr>
        <w:tabs>
          <w:tab w:val="left" w:pos="851"/>
        </w:tabs>
        <w:ind w:left="851"/>
        <w:rPr>
          <w:sz w:val="24"/>
          <w:szCs w:val="24"/>
        </w:rPr>
      </w:pPr>
    </w:p>
    <w:p w:rsidR="002B105D" w:rsidRPr="002B105D" w:rsidRDefault="002B105D" w:rsidP="002B105D">
      <w:pPr>
        <w:tabs>
          <w:tab w:val="left" w:pos="851"/>
        </w:tabs>
        <w:ind w:left="851"/>
        <w:rPr>
          <w:sz w:val="24"/>
          <w:szCs w:val="24"/>
        </w:rPr>
      </w:pPr>
      <w:r w:rsidRPr="002B105D">
        <w:rPr>
          <w:sz w:val="24"/>
          <w:szCs w:val="24"/>
        </w:rPr>
        <w:t>Nogle inhalationsanæstetika, f.eks. cyclopropan og halothan, kan forstærke den hypotensive virkning af oxytocin og reducere dets virkning. Samtidig brug med oxytocin er også rapporteret at kunne forsage hjerterytmeforstyrrelser.</w:t>
      </w:r>
    </w:p>
    <w:p w:rsidR="002B105D" w:rsidRPr="002B105D" w:rsidRDefault="002B105D" w:rsidP="002B105D">
      <w:pPr>
        <w:tabs>
          <w:tab w:val="left" w:pos="851"/>
        </w:tabs>
        <w:ind w:left="851"/>
        <w:rPr>
          <w:sz w:val="24"/>
          <w:szCs w:val="24"/>
        </w:rPr>
      </w:pPr>
    </w:p>
    <w:p w:rsidR="002B105D" w:rsidRPr="002B105D" w:rsidRDefault="002B105D" w:rsidP="002B105D">
      <w:pPr>
        <w:tabs>
          <w:tab w:val="left" w:pos="851"/>
        </w:tabs>
        <w:ind w:left="851"/>
        <w:rPr>
          <w:sz w:val="24"/>
          <w:szCs w:val="24"/>
        </w:rPr>
      </w:pPr>
      <w:r w:rsidRPr="002B105D">
        <w:rPr>
          <w:sz w:val="24"/>
          <w:szCs w:val="24"/>
        </w:rPr>
        <w:t>Når oxytocin gives under eller efter anæstesi i form af kaudal blokade, kan det øge den sympatomimetiske vasokonstriktorers pressoreffekt.</w:t>
      </w:r>
    </w:p>
    <w:p w:rsidR="002B105D" w:rsidRPr="002B105D" w:rsidRDefault="002B105D" w:rsidP="002B105D">
      <w:pPr>
        <w:tabs>
          <w:tab w:val="left" w:pos="851"/>
        </w:tabs>
        <w:ind w:left="851"/>
        <w:rPr>
          <w:sz w:val="24"/>
          <w:szCs w:val="24"/>
        </w:rPr>
      </w:pPr>
    </w:p>
    <w:p w:rsidR="002B105D" w:rsidRPr="002B105D" w:rsidRDefault="00F0473C" w:rsidP="002B105D">
      <w:pPr>
        <w:tabs>
          <w:tab w:val="left" w:pos="851"/>
        </w:tabs>
        <w:ind w:left="851"/>
        <w:rPr>
          <w:sz w:val="24"/>
          <w:szCs w:val="24"/>
        </w:rPr>
      </w:pPr>
      <w:r>
        <w:rPr>
          <w:sz w:val="24"/>
          <w:szCs w:val="24"/>
        </w:rPr>
        <w:t>Oxytocin "Orifarm"</w:t>
      </w:r>
      <w:r w:rsidR="002B105D" w:rsidRPr="002B105D">
        <w:rPr>
          <w:sz w:val="24"/>
          <w:szCs w:val="24"/>
        </w:rPr>
        <w:t xml:space="preserve"> skal anvendes med forsigtighed hos patienter, som bruger lægemidler, som er kendt for at forlænge QT-intervallet.</w:t>
      </w:r>
    </w:p>
    <w:p w:rsidR="009260DE" w:rsidRPr="00C84483" w:rsidRDefault="009260DE" w:rsidP="002B105D">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1B1C50">
        <w:rPr>
          <w:b/>
          <w:sz w:val="24"/>
          <w:szCs w:val="24"/>
        </w:rPr>
        <w:t>Fertilitet, g</w:t>
      </w:r>
      <w:r w:rsidRPr="00C84483">
        <w:rPr>
          <w:b/>
          <w:sz w:val="24"/>
          <w:szCs w:val="24"/>
        </w:rPr>
        <w:t>raviditet og amning</w:t>
      </w:r>
    </w:p>
    <w:p w:rsidR="00E0309D" w:rsidRDefault="00E0309D" w:rsidP="00E0309D">
      <w:pPr>
        <w:tabs>
          <w:tab w:val="left" w:pos="851"/>
        </w:tabs>
        <w:ind w:left="851"/>
        <w:rPr>
          <w:sz w:val="24"/>
          <w:szCs w:val="24"/>
          <w:u w:val="single"/>
        </w:rPr>
      </w:pPr>
    </w:p>
    <w:p w:rsidR="00E0309D" w:rsidRPr="00E0309D" w:rsidRDefault="00E0309D" w:rsidP="00E0309D">
      <w:pPr>
        <w:tabs>
          <w:tab w:val="left" w:pos="851"/>
        </w:tabs>
        <w:ind w:left="851"/>
        <w:rPr>
          <w:sz w:val="24"/>
          <w:szCs w:val="24"/>
          <w:u w:val="single"/>
        </w:rPr>
      </w:pPr>
      <w:r w:rsidRPr="00E0309D">
        <w:rPr>
          <w:sz w:val="24"/>
          <w:szCs w:val="24"/>
          <w:u w:val="single"/>
        </w:rPr>
        <w:t>Graviditet</w:t>
      </w:r>
    </w:p>
    <w:p w:rsidR="00E0309D" w:rsidRPr="00E0309D" w:rsidRDefault="00E0309D" w:rsidP="00E0309D">
      <w:pPr>
        <w:tabs>
          <w:tab w:val="left" w:pos="851"/>
        </w:tabs>
        <w:ind w:left="851"/>
        <w:rPr>
          <w:sz w:val="24"/>
          <w:szCs w:val="24"/>
        </w:rPr>
      </w:pPr>
      <w:r w:rsidRPr="00E0309D">
        <w:rPr>
          <w:sz w:val="24"/>
          <w:szCs w:val="24"/>
        </w:rPr>
        <w:t>Der er ikke udført undersøgelser af reproduktionsevnen hos dyr med oxytocin. Baseret på den brede erfaring med dette stof, dets kemiske struktur og farmakologiske egenskaber, forventes det ikke at udgøre nogen risiko for fosterskader, når det anvendes ifølge indikationen.</w:t>
      </w:r>
    </w:p>
    <w:p w:rsidR="00E0309D" w:rsidRPr="00E0309D" w:rsidRDefault="00E0309D" w:rsidP="00E0309D">
      <w:pPr>
        <w:tabs>
          <w:tab w:val="left" w:pos="851"/>
        </w:tabs>
        <w:ind w:left="851"/>
        <w:rPr>
          <w:sz w:val="24"/>
          <w:szCs w:val="24"/>
        </w:rPr>
      </w:pPr>
    </w:p>
    <w:p w:rsidR="00E0309D" w:rsidRPr="00E0309D" w:rsidRDefault="00E0309D" w:rsidP="00E0309D">
      <w:pPr>
        <w:tabs>
          <w:tab w:val="left" w:pos="851"/>
        </w:tabs>
        <w:ind w:left="851"/>
        <w:rPr>
          <w:sz w:val="24"/>
          <w:szCs w:val="24"/>
          <w:u w:val="single"/>
        </w:rPr>
      </w:pPr>
      <w:r w:rsidRPr="00E0309D">
        <w:rPr>
          <w:sz w:val="24"/>
          <w:szCs w:val="24"/>
          <w:u w:val="single"/>
        </w:rPr>
        <w:t>Amning</w:t>
      </w:r>
    </w:p>
    <w:p w:rsidR="00E0309D" w:rsidRPr="00E0309D" w:rsidRDefault="00E0309D" w:rsidP="00E0309D">
      <w:pPr>
        <w:tabs>
          <w:tab w:val="left" w:pos="851"/>
        </w:tabs>
        <w:ind w:left="851"/>
        <w:rPr>
          <w:sz w:val="24"/>
          <w:szCs w:val="24"/>
        </w:rPr>
      </w:pPr>
      <w:r w:rsidRPr="00E0309D">
        <w:rPr>
          <w:sz w:val="24"/>
          <w:szCs w:val="24"/>
        </w:rPr>
        <w:t>Oxytocin udskilles i modermælk i små mængder. Oxytocin forventes dog ikke at have skadelige virkninger hos den nyfødte, da det føres ind i mavetarmkanalen, hvor det hurtigt inaktiveres.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1B1C50">
        <w:rPr>
          <w:b/>
          <w:sz w:val="24"/>
          <w:szCs w:val="24"/>
        </w:rPr>
        <w:t>og</w:t>
      </w:r>
      <w:r w:rsidRPr="00C84483">
        <w:rPr>
          <w:b/>
          <w:sz w:val="24"/>
          <w:szCs w:val="24"/>
        </w:rPr>
        <w:t xml:space="preserve"> betjene maskiner</w:t>
      </w:r>
    </w:p>
    <w:p w:rsidR="00D8689C" w:rsidRDefault="00D8689C" w:rsidP="00D8689C">
      <w:pPr>
        <w:tabs>
          <w:tab w:val="left" w:pos="851"/>
        </w:tabs>
        <w:ind w:left="851"/>
        <w:rPr>
          <w:sz w:val="24"/>
          <w:szCs w:val="24"/>
        </w:rPr>
      </w:pPr>
      <w:r>
        <w:rPr>
          <w:sz w:val="24"/>
          <w:szCs w:val="24"/>
        </w:rPr>
        <w:t>Ikke mærkning.</w:t>
      </w:r>
    </w:p>
    <w:p w:rsidR="00D8689C" w:rsidRPr="00D8689C" w:rsidRDefault="00F0473C" w:rsidP="00D8689C">
      <w:pPr>
        <w:tabs>
          <w:tab w:val="left" w:pos="851"/>
        </w:tabs>
        <w:ind w:left="851"/>
        <w:rPr>
          <w:sz w:val="24"/>
          <w:szCs w:val="24"/>
        </w:rPr>
      </w:pPr>
      <w:r>
        <w:rPr>
          <w:sz w:val="24"/>
          <w:szCs w:val="24"/>
        </w:rPr>
        <w:t>Oxytocin "Orifarm"</w:t>
      </w:r>
      <w:r w:rsidR="00D8689C" w:rsidRPr="00D8689C">
        <w:rPr>
          <w:sz w:val="24"/>
          <w:szCs w:val="24"/>
        </w:rPr>
        <w:t xml:space="preserve"> kan fremkalde veer</w:t>
      </w:r>
      <w:r w:rsidR="00D8689C">
        <w:rPr>
          <w:sz w:val="24"/>
          <w:szCs w:val="24"/>
        </w:rPr>
        <w:t>. D</w:t>
      </w:r>
      <w:r w:rsidR="00D8689C" w:rsidRPr="00D8689C">
        <w:rPr>
          <w:sz w:val="24"/>
          <w:szCs w:val="24"/>
        </w:rPr>
        <w:t>erfor skal der udvises forsigtighed ved kørsel eller betjening af maskiner. Kvinder med uteruskontraktioner bør ikke køre bil eller betjene maskiner.</w:t>
      </w:r>
    </w:p>
    <w:p w:rsidR="00A304B8" w:rsidRDefault="00A304B8">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4C3505" w:rsidRPr="004C3505" w:rsidRDefault="004C3505" w:rsidP="004C3505">
      <w:pPr>
        <w:pStyle w:val="Sidehoved"/>
        <w:tabs>
          <w:tab w:val="left" w:pos="851"/>
        </w:tabs>
        <w:ind w:left="851"/>
        <w:rPr>
          <w:szCs w:val="24"/>
        </w:rPr>
      </w:pPr>
      <w:r w:rsidRPr="004C3505">
        <w:rPr>
          <w:szCs w:val="24"/>
        </w:rPr>
        <w:t>Når oxytocin anvendes som intravenøs infusion til igangsættelse eller stimulering af fødsel, kan administration ved for høje doser resultere i overstimulation af uterus, som kan foranledige føtal påvirkning, asfyksi og fosterdød, eller foranledige hypertoni, tetania, skader i blødt væv eller uterusruptur.</w:t>
      </w:r>
    </w:p>
    <w:p w:rsidR="004C3505" w:rsidRPr="004C3505" w:rsidRDefault="004C3505" w:rsidP="004C3505">
      <w:pPr>
        <w:pStyle w:val="Sidehoved"/>
        <w:tabs>
          <w:tab w:val="left" w:pos="851"/>
        </w:tabs>
        <w:ind w:left="851"/>
        <w:rPr>
          <w:szCs w:val="24"/>
        </w:rPr>
      </w:pPr>
    </w:p>
    <w:p w:rsidR="004C3505" w:rsidRPr="004C3505" w:rsidRDefault="004C3505" w:rsidP="004C3505">
      <w:pPr>
        <w:pStyle w:val="Sidehoved"/>
        <w:tabs>
          <w:tab w:val="left" w:pos="851"/>
        </w:tabs>
        <w:ind w:left="851"/>
        <w:rPr>
          <w:szCs w:val="24"/>
        </w:rPr>
      </w:pPr>
      <w:r w:rsidRPr="004C3505">
        <w:rPr>
          <w:szCs w:val="24"/>
        </w:rPr>
        <w:t>Vandforgiftning associeret med maternel og neonatal hyponatriæmi er blevet rapporteret i tilfælde, hvor høje doser oxytocin er blevet administreret sammen med store mængder ikke-elektrolytholdig væske over en længere periode (se pkt. 4.4).</w:t>
      </w:r>
    </w:p>
    <w:p w:rsidR="004C3505" w:rsidRPr="004C3505" w:rsidRDefault="004C3505" w:rsidP="004C3505">
      <w:pPr>
        <w:pStyle w:val="Sidehoved"/>
        <w:tabs>
          <w:tab w:val="left" w:pos="851"/>
        </w:tabs>
        <w:ind w:left="851"/>
        <w:rPr>
          <w:szCs w:val="24"/>
        </w:rPr>
      </w:pPr>
    </w:p>
    <w:p w:rsidR="004C3505" w:rsidRPr="004C3505" w:rsidRDefault="004C3505" w:rsidP="004C3505">
      <w:pPr>
        <w:pStyle w:val="Sidehoved"/>
        <w:tabs>
          <w:tab w:val="left" w:pos="851"/>
        </w:tabs>
        <w:ind w:left="851"/>
        <w:rPr>
          <w:szCs w:val="24"/>
        </w:rPr>
      </w:pPr>
      <w:r w:rsidRPr="004C3505">
        <w:rPr>
          <w:szCs w:val="24"/>
        </w:rPr>
        <w:t>Den kombinerede antidiuretiske effekt af oxytocin og intravenøs væskeadministration kan forårsage overhydrering, som kan føre til en hæmodynamisk form for akut pulmonært ødem uden hyponatriæmi (se pkt. 4.4).</w:t>
      </w:r>
    </w:p>
    <w:p w:rsidR="004C3505" w:rsidRPr="004C3505" w:rsidRDefault="004C3505" w:rsidP="004C3505">
      <w:pPr>
        <w:pStyle w:val="Sidehoved"/>
        <w:tabs>
          <w:tab w:val="left" w:pos="851"/>
        </w:tabs>
        <w:ind w:left="851"/>
        <w:rPr>
          <w:szCs w:val="24"/>
        </w:rPr>
      </w:pPr>
    </w:p>
    <w:p w:rsidR="004C3505" w:rsidRPr="004C3505" w:rsidRDefault="004C3505" w:rsidP="004C3505">
      <w:pPr>
        <w:pStyle w:val="Sidehoved"/>
        <w:tabs>
          <w:tab w:val="left" w:pos="851"/>
        </w:tabs>
        <w:ind w:left="851"/>
        <w:rPr>
          <w:szCs w:val="24"/>
        </w:rPr>
      </w:pPr>
      <w:r w:rsidRPr="004C3505">
        <w:rPr>
          <w:szCs w:val="24"/>
        </w:rPr>
        <w:t>Hurtig intravenøs bolusinjektion af oxytocin ved doser på adskillige milligram kan forårsage akut kortvarig hypotension ledsaget af rødme og refleks-takykardi (se pkt. 4.4). Disse hurtige hæmodynamiske ændringer kan resultere i myokardieiskæmi, specielt hos patienter med eksisterende kardiovaskulær sygdom. Hurtig intravenøs bolusinjektion af oxytocin i doser på adskillige gram kan også give anledning til forlængelse af QT-intervallet.</w:t>
      </w:r>
    </w:p>
    <w:p w:rsidR="004C3505" w:rsidRPr="004C3505" w:rsidRDefault="004C3505" w:rsidP="004C3505">
      <w:pPr>
        <w:pStyle w:val="Sidehoved"/>
        <w:tabs>
          <w:tab w:val="left" w:pos="851"/>
        </w:tabs>
        <w:ind w:left="851"/>
        <w:rPr>
          <w:szCs w:val="24"/>
        </w:rPr>
      </w:pPr>
    </w:p>
    <w:p w:rsidR="004C3505" w:rsidRPr="004C3505" w:rsidRDefault="004C3505" w:rsidP="004C3505">
      <w:pPr>
        <w:pStyle w:val="Sidehoved"/>
        <w:tabs>
          <w:tab w:val="left" w:pos="851"/>
        </w:tabs>
        <w:ind w:left="851"/>
        <w:rPr>
          <w:szCs w:val="24"/>
        </w:rPr>
      </w:pPr>
      <w:r w:rsidRPr="004C3505">
        <w:rPr>
          <w:szCs w:val="24"/>
        </w:rPr>
        <w:t>I sjældne tilfælde (dvs. incidensrate &lt; 0,0006) vil den farmakologiske vestimulering ved hjælp af uterotoniske stoffer, herunder oxytocin, øge risikoen for post partum dissemineret intravaskulær koagulation (DIC) (se pkt. 4.4).</w:t>
      </w:r>
    </w:p>
    <w:p w:rsidR="004C3505" w:rsidRPr="004C3505" w:rsidRDefault="004C3505" w:rsidP="004C3505">
      <w:pPr>
        <w:pStyle w:val="Sidehoved"/>
        <w:tabs>
          <w:tab w:val="left" w:pos="851"/>
        </w:tabs>
        <w:ind w:left="851"/>
        <w:rPr>
          <w:szCs w:val="24"/>
        </w:rPr>
      </w:pPr>
    </w:p>
    <w:p w:rsidR="004C3505" w:rsidRPr="004C3505" w:rsidRDefault="004C3505" w:rsidP="004C3505">
      <w:pPr>
        <w:pStyle w:val="Sidehoved"/>
        <w:tabs>
          <w:tab w:val="left" w:pos="851"/>
        </w:tabs>
        <w:ind w:left="851"/>
        <w:rPr>
          <w:szCs w:val="24"/>
        </w:rPr>
      </w:pPr>
      <w:r w:rsidRPr="004C3505">
        <w:rPr>
          <w:szCs w:val="24"/>
        </w:rPr>
        <w:t>Bivirkningerne er anført efter MedDRA systemorganklasse og MedDRA</w:t>
      </w:r>
      <w:r w:rsidRPr="004C3505">
        <w:rPr>
          <w:szCs w:val="24"/>
        </w:rPr>
        <w:noBreakHyphen/>
        <w:t xml:space="preserve">frekvenskonventionen: </w:t>
      </w:r>
      <w:r w:rsidR="00726D4E">
        <w:rPr>
          <w:szCs w:val="24"/>
        </w:rPr>
        <w:t>M</w:t>
      </w:r>
      <w:r w:rsidRPr="004C3505">
        <w:rPr>
          <w:szCs w:val="24"/>
        </w:rPr>
        <w:t>eget almindelig (≥1/10), almindelig (≥1/100 til </w:t>
      </w:r>
      <w:r w:rsidRPr="004C3505">
        <w:rPr>
          <w:szCs w:val="24"/>
        </w:rPr>
        <w:sym w:font="Symbol" w:char="F03C"/>
      </w:r>
      <w:r w:rsidRPr="004C3505">
        <w:rPr>
          <w:szCs w:val="24"/>
        </w:rPr>
        <w:t>1/10), ikke almindelig (≥1/1.000 til </w:t>
      </w:r>
      <w:r w:rsidRPr="004C3505">
        <w:rPr>
          <w:szCs w:val="24"/>
        </w:rPr>
        <w:sym w:font="Symbol" w:char="F03C"/>
      </w:r>
      <w:r w:rsidRPr="004C3505">
        <w:rPr>
          <w:szCs w:val="24"/>
        </w:rPr>
        <w:t>1/100), sjælden (≥1/10.000 til </w:t>
      </w:r>
      <w:r w:rsidRPr="004C3505">
        <w:rPr>
          <w:szCs w:val="24"/>
        </w:rPr>
        <w:sym w:font="Symbol" w:char="F03C"/>
      </w:r>
      <w:r w:rsidRPr="004C3505">
        <w:rPr>
          <w:szCs w:val="24"/>
        </w:rPr>
        <w:t>1/1.000), meget sjælden (&lt;1/10.000), herunder isolerede rapporter, ikke kendt (kan ikke estimeres ud fra forhåndenværende data).</w:t>
      </w:r>
    </w:p>
    <w:p w:rsidR="00FF6D9A" w:rsidRPr="004C3505" w:rsidRDefault="00FF6D9A" w:rsidP="004C3505">
      <w:pPr>
        <w:pStyle w:val="Sidehoved"/>
        <w:tabs>
          <w:tab w:val="left" w:pos="851"/>
        </w:tabs>
        <w:ind w:left="851"/>
        <w:rPr>
          <w:szCs w:val="24"/>
        </w:rPr>
      </w:pPr>
    </w:p>
    <w:p w:rsidR="004C3505" w:rsidRPr="004C3505" w:rsidRDefault="004C3505" w:rsidP="004C3505">
      <w:pPr>
        <w:pStyle w:val="Sidehoved"/>
        <w:tabs>
          <w:tab w:val="left" w:pos="851"/>
        </w:tabs>
        <w:ind w:left="851"/>
        <w:rPr>
          <w:szCs w:val="24"/>
        </w:rPr>
      </w:pPr>
      <w:r w:rsidRPr="004C3505">
        <w:rPr>
          <w:szCs w:val="24"/>
        </w:rPr>
        <w:t>Tabel 1: Bivirkninger hos moderen</w:t>
      </w:r>
    </w:p>
    <w:p w:rsidR="004C3505" w:rsidRPr="004C3505" w:rsidRDefault="004C3505" w:rsidP="004C3505">
      <w:pPr>
        <w:pStyle w:val="Sidehoved"/>
        <w:tabs>
          <w:tab w:val="left" w:pos="851"/>
        </w:tabs>
        <w:ind w:left="851"/>
        <w:rPr>
          <w:szCs w:val="24"/>
        </w:rPr>
      </w:pPr>
    </w:p>
    <w:tbl>
      <w:tblPr>
        <w:tblW w:w="87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3"/>
        <w:gridCol w:w="4278"/>
      </w:tblGrid>
      <w:tr w:rsidR="004C3505" w:rsidRPr="004C3505" w:rsidTr="004C3505">
        <w:trPr>
          <w:trHeight w:val="343"/>
        </w:trPr>
        <w:tc>
          <w:tcPr>
            <w:tcW w:w="4443" w:type="dxa"/>
          </w:tcPr>
          <w:p w:rsidR="004C3505" w:rsidRPr="004C3505" w:rsidRDefault="004C3505" w:rsidP="004C3505">
            <w:pPr>
              <w:pStyle w:val="Sidehoved"/>
              <w:ind w:left="67"/>
              <w:rPr>
                <w:szCs w:val="24"/>
              </w:rPr>
            </w:pPr>
            <w:r w:rsidRPr="004C3505">
              <w:rPr>
                <w:szCs w:val="24"/>
              </w:rPr>
              <w:t>Systemorganklasse</w:t>
            </w:r>
          </w:p>
        </w:tc>
        <w:tc>
          <w:tcPr>
            <w:tcW w:w="4278" w:type="dxa"/>
          </w:tcPr>
          <w:p w:rsidR="004C3505" w:rsidRPr="004C3505" w:rsidRDefault="004C3505" w:rsidP="004C3505">
            <w:pPr>
              <w:pStyle w:val="Sidehoved"/>
              <w:ind w:left="160"/>
              <w:rPr>
                <w:szCs w:val="24"/>
              </w:rPr>
            </w:pPr>
            <w:r w:rsidRPr="004C3505">
              <w:rPr>
                <w:szCs w:val="24"/>
              </w:rPr>
              <w:t>Bivirkning</w:t>
            </w:r>
          </w:p>
        </w:tc>
      </w:tr>
      <w:tr w:rsidR="004C3505" w:rsidRPr="004C3505" w:rsidTr="004C3505">
        <w:trPr>
          <w:trHeight w:val="343"/>
        </w:trPr>
        <w:tc>
          <w:tcPr>
            <w:tcW w:w="4443" w:type="dxa"/>
          </w:tcPr>
          <w:p w:rsidR="004C3505" w:rsidRPr="004C3505" w:rsidRDefault="004C3505" w:rsidP="004C3505">
            <w:pPr>
              <w:pStyle w:val="Sidehoved"/>
              <w:ind w:left="67"/>
              <w:rPr>
                <w:b/>
                <w:szCs w:val="24"/>
              </w:rPr>
            </w:pPr>
            <w:r w:rsidRPr="004C3505">
              <w:rPr>
                <w:b/>
                <w:szCs w:val="24"/>
              </w:rPr>
              <w:t>Blod og lymfesystem</w:t>
            </w:r>
          </w:p>
          <w:p w:rsidR="004C3505" w:rsidRPr="004C3505" w:rsidRDefault="004C3505" w:rsidP="004C3505">
            <w:pPr>
              <w:pStyle w:val="Sidehoved"/>
              <w:ind w:left="67"/>
              <w:rPr>
                <w:szCs w:val="24"/>
              </w:rPr>
            </w:pPr>
            <w:r w:rsidRPr="004C3505">
              <w:rPr>
                <w:szCs w:val="24"/>
              </w:rPr>
              <w:t>Ikke kendt</w:t>
            </w:r>
          </w:p>
        </w:tc>
        <w:tc>
          <w:tcPr>
            <w:tcW w:w="4278" w:type="dxa"/>
          </w:tcPr>
          <w:p w:rsidR="004C3505" w:rsidRPr="004C3505" w:rsidRDefault="004C3505" w:rsidP="004C3505">
            <w:pPr>
              <w:pStyle w:val="Sidehoved"/>
              <w:ind w:left="160"/>
              <w:rPr>
                <w:szCs w:val="24"/>
              </w:rPr>
            </w:pPr>
          </w:p>
          <w:p w:rsidR="004C3505" w:rsidRPr="004C3505" w:rsidRDefault="004C3505" w:rsidP="004C3505">
            <w:pPr>
              <w:pStyle w:val="Sidehoved"/>
              <w:ind w:left="160"/>
              <w:rPr>
                <w:szCs w:val="24"/>
              </w:rPr>
            </w:pPr>
            <w:r w:rsidRPr="004C3505">
              <w:rPr>
                <w:szCs w:val="24"/>
              </w:rPr>
              <w:t>Dissemineret intravaskulær koagulation</w:t>
            </w:r>
          </w:p>
        </w:tc>
      </w:tr>
      <w:tr w:rsidR="004C3505" w:rsidRPr="004C3505" w:rsidTr="004C3505">
        <w:trPr>
          <w:trHeight w:val="343"/>
        </w:trPr>
        <w:tc>
          <w:tcPr>
            <w:tcW w:w="4443" w:type="dxa"/>
          </w:tcPr>
          <w:p w:rsidR="004C3505" w:rsidRPr="004C3505" w:rsidRDefault="004C3505" w:rsidP="004C3505">
            <w:pPr>
              <w:pStyle w:val="Sidehoved"/>
              <w:ind w:left="67"/>
              <w:rPr>
                <w:b/>
                <w:szCs w:val="24"/>
              </w:rPr>
            </w:pPr>
            <w:r w:rsidRPr="004C3505">
              <w:rPr>
                <w:b/>
                <w:szCs w:val="24"/>
              </w:rPr>
              <w:t>Immunsystemet</w:t>
            </w:r>
          </w:p>
          <w:p w:rsidR="004C3505" w:rsidRPr="004C3505" w:rsidRDefault="004C3505" w:rsidP="004C3505">
            <w:pPr>
              <w:pStyle w:val="Sidehoved"/>
              <w:ind w:left="67"/>
              <w:rPr>
                <w:b/>
                <w:szCs w:val="24"/>
              </w:rPr>
            </w:pPr>
            <w:r w:rsidRPr="004C3505">
              <w:rPr>
                <w:szCs w:val="24"/>
              </w:rPr>
              <w:t>Sjælden</w:t>
            </w:r>
          </w:p>
        </w:tc>
        <w:tc>
          <w:tcPr>
            <w:tcW w:w="4278" w:type="dxa"/>
          </w:tcPr>
          <w:p w:rsidR="004C3505" w:rsidRPr="004C3505" w:rsidRDefault="004C3505" w:rsidP="004C3505">
            <w:pPr>
              <w:pStyle w:val="Sidehoved"/>
              <w:ind w:left="160"/>
              <w:rPr>
                <w:szCs w:val="24"/>
              </w:rPr>
            </w:pPr>
          </w:p>
          <w:p w:rsidR="004C3505" w:rsidRPr="004C3505" w:rsidRDefault="005D11D5" w:rsidP="004C3505">
            <w:pPr>
              <w:pStyle w:val="Sidehoved"/>
              <w:ind w:left="160"/>
              <w:rPr>
                <w:szCs w:val="24"/>
              </w:rPr>
            </w:pPr>
            <w:r w:rsidRPr="004C3505">
              <w:rPr>
                <w:szCs w:val="24"/>
              </w:rPr>
              <w:t>Anafylaktisk</w:t>
            </w:r>
            <w:r>
              <w:rPr>
                <w:szCs w:val="23"/>
              </w:rPr>
              <w:t>/anafylaktoid</w:t>
            </w:r>
            <w:r w:rsidRPr="004C3505">
              <w:rPr>
                <w:szCs w:val="24"/>
              </w:rPr>
              <w:t xml:space="preserve"> reaktion associeret med dyspnø</w:t>
            </w:r>
            <w:r>
              <w:rPr>
                <w:szCs w:val="24"/>
              </w:rPr>
              <w:t xml:space="preserve"> og</w:t>
            </w:r>
            <w:r w:rsidRPr="004C3505">
              <w:rPr>
                <w:szCs w:val="24"/>
              </w:rPr>
              <w:t xml:space="preserve"> hypotension</w:t>
            </w:r>
            <w:r>
              <w:rPr>
                <w:szCs w:val="24"/>
              </w:rPr>
              <w:t>;</w:t>
            </w:r>
            <w:r w:rsidRPr="004C3505">
              <w:rPr>
                <w:szCs w:val="24"/>
              </w:rPr>
              <w:t xml:space="preserve"> </w:t>
            </w:r>
            <w:r>
              <w:rPr>
                <w:szCs w:val="24"/>
              </w:rPr>
              <w:t xml:space="preserve">anafylaktisk/anafylaktoid </w:t>
            </w:r>
            <w:r w:rsidRPr="004C3505">
              <w:rPr>
                <w:szCs w:val="24"/>
              </w:rPr>
              <w:t>shock</w:t>
            </w:r>
          </w:p>
        </w:tc>
      </w:tr>
      <w:tr w:rsidR="004C3505" w:rsidRPr="004C3505" w:rsidTr="004C3505">
        <w:trPr>
          <w:trHeight w:val="343"/>
        </w:trPr>
        <w:tc>
          <w:tcPr>
            <w:tcW w:w="4443" w:type="dxa"/>
            <w:tcBorders>
              <w:bottom w:val="single" w:sz="4" w:space="0" w:color="auto"/>
            </w:tcBorders>
          </w:tcPr>
          <w:p w:rsidR="004C3505" w:rsidRPr="004C3505" w:rsidRDefault="004C3505" w:rsidP="004C3505">
            <w:pPr>
              <w:pStyle w:val="Sidehoved"/>
              <w:ind w:left="67"/>
              <w:rPr>
                <w:b/>
                <w:szCs w:val="24"/>
              </w:rPr>
            </w:pPr>
            <w:r w:rsidRPr="004C3505">
              <w:rPr>
                <w:b/>
                <w:szCs w:val="24"/>
              </w:rPr>
              <w:t>Metabolisme og ernæring</w:t>
            </w:r>
          </w:p>
          <w:p w:rsidR="004C3505" w:rsidRPr="004C3505" w:rsidRDefault="004C3505" w:rsidP="004C3505">
            <w:pPr>
              <w:pStyle w:val="Sidehoved"/>
              <w:ind w:left="67"/>
              <w:rPr>
                <w:b/>
                <w:szCs w:val="24"/>
              </w:rPr>
            </w:pPr>
            <w:r w:rsidRPr="004C3505">
              <w:rPr>
                <w:szCs w:val="24"/>
              </w:rPr>
              <w:t>Ikke kendt</w:t>
            </w:r>
          </w:p>
        </w:tc>
        <w:tc>
          <w:tcPr>
            <w:tcW w:w="4278" w:type="dxa"/>
            <w:tcBorders>
              <w:bottom w:val="single" w:sz="4" w:space="0" w:color="auto"/>
            </w:tcBorders>
          </w:tcPr>
          <w:p w:rsidR="004C3505" w:rsidRPr="004C3505" w:rsidRDefault="004C3505" w:rsidP="004C3505">
            <w:pPr>
              <w:pStyle w:val="Sidehoved"/>
              <w:ind w:left="160"/>
              <w:rPr>
                <w:szCs w:val="24"/>
              </w:rPr>
            </w:pPr>
          </w:p>
          <w:p w:rsidR="004C3505" w:rsidRPr="004C3505" w:rsidDel="002E1368" w:rsidRDefault="004C3505" w:rsidP="004C3505">
            <w:pPr>
              <w:pStyle w:val="Sidehoved"/>
              <w:ind w:left="160"/>
              <w:rPr>
                <w:szCs w:val="24"/>
                <w:u w:val="single"/>
              </w:rPr>
            </w:pPr>
            <w:r w:rsidRPr="004C3505">
              <w:rPr>
                <w:szCs w:val="24"/>
              </w:rPr>
              <w:t>Vandforgiftning, hyponatriæmi</w:t>
            </w:r>
          </w:p>
        </w:tc>
      </w:tr>
      <w:tr w:rsidR="004C3505" w:rsidRPr="004C3505" w:rsidTr="004C3505">
        <w:trPr>
          <w:trHeight w:val="343"/>
        </w:trPr>
        <w:tc>
          <w:tcPr>
            <w:tcW w:w="4443" w:type="dxa"/>
            <w:tcBorders>
              <w:bottom w:val="single" w:sz="4" w:space="0" w:color="auto"/>
            </w:tcBorders>
          </w:tcPr>
          <w:p w:rsidR="004C3505" w:rsidRPr="004C3505" w:rsidRDefault="004C3505" w:rsidP="004C3505">
            <w:pPr>
              <w:pStyle w:val="Sidehoved"/>
              <w:ind w:left="67"/>
              <w:rPr>
                <w:b/>
                <w:szCs w:val="24"/>
              </w:rPr>
            </w:pPr>
            <w:r w:rsidRPr="004C3505">
              <w:rPr>
                <w:b/>
                <w:szCs w:val="24"/>
              </w:rPr>
              <w:t>Nervesystemet</w:t>
            </w:r>
          </w:p>
          <w:p w:rsidR="004C3505" w:rsidRPr="004C3505" w:rsidRDefault="004C3505" w:rsidP="004C3505">
            <w:pPr>
              <w:pStyle w:val="Sidehoved"/>
              <w:ind w:left="67"/>
              <w:rPr>
                <w:szCs w:val="24"/>
              </w:rPr>
            </w:pPr>
            <w:r w:rsidRPr="004C3505">
              <w:rPr>
                <w:szCs w:val="24"/>
              </w:rPr>
              <w:t>Almindelig</w:t>
            </w:r>
          </w:p>
        </w:tc>
        <w:tc>
          <w:tcPr>
            <w:tcW w:w="4278" w:type="dxa"/>
            <w:tcBorders>
              <w:bottom w:val="single" w:sz="4" w:space="0" w:color="auto"/>
            </w:tcBorders>
          </w:tcPr>
          <w:p w:rsidR="004C3505" w:rsidRPr="004C3505" w:rsidRDefault="004C3505" w:rsidP="004C3505">
            <w:pPr>
              <w:pStyle w:val="Sidehoved"/>
              <w:ind w:left="160"/>
              <w:rPr>
                <w:szCs w:val="24"/>
                <w:u w:val="single"/>
              </w:rPr>
            </w:pPr>
          </w:p>
          <w:p w:rsidR="004C3505" w:rsidRPr="004C3505" w:rsidRDefault="004C3505" w:rsidP="004C3505">
            <w:pPr>
              <w:pStyle w:val="Sidehoved"/>
              <w:ind w:left="160"/>
              <w:rPr>
                <w:szCs w:val="24"/>
              </w:rPr>
            </w:pPr>
            <w:r w:rsidRPr="004C3505">
              <w:rPr>
                <w:szCs w:val="24"/>
              </w:rPr>
              <w:t>Hovedpine</w:t>
            </w:r>
          </w:p>
        </w:tc>
      </w:tr>
      <w:tr w:rsidR="004C3505" w:rsidRPr="004C3505" w:rsidTr="004C3505">
        <w:trPr>
          <w:trHeight w:val="343"/>
        </w:trPr>
        <w:tc>
          <w:tcPr>
            <w:tcW w:w="4443" w:type="dxa"/>
            <w:tcBorders>
              <w:bottom w:val="single" w:sz="4" w:space="0" w:color="auto"/>
            </w:tcBorders>
          </w:tcPr>
          <w:p w:rsidR="004C3505" w:rsidRPr="004C3505" w:rsidRDefault="004C3505" w:rsidP="004C3505">
            <w:pPr>
              <w:pStyle w:val="Sidehoved"/>
              <w:ind w:left="67"/>
              <w:rPr>
                <w:b/>
                <w:szCs w:val="24"/>
              </w:rPr>
            </w:pPr>
            <w:r w:rsidRPr="004C3505">
              <w:rPr>
                <w:b/>
                <w:szCs w:val="24"/>
              </w:rPr>
              <w:t>Hjerte</w:t>
            </w:r>
          </w:p>
          <w:p w:rsidR="004C3505" w:rsidRPr="004C3505" w:rsidRDefault="004C3505" w:rsidP="004C3505">
            <w:pPr>
              <w:pStyle w:val="Sidehoved"/>
              <w:ind w:left="67"/>
              <w:rPr>
                <w:szCs w:val="24"/>
              </w:rPr>
            </w:pPr>
            <w:r w:rsidRPr="004C3505">
              <w:rPr>
                <w:szCs w:val="24"/>
              </w:rPr>
              <w:t>Almindelig</w:t>
            </w:r>
          </w:p>
          <w:p w:rsidR="004C3505" w:rsidRPr="004C3505" w:rsidRDefault="004C3505" w:rsidP="004C3505">
            <w:pPr>
              <w:pStyle w:val="Sidehoved"/>
              <w:ind w:left="67"/>
              <w:rPr>
                <w:b/>
                <w:szCs w:val="24"/>
              </w:rPr>
            </w:pPr>
            <w:r w:rsidRPr="004C3505">
              <w:rPr>
                <w:szCs w:val="24"/>
              </w:rPr>
              <w:t>Ikke almindelig</w:t>
            </w:r>
          </w:p>
          <w:p w:rsidR="004C3505" w:rsidRPr="004C3505" w:rsidRDefault="004C3505" w:rsidP="004C3505">
            <w:pPr>
              <w:pStyle w:val="Sidehoved"/>
              <w:ind w:left="67"/>
              <w:rPr>
                <w:b/>
                <w:szCs w:val="24"/>
              </w:rPr>
            </w:pPr>
            <w:r w:rsidRPr="004C3505">
              <w:rPr>
                <w:szCs w:val="24"/>
              </w:rPr>
              <w:t>Ikke kendt</w:t>
            </w:r>
          </w:p>
        </w:tc>
        <w:tc>
          <w:tcPr>
            <w:tcW w:w="4278" w:type="dxa"/>
            <w:tcBorders>
              <w:bottom w:val="single" w:sz="4" w:space="0" w:color="auto"/>
            </w:tcBorders>
          </w:tcPr>
          <w:p w:rsidR="004C3505" w:rsidRPr="004C3505" w:rsidRDefault="004C3505" w:rsidP="004C3505">
            <w:pPr>
              <w:pStyle w:val="Sidehoved"/>
              <w:ind w:left="160"/>
              <w:rPr>
                <w:szCs w:val="24"/>
                <w:u w:val="single"/>
              </w:rPr>
            </w:pPr>
          </w:p>
          <w:p w:rsidR="004C3505" w:rsidRPr="004C3505" w:rsidRDefault="004C3505" w:rsidP="004C3505">
            <w:pPr>
              <w:pStyle w:val="Sidehoved"/>
              <w:ind w:left="160"/>
              <w:rPr>
                <w:szCs w:val="24"/>
              </w:rPr>
            </w:pPr>
            <w:r w:rsidRPr="004C3505">
              <w:rPr>
                <w:szCs w:val="24"/>
              </w:rPr>
              <w:t>Takykardi, bradykardi</w:t>
            </w:r>
          </w:p>
          <w:p w:rsidR="004C3505" w:rsidRPr="004C3505" w:rsidRDefault="004C3505" w:rsidP="004C3505">
            <w:pPr>
              <w:pStyle w:val="Sidehoved"/>
              <w:ind w:left="160"/>
              <w:rPr>
                <w:szCs w:val="24"/>
              </w:rPr>
            </w:pPr>
            <w:r w:rsidRPr="004C3505">
              <w:rPr>
                <w:szCs w:val="24"/>
              </w:rPr>
              <w:t>Arytmi</w:t>
            </w:r>
          </w:p>
          <w:p w:rsidR="004C3505" w:rsidRPr="004C3505" w:rsidRDefault="004C3505" w:rsidP="004C3505">
            <w:pPr>
              <w:pStyle w:val="Sidehoved"/>
              <w:ind w:left="160"/>
              <w:rPr>
                <w:szCs w:val="24"/>
                <w:u w:val="single"/>
              </w:rPr>
            </w:pPr>
            <w:r w:rsidRPr="004C3505">
              <w:rPr>
                <w:szCs w:val="24"/>
              </w:rPr>
              <w:t xml:space="preserve">Myokardieiskæmi, </w:t>
            </w:r>
            <w:r w:rsidR="005D11D5">
              <w:t>electrokardiogram</w:t>
            </w:r>
            <w:r w:rsidR="005D11D5" w:rsidRPr="004C3505">
              <w:rPr>
                <w:szCs w:val="24"/>
              </w:rPr>
              <w:t xml:space="preserve"> </w:t>
            </w:r>
            <w:r w:rsidRPr="004C3505">
              <w:rPr>
                <w:szCs w:val="24"/>
              </w:rPr>
              <w:t>QTc-forlængelse</w:t>
            </w:r>
          </w:p>
        </w:tc>
      </w:tr>
      <w:tr w:rsidR="004C3505" w:rsidRPr="004C3505" w:rsidTr="004C3505">
        <w:trPr>
          <w:trHeight w:val="343"/>
        </w:trPr>
        <w:tc>
          <w:tcPr>
            <w:tcW w:w="4443" w:type="dxa"/>
            <w:tcBorders>
              <w:bottom w:val="single" w:sz="4" w:space="0" w:color="auto"/>
            </w:tcBorders>
          </w:tcPr>
          <w:p w:rsidR="004C3505" w:rsidRPr="004C3505" w:rsidRDefault="004C3505" w:rsidP="004C3505">
            <w:pPr>
              <w:pStyle w:val="Sidehoved"/>
              <w:ind w:left="67"/>
              <w:rPr>
                <w:b/>
                <w:szCs w:val="24"/>
              </w:rPr>
            </w:pPr>
            <w:r w:rsidRPr="004C3505">
              <w:rPr>
                <w:b/>
                <w:szCs w:val="24"/>
              </w:rPr>
              <w:lastRenderedPageBreak/>
              <w:t>Luftveje, thorax og mediastinum</w:t>
            </w:r>
          </w:p>
          <w:p w:rsidR="004C3505" w:rsidRPr="004C3505" w:rsidRDefault="004C3505" w:rsidP="004C3505">
            <w:pPr>
              <w:pStyle w:val="Sidehoved"/>
              <w:ind w:left="67"/>
              <w:rPr>
                <w:b/>
                <w:szCs w:val="24"/>
              </w:rPr>
            </w:pPr>
            <w:r w:rsidRPr="004C3505">
              <w:rPr>
                <w:szCs w:val="24"/>
              </w:rPr>
              <w:t>Ikke kendt</w:t>
            </w:r>
          </w:p>
        </w:tc>
        <w:tc>
          <w:tcPr>
            <w:tcW w:w="4278" w:type="dxa"/>
            <w:tcBorders>
              <w:bottom w:val="single" w:sz="4" w:space="0" w:color="auto"/>
            </w:tcBorders>
          </w:tcPr>
          <w:p w:rsidR="004C3505" w:rsidRPr="004C3505" w:rsidRDefault="004C3505" w:rsidP="004C3505">
            <w:pPr>
              <w:pStyle w:val="Sidehoved"/>
              <w:ind w:left="160"/>
              <w:rPr>
                <w:szCs w:val="24"/>
              </w:rPr>
            </w:pPr>
          </w:p>
          <w:p w:rsidR="004C3505" w:rsidRPr="004C3505" w:rsidRDefault="004C3505" w:rsidP="004C3505">
            <w:pPr>
              <w:pStyle w:val="Sidehoved"/>
              <w:ind w:left="160"/>
              <w:rPr>
                <w:szCs w:val="24"/>
              </w:rPr>
            </w:pPr>
            <w:r w:rsidRPr="004C3505">
              <w:rPr>
                <w:szCs w:val="24"/>
              </w:rPr>
              <w:t>Akut pulmonært ødem</w:t>
            </w:r>
          </w:p>
        </w:tc>
      </w:tr>
      <w:tr w:rsidR="004C3505" w:rsidRPr="004C3505" w:rsidTr="004C3505">
        <w:trPr>
          <w:trHeight w:val="343"/>
        </w:trPr>
        <w:tc>
          <w:tcPr>
            <w:tcW w:w="4443" w:type="dxa"/>
            <w:tcBorders>
              <w:top w:val="single" w:sz="4" w:space="0" w:color="auto"/>
              <w:left w:val="single" w:sz="4" w:space="0" w:color="auto"/>
              <w:bottom w:val="single" w:sz="4" w:space="0" w:color="auto"/>
              <w:right w:val="single" w:sz="4" w:space="0" w:color="auto"/>
            </w:tcBorders>
          </w:tcPr>
          <w:p w:rsidR="004C3505" w:rsidRPr="004C3505" w:rsidRDefault="004C3505" w:rsidP="004C3505">
            <w:pPr>
              <w:pStyle w:val="Sidehoved"/>
              <w:ind w:left="67"/>
              <w:rPr>
                <w:b/>
                <w:szCs w:val="24"/>
              </w:rPr>
            </w:pPr>
            <w:r w:rsidRPr="004C3505">
              <w:rPr>
                <w:b/>
                <w:szCs w:val="24"/>
              </w:rPr>
              <w:t>Mave-tarm-kanalen</w:t>
            </w:r>
          </w:p>
          <w:p w:rsidR="004C3505" w:rsidRPr="004C3505" w:rsidRDefault="004C3505" w:rsidP="004C3505">
            <w:pPr>
              <w:pStyle w:val="Sidehoved"/>
              <w:ind w:left="67"/>
              <w:rPr>
                <w:szCs w:val="24"/>
              </w:rPr>
            </w:pPr>
            <w:r w:rsidRPr="004C3505">
              <w:rPr>
                <w:szCs w:val="24"/>
              </w:rPr>
              <w:t>Almindelig</w:t>
            </w:r>
          </w:p>
        </w:tc>
        <w:tc>
          <w:tcPr>
            <w:tcW w:w="4278" w:type="dxa"/>
            <w:tcBorders>
              <w:left w:val="single" w:sz="4" w:space="0" w:color="auto"/>
            </w:tcBorders>
          </w:tcPr>
          <w:p w:rsidR="004C3505" w:rsidRPr="004C3505" w:rsidRDefault="004C3505" w:rsidP="004C3505">
            <w:pPr>
              <w:pStyle w:val="Sidehoved"/>
              <w:ind w:left="160"/>
              <w:rPr>
                <w:szCs w:val="24"/>
              </w:rPr>
            </w:pPr>
          </w:p>
          <w:p w:rsidR="004C3505" w:rsidRPr="004C3505" w:rsidRDefault="004C3505" w:rsidP="004C3505">
            <w:pPr>
              <w:pStyle w:val="Sidehoved"/>
              <w:ind w:left="160"/>
              <w:rPr>
                <w:szCs w:val="24"/>
              </w:rPr>
            </w:pPr>
            <w:r w:rsidRPr="004C3505">
              <w:rPr>
                <w:szCs w:val="24"/>
              </w:rPr>
              <w:t>Kvalme, opkastning</w:t>
            </w:r>
          </w:p>
        </w:tc>
      </w:tr>
      <w:tr w:rsidR="004C3505" w:rsidRPr="004C3505" w:rsidTr="004C3505">
        <w:trPr>
          <w:trHeight w:val="343"/>
        </w:trPr>
        <w:tc>
          <w:tcPr>
            <w:tcW w:w="4443" w:type="dxa"/>
          </w:tcPr>
          <w:p w:rsidR="004C3505" w:rsidRPr="004C3505" w:rsidRDefault="004C3505" w:rsidP="004C3505">
            <w:pPr>
              <w:pStyle w:val="Sidehoved"/>
              <w:ind w:left="67"/>
              <w:rPr>
                <w:b/>
                <w:szCs w:val="24"/>
              </w:rPr>
            </w:pPr>
            <w:r w:rsidRPr="004C3505">
              <w:rPr>
                <w:b/>
                <w:szCs w:val="24"/>
              </w:rPr>
              <w:t>Hud og subkutane væv</w:t>
            </w:r>
          </w:p>
          <w:p w:rsidR="004C3505" w:rsidRDefault="004C3505" w:rsidP="004C3505">
            <w:pPr>
              <w:pStyle w:val="Sidehoved"/>
              <w:ind w:left="67"/>
              <w:rPr>
                <w:szCs w:val="24"/>
              </w:rPr>
            </w:pPr>
            <w:r w:rsidRPr="004C3505">
              <w:rPr>
                <w:szCs w:val="24"/>
              </w:rPr>
              <w:t>Sjælden</w:t>
            </w:r>
          </w:p>
          <w:p w:rsidR="00132AD3" w:rsidRPr="004C3505" w:rsidRDefault="00132AD3" w:rsidP="004C3505">
            <w:pPr>
              <w:pStyle w:val="Sidehoved"/>
              <w:ind w:left="67"/>
              <w:rPr>
                <w:szCs w:val="24"/>
              </w:rPr>
            </w:pPr>
            <w:r>
              <w:rPr>
                <w:szCs w:val="24"/>
              </w:rPr>
              <w:t>Ikke kendt</w:t>
            </w:r>
          </w:p>
        </w:tc>
        <w:tc>
          <w:tcPr>
            <w:tcW w:w="4278" w:type="dxa"/>
          </w:tcPr>
          <w:p w:rsidR="004C3505" w:rsidRPr="004C3505" w:rsidRDefault="004C3505" w:rsidP="004C3505">
            <w:pPr>
              <w:pStyle w:val="Sidehoved"/>
              <w:ind w:left="160"/>
              <w:rPr>
                <w:szCs w:val="24"/>
              </w:rPr>
            </w:pPr>
          </w:p>
          <w:p w:rsidR="00132AD3" w:rsidRDefault="004C3505" w:rsidP="004C3505">
            <w:pPr>
              <w:pStyle w:val="Sidehoved"/>
              <w:ind w:left="160"/>
              <w:rPr>
                <w:szCs w:val="24"/>
              </w:rPr>
            </w:pPr>
            <w:r w:rsidRPr="004C3505">
              <w:rPr>
                <w:szCs w:val="24"/>
              </w:rPr>
              <w:t>Udslæt</w:t>
            </w:r>
          </w:p>
          <w:p w:rsidR="004C3505" w:rsidRPr="004C3505" w:rsidRDefault="00132AD3" w:rsidP="004C3505">
            <w:pPr>
              <w:pStyle w:val="Sidehoved"/>
              <w:ind w:left="160"/>
              <w:rPr>
                <w:szCs w:val="24"/>
              </w:rPr>
            </w:pPr>
            <w:r>
              <w:rPr>
                <w:szCs w:val="24"/>
              </w:rPr>
              <w:t>Angioødem</w:t>
            </w:r>
          </w:p>
        </w:tc>
      </w:tr>
      <w:tr w:rsidR="004C3505" w:rsidRPr="004C3505" w:rsidTr="004C3505">
        <w:trPr>
          <w:trHeight w:val="343"/>
        </w:trPr>
        <w:tc>
          <w:tcPr>
            <w:tcW w:w="4443" w:type="dxa"/>
          </w:tcPr>
          <w:p w:rsidR="004C3505" w:rsidRPr="004C3505" w:rsidRDefault="004C3505" w:rsidP="004C3505">
            <w:pPr>
              <w:pStyle w:val="Sidehoved"/>
              <w:ind w:left="67"/>
              <w:rPr>
                <w:szCs w:val="24"/>
              </w:rPr>
            </w:pPr>
            <w:r w:rsidRPr="004C3505">
              <w:rPr>
                <w:b/>
                <w:szCs w:val="24"/>
              </w:rPr>
              <w:t>Graviditet, puerperium og den perinatale periode</w:t>
            </w:r>
          </w:p>
          <w:p w:rsidR="004C3505" w:rsidRPr="004C3505" w:rsidRDefault="004C3505" w:rsidP="004C3505">
            <w:pPr>
              <w:pStyle w:val="Sidehoved"/>
              <w:ind w:left="67"/>
              <w:rPr>
                <w:b/>
                <w:szCs w:val="24"/>
              </w:rPr>
            </w:pPr>
            <w:r w:rsidRPr="004C3505">
              <w:rPr>
                <w:szCs w:val="24"/>
              </w:rPr>
              <w:t>Ikke kendt</w:t>
            </w:r>
          </w:p>
        </w:tc>
        <w:tc>
          <w:tcPr>
            <w:tcW w:w="4278" w:type="dxa"/>
          </w:tcPr>
          <w:p w:rsidR="004C3505" w:rsidRPr="004C3505" w:rsidRDefault="004C3505" w:rsidP="004C3505">
            <w:pPr>
              <w:pStyle w:val="Sidehoved"/>
              <w:ind w:left="160"/>
              <w:rPr>
                <w:szCs w:val="24"/>
              </w:rPr>
            </w:pPr>
          </w:p>
          <w:p w:rsidR="004C3505" w:rsidRPr="004C3505" w:rsidRDefault="004C3505" w:rsidP="004C3505">
            <w:pPr>
              <w:pStyle w:val="Sidehoved"/>
              <w:ind w:left="160"/>
              <w:rPr>
                <w:szCs w:val="24"/>
              </w:rPr>
            </w:pPr>
          </w:p>
          <w:p w:rsidR="004C3505" w:rsidRPr="004C3505" w:rsidRDefault="004C3505" w:rsidP="004C3505">
            <w:pPr>
              <w:pStyle w:val="Sidehoved"/>
              <w:ind w:left="160"/>
              <w:rPr>
                <w:szCs w:val="24"/>
              </w:rPr>
            </w:pPr>
            <w:r w:rsidRPr="004C3505">
              <w:rPr>
                <w:szCs w:val="24"/>
              </w:rPr>
              <w:t>Uterin hypertonicitet, tetaniske kramper, ruptur af uterus</w:t>
            </w:r>
          </w:p>
        </w:tc>
      </w:tr>
      <w:tr w:rsidR="004C3505" w:rsidRPr="004C3505" w:rsidTr="004C3505">
        <w:trPr>
          <w:trHeight w:val="343"/>
        </w:trPr>
        <w:tc>
          <w:tcPr>
            <w:tcW w:w="4443" w:type="dxa"/>
            <w:tcBorders>
              <w:bottom w:val="single" w:sz="4" w:space="0" w:color="auto"/>
            </w:tcBorders>
          </w:tcPr>
          <w:p w:rsidR="004C3505" w:rsidRPr="004C3505" w:rsidRDefault="004C3505" w:rsidP="004C3505">
            <w:pPr>
              <w:pStyle w:val="Sidehoved"/>
              <w:ind w:left="67"/>
              <w:rPr>
                <w:b/>
                <w:szCs w:val="24"/>
              </w:rPr>
            </w:pPr>
            <w:r w:rsidRPr="004C3505">
              <w:rPr>
                <w:b/>
                <w:szCs w:val="24"/>
              </w:rPr>
              <w:t>Almene symptomer og reaktioner på administrationsstedet</w:t>
            </w:r>
          </w:p>
          <w:p w:rsidR="004C3505" w:rsidRPr="004C3505" w:rsidRDefault="004C3505" w:rsidP="004C3505">
            <w:pPr>
              <w:pStyle w:val="Sidehoved"/>
              <w:ind w:left="67"/>
              <w:rPr>
                <w:b/>
                <w:szCs w:val="24"/>
              </w:rPr>
            </w:pPr>
            <w:r w:rsidRPr="004C3505">
              <w:rPr>
                <w:szCs w:val="24"/>
              </w:rPr>
              <w:t>Ikke kendt</w:t>
            </w:r>
          </w:p>
        </w:tc>
        <w:tc>
          <w:tcPr>
            <w:tcW w:w="4278" w:type="dxa"/>
            <w:tcBorders>
              <w:bottom w:val="single" w:sz="4" w:space="0" w:color="auto"/>
            </w:tcBorders>
          </w:tcPr>
          <w:p w:rsidR="004C3505" w:rsidRPr="004C3505" w:rsidRDefault="004C3505" w:rsidP="004C3505">
            <w:pPr>
              <w:pStyle w:val="Sidehoved"/>
              <w:ind w:left="160"/>
              <w:rPr>
                <w:szCs w:val="24"/>
              </w:rPr>
            </w:pPr>
          </w:p>
          <w:p w:rsidR="004C3505" w:rsidRPr="004C3505" w:rsidRDefault="004C3505" w:rsidP="004C3505">
            <w:pPr>
              <w:pStyle w:val="Sidehoved"/>
              <w:ind w:left="160"/>
              <w:rPr>
                <w:szCs w:val="24"/>
              </w:rPr>
            </w:pPr>
          </w:p>
          <w:p w:rsidR="004C3505" w:rsidRPr="004C3505" w:rsidRDefault="004C3505" w:rsidP="004C3505">
            <w:pPr>
              <w:pStyle w:val="Sidehoved"/>
              <w:ind w:left="160"/>
              <w:rPr>
                <w:szCs w:val="24"/>
              </w:rPr>
            </w:pPr>
            <w:r w:rsidRPr="004C3505">
              <w:rPr>
                <w:szCs w:val="24"/>
              </w:rPr>
              <w:t>Rødme</w:t>
            </w:r>
          </w:p>
        </w:tc>
      </w:tr>
    </w:tbl>
    <w:p w:rsidR="004C3505" w:rsidRPr="004C3505" w:rsidRDefault="004C3505" w:rsidP="004C3505">
      <w:pPr>
        <w:pStyle w:val="Sidehoved"/>
        <w:tabs>
          <w:tab w:val="left" w:pos="851"/>
        </w:tabs>
        <w:ind w:left="851"/>
        <w:rPr>
          <w:szCs w:val="24"/>
        </w:rPr>
      </w:pPr>
    </w:p>
    <w:p w:rsidR="004C3505" w:rsidRPr="004C3505" w:rsidRDefault="004C3505" w:rsidP="004C3505">
      <w:pPr>
        <w:pStyle w:val="Sidehoved"/>
        <w:tabs>
          <w:tab w:val="left" w:pos="851"/>
        </w:tabs>
        <w:ind w:left="851"/>
        <w:rPr>
          <w:szCs w:val="24"/>
        </w:rPr>
      </w:pPr>
      <w:r w:rsidRPr="004C3505">
        <w:rPr>
          <w:szCs w:val="24"/>
        </w:rPr>
        <w:t>Tabel 2: Bivirkninger hos fostret/den nyfødte</w:t>
      </w:r>
    </w:p>
    <w:p w:rsidR="004C3505" w:rsidRPr="004C3505" w:rsidRDefault="004C3505" w:rsidP="004C3505">
      <w:pPr>
        <w:pStyle w:val="Sidehoved"/>
        <w:tabs>
          <w:tab w:val="left" w:pos="851"/>
        </w:tabs>
        <w:ind w:left="851"/>
        <w:rPr>
          <w:szCs w:val="24"/>
        </w:rPr>
      </w:pPr>
    </w:p>
    <w:tbl>
      <w:tblPr>
        <w:tblW w:w="87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43"/>
        <w:gridCol w:w="4278"/>
      </w:tblGrid>
      <w:tr w:rsidR="004C3505" w:rsidRPr="004C3505" w:rsidTr="004C3505">
        <w:trPr>
          <w:trHeight w:val="343"/>
        </w:trPr>
        <w:tc>
          <w:tcPr>
            <w:tcW w:w="4443" w:type="dxa"/>
          </w:tcPr>
          <w:p w:rsidR="004C3505" w:rsidRPr="004C3505" w:rsidRDefault="004C3505" w:rsidP="004C3505">
            <w:pPr>
              <w:pStyle w:val="Sidehoved"/>
              <w:ind w:left="72"/>
              <w:rPr>
                <w:szCs w:val="24"/>
              </w:rPr>
            </w:pPr>
            <w:r w:rsidRPr="004C3505">
              <w:rPr>
                <w:szCs w:val="24"/>
              </w:rPr>
              <w:t>Systemorganklasse</w:t>
            </w:r>
          </w:p>
        </w:tc>
        <w:tc>
          <w:tcPr>
            <w:tcW w:w="4278" w:type="dxa"/>
          </w:tcPr>
          <w:p w:rsidR="004C3505" w:rsidRPr="004C3505" w:rsidRDefault="004C3505" w:rsidP="004C3505">
            <w:pPr>
              <w:pStyle w:val="Sidehoved"/>
              <w:ind w:left="165"/>
              <w:rPr>
                <w:szCs w:val="24"/>
              </w:rPr>
            </w:pPr>
            <w:r w:rsidRPr="004C3505">
              <w:rPr>
                <w:szCs w:val="24"/>
              </w:rPr>
              <w:t>Bivirkning</w:t>
            </w:r>
          </w:p>
        </w:tc>
      </w:tr>
      <w:tr w:rsidR="004C3505" w:rsidRPr="004C3505" w:rsidTr="004C3505">
        <w:trPr>
          <w:trHeight w:val="343"/>
        </w:trPr>
        <w:tc>
          <w:tcPr>
            <w:tcW w:w="4443" w:type="dxa"/>
          </w:tcPr>
          <w:p w:rsidR="004C3505" w:rsidRPr="004C3505" w:rsidRDefault="004C3505" w:rsidP="004C3505">
            <w:pPr>
              <w:pStyle w:val="Sidehoved"/>
              <w:ind w:left="72"/>
              <w:rPr>
                <w:b/>
                <w:szCs w:val="24"/>
              </w:rPr>
            </w:pPr>
            <w:r w:rsidRPr="004C3505">
              <w:rPr>
                <w:b/>
                <w:szCs w:val="24"/>
              </w:rPr>
              <w:t>Graviditet, puerperium og den perinatale periode</w:t>
            </w:r>
          </w:p>
          <w:p w:rsidR="004C3505" w:rsidRPr="004C3505" w:rsidRDefault="004C3505" w:rsidP="004C3505">
            <w:pPr>
              <w:pStyle w:val="Sidehoved"/>
              <w:ind w:left="72"/>
              <w:rPr>
                <w:szCs w:val="24"/>
              </w:rPr>
            </w:pPr>
            <w:r w:rsidRPr="004C3505">
              <w:rPr>
                <w:szCs w:val="24"/>
              </w:rPr>
              <w:t>Ikke kendt</w:t>
            </w:r>
          </w:p>
        </w:tc>
        <w:tc>
          <w:tcPr>
            <w:tcW w:w="4278" w:type="dxa"/>
          </w:tcPr>
          <w:p w:rsidR="004C3505" w:rsidRPr="004C3505" w:rsidRDefault="004C3505" w:rsidP="004C3505">
            <w:pPr>
              <w:pStyle w:val="Sidehoved"/>
              <w:ind w:left="165"/>
              <w:rPr>
                <w:szCs w:val="24"/>
              </w:rPr>
            </w:pPr>
          </w:p>
          <w:p w:rsidR="004C3505" w:rsidRPr="004C3505" w:rsidRDefault="004C3505" w:rsidP="004C3505">
            <w:pPr>
              <w:pStyle w:val="Sidehoved"/>
              <w:ind w:left="165"/>
              <w:rPr>
                <w:szCs w:val="24"/>
              </w:rPr>
            </w:pPr>
          </w:p>
          <w:p w:rsidR="004C3505" w:rsidRPr="004C3505" w:rsidRDefault="004C3505" w:rsidP="004C3505">
            <w:pPr>
              <w:pStyle w:val="Sidehoved"/>
              <w:ind w:left="165"/>
              <w:rPr>
                <w:szCs w:val="24"/>
              </w:rPr>
            </w:pPr>
            <w:r w:rsidRPr="004C3505">
              <w:rPr>
                <w:szCs w:val="24"/>
              </w:rPr>
              <w:t>Føtal distress</w:t>
            </w:r>
            <w:r w:rsidR="00132AD3">
              <w:rPr>
                <w:szCs w:val="24"/>
              </w:rPr>
              <w:t xml:space="preserve"> syndrom</w:t>
            </w:r>
            <w:r w:rsidRPr="004C3505">
              <w:rPr>
                <w:szCs w:val="24"/>
              </w:rPr>
              <w:t>, asfyksi og død</w:t>
            </w:r>
          </w:p>
        </w:tc>
      </w:tr>
      <w:tr w:rsidR="004C3505" w:rsidRPr="004C3505" w:rsidTr="004C3505">
        <w:trPr>
          <w:trHeight w:val="343"/>
        </w:trPr>
        <w:tc>
          <w:tcPr>
            <w:tcW w:w="4443" w:type="dxa"/>
            <w:tcBorders>
              <w:bottom w:val="single" w:sz="4" w:space="0" w:color="auto"/>
            </w:tcBorders>
          </w:tcPr>
          <w:p w:rsidR="004C3505" w:rsidRPr="004C3505" w:rsidRDefault="004C3505" w:rsidP="004C3505">
            <w:pPr>
              <w:pStyle w:val="Sidehoved"/>
              <w:ind w:left="72"/>
              <w:rPr>
                <w:b/>
                <w:szCs w:val="24"/>
              </w:rPr>
            </w:pPr>
            <w:r w:rsidRPr="004C3505">
              <w:rPr>
                <w:b/>
                <w:szCs w:val="24"/>
              </w:rPr>
              <w:t>Metabolisme og ernæring</w:t>
            </w:r>
          </w:p>
          <w:p w:rsidR="004C3505" w:rsidRPr="004C3505" w:rsidRDefault="004C3505" w:rsidP="004C3505">
            <w:pPr>
              <w:pStyle w:val="Sidehoved"/>
              <w:ind w:left="72"/>
              <w:rPr>
                <w:szCs w:val="24"/>
              </w:rPr>
            </w:pPr>
            <w:r w:rsidRPr="004C3505">
              <w:rPr>
                <w:szCs w:val="24"/>
              </w:rPr>
              <w:t>Ikke kendt</w:t>
            </w:r>
          </w:p>
        </w:tc>
        <w:tc>
          <w:tcPr>
            <w:tcW w:w="4278" w:type="dxa"/>
            <w:tcBorders>
              <w:bottom w:val="single" w:sz="4" w:space="0" w:color="auto"/>
            </w:tcBorders>
          </w:tcPr>
          <w:p w:rsidR="004C3505" w:rsidRPr="004C3505" w:rsidRDefault="004C3505" w:rsidP="004C3505">
            <w:pPr>
              <w:pStyle w:val="Sidehoved"/>
              <w:ind w:left="165"/>
              <w:rPr>
                <w:szCs w:val="24"/>
              </w:rPr>
            </w:pPr>
          </w:p>
          <w:p w:rsidR="004C3505" w:rsidRPr="004C3505" w:rsidRDefault="004C3505" w:rsidP="004C3505">
            <w:pPr>
              <w:pStyle w:val="Sidehoved"/>
              <w:ind w:left="165"/>
              <w:rPr>
                <w:szCs w:val="24"/>
              </w:rPr>
            </w:pPr>
            <w:r w:rsidRPr="004C3505">
              <w:rPr>
                <w:szCs w:val="24"/>
              </w:rPr>
              <w:t>Neonatal hyponatriæmi</w:t>
            </w:r>
          </w:p>
        </w:tc>
      </w:tr>
    </w:tbl>
    <w:p w:rsidR="004C3505" w:rsidRPr="004C3505" w:rsidRDefault="004C3505" w:rsidP="004C3505">
      <w:pPr>
        <w:pStyle w:val="Sidehoved"/>
        <w:tabs>
          <w:tab w:val="left" w:pos="851"/>
        </w:tabs>
        <w:ind w:left="851"/>
        <w:rPr>
          <w:szCs w:val="24"/>
        </w:rPr>
      </w:pPr>
    </w:p>
    <w:p w:rsidR="004C3505" w:rsidRPr="004C3505" w:rsidRDefault="004C3505" w:rsidP="004C3505">
      <w:pPr>
        <w:pStyle w:val="Sidehoved"/>
        <w:tabs>
          <w:tab w:val="left" w:pos="851"/>
        </w:tabs>
        <w:ind w:left="851"/>
        <w:rPr>
          <w:szCs w:val="24"/>
          <w:u w:val="single"/>
        </w:rPr>
      </w:pPr>
      <w:r w:rsidRPr="004C3505">
        <w:rPr>
          <w:szCs w:val="24"/>
          <w:u w:val="single"/>
        </w:rPr>
        <w:t>Indberetning af formodede bivirkninger</w:t>
      </w:r>
    </w:p>
    <w:p w:rsidR="004C3505" w:rsidRPr="004C3505" w:rsidRDefault="004C3505" w:rsidP="004C3505">
      <w:pPr>
        <w:pStyle w:val="Sidehoved"/>
        <w:tabs>
          <w:tab w:val="left" w:pos="851"/>
        </w:tabs>
        <w:ind w:left="851"/>
        <w:rPr>
          <w:szCs w:val="24"/>
        </w:rPr>
      </w:pPr>
      <w:r w:rsidRPr="004C3505">
        <w:rPr>
          <w:szCs w:val="24"/>
        </w:rPr>
        <w:t xml:space="preserve">Når lægemidlet er godkendt, er indberetning af formodede bivirkninger vigtig. Det muliggør løbende overvågning af benefit/risk-forholdet for lægemidlet. </w:t>
      </w:r>
      <w:r w:rsidR="00132AD3">
        <w:rPr>
          <w:szCs w:val="24"/>
        </w:rPr>
        <w:t xml:space="preserve">Sundhedspersoner </w:t>
      </w:r>
      <w:r w:rsidRPr="004C3505">
        <w:rPr>
          <w:szCs w:val="24"/>
        </w:rPr>
        <w:t xml:space="preserve">anmodes om at indberette alle formodede bivirkninger via: </w:t>
      </w:r>
    </w:p>
    <w:p w:rsidR="004C3505" w:rsidRPr="004C3505" w:rsidRDefault="004C3505" w:rsidP="004C3505">
      <w:pPr>
        <w:pStyle w:val="Sidehoved"/>
        <w:tabs>
          <w:tab w:val="left" w:pos="851"/>
        </w:tabs>
        <w:ind w:left="851"/>
        <w:rPr>
          <w:szCs w:val="24"/>
        </w:rPr>
      </w:pPr>
    </w:p>
    <w:p w:rsidR="004C3505" w:rsidRPr="004C3505" w:rsidRDefault="004C3505" w:rsidP="004C3505">
      <w:pPr>
        <w:pStyle w:val="Sidehoved"/>
        <w:tabs>
          <w:tab w:val="left" w:pos="851"/>
        </w:tabs>
        <w:ind w:left="851"/>
        <w:rPr>
          <w:szCs w:val="24"/>
        </w:rPr>
      </w:pPr>
      <w:r w:rsidRPr="004C3505">
        <w:rPr>
          <w:szCs w:val="24"/>
        </w:rPr>
        <w:t>Lægemiddelstyrelsen</w:t>
      </w:r>
    </w:p>
    <w:p w:rsidR="004C3505" w:rsidRPr="004C3505" w:rsidRDefault="004C3505" w:rsidP="004C3505">
      <w:pPr>
        <w:pStyle w:val="Sidehoved"/>
        <w:tabs>
          <w:tab w:val="left" w:pos="851"/>
        </w:tabs>
        <w:ind w:left="851"/>
        <w:rPr>
          <w:szCs w:val="24"/>
        </w:rPr>
      </w:pPr>
      <w:r w:rsidRPr="004C3505">
        <w:rPr>
          <w:szCs w:val="24"/>
        </w:rPr>
        <w:t>Axel Heides Gade 1</w:t>
      </w:r>
    </w:p>
    <w:p w:rsidR="004C3505" w:rsidRPr="004C3505" w:rsidRDefault="004C3505" w:rsidP="004C3505">
      <w:pPr>
        <w:pStyle w:val="Sidehoved"/>
        <w:tabs>
          <w:tab w:val="left" w:pos="851"/>
        </w:tabs>
        <w:ind w:left="851"/>
        <w:rPr>
          <w:szCs w:val="24"/>
        </w:rPr>
      </w:pPr>
      <w:r w:rsidRPr="004C3505">
        <w:rPr>
          <w:szCs w:val="24"/>
        </w:rPr>
        <w:t>DK-2300 København S</w:t>
      </w:r>
    </w:p>
    <w:p w:rsidR="004C3505" w:rsidRPr="00726D4E" w:rsidRDefault="004C3505" w:rsidP="004C3505">
      <w:pPr>
        <w:pStyle w:val="Sidehoved"/>
        <w:tabs>
          <w:tab w:val="left" w:pos="851"/>
        </w:tabs>
        <w:ind w:left="851"/>
        <w:rPr>
          <w:szCs w:val="24"/>
        </w:rPr>
      </w:pPr>
      <w:r w:rsidRPr="00726D4E">
        <w:rPr>
          <w:szCs w:val="24"/>
        </w:rPr>
        <w:t>Websted: www.meldenbivirkning.dk</w:t>
      </w:r>
    </w:p>
    <w:p w:rsidR="009260DE" w:rsidRPr="00726D4E"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792801" w:rsidRDefault="00792801" w:rsidP="00792801">
      <w:pPr>
        <w:tabs>
          <w:tab w:val="left" w:pos="851"/>
        </w:tabs>
        <w:ind w:left="851"/>
        <w:rPr>
          <w:b/>
          <w:sz w:val="24"/>
          <w:szCs w:val="24"/>
        </w:rPr>
      </w:pPr>
    </w:p>
    <w:p w:rsidR="00792801" w:rsidRPr="00792801" w:rsidRDefault="00792801" w:rsidP="00792801">
      <w:pPr>
        <w:tabs>
          <w:tab w:val="left" w:pos="851"/>
        </w:tabs>
        <w:ind w:left="851"/>
        <w:rPr>
          <w:sz w:val="24"/>
          <w:szCs w:val="24"/>
          <w:u w:val="single"/>
        </w:rPr>
      </w:pPr>
      <w:r w:rsidRPr="00792801">
        <w:rPr>
          <w:sz w:val="24"/>
          <w:szCs w:val="24"/>
          <w:u w:val="single"/>
        </w:rPr>
        <w:t>Symptomer og konsekvenser</w:t>
      </w:r>
    </w:p>
    <w:p w:rsidR="00792801" w:rsidRPr="00F0473C" w:rsidRDefault="00792801" w:rsidP="00792801">
      <w:pPr>
        <w:tabs>
          <w:tab w:val="left" w:pos="851"/>
        </w:tabs>
        <w:ind w:left="851"/>
        <w:rPr>
          <w:sz w:val="24"/>
          <w:szCs w:val="24"/>
        </w:rPr>
      </w:pPr>
      <w:r w:rsidRPr="00792801">
        <w:rPr>
          <w:sz w:val="24"/>
          <w:szCs w:val="24"/>
        </w:rPr>
        <w:t xml:space="preserve">Symptomer og konsekvenser af overdosering er nævnt i pkt. 4.4 og pkt. 4.8. Derudover er rapporteret </w:t>
      </w:r>
      <w:r w:rsidR="00132AD3">
        <w:rPr>
          <w:sz w:val="24"/>
          <w:szCs w:val="24"/>
        </w:rPr>
        <w:t>abruptio placenta</w:t>
      </w:r>
      <w:r w:rsidR="00132AD3" w:rsidRPr="00792801">
        <w:rPr>
          <w:sz w:val="24"/>
          <w:szCs w:val="24"/>
        </w:rPr>
        <w:t xml:space="preserve"> og</w:t>
      </w:r>
      <w:r w:rsidRPr="00792801">
        <w:rPr>
          <w:sz w:val="24"/>
          <w:szCs w:val="24"/>
        </w:rPr>
        <w:t>/eller fostervandsemboli som konsekvens af overstimulation af uterus.</w:t>
      </w:r>
    </w:p>
    <w:p w:rsidR="00792801" w:rsidRPr="00792801" w:rsidRDefault="00792801" w:rsidP="00792801">
      <w:pPr>
        <w:tabs>
          <w:tab w:val="left" w:pos="851"/>
        </w:tabs>
        <w:ind w:left="851"/>
        <w:rPr>
          <w:sz w:val="24"/>
          <w:szCs w:val="24"/>
        </w:rPr>
      </w:pPr>
    </w:p>
    <w:p w:rsidR="00792801" w:rsidRPr="00792801" w:rsidRDefault="00792801" w:rsidP="00792801">
      <w:pPr>
        <w:tabs>
          <w:tab w:val="left" w:pos="851"/>
        </w:tabs>
        <w:ind w:left="851"/>
        <w:rPr>
          <w:sz w:val="24"/>
          <w:szCs w:val="24"/>
          <w:u w:val="single"/>
        </w:rPr>
      </w:pPr>
      <w:r w:rsidRPr="00792801">
        <w:rPr>
          <w:sz w:val="24"/>
          <w:szCs w:val="24"/>
          <w:u w:val="single"/>
        </w:rPr>
        <w:t>Behandling</w:t>
      </w:r>
    </w:p>
    <w:p w:rsidR="00792801" w:rsidRPr="00792801" w:rsidRDefault="00792801" w:rsidP="00792801">
      <w:pPr>
        <w:tabs>
          <w:tab w:val="left" w:pos="851"/>
        </w:tabs>
        <w:ind w:left="851"/>
        <w:rPr>
          <w:sz w:val="24"/>
          <w:szCs w:val="24"/>
        </w:rPr>
      </w:pPr>
      <w:r w:rsidRPr="00792801">
        <w:rPr>
          <w:sz w:val="24"/>
          <w:szCs w:val="24"/>
        </w:rPr>
        <w:t xml:space="preserve">Når der forekommer tegn eller symptomer på overdosering under kontinuerlig intravenøs administration af </w:t>
      </w:r>
      <w:r w:rsidR="00F0473C">
        <w:rPr>
          <w:sz w:val="24"/>
          <w:szCs w:val="24"/>
        </w:rPr>
        <w:t>Oxytocin "Orifarm"</w:t>
      </w:r>
      <w:r w:rsidRPr="00792801">
        <w:rPr>
          <w:sz w:val="24"/>
          <w:szCs w:val="24"/>
        </w:rPr>
        <w:t>, bør infusionen straks afbrydes, og der skal gives ilt til moderen. I tilfælde af vandforgiftning er det væsentligt at begrænse væskeindtag, fremme diuresen, korrigere ubalance i elektrolytter og behandle eventuelle kramper, f.eks. ved forsigtig brug af diazepam.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6A39FF"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FF6F32" w:rsidRPr="00B24DA3" w:rsidRDefault="00FF6F32" w:rsidP="00FF6F32">
      <w:pPr>
        <w:tabs>
          <w:tab w:val="left" w:pos="851"/>
        </w:tabs>
        <w:ind w:left="851"/>
        <w:rPr>
          <w:sz w:val="24"/>
          <w:szCs w:val="24"/>
        </w:rPr>
      </w:pPr>
      <w:r>
        <w:rPr>
          <w:sz w:val="24"/>
          <w:szCs w:val="24"/>
        </w:rPr>
        <w:t xml:space="preserve">Farmakoterapeutisk klassifikation: </w:t>
      </w:r>
      <w:r w:rsidRPr="00B24DA3">
        <w:rPr>
          <w:sz w:val="24"/>
          <w:szCs w:val="24"/>
        </w:rPr>
        <w:t>Oxytocin og analoger</w:t>
      </w:r>
      <w:r>
        <w:rPr>
          <w:sz w:val="24"/>
          <w:szCs w:val="24"/>
        </w:rPr>
        <w:t xml:space="preserve">, </w:t>
      </w:r>
      <w:r w:rsidRPr="00B24DA3">
        <w:rPr>
          <w:sz w:val="24"/>
          <w:szCs w:val="24"/>
        </w:rPr>
        <w:t>ATC-kode: H01BB02.</w:t>
      </w:r>
    </w:p>
    <w:p w:rsidR="00FF6F32" w:rsidRDefault="00FF6F32" w:rsidP="002836CE">
      <w:pPr>
        <w:tabs>
          <w:tab w:val="left" w:pos="851"/>
        </w:tabs>
        <w:ind w:left="851"/>
        <w:rPr>
          <w:sz w:val="24"/>
          <w:szCs w:val="24"/>
        </w:rPr>
      </w:pPr>
    </w:p>
    <w:p w:rsidR="002836CE" w:rsidRPr="002836CE" w:rsidRDefault="002836CE" w:rsidP="002836CE">
      <w:pPr>
        <w:tabs>
          <w:tab w:val="left" w:pos="851"/>
        </w:tabs>
        <w:ind w:left="851"/>
        <w:rPr>
          <w:sz w:val="24"/>
          <w:szCs w:val="24"/>
        </w:rPr>
      </w:pPr>
      <w:r w:rsidRPr="002836CE">
        <w:rPr>
          <w:sz w:val="24"/>
          <w:szCs w:val="24"/>
        </w:rPr>
        <w:t>Oxytocin er et cyklisk nonapeptid, der er identisk med det hormon, som udskilles af hypofysebaglappen. Oxytocin stimulerer den glatte muskulatur i uterus, specielt fra sidst i graviditeten, i vefasen og umiddelbart post partum. På disse tidspunkter er der et forhøjet antal oxytocinreceptorer i myometriet.</w:t>
      </w:r>
    </w:p>
    <w:p w:rsidR="002836CE" w:rsidRPr="002836CE" w:rsidRDefault="002836CE" w:rsidP="002836CE">
      <w:pPr>
        <w:tabs>
          <w:tab w:val="left" w:pos="851"/>
        </w:tabs>
        <w:ind w:left="851"/>
        <w:rPr>
          <w:sz w:val="24"/>
          <w:szCs w:val="24"/>
        </w:rPr>
      </w:pPr>
    </w:p>
    <w:p w:rsidR="002836CE" w:rsidRPr="002836CE" w:rsidRDefault="002836CE" w:rsidP="002836CE">
      <w:pPr>
        <w:tabs>
          <w:tab w:val="left" w:pos="851"/>
        </w:tabs>
        <w:ind w:left="851"/>
        <w:rPr>
          <w:sz w:val="24"/>
          <w:szCs w:val="24"/>
        </w:rPr>
      </w:pPr>
      <w:r w:rsidRPr="002836CE">
        <w:rPr>
          <w:sz w:val="24"/>
          <w:szCs w:val="24"/>
        </w:rPr>
        <w:t>Ved intravenøs infusion i små doser fremkalder oxytocin rytmiske sammentrækninger i øverste segment af uterus med samme hyppighed, styrke og varighed som svarer til dem, der ses under fødslen.</w:t>
      </w:r>
    </w:p>
    <w:p w:rsidR="002836CE" w:rsidRPr="002836CE" w:rsidRDefault="002836CE" w:rsidP="002836CE">
      <w:pPr>
        <w:tabs>
          <w:tab w:val="left" w:pos="851"/>
        </w:tabs>
        <w:ind w:left="851"/>
        <w:rPr>
          <w:sz w:val="24"/>
          <w:szCs w:val="24"/>
        </w:rPr>
      </w:pPr>
    </w:p>
    <w:p w:rsidR="002836CE" w:rsidRPr="002836CE" w:rsidRDefault="002836CE" w:rsidP="002836CE">
      <w:pPr>
        <w:tabs>
          <w:tab w:val="left" w:pos="851"/>
        </w:tabs>
        <w:ind w:left="851"/>
        <w:rPr>
          <w:sz w:val="24"/>
          <w:szCs w:val="24"/>
        </w:rPr>
      </w:pPr>
      <w:r w:rsidRPr="002836CE">
        <w:rPr>
          <w:sz w:val="24"/>
          <w:szCs w:val="24"/>
        </w:rPr>
        <w:t>Ud over virkningerne på livmoderen, trækker oxytocin myoepitelcellerne i mælkekirtlerne sammen, hvilket inducerer amning og dermed gør amningsprocessen lettere.</w:t>
      </w:r>
    </w:p>
    <w:p w:rsidR="002836CE" w:rsidRPr="002836CE" w:rsidRDefault="002836CE" w:rsidP="002836CE">
      <w:pPr>
        <w:tabs>
          <w:tab w:val="left" w:pos="851"/>
        </w:tabs>
        <w:ind w:left="851"/>
        <w:rPr>
          <w:sz w:val="24"/>
          <w:szCs w:val="24"/>
        </w:rPr>
      </w:pPr>
    </w:p>
    <w:p w:rsidR="002836CE" w:rsidRPr="002836CE" w:rsidRDefault="002836CE" w:rsidP="002836CE">
      <w:pPr>
        <w:tabs>
          <w:tab w:val="left" w:pos="851"/>
        </w:tabs>
        <w:ind w:left="851"/>
        <w:rPr>
          <w:sz w:val="24"/>
          <w:szCs w:val="24"/>
        </w:rPr>
      </w:pPr>
      <w:r w:rsidRPr="002836CE">
        <w:rPr>
          <w:sz w:val="24"/>
          <w:szCs w:val="24"/>
        </w:rPr>
        <w:t xml:space="preserve">Da </w:t>
      </w:r>
      <w:r w:rsidR="00F0473C">
        <w:rPr>
          <w:sz w:val="24"/>
          <w:szCs w:val="24"/>
        </w:rPr>
        <w:t>Oxytocin "Orifarm"</w:t>
      </w:r>
      <w:r w:rsidRPr="002836CE">
        <w:rPr>
          <w:sz w:val="24"/>
          <w:szCs w:val="24"/>
        </w:rPr>
        <w:t xml:space="preserve"> er syntetisk, indeholder oxytocinet ikke vasopressin. Men selv i dets rene form har oxytocin en vis, svag iboende vasopressinlignende antidiuretisk aktivitet.</w:t>
      </w:r>
    </w:p>
    <w:p w:rsidR="002836CE" w:rsidRPr="002836CE" w:rsidRDefault="002836CE" w:rsidP="002836CE">
      <w:pPr>
        <w:tabs>
          <w:tab w:val="left" w:pos="851"/>
        </w:tabs>
        <w:ind w:left="851"/>
        <w:rPr>
          <w:sz w:val="24"/>
          <w:szCs w:val="24"/>
        </w:rPr>
      </w:pPr>
    </w:p>
    <w:p w:rsidR="002836CE" w:rsidRPr="002836CE" w:rsidRDefault="002836CE" w:rsidP="002836CE">
      <w:pPr>
        <w:tabs>
          <w:tab w:val="left" w:pos="851"/>
        </w:tabs>
        <w:ind w:left="851"/>
        <w:rPr>
          <w:sz w:val="24"/>
          <w:szCs w:val="24"/>
        </w:rPr>
      </w:pPr>
      <w:r w:rsidRPr="002836CE">
        <w:rPr>
          <w:sz w:val="24"/>
          <w:szCs w:val="24"/>
        </w:rPr>
        <w:t>En farmakologisk virkning, der er set ved store doser af oxytocin, især når det gives som en hurtig intravenøs bolusinjektion, er en forbigående, direkte afslappende virkning på den vaskulære glatte muskulatur, hvilket kan resultere i akut kortvarig hypotension ledsaget af rødme og refleks-takykardi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BD5C7B" w:rsidRPr="00BD5C7B" w:rsidRDefault="00BD5C7B" w:rsidP="00BD5C7B">
      <w:pPr>
        <w:tabs>
          <w:tab w:val="left" w:pos="851"/>
        </w:tabs>
        <w:ind w:left="851"/>
        <w:rPr>
          <w:sz w:val="24"/>
          <w:szCs w:val="24"/>
        </w:rPr>
      </w:pPr>
    </w:p>
    <w:p w:rsidR="00BD5C7B" w:rsidRPr="00D13A11" w:rsidRDefault="00BD5C7B" w:rsidP="00BD5C7B">
      <w:pPr>
        <w:tabs>
          <w:tab w:val="left" w:pos="851"/>
        </w:tabs>
        <w:ind w:left="851"/>
        <w:rPr>
          <w:sz w:val="24"/>
          <w:szCs w:val="24"/>
          <w:u w:val="single"/>
        </w:rPr>
      </w:pPr>
      <w:r w:rsidRPr="00D13A11">
        <w:rPr>
          <w:sz w:val="24"/>
          <w:szCs w:val="24"/>
          <w:u w:val="single"/>
        </w:rPr>
        <w:t>Plasmaniveau og virkningens indtræden/varighed</w:t>
      </w:r>
    </w:p>
    <w:p w:rsidR="00D13A11" w:rsidRDefault="00D13A11" w:rsidP="00BD5C7B">
      <w:pPr>
        <w:tabs>
          <w:tab w:val="left" w:pos="851"/>
        </w:tabs>
        <w:ind w:left="851"/>
        <w:rPr>
          <w:i/>
          <w:sz w:val="24"/>
          <w:szCs w:val="24"/>
        </w:rPr>
      </w:pPr>
    </w:p>
    <w:p w:rsidR="00D13A11" w:rsidRDefault="00BD5C7B" w:rsidP="00BD5C7B">
      <w:pPr>
        <w:tabs>
          <w:tab w:val="left" w:pos="851"/>
        </w:tabs>
        <w:ind w:left="851"/>
        <w:rPr>
          <w:i/>
          <w:sz w:val="24"/>
          <w:szCs w:val="24"/>
        </w:rPr>
      </w:pPr>
      <w:r w:rsidRPr="00BD5C7B">
        <w:rPr>
          <w:i/>
          <w:sz w:val="24"/>
          <w:szCs w:val="24"/>
        </w:rPr>
        <w:t>Intravenøs infusion</w:t>
      </w:r>
    </w:p>
    <w:p w:rsidR="00BD5C7B" w:rsidRPr="00BD5C7B" w:rsidRDefault="00BD5C7B" w:rsidP="00BD5C7B">
      <w:pPr>
        <w:tabs>
          <w:tab w:val="left" w:pos="851"/>
        </w:tabs>
        <w:ind w:left="851"/>
        <w:rPr>
          <w:sz w:val="24"/>
          <w:szCs w:val="24"/>
        </w:rPr>
      </w:pPr>
      <w:r w:rsidRPr="00BD5C7B">
        <w:rPr>
          <w:sz w:val="24"/>
          <w:szCs w:val="24"/>
        </w:rPr>
        <w:t xml:space="preserve">Når </w:t>
      </w:r>
      <w:r w:rsidR="00F0473C">
        <w:rPr>
          <w:sz w:val="24"/>
          <w:szCs w:val="24"/>
        </w:rPr>
        <w:t>Oxytocin "Orifarm"</w:t>
      </w:r>
      <w:r w:rsidRPr="00BD5C7B">
        <w:rPr>
          <w:sz w:val="24"/>
          <w:szCs w:val="24"/>
        </w:rPr>
        <w:t xml:space="preserve"> gives ved kontinuerligt intravenøst infusion i doser, der er egnet til igangsætning eller stimulering af fødslen, indtræder den uterine virkning gradvist og når sædvanligvis steady</w:t>
      </w:r>
      <w:r w:rsidR="00F0473C">
        <w:rPr>
          <w:sz w:val="24"/>
          <w:szCs w:val="24"/>
        </w:rPr>
        <w:t>-</w:t>
      </w:r>
      <w:r w:rsidRPr="00BD5C7B">
        <w:rPr>
          <w:sz w:val="24"/>
          <w:szCs w:val="24"/>
        </w:rPr>
        <w:t>state inden for 20-40 minutter. De tilsvarende plasmakoncentrationer af oxytocin er sammenlignelige med dem, man observerer i starten af en spontan fødsel. For eksempel var plasmakoncentrationen af oxytocin hos 10 gravide kvinder, som fik 8 dråber/min intravenøs ved termin, 2 til 5 mikroenheder/ml. Ved seponering af infusionen eller efter en betydelig reduktion af infusionshastigheden, f.eks. i tilfælde af overstimulering, falder den uterine aktivitet hurtigt, men kan eventuelt fortsætte på et lavere niveau.</w:t>
      </w:r>
    </w:p>
    <w:p w:rsidR="00BD5C7B" w:rsidRPr="00BD5C7B" w:rsidRDefault="00BD5C7B" w:rsidP="00BD5C7B">
      <w:pPr>
        <w:tabs>
          <w:tab w:val="left" w:pos="851"/>
        </w:tabs>
        <w:ind w:left="851"/>
        <w:rPr>
          <w:sz w:val="24"/>
          <w:szCs w:val="24"/>
        </w:rPr>
      </w:pPr>
    </w:p>
    <w:p w:rsidR="008D5FCF" w:rsidRDefault="008D5FCF" w:rsidP="008D5FCF">
      <w:pPr>
        <w:tabs>
          <w:tab w:val="left" w:pos="851"/>
        </w:tabs>
        <w:ind w:left="851"/>
        <w:rPr>
          <w:sz w:val="24"/>
          <w:szCs w:val="24"/>
        </w:rPr>
      </w:pPr>
      <w:r>
        <w:rPr>
          <w:i/>
          <w:sz w:val="24"/>
          <w:szCs w:val="24"/>
        </w:rPr>
        <w:t>Intravenøs injektion og intramuskulær injektion</w:t>
      </w:r>
    </w:p>
    <w:p w:rsidR="008D5FCF" w:rsidRDefault="008D5FCF" w:rsidP="008D5FCF">
      <w:pPr>
        <w:tabs>
          <w:tab w:val="left" w:pos="851"/>
        </w:tabs>
        <w:ind w:left="851"/>
        <w:rPr>
          <w:sz w:val="24"/>
          <w:szCs w:val="24"/>
        </w:rPr>
      </w:pPr>
      <w:r>
        <w:rPr>
          <w:sz w:val="24"/>
          <w:szCs w:val="24"/>
        </w:rPr>
        <w:t>Efter intravenøs eller intramuskulær injektion til behandling af blødning i efterbyrdperioden, virker oxytocin hurtigt; på ca. 1 minut efter intravenøs injektion og 2-4 minutter efter intramuskulær injektion. Virkningsvarigheden for intramuskulær injektion er 30-60 minutter, mens den kan være kortere ved intravenøs injektion.</w:t>
      </w:r>
    </w:p>
    <w:p w:rsidR="00BD5C7B" w:rsidRPr="00BD5C7B" w:rsidRDefault="00BD5C7B" w:rsidP="00BD5C7B">
      <w:pPr>
        <w:tabs>
          <w:tab w:val="left" w:pos="851"/>
        </w:tabs>
        <w:ind w:left="851"/>
        <w:rPr>
          <w:sz w:val="24"/>
          <w:szCs w:val="24"/>
        </w:rPr>
      </w:pPr>
    </w:p>
    <w:p w:rsidR="00BD5C7B" w:rsidRPr="00BD5C7B" w:rsidRDefault="00BD5C7B" w:rsidP="00BD5C7B">
      <w:pPr>
        <w:tabs>
          <w:tab w:val="left" w:pos="851"/>
        </w:tabs>
        <w:ind w:left="851"/>
        <w:rPr>
          <w:sz w:val="24"/>
          <w:szCs w:val="24"/>
        </w:rPr>
      </w:pPr>
      <w:r w:rsidRPr="00BD5C7B">
        <w:rPr>
          <w:sz w:val="24"/>
          <w:szCs w:val="24"/>
          <w:u w:val="single"/>
        </w:rPr>
        <w:t>Fordeling</w:t>
      </w:r>
    </w:p>
    <w:p w:rsidR="00BD5C7B" w:rsidRPr="00BD5C7B" w:rsidRDefault="00BD5C7B" w:rsidP="00BD5C7B">
      <w:pPr>
        <w:tabs>
          <w:tab w:val="left" w:pos="851"/>
        </w:tabs>
        <w:ind w:left="851"/>
        <w:rPr>
          <w:sz w:val="24"/>
          <w:szCs w:val="24"/>
        </w:rPr>
      </w:pPr>
      <w:r w:rsidRPr="00BD5C7B">
        <w:rPr>
          <w:sz w:val="24"/>
          <w:szCs w:val="24"/>
        </w:rPr>
        <w:t xml:space="preserve">Oxytocin fordeles til den ekstracellulære væske, og derfor når kun en lille mængde fostret. Steady-state-distributionsvolumen er 12,2 l eller 0,17 l/kg målt hos 6 raske mænd efter </w:t>
      </w:r>
      <w:r w:rsidRPr="00BD5C7B">
        <w:rPr>
          <w:sz w:val="24"/>
          <w:szCs w:val="24"/>
        </w:rPr>
        <w:lastRenderedPageBreak/>
        <w:t>intravenøs injektion. Oxytocins plasmaproteinbinding er ubetydelig. Oxytocin kan findes i små mængder i modermælk.</w:t>
      </w:r>
    </w:p>
    <w:p w:rsidR="00BD5C7B" w:rsidRPr="00BD5C7B" w:rsidRDefault="00BD5C7B" w:rsidP="00BD5C7B">
      <w:pPr>
        <w:tabs>
          <w:tab w:val="left" w:pos="851"/>
        </w:tabs>
        <w:ind w:left="851"/>
        <w:rPr>
          <w:sz w:val="24"/>
          <w:szCs w:val="24"/>
        </w:rPr>
      </w:pPr>
    </w:p>
    <w:p w:rsidR="00BD5C7B" w:rsidRPr="00BD5C7B" w:rsidRDefault="00BD5C7B" w:rsidP="00BD5C7B">
      <w:pPr>
        <w:tabs>
          <w:tab w:val="left" w:pos="851"/>
        </w:tabs>
        <w:ind w:left="851"/>
        <w:rPr>
          <w:sz w:val="24"/>
          <w:szCs w:val="24"/>
          <w:u w:val="single"/>
        </w:rPr>
      </w:pPr>
      <w:r w:rsidRPr="00BD5C7B">
        <w:rPr>
          <w:sz w:val="24"/>
          <w:szCs w:val="24"/>
          <w:u w:val="single"/>
        </w:rPr>
        <w:t>Biotransformation</w:t>
      </w:r>
    </w:p>
    <w:p w:rsidR="00BD5C7B" w:rsidRPr="00BD5C7B" w:rsidRDefault="00BD5C7B" w:rsidP="00BD5C7B">
      <w:pPr>
        <w:tabs>
          <w:tab w:val="left" w:pos="851"/>
        </w:tabs>
        <w:ind w:left="851"/>
        <w:rPr>
          <w:sz w:val="24"/>
          <w:szCs w:val="24"/>
        </w:rPr>
      </w:pPr>
      <w:r w:rsidRPr="00BD5C7B">
        <w:rPr>
          <w:sz w:val="24"/>
          <w:szCs w:val="24"/>
        </w:rPr>
        <w:t>Oxytocinase er en glykoproteinaminopeptidase, der produceres under graviditeten og viser sig i plasma. Det er i stand til at nedbryde oxytocin. Den enzymatiske aktivitet øges gradvist, indtil fødslen går i gang, og så stiger den hurtigt og falder igen efter fødslen. Enzymaktiviteten er også høj i placentavæv og de uterine væv i denne periode. Der er ingen eller meget lidt metabolisme af oxytocin i plasma hos mænd, ikke-gravide kvinder eller navlestrengsblod.</w:t>
      </w:r>
    </w:p>
    <w:p w:rsidR="00BD5C7B" w:rsidRPr="00BD5C7B" w:rsidRDefault="00BD5C7B" w:rsidP="00BD5C7B">
      <w:pPr>
        <w:tabs>
          <w:tab w:val="left" w:pos="851"/>
        </w:tabs>
        <w:ind w:left="851"/>
        <w:rPr>
          <w:sz w:val="24"/>
          <w:szCs w:val="24"/>
        </w:rPr>
      </w:pPr>
    </w:p>
    <w:p w:rsidR="00BD5C7B" w:rsidRPr="00BD5C7B" w:rsidRDefault="00BD5C7B" w:rsidP="00BD5C7B">
      <w:pPr>
        <w:tabs>
          <w:tab w:val="left" w:pos="851"/>
        </w:tabs>
        <w:ind w:left="851"/>
        <w:rPr>
          <w:sz w:val="24"/>
          <w:szCs w:val="24"/>
          <w:u w:val="single"/>
        </w:rPr>
      </w:pPr>
      <w:r w:rsidRPr="00BD5C7B">
        <w:rPr>
          <w:sz w:val="24"/>
          <w:szCs w:val="24"/>
          <w:u w:val="single"/>
        </w:rPr>
        <w:t>Elimination</w:t>
      </w:r>
    </w:p>
    <w:p w:rsidR="00BD5C7B" w:rsidRPr="00BD5C7B" w:rsidRDefault="00BD5C7B" w:rsidP="00BD5C7B">
      <w:pPr>
        <w:tabs>
          <w:tab w:val="left" w:pos="851"/>
        </w:tabs>
        <w:ind w:left="851"/>
        <w:rPr>
          <w:sz w:val="24"/>
          <w:szCs w:val="24"/>
        </w:rPr>
      </w:pPr>
      <w:r w:rsidRPr="00BD5C7B">
        <w:rPr>
          <w:sz w:val="24"/>
          <w:szCs w:val="24"/>
        </w:rPr>
        <w:t>Intravenøs infusion af oxytocin er en forholdsvis nem måde at styre frekvensen og styrken af sammentrækningerne i livmoderen på, da halveringstiden af oxytocin er kort, fra 3 til 20 min. Oxytocin udskilles hovedsageligt via leveren og nyrerne. Den metaboliske clearance er ca. 20 ml/kg/min hos både mænd og ikke-gravide kvinder. Mindre end 1 % af den givne dosis udskilles uændret i urinen.</w:t>
      </w:r>
    </w:p>
    <w:p w:rsidR="00BD5C7B" w:rsidRPr="00BD5C7B" w:rsidRDefault="00BD5C7B" w:rsidP="00BD5C7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FF6F32">
        <w:rPr>
          <w:b/>
          <w:sz w:val="24"/>
          <w:szCs w:val="24"/>
        </w:rPr>
        <w:t>Non-</w:t>
      </w:r>
      <w:r w:rsidRPr="00C84483">
        <w:rPr>
          <w:b/>
          <w:sz w:val="24"/>
          <w:szCs w:val="24"/>
        </w:rPr>
        <w:t>kliniske sikkerhedsdata</w:t>
      </w:r>
    </w:p>
    <w:p w:rsidR="00EA5A83" w:rsidRPr="00EA5A83" w:rsidRDefault="00F96F55" w:rsidP="00EA5A83">
      <w:pPr>
        <w:tabs>
          <w:tab w:val="left" w:pos="851"/>
        </w:tabs>
        <w:ind w:left="851"/>
        <w:rPr>
          <w:sz w:val="24"/>
          <w:szCs w:val="24"/>
        </w:rPr>
      </w:pPr>
      <w:r>
        <w:rPr>
          <w:sz w:val="24"/>
          <w:szCs w:val="24"/>
        </w:rPr>
        <w:t>Non-</w:t>
      </w:r>
      <w:r w:rsidR="00EA5A83" w:rsidRPr="00EA5A83">
        <w:rPr>
          <w:sz w:val="24"/>
          <w:szCs w:val="24"/>
        </w:rPr>
        <w:t>kliniske data viser ingen speciel risiko for mennesker vurderet ud fra konventionelle studier af akut enkeltdosis toksicitet, genotoksicitet eller mutagenicitet.</w:t>
      </w:r>
    </w:p>
    <w:p w:rsidR="00EA5A83" w:rsidRPr="00EA5A83" w:rsidRDefault="00EA5A83" w:rsidP="00EA5A83">
      <w:pPr>
        <w:tabs>
          <w:tab w:val="left" w:pos="851"/>
        </w:tabs>
        <w:ind w:left="851"/>
        <w:rPr>
          <w:sz w:val="24"/>
          <w:szCs w:val="24"/>
        </w:rPr>
      </w:pPr>
    </w:p>
    <w:p w:rsidR="00EA5A83" w:rsidRPr="00EA5A83" w:rsidRDefault="00EA5A83" w:rsidP="00EA5A83">
      <w:pPr>
        <w:tabs>
          <w:tab w:val="left" w:pos="851"/>
        </w:tabs>
        <w:ind w:left="851"/>
        <w:rPr>
          <w:sz w:val="24"/>
          <w:szCs w:val="24"/>
        </w:rPr>
      </w:pPr>
      <w:r w:rsidRPr="00EA5A83">
        <w:rPr>
          <w:sz w:val="24"/>
          <w:szCs w:val="24"/>
        </w:rPr>
        <w:t>Data fra et enkelt præklinisk studie viste en virkning (fosterdød i rotter), men kun ved niveauer, der overstiger den maksimale humane eksponering, hvilket peger på kun en ringe relevans ved klinisk brug.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A304B8" w:rsidRPr="00A304B8" w:rsidRDefault="00A304B8" w:rsidP="00A304B8">
      <w:pPr>
        <w:tabs>
          <w:tab w:val="left" w:pos="851"/>
        </w:tabs>
        <w:ind w:left="851"/>
        <w:rPr>
          <w:sz w:val="24"/>
          <w:szCs w:val="24"/>
        </w:rPr>
      </w:pPr>
      <w:r w:rsidRPr="00A304B8">
        <w:rPr>
          <w:sz w:val="24"/>
          <w:szCs w:val="24"/>
        </w:rPr>
        <w:t>Natriumacetattrihydrat</w:t>
      </w:r>
    </w:p>
    <w:p w:rsidR="00A304B8" w:rsidRPr="00A304B8" w:rsidRDefault="00A304B8" w:rsidP="00A304B8">
      <w:pPr>
        <w:tabs>
          <w:tab w:val="left" w:pos="851"/>
        </w:tabs>
        <w:ind w:left="851"/>
        <w:rPr>
          <w:sz w:val="24"/>
          <w:szCs w:val="24"/>
        </w:rPr>
      </w:pPr>
      <w:r w:rsidRPr="00A304B8">
        <w:rPr>
          <w:sz w:val="24"/>
          <w:szCs w:val="24"/>
        </w:rPr>
        <w:t xml:space="preserve">Eddikesyre, koncentreret </w:t>
      </w:r>
    </w:p>
    <w:p w:rsidR="00A304B8" w:rsidRPr="00A304B8" w:rsidRDefault="00A304B8" w:rsidP="00A304B8">
      <w:pPr>
        <w:tabs>
          <w:tab w:val="left" w:pos="851"/>
        </w:tabs>
        <w:ind w:left="851"/>
        <w:rPr>
          <w:sz w:val="24"/>
          <w:szCs w:val="24"/>
        </w:rPr>
      </w:pPr>
      <w:r w:rsidRPr="00A304B8">
        <w:rPr>
          <w:sz w:val="24"/>
          <w:szCs w:val="24"/>
        </w:rPr>
        <w:t>Natriumchlorid</w:t>
      </w:r>
    </w:p>
    <w:p w:rsidR="00A304B8" w:rsidRPr="00A304B8" w:rsidRDefault="00A304B8" w:rsidP="00A304B8">
      <w:pPr>
        <w:tabs>
          <w:tab w:val="left" w:pos="851"/>
        </w:tabs>
        <w:ind w:left="851"/>
        <w:rPr>
          <w:sz w:val="24"/>
          <w:szCs w:val="24"/>
        </w:rPr>
      </w:pPr>
      <w:r w:rsidRPr="00A304B8">
        <w:rPr>
          <w:sz w:val="24"/>
          <w:szCs w:val="24"/>
        </w:rPr>
        <w:t>Natriumhydroxid (pH-justering)</w:t>
      </w:r>
    </w:p>
    <w:p w:rsidR="00A304B8" w:rsidRPr="00A304B8" w:rsidRDefault="00A304B8" w:rsidP="00A304B8">
      <w:pPr>
        <w:tabs>
          <w:tab w:val="left" w:pos="851"/>
        </w:tabs>
        <w:ind w:left="851"/>
        <w:rPr>
          <w:sz w:val="24"/>
          <w:szCs w:val="24"/>
        </w:rPr>
      </w:pPr>
      <w:r w:rsidRPr="00A304B8">
        <w:rPr>
          <w:sz w:val="24"/>
          <w:szCs w:val="24"/>
        </w:rPr>
        <w:t>Vand til injektionsvæsker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000972" w:rsidRDefault="00000972" w:rsidP="00000972">
      <w:pPr>
        <w:tabs>
          <w:tab w:val="left" w:pos="851"/>
        </w:tabs>
        <w:ind w:left="851"/>
        <w:rPr>
          <w:sz w:val="24"/>
          <w:szCs w:val="24"/>
        </w:rPr>
      </w:pPr>
      <w:r w:rsidRPr="00E456A1">
        <w:rPr>
          <w:sz w:val="24"/>
          <w:szCs w:val="24"/>
        </w:rPr>
        <w:t>Dette lægemiddel må ikke blandes med andre lægemidler end dem, der er anført under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62BBC" w:rsidRDefault="00962BBC" w:rsidP="00153838">
      <w:pPr>
        <w:tabs>
          <w:tab w:val="left" w:pos="851"/>
        </w:tabs>
        <w:ind w:left="851"/>
        <w:rPr>
          <w:sz w:val="24"/>
          <w:szCs w:val="24"/>
        </w:rPr>
      </w:pPr>
    </w:p>
    <w:p w:rsidR="00A304B8" w:rsidRPr="000B2AAE" w:rsidRDefault="00A304B8" w:rsidP="00A304B8">
      <w:pPr>
        <w:tabs>
          <w:tab w:val="left" w:pos="851"/>
        </w:tabs>
        <w:ind w:left="851"/>
        <w:rPr>
          <w:sz w:val="24"/>
          <w:szCs w:val="24"/>
          <w:u w:val="single"/>
        </w:rPr>
      </w:pPr>
      <w:bookmarkStart w:id="1" w:name="_Hlk135983292"/>
      <w:r w:rsidRPr="000B2AAE">
        <w:rPr>
          <w:sz w:val="24"/>
          <w:szCs w:val="24"/>
          <w:u w:val="single"/>
        </w:rPr>
        <w:t>Uåbnet ampul</w:t>
      </w:r>
    </w:p>
    <w:p w:rsidR="00A304B8" w:rsidRPr="005716E9" w:rsidRDefault="00A304B8" w:rsidP="00A304B8">
      <w:pPr>
        <w:tabs>
          <w:tab w:val="left" w:pos="851"/>
        </w:tabs>
        <w:ind w:left="851"/>
        <w:rPr>
          <w:sz w:val="24"/>
          <w:szCs w:val="24"/>
        </w:rPr>
      </w:pPr>
      <w:r w:rsidRPr="00910D99">
        <w:rPr>
          <w:sz w:val="24"/>
          <w:szCs w:val="24"/>
        </w:rPr>
        <w:t>Opbevar</w:t>
      </w:r>
      <w:r>
        <w:rPr>
          <w:sz w:val="24"/>
          <w:szCs w:val="24"/>
        </w:rPr>
        <w:t>ing</w:t>
      </w:r>
      <w:r w:rsidRPr="00910D99">
        <w:rPr>
          <w:sz w:val="24"/>
          <w:szCs w:val="24"/>
        </w:rPr>
        <w:t xml:space="preserve"> i køleskab (2</w:t>
      </w:r>
      <w:r>
        <w:rPr>
          <w:sz w:val="24"/>
          <w:szCs w:val="24"/>
        </w:rPr>
        <w:t> </w:t>
      </w:r>
      <w:r w:rsidRPr="00910D99">
        <w:rPr>
          <w:sz w:val="24"/>
          <w:szCs w:val="24"/>
        </w:rPr>
        <w:t xml:space="preserve">°C </w:t>
      </w:r>
      <w:r>
        <w:rPr>
          <w:sz w:val="24"/>
          <w:szCs w:val="24"/>
        </w:rPr>
        <w:t>-</w:t>
      </w:r>
      <w:r w:rsidRPr="00910D99">
        <w:rPr>
          <w:sz w:val="24"/>
          <w:szCs w:val="24"/>
        </w:rPr>
        <w:t xml:space="preserve"> 8</w:t>
      </w:r>
      <w:r>
        <w:rPr>
          <w:sz w:val="24"/>
          <w:szCs w:val="24"/>
        </w:rPr>
        <w:t> </w:t>
      </w:r>
      <w:r w:rsidRPr="00910D99">
        <w:rPr>
          <w:sz w:val="24"/>
          <w:szCs w:val="24"/>
        </w:rPr>
        <w:t>°C</w:t>
      </w:r>
      <w:r>
        <w:rPr>
          <w:sz w:val="24"/>
          <w:szCs w:val="24"/>
        </w:rPr>
        <w:t>)</w:t>
      </w:r>
      <w:r w:rsidRPr="005716E9">
        <w:rPr>
          <w:sz w:val="24"/>
          <w:szCs w:val="24"/>
        </w:rPr>
        <w:t>: 5</w:t>
      </w:r>
      <w:r>
        <w:rPr>
          <w:sz w:val="24"/>
          <w:szCs w:val="24"/>
        </w:rPr>
        <w:t> år.</w:t>
      </w:r>
    </w:p>
    <w:p w:rsidR="00A304B8" w:rsidRPr="00153838" w:rsidRDefault="00A304B8" w:rsidP="00A304B8">
      <w:pPr>
        <w:tabs>
          <w:tab w:val="left" w:pos="851"/>
        </w:tabs>
        <w:ind w:left="851"/>
        <w:rPr>
          <w:sz w:val="24"/>
          <w:szCs w:val="24"/>
        </w:rPr>
      </w:pPr>
      <w:r w:rsidRPr="00910D99">
        <w:rPr>
          <w:sz w:val="24"/>
          <w:szCs w:val="24"/>
        </w:rPr>
        <w:t>Opbevaring ved højst 25 °C</w:t>
      </w:r>
      <w:r w:rsidRPr="005716E9">
        <w:rPr>
          <w:sz w:val="24"/>
          <w:szCs w:val="24"/>
        </w:rPr>
        <w:t>: 3</w:t>
      </w:r>
      <w:r>
        <w:rPr>
          <w:sz w:val="24"/>
          <w:szCs w:val="24"/>
        </w:rPr>
        <w:t> måneder.</w:t>
      </w:r>
    </w:p>
    <w:bookmarkEnd w:id="1"/>
    <w:p w:rsidR="00153838" w:rsidRPr="00153838" w:rsidRDefault="00153838" w:rsidP="00153838">
      <w:pPr>
        <w:tabs>
          <w:tab w:val="left" w:pos="851"/>
        </w:tabs>
        <w:ind w:left="851"/>
        <w:rPr>
          <w:sz w:val="24"/>
          <w:szCs w:val="24"/>
        </w:rPr>
      </w:pPr>
    </w:p>
    <w:p w:rsidR="007B5056" w:rsidRDefault="00153838" w:rsidP="00153838">
      <w:pPr>
        <w:tabs>
          <w:tab w:val="left" w:pos="851"/>
        </w:tabs>
        <w:ind w:left="851"/>
        <w:rPr>
          <w:sz w:val="24"/>
          <w:szCs w:val="24"/>
          <w:u w:val="single"/>
        </w:rPr>
      </w:pPr>
      <w:r w:rsidRPr="00FD1C73">
        <w:rPr>
          <w:sz w:val="24"/>
          <w:szCs w:val="24"/>
          <w:u w:val="single"/>
        </w:rPr>
        <w:t>Efter åbning</w:t>
      </w:r>
    </w:p>
    <w:p w:rsidR="00FD1C73" w:rsidRPr="00FD1C73" w:rsidRDefault="00FD1C73" w:rsidP="00153838">
      <w:pPr>
        <w:tabs>
          <w:tab w:val="left" w:pos="851"/>
        </w:tabs>
        <w:ind w:left="851"/>
        <w:rPr>
          <w:sz w:val="24"/>
          <w:szCs w:val="24"/>
          <w:u w:val="single"/>
        </w:rPr>
      </w:pPr>
    </w:p>
    <w:p w:rsidR="00FD1C73" w:rsidRDefault="007B5056" w:rsidP="00153838">
      <w:pPr>
        <w:tabs>
          <w:tab w:val="left" w:pos="851"/>
        </w:tabs>
        <w:ind w:left="851"/>
        <w:rPr>
          <w:i/>
          <w:sz w:val="24"/>
          <w:szCs w:val="24"/>
        </w:rPr>
      </w:pPr>
      <w:r w:rsidRPr="00FD1C73">
        <w:rPr>
          <w:i/>
          <w:sz w:val="24"/>
          <w:szCs w:val="24"/>
        </w:rPr>
        <w:t>Før Fortynding</w:t>
      </w:r>
    </w:p>
    <w:p w:rsidR="00153838" w:rsidRDefault="007B5056" w:rsidP="00153838">
      <w:pPr>
        <w:tabs>
          <w:tab w:val="left" w:pos="851"/>
        </w:tabs>
        <w:ind w:left="851"/>
        <w:rPr>
          <w:sz w:val="24"/>
          <w:szCs w:val="24"/>
        </w:rPr>
      </w:pPr>
      <w:r>
        <w:rPr>
          <w:sz w:val="24"/>
          <w:szCs w:val="24"/>
        </w:rPr>
        <w:t>Hver ampul er til engangsbrug og skal anvendes straks efter åbning. Ikke anvendt opløsning skal kasseres.</w:t>
      </w:r>
    </w:p>
    <w:p w:rsidR="007B5056" w:rsidRDefault="007B5056" w:rsidP="00153838">
      <w:pPr>
        <w:tabs>
          <w:tab w:val="left" w:pos="851"/>
        </w:tabs>
        <w:ind w:left="851"/>
        <w:rPr>
          <w:sz w:val="24"/>
          <w:szCs w:val="24"/>
        </w:rPr>
      </w:pPr>
    </w:p>
    <w:p w:rsidR="00112387" w:rsidRDefault="007B5056" w:rsidP="00153838">
      <w:pPr>
        <w:tabs>
          <w:tab w:val="left" w:pos="851"/>
        </w:tabs>
        <w:ind w:left="851"/>
        <w:rPr>
          <w:i/>
          <w:sz w:val="24"/>
          <w:szCs w:val="24"/>
        </w:rPr>
      </w:pPr>
      <w:r w:rsidRPr="00112387">
        <w:rPr>
          <w:i/>
          <w:sz w:val="24"/>
          <w:szCs w:val="24"/>
        </w:rPr>
        <w:t>Efter fortynding</w:t>
      </w:r>
    </w:p>
    <w:p w:rsidR="00A304B8" w:rsidRPr="00A304B8" w:rsidRDefault="00A304B8" w:rsidP="00A304B8">
      <w:pPr>
        <w:ind w:left="851"/>
        <w:rPr>
          <w:sz w:val="24"/>
          <w:szCs w:val="24"/>
        </w:rPr>
      </w:pPr>
      <w:r w:rsidRPr="00A304B8">
        <w:rPr>
          <w:sz w:val="24"/>
          <w:szCs w:val="24"/>
        </w:rPr>
        <w:t>Der er påvist kemisk og fysisk stabilitet efter fortynding med 0,9 % natriumchlorid, 5 % glucose, Ringer-acetat eller Ringers opløsning i 24 timer ved 25 °C. Fra et mikrobiologisk synspunkt bør infusionsvæsken anvendes straks. Andre opbevaringstider og opbevaringsforhold er på brugerens ansvar.</w:t>
      </w:r>
    </w:p>
    <w:p w:rsidR="009260DE" w:rsidRPr="00C84483" w:rsidRDefault="009260DE" w:rsidP="00112387">
      <w:pPr>
        <w:tabs>
          <w:tab w:val="left" w:pos="851"/>
          <w:tab w:val="left" w:pos="4600"/>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4646E8" w:rsidRDefault="004646E8" w:rsidP="004646E8">
      <w:pPr>
        <w:tabs>
          <w:tab w:val="left" w:pos="851"/>
        </w:tabs>
        <w:ind w:left="851"/>
        <w:rPr>
          <w:sz w:val="24"/>
          <w:szCs w:val="24"/>
        </w:rPr>
      </w:pPr>
      <w:r w:rsidRPr="00412E6B">
        <w:rPr>
          <w:sz w:val="24"/>
          <w:szCs w:val="24"/>
        </w:rPr>
        <w:t>Opbevares i køleskab (2</w:t>
      </w:r>
      <w:r>
        <w:rPr>
          <w:sz w:val="24"/>
          <w:szCs w:val="24"/>
        </w:rPr>
        <w:t> </w:t>
      </w:r>
      <w:r w:rsidRPr="00412E6B">
        <w:rPr>
          <w:sz w:val="24"/>
          <w:szCs w:val="24"/>
        </w:rPr>
        <w:t xml:space="preserve">°C </w:t>
      </w:r>
      <w:r>
        <w:rPr>
          <w:sz w:val="24"/>
          <w:szCs w:val="24"/>
        </w:rPr>
        <w:t>-</w:t>
      </w:r>
      <w:r w:rsidRPr="00412E6B">
        <w:rPr>
          <w:sz w:val="24"/>
          <w:szCs w:val="24"/>
        </w:rPr>
        <w:t xml:space="preserve"> 8</w:t>
      </w:r>
      <w:r>
        <w:rPr>
          <w:sz w:val="24"/>
          <w:szCs w:val="24"/>
        </w:rPr>
        <w:t> </w:t>
      </w:r>
      <w:r w:rsidRPr="00412E6B">
        <w:rPr>
          <w:sz w:val="24"/>
          <w:szCs w:val="24"/>
        </w:rPr>
        <w:t>°C).</w:t>
      </w:r>
      <w:r>
        <w:rPr>
          <w:sz w:val="24"/>
          <w:szCs w:val="24"/>
        </w:rPr>
        <w:t xml:space="preserve"> Må ikke nedfryses. </w:t>
      </w:r>
    </w:p>
    <w:p w:rsidR="004646E8" w:rsidRPr="000C1146" w:rsidRDefault="004646E8" w:rsidP="004646E8">
      <w:pPr>
        <w:tabs>
          <w:tab w:val="left" w:pos="851"/>
        </w:tabs>
        <w:ind w:left="851"/>
        <w:rPr>
          <w:sz w:val="24"/>
          <w:szCs w:val="24"/>
        </w:rPr>
      </w:pPr>
    </w:p>
    <w:p w:rsidR="004646E8" w:rsidRPr="00412E6B" w:rsidRDefault="004646E8" w:rsidP="004646E8">
      <w:pPr>
        <w:tabs>
          <w:tab w:val="left" w:pos="851"/>
        </w:tabs>
        <w:ind w:left="851"/>
        <w:rPr>
          <w:sz w:val="24"/>
          <w:szCs w:val="24"/>
        </w:rPr>
      </w:pPr>
      <w:r w:rsidRPr="00412E6B">
        <w:rPr>
          <w:sz w:val="24"/>
          <w:szCs w:val="24"/>
        </w:rPr>
        <w:t>Inden for dets holdbarhed kan produktet opbevares ved højst 25</w:t>
      </w:r>
      <w:r>
        <w:rPr>
          <w:sz w:val="24"/>
          <w:szCs w:val="24"/>
        </w:rPr>
        <w:t> </w:t>
      </w:r>
      <w:r w:rsidRPr="00412E6B">
        <w:rPr>
          <w:sz w:val="24"/>
          <w:szCs w:val="24"/>
        </w:rPr>
        <w:t>°C i op til 3</w:t>
      </w:r>
      <w:r>
        <w:rPr>
          <w:sz w:val="24"/>
          <w:szCs w:val="24"/>
        </w:rPr>
        <w:t> </w:t>
      </w:r>
      <w:r w:rsidRPr="00412E6B">
        <w:rPr>
          <w:sz w:val="24"/>
          <w:szCs w:val="24"/>
        </w:rPr>
        <w:t>måneder</w:t>
      </w:r>
      <w:r>
        <w:rPr>
          <w:sz w:val="24"/>
          <w:szCs w:val="24"/>
        </w:rPr>
        <w:t xml:space="preserve"> </w:t>
      </w:r>
      <w:r>
        <w:rPr>
          <w:noProof/>
        </w:rPr>
        <w:t>inden brug</w:t>
      </w:r>
      <w:r>
        <w:rPr>
          <w:sz w:val="24"/>
          <w:szCs w:val="24"/>
        </w:rPr>
        <w:t xml:space="preserve">. </w:t>
      </w:r>
      <w:r w:rsidRPr="000E5677">
        <w:rPr>
          <w:sz w:val="24"/>
          <w:szCs w:val="24"/>
        </w:rPr>
        <w:t>Hvis de</w:t>
      </w:r>
      <w:r>
        <w:rPr>
          <w:sz w:val="24"/>
          <w:szCs w:val="24"/>
        </w:rPr>
        <w:t>t</w:t>
      </w:r>
      <w:r w:rsidRPr="000E5677">
        <w:rPr>
          <w:sz w:val="24"/>
          <w:szCs w:val="24"/>
        </w:rPr>
        <w:t xml:space="preserve"> ikke bruges i denne periode, skal de</w:t>
      </w:r>
      <w:r>
        <w:rPr>
          <w:sz w:val="24"/>
          <w:szCs w:val="24"/>
        </w:rPr>
        <w:t>t</w:t>
      </w:r>
      <w:r w:rsidRPr="000E5677">
        <w:rPr>
          <w:sz w:val="24"/>
          <w:szCs w:val="24"/>
        </w:rPr>
        <w:t xml:space="preserve"> kasseres.</w:t>
      </w:r>
      <w:r>
        <w:rPr>
          <w:sz w:val="24"/>
          <w:szCs w:val="24"/>
        </w:rPr>
        <w:t xml:space="preserve"> </w:t>
      </w:r>
      <w:r w:rsidRPr="000E5677">
        <w:rPr>
          <w:sz w:val="24"/>
          <w:szCs w:val="24"/>
        </w:rPr>
        <w:t xml:space="preserve">Når produktet er taget ud af køleskabet, må </w:t>
      </w:r>
      <w:r>
        <w:rPr>
          <w:sz w:val="24"/>
          <w:szCs w:val="24"/>
        </w:rPr>
        <w:t>det</w:t>
      </w:r>
      <w:r w:rsidRPr="000E5677">
        <w:rPr>
          <w:sz w:val="24"/>
          <w:szCs w:val="24"/>
        </w:rPr>
        <w:t xml:space="preserve"> ikke returneres til køleskabet.</w:t>
      </w:r>
      <w:r w:rsidRPr="000E5677">
        <w:t xml:space="preserve"> </w:t>
      </w:r>
      <w:r>
        <w:rPr>
          <w:sz w:val="24"/>
          <w:szCs w:val="24"/>
        </w:rPr>
        <w:t>Dato</w:t>
      </w:r>
      <w:r w:rsidRPr="000E5677">
        <w:rPr>
          <w:sz w:val="24"/>
          <w:szCs w:val="24"/>
        </w:rPr>
        <w:t xml:space="preserve"> for udtagning fra køleskab </w:t>
      </w:r>
      <w:r>
        <w:rPr>
          <w:sz w:val="24"/>
          <w:szCs w:val="24"/>
        </w:rPr>
        <w:t xml:space="preserve">skal noteres </w:t>
      </w:r>
      <w:r w:rsidRPr="000E5677">
        <w:rPr>
          <w:sz w:val="24"/>
          <w:szCs w:val="24"/>
        </w:rPr>
        <w:t xml:space="preserve">på kartonen. </w:t>
      </w:r>
      <w:r w:rsidRPr="000E5677">
        <w:rPr>
          <w:sz w:val="24"/>
          <w:szCs w:val="24"/>
        </w:rPr>
        <w:cr/>
      </w:r>
    </w:p>
    <w:p w:rsidR="004646E8" w:rsidRPr="000C1146" w:rsidRDefault="004646E8" w:rsidP="004646E8">
      <w:pPr>
        <w:tabs>
          <w:tab w:val="left" w:pos="851"/>
        </w:tabs>
        <w:ind w:left="851"/>
        <w:rPr>
          <w:sz w:val="24"/>
          <w:szCs w:val="24"/>
        </w:rPr>
      </w:pPr>
      <w:r w:rsidRPr="000C1146">
        <w:rPr>
          <w:sz w:val="24"/>
          <w:szCs w:val="24"/>
        </w:rPr>
        <w:t xml:space="preserve">Opbevaringsforhold efter anbrud </w:t>
      </w:r>
      <w:r>
        <w:rPr>
          <w:sz w:val="24"/>
          <w:szCs w:val="24"/>
        </w:rPr>
        <w:t xml:space="preserve">eller fortynding </w:t>
      </w:r>
      <w:r w:rsidRPr="000C1146">
        <w:rPr>
          <w:sz w:val="24"/>
          <w:szCs w:val="24"/>
        </w:rPr>
        <w:t>af lægemidlet, se pkt. 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D7D33" w:rsidRDefault="001D7D33" w:rsidP="001D7D33">
      <w:pPr>
        <w:tabs>
          <w:tab w:val="left" w:pos="851"/>
        </w:tabs>
        <w:ind w:left="851"/>
        <w:rPr>
          <w:sz w:val="24"/>
          <w:szCs w:val="24"/>
        </w:rPr>
      </w:pPr>
      <w:r>
        <w:rPr>
          <w:sz w:val="24"/>
          <w:szCs w:val="24"/>
        </w:rPr>
        <w:t>Transparent glasampul</w:t>
      </w:r>
      <w:r w:rsidR="00120E04">
        <w:rPr>
          <w:sz w:val="24"/>
          <w:szCs w:val="24"/>
        </w:rPr>
        <w:t>.</w:t>
      </w:r>
    </w:p>
    <w:p w:rsidR="000C1146" w:rsidRDefault="000C1146" w:rsidP="000C1146">
      <w:pPr>
        <w:tabs>
          <w:tab w:val="left" w:pos="851"/>
        </w:tabs>
        <w:ind w:left="851"/>
        <w:rPr>
          <w:sz w:val="24"/>
          <w:szCs w:val="24"/>
        </w:rPr>
      </w:pPr>
    </w:p>
    <w:p w:rsidR="000C1146" w:rsidRPr="001D7D33" w:rsidRDefault="000C1146" w:rsidP="000C1146">
      <w:pPr>
        <w:tabs>
          <w:tab w:val="left" w:pos="851"/>
        </w:tabs>
        <w:ind w:left="851"/>
        <w:rPr>
          <w:sz w:val="24"/>
          <w:szCs w:val="24"/>
          <w:u w:val="single"/>
        </w:rPr>
      </w:pPr>
      <w:r w:rsidRPr="001D7D33">
        <w:rPr>
          <w:sz w:val="24"/>
          <w:szCs w:val="24"/>
          <w:u w:val="single"/>
        </w:rPr>
        <w:t>5 IE/ml</w:t>
      </w:r>
    </w:p>
    <w:p w:rsidR="000C1146" w:rsidRPr="000C1146" w:rsidRDefault="000C1146" w:rsidP="000C1146">
      <w:pPr>
        <w:tabs>
          <w:tab w:val="left" w:pos="851"/>
        </w:tabs>
        <w:ind w:left="851"/>
        <w:rPr>
          <w:sz w:val="24"/>
          <w:szCs w:val="24"/>
        </w:rPr>
      </w:pPr>
      <w:r w:rsidRPr="000C1146">
        <w:rPr>
          <w:sz w:val="24"/>
          <w:szCs w:val="24"/>
        </w:rPr>
        <w:t>1 ml</w:t>
      </w:r>
      <w:r w:rsidR="001D7D33">
        <w:rPr>
          <w:sz w:val="24"/>
          <w:szCs w:val="24"/>
        </w:rPr>
        <w:t>×</w:t>
      </w:r>
      <w:r w:rsidRPr="000C1146">
        <w:rPr>
          <w:sz w:val="24"/>
          <w:szCs w:val="24"/>
        </w:rPr>
        <w:t xml:space="preserve">10 </w:t>
      </w:r>
      <w:r w:rsidR="001D7D33">
        <w:rPr>
          <w:sz w:val="24"/>
          <w:szCs w:val="24"/>
        </w:rPr>
        <w:t>stk.</w:t>
      </w:r>
    </w:p>
    <w:p w:rsidR="000C1146" w:rsidRPr="000C1146" w:rsidRDefault="000C1146" w:rsidP="000C1146">
      <w:pPr>
        <w:tabs>
          <w:tab w:val="left" w:pos="851"/>
        </w:tabs>
        <w:ind w:left="851"/>
        <w:rPr>
          <w:sz w:val="24"/>
          <w:szCs w:val="24"/>
        </w:rPr>
      </w:pPr>
      <w:r w:rsidRPr="000C1146">
        <w:rPr>
          <w:sz w:val="24"/>
          <w:szCs w:val="24"/>
        </w:rPr>
        <w:t>Ampullerne er mærket med en farvet ring som kode - turkis.</w:t>
      </w:r>
    </w:p>
    <w:p w:rsidR="000C1146" w:rsidRPr="000C1146" w:rsidRDefault="000C1146" w:rsidP="000C1146">
      <w:pPr>
        <w:tabs>
          <w:tab w:val="left" w:pos="851"/>
        </w:tabs>
        <w:ind w:left="851"/>
        <w:rPr>
          <w:sz w:val="24"/>
          <w:szCs w:val="24"/>
        </w:rPr>
      </w:pPr>
    </w:p>
    <w:p w:rsidR="001D7D33" w:rsidRPr="001D7D33" w:rsidRDefault="000C1146" w:rsidP="000C1146">
      <w:pPr>
        <w:tabs>
          <w:tab w:val="left" w:pos="851"/>
        </w:tabs>
        <w:ind w:left="851"/>
        <w:rPr>
          <w:sz w:val="24"/>
          <w:szCs w:val="24"/>
          <w:u w:val="single"/>
        </w:rPr>
      </w:pPr>
      <w:r w:rsidRPr="001D7D33">
        <w:rPr>
          <w:sz w:val="24"/>
          <w:szCs w:val="24"/>
          <w:u w:val="single"/>
        </w:rPr>
        <w:t>10 IE</w:t>
      </w:r>
      <w:r w:rsidR="001D7D33">
        <w:rPr>
          <w:sz w:val="24"/>
          <w:szCs w:val="24"/>
          <w:u w:val="single"/>
        </w:rPr>
        <w:t>/ml</w:t>
      </w:r>
    </w:p>
    <w:p w:rsidR="000C1146" w:rsidRPr="000C1146" w:rsidRDefault="000C1146" w:rsidP="000C1146">
      <w:pPr>
        <w:tabs>
          <w:tab w:val="left" w:pos="851"/>
        </w:tabs>
        <w:ind w:left="851"/>
        <w:rPr>
          <w:sz w:val="24"/>
          <w:szCs w:val="24"/>
        </w:rPr>
      </w:pPr>
      <w:r w:rsidRPr="000C1146">
        <w:rPr>
          <w:sz w:val="24"/>
          <w:szCs w:val="24"/>
        </w:rPr>
        <w:t>1 ml</w:t>
      </w:r>
      <w:r w:rsidR="001D7D33">
        <w:rPr>
          <w:sz w:val="24"/>
          <w:szCs w:val="24"/>
        </w:rPr>
        <w:t>×</w:t>
      </w:r>
      <w:r w:rsidRPr="000C1146">
        <w:rPr>
          <w:sz w:val="24"/>
          <w:szCs w:val="24"/>
        </w:rPr>
        <w:t xml:space="preserve">5 </w:t>
      </w:r>
      <w:r w:rsidR="001D7D33">
        <w:rPr>
          <w:sz w:val="24"/>
          <w:szCs w:val="24"/>
        </w:rPr>
        <w:t>stk</w:t>
      </w:r>
      <w:r w:rsidRPr="000C1146">
        <w:rPr>
          <w:sz w:val="24"/>
          <w:szCs w:val="24"/>
        </w:rPr>
        <w:t>.</w:t>
      </w:r>
    </w:p>
    <w:p w:rsidR="000C1146" w:rsidRPr="000C1146" w:rsidRDefault="000C1146" w:rsidP="000C1146">
      <w:pPr>
        <w:tabs>
          <w:tab w:val="left" w:pos="851"/>
        </w:tabs>
        <w:ind w:left="851"/>
        <w:rPr>
          <w:sz w:val="24"/>
          <w:szCs w:val="24"/>
        </w:rPr>
      </w:pPr>
      <w:r w:rsidRPr="000C1146">
        <w:rPr>
          <w:sz w:val="24"/>
          <w:szCs w:val="24"/>
        </w:rPr>
        <w:t xml:space="preserve">Ampullerne er mærket med en farvet ring som kode – nederst turkis og øverst </w:t>
      </w:r>
      <w:r w:rsidR="00764B90">
        <w:rPr>
          <w:sz w:val="24"/>
          <w:szCs w:val="24"/>
        </w:rPr>
        <w:t>gul</w:t>
      </w:r>
      <w:r w:rsidRPr="000C1146">
        <w:rPr>
          <w:sz w:val="24"/>
          <w:szCs w:val="24"/>
        </w:rPr>
        <w:t>.</w:t>
      </w:r>
    </w:p>
    <w:p w:rsidR="000C1146" w:rsidRPr="000C1146" w:rsidRDefault="000C1146" w:rsidP="000C1146">
      <w:pPr>
        <w:tabs>
          <w:tab w:val="left" w:pos="851"/>
        </w:tabs>
        <w:ind w:left="851"/>
        <w:rPr>
          <w:sz w:val="24"/>
          <w:szCs w:val="24"/>
        </w:rPr>
      </w:pPr>
    </w:p>
    <w:p w:rsidR="000C1146" w:rsidRPr="000C1146" w:rsidRDefault="00540AB7" w:rsidP="000C1146">
      <w:pPr>
        <w:tabs>
          <w:tab w:val="left" w:pos="851"/>
        </w:tabs>
        <w:ind w:left="851"/>
        <w:rPr>
          <w:sz w:val="24"/>
          <w:szCs w:val="24"/>
        </w:rPr>
      </w:pPr>
      <w:r>
        <w:rPr>
          <w:sz w:val="24"/>
          <w:szCs w:val="24"/>
        </w:rPr>
        <w:t xml:space="preserve">Ikke alle </w:t>
      </w:r>
      <w:r w:rsidR="000C1146" w:rsidRPr="000C1146">
        <w:rPr>
          <w:sz w:val="24"/>
          <w:szCs w:val="24"/>
        </w:rPr>
        <w:t>pakningsstørrelser er</w:t>
      </w:r>
      <w:r>
        <w:rPr>
          <w:sz w:val="24"/>
          <w:szCs w:val="24"/>
        </w:rPr>
        <w:t xml:space="preserve"> </w:t>
      </w:r>
      <w:r w:rsidR="000C1146" w:rsidRPr="000C1146">
        <w:rPr>
          <w:sz w:val="24"/>
          <w:szCs w:val="24"/>
        </w:rPr>
        <w:t>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0548B5">
        <w:rPr>
          <w:b/>
          <w:sz w:val="24"/>
          <w:szCs w:val="24"/>
        </w:rPr>
        <w:t>bortskaffelse</w:t>
      </w:r>
      <w:r w:rsidRPr="00C84483">
        <w:rPr>
          <w:b/>
          <w:sz w:val="24"/>
          <w:szCs w:val="24"/>
        </w:rPr>
        <w:t xml:space="preserve"> og anden håndtering</w:t>
      </w:r>
    </w:p>
    <w:p w:rsidR="00514E00" w:rsidRPr="00514E00" w:rsidRDefault="00F0473C" w:rsidP="00F0473C">
      <w:pPr>
        <w:tabs>
          <w:tab w:val="left" w:pos="851"/>
        </w:tabs>
        <w:ind w:left="851"/>
        <w:rPr>
          <w:sz w:val="24"/>
          <w:szCs w:val="24"/>
        </w:rPr>
      </w:pPr>
      <w:r>
        <w:rPr>
          <w:sz w:val="24"/>
          <w:szCs w:val="24"/>
        </w:rPr>
        <w:t>Oxytocin "Orifarm"</w:t>
      </w:r>
      <w:r w:rsidR="00514E00" w:rsidRPr="00514E00">
        <w:rPr>
          <w:sz w:val="24"/>
          <w:szCs w:val="24"/>
        </w:rPr>
        <w:t xml:space="preserve"> er kompatibel</w:t>
      </w:r>
      <w:r w:rsidR="00514E00">
        <w:rPr>
          <w:sz w:val="24"/>
          <w:szCs w:val="24"/>
        </w:rPr>
        <w:t xml:space="preserve"> med følgende infusionsvæsker: F</w:t>
      </w:r>
      <w:r w:rsidR="00514E00" w:rsidRPr="00514E00">
        <w:rPr>
          <w:sz w:val="24"/>
          <w:szCs w:val="24"/>
        </w:rPr>
        <w:t xml:space="preserve">ysiologisk natriumchlorid eller 5 % </w:t>
      </w:r>
      <w:r w:rsidR="004646E8" w:rsidRPr="00514E00">
        <w:rPr>
          <w:sz w:val="24"/>
          <w:szCs w:val="24"/>
        </w:rPr>
        <w:t>glucoseopløsning</w:t>
      </w:r>
      <w:r w:rsidR="004646E8">
        <w:rPr>
          <w:sz w:val="24"/>
          <w:szCs w:val="24"/>
        </w:rPr>
        <w:t xml:space="preserve">, Ringer-acetat eller Ringers </w:t>
      </w:r>
      <w:r w:rsidR="004646E8" w:rsidRPr="005C132B">
        <w:rPr>
          <w:sz w:val="24"/>
          <w:szCs w:val="24"/>
        </w:rPr>
        <w:t>opløsning</w:t>
      </w:r>
      <w:r w:rsidR="00514E00" w:rsidRPr="00514E00">
        <w:rPr>
          <w:sz w:val="24"/>
          <w:szCs w:val="24"/>
        </w:rPr>
        <w:t>.</w:t>
      </w:r>
    </w:p>
    <w:p w:rsidR="00514E00" w:rsidRDefault="00514E00" w:rsidP="00514E00">
      <w:pPr>
        <w:tabs>
          <w:tab w:val="left" w:pos="851"/>
        </w:tabs>
        <w:ind w:left="851"/>
        <w:jc w:val="both"/>
        <w:rPr>
          <w:sz w:val="24"/>
          <w:szCs w:val="24"/>
        </w:rPr>
      </w:pPr>
    </w:p>
    <w:p w:rsidR="00514E00" w:rsidRPr="00514E00" w:rsidRDefault="00514E00" w:rsidP="00F0473C">
      <w:pPr>
        <w:tabs>
          <w:tab w:val="left" w:pos="851"/>
        </w:tabs>
        <w:ind w:left="851"/>
        <w:rPr>
          <w:sz w:val="24"/>
          <w:szCs w:val="24"/>
        </w:rPr>
      </w:pPr>
      <w:r w:rsidRPr="00514E00">
        <w:rPr>
          <w:sz w:val="24"/>
          <w:szCs w:val="24"/>
        </w:rPr>
        <w:t>Ikke anvendt lægemiddel samt affald heraf skal bortskaffes i henhold til lokale retningslinjer.</w:t>
      </w:r>
    </w:p>
    <w:p w:rsidR="00514E00" w:rsidRPr="00514E00" w:rsidRDefault="00514E00" w:rsidP="00514E00">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0473C" w:rsidRPr="00B22496" w:rsidRDefault="00F0473C" w:rsidP="00F0473C">
      <w:pPr>
        <w:tabs>
          <w:tab w:val="left" w:pos="851"/>
        </w:tabs>
        <w:ind w:left="851"/>
        <w:rPr>
          <w:sz w:val="24"/>
          <w:szCs w:val="24"/>
        </w:rPr>
      </w:pPr>
      <w:r w:rsidRPr="00B22496">
        <w:rPr>
          <w:sz w:val="24"/>
          <w:szCs w:val="24"/>
        </w:rPr>
        <w:t>Orifarm Generics A/S</w:t>
      </w:r>
    </w:p>
    <w:p w:rsidR="00F0473C" w:rsidRPr="00B22496" w:rsidRDefault="00F0473C" w:rsidP="00F0473C">
      <w:pPr>
        <w:tabs>
          <w:tab w:val="left" w:pos="851"/>
        </w:tabs>
        <w:ind w:left="851"/>
        <w:rPr>
          <w:sz w:val="24"/>
          <w:szCs w:val="24"/>
        </w:rPr>
      </w:pPr>
      <w:r w:rsidRPr="00B22496">
        <w:rPr>
          <w:sz w:val="24"/>
          <w:szCs w:val="24"/>
        </w:rPr>
        <w:t>Energivej 15</w:t>
      </w:r>
    </w:p>
    <w:p w:rsidR="009260DE" w:rsidRDefault="00F0473C" w:rsidP="00F0473C">
      <w:pPr>
        <w:tabs>
          <w:tab w:val="left" w:pos="851"/>
        </w:tabs>
        <w:ind w:left="851"/>
        <w:rPr>
          <w:sz w:val="24"/>
          <w:szCs w:val="24"/>
        </w:rPr>
      </w:pPr>
      <w:r>
        <w:rPr>
          <w:sz w:val="24"/>
          <w:szCs w:val="24"/>
        </w:rPr>
        <w:t>5260 Odense S</w:t>
      </w:r>
    </w:p>
    <w:p w:rsidR="00F0473C" w:rsidRPr="00C84483" w:rsidRDefault="00F0473C" w:rsidP="00F0473C">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0548B5">
        <w:rPr>
          <w:b/>
          <w:sz w:val="24"/>
          <w:szCs w:val="24"/>
        </w:rPr>
        <w:t>-</w:t>
      </w:r>
      <w:r w:rsidRPr="00C84483">
        <w:rPr>
          <w:b/>
          <w:sz w:val="24"/>
          <w:szCs w:val="24"/>
        </w:rPr>
        <w:t>NUMRE)</w:t>
      </w:r>
    </w:p>
    <w:p w:rsidR="009260DE" w:rsidRDefault="00915053" w:rsidP="00FC29B7">
      <w:pPr>
        <w:tabs>
          <w:tab w:val="left" w:pos="851"/>
          <w:tab w:val="left" w:pos="1843"/>
        </w:tabs>
        <w:ind w:left="851"/>
        <w:rPr>
          <w:sz w:val="24"/>
          <w:szCs w:val="24"/>
        </w:rPr>
      </w:pPr>
      <w:r>
        <w:rPr>
          <w:sz w:val="24"/>
          <w:szCs w:val="24"/>
        </w:rPr>
        <w:t>5 IE/ml:</w:t>
      </w:r>
      <w:r>
        <w:rPr>
          <w:sz w:val="24"/>
          <w:szCs w:val="24"/>
        </w:rPr>
        <w:tab/>
      </w:r>
      <w:r w:rsidR="00FC29B7">
        <w:rPr>
          <w:sz w:val="24"/>
          <w:szCs w:val="24"/>
        </w:rPr>
        <w:t>58109</w:t>
      </w:r>
    </w:p>
    <w:p w:rsidR="00FC29B7" w:rsidRPr="00C84483" w:rsidRDefault="00FC29B7" w:rsidP="00FC29B7">
      <w:pPr>
        <w:tabs>
          <w:tab w:val="left" w:pos="851"/>
          <w:tab w:val="left" w:pos="1843"/>
        </w:tabs>
        <w:ind w:left="851"/>
        <w:rPr>
          <w:sz w:val="24"/>
          <w:szCs w:val="24"/>
        </w:rPr>
      </w:pPr>
      <w:r>
        <w:rPr>
          <w:sz w:val="24"/>
          <w:szCs w:val="24"/>
        </w:rPr>
        <w:t>10 IE/ml:</w:t>
      </w:r>
      <w:r>
        <w:rPr>
          <w:sz w:val="24"/>
          <w:szCs w:val="24"/>
        </w:rPr>
        <w:tab/>
        <w:t>58110</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FC29B7" w:rsidP="009260DE">
      <w:pPr>
        <w:tabs>
          <w:tab w:val="left" w:pos="851"/>
        </w:tabs>
        <w:ind w:left="851"/>
        <w:rPr>
          <w:sz w:val="24"/>
          <w:szCs w:val="24"/>
        </w:rPr>
      </w:pPr>
      <w:r>
        <w:rPr>
          <w:sz w:val="24"/>
          <w:szCs w:val="24"/>
        </w:rPr>
        <w:t>1. maj 2017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0E7120" w:rsidP="009260DE">
      <w:pPr>
        <w:tabs>
          <w:tab w:val="left" w:pos="851"/>
        </w:tabs>
        <w:ind w:left="851"/>
        <w:rPr>
          <w:sz w:val="24"/>
          <w:szCs w:val="24"/>
        </w:rPr>
      </w:pPr>
      <w:r>
        <w:rPr>
          <w:sz w:val="24"/>
          <w:szCs w:val="24"/>
        </w:rPr>
        <w:t>30</w:t>
      </w:r>
      <w:bookmarkStart w:id="2" w:name="_GoBack"/>
      <w:bookmarkEnd w:id="2"/>
      <w:r w:rsidR="00797239">
        <w:rPr>
          <w:sz w:val="24"/>
          <w:szCs w:val="24"/>
        </w:rPr>
        <w:t>. september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9B6" w:rsidRDefault="005469B6">
      <w:r>
        <w:separator/>
      </w:r>
    </w:p>
  </w:endnote>
  <w:endnote w:type="continuationSeparator" w:id="0">
    <w:p w:rsidR="005469B6" w:rsidRDefault="0054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F6515">
      <w:rPr>
        <w:i/>
        <w:noProof/>
        <w:sz w:val="18"/>
        <w:szCs w:val="18"/>
      </w:rPr>
      <w:t>Oxytocin Orifarm, koncentrat til injektions--infusionsvæske, opløsning 5 IE-ml og 10 IE-ml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501D24">
      <w:rPr>
        <w:rStyle w:val="Sidetal"/>
        <w:i/>
        <w:noProof/>
        <w:sz w:val="18"/>
        <w:szCs w:val="18"/>
      </w:rPr>
      <w:t>10</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501D24">
      <w:rPr>
        <w:rStyle w:val="Sidetal"/>
        <w:i/>
        <w:noProof/>
        <w:sz w:val="18"/>
        <w:szCs w:val="18"/>
      </w:rPr>
      <w:t>10</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9B6" w:rsidRDefault="005469B6">
      <w:r>
        <w:separator/>
      </w:r>
    </w:p>
  </w:footnote>
  <w:footnote w:type="continuationSeparator" w:id="0">
    <w:p w:rsidR="005469B6" w:rsidRDefault="00546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DC70844"/>
    <w:multiLevelType w:val="hybridMultilevel"/>
    <w:tmpl w:val="B380B72A"/>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4310B2E"/>
    <w:multiLevelType w:val="hybridMultilevel"/>
    <w:tmpl w:val="17E4F81E"/>
    <w:lvl w:ilvl="0" w:tplc="FFFFFFFF">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82B"/>
    <w:rsid w:val="00000972"/>
    <w:rsid w:val="000040E8"/>
    <w:rsid w:val="000259B9"/>
    <w:rsid w:val="00041491"/>
    <w:rsid w:val="00050D16"/>
    <w:rsid w:val="000548B5"/>
    <w:rsid w:val="00070856"/>
    <w:rsid w:val="00074F2A"/>
    <w:rsid w:val="000A09BE"/>
    <w:rsid w:val="000A1CA8"/>
    <w:rsid w:val="000A2215"/>
    <w:rsid w:val="000A466B"/>
    <w:rsid w:val="000B058C"/>
    <w:rsid w:val="000C1146"/>
    <w:rsid w:val="000E4EE6"/>
    <w:rsid w:val="000E7120"/>
    <w:rsid w:val="0010163A"/>
    <w:rsid w:val="00112387"/>
    <w:rsid w:val="0011712A"/>
    <w:rsid w:val="00120E04"/>
    <w:rsid w:val="00132AD3"/>
    <w:rsid w:val="001454E2"/>
    <w:rsid w:val="00153838"/>
    <w:rsid w:val="001926EE"/>
    <w:rsid w:val="001B1C50"/>
    <w:rsid w:val="001D7D33"/>
    <w:rsid w:val="001F36D2"/>
    <w:rsid w:val="00206CE8"/>
    <w:rsid w:val="0021526C"/>
    <w:rsid w:val="00246571"/>
    <w:rsid w:val="0025382B"/>
    <w:rsid w:val="00261F4D"/>
    <w:rsid w:val="00265CFD"/>
    <w:rsid w:val="002836CE"/>
    <w:rsid w:val="00283A2B"/>
    <w:rsid w:val="002B105D"/>
    <w:rsid w:val="002B30AD"/>
    <w:rsid w:val="002C174B"/>
    <w:rsid w:val="002C2C01"/>
    <w:rsid w:val="003A29AE"/>
    <w:rsid w:val="003A32D7"/>
    <w:rsid w:val="003B4074"/>
    <w:rsid w:val="003C769A"/>
    <w:rsid w:val="003F1838"/>
    <w:rsid w:val="0045746C"/>
    <w:rsid w:val="004646E8"/>
    <w:rsid w:val="0049104B"/>
    <w:rsid w:val="004C3505"/>
    <w:rsid w:val="004E3B12"/>
    <w:rsid w:val="00501D24"/>
    <w:rsid w:val="00514E00"/>
    <w:rsid w:val="00531FB0"/>
    <w:rsid w:val="00532310"/>
    <w:rsid w:val="00540AB7"/>
    <w:rsid w:val="005469B6"/>
    <w:rsid w:val="00565F0F"/>
    <w:rsid w:val="00580A44"/>
    <w:rsid w:val="00594A86"/>
    <w:rsid w:val="00596D86"/>
    <w:rsid w:val="005C132B"/>
    <w:rsid w:val="005C5453"/>
    <w:rsid w:val="005D11D5"/>
    <w:rsid w:val="005D574A"/>
    <w:rsid w:val="005E5288"/>
    <w:rsid w:val="005F4EAC"/>
    <w:rsid w:val="00611585"/>
    <w:rsid w:val="00624CF1"/>
    <w:rsid w:val="0063062F"/>
    <w:rsid w:val="00637F5A"/>
    <w:rsid w:val="006560B1"/>
    <w:rsid w:val="00657B88"/>
    <w:rsid w:val="006756DD"/>
    <w:rsid w:val="006829F5"/>
    <w:rsid w:val="006A39FF"/>
    <w:rsid w:val="006D537A"/>
    <w:rsid w:val="00726D4E"/>
    <w:rsid w:val="00737275"/>
    <w:rsid w:val="00740EEC"/>
    <w:rsid w:val="00764B90"/>
    <w:rsid w:val="0078011A"/>
    <w:rsid w:val="00782AF4"/>
    <w:rsid w:val="00790EE7"/>
    <w:rsid w:val="00792801"/>
    <w:rsid w:val="00797239"/>
    <w:rsid w:val="007B5056"/>
    <w:rsid w:val="007B6649"/>
    <w:rsid w:val="007D6E08"/>
    <w:rsid w:val="007E30DD"/>
    <w:rsid w:val="007F1B11"/>
    <w:rsid w:val="007F3D63"/>
    <w:rsid w:val="0082576E"/>
    <w:rsid w:val="00825C4B"/>
    <w:rsid w:val="008A58A4"/>
    <w:rsid w:val="008A5D53"/>
    <w:rsid w:val="008D5FCF"/>
    <w:rsid w:val="00907F75"/>
    <w:rsid w:val="00912257"/>
    <w:rsid w:val="00915053"/>
    <w:rsid w:val="009260DE"/>
    <w:rsid w:val="0093258A"/>
    <w:rsid w:val="00962BBC"/>
    <w:rsid w:val="009C7BA3"/>
    <w:rsid w:val="009D1F5A"/>
    <w:rsid w:val="009E2AD9"/>
    <w:rsid w:val="00A1075D"/>
    <w:rsid w:val="00A22689"/>
    <w:rsid w:val="00A304B8"/>
    <w:rsid w:val="00A532A6"/>
    <w:rsid w:val="00A619B8"/>
    <w:rsid w:val="00AA1A62"/>
    <w:rsid w:val="00AD42E1"/>
    <w:rsid w:val="00AF6515"/>
    <w:rsid w:val="00B003BF"/>
    <w:rsid w:val="00B22496"/>
    <w:rsid w:val="00B24DA3"/>
    <w:rsid w:val="00B331EE"/>
    <w:rsid w:val="00B373D7"/>
    <w:rsid w:val="00B62ABC"/>
    <w:rsid w:val="00BD5C7B"/>
    <w:rsid w:val="00C23C63"/>
    <w:rsid w:val="00C27BE3"/>
    <w:rsid w:val="00C36276"/>
    <w:rsid w:val="00C42586"/>
    <w:rsid w:val="00C60CCD"/>
    <w:rsid w:val="00C84483"/>
    <w:rsid w:val="00C95551"/>
    <w:rsid w:val="00CA6358"/>
    <w:rsid w:val="00CB20D7"/>
    <w:rsid w:val="00CC5792"/>
    <w:rsid w:val="00D020B0"/>
    <w:rsid w:val="00D11748"/>
    <w:rsid w:val="00D13A11"/>
    <w:rsid w:val="00D366CF"/>
    <w:rsid w:val="00D8689C"/>
    <w:rsid w:val="00D90D52"/>
    <w:rsid w:val="00DC7637"/>
    <w:rsid w:val="00E0309D"/>
    <w:rsid w:val="00E108AA"/>
    <w:rsid w:val="00E3749A"/>
    <w:rsid w:val="00E555AA"/>
    <w:rsid w:val="00E70DC4"/>
    <w:rsid w:val="00E7437F"/>
    <w:rsid w:val="00E865B8"/>
    <w:rsid w:val="00EA5A83"/>
    <w:rsid w:val="00EC0B9B"/>
    <w:rsid w:val="00ED0F9D"/>
    <w:rsid w:val="00ED5E9F"/>
    <w:rsid w:val="00F0473C"/>
    <w:rsid w:val="00F425BE"/>
    <w:rsid w:val="00F66D4F"/>
    <w:rsid w:val="00F96F55"/>
    <w:rsid w:val="00FB6D01"/>
    <w:rsid w:val="00FC29B7"/>
    <w:rsid w:val="00FD1C73"/>
    <w:rsid w:val="00FF6D9A"/>
    <w:rsid w:val="00FF6F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9E40A"/>
  <w15:chartTrackingRefBased/>
  <w15:docId w15:val="{7E5F51A1-A5E7-49B4-A0A6-51EA87F9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C35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69337252">
      <w:bodyDiv w:val="1"/>
      <w:marLeft w:val="0"/>
      <w:marRight w:val="0"/>
      <w:marTop w:val="0"/>
      <w:marBottom w:val="0"/>
      <w:divBdr>
        <w:top w:val="none" w:sz="0" w:space="0" w:color="auto"/>
        <w:left w:val="none" w:sz="0" w:space="0" w:color="auto"/>
        <w:bottom w:val="none" w:sz="0" w:space="0" w:color="auto"/>
        <w:right w:val="none" w:sz="0" w:space="0" w:color="auto"/>
      </w:divBdr>
    </w:div>
    <w:div w:id="16253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3052</Words>
  <Characters>19921</Characters>
  <Application>Microsoft Office Word</Application>
  <DocSecurity>0</DocSecurity>
  <Lines>166</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2022020756 var 3 g opbev.data</dc:description>
  <cp:lastModifiedBy>Hanne Thy Iversen</cp:lastModifiedBy>
  <cp:revision>18</cp:revision>
  <cp:lastPrinted>2017-08-15T07:58:00Z</cp:lastPrinted>
  <dcterms:created xsi:type="dcterms:W3CDTF">2018-11-21T08:39:00Z</dcterms:created>
  <dcterms:modified xsi:type="dcterms:W3CDTF">2024-09-03T07:52:00Z</dcterms:modified>
</cp:coreProperties>
</file>