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F3AA" w14:textId="77777777" w:rsidR="009260DE" w:rsidRPr="00D33C41" w:rsidRDefault="0021526C" w:rsidP="009260DE">
      <w:pPr>
        <w:rPr>
          <w:sz w:val="24"/>
          <w:szCs w:val="24"/>
        </w:rPr>
      </w:pPr>
      <w:r w:rsidRPr="00D33C41">
        <w:rPr>
          <w:noProof/>
          <w:sz w:val="24"/>
          <w:szCs w:val="24"/>
          <w:lang w:eastAsia="da-DK"/>
        </w:rPr>
        <w:drawing>
          <wp:anchor distT="0" distB="0" distL="114300" distR="114300" simplePos="0" relativeHeight="251658240" behindDoc="0" locked="0" layoutInCell="1" allowOverlap="1" wp14:anchorId="6FD8498B" wp14:editId="578A3BB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33C41">
        <w:rPr>
          <w:sz w:val="24"/>
          <w:szCs w:val="24"/>
        </w:rPr>
        <w:br w:type="textWrapping" w:clear="all"/>
      </w:r>
    </w:p>
    <w:p w14:paraId="4F0FF26F" w14:textId="174AEC59" w:rsidR="009260DE" w:rsidRPr="00D33C41" w:rsidRDefault="009260DE" w:rsidP="009260DE">
      <w:pPr>
        <w:pStyle w:val="Titel"/>
        <w:tabs>
          <w:tab w:val="right" w:pos="9356"/>
        </w:tabs>
        <w:jc w:val="left"/>
        <w:rPr>
          <w:b w:val="0"/>
          <w:szCs w:val="24"/>
          <w:lang w:eastAsia="en-US"/>
        </w:rPr>
      </w:pPr>
      <w:r w:rsidRPr="00D33C41">
        <w:rPr>
          <w:b w:val="0"/>
          <w:szCs w:val="24"/>
          <w:lang w:eastAsia="en-US"/>
        </w:rPr>
        <w:tab/>
      </w:r>
      <w:r w:rsidR="003A454E">
        <w:rPr>
          <w:szCs w:val="24"/>
        </w:rPr>
        <w:t>9. april 2026</w:t>
      </w:r>
    </w:p>
    <w:p w14:paraId="31D46B1C" w14:textId="77777777" w:rsidR="009260DE" w:rsidRPr="00D33C41" w:rsidRDefault="009260DE" w:rsidP="009260DE">
      <w:pPr>
        <w:pStyle w:val="Titel"/>
        <w:tabs>
          <w:tab w:val="left" w:pos="8222"/>
        </w:tabs>
        <w:jc w:val="left"/>
        <w:rPr>
          <w:b w:val="0"/>
          <w:szCs w:val="24"/>
        </w:rPr>
      </w:pPr>
    </w:p>
    <w:p w14:paraId="3D1DE265" w14:textId="77777777" w:rsidR="009260DE" w:rsidRPr="00D33C41" w:rsidRDefault="009260DE" w:rsidP="009260DE">
      <w:pPr>
        <w:pStyle w:val="Titel"/>
        <w:jc w:val="left"/>
        <w:rPr>
          <w:b w:val="0"/>
          <w:szCs w:val="24"/>
        </w:rPr>
      </w:pPr>
    </w:p>
    <w:p w14:paraId="3E8312A2" w14:textId="77777777" w:rsidR="009260DE" w:rsidRPr="00D33C41" w:rsidRDefault="009260DE" w:rsidP="009260DE">
      <w:pPr>
        <w:pStyle w:val="Titel"/>
        <w:jc w:val="left"/>
        <w:rPr>
          <w:b w:val="0"/>
          <w:szCs w:val="24"/>
        </w:rPr>
      </w:pPr>
    </w:p>
    <w:p w14:paraId="456EB7CE" w14:textId="77777777" w:rsidR="009260DE" w:rsidRPr="00D33C41" w:rsidRDefault="009260DE" w:rsidP="009260DE">
      <w:pPr>
        <w:jc w:val="center"/>
        <w:rPr>
          <w:b/>
          <w:sz w:val="24"/>
          <w:szCs w:val="24"/>
        </w:rPr>
      </w:pPr>
      <w:r w:rsidRPr="00D33C41">
        <w:rPr>
          <w:b/>
          <w:sz w:val="24"/>
          <w:szCs w:val="24"/>
        </w:rPr>
        <w:t>PRODUKTRESUMÉ</w:t>
      </w:r>
    </w:p>
    <w:p w14:paraId="438E2357" w14:textId="77777777" w:rsidR="009260DE" w:rsidRPr="00D33C41" w:rsidRDefault="009260DE" w:rsidP="009260DE">
      <w:pPr>
        <w:jc w:val="center"/>
        <w:rPr>
          <w:b/>
          <w:sz w:val="24"/>
          <w:szCs w:val="24"/>
        </w:rPr>
      </w:pPr>
    </w:p>
    <w:p w14:paraId="3EEEA1B7" w14:textId="77777777" w:rsidR="009260DE" w:rsidRPr="00D33C41" w:rsidRDefault="009260DE" w:rsidP="009260DE">
      <w:pPr>
        <w:jc w:val="center"/>
        <w:rPr>
          <w:b/>
          <w:sz w:val="24"/>
          <w:szCs w:val="24"/>
        </w:rPr>
      </w:pPr>
      <w:r w:rsidRPr="00D33C41">
        <w:rPr>
          <w:b/>
          <w:sz w:val="24"/>
          <w:szCs w:val="24"/>
        </w:rPr>
        <w:t>for</w:t>
      </w:r>
    </w:p>
    <w:p w14:paraId="63BEAC8A" w14:textId="77777777" w:rsidR="000B058C" w:rsidRPr="00D33C41" w:rsidRDefault="000B058C" w:rsidP="009260DE">
      <w:pPr>
        <w:jc w:val="center"/>
        <w:rPr>
          <w:b/>
          <w:sz w:val="24"/>
          <w:szCs w:val="24"/>
        </w:rPr>
      </w:pPr>
    </w:p>
    <w:p w14:paraId="24EE19C7" w14:textId="69C8C34D" w:rsidR="009260DE" w:rsidRPr="00D33C41" w:rsidRDefault="00143528" w:rsidP="009260DE">
      <w:pPr>
        <w:jc w:val="center"/>
        <w:rPr>
          <w:b/>
          <w:sz w:val="24"/>
          <w:szCs w:val="24"/>
        </w:rPr>
      </w:pPr>
      <w:proofErr w:type="spellStart"/>
      <w:r w:rsidRPr="00D33C41">
        <w:rPr>
          <w:b/>
          <w:sz w:val="24"/>
          <w:szCs w:val="24"/>
        </w:rPr>
        <w:t>Palbociclib</w:t>
      </w:r>
      <w:proofErr w:type="spellEnd"/>
      <w:r w:rsidRPr="00D33C41">
        <w:rPr>
          <w:b/>
          <w:sz w:val="24"/>
          <w:szCs w:val="24"/>
        </w:rPr>
        <w:t xml:space="preserve"> "</w:t>
      </w:r>
      <w:proofErr w:type="spellStart"/>
      <w:r w:rsidRPr="00D33C41">
        <w:rPr>
          <w:b/>
          <w:sz w:val="24"/>
          <w:szCs w:val="24"/>
        </w:rPr>
        <w:t>Newbury</w:t>
      </w:r>
      <w:proofErr w:type="spellEnd"/>
      <w:r w:rsidRPr="00D33C41">
        <w:rPr>
          <w:b/>
          <w:sz w:val="24"/>
          <w:szCs w:val="24"/>
        </w:rPr>
        <w:t>", filmovertrukne tabletter</w:t>
      </w:r>
    </w:p>
    <w:p w14:paraId="5D5FB37E" w14:textId="77777777" w:rsidR="009260DE" w:rsidRPr="00D33C41" w:rsidRDefault="009260DE" w:rsidP="009260DE">
      <w:pPr>
        <w:jc w:val="both"/>
        <w:rPr>
          <w:sz w:val="24"/>
          <w:szCs w:val="24"/>
        </w:rPr>
      </w:pPr>
    </w:p>
    <w:p w14:paraId="3B75DE90" w14:textId="77777777" w:rsidR="009260DE" w:rsidRPr="00D33C41" w:rsidRDefault="009260DE" w:rsidP="009260DE">
      <w:pPr>
        <w:jc w:val="both"/>
        <w:rPr>
          <w:sz w:val="24"/>
          <w:szCs w:val="24"/>
        </w:rPr>
      </w:pPr>
    </w:p>
    <w:p w14:paraId="33E80278" w14:textId="77777777" w:rsidR="009260DE" w:rsidRPr="00D33C41" w:rsidRDefault="009260DE" w:rsidP="009260DE">
      <w:pPr>
        <w:tabs>
          <w:tab w:val="left" w:pos="851"/>
        </w:tabs>
        <w:ind w:left="851" w:hanging="851"/>
        <w:rPr>
          <w:b/>
          <w:sz w:val="24"/>
          <w:szCs w:val="24"/>
        </w:rPr>
      </w:pPr>
      <w:r w:rsidRPr="00D33C41">
        <w:rPr>
          <w:b/>
          <w:sz w:val="24"/>
          <w:szCs w:val="24"/>
        </w:rPr>
        <w:t>0.</w:t>
      </w:r>
      <w:r w:rsidRPr="00D33C41">
        <w:rPr>
          <w:b/>
          <w:sz w:val="24"/>
          <w:szCs w:val="24"/>
        </w:rPr>
        <w:tab/>
        <w:t>D.SP.NR.</w:t>
      </w:r>
    </w:p>
    <w:p w14:paraId="66B38C5C" w14:textId="10B6327F" w:rsidR="009260DE" w:rsidRPr="00D33C41" w:rsidRDefault="00143528" w:rsidP="009260DE">
      <w:pPr>
        <w:tabs>
          <w:tab w:val="left" w:pos="851"/>
        </w:tabs>
        <w:ind w:left="851"/>
        <w:rPr>
          <w:sz w:val="24"/>
          <w:szCs w:val="24"/>
        </w:rPr>
      </w:pPr>
      <w:r w:rsidRPr="00D33C41">
        <w:rPr>
          <w:sz w:val="24"/>
          <w:szCs w:val="24"/>
        </w:rPr>
        <w:t>34541</w:t>
      </w:r>
    </w:p>
    <w:p w14:paraId="111C8C4D" w14:textId="77777777" w:rsidR="009260DE" w:rsidRPr="00D33C41" w:rsidRDefault="009260DE" w:rsidP="009260DE">
      <w:pPr>
        <w:tabs>
          <w:tab w:val="left" w:pos="851"/>
        </w:tabs>
        <w:ind w:left="851"/>
        <w:rPr>
          <w:sz w:val="24"/>
          <w:szCs w:val="24"/>
        </w:rPr>
      </w:pPr>
    </w:p>
    <w:p w14:paraId="0F3F2883" w14:textId="77777777" w:rsidR="009260DE" w:rsidRPr="00D33C41" w:rsidRDefault="009260DE" w:rsidP="009260DE">
      <w:pPr>
        <w:tabs>
          <w:tab w:val="left" w:pos="851"/>
        </w:tabs>
        <w:ind w:left="851" w:hanging="851"/>
        <w:rPr>
          <w:b/>
          <w:sz w:val="24"/>
          <w:szCs w:val="24"/>
        </w:rPr>
      </w:pPr>
      <w:r w:rsidRPr="00D33C41">
        <w:rPr>
          <w:b/>
          <w:sz w:val="24"/>
          <w:szCs w:val="24"/>
        </w:rPr>
        <w:t>1.</w:t>
      </w:r>
      <w:r w:rsidRPr="00D33C41">
        <w:rPr>
          <w:b/>
          <w:sz w:val="24"/>
          <w:szCs w:val="24"/>
        </w:rPr>
        <w:tab/>
        <w:t>LÆGEMIDLETS NAVN</w:t>
      </w:r>
    </w:p>
    <w:p w14:paraId="0501E875" w14:textId="3875A925" w:rsidR="009260DE" w:rsidRPr="00D33C41" w:rsidRDefault="00143528" w:rsidP="009260DE">
      <w:pPr>
        <w:tabs>
          <w:tab w:val="left" w:pos="851"/>
        </w:tabs>
        <w:ind w:left="851"/>
        <w:rPr>
          <w:sz w:val="24"/>
          <w:szCs w:val="24"/>
        </w:rPr>
      </w:pPr>
      <w:proofErr w:type="spellStart"/>
      <w:r w:rsidRPr="00D33C41">
        <w:rPr>
          <w:sz w:val="24"/>
          <w:szCs w:val="24"/>
        </w:rPr>
        <w:t>Palbociclib</w:t>
      </w:r>
      <w:proofErr w:type="spellEnd"/>
      <w:r w:rsidRPr="00D33C41">
        <w:rPr>
          <w:sz w:val="24"/>
          <w:szCs w:val="24"/>
        </w:rPr>
        <w:t xml:space="preserve"> "</w:t>
      </w:r>
      <w:proofErr w:type="spellStart"/>
      <w:r w:rsidRPr="00D33C41">
        <w:rPr>
          <w:sz w:val="24"/>
          <w:szCs w:val="24"/>
        </w:rPr>
        <w:t>Newbury</w:t>
      </w:r>
      <w:proofErr w:type="spellEnd"/>
      <w:r w:rsidRPr="00D33C41">
        <w:rPr>
          <w:sz w:val="24"/>
          <w:szCs w:val="24"/>
        </w:rPr>
        <w:t>"</w:t>
      </w:r>
    </w:p>
    <w:p w14:paraId="353F9331" w14:textId="77777777" w:rsidR="009260DE" w:rsidRPr="00D33C41" w:rsidRDefault="009260DE" w:rsidP="009260DE">
      <w:pPr>
        <w:tabs>
          <w:tab w:val="left" w:pos="851"/>
        </w:tabs>
        <w:ind w:left="851"/>
        <w:rPr>
          <w:sz w:val="24"/>
          <w:szCs w:val="24"/>
        </w:rPr>
      </w:pPr>
    </w:p>
    <w:p w14:paraId="62FE8B9A" w14:textId="77777777" w:rsidR="009260DE" w:rsidRPr="00D33C41" w:rsidRDefault="009260DE" w:rsidP="009260DE">
      <w:pPr>
        <w:tabs>
          <w:tab w:val="left" w:pos="851"/>
        </w:tabs>
        <w:ind w:left="851" w:hanging="851"/>
        <w:rPr>
          <w:b/>
          <w:sz w:val="24"/>
          <w:szCs w:val="24"/>
        </w:rPr>
      </w:pPr>
      <w:r w:rsidRPr="00D33C41">
        <w:rPr>
          <w:b/>
          <w:sz w:val="24"/>
          <w:szCs w:val="24"/>
        </w:rPr>
        <w:t>2.</w:t>
      </w:r>
      <w:r w:rsidRPr="00D33C41">
        <w:rPr>
          <w:b/>
          <w:sz w:val="24"/>
          <w:szCs w:val="24"/>
        </w:rPr>
        <w:tab/>
        <w:t>KVALITATIV OG KVANTITATIV SAMMENSÆTNING</w:t>
      </w:r>
    </w:p>
    <w:p w14:paraId="189D943A" w14:textId="77777777" w:rsidR="007A1C7E" w:rsidRDefault="007A1C7E" w:rsidP="00C11463">
      <w:pPr>
        <w:ind w:left="851"/>
        <w:rPr>
          <w:sz w:val="24"/>
          <w:szCs w:val="24"/>
          <w:u w:val="single"/>
        </w:rPr>
      </w:pPr>
    </w:p>
    <w:p w14:paraId="433C4671" w14:textId="40766215" w:rsidR="00143528" w:rsidRPr="00143528" w:rsidRDefault="00143528" w:rsidP="00C11463">
      <w:pPr>
        <w:ind w:left="851"/>
        <w:rPr>
          <w:sz w:val="24"/>
          <w:szCs w:val="24"/>
          <w:u w:val="single"/>
        </w:rPr>
      </w:pPr>
      <w:proofErr w:type="spellStart"/>
      <w:r w:rsidRPr="00143528">
        <w:rPr>
          <w:sz w:val="24"/>
          <w:szCs w:val="24"/>
          <w:u w:val="single"/>
        </w:rPr>
        <w:t>Palbociclib</w:t>
      </w:r>
      <w:proofErr w:type="spellEnd"/>
      <w:r w:rsidRPr="00143528">
        <w:rPr>
          <w:sz w:val="24"/>
          <w:szCs w:val="24"/>
          <w:u w:val="single"/>
        </w:rPr>
        <w:t xml:space="preserve"> </w:t>
      </w:r>
      <w:r w:rsidR="009906AA">
        <w:rPr>
          <w:sz w:val="24"/>
          <w:szCs w:val="24"/>
          <w:u w:val="single"/>
        </w:rPr>
        <w:t>"</w:t>
      </w:r>
      <w:proofErr w:type="spellStart"/>
      <w:r w:rsidR="009906AA">
        <w:rPr>
          <w:sz w:val="24"/>
          <w:szCs w:val="24"/>
          <w:u w:val="single"/>
        </w:rPr>
        <w:t>Newbury</w:t>
      </w:r>
      <w:proofErr w:type="spellEnd"/>
      <w:r w:rsidR="009906AA">
        <w:rPr>
          <w:sz w:val="24"/>
          <w:szCs w:val="24"/>
          <w:u w:val="single"/>
        </w:rPr>
        <w:t>"</w:t>
      </w:r>
      <w:r w:rsidRPr="00143528">
        <w:rPr>
          <w:sz w:val="24"/>
          <w:szCs w:val="24"/>
          <w:u w:val="single"/>
        </w:rPr>
        <w:t xml:space="preserve"> 75 mg filmovertrukne tabletter</w:t>
      </w:r>
    </w:p>
    <w:p w14:paraId="7A67450C" w14:textId="77777777" w:rsidR="00143528" w:rsidRPr="00143528" w:rsidRDefault="00143528" w:rsidP="00C11463">
      <w:pPr>
        <w:ind w:left="851"/>
        <w:rPr>
          <w:sz w:val="24"/>
          <w:szCs w:val="24"/>
        </w:rPr>
      </w:pPr>
      <w:r w:rsidRPr="00143528">
        <w:rPr>
          <w:sz w:val="24"/>
          <w:szCs w:val="24"/>
        </w:rPr>
        <w:t xml:space="preserve">Hver filmovertrukket tablet indeholder 75 mg </w:t>
      </w:r>
      <w:proofErr w:type="spellStart"/>
      <w:r w:rsidRPr="00143528">
        <w:rPr>
          <w:sz w:val="24"/>
          <w:szCs w:val="24"/>
        </w:rPr>
        <w:t>palbociclib</w:t>
      </w:r>
      <w:proofErr w:type="spellEnd"/>
      <w:r w:rsidRPr="00143528">
        <w:rPr>
          <w:sz w:val="24"/>
          <w:szCs w:val="24"/>
        </w:rPr>
        <w:t>.</w:t>
      </w:r>
    </w:p>
    <w:p w14:paraId="66D0E20E" w14:textId="77777777" w:rsidR="00143528" w:rsidRPr="00143528" w:rsidRDefault="00143528" w:rsidP="00C11463">
      <w:pPr>
        <w:ind w:left="851"/>
        <w:rPr>
          <w:sz w:val="24"/>
          <w:szCs w:val="24"/>
        </w:rPr>
      </w:pPr>
      <w:r w:rsidRPr="00143528">
        <w:rPr>
          <w:sz w:val="24"/>
          <w:szCs w:val="24"/>
        </w:rPr>
        <w:t xml:space="preserve"> </w:t>
      </w:r>
    </w:p>
    <w:p w14:paraId="767D274C" w14:textId="062BBAAE" w:rsidR="00143528" w:rsidRPr="00143528" w:rsidRDefault="00143528" w:rsidP="00C11463">
      <w:pPr>
        <w:ind w:left="851"/>
        <w:rPr>
          <w:sz w:val="24"/>
          <w:szCs w:val="24"/>
          <w:u w:val="single"/>
        </w:rPr>
      </w:pPr>
      <w:proofErr w:type="spellStart"/>
      <w:r w:rsidRPr="00143528">
        <w:rPr>
          <w:sz w:val="24"/>
          <w:szCs w:val="24"/>
          <w:u w:val="single"/>
        </w:rPr>
        <w:t>Palbociclib</w:t>
      </w:r>
      <w:proofErr w:type="spellEnd"/>
      <w:r w:rsidRPr="00143528">
        <w:rPr>
          <w:sz w:val="24"/>
          <w:szCs w:val="24"/>
          <w:u w:val="single"/>
        </w:rPr>
        <w:t xml:space="preserve"> </w:t>
      </w:r>
      <w:r w:rsidR="009906AA">
        <w:rPr>
          <w:sz w:val="24"/>
          <w:szCs w:val="24"/>
          <w:u w:val="single"/>
        </w:rPr>
        <w:t>"</w:t>
      </w:r>
      <w:proofErr w:type="spellStart"/>
      <w:r w:rsidR="009906AA">
        <w:rPr>
          <w:sz w:val="24"/>
          <w:szCs w:val="24"/>
          <w:u w:val="single"/>
        </w:rPr>
        <w:t>Newbury</w:t>
      </w:r>
      <w:proofErr w:type="spellEnd"/>
      <w:r w:rsidR="009906AA">
        <w:rPr>
          <w:sz w:val="24"/>
          <w:szCs w:val="24"/>
          <w:u w:val="single"/>
        </w:rPr>
        <w:t>"</w:t>
      </w:r>
      <w:r w:rsidRPr="00143528">
        <w:rPr>
          <w:sz w:val="24"/>
          <w:szCs w:val="24"/>
          <w:u w:val="single"/>
        </w:rPr>
        <w:t xml:space="preserve"> 100 mg filmovertrukne tabletter</w:t>
      </w:r>
    </w:p>
    <w:p w14:paraId="3A59843F" w14:textId="77777777" w:rsidR="00143528" w:rsidRPr="00143528" w:rsidRDefault="00143528" w:rsidP="00C11463">
      <w:pPr>
        <w:ind w:left="851"/>
        <w:rPr>
          <w:sz w:val="24"/>
          <w:szCs w:val="24"/>
        </w:rPr>
      </w:pPr>
      <w:r w:rsidRPr="00143528">
        <w:rPr>
          <w:sz w:val="24"/>
          <w:szCs w:val="24"/>
        </w:rPr>
        <w:t xml:space="preserve">Hver filmovertrukket tablet indeholder 100 mg </w:t>
      </w:r>
      <w:proofErr w:type="spellStart"/>
      <w:r w:rsidRPr="00143528">
        <w:rPr>
          <w:sz w:val="24"/>
          <w:szCs w:val="24"/>
        </w:rPr>
        <w:t>palbociclib</w:t>
      </w:r>
      <w:proofErr w:type="spellEnd"/>
      <w:r w:rsidRPr="00143528">
        <w:rPr>
          <w:sz w:val="24"/>
          <w:szCs w:val="24"/>
        </w:rPr>
        <w:t>.</w:t>
      </w:r>
    </w:p>
    <w:p w14:paraId="1733459F" w14:textId="77777777" w:rsidR="00143528" w:rsidRPr="00143528" w:rsidRDefault="00143528" w:rsidP="00C11463">
      <w:pPr>
        <w:ind w:left="851"/>
        <w:rPr>
          <w:sz w:val="24"/>
          <w:szCs w:val="24"/>
        </w:rPr>
      </w:pPr>
    </w:p>
    <w:p w14:paraId="2502AB59" w14:textId="22FA0A93" w:rsidR="00143528" w:rsidRPr="00143528" w:rsidRDefault="00143528" w:rsidP="00C11463">
      <w:pPr>
        <w:ind w:left="851"/>
        <w:rPr>
          <w:sz w:val="24"/>
          <w:szCs w:val="24"/>
          <w:u w:val="single"/>
        </w:rPr>
      </w:pPr>
      <w:proofErr w:type="spellStart"/>
      <w:r w:rsidRPr="00143528">
        <w:rPr>
          <w:sz w:val="24"/>
          <w:szCs w:val="24"/>
          <w:u w:val="single"/>
        </w:rPr>
        <w:t>Palbociclib</w:t>
      </w:r>
      <w:proofErr w:type="spellEnd"/>
      <w:r w:rsidRPr="00143528">
        <w:rPr>
          <w:sz w:val="24"/>
          <w:szCs w:val="24"/>
          <w:u w:val="single"/>
        </w:rPr>
        <w:t xml:space="preserve"> </w:t>
      </w:r>
      <w:r w:rsidR="009906AA">
        <w:rPr>
          <w:sz w:val="24"/>
          <w:szCs w:val="24"/>
          <w:u w:val="single"/>
        </w:rPr>
        <w:t>"</w:t>
      </w:r>
      <w:proofErr w:type="spellStart"/>
      <w:r w:rsidR="009906AA">
        <w:rPr>
          <w:sz w:val="24"/>
          <w:szCs w:val="24"/>
          <w:u w:val="single"/>
        </w:rPr>
        <w:t>Newbury</w:t>
      </w:r>
      <w:proofErr w:type="spellEnd"/>
      <w:r w:rsidR="009906AA">
        <w:rPr>
          <w:sz w:val="24"/>
          <w:szCs w:val="24"/>
          <w:u w:val="single"/>
        </w:rPr>
        <w:t>"</w:t>
      </w:r>
      <w:r w:rsidRPr="00143528">
        <w:rPr>
          <w:sz w:val="24"/>
          <w:szCs w:val="24"/>
          <w:u w:val="single"/>
        </w:rPr>
        <w:t xml:space="preserve"> 125 mg filmovertrukne tabletter</w:t>
      </w:r>
    </w:p>
    <w:p w14:paraId="72742CDA" w14:textId="77777777" w:rsidR="00143528" w:rsidRPr="00143528" w:rsidRDefault="00143528" w:rsidP="00C11463">
      <w:pPr>
        <w:ind w:left="851"/>
        <w:rPr>
          <w:sz w:val="24"/>
          <w:szCs w:val="24"/>
        </w:rPr>
      </w:pPr>
      <w:r w:rsidRPr="00143528">
        <w:rPr>
          <w:sz w:val="24"/>
          <w:szCs w:val="24"/>
        </w:rPr>
        <w:t xml:space="preserve">Hver filmovertrukket tablet indeholder 125 mg </w:t>
      </w:r>
      <w:proofErr w:type="spellStart"/>
      <w:r w:rsidRPr="00143528">
        <w:rPr>
          <w:sz w:val="24"/>
          <w:szCs w:val="24"/>
        </w:rPr>
        <w:t>palbociclib</w:t>
      </w:r>
      <w:proofErr w:type="spellEnd"/>
      <w:r w:rsidRPr="00143528">
        <w:rPr>
          <w:sz w:val="24"/>
          <w:szCs w:val="24"/>
        </w:rPr>
        <w:t>.</w:t>
      </w:r>
    </w:p>
    <w:p w14:paraId="6DE997E3" w14:textId="77777777" w:rsidR="00143528" w:rsidRPr="00143528" w:rsidRDefault="00143528" w:rsidP="00C11463">
      <w:pPr>
        <w:ind w:left="851"/>
        <w:rPr>
          <w:sz w:val="24"/>
          <w:szCs w:val="24"/>
        </w:rPr>
      </w:pPr>
    </w:p>
    <w:p w14:paraId="3574C07F" w14:textId="77777777" w:rsidR="00143528" w:rsidRPr="00143528" w:rsidRDefault="00143528" w:rsidP="00C11463">
      <w:pPr>
        <w:ind w:left="851"/>
        <w:rPr>
          <w:sz w:val="24"/>
          <w:szCs w:val="24"/>
        </w:rPr>
      </w:pPr>
      <w:r w:rsidRPr="00143528">
        <w:rPr>
          <w:sz w:val="24"/>
          <w:szCs w:val="24"/>
        </w:rPr>
        <w:t>Alle hjælpestoffer er anført under pkt. 6.1.</w:t>
      </w:r>
    </w:p>
    <w:p w14:paraId="28EB80AA" w14:textId="77777777" w:rsidR="009260DE" w:rsidRPr="00D33C41" w:rsidRDefault="009260DE" w:rsidP="009260DE">
      <w:pPr>
        <w:tabs>
          <w:tab w:val="left" w:pos="851"/>
        </w:tabs>
        <w:ind w:left="851"/>
        <w:rPr>
          <w:sz w:val="24"/>
          <w:szCs w:val="24"/>
        </w:rPr>
      </w:pPr>
    </w:p>
    <w:p w14:paraId="6DB3D385" w14:textId="77777777" w:rsidR="009260DE" w:rsidRPr="00D33C41" w:rsidRDefault="009260DE" w:rsidP="009260DE">
      <w:pPr>
        <w:tabs>
          <w:tab w:val="left" w:pos="851"/>
        </w:tabs>
        <w:ind w:left="851" w:hanging="851"/>
        <w:rPr>
          <w:b/>
          <w:sz w:val="24"/>
          <w:szCs w:val="24"/>
        </w:rPr>
      </w:pPr>
      <w:r w:rsidRPr="00D33C41">
        <w:rPr>
          <w:b/>
          <w:sz w:val="24"/>
          <w:szCs w:val="24"/>
        </w:rPr>
        <w:t>3.</w:t>
      </w:r>
      <w:r w:rsidRPr="00D33C41">
        <w:rPr>
          <w:b/>
          <w:sz w:val="24"/>
          <w:szCs w:val="24"/>
        </w:rPr>
        <w:tab/>
        <w:t>LÆGEMIDDELFORM</w:t>
      </w:r>
    </w:p>
    <w:p w14:paraId="087B838A" w14:textId="04A1BFF5" w:rsidR="00143528" w:rsidRPr="00143528" w:rsidRDefault="00143528" w:rsidP="00C11463">
      <w:pPr>
        <w:ind w:left="851"/>
        <w:rPr>
          <w:sz w:val="24"/>
          <w:szCs w:val="24"/>
        </w:rPr>
      </w:pPr>
      <w:r w:rsidRPr="00143528">
        <w:rPr>
          <w:sz w:val="24"/>
          <w:szCs w:val="24"/>
        </w:rPr>
        <w:t>Filmovertruk</w:t>
      </w:r>
      <w:r w:rsidR="009906AA">
        <w:rPr>
          <w:sz w:val="24"/>
          <w:szCs w:val="24"/>
        </w:rPr>
        <w:t>ne</w:t>
      </w:r>
      <w:r w:rsidRPr="00143528">
        <w:rPr>
          <w:sz w:val="24"/>
          <w:szCs w:val="24"/>
        </w:rPr>
        <w:t xml:space="preserve"> tablet</w:t>
      </w:r>
      <w:r w:rsidR="009906AA">
        <w:rPr>
          <w:sz w:val="24"/>
          <w:szCs w:val="24"/>
        </w:rPr>
        <w:t>ter</w:t>
      </w:r>
      <w:r w:rsidRPr="00143528">
        <w:rPr>
          <w:sz w:val="24"/>
          <w:szCs w:val="24"/>
        </w:rPr>
        <w:t xml:space="preserve"> (tablet)</w:t>
      </w:r>
    </w:p>
    <w:p w14:paraId="0572049A" w14:textId="77777777" w:rsidR="00143528" w:rsidRPr="00143528" w:rsidRDefault="00143528" w:rsidP="00C11463">
      <w:pPr>
        <w:ind w:left="851"/>
        <w:rPr>
          <w:sz w:val="24"/>
          <w:szCs w:val="24"/>
        </w:rPr>
      </w:pPr>
    </w:p>
    <w:p w14:paraId="022735A8" w14:textId="254CA7B4" w:rsidR="00143528" w:rsidRPr="00143528" w:rsidRDefault="00143528" w:rsidP="00C11463">
      <w:pPr>
        <w:ind w:left="851"/>
        <w:rPr>
          <w:sz w:val="24"/>
          <w:szCs w:val="24"/>
          <w:u w:val="single"/>
        </w:rPr>
      </w:pPr>
      <w:proofErr w:type="spellStart"/>
      <w:r w:rsidRPr="00143528">
        <w:rPr>
          <w:sz w:val="24"/>
          <w:szCs w:val="24"/>
          <w:u w:val="single"/>
        </w:rPr>
        <w:t>Palbociclib</w:t>
      </w:r>
      <w:proofErr w:type="spellEnd"/>
      <w:r w:rsidRPr="00143528">
        <w:rPr>
          <w:sz w:val="24"/>
          <w:szCs w:val="24"/>
          <w:u w:val="single"/>
        </w:rPr>
        <w:t xml:space="preserve"> </w:t>
      </w:r>
      <w:r w:rsidR="009906AA">
        <w:rPr>
          <w:sz w:val="24"/>
          <w:szCs w:val="24"/>
          <w:u w:val="single"/>
        </w:rPr>
        <w:t>"</w:t>
      </w:r>
      <w:proofErr w:type="spellStart"/>
      <w:r w:rsidR="009906AA">
        <w:rPr>
          <w:sz w:val="24"/>
          <w:szCs w:val="24"/>
          <w:u w:val="single"/>
        </w:rPr>
        <w:t>Newbury</w:t>
      </w:r>
      <w:proofErr w:type="spellEnd"/>
      <w:r w:rsidR="009906AA">
        <w:rPr>
          <w:sz w:val="24"/>
          <w:szCs w:val="24"/>
          <w:u w:val="single"/>
        </w:rPr>
        <w:t>"</w:t>
      </w:r>
      <w:r w:rsidRPr="00143528">
        <w:rPr>
          <w:sz w:val="24"/>
          <w:szCs w:val="24"/>
          <w:u w:val="single"/>
        </w:rPr>
        <w:t xml:space="preserve"> 75 mg filmovertrukne tabletter</w:t>
      </w:r>
    </w:p>
    <w:p w14:paraId="354219DE" w14:textId="77777777" w:rsidR="00143528" w:rsidRPr="00143528" w:rsidRDefault="00143528" w:rsidP="00C11463">
      <w:pPr>
        <w:ind w:left="851"/>
        <w:rPr>
          <w:sz w:val="24"/>
          <w:szCs w:val="24"/>
        </w:rPr>
      </w:pPr>
      <w:r w:rsidRPr="00143528">
        <w:rPr>
          <w:sz w:val="24"/>
          <w:szCs w:val="24"/>
        </w:rPr>
        <w:t>Runde, 10,3 mm, lyslilla til lilla, filmovertrukne tabletter præet med “771” på den ene side og jævne på den anden side.</w:t>
      </w:r>
    </w:p>
    <w:p w14:paraId="43E71718" w14:textId="77777777" w:rsidR="00143528" w:rsidRPr="00143528" w:rsidRDefault="00143528" w:rsidP="00C11463">
      <w:pPr>
        <w:ind w:left="851"/>
        <w:rPr>
          <w:sz w:val="24"/>
          <w:szCs w:val="24"/>
        </w:rPr>
      </w:pPr>
    </w:p>
    <w:p w14:paraId="136DBC1A" w14:textId="590F097D" w:rsidR="00143528" w:rsidRPr="00143528" w:rsidRDefault="00143528" w:rsidP="00C11463">
      <w:pPr>
        <w:ind w:left="851"/>
        <w:rPr>
          <w:sz w:val="24"/>
          <w:szCs w:val="24"/>
          <w:u w:val="single"/>
        </w:rPr>
      </w:pPr>
      <w:proofErr w:type="spellStart"/>
      <w:r w:rsidRPr="00143528">
        <w:rPr>
          <w:sz w:val="24"/>
          <w:szCs w:val="24"/>
          <w:u w:val="single"/>
        </w:rPr>
        <w:t>Palbociclib</w:t>
      </w:r>
      <w:proofErr w:type="spellEnd"/>
      <w:r w:rsidRPr="00143528">
        <w:rPr>
          <w:sz w:val="24"/>
          <w:szCs w:val="24"/>
          <w:u w:val="single"/>
        </w:rPr>
        <w:t xml:space="preserve"> </w:t>
      </w:r>
      <w:r w:rsidR="009906AA">
        <w:rPr>
          <w:sz w:val="24"/>
          <w:szCs w:val="24"/>
          <w:u w:val="single"/>
        </w:rPr>
        <w:t>"</w:t>
      </w:r>
      <w:proofErr w:type="spellStart"/>
      <w:r w:rsidR="009906AA">
        <w:rPr>
          <w:sz w:val="24"/>
          <w:szCs w:val="24"/>
          <w:u w:val="single"/>
        </w:rPr>
        <w:t>Newbury</w:t>
      </w:r>
      <w:proofErr w:type="spellEnd"/>
      <w:r w:rsidR="009906AA">
        <w:rPr>
          <w:sz w:val="24"/>
          <w:szCs w:val="24"/>
          <w:u w:val="single"/>
        </w:rPr>
        <w:t>"</w:t>
      </w:r>
      <w:r w:rsidRPr="00143528">
        <w:rPr>
          <w:sz w:val="24"/>
          <w:szCs w:val="24"/>
          <w:u w:val="single"/>
        </w:rPr>
        <w:t xml:space="preserve"> 100 mg filmovertrukne tabletter</w:t>
      </w:r>
    </w:p>
    <w:p w14:paraId="73D5F6C0" w14:textId="4308BEBF" w:rsidR="00143528" w:rsidRPr="00143528" w:rsidRDefault="00143528" w:rsidP="00C11463">
      <w:pPr>
        <w:ind w:left="851"/>
        <w:rPr>
          <w:sz w:val="24"/>
          <w:szCs w:val="24"/>
        </w:rPr>
      </w:pPr>
      <w:r w:rsidRPr="00143528">
        <w:rPr>
          <w:sz w:val="24"/>
          <w:szCs w:val="24"/>
        </w:rPr>
        <w:t>Ovale, 15,0 </w:t>
      </w:r>
      <w:r w:rsidR="009906AA">
        <w:rPr>
          <w:sz w:val="24"/>
          <w:szCs w:val="24"/>
        </w:rPr>
        <w:t>×</w:t>
      </w:r>
      <w:r w:rsidRPr="00143528">
        <w:rPr>
          <w:sz w:val="24"/>
          <w:szCs w:val="24"/>
        </w:rPr>
        <w:t> 8,0 mm, lysegrønne til grønne, filmovertrukne tabletter præget med “772” på den ene side og jævne på den anden side.</w:t>
      </w:r>
    </w:p>
    <w:p w14:paraId="726824A0" w14:textId="77777777" w:rsidR="00143528" w:rsidRPr="00143528" w:rsidRDefault="00143528" w:rsidP="00C11463">
      <w:pPr>
        <w:ind w:left="851"/>
        <w:rPr>
          <w:sz w:val="24"/>
          <w:szCs w:val="24"/>
        </w:rPr>
      </w:pPr>
    </w:p>
    <w:p w14:paraId="2051F827" w14:textId="6290E163" w:rsidR="00143528" w:rsidRPr="00143528" w:rsidRDefault="00143528" w:rsidP="00C11463">
      <w:pPr>
        <w:ind w:left="851"/>
        <w:rPr>
          <w:sz w:val="24"/>
          <w:szCs w:val="24"/>
          <w:u w:val="single"/>
        </w:rPr>
      </w:pPr>
      <w:proofErr w:type="spellStart"/>
      <w:r w:rsidRPr="00143528">
        <w:rPr>
          <w:sz w:val="24"/>
          <w:szCs w:val="24"/>
          <w:u w:val="single"/>
        </w:rPr>
        <w:t>Palbociclib</w:t>
      </w:r>
      <w:proofErr w:type="spellEnd"/>
      <w:r w:rsidRPr="00143528">
        <w:rPr>
          <w:sz w:val="24"/>
          <w:szCs w:val="24"/>
          <w:u w:val="single"/>
        </w:rPr>
        <w:t xml:space="preserve"> </w:t>
      </w:r>
      <w:r w:rsidR="009906AA">
        <w:rPr>
          <w:sz w:val="24"/>
          <w:szCs w:val="24"/>
          <w:u w:val="single"/>
        </w:rPr>
        <w:t>"</w:t>
      </w:r>
      <w:proofErr w:type="spellStart"/>
      <w:r w:rsidR="009906AA">
        <w:rPr>
          <w:sz w:val="24"/>
          <w:szCs w:val="24"/>
          <w:u w:val="single"/>
        </w:rPr>
        <w:t>Newbury</w:t>
      </w:r>
      <w:proofErr w:type="spellEnd"/>
      <w:r w:rsidR="009906AA">
        <w:rPr>
          <w:sz w:val="24"/>
          <w:szCs w:val="24"/>
          <w:u w:val="single"/>
        </w:rPr>
        <w:t>"</w:t>
      </w:r>
      <w:r w:rsidRPr="00143528">
        <w:rPr>
          <w:sz w:val="24"/>
          <w:szCs w:val="24"/>
          <w:u w:val="single"/>
        </w:rPr>
        <w:t xml:space="preserve"> 125 mg filmovertrukne tabletter</w:t>
      </w:r>
    </w:p>
    <w:p w14:paraId="03A9A48C" w14:textId="62042001" w:rsidR="00143528" w:rsidRPr="00143528" w:rsidRDefault="00143528" w:rsidP="00C11463">
      <w:pPr>
        <w:ind w:left="851"/>
        <w:rPr>
          <w:sz w:val="24"/>
          <w:szCs w:val="24"/>
        </w:rPr>
      </w:pPr>
      <w:r w:rsidRPr="00143528">
        <w:rPr>
          <w:sz w:val="24"/>
          <w:szCs w:val="24"/>
        </w:rPr>
        <w:t>Ovale, 16,2 </w:t>
      </w:r>
      <w:r w:rsidR="009906AA">
        <w:rPr>
          <w:sz w:val="24"/>
          <w:szCs w:val="24"/>
        </w:rPr>
        <w:t>×</w:t>
      </w:r>
      <w:r w:rsidRPr="00143528">
        <w:rPr>
          <w:sz w:val="24"/>
          <w:szCs w:val="24"/>
        </w:rPr>
        <w:t> 8,6 mm, lyslilla til lilla, filmovertrukne tabletter præget med “773” på den ene side og jævne på den anden side.</w:t>
      </w:r>
    </w:p>
    <w:p w14:paraId="291E3B30" w14:textId="77777777" w:rsidR="009260DE" w:rsidRPr="00D33C41" w:rsidRDefault="009260DE" w:rsidP="009260DE">
      <w:pPr>
        <w:tabs>
          <w:tab w:val="left" w:pos="851"/>
        </w:tabs>
        <w:ind w:left="851"/>
        <w:rPr>
          <w:sz w:val="24"/>
          <w:szCs w:val="24"/>
        </w:rPr>
      </w:pPr>
    </w:p>
    <w:p w14:paraId="07D17543" w14:textId="77777777" w:rsidR="009260DE" w:rsidRPr="00D33C41" w:rsidRDefault="009260DE" w:rsidP="009260DE">
      <w:pPr>
        <w:tabs>
          <w:tab w:val="left" w:pos="851"/>
        </w:tabs>
        <w:ind w:left="851"/>
        <w:rPr>
          <w:sz w:val="24"/>
          <w:szCs w:val="24"/>
        </w:rPr>
      </w:pPr>
    </w:p>
    <w:p w14:paraId="098C3022" w14:textId="77777777" w:rsidR="009260DE" w:rsidRPr="00D33C41" w:rsidRDefault="009260DE" w:rsidP="009260DE">
      <w:pPr>
        <w:tabs>
          <w:tab w:val="left" w:pos="851"/>
        </w:tabs>
        <w:ind w:left="851" w:hanging="851"/>
        <w:rPr>
          <w:b/>
          <w:sz w:val="24"/>
          <w:szCs w:val="24"/>
        </w:rPr>
      </w:pPr>
      <w:r w:rsidRPr="00D33C41">
        <w:rPr>
          <w:b/>
          <w:sz w:val="24"/>
          <w:szCs w:val="24"/>
        </w:rPr>
        <w:lastRenderedPageBreak/>
        <w:t>4.</w:t>
      </w:r>
      <w:r w:rsidRPr="00D33C41">
        <w:rPr>
          <w:b/>
          <w:sz w:val="24"/>
          <w:szCs w:val="24"/>
        </w:rPr>
        <w:tab/>
        <w:t>KLINISKE OPLYSNINGER</w:t>
      </w:r>
    </w:p>
    <w:p w14:paraId="621F42F2" w14:textId="77777777" w:rsidR="009260DE" w:rsidRPr="00D33C41" w:rsidRDefault="009260DE" w:rsidP="009260DE">
      <w:pPr>
        <w:tabs>
          <w:tab w:val="left" w:pos="851"/>
        </w:tabs>
        <w:ind w:left="851"/>
        <w:rPr>
          <w:b/>
          <w:sz w:val="24"/>
          <w:szCs w:val="24"/>
        </w:rPr>
      </w:pPr>
    </w:p>
    <w:p w14:paraId="64581966" w14:textId="77777777" w:rsidR="009260DE" w:rsidRPr="00D33C41" w:rsidRDefault="009260DE" w:rsidP="009260DE">
      <w:pPr>
        <w:tabs>
          <w:tab w:val="left" w:pos="851"/>
        </w:tabs>
        <w:ind w:left="851" w:hanging="851"/>
        <w:rPr>
          <w:b/>
          <w:sz w:val="24"/>
          <w:szCs w:val="24"/>
          <w:u w:val="single"/>
        </w:rPr>
      </w:pPr>
      <w:r w:rsidRPr="00D33C41">
        <w:rPr>
          <w:b/>
          <w:sz w:val="24"/>
          <w:szCs w:val="24"/>
        </w:rPr>
        <w:t>4.1</w:t>
      </w:r>
      <w:r w:rsidRPr="00D33C41">
        <w:rPr>
          <w:b/>
          <w:sz w:val="24"/>
          <w:szCs w:val="24"/>
        </w:rPr>
        <w:tab/>
        <w:t>Terapeutiske indikationer</w:t>
      </w:r>
    </w:p>
    <w:p w14:paraId="7F404C1F" w14:textId="4B22D4B6" w:rsidR="00143528" w:rsidRPr="00143528" w:rsidRDefault="00143528" w:rsidP="00C11463">
      <w:pPr>
        <w:ind w:left="851"/>
        <w:rPr>
          <w:sz w:val="24"/>
          <w:szCs w:val="24"/>
        </w:rPr>
      </w:pP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er indiceret til behandling af hormonreceptor (HR)-positiv, human </w:t>
      </w:r>
      <w:proofErr w:type="spellStart"/>
      <w:r w:rsidRPr="00143528">
        <w:rPr>
          <w:sz w:val="24"/>
          <w:szCs w:val="24"/>
        </w:rPr>
        <w:t>epidermal</w:t>
      </w:r>
      <w:proofErr w:type="spellEnd"/>
      <w:r w:rsidRPr="00143528">
        <w:rPr>
          <w:sz w:val="24"/>
          <w:szCs w:val="24"/>
        </w:rPr>
        <w:t xml:space="preserve"> vækstfaktorreceptor 2 (HER</w:t>
      </w:r>
      <w:proofErr w:type="gramStart"/>
      <w:r w:rsidRPr="00143528">
        <w:rPr>
          <w:sz w:val="24"/>
          <w:szCs w:val="24"/>
        </w:rPr>
        <w:t>2)-</w:t>
      </w:r>
      <w:proofErr w:type="gramEnd"/>
      <w:r w:rsidRPr="00143528">
        <w:rPr>
          <w:sz w:val="24"/>
          <w:szCs w:val="24"/>
        </w:rPr>
        <w:t>negativ lokalt fremskreden eller metastatisk brystkræft:</w:t>
      </w:r>
    </w:p>
    <w:p w14:paraId="60B53F70" w14:textId="3E38B0A9" w:rsidR="00143528" w:rsidRPr="009906AA" w:rsidRDefault="00143528" w:rsidP="009906AA">
      <w:pPr>
        <w:pStyle w:val="Listeafsnit"/>
        <w:numPr>
          <w:ilvl w:val="0"/>
          <w:numId w:val="13"/>
        </w:numPr>
        <w:ind w:left="1276" w:hanging="425"/>
        <w:rPr>
          <w:sz w:val="24"/>
          <w:szCs w:val="24"/>
        </w:rPr>
      </w:pPr>
      <w:r w:rsidRPr="009906AA">
        <w:rPr>
          <w:sz w:val="24"/>
          <w:szCs w:val="24"/>
        </w:rPr>
        <w:t xml:space="preserve">i kombination med en </w:t>
      </w:r>
      <w:proofErr w:type="spellStart"/>
      <w:r w:rsidRPr="009906AA">
        <w:rPr>
          <w:sz w:val="24"/>
          <w:szCs w:val="24"/>
        </w:rPr>
        <w:t>aromatasehæmmer</w:t>
      </w:r>
      <w:proofErr w:type="spellEnd"/>
      <w:r w:rsidRPr="009906AA">
        <w:rPr>
          <w:sz w:val="24"/>
          <w:szCs w:val="24"/>
        </w:rPr>
        <w:t xml:space="preserve">; </w:t>
      </w:r>
    </w:p>
    <w:p w14:paraId="244FA765" w14:textId="2FCEF09B" w:rsidR="00143528" w:rsidRPr="009906AA" w:rsidRDefault="00143528" w:rsidP="009906AA">
      <w:pPr>
        <w:pStyle w:val="Listeafsnit"/>
        <w:numPr>
          <w:ilvl w:val="0"/>
          <w:numId w:val="13"/>
        </w:numPr>
        <w:ind w:left="1276" w:hanging="425"/>
        <w:rPr>
          <w:sz w:val="24"/>
          <w:szCs w:val="24"/>
        </w:rPr>
      </w:pPr>
      <w:r w:rsidRPr="009906AA">
        <w:rPr>
          <w:sz w:val="24"/>
          <w:szCs w:val="24"/>
        </w:rPr>
        <w:t xml:space="preserve">i kombination med </w:t>
      </w:r>
      <w:proofErr w:type="spellStart"/>
      <w:r w:rsidRPr="009906AA">
        <w:rPr>
          <w:sz w:val="24"/>
          <w:szCs w:val="24"/>
        </w:rPr>
        <w:t>fulvestrant</w:t>
      </w:r>
      <w:proofErr w:type="spellEnd"/>
      <w:r w:rsidRPr="009906AA">
        <w:rPr>
          <w:sz w:val="24"/>
          <w:szCs w:val="24"/>
        </w:rPr>
        <w:t xml:space="preserve"> hos kvinder, som forudgående har fået endokrin terapi (se pkt. 5.1)</w:t>
      </w:r>
    </w:p>
    <w:p w14:paraId="04E50574" w14:textId="2C431040" w:rsidR="00143528" w:rsidRPr="00143528" w:rsidRDefault="00143528" w:rsidP="00C11463">
      <w:pPr>
        <w:ind w:left="851"/>
        <w:rPr>
          <w:sz w:val="24"/>
          <w:szCs w:val="24"/>
        </w:rPr>
      </w:pPr>
      <w:r w:rsidRPr="00143528">
        <w:rPr>
          <w:sz w:val="24"/>
          <w:szCs w:val="24"/>
        </w:rPr>
        <w:t xml:space="preserve">Endokrin terapi skal kombineres med en </w:t>
      </w:r>
      <w:proofErr w:type="spellStart"/>
      <w:r w:rsidRPr="00143528">
        <w:rPr>
          <w:sz w:val="24"/>
          <w:szCs w:val="24"/>
        </w:rPr>
        <w:t>luteiniserende</w:t>
      </w:r>
      <w:proofErr w:type="spellEnd"/>
      <w:r w:rsidRPr="00143528">
        <w:rPr>
          <w:sz w:val="24"/>
          <w:szCs w:val="24"/>
        </w:rPr>
        <w:t xml:space="preserve"> hormon-frigivende hormon (LHRH)-agonist</w:t>
      </w:r>
      <w:r w:rsidR="009906AA">
        <w:rPr>
          <w:sz w:val="24"/>
          <w:szCs w:val="24"/>
        </w:rPr>
        <w:t xml:space="preserve"> </w:t>
      </w:r>
      <w:r w:rsidRPr="00143528">
        <w:rPr>
          <w:sz w:val="24"/>
          <w:szCs w:val="24"/>
        </w:rPr>
        <w:t xml:space="preserve">hos præ- og </w:t>
      </w:r>
      <w:proofErr w:type="spellStart"/>
      <w:r w:rsidRPr="00143528">
        <w:rPr>
          <w:sz w:val="24"/>
          <w:szCs w:val="24"/>
        </w:rPr>
        <w:t>perimenopausale</w:t>
      </w:r>
      <w:proofErr w:type="spellEnd"/>
      <w:r w:rsidRPr="00143528">
        <w:rPr>
          <w:sz w:val="24"/>
          <w:szCs w:val="24"/>
        </w:rPr>
        <w:t xml:space="preserve"> kvinder.</w:t>
      </w:r>
    </w:p>
    <w:p w14:paraId="2094CA01" w14:textId="77777777" w:rsidR="009260DE" w:rsidRPr="00D33C41" w:rsidRDefault="009260DE" w:rsidP="009260DE">
      <w:pPr>
        <w:tabs>
          <w:tab w:val="left" w:pos="851"/>
        </w:tabs>
        <w:ind w:left="851"/>
        <w:rPr>
          <w:sz w:val="24"/>
          <w:szCs w:val="24"/>
        </w:rPr>
      </w:pPr>
    </w:p>
    <w:p w14:paraId="07165ED6" w14:textId="77777777" w:rsidR="009260DE" w:rsidRPr="00D33C41" w:rsidRDefault="009260DE" w:rsidP="009260DE">
      <w:pPr>
        <w:tabs>
          <w:tab w:val="left" w:pos="851"/>
        </w:tabs>
        <w:ind w:left="851" w:hanging="851"/>
        <w:rPr>
          <w:b/>
          <w:sz w:val="24"/>
          <w:szCs w:val="24"/>
        </w:rPr>
      </w:pPr>
      <w:r w:rsidRPr="00D33C41">
        <w:rPr>
          <w:b/>
          <w:sz w:val="24"/>
          <w:szCs w:val="24"/>
        </w:rPr>
        <w:t>4.2</w:t>
      </w:r>
      <w:r w:rsidRPr="00D33C41">
        <w:rPr>
          <w:b/>
          <w:sz w:val="24"/>
          <w:szCs w:val="24"/>
        </w:rPr>
        <w:tab/>
        <w:t xml:space="preserve">Dosering og </w:t>
      </w:r>
      <w:r w:rsidR="002C1EC0" w:rsidRPr="00D33C41">
        <w:rPr>
          <w:b/>
          <w:sz w:val="24"/>
          <w:szCs w:val="24"/>
        </w:rPr>
        <w:t>administration</w:t>
      </w:r>
    </w:p>
    <w:p w14:paraId="6DB3CFF5" w14:textId="4F88B0AC" w:rsidR="00143528" w:rsidRPr="00143528" w:rsidRDefault="00143528" w:rsidP="00C11463">
      <w:pPr>
        <w:ind w:left="851"/>
        <w:rPr>
          <w:sz w:val="24"/>
          <w:szCs w:val="24"/>
        </w:rPr>
      </w:pPr>
      <w:r w:rsidRPr="00143528">
        <w:rPr>
          <w:sz w:val="24"/>
          <w:szCs w:val="24"/>
        </w:rPr>
        <w:t xml:space="preserve">Behandlingen med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skal initieres og superviseres af en læge med erfaring i administration af lægemidler mod kræft.</w:t>
      </w:r>
    </w:p>
    <w:p w14:paraId="263DE676" w14:textId="77777777" w:rsidR="00143528" w:rsidRPr="00143528" w:rsidRDefault="00143528" w:rsidP="00C11463">
      <w:pPr>
        <w:ind w:left="851"/>
        <w:rPr>
          <w:sz w:val="24"/>
          <w:szCs w:val="24"/>
        </w:rPr>
      </w:pPr>
    </w:p>
    <w:p w14:paraId="2FBF0B78" w14:textId="77777777" w:rsidR="00143528" w:rsidRPr="00143528" w:rsidRDefault="00143528" w:rsidP="00C11463">
      <w:pPr>
        <w:ind w:left="851"/>
        <w:rPr>
          <w:sz w:val="24"/>
          <w:szCs w:val="24"/>
          <w:u w:val="single"/>
        </w:rPr>
      </w:pPr>
      <w:r w:rsidRPr="00143528">
        <w:rPr>
          <w:sz w:val="24"/>
          <w:szCs w:val="24"/>
          <w:u w:val="single"/>
        </w:rPr>
        <w:t>Dosering</w:t>
      </w:r>
    </w:p>
    <w:p w14:paraId="4F27C2D3" w14:textId="77777777" w:rsidR="00143528" w:rsidRPr="00143528" w:rsidRDefault="00143528" w:rsidP="00C11463">
      <w:pPr>
        <w:ind w:left="851"/>
        <w:rPr>
          <w:sz w:val="24"/>
          <w:szCs w:val="24"/>
        </w:rPr>
      </w:pPr>
    </w:p>
    <w:p w14:paraId="4369F663" w14:textId="632BAEE8" w:rsidR="00143528" w:rsidRPr="00143528" w:rsidRDefault="00143528" w:rsidP="00C11463">
      <w:pPr>
        <w:ind w:left="851"/>
        <w:rPr>
          <w:sz w:val="24"/>
          <w:szCs w:val="24"/>
        </w:rPr>
      </w:pPr>
      <w:r w:rsidRPr="00143528">
        <w:rPr>
          <w:sz w:val="24"/>
          <w:szCs w:val="24"/>
        </w:rPr>
        <w:t xml:space="preserve">Den anbefalede dosis er 125 mg </w:t>
      </w:r>
      <w:proofErr w:type="spellStart"/>
      <w:r w:rsidRPr="00143528">
        <w:rPr>
          <w:sz w:val="24"/>
          <w:szCs w:val="24"/>
        </w:rPr>
        <w:t>palbociclib</w:t>
      </w:r>
      <w:proofErr w:type="spellEnd"/>
      <w:r w:rsidRPr="00143528">
        <w:rPr>
          <w:sz w:val="24"/>
          <w:szCs w:val="24"/>
        </w:rPr>
        <w:t xml:space="preserve"> en gang dagligt i 21 konsekutive dage efterfulgt af 7 dage uden behandling (doseringsplan 3/1), så et komplet cyklusforløb består af 28 dage. Behandlingen med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bør fortsætte, så længe patienten har klinisk gavn af behandlingen, eller indtil uacceptabel toksicitet.</w:t>
      </w:r>
    </w:p>
    <w:p w14:paraId="531E16B8" w14:textId="77777777" w:rsidR="00143528" w:rsidRPr="00143528" w:rsidRDefault="00143528" w:rsidP="00C11463">
      <w:pPr>
        <w:ind w:left="851"/>
        <w:rPr>
          <w:sz w:val="24"/>
          <w:szCs w:val="24"/>
        </w:rPr>
      </w:pPr>
    </w:p>
    <w:p w14:paraId="445A7A1E" w14:textId="77777777" w:rsidR="00143528" w:rsidRPr="00143528" w:rsidRDefault="00143528" w:rsidP="00C11463">
      <w:pPr>
        <w:ind w:left="851"/>
        <w:rPr>
          <w:sz w:val="24"/>
          <w:szCs w:val="24"/>
        </w:rPr>
      </w:pPr>
      <w:r w:rsidRPr="00143528">
        <w:rPr>
          <w:sz w:val="24"/>
          <w:szCs w:val="24"/>
        </w:rPr>
        <w:t xml:space="preserve">Ved samtidig administration af </w:t>
      </w:r>
      <w:proofErr w:type="spellStart"/>
      <w:r w:rsidRPr="00143528">
        <w:rPr>
          <w:sz w:val="24"/>
          <w:szCs w:val="24"/>
        </w:rPr>
        <w:t>palbociclib</w:t>
      </w:r>
      <w:proofErr w:type="spellEnd"/>
      <w:r w:rsidRPr="00143528">
        <w:rPr>
          <w:sz w:val="24"/>
          <w:szCs w:val="24"/>
        </w:rPr>
        <w:t xml:space="preserve"> skal </w:t>
      </w:r>
      <w:proofErr w:type="spellStart"/>
      <w:r w:rsidRPr="00143528">
        <w:rPr>
          <w:sz w:val="24"/>
          <w:szCs w:val="24"/>
        </w:rPr>
        <w:t>aromatasehæmmeren</w:t>
      </w:r>
      <w:proofErr w:type="spellEnd"/>
      <w:r w:rsidRPr="00143528">
        <w:rPr>
          <w:sz w:val="24"/>
          <w:szCs w:val="24"/>
        </w:rPr>
        <w:t xml:space="preserve"> administreres i henhold til dosisplanen angivet i produktresuméet. Behandling af præ- og </w:t>
      </w:r>
      <w:proofErr w:type="spellStart"/>
      <w:r w:rsidRPr="00143528">
        <w:rPr>
          <w:sz w:val="24"/>
          <w:szCs w:val="24"/>
        </w:rPr>
        <w:t>perimenopausale</w:t>
      </w:r>
      <w:proofErr w:type="spellEnd"/>
      <w:r w:rsidRPr="00143528">
        <w:rPr>
          <w:sz w:val="24"/>
          <w:szCs w:val="24"/>
        </w:rPr>
        <w:t xml:space="preserve"> kvinder med kombinationen </w:t>
      </w:r>
      <w:proofErr w:type="spellStart"/>
      <w:r w:rsidRPr="00143528">
        <w:rPr>
          <w:sz w:val="24"/>
          <w:szCs w:val="24"/>
        </w:rPr>
        <w:t>palbociclib</w:t>
      </w:r>
      <w:proofErr w:type="spellEnd"/>
      <w:r w:rsidRPr="00143528">
        <w:rPr>
          <w:sz w:val="24"/>
          <w:szCs w:val="24"/>
        </w:rPr>
        <w:t xml:space="preserve"> plus en </w:t>
      </w:r>
      <w:proofErr w:type="spellStart"/>
      <w:r w:rsidRPr="00143528">
        <w:rPr>
          <w:sz w:val="24"/>
          <w:szCs w:val="24"/>
        </w:rPr>
        <w:t>aromatasehæmmer</w:t>
      </w:r>
      <w:proofErr w:type="spellEnd"/>
      <w:r w:rsidRPr="00143528">
        <w:rPr>
          <w:sz w:val="24"/>
          <w:szCs w:val="24"/>
        </w:rPr>
        <w:t xml:space="preserve"> skal altid kombineres med en LHRH-agonist (se pkt. 4.4).</w:t>
      </w:r>
    </w:p>
    <w:p w14:paraId="5E0BB29A" w14:textId="77777777" w:rsidR="00143528" w:rsidRPr="00143528" w:rsidRDefault="00143528" w:rsidP="00C11463">
      <w:pPr>
        <w:ind w:left="851"/>
        <w:rPr>
          <w:sz w:val="24"/>
          <w:szCs w:val="24"/>
        </w:rPr>
      </w:pPr>
    </w:p>
    <w:p w14:paraId="01CFB8C2" w14:textId="77777777" w:rsidR="00143528" w:rsidRPr="00143528" w:rsidRDefault="00143528" w:rsidP="00C11463">
      <w:pPr>
        <w:ind w:left="851"/>
        <w:rPr>
          <w:sz w:val="24"/>
          <w:szCs w:val="24"/>
        </w:rPr>
      </w:pPr>
      <w:r w:rsidRPr="00143528">
        <w:rPr>
          <w:sz w:val="24"/>
          <w:szCs w:val="24"/>
        </w:rPr>
        <w:t xml:space="preserve">Ved samtidig administration af </w:t>
      </w:r>
      <w:proofErr w:type="spellStart"/>
      <w:r w:rsidRPr="00143528">
        <w:rPr>
          <w:sz w:val="24"/>
          <w:szCs w:val="24"/>
        </w:rPr>
        <w:t>palbociclib</w:t>
      </w:r>
      <w:proofErr w:type="spellEnd"/>
      <w:r w:rsidRPr="00143528">
        <w:rPr>
          <w:sz w:val="24"/>
          <w:szCs w:val="24"/>
        </w:rPr>
        <w:t xml:space="preserve"> er den anbefalede dosis af </w:t>
      </w:r>
      <w:proofErr w:type="spellStart"/>
      <w:r w:rsidRPr="00143528">
        <w:rPr>
          <w:sz w:val="24"/>
          <w:szCs w:val="24"/>
        </w:rPr>
        <w:t>fulvestrant</w:t>
      </w:r>
      <w:proofErr w:type="spellEnd"/>
      <w:r w:rsidRPr="00143528">
        <w:rPr>
          <w:sz w:val="24"/>
          <w:szCs w:val="24"/>
        </w:rPr>
        <w:t xml:space="preserve"> 500 mg intramuskulært på dag 1, 15, 29 og derefter én gang om måneden. Se produktresuméet for </w:t>
      </w:r>
      <w:proofErr w:type="spellStart"/>
      <w:r w:rsidRPr="00143528">
        <w:rPr>
          <w:sz w:val="24"/>
          <w:szCs w:val="24"/>
        </w:rPr>
        <w:t>fulvestrant</w:t>
      </w:r>
      <w:proofErr w:type="spellEnd"/>
      <w:r w:rsidRPr="00143528">
        <w:rPr>
          <w:sz w:val="24"/>
          <w:szCs w:val="24"/>
        </w:rPr>
        <w:t xml:space="preserve"> for yderligere oplysninger. Præ-/</w:t>
      </w:r>
      <w:proofErr w:type="spellStart"/>
      <w:r w:rsidRPr="00143528">
        <w:rPr>
          <w:sz w:val="24"/>
          <w:szCs w:val="24"/>
        </w:rPr>
        <w:t>perimenopausale</w:t>
      </w:r>
      <w:proofErr w:type="spellEnd"/>
      <w:r w:rsidRPr="00143528">
        <w:rPr>
          <w:sz w:val="24"/>
          <w:szCs w:val="24"/>
        </w:rPr>
        <w:t xml:space="preserve"> kvinder skal behandles med en LHRH-agonist i henhold til lokal klinisk praksis inden start af behandling med kombinationen </w:t>
      </w:r>
      <w:proofErr w:type="spellStart"/>
      <w:r w:rsidRPr="00143528">
        <w:rPr>
          <w:sz w:val="24"/>
          <w:szCs w:val="24"/>
        </w:rPr>
        <w:t>palbociclib</w:t>
      </w:r>
      <w:proofErr w:type="spellEnd"/>
      <w:r w:rsidRPr="00143528">
        <w:rPr>
          <w:sz w:val="24"/>
          <w:szCs w:val="24"/>
        </w:rPr>
        <w:t xml:space="preserve"> plus </w:t>
      </w:r>
      <w:proofErr w:type="spellStart"/>
      <w:r w:rsidRPr="00143528">
        <w:rPr>
          <w:sz w:val="24"/>
          <w:szCs w:val="24"/>
        </w:rPr>
        <w:t>fulvestrant</w:t>
      </w:r>
      <w:proofErr w:type="spellEnd"/>
      <w:r w:rsidRPr="00143528">
        <w:rPr>
          <w:sz w:val="24"/>
          <w:szCs w:val="24"/>
        </w:rPr>
        <w:t xml:space="preserve"> og under hele behandlingen.</w:t>
      </w:r>
    </w:p>
    <w:p w14:paraId="18EF92CA" w14:textId="77777777" w:rsidR="00143528" w:rsidRPr="00143528" w:rsidRDefault="00143528" w:rsidP="00C11463">
      <w:pPr>
        <w:ind w:left="851"/>
        <w:rPr>
          <w:sz w:val="24"/>
          <w:szCs w:val="24"/>
        </w:rPr>
      </w:pPr>
    </w:p>
    <w:p w14:paraId="39DF1E96" w14:textId="77777777" w:rsidR="00143528" w:rsidRPr="00143528" w:rsidRDefault="00143528" w:rsidP="00C11463">
      <w:pPr>
        <w:ind w:left="851"/>
        <w:rPr>
          <w:sz w:val="24"/>
          <w:szCs w:val="24"/>
        </w:rPr>
      </w:pPr>
      <w:r w:rsidRPr="00143528">
        <w:rPr>
          <w:sz w:val="24"/>
          <w:szCs w:val="24"/>
        </w:rPr>
        <w:t>Patienterne skal opfordres til at tage dosis på omtrent samme tidspunkt hver dag. Hvis en patient kaster op eller glemmer en dosis, må der ikke tages en ekstra dosis samme dag. Den næste dosis skal tages på det sædvanlige tidspunkt.</w:t>
      </w:r>
    </w:p>
    <w:p w14:paraId="3FA52ABF" w14:textId="77777777" w:rsidR="00143528" w:rsidRPr="00143528" w:rsidRDefault="00143528" w:rsidP="00C11463">
      <w:pPr>
        <w:ind w:left="851"/>
        <w:rPr>
          <w:sz w:val="24"/>
          <w:szCs w:val="24"/>
        </w:rPr>
      </w:pPr>
    </w:p>
    <w:p w14:paraId="3E65BB73" w14:textId="77777777" w:rsidR="00143528" w:rsidRPr="00143528" w:rsidRDefault="00143528" w:rsidP="00C11463">
      <w:pPr>
        <w:ind w:left="851"/>
        <w:rPr>
          <w:i/>
          <w:iCs/>
          <w:sz w:val="24"/>
          <w:szCs w:val="24"/>
        </w:rPr>
      </w:pPr>
      <w:r w:rsidRPr="00143528">
        <w:rPr>
          <w:i/>
          <w:iCs/>
          <w:sz w:val="24"/>
          <w:szCs w:val="24"/>
        </w:rPr>
        <w:t>Dosisjustering</w:t>
      </w:r>
    </w:p>
    <w:p w14:paraId="5FD5115A" w14:textId="7B7C7BF7" w:rsidR="00143528" w:rsidRPr="00143528" w:rsidRDefault="00143528" w:rsidP="00C11463">
      <w:pPr>
        <w:ind w:left="851"/>
        <w:rPr>
          <w:sz w:val="24"/>
          <w:szCs w:val="24"/>
        </w:rPr>
      </w:pPr>
      <w:r w:rsidRPr="00143528">
        <w:rPr>
          <w:sz w:val="24"/>
          <w:szCs w:val="24"/>
        </w:rPr>
        <w:t xml:space="preserve">Det anbefales at justere dosis af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på basis af individuel sikkerhed og </w:t>
      </w:r>
      <w:proofErr w:type="spellStart"/>
      <w:r w:rsidRPr="00143528">
        <w:rPr>
          <w:sz w:val="24"/>
          <w:szCs w:val="24"/>
        </w:rPr>
        <w:t>tolerabilitet</w:t>
      </w:r>
      <w:proofErr w:type="spellEnd"/>
      <w:r w:rsidRPr="00143528">
        <w:rPr>
          <w:sz w:val="24"/>
          <w:szCs w:val="24"/>
        </w:rPr>
        <w:t>.</w:t>
      </w:r>
    </w:p>
    <w:p w14:paraId="0C079D17" w14:textId="77777777" w:rsidR="00143528" w:rsidRPr="00143528" w:rsidRDefault="00143528" w:rsidP="00C11463">
      <w:pPr>
        <w:ind w:left="851"/>
        <w:rPr>
          <w:sz w:val="24"/>
          <w:szCs w:val="24"/>
        </w:rPr>
      </w:pPr>
    </w:p>
    <w:p w14:paraId="1B222458" w14:textId="77777777" w:rsidR="00143528" w:rsidRPr="00143528" w:rsidRDefault="00143528" w:rsidP="00C11463">
      <w:pPr>
        <w:ind w:left="851"/>
        <w:rPr>
          <w:sz w:val="24"/>
          <w:szCs w:val="24"/>
        </w:rPr>
      </w:pPr>
      <w:r w:rsidRPr="00143528">
        <w:rPr>
          <w:sz w:val="24"/>
          <w:szCs w:val="24"/>
        </w:rPr>
        <w:t xml:space="preserve">Håndtering af visse bivirkninger kan kræve midlertidig </w:t>
      </w:r>
      <w:proofErr w:type="spellStart"/>
      <w:r w:rsidRPr="00143528">
        <w:rPr>
          <w:sz w:val="24"/>
          <w:szCs w:val="24"/>
        </w:rPr>
        <w:t>seponering</w:t>
      </w:r>
      <w:proofErr w:type="spellEnd"/>
      <w:r w:rsidRPr="00143528">
        <w:rPr>
          <w:sz w:val="24"/>
          <w:szCs w:val="24"/>
        </w:rPr>
        <w:t xml:space="preserve">/udsættelse af behandlingen og/eller dosisnedsættelse eller permanent </w:t>
      </w:r>
      <w:proofErr w:type="spellStart"/>
      <w:r w:rsidRPr="00143528">
        <w:rPr>
          <w:sz w:val="24"/>
          <w:szCs w:val="24"/>
        </w:rPr>
        <w:t>seponering</w:t>
      </w:r>
      <w:proofErr w:type="spellEnd"/>
      <w:r w:rsidRPr="00143528">
        <w:rPr>
          <w:sz w:val="24"/>
          <w:szCs w:val="24"/>
        </w:rPr>
        <w:t xml:space="preserve"> i henhold til de anbefalinger for dosisnedsættelse, som er angivet i skema 1, 2 og 3 (se pkt. 4.4 og 4.8).</w:t>
      </w:r>
    </w:p>
    <w:p w14:paraId="07D90529" w14:textId="77777777" w:rsidR="00143528" w:rsidRPr="00143528" w:rsidRDefault="00143528" w:rsidP="00C11463">
      <w:pPr>
        <w:ind w:left="851"/>
        <w:rPr>
          <w:sz w:val="24"/>
          <w:szCs w:val="24"/>
        </w:rPr>
      </w:pPr>
    </w:p>
    <w:p w14:paraId="2BA7AA6C" w14:textId="06CC9D36" w:rsidR="00143528" w:rsidRPr="00143528" w:rsidRDefault="00143528" w:rsidP="00C11463">
      <w:pPr>
        <w:ind w:left="851"/>
        <w:rPr>
          <w:sz w:val="24"/>
          <w:szCs w:val="24"/>
        </w:rPr>
      </w:pPr>
      <w:r w:rsidRPr="00143528">
        <w:rPr>
          <w:b/>
          <w:bCs/>
          <w:sz w:val="24"/>
          <w:szCs w:val="24"/>
        </w:rPr>
        <w:t>Skema 1.</w:t>
      </w:r>
      <w:r w:rsidR="00C11463" w:rsidRPr="00D33C41">
        <w:rPr>
          <w:b/>
          <w:bCs/>
          <w:sz w:val="24"/>
          <w:szCs w:val="24"/>
        </w:rPr>
        <w:t xml:space="preserve"> </w:t>
      </w:r>
      <w:r w:rsidRPr="00143528">
        <w:rPr>
          <w:b/>
          <w:bCs/>
          <w:sz w:val="24"/>
          <w:szCs w:val="24"/>
        </w:rPr>
        <w:t xml:space="preserve">Anbefalede dosisjusteringer af </w:t>
      </w:r>
      <w:proofErr w:type="spellStart"/>
      <w:r w:rsidRPr="00143528">
        <w:rPr>
          <w:b/>
          <w:bCs/>
          <w:sz w:val="24"/>
          <w:szCs w:val="24"/>
        </w:rPr>
        <w:t>palbociclib</w:t>
      </w:r>
      <w:proofErr w:type="spellEnd"/>
      <w:r w:rsidRPr="00143528">
        <w:rPr>
          <w:b/>
          <w:bCs/>
          <w:sz w:val="24"/>
          <w:szCs w:val="24"/>
        </w:rPr>
        <w:t xml:space="preserve"> ved bivirkninger</w:t>
      </w:r>
    </w:p>
    <w:tbl>
      <w:tblPr>
        <w:tblStyle w:val="Tabel-Gitter"/>
        <w:tblW w:w="8647" w:type="dxa"/>
        <w:tblInd w:w="846" w:type="dxa"/>
        <w:tblLook w:val="04A0" w:firstRow="1" w:lastRow="0" w:firstColumn="1" w:lastColumn="0" w:noHBand="0" w:noVBand="1"/>
      </w:tblPr>
      <w:tblGrid>
        <w:gridCol w:w="4527"/>
        <w:gridCol w:w="4120"/>
      </w:tblGrid>
      <w:tr w:rsidR="00143528" w:rsidRPr="00143528" w14:paraId="683F254B" w14:textId="77777777" w:rsidTr="00C11463">
        <w:tc>
          <w:tcPr>
            <w:tcW w:w="4527" w:type="dxa"/>
            <w:tcBorders>
              <w:top w:val="single" w:sz="4" w:space="0" w:color="auto"/>
              <w:left w:val="single" w:sz="4" w:space="0" w:color="auto"/>
              <w:bottom w:val="single" w:sz="4" w:space="0" w:color="auto"/>
              <w:right w:val="single" w:sz="4" w:space="0" w:color="auto"/>
            </w:tcBorders>
            <w:hideMark/>
          </w:tcPr>
          <w:p w14:paraId="5A41B15F" w14:textId="77777777" w:rsidR="00143528" w:rsidRPr="00143528" w:rsidRDefault="00143528" w:rsidP="009906AA">
            <w:pPr>
              <w:ind w:left="32"/>
              <w:jc w:val="center"/>
              <w:rPr>
                <w:sz w:val="24"/>
                <w:szCs w:val="24"/>
              </w:rPr>
            </w:pPr>
            <w:proofErr w:type="spellStart"/>
            <w:r w:rsidRPr="00143528">
              <w:rPr>
                <w:b/>
                <w:bCs/>
                <w:sz w:val="24"/>
                <w:szCs w:val="24"/>
                <w:lang w:val="sv-SE"/>
              </w:rPr>
              <w:t>Dosisniveau</w:t>
            </w:r>
            <w:proofErr w:type="spellEnd"/>
          </w:p>
        </w:tc>
        <w:tc>
          <w:tcPr>
            <w:tcW w:w="4120" w:type="dxa"/>
            <w:tcBorders>
              <w:top w:val="single" w:sz="4" w:space="0" w:color="auto"/>
              <w:left w:val="single" w:sz="4" w:space="0" w:color="auto"/>
              <w:bottom w:val="single" w:sz="4" w:space="0" w:color="auto"/>
              <w:right w:val="single" w:sz="4" w:space="0" w:color="auto"/>
            </w:tcBorders>
            <w:hideMark/>
          </w:tcPr>
          <w:p w14:paraId="253E75EF" w14:textId="77777777" w:rsidR="00143528" w:rsidRPr="00143528" w:rsidRDefault="00143528" w:rsidP="009906AA">
            <w:pPr>
              <w:ind w:left="32"/>
              <w:jc w:val="center"/>
              <w:rPr>
                <w:sz w:val="24"/>
                <w:szCs w:val="24"/>
              </w:rPr>
            </w:pPr>
            <w:r w:rsidRPr="00143528">
              <w:rPr>
                <w:b/>
                <w:bCs/>
                <w:sz w:val="24"/>
                <w:szCs w:val="24"/>
                <w:lang w:val="sv-SE"/>
              </w:rPr>
              <w:t>Dosis</w:t>
            </w:r>
          </w:p>
        </w:tc>
      </w:tr>
      <w:tr w:rsidR="00143528" w:rsidRPr="00143528" w14:paraId="164D44B0" w14:textId="77777777" w:rsidTr="00C11463">
        <w:tc>
          <w:tcPr>
            <w:tcW w:w="4527" w:type="dxa"/>
            <w:tcBorders>
              <w:top w:val="single" w:sz="4" w:space="0" w:color="auto"/>
              <w:left w:val="single" w:sz="4" w:space="0" w:color="auto"/>
              <w:bottom w:val="single" w:sz="4" w:space="0" w:color="auto"/>
              <w:right w:val="single" w:sz="4" w:space="0" w:color="auto"/>
            </w:tcBorders>
            <w:hideMark/>
          </w:tcPr>
          <w:p w14:paraId="5986956C" w14:textId="77777777" w:rsidR="00143528" w:rsidRPr="00143528" w:rsidRDefault="00143528" w:rsidP="009906AA">
            <w:pPr>
              <w:ind w:left="32"/>
              <w:jc w:val="center"/>
              <w:rPr>
                <w:sz w:val="24"/>
                <w:szCs w:val="24"/>
              </w:rPr>
            </w:pPr>
            <w:proofErr w:type="spellStart"/>
            <w:r w:rsidRPr="00143528">
              <w:rPr>
                <w:sz w:val="24"/>
                <w:szCs w:val="24"/>
                <w:lang w:val="sv-SE"/>
              </w:rPr>
              <w:t>Anbefalet</w:t>
            </w:r>
            <w:proofErr w:type="spellEnd"/>
            <w:r w:rsidRPr="00143528">
              <w:rPr>
                <w:sz w:val="24"/>
                <w:szCs w:val="24"/>
                <w:lang w:val="sv-SE"/>
              </w:rPr>
              <w:t xml:space="preserve"> dosis</w:t>
            </w:r>
          </w:p>
        </w:tc>
        <w:tc>
          <w:tcPr>
            <w:tcW w:w="4120" w:type="dxa"/>
            <w:tcBorders>
              <w:top w:val="single" w:sz="4" w:space="0" w:color="auto"/>
              <w:left w:val="single" w:sz="4" w:space="0" w:color="auto"/>
              <w:bottom w:val="single" w:sz="4" w:space="0" w:color="auto"/>
              <w:right w:val="single" w:sz="4" w:space="0" w:color="auto"/>
            </w:tcBorders>
            <w:hideMark/>
          </w:tcPr>
          <w:p w14:paraId="1B1F2EA6" w14:textId="77777777" w:rsidR="00143528" w:rsidRPr="00143528" w:rsidRDefault="00143528" w:rsidP="009906AA">
            <w:pPr>
              <w:ind w:left="32"/>
              <w:jc w:val="center"/>
              <w:rPr>
                <w:sz w:val="24"/>
                <w:szCs w:val="24"/>
              </w:rPr>
            </w:pPr>
            <w:r w:rsidRPr="00143528">
              <w:rPr>
                <w:sz w:val="24"/>
                <w:szCs w:val="24"/>
                <w:lang w:val="sv-SE"/>
              </w:rPr>
              <w:t>125 mg/dag</w:t>
            </w:r>
          </w:p>
        </w:tc>
      </w:tr>
      <w:tr w:rsidR="00143528" w:rsidRPr="00143528" w14:paraId="76E69EB7" w14:textId="77777777" w:rsidTr="00C11463">
        <w:tc>
          <w:tcPr>
            <w:tcW w:w="4527" w:type="dxa"/>
            <w:tcBorders>
              <w:top w:val="single" w:sz="4" w:space="0" w:color="auto"/>
              <w:left w:val="single" w:sz="4" w:space="0" w:color="auto"/>
              <w:bottom w:val="single" w:sz="4" w:space="0" w:color="auto"/>
              <w:right w:val="single" w:sz="4" w:space="0" w:color="auto"/>
            </w:tcBorders>
            <w:hideMark/>
          </w:tcPr>
          <w:p w14:paraId="2D50D820" w14:textId="77777777" w:rsidR="00143528" w:rsidRPr="00143528" w:rsidRDefault="00143528" w:rsidP="009906AA">
            <w:pPr>
              <w:ind w:left="32"/>
              <w:jc w:val="center"/>
              <w:rPr>
                <w:sz w:val="24"/>
                <w:szCs w:val="24"/>
              </w:rPr>
            </w:pPr>
            <w:proofErr w:type="spellStart"/>
            <w:r w:rsidRPr="00143528">
              <w:rPr>
                <w:sz w:val="24"/>
                <w:szCs w:val="24"/>
                <w:lang w:val="sv-SE"/>
              </w:rPr>
              <w:t>Første</w:t>
            </w:r>
            <w:proofErr w:type="spellEnd"/>
            <w:r w:rsidRPr="00143528">
              <w:rPr>
                <w:sz w:val="24"/>
                <w:szCs w:val="24"/>
                <w:lang w:val="sv-SE"/>
              </w:rPr>
              <w:t xml:space="preserve"> </w:t>
            </w:r>
            <w:proofErr w:type="spellStart"/>
            <w:r w:rsidRPr="00143528">
              <w:rPr>
                <w:sz w:val="24"/>
                <w:szCs w:val="24"/>
                <w:lang w:val="sv-SE"/>
              </w:rPr>
              <w:t>dosisnedsættelse</w:t>
            </w:r>
            <w:proofErr w:type="spellEnd"/>
          </w:p>
        </w:tc>
        <w:tc>
          <w:tcPr>
            <w:tcW w:w="4120" w:type="dxa"/>
            <w:tcBorders>
              <w:top w:val="single" w:sz="4" w:space="0" w:color="auto"/>
              <w:left w:val="single" w:sz="4" w:space="0" w:color="auto"/>
              <w:bottom w:val="single" w:sz="4" w:space="0" w:color="auto"/>
              <w:right w:val="single" w:sz="4" w:space="0" w:color="auto"/>
            </w:tcBorders>
            <w:hideMark/>
          </w:tcPr>
          <w:p w14:paraId="11800258" w14:textId="77777777" w:rsidR="00143528" w:rsidRPr="00143528" w:rsidRDefault="00143528" w:rsidP="009906AA">
            <w:pPr>
              <w:ind w:left="32"/>
              <w:jc w:val="center"/>
              <w:rPr>
                <w:sz w:val="24"/>
                <w:szCs w:val="24"/>
              </w:rPr>
            </w:pPr>
            <w:r w:rsidRPr="00143528">
              <w:rPr>
                <w:sz w:val="24"/>
                <w:szCs w:val="24"/>
                <w:lang w:val="sv-SE"/>
              </w:rPr>
              <w:t>100 mg/dag</w:t>
            </w:r>
          </w:p>
        </w:tc>
      </w:tr>
      <w:tr w:rsidR="00143528" w:rsidRPr="00143528" w14:paraId="28B99225" w14:textId="77777777" w:rsidTr="00C11463">
        <w:tc>
          <w:tcPr>
            <w:tcW w:w="4527" w:type="dxa"/>
            <w:tcBorders>
              <w:top w:val="single" w:sz="4" w:space="0" w:color="auto"/>
              <w:left w:val="single" w:sz="4" w:space="0" w:color="auto"/>
              <w:bottom w:val="single" w:sz="4" w:space="0" w:color="auto"/>
              <w:right w:val="single" w:sz="4" w:space="0" w:color="auto"/>
            </w:tcBorders>
            <w:hideMark/>
          </w:tcPr>
          <w:p w14:paraId="0863CDE4" w14:textId="77777777" w:rsidR="00143528" w:rsidRPr="00143528" w:rsidRDefault="00143528" w:rsidP="009906AA">
            <w:pPr>
              <w:ind w:left="32"/>
              <w:jc w:val="center"/>
              <w:rPr>
                <w:sz w:val="24"/>
                <w:szCs w:val="24"/>
              </w:rPr>
            </w:pPr>
            <w:r w:rsidRPr="00143528">
              <w:rPr>
                <w:sz w:val="24"/>
                <w:szCs w:val="24"/>
                <w:lang w:val="sv-SE"/>
              </w:rPr>
              <w:t xml:space="preserve">Anden </w:t>
            </w:r>
            <w:proofErr w:type="spellStart"/>
            <w:r w:rsidRPr="00143528">
              <w:rPr>
                <w:sz w:val="24"/>
                <w:szCs w:val="24"/>
                <w:lang w:val="sv-SE"/>
              </w:rPr>
              <w:t>dosisnedsættelse</w:t>
            </w:r>
            <w:proofErr w:type="spellEnd"/>
          </w:p>
        </w:tc>
        <w:tc>
          <w:tcPr>
            <w:tcW w:w="4120" w:type="dxa"/>
            <w:tcBorders>
              <w:top w:val="single" w:sz="4" w:space="0" w:color="auto"/>
              <w:left w:val="single" w:sz="4" w:space="0" w:color="auto"/>
              <w:bottom w:val="single" w:sz="4" w:space="0" w:color="auto"/>
              <w:right w:val="single" w:sz="4" w:space="0" w:color="auto"/>
            </w:tcBorders>
            <w:hideMark/>
          </w:tcPr>
          <w:p w14:paraId="77DE5D98" w14:textId="77777777" w:rsidR="00143528" w:rsidRPr="00143528" w:rsidRDefault="00143528" w:rsidP="009906AA">
            <w:pPr>
              <w:ind w:left="32"/>
              <w:jc w:val="center"/>
              <w:rPr>
                <w:sz w:val="24"/>
                <w:szCs w:val="24"/>
              </w:rPr>
            </w:pPr>
            <w:r w:rsidRPr="00143528">
              <w:rPr>
                <w:sz w:val="24"/>
                <w:szCs w:val="24"/>
                <w:lang w:val="sv-SE"/>
              </w:rPr>
              <w:t>75 mg/dag*</w:t>
            </w:r>
          </w:p>
        </w:tc>
      </w:tr>
    </w:tbl>
    <w:p w14:paraId="72286E14" w14:textId="77777777" w:rsidR="00143528" w:rsidRPr="00143528" w:rsidRDefault="00143528" w:rsidP="00C11463">
      <w:pPr>
        <w:ind w:left="851"/>
        <w:rPr>
          <w:sz w:val="20"/>
        </w:rPr>
      </w:pPr>
      <w:r w:rsidRPr="00143528">
        <w:rPr>
          <w:sz w:val="20"/>
        </w:rPr>
        <w:lastRenderedPageBreak/>
        <w:t>*Hvis yderligere dosisnedsættelse til under 75 mg/dag er nødvendig, skal behandlingen seponeres.</w:t>
      </w:r>
    </w:p>
    <w:p w14:paraId="1413F0E6" w14:textId="77777777" w:rsidR="00143528" w:rsidRPr="00143528" w:rsidRDefault="00143528" w:rsidP="00C11463">
      <w:pPr>
        <w:ind w:left="851"/>
        <w:rPr>
          <w:sz w:val="24"/>
          <w:szCs w:val="24"/>
        </w:rPr>
      </w:pPr>
    </w:p>
    <w:p w14:paraId="5C0D764E" w14:textId="087916AA" w:rsidR="00143528" w:rsidRPr="00143528" w:rsidRDefault="00143528" w:rsidP="00C11463">
      <w:pPr>
        <w:ind w:left="851"/>
        <w:rPr>
          <w:sz w:val="24"/>
          <w:szCs w:val="24"/>
        </w:rPr>
      </w:pPr>
      <w:r w:rsidRPr="00143528">
        <w:rPr>
          <w:sz w:val="24"/>
          <w:szCs w:val="24"/>
        </w:rPr>
        <w:t xml:space="preserve">Komplet blodtælling skal udføres inden start af behandling med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og i begyndelsen af hvert cyklusforløb samt på dag 15 i de første 2 cyklusforløb samt ved klinisk indikation.</w:t>
      </w:r>
    </w:p>
    <w:p w14:paraId="0B806482" w14:textId="77777777" w:rsidR="00143528" w:rsidRPr="00143528" w:rsidRDefault="00143528" w:rsidP="00C11463">
      <w:pPr>
        <w:ind w:left="851"/>
        <w:rPr>
          <w:sz w:val="24"/>
          <w:szCs w:val="24"/>
        </w:rPr>
      </w:pPr>
    </w:p>
    <w:p w14:paraId="579C7E5B" w14:textId="77777777" w:rsidR="00143528" w:rsidRPr="00143528" w:rsidRDefault="00143528" w:rsidP="00C11463">
      <w:pPr>
        <w:ind w:left="851"/>
        <w:rPr>
          <w:sz w:val="24"/>
          <w:szCs w:val="24"/>
        </w:rPr>
      </w:pPr>
      <w:r w:rsidRPr="00143528">
        <w:rPr>
          <w:sz w:val="24"/>
          <w:szCs w:val="24"/>
        </w:rPr>
        <w:t xml:space="preserve">Hos patienter, som får </w:t>
      </w:r>
      <w:proofErr w:type="spellStart"/>
      <w:r w:rsidRPr="00143528">
        <w:rPr>
          <w:sz w:val="24"/>
          <w:szCs w:val="24"/>
        </w:rPr>
        <w:t>neutropeni</w:t>
      </w:r>
      <w:proofErr w:type="spellEnd"/>
      <w:r w:rsidRPr="00143528">
        <w:rPr>
          <w:sz w:val="24"/>
          <w:szCs w:val="24"/>
        </w:rPr>
        <w:t xml:space="preserve"> af højst grad 1 eller 2 i de første 6 cyklusforløb, skal komplet blodtælling ved efterfølgende cyklusforløb monitoreres hver 3. måned, inden start af et cyklusforløb samt ved klinisk indikation.</w:t>
      </w:r>
    </w:p>
    <w:p w14:paraId="29A84C91" w14:textId="77777777" w:rsidR="00143528" w:rsidRPr="00143528" w:rsidRDefault="00143528" w:rsidP="00C11463">
      <w:pPr>
        <w:ind w:left="851"/>
        <w:rPr>
          <w:sz w:val="24"/>
          <w:szCs w:val="24"/>
        </w:rPr>
      </w:pPr>
    </w:p>
    <w:p w14:paraId="388E128B" w14:textId="165D4C37" w:rsidR="00143528" w:rsidRPr="00143528" w:rsidRDefault="00143528" w:rsidP="00C11463">
      <w:pPr>
        <w:ind w:left="851"/>
        <w:rPr>
          <w:sz w:val="24"/>
          <w:szCs w:val="24"/>
        </w:rPr>
      </w:pPr>
      <w:r w:rsidRPr="00143528">
        <w:rPr>
          <w:sz w:val="24"/>
          <w:szCs w:val="24"/>
        </w:rPr>
        <w:t xml:space="preserve">Inden administration af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anbefales et absolut </w:t>
      </w:r>
      <w:proofErr w:type="spellStart"/>
      <w:r w:rsidRPr="00143528">
        <w:rPr>
          <w:sz w:val="24"/>
          <w:szCs w:val="24"/>
        </w:rPr>
        <w:t>neutrofiltal</w:t>
      </w:r>
      <w:proofErr w:type="spellEnd"/>
      <w:r w:rsidRPr="00143528">
        <w:rPr>
          <w:sz w:val="24"/>
          <w:szCs w:val="24"/>
        </w:rPr>
        <w:t xml:space="preserve"> (ANC) ≥ 1.000/mm</w:t>
      </w:r>
      <w:r w:rsidRPr="00143528">
        <w:rPr>
          <w:sz w:val="24"/>
          <w:szCs w:val="24"/>
          <w:vertAlign w:val="superscript"/>
        </w:rPr>
        <w:t>3</w:t>
      </w:r>
      <w:r w:rsidRPr="00143528">
        <w:rPr>
          <w:sz w:val="24"/>
          <w:szCs w:val="24"/>
        </w:rPr>
        <w:t xml:space="preserve"> og </w:t>
      </w:r>
      <w:proofErr w:type="spellStart"/>
      <w:r w:rsidRPr="00143528">
        <w:rPr>
          <w:sz w:val="24"/>
          <w:szCs w:val="24"/>
        </w:rPr>
        <w:t>trombocyttal</w:t>
      </w:r>
      <w:proofErr w:type="spellEnd"/>
      <w:r w:rsidRPr="00143528">
        <w:rPr>
          <w:sz w:val="24"/>
          <w:szCs w:val="24"/>
        </w:rPr>
        <w:t xml:space="preserve"> ≥ 50.000/mm</w:t>
      </w:r>
      <w:r w:rsidRPr="00143528">
        <w:rPr>
          <w:sz w:val="24"/>
          <w:szCs w:val="24"/>
          <w:vertAlign w:val="superscript"/>
        </w:rPr>
        <w:t>3</w:t>
      </w:r>
      <w:r w:rsidRPr="00143528">
        <w:rPr>
          <w:sz w:val="24"/>
          <w:szCs w:val="24"/>
        </w:rPr>
        <w:t>.</w:t>
      </w:r>
    </w:p>
    <w:p w14:paraId="3D6A3D5B" w14:textId="77777777" w:rsidR="00143528" w:rsidRPr="00143528" w:rsidRDefault="00143528" w:rsidP="00C11463">
      <w:pPr>
        <w:ind w:left="851"/>
        <w:rPr>
          <w:sz w:val="24"/>
          <w:szCs w:val="24"/>
        </w:rPr>
      </w:pPr>
    </w:p>
    <w:p w14:paraId="2FC0A440" w14:textId="1D17DAF9" w:rsidR="00143528" w:rsidRPr="00143528" w:rsidRDefault="00143528" w:rsidP="00C11463">
      <w:pPr>
        <w:rPr>
          <w:sz w:val="24"/>
          <w:szCs w:val="24"/>
        </w:rPr>
      </w:pPr>
      <w:r w:rsidRPr="00143528">
        <w:rPr>
          <w:b/>
          <w:bCs/>
          <w:sz w:val="24"/>
          <w:szCs w:val="24"/>
        </w:rPr>
        <w:t>Skema 2.</w:t>
      </w:r>
      <w:r w:rsidR="00C11463" w:rsidRPr="00D33C41">
        <w:rPr>
          <w:b/>
          <w:bCs/>
          <w:sz w:val="24"/>
          <w:szCs w:val="24"/>
        </w:rPr>
        <w:t xml:space="preserve"> </w:t>
      </w:r>
      <w:r w:rsidRPr="00143528">
        <w:rPr>
          <w:b/>
          <w:bCs/>
          <w:sz w:val="24"/>
          <w:szCs w:val="24"/>
        </w:rPr>
        <w:t xml:space="preserve">Dosisjustering og håndtering af </w:t>
      </w:r>
      <w:proofErr w:type="spellStart"/>
      <w:r w:rsidRPr="00143528">
        <w:rPr>
          <w:b/>
          <w:bCs/>
          <w:sz w:val="24"/>
          <w:szCs w:val="24"/>
        </w:rPr>
        <w:t>palbociclib</w:t>
      </w:r>
      <w:proofErr w:type="spellEnd"/>
      <w:r w:rsidRPr="00143528">
        <w:rPr>
          <w:b/>
          <w:bCs/>
          <w:sz w:val="24"/>
          <w:szCs w:val="24"/>
        </w:rPr>
        <w:t>- Hæmatologisk toksicitet</w:t>
      </w:r>
    </w:p>
    <w:tbl>
      <w:tblPr>
        <w:tblStyle w:val="Tabel-Gitter"/>
        <w:tblW w:w="5000" w:type="pct"/>
        <w:tblInd w:w="0" w:type="dxa"/>
        <w:tblLook w:val="04A0" w:firstRow="1" w:lastRow="0" w:firstColumn="1" w:lastColumn="0" w:noHBand="0" w:noVBand="1"/>
      </w:tblPr>
      <w:tblGrid>
        <w:gridCol w:w="3010"/>
        <w:gridCol w:w="6618"/>
      </w:tblGrid>
      <w:tr w:rsidR="00143528" w:rsidRPr="00143528" w14:paraId="028F44A3" w14:textId="77777777" w:rsidTr="00C11463">
        <w:tc>
          <w:tcPr>
            <w:tcW w:w="1563" w:type="pct"/>
            <w:tcBorders>
              <w:top w:val="single" w:sz="4" w:space="0" w:color="auto"/>
              <w:left w:val="single" w:sz="4" w:space="0" w:color="auto"/>
              <w:bottom w:val="single" w:sz="4" w:space="0" w:color="auto"/>
              <w:right w:val="single" w:sz="4" w:space="0" w:color="auto"/>
            </w:tcBorders>
            <w:hideMark/>
          </w:tcPr>
          <w:p w14:paraId="0C69FD13" w14:textId="77777777" w:rsidR="00143528" w:rsidRPr="00143528" w:rsidRDefault="00143528" w:rsidP="009906AA">
            <w:pPr>
              <w:ind w:left="32"/>
              <w:jc w:val="center"/>
              <w:rPr>
                <w:sz w:val="24"/>
                <w:szCs w:val="24"/>
              </w:rPr>
            </w:pPr>
            <w:r w:rsidRPr="00143528">
              <w:rPr>
                <w:b/>
                <w:bCs/>
                <w:sz w:val="24"/>
                <w:szCs w:val="24"/>
                <w:lang w:val="sv-SE"/>
              </w:rPr>
              <w:t>CTCAE-grad</w:t>
            </w:r>
          </w:p>
        </w:tc>
        <w:tc>
          <w:tcPr>
            <w:tcW w:w="3437" w:type="pct"/>
            <w:tcBorders>
              <w:top w:val="single" w:sz="4" w:space="0" w:color="auto"/>
              <w:left w:val="single" w:sz="4" w:space="0" w:color="auto"/>
              <w:bottom w:val="single" w:sz="4" w:space="0" w:color="auto"/>
              <w:right w:val="single" w:sz="4" w:space="0" w:color="auto"/>
            </w:tcBorders>
            <w:hideMark/>
          </w:tcPr>
          <w:p w14:paraId="591E82DD" w14:textId="77777777" w:rsidR="00143528" w:rsidRPr="00143528" w:rsidRDefault="00143528" w:rsidP="009906AA">
            <w:pPr>
              <w:ind w:left="32"/>
              <w:jc w:val="center"/>
              <w:rPr>
                <w:sz w:val="24"/>
                <w:szCs w:val="24"/>
              </w:rPr>
            </w:pPr>
            <w:r w:rsidRPr="00143528">
              <w:rPr>
                <w:b/>
                <w:bCs/>
                <w:sz w:val="24"/>
                <w:szCs w:val="24"/>
                <w:lang w:val="sv-SE"/>
              </w:rPr>
              <w:t>Dosisjustering</w:t>
            </w:r>
          </w:p>
        </w:tc>
      </w:tr>
      <w:tr w:rsidR="00143528" w:rsidRPr="00143528" w14:paraId="4123AF50" w14:textId="77777777" w:rsidTr="00C11463">
        <w:tc>
          <w:tcPr>
            <w:tcW w:w="1563" w:type="pct"/>
            <w:tcBorders>
              <w:top w:val="single" w:sz="4" w:space="0" w:color="auto"/>
              <w:left w:val="single" w:sz="4" w:space="0" w:color="auto"/>
              <w:bottom w:val="single" w:sz="4" w:space="0" w:color="auto"/>
              <w:right w:val="single" w:sz="4" w:space="0" w:color="auto"/>
            </w:tcBorders>
            <w:hideMark/>
          </w:tcPr>
          <w:p w14:paraId="4D48C75A" w14:textId="77777777" w:rsidR="00143528" w:rsidRPr="00143528" w:rsidRDefault="00143528" w:rsidP="00C11463">
            <w:pPr>
              <w:ind w:left="32"/>
              <w:rPr>
                <w:sz w:val="24"/>
                <w:szCs w:val="24"/>
              </w:rPr>
            </w:pPr>
            <w:r w:rsidRPr="00143528">
              <w:rPr>
                <w:sz w:val="24"/>
                <w:szCs w:val="24"/>
                <w:lang w:val="sv-SE"/>
              </w:rPr>
              <w:t>Grad 1 eller 2</w:t>
            </w:r>
          </w:p>
        </w:tc>
        <w:tc>
          <w:tcPr>
            <w:tcW w:w="3437" w:type="pct"/>
            <w:tcBorders>
              <w:top w:val="single" w:sz="4" w:space="0" w:color="auto"/>
              <w:left w:val="single" w:sz="4" w:space="0" w:color="auto"/>
              <w:bottom w:val="single" w:sz="4" w:space="0" w:color="auto"/>
              <w:right w:val="single" w:sz="4" w:space="0" w:color="auto"/>
            </w:tcBorders>
            <w:hideMark/>
          </w:tcPr>
          <w:p w14:paraId="7C14B2FE" w14:textId="77777777" w:rsidR="00143528" w:rsidRPr="00143528" w:rsidRDefault="00143528" w:rsidP="00C11463">
            <w:pPr>
              <w:ind w:left="32"/>
              <w:rPr>
                <w:sz w:val="24"/>
                <w:szCs w:val="24"/>
              </w:rPr>
            </w:pPr>
            <w:r w:rsidRPr="00143528">
              <w:rPr>
                <w:sz w:val="24"/>
                <w:szCs w:val="24"/>
                <w:lang w:val="sv-SE"/>
              </w:rPr>
              <w:t xml:space="preserve">Dosisjustering </w:t>
            </w:r>
            <w:proofErr w:type="spellStart"/>
            <w:r w:rsidRPr="00143528">
              <w:rPr>
                <w:sz w:val="24"/>
                <w:szCs w:val="24"/>
                <w:lang w:val="sv-SE"/>
              </w:rPr>
              <w:t>ikke</w:t>
            </w:r>
            <w:proofErr w:type="spellEnd"/>
            <w:r w:rsidRPr="00143528">
              <w:rPr>
                <w:sz w:val="24"/>
                <w:szCs w:val="24"/>
                <w:lang w:val="sv-SE"/>
              </w:rPr>
              <w:t xml:space="preserve"> </w:t>
            </w:r>
            <w:proofErr w:type="spellStart"/>
            <w:r w:rsidRPr="00143528">
              <w:rPr>
                <w:sz w:val="24"/>
                <w:szCs w:val="24"/>
                <w:lang w:val="sv-SE"/>
              </w:rPr>
              <w:t>nødvendig</w:t>
            </w:r>
            <w:proofErr w:type="spellEnd"/>
            <w:r w:rsidRPr="00143528">
              <w:rPr>
                <w:sz w:val="24"/>
                <w:szCs w:val="24"/>
                <w:lang w:val="sv-SE"/>
              </w:rPr>
              <w:t>.</w:t>
            </w:r>
          </w:p>
        </w:tc>
      </w:tr>
      <w:tr w:rsidR="00143528" w:rsidRPr="00143528" w14:paraId="63915FE9" w14:textId="77777777" w:rsidTr="00C11463">
        <w:tc>
          <w:tcPr>
            <w:tcW w:w="1563" w:type="pct"/>
            <w:tcBorders>
              <w:top w:val="single" w:sz="4" w:space="0" w:color="auto"/>
              <w:left w:val="single" w:sz="4" w:space="0" w:color="auto"/>
              <w:bottom w:val="single" w:sz="4" w:space="0" w:color="auto"/>
              <w:right w:val="single" w:sz="4" w:space="0" w:color="auto"/>
            </w:tcBorders>
            <w:hideMark/>
          </w:tcPr>
          <w:p w14:paraId="11095F6A" w14:textId="77777777" w:rsidR="00143528" w:rsidRPr="00143528" w:rsidRDefault="00143528" w:rsidP="00C11463">
            <w:pPr>
              <w:ind w:left="32"/>
              <w:rPr>
                <w:sz w:val="24"/>
                <w:szCs w:val="24"/>
              </w:rPr>
            </w:pPr>
            <w:r w:rsidRPr="00143528">
              <w:rPr>
                <w:sz w:val="24"/>
                <w:szCs w:val="24"/>
                <w:lang w:val="sv-SE"/>
              </w:rPr>
              <w:t>Grad 3</w:t>
            </w:r>
            <w:r w:rsidRPr="00143528">
              <w:rPr>
                <w:sz w:val="24"/>
                <w:szCs w:val="24"/>
                <w:vertAlign w:val="superscript"/>
                <w:lang w:val="sv-SE"/>
              </w:rPr>
              <w:t>a</w:t>
            </w:r>
          </w:p>
        </w:tc>
        <w:tc>
          <w:tcPr>
            <w:tcW w:w="3437" w:type="pct"/>
            <w:tcBorders>
              <w:top w:val="single" w:sz="4" w:space="0" w:color="auto"/>
              <w:left w:val="single" w:sz="4" w:space="0" w:color="auto"/>
              <w:bottom w:val="single" w:sz="4" w:space="0" w:color="auto"/>
              <w:right w:val="single" w:sz="4" w:space="0" w:color="auto"/>
            </w:tcBorders>
          </w:tcPr>
          <w:p w14:paraId="2F9E26B2" w14:textId="77777777" w:rsidR="00143528" w:rsidRPr="00143528" w:rsidRDefault="00143528" w:rsidP="00C11463">
            <w:pPr>
              <w:ind w:left="32"/>
              <w:rPr>
                <w:sz w:val="24"/>
                <w:szCs w:val="24"/>
                <w:u w:val="single"/>
                <w:lang w:val="da-DK"/>
              </w:rPr>
            </w:pPr>
            <w:r w:rsidRPr="00143528">
              <w:rPr>
                <w:sz w:val="24"/>
                <w:szCs w:val="24"/>
                <w:u w:val="single"/>
                <w:lang w:val="da-DK"/>
              </w:rPr>
              <w:t>Dag 1 i cyklusforløbet:</w:t>
            </w:r>
          </w:p>
          <w:p w14:paraId="613F558D" w14:textId="35DBE523" w:rsidR="00143528" w:rsidRPr="00143528" w:rsidRDefault="00143528" w:rsidP="00C11463">
            <w:pPr>
              <w:ind w:left="32"/>
              <w:rPr>
                <w:sz w:val="24"/>
                <w:szCs w:val="24"/>
                <w:lang w:val="da-DK"/>
              </w:rPr>
            </w:pPr>
            <w:r w:rsidRPr="00143528">
              <w:rPr>
                <w:sz w:val="24"/>
                <w:szCs w:val="24"/>
                <w:lang w:val="da-DK"/>
              </w:rPr>
              <w:t xml:space="preserve">Udsæt </w:t>
            </w:r>
            <w:proofErr w:type="spellStart"/>
            <w:r w:rsidRPr="00143528">
              <w:rPr>
                <w:sz w:val="24"/>
                <w:szCs w:val="24"/>
                <w:lang w:val="da-DK"/>
              </w:rPr>
              <w:t>Palbociclib</w:t>
            </w:r>
            <w:proofErr w:type="spellEnd"/>
            <w:r w:rsidRPr="00143528">
              <w:rPr>
                <w:sz w:val="24"/>
                <w:szCs w:val="24"/>
                <w:lang w:val="da-DK"/>
              </w:rPr>
              <w:t xml:space="preserve"> </w:t>
            </w:r>
            <w:r w:rsidR="009906AA">
              <w:rPr>
                <w:sz w:val="24"/>
                <w:szCs w:val="24"/>
                <w:lang w:val="da-DK"/>
              </w:rPr>
              <w:t>"</w:t>
            </w:r>
            <w:proofErr w:type="spellStart"/>
            <w:r w:rsidR="009906AA">
              <w:rPr>
                <w:sz w:val="24"/>
                <w:szCs w:val="24"/>
                <w:lang w:val="da-DK"/>
              </w:rPr>
              <w:t>Newbury</w:t>
            </w:r>
            <w:proofErr w:type="spellEnd"/>
            <w:r w:rsidR="009906AA">
              <w:rPr>
                <w:sz w:val="24"/>
                <w:szCs w:val="24"/>
                <w:lang w:val="da-DK"/>
              </w:rPr>
              <w:t>"</w:t>
            </w:r>
            <w:r w:rsidRPr="00143528">
              <w:rPr>
                <w:sz w:val="24"/>
                <w:szCs w:val="24"/>
                <w:lang w:val="da-DK"/>
              </w:rPr>
              <w:t xml:space="preserve">, indtil bedring til grad ≤ 2, og gentag komplet blodtælling inden for 1 uge. Ved bedring til grad ≤ 2, start næste cyklusforløb på </w:t>
            </w:r>
            <w:r w:rsidRPr="00143528">
              <w:rPr>
                <w:i/>
                <w:iCs/>
                <w:sz w:val="24"/>
                <w:szCs w:val="24"/>
                <w:lang w:val="da-DK"/>
              </w:rPr>
              <w:t>samme dosisniveau</w:t>
            </w:r>
            <w:r w:rsidRPr="00143528">
              <w:rPr>
                <w:sz w:val="24"/>
                <w:szCs w:val="24"/>
                <w:lang w:val="da-DK"/>
              </w:rPr>
              <w:t>.</w:t>
            </w:r>
          </w:p>
          <w:p w14:paraId="55C1E8B9" w14:textId="77777777" w:rsidR="00143528" w:rsidRPr="00143528" w:rsidRDefault="00143528" w:rsidP="00C11463">
            <w:pPr>
              <w:ind w:left="32"/>
              <w:rPr>
                <w:sz w:val="24"/>
                <w:szCs w:val="24"/>
                <w:lang w:val="da-DK"/>
              </w:rPr>
            </w:pPr>
          </w:p>
          <w:p w14:paraId="0B09EDA2" w14:textId="77777777" w:rsidR="00143528" w:rsidRPr="00143528" w:rsidRDefault="00143528" w:rsidP="00C11463">
            <w:pPr>
              <w:ind w:left="32"/>
              <w:rPr>
                <w:sz w:val="24"/>
                <w:szCs w:val="24"/>
                <w:u w:val="single"/>
                <w:lang w:val="da-DK"/>
              </w:rPr>
            </w:pPr>
            <w:r w:rsidRPr="00143528">
              <w:rPr>
                <w:sz w:val="24"/>
                <w:szCs w:val="24"/>
                <w:u w:val="single"/>
                <w:lang w:val="da-DK"/>
              </w:rPr>
              <w:t>Dag 15 i de første 2 cyklusforløb:</w:t>
            </w:r>
          </w:p>
          <w:p w14:paraId="16EE0CF6" w14:textId="1B86EF13" w:rsidR="00143528" w:rsidRPr="00143528" w:rsidRDefault="00143528" w:rsidP="00C11463">
            <w:pPr>
              <w:ind w:left="32"/>
              <w:rPr>
                <w:sz w:val="24"/>
                <w:szCs w:val="24"/>
                <w:lang w:val="da-DK"/>
              </w:rPr>
            </w:pPr>
            <w:r w:rsidRPr="00143528">
              <w:rPr>
                <w:sz w:val="24"/>
                <w:szCs w:val="24"/>
                <w:lang w:val="da-DK"/>
              </w:rPr>
              <w:t xml:space="preserve">I tilfælde af grad 3 på dag 15, fortsæt med </w:t>
            </w:r>
            <w:proofErr w:type="spellStart"/>
            <w:r w:rsidRPr="00143528">
              <w:rPr>
                <w:sz w:val="24"/>
                <w:szCs w:val="24"/>
                <w:lang w:val="da-DK"/>
              </w:rPr>
              <w:t>Palbociclib</w:t>
            </w:r>
            <w:proofErr w:type="spellEnd"/>
            <w:r w:rsidRPr="00143528">
              <w:rPr>
                <w:sz w:val="24"/>
                <w:szCs w:val="24"/>
                <w:lang w:val="da-DK"/>
              </w:rPr>
              <w:t xml:space="preserve"> </w:t>
            </w:r>
            <w:r w:rsidR="009906AA">
              <w:rPr>
                <w:sz w:val="24"/>
                <w:szCs w:val="24"/>
                <w:lang w:val="da-DK"/>
              </w:rPr>
              <w:t>"</w:t>
            </w:r>
            <w:proofErr w:type="spellStart"/>
            <w:r w:rsidR="009906AA">
              <w:rPr>
                <w:sz w:val="24"/>
                <w:szCs w:val="24"/>
                <w:lang w:val="da-DK"/>
              </w:rPr>
              <w:t>Newbury</w:t>
            </w:r>
            <w:proofErr w:type="spellEnd"/>
            <w:r w:rsidR="009906AA">
              <w:rPr>
                <w:sz w:val="24"/>
                <w:szCs w:val="24"/>
                <w:lang w:val="da-DK"/>
              </w:rPr>
              <w:t>"</w:t>
            </w:r>
            <w:r w:rsidRPr="00143528">
              <w:rPr>
                <w:sz w:val="24"/>
                <w:szCs w:val="24"/>
                <w:lang w:val="da-DK"/>
              </w:rPr>
              <w:t xml:space="preserve"> på det</w:t>
            </w:r>
            <w:r w:rsidRPr="00143528">
              <w:rPr>
                <w:i/>
                <w:iCs/>
                <w:sz w:val="24"/>
                <w:szCs w:val="24"/>
                <w:lang w:val="da-DK"/>
              </w:rPr>
              <w:t xml:space="preserve"> nuværende dosisniveau</w:t>
            </w:r>
            <w:r w:rsidRPr="00143528">
              <w:rPr>
                <w:sz w:val="24"/>
                <w:szCs w:val="24"/>
                <w:lang w:val="da-DK"/>
              </w:rPr>
              <w:t xml:space="preserve"> for at fuldføre cyklusforløbet, og gentag komplet blodtælling på dag 22.</w:t>
            </w:r>
          </w:p>
          <w:p w14:paraId="4573FA2E" w14:textId="3059E2BB" w:rsidR="00143528" w:rsidRPr="00143528" w:rsidRDefault="00143528" w:rsidP="00C11463">
            <w:pPr>
              <w:ind w:left="32"/>
              <w:rPr>
                <w:sz w:val="24"/>
                <w:szCs w:val="24"/>
                <w:lang w:val="da-DK"/>
              </w:rPr>
            </w:pPr>
            <w:r w:rsidRPr="00143528">
              <w:rPr>
                <w:sz w:val="24"/>
                <w:szCs w:val="24"/>
                <w:lang w:val="da-DK"/>
              </w:rPr>
              <w:t>I tilfælde af grad 4 på dag 22, se retning</w:t>
            </w:r>
            <w:r w:rsidR="003A454E">
              <w:rPr>
                <w:sz w:val="24"/>
                <w:szCs w:val="24"/>
                <w:lang w:val="da-DK"/>
              </w:rPr>
              <w:t>s</w:t>
            </w:r>
            <w:r w:rsidRPr="00143528">
              <w:rPr>
                <w:sz w:val="24"/>
                <w:szCs w:val="24"/>
                <w:lang w:val="da-DK"/>
              </w:rPr>
              <w:t>linjerne herunder for grad 4 dosisjustering.</w:t>
            </w:r>
          </w:p>
          <w:p w14:paraId="0D519520" w14:textId="77777777" w:rsidR="00143528" w:rsidRPr="00143528" w:rsidRDefault="00143528" w:rsidP="00C11463">
            <w:pPr>
              <w:ind w:left="32"/>
              <w:rPr>
                <w:sz w:val="24"/>
                <w:szCs w:val="24"/>
                <w:lang w:val="da-DK"/>
              </w:rPr>
            </w:pPr>
          </w:p>
          <w:p w14:paraId="0DD29B02" w14:textId="77777777" w:rsidR="00143528" w:rsidRPr="00143528" w:rsidRDefault="00143528" w:rsidP="00C11463">
            <w:pPr>
              <w:ind w:left="32"/>
              <w:rPr>
                <w:sz w:val="24"/>
                <w:szCs w:val="24"/>
                <w:lang w:val="da-DK"/>
              </w:rPr>
            </w:pPr>
            <w:r w:rsidRPr="00143528">
              <w:rPr>
                <w:sz w:val="24"/>
                <w:szCs w:val="24"/>
                <w:lang w:val="da-DK"/>
              </w:rPr>
              <w:t xml:space="preserve">Overvej dosisnedsættelse i tilfælde af længerevarende (&gt; 1 uge) restitution fra </w:t>
            </w:r>
            <w:proofErr w:type="spellStart"/>
            <w:r w:rsidRPr="00143528">
              <w:rPr>
                <w:sz w:val="24"/>
                <w:szCs w:val="24"/>
                <w:lang w:val="da-DK"/>
              </w:rPr>
              <w:t>neutropeni</w:t>
            </w:r>
            <w:proofErr w:type="spellEnd"/>
            <w:r w:rsidRPr="00143528">
              <w:rPr>
                <w:sz w:val="24"/>
                <w:szCs w:val="24"/>
                <w:lang w:val="da-DK"/>
              </w:rPr>
              <w:t xml:space="preserve"> grad 3 eller tilbagevendende </w:t>
            </w:r>
            <w:proofErr w:type="spellStart"/>
            <w:r w:rsidRPr="00143528">
              <w:rPr>
                <w:sz w:val="24"/>
                <w:szCs w:val="24"/>
                <w:lang w:val="da-DK"/>
              </w:rPr>
              <w:t>neutropeni</w:t>
            </w:r>
            <w:proofErr w:type="spellEnd"/>
            <w:r w:rsidRPr="00143528">
              <w:rPr>
                <w:sz w:val="24"/>
                <w:szCs w:val="24"/>
                <w:lang w:val="da-DK"/>
              </w:rPr>
              <w:t xml:space="preserve"> grad 3 på dag 1 i efterfølgende behandlingsforløb.</w:t>
            </w:r>
          </w:p>
        </w:tc>
      </w:tr>
      <w:tr w:rsidR="00143528" w:rsidRPr="00143528" w14:paraId="7A3241FC" w14:textId="77777777" w:rsidTr="00C11463">
        <w:tc>
          <w:tcPr>
            <w:tcW w:w="1563" w:type="pct"/>
            <w:tcBorders>
              <w:top w:val="single" w:sz="4" w:space="0" w:color="auto"/>
              <w:left w:val="single" w:sz="4" w:space="0" w:color="auto"/>
              <w:bottom w:val="single" w:sz="4" w:space="0" w:color="auto"/>
              <w:right w:val="single" w:sz="4" w:space="0" w:color="auto"/>
            </w:tcBorders>
            <w:hideMark/>
          </w:tcPr>
          <w:p w14:paraId="5B1952B9" w14:textId="77777777" w:rsidR="00143528" w:rsidRPr="00143528" w:rsidRDefault="00143528" w:rsidP="00C11463">
            <w:pPr>
              <w:ind w:left="32"/>
              <w:rPr>
                <w:sz w:val="24"/>
                <w:szCs w:val="24"/>
                <w:lang w:val="da-DK"/>
              </w:rPr>
            </w:pPr>
            <w:r w:rsidRPr="00143528">
              <w:rPr>
                <w:sz w:val="24"/>
                <w:szCs w:val="24"/>
                <w:lang w:val="da-DK"/>
              </w:rPr>
              <w:t xml:space="preserve">Grad 3 </w:t>
            </w:r>
            <w:proofErr w:type="spellStart"/>
            <w:r w:rsidRPr="00143528">
              <w:rPr>
                <w:sz w:val="24"/>
                <w:szCs w:val="24"/>
                <w:lang w:val="da-DK"/>
              </w:rPr>
              <w:t>ANC</w:t>
            </w:r>
            <w:r w:rsidRPr="00143528">
              <w:rPr>
                <w:sz w:val="24"/>
                <w:szCs w:val="24"/>
                <w:vertAlign w:val="superscript"/>
                <w:lang w:val="da-DK"/>
              </w:rPr>
              <w:t>b</w:t>
            </w:r>
            <w:proofErr w:type="spellEnd"/>
          </w:p>
          <w:p w14:paraId="75875E51" w14:textId="77777777" w:rsidR="00143528" w:rsidRPr="00143528" w:rsidRDefault="00143528" w:rsidP="00C11463">
            <w:pPr>
              <w:ind w:left="32"/>
              <w:rPr>
                <w:sz w:val="24"/>
                <w:szCs w:val="24"/>
                <w:lang w:val="da-DK"/>
              </w:rPr>
            </w:pPr>
            <w:r w:rsidRPr="00143528">
              <w:rPr>
                <w:sz w:val="24"/>
                <w:szCs w:val="24"/>
                <w:lang w:val="da-DK"/>
              </w:rPr>
              <w:t>(&lt; 1.000 til 500/mm</w:t>
            </w:r>
            <w:r w:rsidRPr="00143528">
              <w:rPr>
                <w:sz w:val="24"/>
                <w:szCs w:val="24"/>
                <w:vertAlign w:val="superscript"/>
                <w:lang w:val="da-DK"/>
              </w:rPr>
              <w:t>3</w:t>
            </w:r>
            <w:r w:rsidRPr="00143528">
              <w:rPr>
                <w:sz w:val="24"/>
                <w:szCs w:val="24"/>
                <w:lang w:val="da-DK"/>
              </w:rPr>
              <w:t>)</w:t>
            </w:r>
          </w:p>
          <w:p w14:paraId="653A44D5" w14:textId="77777777" w:rsidR="00143528" w:rsidRPr="00143528" w:rsidRDefault="00143528" w:rsidP="00C11463">
            <w:pPr>
              <w:ind w:left="32"/>
              <w:rPr>
                <w:sz w:val="24"/>
                <w:szCs w:val="24"/>
                <w:lang w:val="da-DK"/>
              </w:rPr>
            </w:pPr>
            <w:r w:rsidRPr="00143528">
              <w:rPr>
                <w:sz w:val="24"/>
                <w:szCs w:val="24"/>
                <w:lang w:val="da-DK"/>
              </w:rPr>
              <w:t>+ feber ≥ 38,5 ºC</w:t>
            </w:r>
          </w:p>
          <w:p w14:paraId="076F7F84" w14:textId="77777777" w:rsidR="00143528" w:rsidRPr="00143528" w:rsidRDefault="00143528" w:rsidP="00C11463">
            <w:pPr>
              <w:ind w:left="32"/>
              <w:rPr>
                <w:sz w:val="24"/>
                <w:szCs w:val="24"/>
              </w:rPr>
            </w:pPr>
            <w:r w:rsidRPr="00143528">
              <w:rPr>
                <w:sz w:val="24"/>
                <w:szCs w:val="24"/>
                <w:lang w:val="sv-SE"/>
              </w:rPr>
              <w:t>og/eller infektion</w:t>
            </w:r>
          </w:p>
        </w:tc>
        <w:tc>
          <w:tcPr>
            <w:tcW w:w="3437" w:type="pct"/>
            <w:tcBorders>
              <w:top w:val="single" w:sz="4" w:space="0" w:color="auto"/>
              <w:left w:val="single" w:sz="4" w:space="0" w:color="auto"/>
              <w:bottom w:val="single" w:sz="4" w:space="0" w:color="auto"/>
              <w:right w:val="single" w:sz="4" w:space="0" w:color="auto"/>
            </w:tcBorders>
          </w:tcPr>
          <w:p w14:paraId="5B7BA027" w14:textId="77777777" w:rsidR="00143528" w:rsidRPr="00143528" w:rsidRDefault="00143528" w:rsidP="00C11463">
            <w:pPr>
              <w:ind w:left="32"/>
              <w:rPr>
                <w:sz w:val="24"/>
                <w:szCs w:val="24"/>
                <w:lang w:val="da-DK"/>
              </w:rPr>
            </w:pPr>
            <w:r w:rsidRPr="00143528">
              <w:rPr>
                <w:sz w:val="24"/>
                <w:szCs w:val="24"/>
                <w:lang w:val="da-DK"/>
              </w:rPr>
              <w:t>På ethvert tidspunkt:</w:t>
            </w:r>
          </w:p>
          <w:p w14:paraId="30BBD0A9" w14:textId="4AA8E103" w:rsidR="00143528" w:rsidRPr="00143528" w:rsidRDefault="00143528" w:rsidP="00C11463">
            <w:pPr>
              <w:ind w:left="32"/>
              <w:rPr>
                <w:sz w:val="24"/>
                <w:szCs w:val="24"/>
                <w:lang w:val="da-DK"/>
              </w:rPr>
            </w:pPr>
            <w:r w:rsidRPr="00143528">
              <w:rPr>
                <w:sz w:val="24"/>
                <w:szCs w:val="24"/>
                <w:lang w:val="da-DK"/>
              </w:rPr>
              <w:t xml:space="preserve">Udsæt </w:t>
            </w:r>
            <w:proofErr w:type="spellStart"/>
            <w:r w:rsidRPr="00143528">
              <w:rPr>
                <w:sz w:val="24"/>
                <w:szCs w:val="24"/>
                <w:lang w:val="da-DK"/>
              </w:rPr>
              <w:t>Palbociclib</w:t>
            </w:r>
            <w:proofErr w:type="spellEnd"/>
            <w:r w:rsidRPr="00143528">
              <w:rPr>
                <w:sz w:val="24"/>
                <w:szCs w:val="24"/>
                <w:lang w:val="da-DK"/>
              </w:rPr>
              <w:t xml:space="preserve"> </w:t>
            </w:r>
            <w:r w:rsidR="009906AA">
              <w:rPr>
                <w:sz w:val="24"/>
                <w:szCs w:val="24"/>
                <w:lang w:val="da-DK"/>
              </w:rPr>
              <w:t>"</w:t>
            </w:r>
            <w:proofErr w:type="spellStart"/>
            <w:r w:rsidR="009906AA">
              <w:rPr>
                <w:sz w:val="24"/>
                <w:szCs w:val="24"/>
                <w:lang w:val="da-DK"/>
              </w:rPr>
              <w:t>Newbury</w:t>
            </w:r>
            <w:proofErr w:type="spellEnd"/>
            <w:r w:rsidR="009906AA">
              <w:rPr>
                <w:sz w:val="24"/>
                <w:szCs w:val="24"/>
                <w:lang w:val="da-DK"/>
              </w:rPr>
              <w:t>"</w:t>
            </w:r>
            <w:r w:rsidRPr="00143528">
              <w:rPr>
                <w:sz w:val="24"/>
                <w:szCs w:val="24"/>
                <w:lang w:val="da-DK"/>
              </w:rPr>
              <w:t xml:space="preserve"> indtil bedring til grad ≤ 2</w:t>
            </w:r>
          </w:p>
          <w:p w14:paraId="3040AABA" w14:textId="77777777" w:rsidR="00143528" w:rsidRPr="00143528" w:rsidRDefault="00143528" w:rsidP="00C11463">
            <w:pPr>
              <w:ind w:left="32"/>
              <w:rPr>
                <w:sz w:val="24"/>
                <w:szCs w:val="24"/>
                <w:lang w:val="da-DK"/>
              </w:rPr>
            </w:pPr>
            <w:r w:rsidRPr="00143528">
              <w:rPr>
                <w:sz w:val="24"/>
                <w:szCs w:val="24"/>
                <w:lang w:val="da-DK"/>
              </w:rPr>
              <w:t>Genoptag behandling med næste lavere dosis.</w:t>
            </w:r>
          </w:p>
          <w:p w14:paraId="3BE2786A" w14:textId="77777777" w:rsidR="00143528" w:rsidRPr="00143528" w:rsidRDefault="00143528" w:rsidP="00C11463">
            <w:pPr>
              <w:ind w:left="32"/>
              <w:rPr>
                <w:sz w:val="24"/>
                <w:szCs w:val="24"/>
                <w:lang w:val="da-DK"/>
              </w:rPr>
            </w:pPr>
          </w:p>
        </w:tc>
      </w:tr>
      <w:tr w:rsidR="00143528" w:rsidRPr="00143528" w14:paraId="0918196B" w14:textId="77777777" w:rsidTr="00C11463">
        <w:tc>
          <w:tcPr>
            <w:tcW w:w="1563" w:type="pct"/>
            <w:tcBorders>
              <w:top w:val="single" w:sz="4" w:space="0" w:color="auto"/>
              <w:left w:val="single" w:sz="4" w:space="0" w:color="auto"/>
              <w:bottom w:val="single" w:sz="4" w:space="0" w:color="auto"/>
              <w:right w:val="single" w:sz="4" w:space="0" w:color="auto"/>
            </w:tcBorders>
            <w:hideMark/>
          </w:tcPr>
          <w:p w14:paraId="751A6BB0" w14:textId="77777777" w:rsidR="00143528" w:rsidRPr="00143528" w:rsidRDefault="00143528" w:rsidP="00C11463">
            <w:pPr>
              <w:ind w:left="32"/>
              <w:rPr>
                <w:sz w:val="24"/>
                <w:szCs w:val="24"/>
              </w:rPr>
            </w:pPr>
            <w:r w:rsidRPr="00143528">
              <w:rPr>
                <w:sz w:val="24"/>
                <w:szCs w:val="24"/>
                <w:lang w:val="sv-SE"/>
              </w:rPr>
              <w:t>Grad 4</w:t>
            </w:r>
            <w:r w:rsidRPr="00143528">
              <w:rPr>
                <w:sz w:val="24"/>
                <w:szCs w:val="24"/>
                <w:vertAlign w:val="superscript"/>
                <w:lang w:val="sv-SE"/>
              </w:rPr>
              <w:t>a</w:t>
            </w:r>
          </w:p>
        </w:tc>
        <w:tc>
          <w:tcPr>
            <w:tcW w:w="3437" w:type="pct"/>
            <w:tcBorders>
              <w:top w:val="single" w:sz="4" w:space="0" w:color="auto"/>
              <w:left w:val="single" w:sz="4" w:space="0" w:color="auto"/>
              <w:bottom w:val="single" w:sz="4" w:space="0" w:color="auto"/>
              <w:right w:val="single" w:sz="4" w:space="0" w:color="auto"/>
            </w:tcBorders>
            <w:hideMark/>
          </w:tcPr>
          <w:p w14:paraId="11A2249E" w14:textId="77777777" w:rsidR="00143528" w:rsidRPr="00143528" w:rsidRDefault="00143528" w:rsidP="00C11463">
            <w:pPr>
              <w:ind w:left="32"/>
              <w:rPr>
                <w:sz w:val="24"/>
                <w:szCs w:val="24"/>
                <w:lang w:val="da-DK"/>
              </w:rPr>
            </w:pPr>
            <w:r w:rsidRPr="00143528">
              <w:rPr>
                <w:sz w:val="24"/>
                <w:szCs w:val="24"/>
                <w:lang w:val="da-DK"/>
              </w:rPr>
              <w:t>På ethvert tidspunkt:</w:t>
            </w:r>
          </w:p>
          <w:p w14:paraId="1463879C" w14:textId="17445BA2" w:rsidR="00143528" w:rsidRPr="00143528" w:rsidRDefault="00143528" w:rsidP="00C11463">
            <w:pPr>
              <w:ind w:left="32"/>
              <w:rPr>
                <w:sz w:val="24"/>
                <w:szCs w:val="24"/>
                <w:lang w:val="da-DK"/>
              </w:rPr>
            </w:pPr>
            <w:r w:rsidRPr="00143528">
              <w:rPr>
                <w:sz w:val="24"/>
                <w:szCs w:val="24"/>
                <w:lang w:val="da-DK"/>
              </w:rPr>
              <w:t xml:space="preserve">Udsæt </w:t>
            </w:r>
            <w:proofErr w:type="spellStart"/>
            <w:r w:rsidRPr="00143528">
              <w:rPr>
                <w:sz w:val="24"/>
                <w:szCs w:val="24"/>
                <w:lang w:val="da-DK"/>
              </w:rPr>
              <w:t>Palbociclib</w:t>
            </w:r>
            <w:proofErr w:type="spellEnd"/>
            <w:r w:rsidRPr="00143528">
              <w:rPr>
                <w:sz w:val="24"/>
                <w:szCs w:val="24"/>
                <w:lang w:val="da-DK"/>
              </w:rPr>
              <w:t xml:space="preserve"> </w:t>
            </w:r>
            <w:r w:rsidR="009906AA">
              <w:rPr>
                <w:sz w:val="24"/>
                <w:szCs w:val="24"/>
                <w:lang w:val="da-DK"/>
              </w:rPr>
              <w:t>"</w:t>
            </w:r>
            <w:proofErr w:type="spellStart"/>
            <w:r w:rsidR="009906AA">
              <w:rPr>
                <w:sz w:val="24"/>
                <w:szCs w:val="24"/>
                <w:lang w:val="da-DK"/>
              </w:rPr>
              <w:t>Newbury</w:t>
            </w:r>
            <w:proofErr w:type="spellEnd"/>
            <w:r w:rsidR="009906AA">
              <w:rPr>
                <w:sz w:val="24"/>
                <w:szCs w:val="24"/>
                <w:lang w:val="da-DK"/>
              </w:rPr>
              <w:t>"</w:t>
            </w:r>
            <w:r w:rsidRPr="00143528">
              <w:rPr>
                <w:sz w:val="24"/>
                <w:szCs w:val="24"/>
                <w:lang w:val="da-DK"/>
              </w:rPr>
              <w:t xml:space="preserve"> indtil bedring til grad ≤ 2</w:t>
            </w:r>
          </w:p>
          <w:p w14:paraId="495626B7" w14:textId="77777777" w:rsidR="00143528" w:rsidRPr="00143528" w:rsidRDefault="00143528" w:rsidP="00C11463">
            <w:pPr>
              <w:ind w:left="32"/>
              <w:rPr>
                <w:sz w:val="24"/>
                <w:szCs w:val="24"/>
                <w:lang w:val="da-DK"/>
              </w:rPr>
            </w:pPr>
            <w:r w:rsidRPr="00143528">
              <w:rPr>
                <w:sz w:val="24"/>
                <w:szCs w:val="24"/>
                <w:lang w:val="da-DK"/>
              </w:rPr>
              <w:t>Genoptag med næste lavere dosis.</w:t>
            </w:r>
          </w:p>
        </w:tc>
      </w:tr>
    </w:tbl>
    <w:p w14:paraId="7C93D6AA" w14:textId="77777777" w:rsidR="00143528" w:rsidRPr="00143528" w:rsidRDefault="00143528" w:rsidP="00C11463">
      <w:pPr>
        <w:rPr>
          <w:sz w:val="20"/>
        </w:rPr>
      </w:pPr>
      <w:r w:rsidRPr="00143528">
        <w:rPr>
          <w:sz w:val="20"/>
        </w:rPr>
        <w:t>Klassifikation iht. CTCAE 4.0.</w:t>
      </w:r>
    </w:p>
    <w:p w14:paraId="4E9F2BD2" w14:textId="77777777" w:rsidR="00143528" w:rsidRPr="00143528" w:rsidRDefault="00143528" w:rsidP="00C11463">
      <w:pPr>
        <w:rPr>
          <w:sz w:val="20"/>
        </w:rPr>
      </w:pPr>
      <w:r w:rsidRPr="00143528">
        <w:rPr>
          <w:sz w:val="20"/>
        </w:rPr>
        <w:t xml:space="preserve">ANC = absolutte </w:t>
      </w:r>
      <w:proofErr w:type="spellStart"/>
      <w:r w:rsidRPr="00143528">
        <w:rPr>
          <w:sz w:val="20"/>
        </w:rPr>
        <w:t>neutrofiltal</w:t>
      </w:r>
      <w:proofErr w:type="spellEnd"/>
      <w:r w:rsidRPr="00143528">
        <w:rPr>
          <w:sz w:val="20"/>
        </w:rPr>
        <w:t xml:space="preserve">, CTCAE = Common </w:t>
      </w:r>
      <w:proofErr w:type="spellStart"/>
      <w:r w:rsidRPr="00143528">
        <w:rPr>
          <w:sz w:val="20"/>
        </w:rPr>
        <w:t>Terminology</w:t>
      </w:r>
      <w:proofErr w:type="spellEnd"/>
      <w:r w:rsidRPr="00143528">
        <w:rPr>
          <w:sz w:val="20"/>
        </w:rPr>
        <w:t xml:space="preserve"> </w:t>
      </w:r>
      <w:proofErr w:type="spellStart"/>
      <w:r w:rsidRPr="00143528">
        <w:rPr>
          <w:sz w:val="20"/>
        </w:rPr>
        <w:t>Criteria</w:t>
      </w:r>
      <w:proofErr w:type="spellEnd"/>
      <w:r w:rsidRPr="00143528">
        <w:rPr>
          <w:sz w:val="20"/>
        </w:rPr>
        <w:t xml:space="preserve"> for </w:t>
      </w:r>
      <w:proofErr w:type="spellStart"/>
      <w:r w:rsidRPr="00143528">
        <w:rPr>
          <w:sz w:val="20"/>
        </w:rPr>
        <w:t>Adverse</w:t>
      </w:r>
      <w:proofErr w:type="spellEnd"/>
      <w:r w:rsidRPr="00143528">
        <w:rPr>
          <w:sz w:val="20"/>
        </w:rPr>
        <w:t xml:space="preserve"> Events, LLN = nedre normalgrænse</w:t>
      </w:r>
    </w:p>
    <w:p w14:paraId="6325F89B" w14:textId="25F4A159" w:rsidR="00143528" w:rsidRPr="00143528" w:rsidRDefault="00143528" w:rsidP="00C11463">
      <w:pPr>
        <w:ind w:left="284" w:hanging="284"/>
        <w:rPr>
          <w:sz w:val="20"/>
        </w:rPr>
      </w:pPr>
      <w:r w:rsidRPr="00143528">
        <w:rPr>
          <w:sz w:val="20"/>
          <w:vertAlign w:val="superscript"/>
        </w:rPr>
        <w:t>a.</w:t>
      </w:r>
      <w:r w:rsidRPr="00143528">
        <w:rPr>
          <w:sz w:val="20"/>
        </w:rPr>
        <w:t xml:space="preserve"> </w:t>
      </w:r>
      <w:r w:rsidRPr="00143528">
        <w:rPr>
          <w:sz w:val="20"/>
        </w:rPr>
        <w:tab/>
        <w:t xml:space="preserve">Skemaet gælder for alle hæmatologiske bivirkninger undtagen </w:t>
      </w:r>
      <w:proofErr w:type="spellStart"/>
      <w:r w:rsidRPr="00143528">
        <w:rPr>
          <w:sz w:val="20"/>
        </w:rPr>
        <w:t>lymfopeni</w:t>
      </w:r>
      <w:proofErr w:type="spellEnd"/>
      <w:r w:rsidRPr="00143528">
        <w:rPr>
          <w:sz w:val="20"/>
        </w:rPr>
        <w:t xml:space="preserve"> (medmindre de er</w:t>
      </w:r>
      <w:r w:rsidR="00C11463" w:rsidRPr="009906AA">
        <w:rPr>
          <w:sz w:val="20"/>
        </w:rPr>
        <w:t xml:space="preserve"> </w:t>
      </w:r>
      <w:r w:rsidRPr="00143528">
        <w:rPr>
          <w:sz w:val="20"/>
        </w:rPr>
        <w:t>forbundet med kliniske hændelser, som for eksempel opportunistiske infektioner)</w:t>
      </w:r>
    </w:p>
    <w:p w14:paraId="42BF2C73" w14:textId="77777777" w:rsidR="00143528" w:rsidRPr="00143528" w:rsidRDefault="00143528" w:rsidP="00C11463">
      <w:pPr>
        <w:ind w:left="284" w:hanging="284"/>
        <w:rPr>
          <w:sz w:val="20"/>
        </w:rPr>
      </w:pPr>
      <w:r w:rsidRPr="00143528">
        <w:rPr>
          <w:sz w:val="20"/>
          <w:vertAlign w:val="superscript"/>
        </w:rPr>
        <w:t xml:space="preserve">b </w:t>
      </w:r>
      <w:r w:rsidRPr="00143528">
        <w:rPr>
          <w:sz w:val="20"/>
          <w:vertAlign w:val="superscript"/>
        </w:rPr>
        <w:tab/>
      </w:r>
      <w:r w:rsidRPr="00143528">
        <w:rPr>
          <w:sz w:val="20"/>
        </w:rPr>
        <w:t>ANC: Grad 1: ANC &lt; LLN – 1.500/mm</w:t>
      </w:r>
      <w:r w:rsidRPr="00143528">
        <w:rPr>
          <w:sz w:val="20"/>
          <w:vertAlign w:val="superscript"/>
        </w:rPr>
        <w:t>3</w:t>
      </w:r>
      <w:r w:rsidRPr="00143528">
        <w:rPr>
          <w:sz w:val="20"/>
        </w:rPr>
        <w:t>, grad 2: ANC 1.000 - &lt; 1.500/mm</w:t>
      </w:r>
      <w:r w:rsidRPr="00143528">
        <w:rPr>
          <w:sz w:val="20"/>
          <w:vertAlign w:val="superscript"/>
        </w:rPr>
        <w:t>3</w:t>
      </w:r>
      <w:r w:rsidRPr="00143528">
        <w:rPr>
          <w:sz w:val="20"/>
        </w:rPr>
        <w:t>, grad 3: ANC 500 - &lt; 1.000/mm</w:t>
      </w:r>
      <w:r w:rsidRPr="00143528">
        <w:rPr>
          <w:sz w:val="20"/>
          <w:vertAlign w:val="superscript"/>
        </w:rPr>
        <w:t>3</w:t>
      </w:r>
      <w:r w:rsidRPr="00143528">
        <w:rPr>
          <w:sz w:val="20"/>
        </w:rPr>
        <w:t>, grad 4: ANC &lt; 500/mm</w:t>
      </w:r>
      <w:r w:rsidRPr="00143528">
        <w:rPr>
          <w:sz w:val="20"/>
          <w:vertAlign w:val="superscript"/>
        </w:rPr>
        <w:t>3</w:t>
      </w:r>
      <w:r w:rsidRPr="00143528">
        <w:rPr>
          <w:sz w:val="20"/>
        </w:rPr>
        <w:t>.</w:t>
      </w:r>
    </w:p>
    <w:p w14:paraId="48F9EC46" w14:textId="77777777" w:rsidR="00143528" w:rsidRPr="00143528" w:rsidRDefault="00143528" w:rsidP="00143528">
      <w:pPr>
        <w:tabs>
          <w:tab w:val="left" w:pos="851"/>
        </w:tabs>
        <w:ind w:left="851"/>
        <w:rPr>
          <w:sz w:val="24"/>
          <w:szCs w:val="24"/>
        </w:rPr>
      </w:pPr>
    </w:p>
    <w:p w14:paraId="36EA0927" w14:textId="749E790F" w:rsidR="00143528" w:rsidRPr="00143528" w:rsidRDefault="00143528" w:rsidP="00C11463">
      <w:pPr>
        <w:rPr>
          <w:sz w:val="24"/>
          <w:szCs w:val="24"/>
        </w:rPr>
      </w:pPr>
      <w:r w:rsidRPr="00143528">
        <w:rPr>
          <w:b/>
          <w:bCs/>
          <w:sz w:val="24"/>
          <w:szCs w:val="24"/>
        </w:rPr>
        <w:t>Skema 3.</w:t>
      </w:r>
      <w:r w:rsidR="009906AA">
        <w:rPr>
          <w:b/>
          <w:bCs/>
          <w:sz w:val="24"/>
          <w:szCs w:val="24"/>
        </w:rPr>
        <w:t xml:space="preserve"> </w:t>
      </w:r>
      <w:r w:rsidRPr="00143528">
        <w:rPr>
          <w:b/>
          <w:bCs/>
          <w:sz w:val="24"/>
          <w:szCs w:val="24"/>
        </w:rPr>
        <w:t xml:space="preserve">Dosisjustering og håndtering af </w:t>
      </w:r>
      <w:proofErr w:type="spellStart"/>
      <w:r w:rsidRPr="00143528">
        <w:rPr>
          <w:b/>
          <w:bCs/>
          <w:sz w:val="24"/>
          <w:szCs w:val="24"/>
        </w:rPr>
        <w:t>palbociclib</w:t>
      </w:r>
      <w:proofErr w:type="spellEnd"/>
      <w:r w:rsidRPr="00143528">
        <w:rPr>
          <w:b/>
          <w:bCs/>
          <w:sz w:val="24"/>
          <w:szCs w:val="24"/>
        </w:rPr>
        <w:t>- Ikke-hæmatologisk toksicitet</w:t>
      </w:r>
    </w:p>
    <w:tbl>
      <w:tblPr>
        <w:tblStyle w:val="Tabel-Gitter"/>
        <w:tblW w:w="5000" w:type="pct"/>
        <w:tblInd w:w="0" w:type="dxa"/>
        <w:tblLook w:val="04A0" w:firstRow="1" w:lastRow="0" w:firstColumn="1" w:lastColumn="0" w:noHBand="0" w:noVBand="1"/>
      </w:tblPr>
      <w:tblGrid>
        <w:gridCol w:w="4814"/>
        <w:gridCol w:w="4814"/>
      </w:tblGrid>
      <w:tr w:rsidR="00143528" w:rsidRPr="00143528" w14:paraId="286E3893" w14:textId="77777777" w:rsidTr="00C11463">
        <w:tc>
          <w:tcPr>
            <w:tcW w:w="2500" w:type="pct"/>
            <w:tcBorders>
              <w:top w:val="single" w:sz="4" w:space="0" w:color="auto"/>
              <w:left w:val="single" w:sz="4" w:space="0" w:color="auto"/>
              <w:bottom w:val="single" w:sz="4" w:space="0" w:color="auto"/>
              <w:right w:val="single" w:sz="4" w:space="0" w:color="auto"/>
            </w:tcBorders>
            <w:hideMark/>
          </w:tcPr>
          <w:p w14:paraId="4B6E0132" w14:textId="77777777" w:rsidR="00143528" w:rsidRPr="00143528" w:rsidRDefault="00143528" w:rsidP="00C11463">
            <w:pPr>
              <w:ind w:left="32"/>
              <w:rPr>
                <w:sz w:val="24"/>
                <w:szCs w:val="24"/>
              </w:rPr>
            </w:pPr>
            <w:r w:rsidRPr="00143528">
              <w:rPr>
                <w:b/>
                <w:bCs/>
                <w:sz w:val="24"/>
                <w:szCs w:val="24"/>
                <w:lang w:val="sv-SE"/>
              </w:rPr>
              <w:t>CTCAE-grad</w:t>
            </w:r>
          </w:p>
        </w:tc>
        <w:tc>
          <w:tcPr>
            <w:tcW w:w="2500" w:type="pct"/>
            <w:tcBorders>
              <w:top w:val="single" w:sz="4" w:space="0" w:color="auto"/>
              <w:left w:val="single" w:sz="4" w:space="0" w:color="auto"/>
              <w:bottom w:val="single" w:sz="4" w:space="0" w:color="auto"/>
              <w:right w:val="single" w:sz="4" w:space="0" w:color="auto"/>
            </w:tcBorders>
            <w:hideMark/>
          </w:tcPr>
          <w:p w14:paraId="5630C7CF" w14:textId="77777777" w:rsidR="00143528" w:rsidRPr="00143528" w:rsidRDefault="00143528" w:rsidP="00C11463">
            <w:pPr>
              <w:ind w:left="32"/>
              <w:rPr>
                <w:sz w:val="24"/>
                <w:szCs w:val="24"/>
              </w:rPr>
            </w:pPr>
            <w:r w:rsidRPr="00143528">
              <w:rPr>
                <w:b/>
                <w:bCs/>
                <w:sz w:val="24"/>
                <w:szCs w:val="24"/>
                <w:lang w:val="sv-SE"/>
              </w:rPr>
              <w:t>Dosisjustering</w:t>
            </w:r>
          </w:p>
        </w:tc>
      </w:tr>
      <w:tr w:rsidR="00143528" w:rsidRPr="00143528" w14:paraId="4F3EA522" w14:textId="77777777" w:rsidTr="00C11463">
        <w:tc>
          <w:tcPr>
            <w:tcW w:w="2500" w:type="pct"/>
            <w:tcBorders>
              <w:top w:val="single" w:sz="4" w:space="0" w:color="auto"/>
              <w:left w:val="single" w:sz="4" w:space="0" w:color="auto"/>
              <w:bottom w:val="single" w:sz="4" w:space="0" w:color="auto"/>
              <w:right w:val="single" w:sz="4" w:space="0" w:color="auto"/>
            </w:tcBorders>
            <w:hideMark/>
          </w:tcPr>
          <w:p w14:paraId="277D3A38" w14:textId="77777777" w:rsidR="00143528" w:rsidRPr="00143528" w:rsidRDefault="00143528" w:rsidP="00C11463">
            <w:pPr>
              <w:ind w:left="32"/>
              <w:rPr>
                <w:sz w:val="24"/>
                <w:szCs w:val="24"/>
              </w:rPr>
            </w:pPr>
            <w:r w:rsidRPr="00143528">
              <w:rPr>
                <w:sz w:val="24"/>
                <w:szCs w:val="24"/>
                <w:lang w:val="sv-SE"/>
              </w:rPr>
              <w:t>Grad 1 eller 2</w:t>
            </w:r>
          </w:p>
        </w:tc>
        <w:tc>
          <w:tcPr>
            <w:tcW w:w="2500" w:type="pct"/>
            <w:tcBorders>
              <w:top w:val="single" w:sz="4" w:space="0" w:color="auto"/>
              <w:left w:val="single" w:sz="4" w:space="0" w:color="auto"/>
              <w:bottom w:val="single" w:sz="4" w:space="0" w:color="auto"/>
              <w:right w:val="single" w:sz="4" w:space="0" w:color="auto"/>
            </w:tcBorders>
            <w:hideMark/>
          </w:tcPr>
          <w:p w14:paraId="0A2F2F85" w14:textId="77777777" w:rsidR="00143528" w:rsidRPr="00143528" w:rsidRDefault="00143528" w:rsidP="00C11463">
            <w:pPr>
              <w:ind w:left="32"/>
              <w:rPr>
                <w:sz w:val="24"/>
                <w:szCs w:val="24"/>
              </w:rPr>
            </w:pPr>
            <w:r w:rsidRPr="00143528">
              <w:rPr>
                <w:sz w:val="24"/>
                <w:szCs w:val="24"/>
                <w:lang w:val="sv-SE"/>
              </w:rPr>
              <w:t xml:space="preserve">Dosisjustering </w:t>
            </w:r>
            <w:proofErr w:type="spellStart"/>
            <w:r w:rsidRPr="00143528">
              <w:rPr>
                <w:sz w:val="24"/>
                <w:szCs w:val="24"/>
                <w:lang w:val="sv-SE"/>
              </w:rPr>
              <w:t>ikke</w:t>
            </w:r>
            <w:proofErr w:type="spellEnd"/>
            <w:r w:rsidRPr="00143528">
              <w:rPr>
                <w:sz w:val="24"/>
                <w:szCs w:val="24"/>
                <w:lang w:val="sv-SE"/>
              </w:rPr>
              <w:t xml:space="preserve"> </w:t>
            </w:r>
            <w:proofErr w:type="spellStart"/>
            <w:r w:rsidRPr="00143528">
              <w:rPr>
                <w:sz w:val="24"/>
                <w:szCs w:val="24"/>
                <w:lang w:val="sv-SE"/>
              </w:rPr>
              <w:t>nødvendig</w:t>
            </w:r>
            <w:proofErr w:type="spellEnd"/>
            <w:r w:rsidRPr="00143528">
              <w:rPr>
                <w:sz w:val="24"/>
                <w:szCs w:val="24"/>
                <w:lang w:val="sv-SE"/>
              </w:rPr>
              <w:t>.</w:t>
            </w:r>
          </w:p>
        </w:tc>
      </w:tr>
      <w:tr w:rsidR="00143528" w:rsidRPr="00143528" w14:paraId="54937A21" w14:textId="77777777" w:rsidTr="00C11463">
        <w:tc>
          <w:tcPr>
            <w:tcW w:w="2500" w:type="pct"/>
            <w:tcBorders>
              <w:top w:val="single" w:sz="4" w:space="0" w:color="auto"/>
              <w:left w:val="single" w:sz="4" w:space="0" w:color="auto"/>
              <w:bottom w:val="single" w:sz="4" w:space="0" w:color="auto"/>
              <w:right w:val="single" w:sz="4" w:space="0" w:color="auto"/>
            </w:tcBorders>
            <w:hideMark/>
          </w:tcPr>
          <w:p w14:paraId="3151DC73" w14:textId="77777777" w:rsidR="00143528" w:rsidRPr="00143528" w:rsidRDefault="00143528" w:rsidP="00C11463">
            <w:pPr>
              <w:ind w:left="32"/>
              <w:rPr>
                <w:sz w:val="24"/>
                <w:szCs w:val="24"/>
                <w:lang w:val="da-DK"/>
              </w:rPr>
            </w:pPr>
            <w:r w:rsidRPr="00143528">
              <w:rPr>
                <w:sz w:val="24"/>
                <w:szCs w:val="24"/>
                <w:lang w:val="da-DK"/>
              </w:rPr>
              <w:t>Grad ≥ 3 ikke-hæmatologisk toksicitet</w:t>
            </w:r>
          </w:p>
          <w:p w14:paraId="2C82EC1D" w14:textId="77777777" w:rsidR="00143528" w:rsidRPr="00143528" w:rsidRDefault="00143528" w:rsidP="00C11463">
            <w:pPr>
              <w:ind w:left="32"/>
              <w:rPr>
                <w:sz w:val="24"/>
                <w:szCs w:val="24"/>
                <w:lang w:val="da-DK"/>
              </w:rPr>
            </w:pPr>
            <w:r w:rsidRPr="00143528">
              <w:rPr>
                <w:sz w:val="24"/>
                <w:szCs w:val="24"/>
                <w:lang w:val="da-DK"/>
              </w:rPr>
              <w:t>(hvis vedvarende trods behandling)</w:t>
            </w:r>
          </w:p>
        </w:tc>
        <w:tc>
          <w:tcPr>
            <w:tcW w:w="2500" w:type="pct"/>
            <w:tcBorders>
              <w:top w:val="single" w:sz="4" w:space="0" w:color="auto"/>
              <w:left w:val="single" w:sz="4" w:space="0" w:color="auto"/>
              <w:bottom w:val="single" w:sz="4" w:space="0" w:color="auto"/>
              <w:right w:val="single" w:sz="4" w:space="0" w:color="auto"/>
            </w:tcBorders>
            <w:hideMark/>
          </w:tcPr>
          <w:p w14:paraId="35A8E130" w14:textId="77777777" w:rsidR="00143528" w:rsidRPr="00143528" w:rsidRDefault="00143528" w:rsidP="00C11463">
            <w:pPr>
              <w:ind w:left="32"/>
              <w:rPr>
                <w:sz w:val="24"/>
                <w:szCs w:val="24"/>
                <w:lang w:val="da-DK"/>
              </w:rPr>
            </w:pPr>
            <w:r w:rsidRPr="00143528">
              <w:rPr>
                <w:sz w:val="24"/>
                <w:szCs w:val="24"/>
                <w:lang w:val="da-DK"/>
              </w:rPr>
              <w:t>Udsæt indtil bedring af symptomer til:</w:t>
            </w:r>
          </w:p>
          <w:p w14:paraId="2AD3C14F" w14:textId="77777777" w:rsidR="00143528" w:rsidRPr="00143528" w:rsidRDefault="00143528" w:rsidP="009906AA">
            <w:pPr>
              <w:numPr>
                <w:ilvl w:val="0"/>
                <w:numId w:val="6"/>
              </w:numPr>
              <w:ind w:left="599" w:hanging="425"/>
              <w:rPr>
                <w:sz w:val="24"/>
                <w:szCs w:val="24"/>
              </w:rPr>
            </w:pPr>
            <w:r w:rsidRPr="00143528">
              <w:rPr>
                <w:sz w:val="24"/>
                <w:szCs w:val="24"/>
              </w:rPr>
              <w:t>Grad ≤ </w:t>
            </w:r>
            <w:proofErr w:type="gramStart"/>
            <w:r w:rsidRPr="00143528">
              <w:rPr>
                <w:sz w:val="24"/>
                <w:szCs w:val="24"/>
              </w:rPr>
              <w:t>1;</w:t>
            </w:r>
            <w:proofErr w:type="gramEnd"/>
          </w:p>
          <w:p w14:paraId="18ABC97F" w14:textId="77777777" w:rsidR="00143528" w:rsidRPr="00143528" w:rsidRDefault="00143528" w:rsidP="009906AA">
            <w:pPr>
              <w:numPr>
                <w:ilvl w:val="0"/>
                <w:numId w:val="6"/>
              </w:numPr>
              <w:ind w:left="599" w:hanging="425"/>
              <w:rPr>
                <w:sz w:val="24"/>
                <w:szCs w:val="24"/>
                <w:lang w:val="da-DK"/>
              </w:rPr>
            </w:pPr>
            <w:r w:rsidRPr="00143528">
              <w:rPr>
                <w:sz w:val="24"/>
                <w:szCs w:val="24"/>
                <w:lang w:val="da-DK"/>
              </w:rPr>
              <w:t>Grad ≤ 2 (hvis det ikke er betragtet som en sikkerhedsrisiko for patienten)</w:t>
            </w:r>
          </w:p>
          <w:p w14:paraId="115DBFCB" w14:textId="7E972F7A" w:rsidR="00143528" w:rsidRPr="00143528" w:rsidRDefault="00143528" w:rsidP="009906AA">
            <w:pPr>
              <w:ind w:left="32"/>
              <w:rPr>
                <w:sz w:val="24"/>
                <w:szCs w:val="24"/>
                <w:lang w:val="da-DK"/>
              </w:rPr>
            </w:pPr>
            <w:r w:rsidRPr="00143528">
              <w:rPr>
                <w:sz w:val="24"/>
                <w:szCs w:val="24"/>
                <w:lang w:val="da-DK"/>
              </w:rPr>
              <w:t>Genoptag behandlingen med næste lavere dosis.</w:t>
            </w:r>
          </w:p>
        </w:tc>
      </w:tr>
    </w:tbl>
    <w:p w14:paraId="38C12459" w14:textId="77777777" w:rsidR="00143528" w:rsidRPr="00143528" w:rsidRDefault="00143528" w:rsidP="00C11463">
      <w:pPr>
        <w:rPr>
          <w:sz w:val="20"/>
          <w:lang w:val="en-US"/>
        </w:rPr>
      </w:pPr>
      <w:proofErr w:type="spellStart"/>
      <w:r w:rsidRPr="00143528">
        <w:rPr>
          <w:sz w:val="20"/>
          <w:lang w:val="en-US"/>
        </w:rPr>
        <w:t>Klassifikation</w:t>
      </w:r>
      <w:proofErr w:type="spellEnd"/>
      <w:r w:rsidRPr="00143528">
        <w:rPr>
          <w:sz w:val="20"/>
          <w:lang w:val="en-US"/>
        </w:rPr>
        <w:t xml:space="preserve"> </w:t>
      </w:r>
      <w:proofErr w:type="spellStart"/>
      <w:r w:rsidRPr="00143528">
        <w:rPr>
          <w:sz w:val="20"/>
          <w:lang w:val="en-US"/>
        </w:rPr>
        <w:t>iht</w:t>
      </w:r>
      <w:proofErr w:type="spellEnd"/>
      <w:r w:rsidRPr="00143528">
        <w:rPr>
          <w:sz w:val="20"/>
          <w:lang w:val="en-US"/>
        </w:rPr>
        <w:t>. CTCAE 4.0.</w:t>
      </w:r>
    </w:p>
    <w:p w14:paraId="649C346F" w14:textId="77777777" w:rsidR="00143528" w:rsidRPr="00143528" w:rsidRDefault="00143528" w:rsidP="00C11463">
      <w:pPr>
        <w:rPr>
          <w:i/>
          <w:iCs/>
          <w:sz w:val="20"/>
          <w:lang w:val="en-US"/>
        </w:rPr>
      </w:pPr>
      <w:r w:rsidRPr="00143528">
        <w:rPr>
          <w:sz w:val="20"/>
          <w:lang w:val="en-US"/>
        </w:rPr>
        <w:t xml:space="preserve">CTCAE = </w:t>
      </w:r>
      <w:r w:rsidRPr="00143528">
        <w:rPr>
          <w:i/>
          <w:iCs/>
          <w:sz w:val="20"/>
          <w:lang w:val="en-US"/>
        </w:rPr>
        <w:t>Common Terminology Criteria for Adverse Events.</w:t>
      </w:r>
    </w:p>
    <w:p w14:paraId="579478D0" w14:textId="77777777" w:rsidR="00143528" w:rsidRPr="00143528" w:rsidRDefault="00143528" w:rsidP="00143528">
      <w:pPr>
        <w:tabs>
          <w:tab w:val="left" w:pos="851"/>
        </w:tabs>
        <w:ind w:left="851"/>
        <w:rPr>
          <w:i/>
          <w:iCs/>
          <w:sz w:val="24"/>
          <w:szCs w:val="24"/>
          <w:lang w:val="en-US"/>
        </w:rPr>
      </w:pPr>
    </w:p>
    <w:p w14:paraId="75EBB261" w14:textId="148D380E" w:rsidR="00143528" w:rsidRPr="00143528" w:rsidRDefault="00143528" w:rsidP="00C11463">
      <w:pPr>
        <w:ind w:left="851"/>
        <w:rPr>
          <w:sz w:val="24"/>
          <w:szCs w:val="24"/>
        </w:rPr>
      </w:pP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skal seponeres permanent hos patienter med alvorlig </w:t>
      </w:r>
      <w:proofErr w:type="spellStart"/>
      <w:r w:rsidRPr="00143528">
        <w:rPr>
          <w:sz w:val="24"/>
          <w:szCs w:val="24"/>
        </w:rPr>
        <w:t>interstitiel</w:t>
      </w:r>
      <w:proofErr w:type="spellEnd"/>
      <w:r w:rsidRPr="00143528">
        <w:rPr>
          <w:sz w:val="24"/>
          <w:szCs w:val="24"/>
        </w:rPr>
        <w:t xml:space="preserve"> lungesygdom (ILS)/pneumonitis (se pkt. 4.4).</w:t>
      </w:r>
    </w:p>
    <w:p w14:paraId="6E2725E0" w14:textId="77777777" w:rsidR="00143528" w:rsidRPr="00143528" w:rsidRDefault="00143528" w:rsidP="00C11463">
      <w:pPr>
        <w:ind w:left="851"/>
        <w:rPr>
          <w:i/>
          <w:iCs/>
          <w:sz w:val="24"/>
          <w:szCs w:val="24"/>
        </w:rPr>
      </w:pPr>
    </w:p>
    <w:p w14:paraId="6EE4FF47" w14:textId="77777777" w:rsidR="00143528" w:rsidRPr="00143528" w:rsidRDefault="00143528" w:rsidP="00C11463">
      <w:pPr>
        <w:ind w:left="851"/>
        <w:rPr>
          <w:sz w:val="24"/>
          <w:szCs w:val="24"/>
          <w:u w:val="single"/>
        </w:rPr>
      </w:pPr>
      <w:r w:rsidRPr="00143528">
        <w:rPr>
          <w:sz w:val="24"/>
          <w:szCs w:val="24"/>
          <w:u w:val="single"/>
        </w:rPr>
        <w:t>Særlige populationer</w:t>
      </w:r>
    </w:p>
    <w:p w14:paraId="62223F33" w14:textId="77777777" w:rsidR="00143528" w:rsidRPr="00143528" w:rsidRDefault="00143528" w:rsidP="00C11463">
      <w:pPr>
        <w:ind w:left="851"/>
        <w:rPr>
          <w:sz w:val="24"/>
          <w:szCs w:val="24"/>
        </w:rPr>
      </w:pPr>
    </w:p>
    <w:p w14:paraId="56DF83D5" w14:textId="77777777" w:rsidR="00143528" w:rsidRPr="00143528" w:rsidRDefault="00143528" w:rsidP="00C11463">
      <w:pPr>
        <w:ind w:left="851"/>
        <w:rPr>
          <w:i/>
          <w:iCs/>
          <w:sz w:val="24"/>
          <w:szCs w:val="24"/>
        </w:rPr>
      </w:pPr>
      <w:r w:rsidRPr="00143528">
        <w:rPr>
          <w:i/>
          <w:iCs/>
          <w:sz w:val="24"/>
          <w:szCs w:val="24"/>
        </w:rPr>
        <w:t>Ældre</w:t>
      </w:r>
    </w:p>
    <w:p w14:paraId="57D16954" w14:textId="4F14B935" w:rsidR="00143528" w:rsidRPr="00143528" w:rsidRDefault="00143528" w:rsidP="00C11463">
      <w:pPr>
        <w:ind w:left="851"/>
        <w:rPr>
          <w:sz w:val="24"/>
          <w:szCs w:val="24"/>
        </w:rPr>
      </w:pPr>
      <w:r w:rsidRPr="00143528">
        <w:rPr>
          <w:sz w:val="24"/>
          <w:szCs w:val="24"/>
        </w:rPr>
        <w:t xml:space="preserve">Dosisjustering af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er ikke nødvendig hos ældre ≥ 65 år (se pkt. 5.2).</w:t>
      </w:r>
    </w:p>
    <w:p w14:paraId="17C2AB63" w14:textId="77777777" w:rsidR="00143528" w:rsidRPr="00143528" w:rsidRDefault="00143528" w:rsidP="00C11463">
      <w:pPr>
        <w:ind w:left="851"/>
        <w:rPr>
          <w:sz w:val="24"/>
          <w:szCs w:val="24"/>
        </w:rPr>
      </w:pPr>
    </w:p>
    <w:p w14:paraId="2235AFB6" w14:textId="77777777" w:rsidR="00143528" w:rsidRPr="00143528" w:rsidRDefault="00143528" w:rsidP="00C11463">
      <w:pPr>
        <w:ind w:left="851"/>
        <w:rPr>
          <w:i/>
          <w:iCs/>
          <w:sz w:val="24"/>
          <w:szCs w:val="24"/>
        </w:rPr>
      </w:pPr>
      <w:r w:rsidRPr="00143528">
        <w:rPr>
          <w:i/>
          <w:iCs/>
          <w:sz w:val="24"/>
          <w:szCs w:val="24"/>
        </w:rPr>
        <w:t>Nedsat leverfunktion</w:t>
      </w:r>
    </w:p>
    <w:p w14:paraId="00A29C2F" w14:textId="035BF5F5" w:rsidR="00143528" w:rsidRPr="00143528" w:rsidRDefault="00143528" w:rsidP="00C11463">
      <w:pPr>
        <w:ind w:left="851"/>
        <w:rPr>
          <w:sz w:val="24"/>
          <w:szCs w:val="24"/>
        </w:rPr>
      </w:pPr>
      <w:r w:rsidRPr="00143528">
        <w:rPr>
          <w:sz w:val="24"/>
          <w:szCs w:val="24"/>
        </w:rPr>
        <w:t xml:space="preserve">Dosisjustering af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er ikke nødvendig hos patienter med let eller moderat nedsat leverfunktion (Child-</w:t>
      </w:r>
      <w:proofErr w:type="spellStart"/>
      <w:r w:rsidRPr="00143528">
        <w:rPr>
          <w:sz w:val="24"/>
          <w:szCs w:val="24"/>
        </w:rPr>
        <w:t>Pugh</w:t>
      </w:r>
      <w:proofErr w:type="spellEnd"/>
      <w:r w:rsidRPr="00143528">
        <w:rPr>
          <w:sz w:val="24"/>
          <w:szCs w:val="24"/>
        </w:rPr>
        <w:t>-klasse A og B). Hos patienter med svært nedsat leverfunktion (Child-</w:t>
      </w:r>
      <w:proofErr w:type="spellStart"/>
      <w:r w:rsidRPr="00143528">
        <w:rPr>
          <w:sz w:val="24"/>
          <w:szCs w:val="24"/>
        </w:rPr>
        <w:t>Pugh</w:t>
      </w:r>
      <w:proofErr w:type="spellEnd"/>
      <w:r w:rsidR="003A454E">
        <w:rPr>
          <w:sz w:val="24"/>
          <w:szCs w:val="24"/>
        </w:rPr>
        <w:t>-</w:t>
      </w:r>
      <w:r w:rsidRPr="00143528">
        <w:rPr>
          <w:sz w:val="24"/>
          <w:szCs w:val="24"/>
        </w:rPr>
        <w:t xml:space="preserve">klasse C), er den anbefalede dosis af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75 mg en gang dagligt i henhold til doseringsplan 3/1 (se pkt. 4.4. og 5.2).</w:t>
      </w:r>
    </w:p>
    <w:p w14:paraId="794E59FD" w14:textId="77777777" w:rsidR="00143528" w:rsidRPr="00143528" w:rsidRDefault="00143528" w:rsidP="00C11463">
      <w:pPr>
        <w:ind w:left="851"/>
        <w:rPr>
          <w:sz w:val="24"/>
          <w:szCs w:val="24"/>
        </w:rPr>
      </w:pPr>
    </w:p>
    <w:p w14:paraId="4DDF317A" w14:textId="77777777" w:rsidR="00143528" w:rsidRPr="00143528" w:rsidRDefault="00143528" w:rsidP="00C11463">
      <w:pPr>
        <w:ind w:left="851"/>
        <w:rPr>
          <w:i/>
          <w:iCs/>
          <w:sz w:val="24"/>
          <w:szCs w:val="24"/>
        </w:rPr>
      </w:pPr>
      <w:r w:rsidRPr="00143528">
        <w:rPr>
          <w:i/>
          <w:iCs/>
          <w:sz w:val="24"/>
          <w:szCs w:val="24"/>
        </w:rPr>
        <w:t>Nedsat nyrefunktion</w:t>
      </w:r>
    </w:p>
    <w:p w14:paraId="0679F05D" w14:textId="37FEF498" w:rsidR="00143528" w:rsidRPr="00143528" w:rsidRDefault="00143528" w:rsidP="00C11463">
      <w:pPr>
        <w:ind w:left="851"/>
        <w:rPr>
          <w:sz w:val="24"/>
          <w:szCs w:val="24"/>
        </w:rPr>
      </w:pPr>
      <w:r w:rsidRPr="00143528">
        <w:rPr>
          <w:sz w:val="24"/>
          <w:szCs w:val="24"/>
        </w:rPr>
        <w:t xml:space="preserve">Dosisjustering af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er ikke nødvendig hos patienter med let, moderat eller svært nedsat nyrefunktion (</w:t>
      </w:r>
      <w:proofErr w:type="spellStart"/>
      <w:r w:rsidRPr="00143528">
        <w:rPr>
          <w:sz w:val="24"/>
          <w:szCs w:val="24"/>
        </w:rPr>
        <w:t>kreatinin-clearance</w:t>
      </w:r>
      <w:proofErr w:type="spellEnd"/>
      <w:r w:rsidRPr="00143528">
        <w:rPr>
          <w:sz w:val="24"/>
          <w:szCs w:val="24"/>
        </w:rPr>
        <w:t xml:space="preserve"> [</w:t>
      </w:r>
      <w:proofErr w:type="spellStart"/>
      <w:r w:rsidRPr="00143528">
        <w:rPr>
          <w:sz w:val="24"/>
          <w:szCs w:val="24"/>
        </w:rPr>
        <w:t>CrCl</w:t>
      </w:r>
      <w:proofErr w:type="spellEnd"/>
      <w:r w:rsidRPr="00143528">
        <w:rPr>
          <w:sz w:val="24"/>
          <w:szCs w:val="24"/>
        </w:rPr>
        <w:t>] ≥ 15 ml/min). Der foreligger utilstrækkelige data fra patienter som kræver hæmodialyse til at kunne give anbefalinger om dosisjustering til denne patientpopulation (se pkt. 4.4 og 5.2).</w:t>
      </w:r>
    </w:p>
    <w:p w14:paraId="0F06C780" w14:textId="77777777" w:rsidR="00143528" w:rsidRPr="00143528" w:rsidRDefault="00143528" w:rsidP="00C11463">
      <w:pPr>
        <w:ind w:left="851"/>
        <w:rPr>
          <w:sz w:val="24"/>
          <w:szCs w:val="24"/>
        </w:rPr>
      </w:pPr>
    </w:p>
    <w:p w14:paraId="12203752" w14:textId="77777777" w:rsidR="00143528" w:rsidRPr="00143528" w:rsidRDefault="00143528" w:rsidP="00C11463">
      <w:pPr>
        <w:ind w:left="851"/>
        <w:rPr>
          <w:sz w:val="24"/>
          <w:szCs w:val="24"/>
        </w:rPr>
      </w:pPr>
      <w:r w:rsidRPr="00143528">
        <w:rPr>
          <w:i/>
          <w:sz w:val="24"/>
          <w:szCs w:val="24"/>
        </w:rPr>
        <w:t>Pædiatrisk population</w:t>
      </w:r>
    </w:p>
    <w:p w14:paraId="78F6F2A4" w14:textId="7D6C0B4D" w:rsidR="00143528" w:rsidRPr="00143528" w:rsidRDefault="00143528" w:rsidP="00C11463">
      <w:pPr>
        <w:ind w:left="851"/>
        <w:rPr>
          <w:sz w:val="24"/>
          <w:szCs w:val="24"/>
        </w:rPr>
      </w:pPr>
      <w:r w:rsidRPr="00143528">
        <w:rPr>
          <w:sz w:val="24"/>
          <w:szCs w:val="24"/>
        </w:rPr>
        <w:t xml:space="preserve">Det er ikke relevant at anvende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hos den pædiatriske population til behandling af brystkarcinom. </w:t>
      </w:r>
      <w:proofErr w:type="spellStart"/>
      <w:r w:rsidRPr="00143528">
        <w:rPr>
          <w:sz w:val="24"/>
          <w:szCs w:val="24"/>
        </w:rPr>
        <w:t>Palbociclibs</w:t>
      </w:r>
      <w:proofErr w:type="spellEnd"/>
      <w:r w:rsidRPr="00143528">
        <w:rPr>
          <w:sz w:val="24"/>
          <w:szCs w:val="24"/>
        </w:rPr>
        <w:t xml:space="preserve"> virkning hos børn og unge i alderen &lt; 18 år er ikke klarlagt. De foreliggende data er beskrevet i pkt. 4.8, 5.1 og 5.2.</w:t>
      </w:r>
    </w:p>
    <w:p w14:paraId="34C78413" w14:textId="77777777" w:rsidR="00143528" w:rsidRPr="00143528" w:rsidRDefault="00143528" w:rsidP="00C11463">
      <w:pPr>
        <w:ind w:left="851"/>
        <w:rPr>
          <w:sz w:val="24"/>
          <w:szCs w:val="24"/>
        </w:rPr>
      </w:pPr>
    </w:p>
    <w:p w14:paraId="6522A88A" w14:textId="77777777" w:rsidR="00143528" w:rsidRPr="00143528" w:rsidRDefault="00143528" w:rsidP="00C11463">
      <w:pPr>
        <w:ind w:left="851"/>
        <w:rPr>
          <w:sz w:val="24"/>
          <w:szCs w:val="24"/>
          <w:u w:val="single"/>
        </w:rPr>
      </w:pPr>
      <w:r w:rsidRPr="00143528">
        <w:rPr>
          <w:sz w:val="24"/>
          <w:szCs w:val="24"/>
          <w:u w:val="single"/>
        </w:rPr>
        <w:t>Administration</w:t>
      </w:r>
    </w:p>
    <w:p w14:paraId="7DA89597" w14:textId="77777777" w:rsidR="00143528" w:rsidRPr="00143528" w:rsidRDefault="00143528" w:rsidP="00C11463">
      <w:pPr>
        <w:ind w:left="851"/>
        <w:rPr>
          <w:sz w:val="24"/>
          <w:szCs w:val="24"/>
        </w:rPr>
      </w:pPr>
    </w:p>
    <w:p w14:paraId="477FAB6E" w14:textId="08370EA6" w:rsidR="00143528" w:rsidRPr="00143528" w:rsidRDefault="00143528" w:rsidP="00C11463">
      <w:pPr>
        <w:ind w:left="851"/>
        <w:rPr>
          <w:iCs/>
          <w:sz w:val="24"/>
          <w:szCs w:val="24"/>
        </w:rPr>
      </w:pPr>
      <w:proofErr w:type="spellStart"/>
      <w:r w:rsidRPr="00143528">
        <w:rPr>
          <w:iCs/>
          <w:sz w:val="24"/>
          <w:szCs w:val="24"/>
        </w:rPr>
        <w:t>Palbociclib</w:t>
      </w:r>
      <w:proofErr w:type="spellEnd"/>
      <w:r w:rsidRPr="00143528">
        <w:rPr>
          <w:iCs/>
          <w:sz w:val="24"/>
          <w:szCs w:val="24"/>
        </w:rPr>
        <w:t xml:space="preserve"> </w:t>
      </w:r>
      <w:r w:rsidR="009906AA">
        <w:rPr>
          <w:iCs/>
          <w:sz w:val="24"/>
          <w:szCs w:val="24"/>
        </w:rPr>
        <w:t>"</w:t>
      </w:r>
      <w:proofErr w:type="spellStart"/>
      <w:r w:rsidR="009906AA">
        <w:rPr>
          <w:iCs/>
          <w:sz w:val="24"/>
          <w:szCs w:val="24"/>
        </w:rPr>
        <w:t>Newbury</w:t>
      </w:r>
      <w:proofErr w:type="spellEnd"/>
      <w:r w:rsidR="009906AA">
        <w:rPr>
          <w:iCs/>
          <w:sz w:val="24"/>
          <w:szCs w:val="24"/>
        </w:rPr>
        <w:t>"</w:t>
      </w:r>
      <w:r w:rsidRPr="00143528">
        <w:rPr>
          <w:iCs/>
          <w:sz w:val="24"/>
          <w:szCs w:val="24"/>
        </w:rPr>
        <w:t xml:space="preserve"> er til oral anvendelse. Tabletterne kan tages med eller uden mad (se pkt. 5.2). </w:t>
      </w:r>
      <w:proofErr w:type="spellStart"/>
      <w:r w:rsidRPr="00143528">
        <w:rPr>
          <w:iCs/>
          <w:sz w:val="24"/>
          <w:szCs w:val="24"/>
        </w:rPr>
        <w:t>Palbociclib</w:t>
      </w:r>
      <w:proofErr w:type="spellEnd"/>
      <w:r w:rsidRPr="00143528">
        <w:rPr>
          <w:iCs/>
          <w:sz w:val="24"/>
          <w:szCs w:val="24"/>
        </w:rPr>
        <w:t xml:space="preserve"> må ikke tages med grapefrugt eller grapefrugtjuice (se pkt. 4.5).</w:t>
      </w:r>
    </w:p>
    <w:p w14:paraId="07E07242" w14:textId="77777777" w:rsidR="00143528" w:rsidRPr="00143528" w:rsidRDefault="00143528" w:rsidP="00C11463">
      <w:pPr>
        <w:ind w:left="851"/>
        <w:rPr>
          <w:iCs/>
          <w:sz w:val="24"/>
          <w:szCs w:val="24"/>
        </w:rPr>
      </w:pPr>
    </w:p>
    <w:p w14:paraId="488BF28B" w14:textId="19272D51" w:rsidR="00143528" w:rsidRPr="00143528" w:rsidRDefault="00143528" w:rsidP="00C11463">
      <w:pPr>
        <w:ind w:left="851"/>
        <w:rPr>
          <w:iCs/>
          <w:sz w:val="24"/>
          <w:szCs w:val="24"/>
        </w:rPr>
      </w:pPr>
      <w:proofErr w:type="spellStart"/>
      <w:r w:rsidRPr="00143528">
        <w:rPr>
          <w:iCs/>
          <w:sz w:val="24"/>
          <w:szCs w:val="24"/>
        </w:rPr>
        <w:t>Palbociclib</w:t>
      </w:r>
      <w:proofErr w:type="spellEnd"/>
      <w:r w:rsidRPr="00143528">
        <w:rPr>
          <w:iCs/>
          <w:sz w:val="24"/>
          <w:szCs w:val="24"/>
        </w:rPr>
        <w:t xml:space="preserve"> </w:t>
      </w:r>
      <w:r w:rsidR="009906AA">
        <w:rPr>
          <w:iCs/>
          <w:sz w:val="24"/>
          <w:szCs w:val="24"/>
        </w:rPr>
        <w:t>"</w:t>
      </w:r>
      <w:proofErr w:type="spellStart"/>
      <w:r w:rsidR="009906AA">
        <w:rPr>
          <w:iCs/>
          <w:sz w:val="24"/>
          <w:szCs w:val="24"/>
        </w:rPr>
        <w:t>Newbury</w:t>
      </w:r>
      <w:proofErr w:type="spellEnd"/>
      <w:r w:rsidR="009906AA">
        <w:rPr>
          <w:iCs/>
          <w:sz w:val="24"/>
          <w:szCs w:val="24"/>
        </w:rPr>
        <w:t>"</w:t>
      </w:r>
      <w:r w:rsidRPr="00143528">
        <w:rPr>
          <w:iCs/>
          <w:sz w:val="24"/>
          <w:szCs w:val="24"/>
        </w:rPr>
        <w:t>-tabletter skal synkes hele (må ikke tygges, knuses eller deles inden synkning). Tabletterne må ikke indtages, hvis de er knuste, revnede eller defekte på anden måde.</w:t>
      </w:r>
    </w:p>
    <w:p w14:paraId="53536E9F" w14:textId="77777777" w:rsidR="009260DE" w:rsidRPr="00D33C41" w:rsidRDefault="009260DE" w:rsidP="009260DE">
      <w:pPr>
        <w:tabs>
          <w:tab w:val="left" w:pos="851"/>
        </w:tabs>
        <w:ind w:left="851"/>
        <w:rPr>
          <w:sz w:val="24"/>
          <w:szCs w:val="24"/>
        </w:rPr>
      </w:pPr>
    </w:p>
    <w:p w14:paraId="42C7AD7E" w14:textId="77777777" w:rsidR="009260DE" w:rsidRPr="00D33C41" w:rsidRDefault="009260DE" w:rsidP="009260DE">
      <w:pPr>
        <w:tabs>
          <w:tab w:val="left" w:pos="851"/>
        </w:tabs>
        <w:ind w:left="851" w:hanging="851"/>
        <w:rPr>
          <w:b/>
          <w:sz w:val="24"/>
          <w:szCs w:val="24"/>
        </w:rPr>
      </w:pPr>
      <w:r w:rsidRPr="00D33C41">
        <w:rPr>
          <w:b/>
          <w:sz w:val="24"/>
          <w:szCs w:val="24"/>
        </w:rPr>
        <w:t>4.3</w:t>
      </w:r>
      <w:r w:rsidRPr="00D33C41">
        <w:rPr>
          <w:b/>
          <w:sz w:val="24"/>
          <w:szCs w:val="24"/>
        </w:rPr>
        <w:tab/>
        <w:t>Kontraindikationer</w:t>
      </w:r>
    </w:p>
    <w:p w14:paraId="6B6B7494" w14:textId="77777777" w:rsidR="00143528" w:rsidRPr="00143528" w:rsidRDefault="00143528" w:rsidP="00C11463">
      <w:pPr>
        <w:ind w:left="851"/>
        <w:rPr>
          <w:sz w:val="24"/>
          <w:szCs w:val="24"/>
        </w:rPr>
      </w:pPr>
      <w:r w:rsidRPr="00143528">
        <w:rPr>
          <w:sz w:val="24"/>
          <w:szCs w:val="24"/>
        </w:rPr>
        <w:t>Overfølsomhed over for det aktive stof eller over for et eller flere af hjælpestofferne anført i pkt. 6.1.</w:t>
      </w:r>
    </w:p>
    <w:p w14:paraId="14644861" w14:textId="77777777" w:rsidR="00143528" w:rsidRPr="00143528" w:rsidRDefault="00143528" w:rsidP="00C11463">
      <w:pPr>
        <w:ind w:left="851"/>
        <w:rPr>
          <w:sz w:val="24"/>
          <w:szCs w:val="24"/>
        </w:rPr>
      </w:pPr>
    </w:p>
    <w:p w14:paraId="66397964" w14:textId="77777777" w:rsidR="00143528" w:rsidRPr="00143528" w:rsidRDefault="00143528" w:rsidP="00C11463">
      <w:pPr>
        <w:ind w:left="851"/>
        <w:rPr>
          <w:sz w:val="24"/>
          <w:szCs w:val="24"/>
        </w:rPr>
      </w:pPr>
      <w:r w:rsidRPr="00143528">
        <w:rPr>
          <w:sz w:val="24"/>
          <w:szCs w:val="24"/>
        </w:rPr>
        <w:t>Præparater, som indeholder perikon (se pkt. 4.5).</w:t>
      </w:r>
    </w:p>
    <w:p w14:paraId="18B93387" w14:textId="28310CD4" w:rsidR="007A1C7E" w:rsidRDefault="007A1C7E">
      <w:pPr>
        <w:rPr>
          <w:sz w:val="24"/>
          <w:szCs w:val="24"/>
        </w:rPr>
      </w:pPr>
      <w:r>
        <w:rPr>
          <w:sz w:val="24"/>
          <w:szCs w:val="24"/>
        </w:rPr>
        <w:br w:type="page"/>
      </w:r>
    </w:p>
    <w:p w14:paraId="7CC5DDB4" w14:textId="77777777" w:rsidR="009260DE" w:rsidRPr="00D33C41" w:rsidRDefault="009260DE" w:rsidP="009260DE">
      <w:pPr>
        <w:tabs>
          <w:tab w:val="left" w:pos="851"/>
        </w:tabs>
        <w:ind w:left="851"/>
        <w:rPr>
          <w:sz w:val="24"/>
          <w:szCs w:val="24"/>
        </w:rPr>
      </w:pPr>
    </w:p>
    <w:p w14:paraId="13FA8362" w14:textId="77777777" w:rsidR="009260DE" w:rsidRPr="00D33C41" w:rsidRDefault="009260DE" w:rsidP="009260DE">
      <w:pPr>
        <w:tabs>
          <w:tab w:val="left" w:pos="851"/>
        </w:tabs>
        <w:ind w:left="851" w:hanging="851"/>
        <w:rPr>
          <w:b/>
          <w:sz w:val="24"/>
          <w:szCs w:val="24"/>
        </w:rPr>
      </w:pPr>
      <w:r w:rsidRPr="00D33C41">
        <w:rPr>
          <w:b/>
          <w:sz w:val="24"/>
          <w:szCs w:val="24"/>
        </w:rPr>
        <w:t>4.4</w:t>
      </w:r>
      <w:r w:rsidRPr="00D33C41">
        <w:rPr>
          <w:b/>
          <w:sz w:val="24"/>
          <w:szCs w:val="24"/>
        </w:rPr>
        <w:tab/>
        <w:t>Særlige advarsler og forsigtighedsregler vedrørende brugen</w:t>
      </w:r>
    </w:p>
    <w:p w14:paraId="15C9D4BC" w14:textId="77777777" w:rsidR="00143528" w:rsidRPr="00143528" w:rsidRDefault="00143528" w:rsidP="00143528">
      <w:pPr>
        <w:tabs>
          <w:tab w:val="left" w:pos="851"/>
        </w:tabs>
        <w:ind w:left="851"/>
        <w:rPr>
          <w:sz w:val="24"/>
          <w:szCs w:val="24"/>
        </w:rPr>
      </w:pPr>
    </w:p>
    <w:p w14:paraId="7AF2E172" w14:textId="77777777" w:rsidR="00143528" w:rsidRPr="00143528" w:rsidRDefault="00143528" w:rsidP="00C11463">
      <w:pPr>
        <w:ind w:left="851"/>
        <w:rPr>
          <w:sz w:val="24"/>
          <w:szCs w:val="24"/>
          <w:u w:val="single"/>
        </w:rPr>
      </w:pPr>
      <w:r w:rsidRPr="00143528">
        <w:rPr>
          <w:sz w:val="24"/>
          <w:szCs w:val="24"/>
          <w:u w:val="single"/>
        </w:rPr>
        <w:t>Præ-/</w:t>
      </w:r>
      <w:proofErr w:type="spellStart"/>
      <w:r w:rsidRPr="00143528">
        <w:rPr>
          <w:sz w:val="24"/>
          <w:szCs w:val="24"/>
          <w:u w:val="single"/>
        </w:rPr>
        <w:t>perimenopausale</w:t>
      </w:r>
      <w:proofErr w:type="spellEnd"/>
      <w:r w:rsidRPr="00143528">
        <w:rPr>
          <w:sz w:val="24"/>
          <w:szCs w:val="24"/>
          <w:u w:val="single"/>
        </w:rPr>
        <w:t xml:space="preserve"> kvinder</w:t>
      </w:r>
    </w:p>
    <w:p w14:paraId="52BFD89C" w14:textId="77777777" w:rsidR="00143528" w:rsidRPr="00143528" w:rsidRDefault="00143528" w:rsidP="00C11463">
      <w:pPr>
        <w:ind w:left="851"/>
        <w:rPr>
          <w:sz w:val="24"/>
          <w:szCs w:val="24"/>
        </w:rPr>
      </w:pPr>
      <w:r w:rsidRPr="00143528">
        <w:rPr>
          <w:sz w:val="24"/>
          <w:szCs w:val="24"/>
        </w:rPr>
        <w:t xml:space="preserve">På grund af </w:t>
      </w:r>
      <w:proofErr w:type="spellStart"/>
      <w:r w:rsidRPr="00143528">
        <w:rPr>
          <w:sz w:val="24"/>
          <w:szCs w:val="24"/>
        </w:rPr>
        <w:t>aromatase-hæmmeres</w:t>
      </w:r>
      <w:proofErr w:type="spellEnd"/>
      <w:r w:rsidRPr="00143528">
        <w:rPr>
          <w:sz w:val="24"/>
          <w:szCs w:val="24"/>
        </w:rPr>
        <w:t xml:space="preserve"> virkningsmekanisme er ablation eller suppression af ovarierne med en LHRH-agonist et krav, når præ-/</w:t>
      </w:r>
      <w:proofErr w:type="spellStart"/>
      <w:r w:rsidRPr="00143528">
        <w:rPr>
          <w:sz w:val="24"/>
          <w:szCs w:val="24"/>
        </w:rPr>
        <w:t>perimenopausale</w:t>
      </w:r>
      <w:proofErr w:type="spellEnd"/>
      <w:r w:rsidRPr="00143528">
        <w:rPr>
          <w:sz w:val="24"/>
          <w:szCs w:val="24"/>
        </w:rPr>
        <w:t xml:space="preserve"> kvinder gives </w:t>
      </w:r>
      <w:proofErr w:type="spellStart"/>
      <w:r w:rsidRPr="00143528">
        <w:rPr>
          <w:sz w:val="24"/>
          <w:szCs w:val="24"/>
        </w:rPr>
        <w:t>palbociclib</w:t>
      </w:r>
      <w:proofErr w:type="spellEnd"/>
      <w:r w:rsidRPr="00143528">
        <w:rPr>
          <w:sz w:val="24"/>
          <w:szCs w:val="24"/>
        </w:rPr>
        <w:t xml:space="preserve"> i kombination med en </w:t>
      </w:r>
      <w:proofErr w:type="spellStart"/>
      <w:r w:rsidRPr="00143528">
        <w:rPr>
          <w:sz w:val="24"/>
          <w:szCs w:val="24"/>
        </w:rPr>
        <w:t>aromatasehæmmer</w:t>
      </w:r>
      <w:proofErr w:type="spellEnd"/>
      <w:r w:rsidRPr="00143528">
        <w:rPr>
          <w:sz w:val="24"/>
          <w:szCs w:val="24"/>
        </w:rPr>
        <w:t xml:space="preserve">. </w:t>
      </w:r>
      <w:proofErr w:type="spellStart"/>
      <w:r w:rsidRPr="00143528">
        <w:rPr>
          <w:sz w:val="24"/>
          <w:szCs w:val="24"/>
        </w:rPr>
        <w:t>Palbociclib</w:t>
      </w:r>
      <w:proofErr w:type="spellEnd"/>
      <w:r w:rsidRPr="00143528">
        <w:rPr>
          <w:sz w:val="24"/>
          <w:szCs w:val="24"/>
        </w:rPr>
        <w:t xml:space="preserve"> i kombination med </w:t>
      </w:r>
      <w:proofErr w:type="spellStart"/>
      <w:r w:rsidRPr="00143528">
        <w:rPr>
          <w:sz w:val="24"/>
          <w:szCs w:val="24"/>
        </w:rPr>
        <w:t>fulvestrant</w:t>
      </w:r>
      <w:proofErr w:type="spellEnd"/>
      <w:r w:rsidRPr="00143528">
        <w:rPr>
          <w:sz w:val="24"/>
          <w:szCs w:val="24"/>
        </w:rPr>
        <w:t xml:space="preserve"> hos præ-/</w:t>
      </w:r>
      <w:proofErr w:type="spellStart"/>
      <w:r w:rsidRPr="00143528">
        <w:rPr>
          <w:sz w:val="24"/>
          <w:szCs w:val="24"/>
        </w:rPr>
        <w:t>perimenopausale</w:t>
      </w:r>
      <w:proofErr w:type="spellEnd"/>
      <w:r w:rsidRPr="00143528">
        <w:rPr>
          <w:sz w:val="24"/>
          <w:szCs w:val="24"/>
        </w:rPr>
        <w:t xml:space="preserve"> kvinder er kun blevet undersøgt i kombination med en LHRH-agonist.</w:t>
      </w:r>
    </w:p>
    <w:p w14:paraId="24E5BECD" w14:textId="77777777" w:rsidR="00143528" w:rsidRPr="00143528" w:rsidRDefault="00143528" w:rsidP="00C11463">
      <w:pPr>
        <w:ind w:left="851"/>
        <w:rPr>
          <w:sz w:val="24"/>
          <w:szCs w:val="24"/>
        </w:rPr>
      </w:pPr>
    </w:p>
    <w:p w14:paraId="1CD5880E" w14:textId="77777777" w:rsidR="00143528" w:rsidRPr="00143528" w:rsidRDefault="00143528" w:rsidP="00C11463">
      <w:pPr>
        <w:ind w:left="851"/>
        <w:rPr>
          <w:sz w:val="24"/>
          <w:szCs w:val="24"/>
          <w:u w:val="single"/>
        </w:rPr>
      </w:pPr>
      <w:r w:rsidRPr="00143528">
        <w:rPr>
          <w:sz w:val="24"/>
          <w:szCs w:val="24"/>
          <w:u w:val="single"/>
        </w:rPr>
        <w:t xml:space="preserve">Kritisk </w:t>
      </w:r>
      <w:proofErr w:type="spellStart"/>
      <w:r w:rsidRPr="00143528">
        <w:rPr>
          <w:sz w:val="24"/>
          <w:szCs w:val="24"/>
          <w:u w:val="single"/>
        </w:rPr>
        <w:t>visceral</w:t>
      </w:r>
      <w:proofErr w:type="spellEnd"/>
      <w:r w:rsidRPr="00143528">
        <w:rPr>
          <w:sz w:val="24"/>
          <w:szCs w:val="24"/>
          <w:u w:val="single"/>
        </w:rPr>
        <w:t xml:space="preserve"> sygdom</w:t>
      </w:r>
    </w:p>
    <w:p w14:paraId="64FC7169" w14:textId="295B3A91" w:rsidR="00143528" w:rsidRPr="00143528" w:rsidRDefault="00143528" w:rsidP="00C11463">
      <w:pPr>
        <w:ind w:left="851"/>
        <w:rPr>
          <w:sz w:val="24"/>
          <w:szCs w:val="24"/>
        </w:rPr>
      </w:pPr>
      <w:proofErr w:type="spellStart"/>
      <w:r w:rsidRPr="00143528">
        <w:rPr>
          <w:sz w:val="24"/>
          <w:szCs w:val="24"/>
        </w:rPr>
        <w:t>Palbociclibs</w:t>
      </w:r>
      <w:proofErr w:type="spellEnd"/>
      <w:r w:rsidRPr="00143528">
        <w:rPr>
          <w:sz w:val="24"/>
          <w:szCs w:val="24"/>
        </w:rPr>
        <w:t xml:space="preserve"> virkning og sikkerhed er ikke blevet undersøgt hos patienter med kritisk </w:t>
      </w:r>
      <w:proofErr w:type="spellStart"/>
      <w:r w:rsidRPr="00143528">
        <w:rPr>
          <w:sz w:val="24"/>
          <w:szCs w:val="24"/>
        </w:rPr>
        <w:t>visceral</w:t>
      </w:r>
      <w:proofErr w:type="spellEnd"/>
      <w:r w:rsidRPr="00143528">
        <w:rPr>
          <w:sz w:val="24"/>
          <w:szCs w:val="24"/>
        </w:rPr>
        <w:t xml:space="preserve"> sygdom</w:t>
      </w:r>
      <w:r w:rsidR="009906AA">
        <w:rPr>
          <w:sz w:val="24"/>
          <w:szCs w:val="24"/>
        </w:rPr>
        <w:t xml:space="preserve"> </w:t>
      </w:r>
      <w:r w:rsidRPr="00143528">
        <w:rPr>
          <w:sz w:val="24"/>
          <w:szCs w:val="24"/>
        </w:rPr>
        <w:t>(se pkt. 5.1).</w:t>
      </w:r>
    </w:p>
    <w:p w14:paraId="4397B92A" w14:textId="77777777" w:rsidR="00143528" w:rsidRPr="00143528" w:rsidRDefault="00143528" w:rsidP="00C11463">
      <w:pPr>
        <w:ind w:left="851"/>
        <w:rPr>
          <w:sz w:val="24"/>
          <w:szCs w:val="24"/>
        </w:rPr>
      </w:pPr>
    </w:p>
    <w:p w14:paraId="2EA748F1" w14:textId="77777777" w:rsidR="00143528" w:rsidRPr="00143528" w:rsidRDefault="00143528" w:rsidP="00C11463">
      <w:pPr>
        <w:ind w:left="851"/>
        <w:rPr>
          <w:sz w:val="24"/>
          <w:szCs w:val="24"/>
          <w:u w:val="single"/>
        </w:rPr>
      </w:pPr>
      <w:r w:rsidRPr="00143528">
        <w:rPr>
          <w:sz w:val="24"/>
          <w:szCs w:val="24"/>
          <w:u w:val="single"/>
        </w:rPr>
        <w:t>Hæmatologiske forstyrrelser</w:t>
      </w:r>
    </w:p>
    <w:p w14:paraId="62A6005E" w14:textId="77777777" w:rsidR="00143528" w:rsidRPr="00143528" w:rsidRDefault="00143528" w:rsidP="00C11463">
      <w:pPr>
        <w:ind w:left="851"/>
        <w:rPr>
          <w:sz w:val="24"/>
          <w:szCs w:val="24"/>
        </w:rPr>
      </w:pPr>
      <w:r w:rsidRPr="00143528">
        <w:rPr>
          <w:sz w:val="24"/>
          <w:szCs w:val="24"/>
        </w:rPr>
        <w:t xml:space="preserve">Det anbefales at afbryde behandlingen, nedsætte dosis eller udsætte start af et cyklusforløb hos patienter, som udvikler </w:t>
      </w:r>
      <w:proofErr w:type="spellStart"/>
      <w:r w:rsidRPr="00143528">
        <w:rPr>
          <w:sz w:val="24"/>
          <w:szCs w:val="24"/>
        </w:rPr>
        <w:t>neutropeni</w:t>
      </w:r>
      <w:proofErr w:type="spellEnd"/>
      <w:r w:rsidRPr="00143528">
        <w:rPr>
          <w:sz w:val="24"/>
          <w:szCs w:val="24"/>
        </w:rPr>
        <w:t xml:space="preserve"> af grad 3 eller 4. Passende monitorering er nødvendig (se pkt. 4.2 og 4.8).</w:t>
      </w:r>
    </w:p>
    <w:p w14:paraId="1569068B" w14:textId="77777777" w:rsidR="00143528" w:rsidRPr="00143528" w:rsidRDefault="00143528" w:rsidP="00C11463">
      <w:pPr>
        <w:ind w:left="851"/>
        <w:rPr>
          <w:sz w:val="24"/>
          <w:szCs w:val="24"/>
        </w:rPr>
      </w:pPr>
    </w:p>
    <w:p w14:paraId="792CC7A7" w14:textId="77777777" w:rsidR="00143528" w:rsidRPr="00143528" w:rsidRDefault="00143528" w:rsidP="00C11463">
      <w:pPr>
        <w:ind w:left="851"/>
        <w:rPr>
          <w:sz w:val="24"/>
          <w:szCs w:val="24"/>
          <w:u w:val="single"/>
        </w:rPr>
      </w:pPr>
      <w:proofErr w:type="spellStart"/>
      <w:r w:rsidRPr="00143528">
        <w:rPr>
          <w:sz w:val="24"/>
          <w:szCs w:val="24"/>
          <w:u w:val="single"/>
        </w:rPr>
        <w:t>Interstitiel</w:t>
      </w:r>
      <w:proofErr w:type="spellEnd"/>
      <w:r w:rsidRPr="00143528">
        <w:rPr>
          <w:sz w:val="24"/>
          <w:szCs w:val="24"/>
          <w:u w:val="single"/>
        </w:rPr>
        <w:t xml:space="preserve"> lungesygdom/pneumonitis</w:t>
      </w:r>
    </w:p>
    <w:p w14:paraId="45F4449C" w14:textId="77777777" w:rsidR="00143528" w:rsidRPr="00143528" w:rsidRDefault="00143528" w:rsidP="00C11463">
      <w:pPr>
        <w:ind w:left="851"/>
        <w:rPr>
          <w:sz w:val="24"/>
          <w:szCs w:val="24"/>
        </w:rPr>
      </w:pPr>
      <w:r w:rsidRPr="00143528">
        <w:rPr>
          <w:sz w:val="24"/>
          <w:szCs w:val="24"/>
        </w:rPr>
        <w:t xml:space="preserve">Alvorlig, livstruende eller letal ILS og/eller pneumonitis kan forekomme hos patienter behandlet med </w:t>
      </w:r>
      <w:proofErr w:type="spellStart"/>
      <w:r w:rsidRPr="00143528">
        <w:rPr>
          <w:sz w:val="24"/>
          <w:szCs w:val="24"/>
        </w:rPr>
        <w:t>palbociclib</w:t>
      </w:r>
      <w:proofErr w:type="spellEnd"/>
      <w:r w:rsidRPr="00143528">
        <w:rPr>
          <w:sz w:val="24"/>
          <w:szCs w:val="24"/>
        </w:rPr>
        <w:t>, når det tages i kombination med endokrin behandling.</w:t>
      </w:r>
    </w:p>
    <w:p w14:paraId="46F8E0B9" w14:textId="77777777" w:rsidR="00143528" w:rsidRPr="00143528" w:rsidRDefault="00143528" w:rsidP="00C11463">
      <w:pPr>
        <w:ind w:left="851"/>
        <w:rPr>
          <w:sz w:val="24"/>
          <w:szCs w:val="24"/>
        </w:rPr>
      </w:pPr>
    </w:p>
    <w:p w14:paraId="54D2010F" w14:textId="09681347" w:rsidR="00143528" w:rsidRPr="00143528" w:rsidRDefault="00143528" w:rsidP="00C11463">
      <w:pPr>
        <w:ind w:left="851"/>
        <w:rPr>
          <w:sz w:val="24"/>
          <w:szCs w:val="24"/>
        </w:rPr>
      </w:pPr>
      <w:r w:rsidRPr="00143528">
        <w:rPr>
          <w:sz w:val="24"/>
          <w:szCs w:val="24"/>
        </w:rPr>
        <w:t>På tværs af de kliniske studier (PALOMA-1, PALOMA-2, PALOMA-3) havde 1,4</w:t>
      </w:r>
      <w:r w:rsidR="007A1C7E">
        <w:rPr>
          <w:sz w:val="24"/>
          <w:szCs w:val="24"/>
        </w:rPr>
        <w:t xml:space="preserve"> %</w:t>
      </w:r>
      <w:r w:rsidRPr="00143528">
        <w:rPr>
          <w:sz w:val="24"/>
          <w:szCs w:val="24"/>
        </w:rPr>
        <w:t xml:space="preserve"> af patienter behandlet med </w:t>
      </w:r>
      <w:proofErr w:type="spellStart"/>
      <w:r w:rsidRPr="00143528">
        <w:rPr>
          <w:sz w:val="24"/>
          <w:szCs w:val="24"/>
        </w:rPr>
        <w:t>palbociclib</w:t>
      </w:r>
      <w:proofErr w:type="spellEnd"/>
      <w:r w:rsidRPr="00143528">
        <w:rPr>
          <w:sz w:val="24"/>
          <w:szCs w:val="24"/>
        </w:rPr>
        <w:t xml:space="preserve"> ILS/pneumonitis af enhver grad, 0,1</w:t>
      </w:r>
      <w:r w:rsidR="007A1C7E">
        <w:rPr>
          <w:sz w:val="24"/>
          <w:szCs w:val="24"/>
        </w:rPr>
        <w:t xml:space="preserve"> %</w:t>
      </w:r>
      <w:r w:rsidRPr="00143528">
        <w:rPr>
          <w:sz w:val="24"/>
          <w:szCs w:val="24"/>
        </w:rPr>
        <w:t xml:space="preserve"> havde grad 3. Der blev ikke rapporteret tilfælde af grad 4 eller letale tilfælde. Yderligere tilfælde af ILS/pneumonitis er observeret efter markedsføring, hvor dødsfald blev rapporteret (se pkt. 4.8).</w:t>
      </w:r>
    </w:p>
    <w:p w14:paraId="177F6CDA" w14:textId="77777777" w:rsidR="00143528" w:rsidRPr="00143528" w:rsidRDefault="00143528" w:rsidP="00C11463">
      <w:pPr>
        <w:ind w:left="851"/>
        <w:rPr>
          <w:sz w:val="24"/>
          <w:szCs w:val="24"/>
        </w:rPr>
      </w:pPr>
    </w:p>
    <w:p w14:paraId="0E7F96DA" w14:textId="77777777" w:rsidR="00143528" w:rsidRPr="00143528" w:rsidRDefault="00143528" w:rsidP="00C11463">
      <w:pPr>
        <w:ind w:left="851"/>
        <w:rPr>
          <w:sz w:val="24"/>
          <w:szCs w:val="24"/>
        </w:rPr>
      </w:pPr>
      <w:r w:rsidRPr="00143528">
        <w:rPr>
          <w:sz w:val="24"/>
          <w:szCs w:val="24"/>
        </w:rPr>
        <w:t xml:space="preserve">Patienter skal monitoreres for lungesymptomer, der tyder på ILS/pneumonitis (f.eks. </w:t>
      </w:r>
      <w:proofErr w:type="spellStart"/>
      <w:r w:rsidRPr="00143528">
        <w:rPr>
          <w:sz w:val="24"/>
          <w:szCs w:val="24"/>
        </w:rPr>
        <w:t>hypoxi</w:t>
      </w:r>
      <w:proofErr w:type="spellEnd"/>
      <w:r w:rsidRPr="00143528">
        <w:rPr>
          <w:sz w:val="24"/>
          <w:szCs w:val="24"/>
        </w:rPr>
        <w:t xml:space="preserve">, hoste, dyspnø). Hos patienter, der har nye eller forværrende luftvejssymptomer, og mistanke om ILS/pneumonitis, skal behandlingen med </w:t>
      </w:r>
      <w:proofErr w:type="spellStart"/>
      <w:r w:rsidRPr="00143528">
        <w:rPr>
          <w:sz w:val="24"/>
          <w:szCs w:val="24"/>
        </w:rPr>
        <w:t>palbociclib</w:t>
      </w:r>
      <w:proofErr w:type="spellEnd"/>
      <w:r w:rsidRPr="00143528">
        <w:rPr>
          <w:sz w:val="24"/>
          <w:szCs w:val="24"/>
        </w:rPr>
        <w:t xml:space="preserve"> straks afbrydes, og patienten skal vurderes. </w:t>
      </w:r>
      <w:proofErr w:type="spellStart"/>
      <w:r w:rsidRPr="00143528">
        <w:rPr>
          <w:sz w:val="24"/>
          <w:szCs w:val="24"/>
        </w:rPr>
        <w:t>Palbociclib</w:t>
      </w:r>
      <w:proofErr w:type="spellEnd"/>
      <w:r w:rsidRPr="00143528">
        <w:rPr>
          <w:sz w:val="24"/>
          <w:szCs w:val="24"/>
        </w:rPr>
        <w:t xml:space="preserve"> skal seponeres permanent hos patienter med alvorlig ILS eller pneumonitis (se pkt. 4.2).</w:t>
      </w:r>
    </w:p>
    <w:p w14:paraId="4FCAF0C0" w14:textId="77777777" w:rsidR="00143528" w:rsidRPr="00143528" w:rsidRDefault="00143528" w:rsidP="00C11463">
      <w:pPr>
        <w:ind w:left="851"/>
        <w:rPr>
          <w:sz w:val="24"/>
          <w:szCs w:val="24"/>
        </w:rPr>
      </w:pPr>
    </w:p>
    <w:p w14:paraId="3782E17F" w14:textId="77777777" w:rsidR="00143528" w:rsidRPr="00143528" w:rsidRDefault="00143528" w:rsidP="00C11463">
      <w:pPr>
        <w:ind w:left="851"/>
        <w:rPr>
          <w:sz w:val="24"/>
          <w:szCs w:val="24"/>
          <w:u w:val="single"/>
        </w:rPr>
      </w:pPr>
      <w:r w:rsidRPr="00143528">
        <w:rPr>
          <w:sz w:val="24"/>
          <w:szCs w:val="24"/>
          <w:u w:val="single"/>
        </w:rPr>
        <w:t>Infektioner</w:t>
      </w:r>
    </w:p>
    <w:p w14:paraId="3311A69F" w14:textId="77777777" w:rsidR="00143528" w:rsidRPr="00143528" w:rsidRDefault="00143528" w:rsidP="00C11463">
      <w:pPr>
        <w:ind w:left="851"/>
        <w:rPr>
          <w:sz w:val="24"/>
          <w:szCs w:val="24"/>
        </w:rPr>
      </w:pPr>
      <w:r w:rsidRPr="00143528">
        <w:rPr>
          <w:sz w:val="24"/>
          <w:szCs w:val="24"/>
        </w:rPr>
        <w:t xml:space="preserve">Eftersom </w:t>
      </w:r>
      <w:proofErr w:type="spellStart"/>
      <w:r w:rsidRPr="00143528">
        <w:rPr>
          <w:sz w:val="24"/>
          <w:szCs w:val="24"/>
        </w:rPr>
        <w:t>palbociclib</w:t>
      </w:r>
      <w:proofErr w:type="spellEnd"/>
      <w:r w:rsidRPr="00143528">
        <w:rPr>
          <w:sz w:val="24"/>
          <w:szCs w:val="24"/>
        </w:rPr>
        <w:t xml:space="preserve"> har knoglemarvssupprimerende egenskaber, kan det prædisponere patienter for infektioner.</w:t>
      </w:r>
    </w:p>
    <w:p w14:paraId="4731E14D" w14:textId="77777777" w:rsidR="00143528" w:rsidRPr="00143528" w:rsidRDefault="00143528" w:rsidP="00C11463">
      <w:pPr>
        <w:ind w:left="851"/>
        <w:rPr>
          <w:sz w:val="24"/>
          <w:szCs w:val="24"/>
        </w:rPr>
      </w:pPr>
    </w:p>
    <w:p w14:paraId="5F9D2202" w14:textId="70C67F1C" w:rsidR="00143528" w:rsidRPr="00143528" w:rsidRDefault="00143528" w:rsidP="00C11463">
      <w:pPr>
        <w:ind w:left="851"/>
        <w:rPr>
          <w:sz w:val="24"/>
          <w:szCs w:val="24"/>
        </w:rPr>
      </w:pPr>
      <w:r w:rsidRPr="00143528">
        <w:rPr>
          <w:sz w:val="24"/>
          <w:szCs w:val="24"/>
        </w:rPr>
        <w:t xml:space="preserve">I randomiserede kliniske studier er infektioner rapporteret hyppigere hos patienter behandlet med </w:t>
      </w:r>
      <w:proofErr w:type="spellStart"/>
      <w:r w:rsidRPr="00143528">
        <w:rPr>
          <w:sz w:val="24"/>
          <w:szCs w:val="24"/>
        </w:rPr>
        <w:t>palbociclib</w:t>
      </w:r>
      <w:proofErr w:type="spellEnd"/>
      <w:r w:rsidRPr="00143528">
        <w:rPr>
          <w:sz w:val="24"/>
          <w:szCs w:val="24"/>
        </w:rPr>
        <w:t xml:space="preserve"> sammenlignet med patienter i den respektive komparatorarm. Grad 3 og grad 4 infektioner forekom hos henholdsvis 5,6</w:t>
      </w:r>
      <w:r w:rsidR="007A1C7E">
        <w:rPr>
          <w:sz w:val="24"/>
          <w:szCs w:val="24"/>
        </w:rPr>
        <w:t xml:space="preserve"> %</w:t>
      </w:r>
      <w:r w:rsidRPr="00143528">
        <w:rPr>
          <w:sz w:val="24"/>
          <w:szCs w:val="24"/>
        </w:rPr>
        <w:t xml:space="preserve"> og 0,9</w:t>
      </w:r>
      <w:r w:rsidR="007A1C7E">
        <w:rPr>
          <w:sz w:val="24"/>
          <w:szCs w:val="24"/>
        </w:rPr>
        <w:t xml:space="preserve"> %</w:t>
      </w:r>
      <w:r w:rsidRPr="00143528">
        <w:rPr>
          <w:sz w:val="24"/>
          <w:szCs w:val="24"/>
        </w:rPr>
        <w:t xml:space="preserve"> af patienterne behandlet med </w:t>
      </w:r>
      <w:proofErr w:type="spellStart"/>
      <w:r w:rsidRPr="00143528">
        <w:rPr>
          <w:sz w:val="24"/>
          <w:szCs w:val="24"/>
        </w:rPr>
        <w:t>palbociclib</w:t>
      </w:r>
      <w:proofErr w:type="spellEnd"/>
      <w:r w:rsidRPr="00143528">
        <w:rPr>
          <w:sz w:val="24"/>
          <w:szCs w:val="24"/>
        </w:rPr>
        <w:t xml:space="preserve"> i alle kombinationer (se pkt. 4.8).</w:t>
      </w:r>
    </w:p>
    <w:p w14:paraId="2A2E9B2B" w14:textId="77777777" w:rsidR="00143528" w:rsidRPr="00143528" w:rsidRDefault="00143528" w:rsidP="00C11463">
      <w:pPr>
        <w:ind w:left="851"/>
        <w:rPr>
          <w:sz w:val="24"/>
          <w:szCs w:val="24"/>
        </w:rPr>
      </w:pPr>
    </w:p>
    <w:p w14:paraId="59037E70" w14:textId="77777777" w:rsidR="00143528" w:rsidRPr="00143528" w:rsidRDefault="00143528" w:rsidP="00C11463">
      <w:pPr>
        <w:ind w:left="851"/>
        <w:rPr>
          <w:sz w:val="24"/>
          <w:szCs w:val="24"/>
        </w:rPr>
      </w:pPr>
      <w:r w:rsidRPr="00143528">
        <w:rPr>
          <w:sz w:val="24"/>
          <w:szCs w:val="24"/>
        </w:rPr>
        <w:t>Patienterne skal monitoreres for symptomer på infektion og behandles på en hensigtsmæssig måde (se pkt. 4.2).</w:t>
      </w:r>
    </w:p>
    <w:p w14:paraId="761662E7" w14:textId="77777777" w:rsidR="00143528" w:rsidRPr="00143528" w:rsidRDefault="00143528" w:rsidP="00C11463">
      <w:pPr>
        <w:ind w:left="851"/>
        <w:rPr>
          <w:sz w:val="24"/>
          <w:szCs w:val="24"/>
        </w:rPr>
      </w:pPr>
    </w:p>
    <w:p w14:paraId="53DD3E6A" w14:textId="77777777" w:rsidR="00143528" w:rsidRPr="00143528" w:rsidRDefault="00143528" w:rsidP="00C11463">
      <w:pPr>
        <w:ind w:left="851"/>
        <w:rPr>
          <w:sz w:val="24"/>
          <w:szCs w:val="24"/>
        </w:rPr>
      </w:pPr>
      <w:r w:rsidRPr="00143528">
        <w:rPr>
          <w:sz w:val="24"/>
          <w:szCs w:val="24"/>
        </w:rPr>
        <w:t>Lægen skal informere patienten om straks at indberette enhver feberepisode.</w:t>
      </w:r>
    </w:p>
    <w:p w14:paraId="69B04425" w14:textId="4DD7478A" w:rsidR="007A1C7E" w:rsidRDefault="007A1C7E">
      <w:pPr>
        <w:rPr>
          <w:sz w:val="24"/>
          <w:szCs w:val="24"/>
        </w:rPr>
      </w:pPr>
      <w:r>
        <w:rPr>
          <w:sz w:val="24"/>
          <w:szCs w:val="24"/>
        </w:rPr>
        <w:br w:type="page"/>
      </w:r>
    </w:p>
    <w:p w14:paraId="56E04A6E" w14:textId="77777777" w:rsidR="00143528" w:rsidRPr="00143528" w:rsidRDefault="00143528" w:rsidP="00C11463">
      <w:pPr>
        <w:ind w:left="851"/>
        <w:rPr>
          <w:sz w:val="24"/>
          <w:szCs w:val="24"/>
        </w:rPr>
      </w:pPr>
    </w:p>
    <w:p w14:paraId="2A331EE7" w14:textId="77777777" w:rsidR="00143528" w:rsidRPr="00143528" w:rsidRDefault="00143528" w:rsidP="00C11463">
      <w:pPr>
        <w:ind w:left="851"/>
        <w:rPr>
          <w:sz w:val="24"/>
          <w:szCs w:val="24"/>
          <w:u w:val="single"/>
        </w:rPr>
      </w:pPr>
      <w:r w:rsidRPr="00143528">
        <w:rPr>
          <w:sz w:val="24"/>
          <w:szCs w:val="24"/>
          <w:u w:val="single"/>
        </w:rPr>
        <w:t xml:space="preserve">Venøs </w:t>
      </w:r>
      <w:proofErr w:type="spellStart"/>
      <w:r w:rsidRPr="00143528">
        <w:rPr>
          <w:sz w:val="24"/>
          <w:szCs w:val="24"/>
          <w:u w:val="single"/>
        </w:rPr>
        <w:t>tromboembolisme</w:t>
      </w:r>
      <w:proofErr w:type="spellEnd"/>
    </w:p>
    <w:p w14:paraId="06354722" w14:textId="77777777" w:rsidR="00143528" w:rsidRPr="00143528" w:rsidRDefault="00143528" w:rsidP="00C11463">
      <w:pPr>
        <w:ind w:left="851"/>
        <w:rPr>
          <w:sz w:val="24"/>
          <w:szCs w:val="24"/>
        </w:rPr>
      </w:pPr>
      <w:r w:rsidRPr="00143528">
        <w:rPr>
          <w:sz w:val="24"/>
          <w:szCs w:val="24"/>
        </w:rPr>
        <w:t xml:space="preserve">Venøse </w:t>
      </w:r>
      <w:proofErr w:type="spellStart"/>
      <w:r w:rsidRPr="00143528">
        <w:rPr>
          <w:sz w:val="24"/>
          <w:szCs w:val="24"/>
        </w:rPr>
        <w:t>tromboemboliske</w:t>
      </w:r>
      <w:proofErr w:type="spellEnd"/>
      <w:r w:rsidRPr="00143528">
        <w:rPr>
          <w:sz w:val="24"/>
          <w:szCs w:val="24"/>
        </w:rPr>
        <w:t xml:space="preserve"> hændelser blev rapporteret hos patienter behandlet med </w:t>
      </w:r>
      <w:proofErr w:type="spellStart"/>
      <w:r w:rsidRPr="00143528">
        <w:rPr>
          <w:sz w:val="24"/>
          <w:szCs w:val="24"/>
        </w:rPr>
        <w:t>palbociclib</w:t>
      </w:r>
      <w:proofErr w:type="spellEnd"/>
      <w:r w:rsidRPr="00143528">
        <w:rPr>
          <w:sz w:val="24"/>
          <w:szCs w:val="24"/>
        </w:rPr>
        <w:t xml:space="preserve"> (se pkt. 4.8). Patienterne skal monitoreres for tegn og symptomer på dyb venetrombose og </w:t>
      </w:r>
      <w:proofErr w:type="spellStart"/>
      <w:r w:rsidRPr="00143528">
        <w:rPr>
          <w:sz w:val="24"/>
          <w:szCs w:val="24"/>
        </w:rPr>
        <w:t>lungeemboli</w:t>
      </w:r>
      <w:proofErr w:type="spellEnd"/>
      <w:r w:rsidRPr="00143528">
        <w:rPr>
          <w:sz w:val="24"/>
          <w:szCs w:val="24"/>
        </w:rPr>
        <w:t xml:space="preserve"> og behandles på en hensigtsmæssig måde.</w:t>
      </w:r>
    </w:p>
    <w:p w14:paraId="44F69434" w14:textId="77777777" w:rsidR="00143528" w:rsidRPr="00143528" w:rsidRDefault="00143528" w:rsidP="00C11463">
      <w:pPr>
        <w:ind w:left="851"/>
        <w:rPr>
          <w:sz w:val="24"/>
          <w:szCs w:val="24"/>
        </w:rPr>
      </w:pPr>
    </w:p>
    <w:p w14:paraId="42A07937" w14:textId="77777777" w:rsidR="00143528" w:rsidRPr="00143528" w:rsidRDefault="00143528" w:rsidP="00C11463">
      <w:pPr>
        <w:ind w:left="851"/>
        <w:rPr>
          <w:sz w:val="24"/>
          <w:szCs w:val="24"/>
          <w:u w:val="single"/>
        </w:rPr>
      </w:pPr>
      <w:r w:rsidRPr="00143528">
        <w:rPr>
          <w:sz w:val="24"/>
          <w:szCs w:val="24"/>
          <w:u w:val="single"/>
        </w:rPr>
        <w:t>Nedsat leverfunktion</w:t>
      </w:r>
    </w:p>
    <w:p w14:paraId="21570328" w14:textId="77777777" w:rsidR="00143528" w:rsidRPr="00143528" w:rsidRDefault="00143528" w:rsidP="00C11463">
      <w:pPr>
        <w:ind w:left="851"/>
        <w:rPr>
          <w:sz w:val="24"/>
          <w:szCs w:val="24"/>
        </w:rPr>
      </w:pPr>
      <w:proofErr w:type="spellStart"/>
      <w:r w:rsidRPr="00143528">
        <w:rPr>
          <w:sz w:val="24"/>
          <w:szCs w:val="24"/>
        </w:rPr>
        <w:t>Palbociclib</w:t>
      </w:r>
      <w:proofErr w:type="spellEnd"/>
      <w:r w:rsidRPr="00143528">
        <w:rPr>
          <w:sz w:val="24"/>
          <w:szCs w:val="24"/>
        </w:rPr>
        <w:t xml:space="preserve"> skal anvendes med forsigtighed hos patienter med moderat eller svært nedsat</w:t>
      </w:r>
    </w:p>
    <w:p w14:paraId="2220D6A5" w14:textId="77777777" w:rsidR="00143528" w:rsidRPr="00143528" w:rsidRDefault="00143528" w:rsidP="00C11463">
      <w:pPr>
        <w:ind w:left="851"/>
        <w:rPr>
          <w:sz w:val="24"/>
          <w:szCs w:val="24"/>
        </w:rPr>
      </w:pPr>
      <w:r w:rsidRPr="00143528">
        <w:rPr>
          <w:sz w:val="24"/>
          <w:szCs w:val="24"/>
        </w:rPr>
        <w:t>leverfunktion, og der skal overvåges nøje for tegn på toksicitet (se pkt. 4.2 og 5.2).</w:t>
      </w:r>
    </w:p>
    <w:p w14:paraId="60D74BDC" w14:textId="77777777" w:rsidR="00143528" w:rsidRPr="00143528" w:rsidRDefault="00143528" w:rsidP="00C11463">
      <w:pPr>
        <w:ind w:left="851"/>
        <w:rPr>
          <w:sz w:val="24"/>
          <w:szCs w:val="24"/>
        </w:rPr>
      </w:pPr>
    </w:p>
    <w:p w14:paraId="3E86218C" w14:textId="77777777" w:rsidR="00143528" w:rsidRPr="00143528" w:rsidRDefault="00143528" w:rsidP="00C11463">
      <w:pPr>
        <w:ind w:left="851"/>
        <w:rPr>
          <w:sz w:val="24"/>
          <w:szCs w:val="24"/>
          <w:u w:val="single"/>
        </w:rPr>
      </w:pPr>
      <w:r w:rsidRPr="00143528">
        <w:rPr>
          <w:sz w:val="24"/>
          <w:szCs w:val="24"/>
          <w:u w:val="single"/>
        </w:rPr>
        <w:t>Nedsat nyrefunktion</w:t>
      </w:r>
    </w:p>
    <w:p w14:paraId="3AC1BD8B" w14:textId="77777777" w:rsidR="00143528" w:rsidRPr="00143528" w:rsidRDefault="00143528" w:rsidP="00C11463">
      <w:pPr>
        <w:ind w:left="851"/>
        <w:rPr>
          <w:sz w:val="24"/>
          <w:szCs w:val="24"/>
        </w:rPr>
      </w:pPr>
      <w:proofErr w:type="spellStart"/>
      <w:r w:rsidRPr="00143528">
        <w:rPr>
          <w:sz w:val="24"/>
          <w:szCs w:val="24"/>
        </w:rPr>
        <w:t>Palbociclib</w:t>
      </w:r>
      <w:proofErr w:type="spellEnd"/>
      <w:r w:rsidRPr="00143528">
        <w:rPr>
          <w:sz w:val="24"/>
          <w:szCs w:val="24"/>
        </w:rPr>
        <w:t xml:space="preserve"> skal anvendes med forsigtighed hos patienter med moderat eller svært nedsat nyrefunktion, og der skal overvåges nøje for tegn på toksicitet (se pkt. 4.2 og 5.2).</w:t>
      </w:r>
    </w:p>
    <w:p w14:paraId="3591547D" w14:textId="77777777" w:rsidR="00143528" w:rsidRPr="00143528" w:rsidRDefault="00143528" w:rsidP="00C11463">
      <w:pPr>
        <w:ind w:left="851"/>
        <w:rPr>
          <w:sz w:val="24"/>
          <w:szCs w:val="24"/>
        </w:rPr>
      </w:pPr>
    </w:p>
    <w:p w14:paraId="236314D5" w14:textId="77777777" w:rsidR="00143528" w:rsidRPr="00143528" w:rsidRDefault="00143528" w:rsidP="00C11463">
      <w:pPr>
        <w:ind w:left="851"/>
        <w:rPr>
          <w:sz w:val="24"/>
          <w:szCs w:val="24"/>
          <w:u w:val="single"/>
        </w:rPr>
      </w:pPr>
      <w:r w:rsidRPr="00143528">
        <w:rPr>
          <w:sz w:val="24"/>
          <w:szCs w:val="24"/>
          <w:u w:val="single"/>
        </w:rPr>
        <w:t>Samtidig behandling med CYP3A4-hæmmere eller –induktorer</w:t>
      </w:r>
    </w:p>
    <w:p w14:paraId="2B22E58E" w14:textId="77777777" w:rsidR="00143528" w:rsidRPr="00143528" w:rsidRDefault="00143528" w:rsidP="00C11463">
      <w:pPr>
        <w:ind w:left="851"/>
        <w:rPr>
          <w:sz w:val="24"/>
          <w:szCs w:val="24"/>
        </w:rPr>
      </w:pPr>
      <w:r w:rsidRPr="00143528">
        <w:rPr>
          <w:sz w:val="24"/>
          <w:szCs w:val="24"/>
        </w:rPr>
        <w:t xml:space="preserve">Potente CYP3A4-hæmmere kan medføre øget toksicitet (se pkt. 4.5). Samtidig administration af potente CYP3A-hæmmere under behandling med </w:t>
      </w:r>
      <w:proofErr w:type="spellStart"/>
      <w:r w:rsidRPr="00143528">
        <w:rPr>
          <w:sz w:val="24"/>
          <w:szCs w:val="24"/>
        </w:rPr>
        <w:t>palbociclib</w:t>
      </w:r>
      <w:proofErr w:type="spellEnd"/>
      <w:r w:rsidRPr="00143528">
        <w:rPr>
          <w:sz w:val="24"/>
          <w:szCs w:val="24"/>
        </w:rPr>
        <w:t xml:space="preserve"> skal undgås. Risk/benefit skal overvejes nøje inden samtidig administration. Hvis samtidig administration med en potent CYP3A4-hæmmer ikke kan undgås, skal dosis af </w:t>
      </w:r>
      <w:proofErr w:type="spellStart"/>
      <w:r w:rsidRPr="00143528">
        <w:rPr>
          <w:sz w:val="24"/>
          <w:szCs w:val="24"/>
        </w:rPr>
        <w:t>palbociclib</w:t>
      </w:r>
      <w:proofErr w:type="spellEnd"/>
      <w:r w:rsidRPr="00143528">
        <w:rPr>
          <w:sz w:val="24"/>
          <w:szCs w:val="24"/>
        </w:rPr>
        <w:t xml:space="preserve"> reduceres til 75 mg en gang dagligt. Når den potente hæmmer seponeres, skal dosis af </w:t>
      </w:r>
      <w:proofErr w:type="spellStart"/>
      <w:r w:rsidRPr="00143528">
        <w:rPr>
          <w:sz w:val="24"/>
          <w:szCs w:val="24"/>
        </w:rPr>
        <w:t>palbociclib</w:t>
      </w:r>
      <w:proofErr w:type="spellEnd"/>
      <w:r w:rsidRPr="00143528">
        <w:rPr>
          <w:sz w:val="24"/>
          <w:szCs w:val="24"/>
        </w:rPr>
        <w:t xml:space="preserve"> øges (efter 3-5 gange </w:t>
      </w:r>
      <w:proofErr w:type="spellStart"/>
      <w:r w:rsidRPr="00143528">
        <w:rPr>
          <w:sz w:val="24"/>
          <w:szCs w:val="24"/>
        </w:rPr>
        <w:t>hæmmerens</w:t>
      </w:r>
      <w:proofErr w:type="spellEnd"/>
      <w:r w:rsidRPr="00143528">
        <w:rPr>
          <w:sz w:val="24"/>
          <w:szCs w:val="24"/>
        </w:rPr>
        <w:t xml:space="preserve"> halveringstid) til den dosis, der blev anvendt inden behandling med den potente CYP3A-hæmmer (se pkt. 4.5).</w:t>
      </w:r>
    </w:p>
    <w:p w14:paraId="74CD3892" w14:textId="77777777" w:rsidR="00143528" w:rsidRPr="00143528" w:rsidRDefault="00143528" w:rsidP="00C11463">
      <w:pPr>
        <w:ind w:left="851"/>
        <w:rPr>
          <w:sz w:val="24"/>
          <w:szCs w:val="24"/>
        </w:rPr>
      </w:pPr>
    </w:p>
    <w:p w14:paraId="00003DE4" w14:textId="77777777" w:rsidR="00143528" w:rsidRPr="00143528" w:rsidRDefault="00143528" w:rsidP="00C11463">
      <w:pPr>
        <w:ind w:left="851"/>
        <w:rPr>
          <w:sz w:val="24"/>
          <w:szCs w:val="24"/>
        </w:rPr>
      </w:pPr>
      <w:r w:rsidRPr="00143528">
        <w:rPr>
          <w:sz w:val="24"/>
          <w:szCs w:val="24"/>
        </w:rPr>
        <w:t xml:space="preserve">Samtidig administration af CYP3A-induktorer kan medføre nedsat eksponering for </w:t>
      </w:r>
      <w:proofErr w:type="spellStart"/>
      <w:r w:rsidRPr="00143528">
        <w:rPr>
          <w:sz w:val="24"/>
          <w:szCs w:val="24"/>
        </w:rPr>
        <w:t>palbociclib</w:t>
      </w:r>
      <w:proofErr w:type="spellEnd"/>
      <w:r w:rsidRPr="00143528">
        <w:rPr>
          <w:sz w:val="24"/>
          <w:szCs w:val="24"/>
        </w:rPr>
        <w:t xml:space="preserve"> og dermed risiko for manglende virkning. Samtidig brug af </w:t>
      </w:r>
      <w:proofErr w:type="spellStart"/>
      <w:r w:rsidRPr="00143528">
        <w:rPr>
          <w:sz w:val="24"/>
          <w:szCs w:val="24"/>
        </w:rPr>
        <w:t>palbociclib</w:t>
      </w:r>
      <w:proofErr w:type="spellEnd"/>
      <w:r w:rsidRPr="00143528">
        <w:rPr>
          <w:sz w:val="24"/>
          <w:szCs w:val="24"/>
        </w:rPr>
        <w:t xml:space="preserve"> og potente CYP3A4-induktorer skal derfor undgås. Dosisjustering er ikke nødvendig ved samtidig administration af </w:t>
      </w:r>
      <w:proofErr w:type="spellStart"/>
      <w:r w:rsidRPr="00143528">
        <w:rPr>
          <w:sz w:val="24"/>
          <w:szCs w:val="24"/>
        </w:rPr>
        <w:t>palbociclib</w:t>
      </w:r>
      <w:proofErr w:type="spellEnd"/>
      <w:r w:rsidRPr="00143528">
        <w:rPr>
          <w:sz w:val="24"/>
          <w:szCs w:val="24"/>
        </w:rPr>
        <w:t xml:space="preserve"> og moderate CYP3A-induktorer (se pkt. 4.5).</w:t>
      </w:r>
    </w:p>
    <w:p w14:paraId="24530941" w14:textId="77777777" w:rsidR="00143528" w:rsidRPr="00143528" w:rsidRDefault="00143528" w:rsidP="00C11463">
      <w:pPr>
        <w:ind w:left="851"/>
        <w:rPr>
          <w:sz w:val="24"/>
          <w:szCs w:val="24"/>
        </w:rPr>
      </w:pPr>
    </w:p>
    <w:p w14:paraId="2096C9A6" w14:textId="77777777" w:rsidR="00143528" w:rsidRPr="00143528" w:rsidRDefault="00143528" w:rsidP="00C11463">
      <w:pPr>
        <w:ind w:left="851"/>
        <w:rPr>
          <w:sz w:val="24"/>
          <w:szCs w:val="24"/>
          <w:u w:val="single"/>
        </w:rPr>
      </w:pPr>
      <w:r w:rsidRPr="00143528">
        <w:rPr>
          <w:sz w:val="24"/>
          <w:szCs w:val="24"/>
          <w:u w:val="single"/>
        </w:rPr>
        <w:t>Kvinder i den fertile alder og deres partnere</w:t>
      </w:r>
    </w:p>
    <w:p w14:paraId="53C2AE0F" w14:textId="77777777" w:rsidR="00143528" w:rsidRPr="00143528" w:rsidRDefault="00143528" w:rsidP="00C11463">
      <w:pPr>
        <w:ind w:left="851"/>
        <w:rPr>
          <w:sz w:val="24"/>
          <w:szCs w:val="24"/>
        </w:rPr>
      </w:pPr>
      <w:r w:rsidRPr="00143528">
        <w:rPr>
          <w:sz w:val="24"/>
          <w:szCs w:val="24"/>
        </w:rPr>
        <w:t xml:space="preserve">Kvinder i den fertile alder og deres mandlige partnere skal anvende en højeffektiv præventionsmetode under behandling med </w:t>
      </w:r>
      <w:proofErr w:type="spellStart"/>
      <w:r w:rsidRPr="00143528">
        <w:rPr>
          <w:sz w:val="24"/>
          <w:szCs w:val="24"/>
        </w:rPr>
        <w:t>palbociclib</w:t>
      </w:r>
      <w:proofErr w:type="spellEnd"/>
      <w:r w:rsidRPr="00143528">
        <w:rPr>
          <w:sz w:val="24"/>
          <w:szCs w:val="24"/>
        </w:rPr>
        <w:t xml:space="preserve"> (se pkt. 4.6).</w:t>
      </w:r>
    </w:p>
    <w:p w14:paraId="6814C538" w14:textId="77777777" w:rsidR="009260DE" w:rsidRPr="00D33C41" w:rsidRDefault="009260DE" w:rsidP="009260DE">
      <w:pPr>
        <w:tabs>
          <w:tab w:val="left" w:pos="851"/>
        </w:tabs>
        <w:ind w:left="851"/>
        <w:rPr>
          <w:sz w:val="24"/>
          <w:szCs w:val="24"/>
        </w:rPr>
      </w:pPr>
    </w:p>
    <w:p w14:paraId="7FDEE2EC" w14:textId="77777777" w:rsidR="009260DE" w:rsidRPr="00D33C41" w:rsidRDefault="009260DE" w:rsidP="009260DE">
      <w:pPr>
        <w:tabs>
          <w:tab w:val="left" w:pos="851"/>
        </w:tabs>
        <w:ind w:left="851" w:hanging="851"/>
        <w:rPr>
          <w:b/>
          <w:sz w:val="24"/>
          <w:szCs w:val="24"/>
        </w:rPr>
      </w:pPr>
      <w:r w:rsidRPr="00D33C41">
        <w:rPr>
          <w:b/>
          <w:sz w:val="24"/>
          <w:szCs w:val="24"/>
        </w:rPr>
        <w:t>4.5</w:t>
      </w:r>
      <w:r w:rsidRPr="00D33C41">
        <w:rPr>
          <w:b/>
          <w:sz w:val="24"/>
          <w:szCs w:val="24"/>
        </w:rPr>
        <w:tab/>
        <w:t>Interaktion med andre lægemidler og andre former for interaktion</w:t>
      </w:r>
    </w:p>
    <w:p w14:paraId="6F6D507C" w14:textId="77777777" w:rsidR="00143528" w:rsidRPr="00143528" w:rsidRDefault="00143528" w:rsidP="00C11463">
      <w:pPr>
        <w:ind w:left="851"/>
        <w:rPr>
          <w:sz w:val="24"/>
          <w:szCs w:val="24"/>
        </w:rPr>
      </w:pPr>
      <w:proofErr w:type="spellStart"/>
      <w:r w:rsidRPr="00143528">
        <w:rPr>
          <w:sz w:val="24"/>
          <w:szCs w:val="24"/>
        </w:rPr>
        <w:t>Palbociclib</w:t>
      </w:r>
      <w:proofErr w:type="spellEnd"/>
      <w:r w:rsidRPr="00143528">
        <w:rPr>
          <w:sz w:val="24"/>
          <w:szCs w:val="24"/>
        </w:rPr>
        <w:t xml:space="preserve"> </w:t>
      </w:r>
      <w:proofErr w:type="spellStart"/>
      <w:r w:rsidRPr="00143528">
        <w:rPr>
          <w:sz w:val="24"/>
          <w:szCs w:val="24"/>
        </w:rPr>
        <w:t>metaboliseres</w:t>
      </w:r>
      <w:proofErr w:type="spellEnd"/>
      <w:r w:rsidRPr="00143528">
        <w:rPr>
          <w:sz w:val="24"/>
          <w:szCs w:val="24"/>
        </w:rPr>
        <w:t xml:space="preserve"> primært af CYP3A og sulfotransferase (SULT) enzymet SULT2A1. </w:t>
      </w:r>
      <w:r w:rsidRPr="00143528">
        <w:rPr>
          <w:i/>
          <w:iCs/>
          <w:sz w:val="24"/>
          <w:szCs w:val="24"/>
        </w:rPr>
        <w:t xml:space="preserve">In </w:t>
      </w:r>
      <w:proofErr w:type="spellStart"/>
      <w:r w:rsidRPr="00143528">
        <w:rPr>
          <w:i/>
          <w:iCs/>
          <w:sz w:val="24"/>
          <w:szCs w:val="24"/>
        </w:rPr>
        <w:t>vivo</w:t>
      </w:r>
      <w:proofErr w:type="spellEnd"/>
      <w:r w:rsidRPr="00143528">
        <w:rPr>
          <w:i/>
          <w:iCs/>
          <w:sz w:val="24"/>
          <w:szCs w:val="24"/>
        </w:rPr>
        <w:t xml:space="preserve"> </w:t>
      </w:r>
      <w:r w:rsidRPr="00143528">
        <w:rPr>
          <w:sz w:val="24"/>
          <w:szCs w:val="24"/>
        </w:rPr>
        <w:t xml:space="preserve">er </w:t>
      </w:r>
      <w:proofErr w:type="spellStart"/>
      <w:r w:rsidRPr="00143528">
        <w:rPr>
          <w:sz w:val="24"/>
          <w:szCs w:val="24"/>
        </w:rPr>
        <w:t>palbociclib</w:t>
      </w:r>
      <w:proofErr w:type="spellEnd"/>
      <w:r w:rsidRPr="00143528">
        <w:rPr>
          <w:sz w:val="24"/>
          <w:szCs w:val="24"/>
        </w:rPr>
        <w:t xml:space="preserve"> en svag, tidsafhængig CYP3A-hæmmer.</w:t>
      </w:r>
    </w:p>
    <w:p w14:paraId="4FB58B66" w14:textId="77777777" w:rsidR="00143528" w:rsidRPr="00143528" w:rsidRDefault="00143528" w:rsidP="00C11463">
      <w:pPr>
        <w:ind w:left="851"/>
        <w:rPr>
          <w:sz w:val="24"/>
          <w:szCs w:val="24"/>
        </w:rPr>
      </w:pPr>
    </w:p>
    <w:p w14:paraId="02B1A6B1" w14:textId="77777777" w:rsidR="00143528" w:rsidRPr="00143528" w:rsidRDefault="00143528" w:rsidP="00C11463">
      <w:pPr>
        <w:ind w:left="851"/>
        <w:rPr>
          <w:sz w:val="24"/>
          <w:szCs w:val="24"/>
          <w:u w:val="single"/>
        </w:rPr>
      </w:pPr>
      <w:r w:rsidRPr="00143528">
        <w:rPr>
          <w:sz w:val="24"/>
          <w:szCs w:val="24"/>
          <w:u w:val="single"/>
        </w:rPr>
        <w:t xml:space="preserve">Virkninger af andre lægemidler på </w:t>
      </w:r>
      <w:proofErr w:type="spellStart"/>
      <w:r w:rsidRPr="00143528">
        <w:rPr>
          <w:sz w:val="24"/>
          <w:szCs w:val="24"/>
          <w:u w:val="single"/>
        </w:rPr>
        <w:t>palbociclibs</w:t>
      </w:r>
      <w:proofErr w:type="spellEnd"/>
      <w:r w:rsidRPr="00143528">
        <w:rPr>
          <w:sz w:val="24"/>
          <w:szCs w:val="24"/>
          <w:u w:val="single"/>
        </w:rPr>
        <w:t xml:space="preserve"> farmakokinetik</w:t>
      </w:r>
    </w:p>
    <w:p w14:paraId="74549795" w14:textId="77777777" w:rsidR="00143528" w:rsidRPr="00143528" w:rsidRDefault="00143528" w:rsidP="00C11463">
      <w:pPr>
        <w:ind w:left="851"/>
        <w:rPr>
          <w:i/>
          <w:iCs/>
          <w:sz w:val="24"/>
          <w:szCs w:val="24"/>
        </w:rPr>
      </w:pPr>
    </w:p>
    <w:p w14:paraId="6C4833AD" w14:textId="77777777" w:rsidR="00143528" w:rsidRPr="00143528" w:rsidRDefault="00143528" w:rsidP="00C11463">
      <w:pPr>
        <w:ind w:left="851"/>
        <w:rPr>
          <w:i/>
          <w:iCs/>
          <w:sz w:val="24"/>
          <w:szCs w:val="24"/>
        </w:rPr>
      </w:pPr>
      <w:r w:rsidRPr="00143528">
        <w:rPr>
          <w:i/>
          <w:iCs/>
          <w:sz w:val="24"/>
          <w:szCs w:val="24"/>
        </w:rPr>
        <w:t>Virkning af CYP3A-hæmmere</w:t>
      </w:r>
    </w:p>
    <w:p w14:paraId="28F3710E" w14:textId="0EDD32CB" w:rsidR="00143528" w:rsidRPr="00143528" w:rsidRDefault="00143528" w:rsidP="00C11463">
      <w:pPr>
        <w:ind w:left="851"/>
        <w:rPr>
          <w:sz w:val="24"/>
          <w:szCs w:val="24"/>
        </w:rPr>
      </w:pPr>
      <w:r w:rsidRPr="00143528">
        <w:rPr>
          <w:sz w:val="24"/>
          <w:szCs w:val="24"/>
        </w:rPr>
        <w:t xml:space="preserve">Samtidig administration af flere doser </w:t>
      </w:r>
      <w:proofErr w:type="spellStart"/>
      <w:r w:rsidRPr="00143528">
        <w:rPr>
          <w:sz w:val="24"/>
          <w:szCs w:val="24"/>
        </w:rPr>
        <w:t>itraconazol</w:t>
      </w:r>
      <w:proofErr w:type="spellEnd"/>
      <w:r w:rsidRPr="00143528">
        <w:rPr>
          <w:sz w:val="24"/>
          <w:szCs w:val="24"/>
        </w:rPr>
        <w:t xml:space="preserve"> 200 mg og en enkelt dosis </w:t>
      </w:r>
      <w:proofErr w:type="spellStart"/>
      <w:r w:rsidRPr="00143528">
        <w:rPr>
          <w:sz w:val="24"/>
          <w:szCs w:val="24"/>
        </w:rPr>
        <w:t>palbociclib</w:t>
      </w:r>
      <w:proofErr w:type="spellEnd"/>
      <w:r w:rsidRPr="00143528">
        <w:rPr>
          <w:sz w:val="24"/>
          <w:szCs w:val="24"/>
        </w:rPr>
        <w:t xml:space="preserve"> 125 mg øgede den samlede eksponering (</w:t>
      </w:r>
      <w:proofErr w:type="spellStart"/>
      <w:r w:rsidRPr="00143528">
        <w:rPr>
          <w:sz w:val="24"/>
          <w:szCs w:val="24"/>
        </w:rPr>
        <w:t>AUC</w:t>
      </w:r>
      <w:r w:rsidRPr="00143528">
        <w:rPr>
          <w:sz w:val="24"/>
          <w:szCs w:val="24"/>
          <w:vertAlign w:val="subscript"/>
        </w:rPr>
        <w:t>inf</w:t>
      </w:r>
      <w:proofErr w:type="spellEnd"/>
      <w:r w:rsidRPr="00143528">
        <w:rPr>
          <w:sz w:val="24"/>
          <w:szCs w:val="24"/>
        </w:rPr>
        <w:t>) og peak-koncentrationen (</w:t>
      </w:r>
      <w:proofErr w:type="spellStart"/>
      <w:r w:rsidRPr="00143528">
        <w:rPr>
          <w:sz w:val="24"/>
          <w:szCs w:val="24"/>
        </w:rPr>
        <w:t>C</w:t>
      </w:r>
      <w:r w:rsidRPr="00143528">
        <w:rPr>
          <w:sz w:val="24"/>
          <w:szCs w:val="24"/>
          <w:vertAlign w:val="subscript"/>
        </w:rPr>
        <w:t>max</w:t>
      </w:r>
      <w:proofErr w:type="spellEnd"/>
      <w:r w:rsidRPr="00143528">
        <w:rPr>
          <w:sz w:val="24"/>
          <w:szCs w:val="24"/>
        </w:rPr>
        <w:t xml:space="preserve">) af </w:t>
      </w:r>
      <w:proofErr w:type="spellStart"/>
      <w:r w:rsidRPr="00143528">
        <w:rPr>
          <w:sz w:val="24"/>
          <w:szCs w:val="24"/>
        </w:rPr>
        <w:t>palbociclib</w:t>
      </w:r>
      <w:proofErr w:type="spellEnd"/>
      <w:r w:rsidRPr="00143528">
        <w:rPr>
          <w:sz w:val="24"/>
          <w:szCs w:val="24"/>
        </w:rPr>
        <w:t xml:space="preserve"> med henholdsvis ca. 87</w:t>
      </w:r>
      <w:r w:rsidR="007A1C7E">
        <w:rPr>
          <w:sz w:val="24"/>
          <w:szCs w:val="24"/>
        </w:rPr>
        <w:t xml:space="preserve"> %</w:t>
      </w:r>
      <w:r w:rsidRPr="00143528">
        <w:rPr>
          <w:sz w:val="24"/>
          <w:szCs w:val="24"/>
        </w:rPr>
        <w:t xml:space="preserve"> og 34</w:t>
      </w:r>
      <w:r w:rsidR="007A1C7E">
        <w:rPr>
          <w:sz w:val="24"/>
          <w:szCs w:val="24"/>
        </w:rPr>
        <w:t xml:space="preserve"> %</w:t>
      </w:r>
      <w:r w:rsidRPr="00143528">
        <w:rPr>
          <w:sz w:val="24"/>
          <w:szCs w:val="24"/>
        </w:rPr>
        <w:t xml:space="preserve"> i forhold til en enkelt dosis </w:t>
      </w:r>
      <w:proofErr w:type="spellStart"/>
      <w:r w:rsidRPr="00143528">
        <w:rPr>
          <w:sz w:val="24"/>
          <w:szCs w:val="24"/>
        </w:rPr>
        <w:t>palbociclib</w:t>
      </w:r>
      <w:proofErr w:type="spellEnd"/>
      <w:r w:rsidRPr="00143528">
        <w:rPr>
          <w:sz w:val="24"/>
          <w:szCs w:val="24"/>
        </w:rPr>
        <w:t xml:space="preserve"> 125 mg givet alene.</w:t>
      </w:r>
    </w:p>
    <w:p w14:paraId="1E44EDA5" w14:textId="77777777" w:rsidR="00143528" w:rsidRPr="00143528" w:rsidRDefault="00143528" w:rsidP="00C11463">
      <w:pPr>
        <w:ind w:left="851"/>
        <w:rPr>
          <w:sz w:val="24"/>
          <w:szCs w:val="24"/>
        </w:rPr>
      </w:pPr>
    </w:p>
    <w:p w14:paraId="555D9853" w14:textId="77777777" w:rsidR="00143528" w:rsidRPr="00143528" w:rsidRDefault="00143528" w:rsidP="00C11463">
      <w:pPr>
        <w:ind w:left="851"/>
        <w:rPr>
          <w:sz w:val="24"/>
          <w:szCs w:val="24"/>
        </w:rPr>
      </w:pPr>
      <w:r w:rsidRPr="00143528">
        <w:rPr>
          <w:sz w:val="24"/>
          <w:szCs w:val="24"/>
        </w:rPr>
        <w:t xml:space="preserve">Samtidig brug af potente CYP3A-hæmmere, herunder, men ikke begrænset til </w:t>
      </w:r>
      <w:proofErr w:type="spellStart"/>
      <w:r w:rsidRPr="00143528">
        <w:rPr>
          <w:sz w:val="24"/>
          <w:szCs w:val="24"/>
        </w:rPr>
        <w:t>clarithromycin</w:t>
      </w:r>
      <w:proofErr w:type="spellEnd"/>
      <w:r w:rsidRPr="00143528">
        <w:rPr>
          <w:sz w:val="24"/>
          <w:szCs w:val="24"/>
        </w:rPr>
        <w:t xml:space="preserve">, </w:t>
      </w:r>
      <w:proofErr w:type="spellStart"/>
      <w:r w:rsidRPr="00143528">
        <w:rPr>
          <w:sz w:val="24"/>
          <w:szCs w:val="24"/>
        </w:rPr>
        <w:t>indinavir</w:t>
      </w:r>
      <w:proofErr w:type="spellEnd"/>
      <w:r w:rsidRPr="00143528">
        <w:rPr>
          <w:sz w:val="24"/>
          <w:szCs w:val="24"/>
        </w:rPr>
        <w:t xml:space="preserve">, </w:t>
      </w:r>
      <w:proofErr w:type="spellStart"/>
      <w:r w:rsidRPr="00143528">
        <w:rPr>
          <w:sz w:val="24"/>
          <w:szCs w:val="24"/>
        </w:rPr>
        <w:t>itraconazol</w:t>
      </w:r>
      <w:proofErr w:type="spellEnd"/>
      <w:r w:rsidRPr="00143528">
        <w:rPr>
          <w:sz w:val="24"/>
          <w:szCs w:val="24"/>
        </w:rPr>
        <w:t xml:space="preserve">, </w:t>
      </w:r>
      <w:proofErr w:type="spellStart"/>
      <w:r w:rsidRPr="00143528">
        <w:rPr>
          <w:sz w:val="24"/>
          <w:szCs w:val="24"/>
        </w:rPr>
        <w:t>ketoconazol</w:t>
      </w:r>
      <w:proofErr w:type="spellEnd"/>
      <w:r w:rsidRPr="00143528">
        <w:rPr>
          <w:sz w:val="24"/>
          <w:szCs w:val="24"/>
        </w:rPr>
        <w:t xml:space="preserve">, lopinavir/ritonavir, </w:t>
      </w:r>
      <w:proofErr w:type="spellStart"/>
      <w:r w:rsidRPr="00143528">
        <w:rPr>
          <w:sz w:val="24"/>
          <w:szCs w:val="24"/>
        </w:rPr>
        <w:t>nefazodon</w:t>
      </w:r>
      <w:proofErr w:type="spellEnd"/>
      <w:r w:rsidRPr="00143528">
        <w:rPr>
          <w:sz w:val="24"/>
          <w:szCs w:val="24"/>
        </w:rPr>
        <w:t xml:space="preserve">, </w:t>
      </w:r>
      <w:proofErr w:type="spellStart"/>
      <w:r w:rsidRPr="00143528">
        <w:rPr>
          <w:sz w:val="24"/>
          <w:szCs w:val="24"/>
        </w:rPr>
        <w:t>nelfinavir</w:t>
      </w:r>
      <w:proofErr w:type="spellEnd"/>
      <w:r w:rsidRPr="00143528">
        <w:rPr>
          <w:sz w:val="24"/>
          <w:szCs w:val="24"/>
        </w:rPr>
        <w:t xml:space="preserve">, </w:t>
      </w:r>
      <w:proofErr w:type="spellStart"/>
      <w:r w:rsidRPr="00143528">
        <w:rPr>
          <w:sz w:val="24"/>
          <w:szCs w:val="24"/>
        </w:rPr>
        <w:t>posaconazol</w:t>
      </w:r>
      <w:proofErr w:type="spellEnd"/>
      <w:r w:rsidRPr="00143528">
        <w:rPr>
          <w:sz w:val="24"/>
          <w:szCs w:val="24"/>
        </w:rPr>
        <w:t xml:space="preserve">, </w:t>
      </w:r>
      <w:proofErr w:type="spellStart"/>
      <w:r w:rsidRPr="00143528">
        <w:rPr>
          <w:sz w:val="24"/>
          <w:szCs w:val="24"/>
        </w:rPr>
        <w:t>saquinavir</w:t>
      </w:r>
      <w:proofErr w:type="spellEnd"/>
      <w:r w:rsidRPr="00143528">
        <w:rPr>
          <w:sz w:val="24"/>
          <w:szCs w:val="24"/>
        </w:rPr>
        <w:t xml:space="preserve">, </w:t>
      </w:r>
      <w:proofErr w:type="spellStart"/>
      <w:r w:rsidRPr="00143528">
        <w:rPr>
          <w:sz w:val="24"/>
          <w:szCs w:val="24"/>
        </w:rPr>
        <w:t>telaprevir</w:t>
      </w:r>
      <w:proofErr w:type="spellEnd"/>
      <w:r w:rsidRPr="00143528">
        <w:rPr>
          <w:sz w:val="24"/>
          <w:szCs w:val="24"/>
        </w:rPr>
        <w:t xml:space="preserve">, </w:t>
      </w:r>
      <w:proofErr w:type="spellStart"/>
      <w:r w:rsidRPr="00143528">
        <w:rPr>
          <w:sz w:val="24"/>
          <w:szCs w:val="24"/>
        </w:rPr>
        <w:t>telithromycin</w:t>
      </w:r>
      <w:proofErr w:type="spellEnd"/>
      <w:r w:rsidRPr="00143528">
        <w:rPr>
          <w:sz w:val="24"/>
          <w:szCs w:val="24"/>
        </w:rPr>
        <w:t xml:space="preserve">, </w:t>
      </w:r>
      <w:proofErr w:type="spellStart"/>
      <w:r w:rsidRPr="00143528">
        <w:rPr>
          <w:sz w:val="24"/>
          <w:szCs w:val="24"/>
        </w:rPr>
        <w:t>voriconazol</w:t>
      </w:r>
      <w:proofErr w:type="spellEnd"/>
      <w:r w:rsidRPr="00143528">
        <w:rPr>
          <w:sz w:val="24"/>
          <w:szCs w:val="24"/>
        </w:rPr>
        <w:t xml:space="preserve"> og grapefrugt eller grapefrugtjuice, bør undgås (se pkt. 4.2 og 4.4).</w:t>
      </w:r>
    </w:p>
    <w:p w14:paraId="02A989A3" w14:textId="77777777" w:rsidR="00143528" w:rsidRPr="00143528" w:rsidRDefault="00143528" w:rsidP="00C11463">
      <w:pPr>
        <w:ind w:left="851"/>
        <w:rPr>
          <w:sz w:val="24"/>
          <w:szCs w:val="24"/>
        </w:rPr>
      </w:pPr>
    </w:p>
    <w:p w14:paraId="3D11F1C1" w14:textId="77777777" w:rsidR="00143528" w:rsidRPr="00143528" w:rsidRDefault="00143528" w:rsidP="00C11463">
      <w:pPr>
        <w:ind w:left="851"/>
        <w:rPr>
          <w:sz w:val="24"/>
          <w:szCs w:val="24"/>
        </w:rPr>
      </w:pPr>
      <w:r w:rsidRPr="00143528">
        <w:rPr>
          <w:sz w:val="24"/>
          <w:szCs w:val="24"/>
        </w:rPr>
        <w:t>Dosisjustering er ikke nødvendig ved svage og moderate CYP3A-hæmmere.</w:t>
      </w:r>
    </w:p>
    <w:p w14:paraId="74745427" w14:textId="77777777" w:rsidR="00143528" w:rsidRPr="00143528" w:rsidRDefault="00143528" w:rsidP="00C11463">
      <w:pPr>
        <w:ind w:left="851"/>
        <w:rPr>
          <w:sz w:val="24"/>
          <w:szCs w:val="24"/>
        </w:rPr>
      </w:pPr>
    </w:p>
    <w:p w14:paraId="2DCD413F" w14:textId="77777777" w:rsidR="00143528" w:rsidRPr="00143528" w:rsidRDefault="00143528" w:rsidP="00C11463">
      <w:pPr>
        <w:ind w:left="851"/>
        <w:rPr>
          <w:i/>
          <w:iCs/>
          <w:sz w:val="24"/>
          <w:szCs w:val="24"/>
        </w:rPr>
      </w:pPr>
      <w:r w:rsidRPr="00143528">
        <w:rPr>
          <w:i/>
          <w:iCs/>
          <w:sz w:val="24"/>
          <w:szCs w:val="24"/>
        </w:rPr>
        <w:t>Virkning af CYP3A-induktorer</w:t>
      </w:r>
    </w:p>
    <w:p w14:paraId="3F9659EA" w14:textId="45B9F8FA" w:rsidR="00143528" w:rsidRPr="00143528" w:rsidRDefault="00143528" w:rsidP="00C11463">
      <w:pPr>
        <w:ind w:left="851"/>
        <w:rPr>
          <w:sz w:val="24"/>
          <w:szCs w:val="24"/>
        </w:rPr>
      </w:pPr>
      <w:r w:rsidRPr="00143528">
        <w:rPr>
          <w:sz w:val="24"/>
          <w:szCs w:val="24"/>
        </w:rPr>
        <w:t xml:space="preserve">Samtidig administration af flere doser </w:t>
      </w:r>
      <w:proofErr w:type="spellStart"/>
      <w:r w:rsidRPr="00143528">
        <w:rPr>
          <w:sz w:val="24"/>
          <w:szCs w:val="24"/>
        </w:rPr>
        <w:t>rifampin</w:t>
      </w:r>
      <w:proofErr w:type="spellEnd"/>
      <w:r w:rsidRPr="00143528">
        <w:rPr>
          <w:sz w:val="24"/>
          <w:szCs w:val="24"/>
        </w:rPr>
        <w:t xml:space="preserve"> 600 mg med en enkelt dosis </w:t>
      </w:r>
      <w:proofErr w:type="spellStart"/>
      <w:r w:rsidRPr="00143528">
        <w:rPr>
          <w:sz w:val="24"/>
          <w:szCs w:val="24"/>
        </w:rPr>
        <w:t>palbociclib</w:t>
      </w:r>
      <w:proofErr w:type="spellEnd"/>
      <w:r w:rsidRPr="00143528">
        <w:rPr>
          <w:sz w:val="24"/>
          <w:szCs w:val="24"/>
        </w:rPr>
        <w:t xml:space="preserve"> 125 mg reducerede </w:t>
      </w:r>
      <w:proofErr w:type="spellStart"/>
      <w:r w:rsidRPr="00143528">
        <w:rPr>
          <w:sz w:val="24"/>
          <w:szCs w:val="24"/>
        </w:rPr>
        <w:t>AUC</w:t>
      </w:r>
      <w:r w:rsidRPr="00143528">
        <w:rPr>
          <w:sz w:val="24"/>
          <w:szCs w:val="24"/>
          <w:vertAlign w:val="subscript"/>
        </w:rPr>
        <w:t>inf</w:t>
      </w:r>
      <w:proofErr w:type="spellEnd"/>
      <w:r w:rsidRPr="00143528">
        <w:rPr>
          <w:sz w:val="24"/>
          <w:szCs w:val="24"/>
        </w:rPr>
        <w:t xml:space="preserve"> og </w:t>
      </w:r>
      <w:proofErr w:type="spellStart"/>
      <w:r w:rsidRPr="00143528">
        <w:rPr>
          <w:sz w:val="24"/>
          <w:szCs w:val="24"/>
        </w:rPr>
        <w:t>C</w:t>
      </w:r>
      <w:r w:rsidRPr="00143528">
        <w:rPr>
          <w:sz w:val="24"/>
          <w:szCs w:val="24"/>
          <w:vertAlign w:val="subscript"/>
        </w:rPr>
        <w:t>max</w:t>
      </w:r>
      <w:proofErr w:type="spellEnd"/>
      <w:r w:rsidRPr="00143528">
        <w:rPr>
          <w:sz w:val="24"/>
          <w:szCs w:val="24"/>
        </w:rPr>
        <w:t xml:space="preserve"> af </w:t>
      </w:r>
      <w:proofErr w:type="spellStart"/>
      <w:r w:rsidRPr="00143528">
        <w:rPr>
          <w:sz w:val="24"/>
          <w:szCs w:val="24"/>
        </w:rPr>
        <w:t>palbociclib</w:t>
      </w:r>
      <w:proofErr w:type="spellEnd"/>
      <w:r w:rsidRPr="00143528">
        <w:rPr>
          <w:sz w:val="24"/>
          <w:szCs w:val="24"/>
        </w:rPr>
        <w:t xml:space="preserve"> med henholdsvis 85</w:t>
      </w:r>
      <w:r w:rsidR="007A1C7E">
        <w:rPr>
          <w:sz w:val="24"/>
          <w:szCs w:val="24"/>
        </w:rPr>
        <w:t xml:space="preserve"> %</w:t>
      </w:r>
      <w:r w:rsidRPr="00143528">
        <w:rPr>
          <w:sz w:val="24"/>
          <w:szCs w:val="24"/>
        </w:rPr>
        <w:t xml:space="preserve"> og 70</w:t>
      </w:r>
      <w:r w:rsidR="007A1C7E">
        <w:rPr>
          <w:sz w:val="24"/>
          <w:szCs w:val="24"/>
        </w:rPr>
        <w:t xml:space="preserve"> %</w:t>
      </w:r>
      <w:r w:rsidRPr="00143528">
        <w:rPr>
          <w:sz w:val="24"/>
          <w:szCs w:val="24"/>
        </w:rPr>
        <w:t xml:space="preserve"> i forhold til en enkelt dosis</w:t>
      </w:r>
      <w:r w:rsidR="009906AA">
        <w:rPr>
          <w:sz w:val="24"/>
          <w:szCs w:val="24"/>
        </w:rPr>
        <w:t xml:space="preserve"> </w:t>
      </w:r>
      <w:proofErr w:type="spellStart"/>
      <w:r w:rsidRPr="00143528">
        <w:rPr>
          <w:sz w:val="24"/>
          <w:szCs w:val="24"/>
        </w:rPr>
        <w:t>palbociclib</w:t>
      </w:r>
      <w:proofErr w:type="spellEnd"/>
      <w:r w:rsidRPr="00143528">
        <w:rPr>
          <w:sz w:val="24"/>
          <w:szCs w:val="24"/>
        </w:rPr>
        <w:t xml:space="preserve"> 125 mg givet alene.</w:t>
      </w:r>
    </w:p>
    <w:p w14:paraId="060441F3" w14:textId="77777777" w:rsidR="00143528" w:rsidRPr="00143528" w:rsidRDefault="00143528" w:rsidP="00C11463">
      <w:pPr>
        <w:ind w:left="851"/>
        <w:rPr>
          <w:sz w:val="24"/>
          <w:szCs w:val="24"/>
        </w:rPr>
      </w:pPr>
    </w:p>
    <w:p w14:paraId="6C62B5E1" w14:textId="77777777" w:rsidR="00143528" w:rsidRPr="00143528" w:rsidRDefault="00143528" w:rsidP="00C11463">
      <w:pPr>
        <w:ind w:left="851"/>
        <w:rPr>
          <w:sz w:val="24"/>
          <w:szCs w:val="24"/>
        </w:rPr>
      </w:pPr>
      <w:r w:rsidRPr="00143528">
        <w:rPr>
          <w:sz w:val="24"/>
          <w:szCs w:val="24"/>
        </w:rPr>
        <w:t xml:space="preserve">Samtidig brug af potente CYP3A-induktorer, herunder, men ikke begrænset til </w:t>
      </w:r>
      <w:proofErr w:type="spellStart"/>
      <w:r w:rsidRPr="00143528">
        <w:rPr>
          <w:sz w:val="24"/>
          <w:szCs w:val="24"/>
        </w:rPr>
        <w:t>carbamazepin</w:t>
      </w:r>
      <w:proofErr w:type="spellEnd"/>
      <w:r w:rsidRPr="00143528">
        <w:rPr>
          <w:sz w:val="24"/>
          <w:szCs w:val="24"/>
        </w:rPr>
        <w:t xml:space="preserve">, </w:t>
      </w:r>
      <w:proofErr w:type="spellStart"/>
      <w:r w:rsidRPr="00143528">
        <w:rPr>
          <w:sz w:val="24"/>
          <w:szCs w:val="24"/>
        </w:rPr>
        <w:t>enzalutamid</w:t>
      </w:r>
      <w:proofErr w:type="spellEnd"/>
      <w:r w:rsidRPr="00143528">
        <w:rPr>
          <w:sz w:val="24"/>
          <w:szCs w:val="24"/>
        </w:rPr>
        <w:t xml:space="preserve">, </w:t>
      </w:r>
      <w:proofErr w:type="spellStart"/>
      <w:r w:rsidRPr="00143528">
        <w:rPr>
          <w:sz w:val="24"/>
          <w:szCs w:val="24"/>
        </w:rPr>
        <w:t>phenytoin</w:t>
      </w:r>
      <w:proofErr w:type="spellEnd"/>
      <w:r w:rsidRPr="00143528">
        <w:rPr>
          <w:sz w:val="24"/>
          <w:szCs w:val="24"/>
        </w:rPr>
        <w:t xml:space="preserve">, </w:t>
      </w:r>
      <w:proofErr w:type="spellStart"/>
      <w:r w:rsidRPr="00143528">
        <w:rPr>
          <w:sz w:val="24"/>
          <w:szCs w:val="24"/>
        </w:rPr>
        <w:t>rifampicin</w:t>
      </w:r>
      <w:proofErr w:type="spellEnd"/>
      <w:r w:rsidRPr="00143528">
        <w:rPr>
          <w:sz w:val="24"/>
          <w:szCs w:val="24"/>
        </w:rPr>
        <w:t xml:space="preserve"> og perikon bør undgås (se pkt. 4.3 og 4.4).</w:t>
      </w:r>
    </w:p>
    <w:p w14:paraId="21E87832" w14:textId="77777777" w:rsidR="00143528" w:rsidRPr="00143528" w:rsidRDefault="00143528" w:rsidP="00C11463">
      <w:pPr>
        <w:ind w:left="851"/>
        <w:rPr>
          <w:sz w:val="24"/>
          <w:szCs w:val="24"/>
        </w:rPr>
      </w:pPr>
    </w:p>
    <w:p w14:paraId="38B72C10" w14:textId="4910A196" w:rsidR="00143528" w:rsidRPr="00143528" w:rsidRDefault="00143528" w:rsidP="00C11463">
      <w:pPr>
        <w:ind w:left="851"/>
        <w:rPr>
          <w:sz w:val="24"/>
          <w:szCs w:val="24"/>
        </w:rPr>
      </w:pPr>
      <w:r w:rsidRPr="00143528">
        <w:rPr>
          <w:sz w:val="24"/>
          <w:szCs w:val="24"/>
        </w:rPr>
        <w:t xml:space="preserve">Samtidig administration af multiple daglige doser på 400 mg </w:t>
      </w:r>
      <w:proofErr w:type="spellStart"/>
      <w:r w:rsidRPr="00143528">
        <w:rPr>
          <w:sz w:val="24"/>
          <w:szCs w:val="24"/>
        </w:rPr>
        <w:t>modafinil</w:t>
      </w:r>
      <w:proofErr w:type="spellEnd"/>
      <w:r w:rsidRPr="00143528">
        <w:rPr>
          <w:sz w:val="24"/>
          <w:szCs w:val="24"/>
        </w:rPr>
        <w:t xml:space="preserve">, en moderat CYP3A-induktor, og en enkelt dosis </w:t>
      </w:r>
      <w:proofErr w:type="spellStart"/>
      <w:r w:rsidRPr="00143528">
        <w:rPr>
          <w:sz w:val="24"/>
          <w:szCs w:val="24"/>
        </w:rPr>
        <w:t>palbociclib</w:t>
      </w:r>
      <w:proofErr w:type="spellEnd"/>
      <w:r w:rsidRPr="00143528">
        <w:rPr>
          <w:sz w:val="24"/>
          <w:szCs w:val="24"/>
        </w:rPr>
        <w:t xml:space="preserve"> 125 mg reducerede </w:t>
      </w:r>
      <w:proofErr w:type="spellStart"/>
      <w:r w:rsidRPr="00143528">
        <w:rPr>
          <w:sz w:val="24"/>
          <w:szCs w:val="24"/>
        </w:rPr>
        <w:t>AUC</w:t>
      </w:r>
      <w:r w:rsidRPr="00143528">
        <w:rPr>
          <w:sz w:val="24"/>
          <w:szCs w:val="24"/>
          <w:vertAlign w:val="subscript"/>
        </w:rPr>
        <w:t>inf</w:t>
      </w:r>
      <w:proofErr w:type="spellEnd"/>
      <w:r w:rsidRPr="00143528">
        <w:rPr>
          <w:sz w:val="24"/>
          <w:szCs w:val="24"/>
        </w:rPr>
        <w:t xml:space="preserve"> og </w:t>
      </w:r>
      <w:proofErr w:type="spellStart"/>
      <w:r w:rsidRPr="00143528">
        <w:rPr>
          <w:sz w:val="24"/>
          <w:szCs w:val="24"/>
        </w:rPr>
        <w:t>C</w:t>
      </w:r>
      <w:r w:rsidRPr="00143528">
        <w:rPr>
          <w:sz w:val="24"/>
          <w:szCs w:val="24"/>
          <w:vertAlign w:val="subscript"/>
        </w:rPr>
        <w:t>max</w:t>
      </w:r>
      <w:proofErr w:type="spellEnd"/>
      <w:r w:rsidRPr="00143528">
        <w:rPr>
          <w:sz w:val="24"/>
          <w:szCs w:val="24"/>
        </w:rPr>
        <w:t xml:space="preserve"> af </w:t>
      </w:r>
      <w:proofErr w:type="spellStart"/>
      <w:r w:rsidRPr="00143528">
        <w:rPr>
          <w:sz w:val="24"/>
          <w:szCs w:val="24"/>
        </w:rPr>
        <w:t>palbociclib</w:t>
      </w:r>
      <w:proofErr w:type="spellEnd"/>
      <w:r w:rsidRPr="00143528">
        <w:rPr>
          <w:sz w:val="24"/>
          <w:szCs w:val="24"/>
        </w:rPr>
        <w:t xml:space="preserve"> med henholdsvis 32</w:t>
      </w:r>
      <w:r w:rsidR="007A1C7E">
        <w:rPr>
          <w:sz w:val="24"/>
          <w:szCs w:val="24"/>
        </w:rPr>
        <w:t xml:space="preserve"> %</w:t>
      </w:r>
      <w:r w:rsidRPr="00143528">
        <w:rPr>
          <w:sz w:val="24"/>
          <w:szCs w:val="24"/>
        </w:rPr>
        <w:t xml:space="preserve"> og 11</w:t>
      </w:r>
      <w:r w:rsidR="007A1C7E">
        <w:rPr>
          <w:sz w:val="24"/>
          <w:szCs w:val="24"/>
        </w:rPr>
        <w:t xml:space="preserve"> %</w:t>
      </w:r>
      <w:r w:rsidRPr="00143528">
        <w:rPr>
          <w:sz w:val="24"/>
          <w:szCs w:val="24"/>
        </w:rPr>
        <w:t xml:space="preserve"> i forhold til en enkelt dosis </w:t>
      </w:r>
      <w:proofErr w:type="spellStart"/>
      <w:r w:rsidRPr="00143528">
        <w:rPr>
          <w:sz w:val="24"/>
          <w:szCs w:val="24"/>
        </w:rPr>
        <w:t>palbociclib</w:t>
      </w:r>
      <w:proofErr w:type="spellEnd"/>
      <w:r w:rsidRPr="00143528">
        <w:rPr>
          <w:sz w:val="24"/>
          <w:szCs w:val="24"/>
        </w:rPr>
        <w:t xml:space="preserve"> 125 mg givet alene. Dosisjustering er ikke nødvendig</w:t>
      </w:r>
      <w:r w:rsidR="007A1C7E">
        <w:rPr>
          <w:sz w:val="24"/>
          <w:szCs w:val="24"/>
        </w:rPr>
        <w:t xml:space="preserve"> </w:t>
      </w:r>
      <w:r w:rsidRPr="00143528">
        <w:rPr>
          <w:sz w:val="24"/>
          <w:szCs w:val="24"/>
        </w:rPr>
        <w:t>ved samtidig administration af moderate CYP3A-induktorer (se pkt. 4.4).</w:t>
      </w:r>
    </w:p>
    <w:p w14:paraId="6622282B" w14:textId="77777777" w:rsidR="00143528" w:rsidRPr="00143528" w:rsidRDefault="00143528" w:rsidP="00C11463">
      <w:pPr>
        <w:ind w:left="851"/>
        <w:rPr>
          <w:sz w:val="24"/>
          <w:szCs w:val="24"/>
        </w:rPr>
      </w:pPr>
    </w:p>
    <w:p w14:paraId="476BE8F7" w14:textId="77777777" w:rsidR="00143528" w:rsidRPr="00143528" w:rsidRDefault="00143528" w:rsidP="00C11463">
      <w:pPr>
        <w:ind w:left="851"/>
        <w:rPr>
          <w:sz w:val="24"/>
          <w:szCs w:val="24"/>
          <w:u w:val="single"/>
        </w:rPr>
      </w:pPr>
      <w:r w:rsidRPr="00143528">
        <w:rPr>
          <w:sz w:val="24"/>
          <w:szCs w:val="24"/>
          <w:u w:val="single"/>
        </w:rPr>
        <w:t>Virkning af syrenedsættende stoffer</w:t>
      </w:r>
    </w:p>
    <w:p w14:paraId="11D5226D" w14:textId="2125BEEA" w:rsidR="00143528" w:rsidRPr="00143528" w:rsidRDefault="00143528" w:rsidP="00C11463">
      <w:pPr>
        <w:ind w:left="851"/>
        <w:rPr>
          <w:sz w:val="24"/>
          <w:szCs w:val="24"/>
        </w:rPr>
      </w:pPr>
      <w:r w:rsidRPr="00143528">
        <w:rPr>
          <w:sz w:val="24"/>
          <w:szCs w:val="24"/>
        </w:rPr>
        <w:t xml:space="preserve">Samtidig administration af flere doser af </w:t>
      </w:r>
      <w:proofErr w:type="spellStart"/>
      <w:r w:rsidRPr="00143528">
        <w:rPr>
          <w:sz w:val="24"/>
          <w:szCs w:val="24"/>
        </w:rPr>
        <w:t>PPI’en</w:t>
      </w:r>
      <w:proofErr w:type="spellEnd"/>
      <w:r w:rsidRPr="00143528">
        <w:rPr>
          <w:sz w:val="24"/>
          <w:szCs w:val="24"/>
        </w:rPr>
        <w:t xml:space="preserve"> </w:t>
      </w:r>
      <w:proofErr w:type="spellStart"/>
      <w:r w:rsidRPr="00143528">
        <w:rPr>
          <w:sz w:val="24"/>
          <w:szCs w:val="24"/>
        </w:rPr>
        <w:t>rabeprazol</w:t>
      </w:r>
      <w:proofErr w:type="spellEnd"/>
      <w:r w:rsidRPr="00143528">
        <w:rPr>
          <w:sz w:val="24"/>
          <w:szCs w:val="24"/>
        </w:rPr>
        <w:t xml:space="preserve"> og en enkelt tablet </w:t>
      </w:r>
      <w:proofErr w:type="spellStart"/>
      <w:r w:rsidRPr="00143528">
        <w:rPr>
          <w:sz w:val="24"/>
          <w:szCs w:val="24"/>
        </w:rPr>
        <w:t>palbociclib</w:t>
      </w:r>
      <w:proofErr w:type="spellEnd"/>
      <w:r w:rsidRPr="00143528">
        <w:rPr>
          <w:sz w:val="24"/>
          <w:szCs w:val="24"/>
        </w:rPr>
        <w:t xml:space="preserve"> 125 mg i fastende tilstand havde ingen virkning på hastigheden eller omfanget af absor</w:t>
      </w:r>
      <w:r w:rsidR="003A454E">
        <w:rPr>
          <w:sz w:val="24"/>
          <w:szCs w:val="24"/>
        </w:rPr>
        <w:t>p</w:t>
      </w:r>
      <w:r w:rsidRPr="00143528">
        <w:rPr>
          <w:sz w:val="24"/>
          <w:szCs w:val="24"/>
        </w:rPr>
        <w:t xml:space="preserve">tionen af </w:t>
      </w:r>
      <w:proofErr w:type="spellStart"/>
      <w:r w:rsidRPr="00143528">
        <w:rPr>
          <w:sz w:val="24"/>
          <w:szCs w:val="24"/>
        </w:rPr>
        <w:t>palbociclib</w:t>
      </w:r>
      <w:proofErr w:type="spellEnd"/>
      <w:r w:rsidRPr="00143528">
        <w:rPr>
          <w:sz w:val="24"/>
          <w:szCs w:val="24"/>
        </w:rPr>
        <w:t xml:space="preserve">, sammenlignet med en enkelt 125 mg </w:t>
      </w:r>
      <w:proofErr w:type="spellStart"/>
      <w:r w:rsidRPr="00143528">
        <w:rPr>
          <w:sz w:val="24"/>
          <w:szCs w:val="24"/>
        </w:rPr>
        <w:t>palbociclib</w:t>
      </w:r>
      <w:proofErr w:type="spellEnd"/>
      <w:r w:rsidRPr="00143528">
        <w:rPr>
          <w:sz w:val="24"/>
          <w:szCs w:val="24"/>
        </w:rPr>
        <w:t>-tablet administreret alene.</w:t>
      </w:r>
    </w:p>
    <w:p w14:paraId="38966925" w14:textId="77777777" w:rsidR="00143528" w:rsidRPr="00143528" w:rsidRDefault="00143528" w:rsidP="00C11463">
      <w:pPr>
        <w:ind w:left="851"/>
        <w:rPr>
          <w:sz w:val="24"/>
          <w:szCs w:val="24"/>
        </w:rPr>
      </w:pPr>
    </w:p>
    <w:p w14:paraId="7D4C7718" w14:textId="77777777" w:rsidR="00143528" w:rsidRPr="00143528" w:rsidRDefault="00143528" w:rsidP="00C11463">
      <w:pPr>
        <w:ind w:left="851"/>
        <w:rPr>
          <w:sz w:val="24"/>
          <w:szCs w:val="24"/>
        </w:rPr>
      </w:pPr>
      <w:r w:rsidRPr="00143528">
        <w:rPr>
          <w:sz w:val="24"/>
          <w:szCs w:val="24"/>
        </w:rPr>
        <w:t xml:space="preserve">I betragtning af H2-receptorantagonisters og lokalt virkende syreneutraliserende stoffers reducerende virkning på gastrisk pH sammenlignet med </w:t>
      </w:r>
      <w:proofErr w:type="spellStart"/>
      <w:r w:rsidRPr="00143528">
        <w:rPr>
          <w:sz w:val="24"/>
          <w:szCs w:val="24"/>
        </w:rPr>
        <w:t>PPI’er</w:t>
      </w:r>
      <w:proofErr w:type="spellEnd"/>
      <w:r w:rsidRPr="00143528">
        <w:rPr>
          <w:sz w:val="24"/>
          <w:szCs w:val="24"/>
        </w:rPr>
        <w:t xml:space="preserve">, forventes det ikke, at H2-receptorantagonister eller lokalt virkende syreneutraliserende stoffer har nogen klinisk relevant indvirkning på eksponering for </w:t>
      </w:r>
      <w:proofErr w:type="spellStart"/>
      <w:r w:rsidRPr="00143528">
        <w:rPr>
          <w:sz w:val="24"/>
          <w:szCs w:val="24"/>
        </w:rPr>
        <w:t>palbociclib</w:t>
      </w:r>
      <w:proofErr w:type="spellEnd"/>
      <w:r w:rsidRPr="00143528">
        <w:rPr>
          <w:sz w:val="24"/>
          <w:szCs w:val="24"/>
        </w:rPr>
        <w:t>.</w:t>
      </w:r>
    </w:p>
    <w:p w14:paraId="7981DEEF" w14:textId="77777777" w:rsidR="00143528" w:rsidRPr="00143528" w:rsidRDefault="00143528" w:rsidP="00C11463">
      <w:pPr>
        <w:ind w:left="851"/>
        <w:rPr>
          <w:sz w:val="24"/>
          <w:szCs w:val="24"/>
        </w:rPr>
      </w:pPr>
    </w:p>
    <w:p w14:paraId="0652638D" w14:textId="77777777" w:rsidR="00143528" w:rsidRPr="00143528" w:rsidRDefault="00143528" w:rsidP="00C11463">
      <w:pPr>
        <w:ind w:left="851"/>
        <w:rPr>
          <w:sz w:val="24"/>
          <w:szCs w:val="24"/>
          <w:u w:val="single"/>
        </w:rPr>
      </w:pPr>
      <w:r w:rsidRPr="00143528">
        <w:rPr>
          <w:sz w:val="24"/>
          <w:szCs w:val="24"/>
          <w:u w:val="single"/>
        </w:rPr>
        <w:t xml:space="preserve">Virkninger af </w:t>
      </w:r>
      <w:proofErr w:type="spellStart"/>
      <w:r w:rsidRPr="00143528">
        <w:rPr>
          <w:sz w:val="24"/>
          <w:szCs w:val="24"/>
          <w:u w:val="single"/>
        </w:rPr>
        <w:t>palbociclib</w:t>
      </w:r>
      <w:proofErr w:type="spellEnd"/>
      <w:r w:rsidRPr="00143528">
        <w:rPr>
          <w:sz w:val="24"/>
          <w:szCs w:val="24"/>
          <w:u w:val="single"/>
        </w:rPr>
        <w:t xml:space="preserve"> på andre lægemidlers farmakokinetik</w:t>
      </w:r>
    </w:p>
    <w:p w14:paraId="21C1BAEB" w14:textId="4565D2E2" w:rsidR="00143528" w:rsidRPr="00143528" w:rsidRDefault="00143528" w:rsidP="00C11463">
      <w:pPr>
        <w:ind w:left="851"/>
        <w:rPr>
          <w:sz w:val="24"/>
          <w:szCs w:val="24"/>
        </w:rPr>
      </w:pPr>
      <w:proofErr w:type="spellStart"/>
      <w:r w:rsidRPr="00143528">
        <w:rPr>
          <w:sz w:val="24"/>
          <w:szCs w:val="24"/>
        </w:rPr>
        <w:t>Palbociclib</w:t>
      </w:r>
      <w:proofErr w:type="spellEnd"/>
      <w:r w:rsidRPr="00143528">
        <w:rPr>
          <w:sz w:val="24"/>
          <w:szCs w:val="24"/>
        </w:rPr>
        <w:t xml:space="preserve"> er en svag, tidsafhængig CYP3A-hæmmer ved </w:t>
      </w:r>
      <w:proofErr w:type="spellStart"/>
      <w:r w:rsidRPr="00143528">
        <w:rPr>
          <w:i/>
          <w:iCs/>
          <w:sz w:val="24"/>
          <w:szCs w:val="24"/>
        </w:rPr>
        <w:t>steady</w:t>
      </w:r>
      <w:proofErr w:type="spellEnd"/>
      <w:r w:rsidRPr="00143528">
        <w:rPr>
          <w:i/>
          <w:iCs/>
          <w:sz w:val="24"/>
          <w:szCs w:val="24"/>
        </w:rPr>
        <w:t xml:space="preserve"> </w:t>
      </w:r>
      <w:proofErr w:type="spellStart"/>
      <w:r w:rsidRPr="00143528">
        <w:rPr>
          <w:i/>
          <w:iCs/>
          <w:sz w:val="24"/>
          <w:szCs w:val="24"/>
        </w:rPr>
        <w:t>state</w:t>
      </w:r>
      <w:proofErr w:type="spellEnd"/>
      <w:r w:rsidRPr="00143528">
        <w:rPr>
          <w:i/>
          <w:iCs/>
          <w:sz w:val="24"/>
          <w:szCs w:val="24"/>
        </w:rPr>
        <w:t xml:space="preserve"> </w:t>
      </w:r>
      <w:r w:rsidRPr="00143528">
        <w:rPr>
          <w:sz w:val="24"/>
          <w:szCs w:val="24"/>
        </w:rPr>
        <w:t xml:space="preserve">efter daglig dosering af 125 mg. Administration af flere doser </w:t>
      </w:r>
      <w:proofErr w:type="spellStart"/>
      <w:r w:rsidRPr="00143528">
        <w:rPr>
          <w:sz w:val="24"/>
          <w:szCs w:val="24"/>
        </w:rPr>
        <w:t>palbociclib</w:t>
      </w:r>
      <w:proofErr w:type="spellEnd"/>
      <w:r w:rsidRPr="00143528">
        <w:rPr>
          <w:sz w:val="24"/>
          <w:szCs w:val="24"/>
        </w:rPr>
        <w:t xml:space="preserve"> sammen med </w:t>
      </w:r>
      <w:proofErr w:type="spellStart"/>
      <w:r w:rsidRPr="00143528">
        <w:rPr>
          <w:sz w:val="24"/>
          <w:szCs w:val="24"/>
        </w:rPr>
        <w:t>midazolam</w:t>
      </w:r>
      <w:proofErr w:type="spellEnd"/>
      <w:r w:rsidRPr="00143528">
        <w:rPr>
          <w:sz w:val="24"/>
          <w:szCs w:val="24"/>
        </w:rPr>
        <w:t xml:space="preserve"> øgede </w:t>
      </w:r>
      <w:proofErr w:type="spellStart"/>
      <w:r w:rsidRPr="00143528">
        <w:rPr>
          <w:sz w:val="24"/>
          <w:szCs w:val="24"/>
        </w:rPr>
        <w:t>midazolam</w:t>
      </w:r>
      <w:proofErr w:type="spellEnd"/>
      <w:r w:rsidRPr="00143528">
        <w:rPr>
          <w:sz w:val="24"/>
          <w:szCs w:val="24"/>
        </w:rPr>
        <w:t xml:space="preserve"> </w:t>
      </w:r>
      <w:proofErr w:type="spellStart"/>
      <w:r w:rsidRPr="00143528">
        <w:rPr>
          <w:sz w:val="24"/>
          <w:szCs w:val="24"/>
        </w:rPr>
        <w:t>AUC</w:t>
      </w:r>
      <w:r w:rsidRPr="00143528">
        <w:rPr>
          <w:sz w:val="24"/>
          <w:szCs w:val="24"/>
          <w:vertAlign w:val="subscript"/>
        </w:rPr>
        <w:t>inf</w:t>
      </w:r>
      <w:proofErr w:type="spellEnd"/>
      <w:r w:rsidRPr="00143528">
        <w:rPr>
          <w:sz w:val="24"/>
          <w:szCs w:val="24"/>
        </w:rPr>
        <w:t xml:space="preserve"> og </w:t>
      </w:r>
      <w:proofErr w:type="spellStart"/>
      <w:r w:rsidRPr="00143528">
        <w:rPr>
          <w:sz w:val="24"/>
          <w:szCs w:val="24"/>
        </w:rPr>
        <w:t>C</w:t>
      </w:r>
      <w:r w:rsidRPr="00143528">
        <w:rPr>
          <w:sz w:val="24"/>
          <w:szCs w:val="24"/>
          <w:vertAlign w:val="subscript"/>
        </w:rPr>
        <w:t>max</w:t>
      </w:r>
      <w:proofErr w:type="spellEnd"/>
      <w:r w:rsidRPr="00143528">
        <w:rPr>
          <w:sz w:val="24"/>
          <w:szCs w:val="24"/>
        </w:rPr>
        <w:t xml:space="preserve"> med henholdsvis 61</w:t>
      </w:r>
      <w:r w:rsidR="007A1C7E">
        <w:rPr>
          <w:sz w:val="24"/>
          <w:szCs w:val="24"/>
        </w:rPr>
        <w:t xml:space="preserve"> %</w:t>
      </w:r>
      <w:r w:rsidRPr="00143528">
        <w:rPr>
          <w:sz w:val="24"/>
          <w:szCs w:val="24"/>
        </w:rPr>
        <w:t xml:space="preserve"> og 37</w:t>
      </w:r>
      <w:r w:rsidR="007A1C7E">
        <w:rPr>
          <w:sz w:val="24"/>
          <w:szCs w:val="24"/>
        </w:rPr>
        <w:t xml:space="preserve"> %</w:t>
      </w:r>
      <w:r w:rsidRPr="00143528">
        <w:rPr>
          <w:sz w:val="24"/>
          <w:szCs w:val="24"/>
        </w:rPr>
        <w:t xml:space="preserve"> sammenlignet med administration af </w:t>
      </w:r>
      <w:proofErr w:type="spellStart"/>
      <w:r w:rsidRPr="00143528">
        <w:rPr>
          <w:sz w:val="24"/>
          <w:szCs w:val="24"/>
        </w:rPr>
        <w:t>midazolam</w:t>
      </w:r>
      <w:proofErr w:type="spellEnd"/>
      <w:r w:rsidRPr="00143528">
        <w:rPr>
          <w:sz w:val="24"/>
          <w:szCs w:val="24"/>
        </w:rPr>
        <w:t xml:space="preserve"> alene.</w:t>
      </w:r>
    </w:p>
    <w:p w14:paraId="202C80AC" w14:textId="77777777" w:rsidR="00143528" w:rsidRPr="00143528" w:rsidRDefault="00143528" w:rsidP="00C11463">
      <w:pPr>
        <w:ind w:left="851"/>
        <w:rPr>
          <w:sz w:val="24"/>
          <w:szCs w:val="24"/>
        </w:rPr>
      </w:pPr>
    </w:p>
    <w:p w14:paraId="6650FBE8" w14:textId="77777777" w:rsidR="00143528" w:rsidRPr="00143528" w:rsidRDefault="00143528" w:rsidP="00C11463">
      <w:pPr>
        <w:ind w:left="851"/>
        <w:rPr>
          <w:sz w:val="24"/>
          <w:szCs w:val="24"/>
        </w:rPr>
      </w:pPr>
      <w:r w:rsidRPr="00143528">
        <w:rPr>
          <w:sz w:val="24"/>
          <w:szCs w:val="24"/>
        </w:rPr>
        <w:t xml:space="preserve">Dosis af følsomme CYP3A-substrater med et snævert terapeutisk indeks (f.eks. </w:t>
      </w:r>
      <w:proofErr w:type="spellStart"/>
      <w:r w:rsidRPr="00143528">
        <w:rPr>
          <w:sz w:val="24"/>
          <w:szCs w:val="24"/>
        </w:rPr>
        <w:t>alfentanil</w:t>
      </w:r>
      <w:proofErr w:type="spellEnd"/>
      <w:r w:rsidRPr="00143528">
        <w:rPr>
          <w:sz w:val="24"/>
          <w:szCs w:val="24"/>
        </w:rPr>
        <w:t xml:space="preserve">, </w:t>
      </w:r>
      <w:proofErr w:type="spellStart"/>
      <w:r w:rsidRPr="00143528">
        <w:rPr>
          <w:sz w:val="24"/>
          <w:szCs w:val="24"/>
        </w:rPr>
        <w:t>ciclosporin</w:t>
      </w:r>
      <w:proofErr w:type="spellEnd"/>
      <w:r w:rsidRPr="00143528">
        <w:rPr>
          <w:sz w:val="24"/>
          <w:szCs w:val="24"/>
        </w:rPr>
        <w:t xml:space="preserve">, </w:t>
      </w:r>
      <w:proofErr w:type="spellStart"/>
      <w:r w:rsidRPr="00143528">
        <w:rPr>
          <w:sz w:val="24"/>
          <w:szCs w:val="24"/>
        </w:rPr>
        <w:t>dihydroergotamin</w:t>
      </w:r>
      <w:proofErr w:type="spellEnd"/>
      <w:r w:rsidRPr="00143528">
        <w:rPr>
          <w:sz w:val="24"/>
          <w:szCs w:val="24"/>
        </w:rPr>
        <w:t xml:space="preserve">, </w:t>
      </w:r>
      <w:proofErr w:type="spellStart"/>
      <w:r w:rsidRPr="00143528">
        <w:rPr>
          <w:sz w:val="24"/>
          <w:szCs w:val="24"/>
        </w:rPr>
        <w:t>ergotamin</w:t>
      </w:r>
      <w:proofErr w:type="spellEnd"/>
      <w:r w:rsidRPr="00143528">
        <w:rPr>
          <w:sz w:val="24"/>
          <w:szCs w:val="24"/>
        </w:rPr>
        <w:t xml:space="preserve">, </w:t>
      </w:r>
      <w:proofErr w:type="spellStart"/>
      <w:r w:rsidRPr="00143528">
        <w:rPr>
          <w:sz w:val="24"/>
          <w:szCs w:val="24"/>
        </w:rPr>
        <w:t>everolimus</w:t>
      </w:r>
      <w:proofErr w:type="spellEnd"/>
      <w:r w:rsidRPr="00143528">
        <w:rPr>
          <w:sz w:val="24"/>
          <w:szCs w:val="24"/>
        </w:rPr>
        <w:t xml:space="preserve">, fentanyl, </w:t>
      </w:r>
      <w:proofErr w:type="spellStart"/>
      <w:r w:rsidRPr="00143528">
        <w:rPr>
          <w:sz w:val="24"/>
          <w:szCs w:val="24"/>
        </w:rPr>
        <w:t>pimozid</w:t>
      </w:r>
      <w:proofErr w:type="spellEnd"/>
      <w:r w:rsidRPr="00143528">
        <w:rPr>
          <w:sz w:val="24"/>
          <w:szCs w:val="24"/>
        </w:rPr>
        <w:t xml:space="preserve">, </w:t>
      </w:r>
      <w:proofErr w:type="spellStart"/>
      <w:r w:rsidRPr="00143528">
        <w:rPr>
          <w:sz w:val="24"/>
          <w:szCs w:val="24"/>
        </w:rPr>
        <w:t>kinidin</w:t>
      </w:r>
      <w:proofErr w:type="spellEnd"/>
      <w:r w:rsidRPr="00143528">
        <w:rPr>
          <w:sz w:val="24"/>
          <w:szCs w:val="24"/>
        </w:rPr>
        <w:t xml:space="preserve">, </w:t>
      </w:r>
      <w:proofErr w:type="spellStart"/>
      <w:r w:rsidRPr="00143528">
        <w:rPr>
          <w:sz w:val="24"/>
          <w:szCs w:val="24"/>
        </w:rPr>
        <w:t>sirolimus</w:t>
      </w:r>
      <w:proofErr w:type="spellEnd"/>
      <w:r w:rsidRPr="00143528">
        <w:rPr>
          <w:sz w:val="24"/>
          <w:szCs w:val="24"/>
        </w:rPr>
        <w:t xml:space="preserve"> og </w:t>
      </w:r>
      <w:proofErr w:type="spellStart"/>
      <w:r w:rsidRPr="00143528">
        <w:rPr>
          <w:sz w:val="24"/>
          <w:szCs w:val="24"/>
        </w:rPr>
        <w:t>tacrolimus</w:t>
      </w:r>
      <w:proofErr w:type="spellEnd"/>
      <w:r w:rsidRPr="00143528">
        <w:rPr>
          <w:sz w:val="24"/>
          <w:szCs w:val="24"/>
        </w:rPr>
        <w:t xml:space="preserve">) skal muligvis nedsættes ved samtidig administration af </w:t>
      </w:r>
      <w:proofErr w:type="spellStart"/>
      <w:r w:rsidRPr="00143528">
        <w:rPr>
          <w:sz w:val="24"/>
          <w:szCs w:val="24"/>
        </w:rPr>
        <w:t>palbociclib</w:t>
      </w:r>
      <w:proofErr w:type="spellEnd"/>
      <w:r w:rsidRPr="00143528">
        <w:rPr>
          <w:sz w:val="24"/>
          <w:szCs w:val="24"/>
        </w:rPr>
        <w:t xml:space="preserve">, eftersom </w:t>
      </w:r>
      <w:proofErr w:type="spellStart"/>
      <w:r w:rsidRPr="00143528">
        <w:rPr>
          <w:sz w:val="24"/>
          <w:szCs w:val="24"/>
        </w:rPr>
        <w:t>palbociclib</w:t>
      </w:r>
      <w:proofErr w:type="spellEnd"/>
      <w:r w:rsidRPr="00143528">
        <w:rPr>
          <w:sz w:val="24"/>
          <w:szCs w:val="24"/>
        </w:rPr>
        <w:t xml:space="preserve"> kan øge deres eksponering.</w:t>
      </w:r>
    </w:p>
    <w:p w14:paraId="4BDCE0AD" w14:textId="77777777" w:rsidR="00143528" w:rsidRPr="00143528" w:rsidRDefault="00143528" w:rsidP="00C11463">
      <w:pPr>
        <w:ind w:left="851"/>
        <w:rPr>
          <w:sz w:val="24"/>
          <w:szCs w:val="24"/>
        </w:rPr>
      </w:pPr>
    </w:p>
    <w:p w14:paraId="73A42E2D" w14:textId="77777777" w:rsidR="00143528" w:rsidRPr="00143528" w:rsidRDefault="00143528" w:rsidP="00C11463">
      <w:pPr>
        <w:ind w:left="851"/>
        <w:rPr>
          <w:sz w:val="24"/>
          <w:szCs w:val="24"/>
          <w:u w:val="single"/>
        </w:rPr>
      </w:pPr>
      <w:r w:rsidRPr="00143528">
        <w:rPr>
          <w:sz w:val="24"/>
          <w:szCs w:val="24"/>
          <w:u w:val="single"/>
        </w:rPr>
        <w:t xml:space="preserve">Interaktion mellem </w:t>
      </w:r>
      <w:proofErr w:type="spellStart"/>
      <w:r w:rsidRPr="00143528">
        <w:rPr>
          <w:sz w:val="24"/>
          <w:szCs w:val="24"/>
          <w:u w:val="single"/>
        </w:rPr>
        <w:t>palbociclib</w:t>
      </w:r>
      <w:proofErr w:type="spellEnd"/>
      <w:r w:rsidRPr="00143528">
        <w:rPr>
          <w:sz w:val="24"/>
          <w:szCs w:val="24"/>
          <w:u w:val="single"/>
        </w:rPr>
        <w:t xml:space="preserve"> og </w:t>
      </w:r>
      <w:proofErr w:type="spellStart"/>
      <w:r w:rsidRPr="00143528">
        <w:rPr>
          <w:sz w:val="24"/>
          <w:szCs w:val="24"/>
          <w:u w:val="single"/>
        </w:rPr>
        <w:t>letrozol</w:t>
      </w:r>
      <w:proofErr w:type="spellEnd"/>
    </w:p>
    <w:p w14:paraId="7C8C72AC" w14:textId="77777777" w:rsidR="00143528" w:rsidRPr="00143528" w:rsidRDefault="00143528" w:rsidP="00C11463">
      <w:pPr>
        <w:ind w:left="851"/>
        <w:rPr>
          <w:sz w:val="24"/>
          <w:szCs w:val="24"/>
        </w:rPr>
      </w:pPr>
      <w:r w:rsidRPr="00143528">
        <w:rPr>
          <w:sz w:val="24"/>
          <w:szCs w:val="24"/>
        </w:rPr>
        <w:t xml:space="preserve">Data fra lægemiddelinteraktionsdelen af et klinisk studie med patienter med brystkræft viste, at der ikke var nogen interaktion mellem </w:t>
      </w:r>
      <w:proofErr w:type="spellStart"/>
      <w:r w:rsidRPr="00143528">
        <w:rPr>
          <w:sz w:val="24"/>
          <w:szCs w:val="24"/>
        </w:rPr>
        <w:t>palbociclib</w:t>
      </w:r>
      <w:proofErr w:type="spellEnd"/>
      <w:r w:rsidRPr="00143528">
        <w:rPr>
          <w:sz w:val="24"/>
          <w:szCs w:val="24"/>
        </w:rPr>
        <w:t xml:space="preserve"> og </w:t>
      </w:r>
      <w:proofErr w:type="spellStart"/>
      <w:r w:rsidRPr="00143528">
        <w:rPr>
          <w:sz w:val="24"/>
          <w:szCs w:val="24"/>
        </w:rPr>
        <w:t>letrozol</w:t>
      </w:r>
      <w:proofErr w:type="spellEnd"/>
      <w:r w:rsidRPr="00143528">
        <w:rPr>
          <w:sz w:val="24"/>
          <w:szCs w:val="24"/>
        </w:rPr>
        <w:t>, når disse to lægemidler blev administreret samtidigt.</w:t>
      </w:r>
    </w:p>
    <w:p w14:paraId="33183A47" w14:textId="77777777" w:rsidR="00143528" w:rsidRPr="00143528" w:rsidRDefault="00143528" w:rsidP="00C11463">
      <w:pPr>
        <w:ind w:left="851"/>
        <w:rPr>
          <w:sz w:val="24"/>
          <w:szCs w:val="24"/>
        </w:rPr>
      </w:pPr>
    </w:p>
    <w:p w14:paraId="43809121" w14:textId="77777777" w:rsidR="00143528" w:rsidRPr="00143528" w:rsidRDefault="00143528" w:rsidP="00C11463">
      <w:pPr>
        <w:ind w:left="851"/>
        <w:rPr>
          <w:sz w:val="24"/>
          <w:szCs w:val="24"/>
          <w:u w:val="single"/>
        </w:rPr>
      </w:pPr>
      <w:proofErr w:type="spellStart"/>
      <w:r w:rsidRPr="00143528">
        <w:rPr>
          <w:sz w:val="24"/>
          <w:szCs w:val="24"/>
          <w:u w:val="single"/>
        </w:rPr>
        <w:t>Tamoxifens</w:t>
      </w:r>
      <w:proofErr w:type="spellEnd"/>
      <w:r w:rsidRPr="00143528">
        <w:rPr>
          <w:sz w:val="24"/>
          <w:szCs w:val="24"/>
          <w:u w:val="single"/>
        </w:rPr>
        <w:t xml:space="preserve"> indvirkning på eksponeringen for </w:t>
      </w:r>
      <w:proofErr w:type="spellStart"/>
      <w:r w:rsidRPr="00143528">
        <w:rPr>
          <w:sz w:val="24"/>
          <w:szCs w:val="24"/>
          <w:u w:val="single"/>
        </w:rPr>
        <w:t>palbociclib</w:t>
      </w:r>
      <w:proofErr w:type="spellEnd"/>
    </w:p>
    <w:p w14:paraId="364C88F0" w14:textId="77777777" w:rsidR="00143528" w:rsidRPr="00143528" w:rsidRDefault="00143528" w:rsidP="00C11463">
      <w:pPr>
        <w:ind w:left="851"/>
        <w:rPr>
          <w:sz w:val="24"/>
          <w:szCs w:val="24"/>
        </w:rPr>
      </w:pPr>
      <w:r w:rsidRPr="00143528">
        <w:rPr>
          <w:sz w:val="24"/>
          <w:szCs w:val="24"/>
        </w:rPr>
        <w:t xml:space="preserve">Data fra et lægemiddelinteraktionsstudie med raske mandlige forsøgspersoner viste, at eksponeringen for </w:t>
      </w:r>
      <w:proofErr w:type="spellStart"/>
      <w:r w:rsidRPr="00143528">
        <w:rPr>
          <w:sz w:val="24"/>
          <w:szCs w:val="24"/>
        </w:rPr>
        <w:t>palbociclib</w:t>
      </w:r>
      <w:proofErr w:type="spellEnd"/>
      <w:r w:rsidRPr="00143528">
        <w:rPr>
          <w:sz w:val="24"/>
          <w:szCs w:val="24"/>
        </w:rPr>
        <w:t xml:space="preserve"> var den samme, når en enkelt dosis </w:t>
      </w:r>
      <w:proofErr w:type="spellStart"/>
      <w:r w:rsidRPr="00143528">
        <w:rPr>
          <w:sz w:val="24"/>
          <w:szCs w:val="24"/>
        </w:rPr>
        <w:t>palbociclib</w:t>
      </w:r>
      <w:proofErr w:type="spellEnd"/>
      <w:r w:rsidRPr="00143528">
        <w:rPr>
          <w:sz w:val="24"/>
          <w:szCs w:val="24"/>
        </w:rPr>
        <w:t xml:space="preserve"> blev administreret samtidigt med flere doser </w:t>
      </w:r>
      <w:proofErr w:type="spellStart"/>
      <w:r w:rsidRPr="00143528">
        <w:rPr>
          <w:sz w:val="24"/>
          <w:szCs w:val="24"/>
        </w:rPr>
        <w:t>tamoxifen</w:t>
      </w:r>
      <w:proofErr w:type="spellEnd"/>
      <w:r w:rsidRPr="00143528">
        <w:rPr>
          <w:sz w:val="24"/>
          <w:szCs w:val="24"/>
        </w:rPr>
        <w:t xml:space="preserve">, som når </w:t>
      </w:r>
      <w:proofErr w:type="spellStart"/>
      <w:r w:rsidRPr="00143528">
        <w:rPr>
          <w:sz w:val="24"/>
          <w:szCs w:val="24"/>
        </w:rPr>
        <w:t>palbociclib</w:t>
      </w:r>
      <w:proofErr w:type="spellEnd"/>
      <w:r w:rsidRPr="00143528">
        <w:rPr>
          <w:sz w:val="24"/>
          <w:szCs w:val="24"/>
        </w:rPr>
        <w:t xml:space="preserve"> blev administreret alene.</w:t>
      </w:r>
    </w:p>
    <w:p w14:paraId="312E32E2" w14:textId="1E13CA37" w:rsidR="007A1C7E" w:rsidRDefault="007A1C7E">
      <w:pPr>
        <w:rPr>
          <w:sz w:val="24"/>
          <w:szCs w:val="24"/>
        </w:rPr>
      </w:pPr>
      <w:r>
        <w:rPr>
          <w:sz w:val="24"/>
          <w:szCs w:val="24"/>
        </w:rPr>
        <w:br w:type="page"/>
      </w:r>
    </w:p>
    <w:p w14:paraId="784167D5" w14:textId="77777777" w:rsidR="00143528" w:rsidRPr="00143528" w:rsidRDefault="00143528" w:rsidP="00C11463">
      <w:pPr>
        <w:ind w:left="851"/>
        <w:rPr>
          <w:sz w:val="24"/>
          <w:szCs w:val="24"/>
        </w:rPr>
      </w:pPr>
    </w:p>
    <w:p w14:paraId="5462DDD2" w14:textId="77777777" w:rsidR="00143528" w:rsidRPr="00143528" w:rsidRDefault="00143528" w:rsidP="00C11463">
      <w:pPr>
        <w:ind w:left="851"/>
        <w:rPr>
          <w:sz w:val="24"/>
          <w:szCs w:val="24"/>
          <w:u w:val="single"/>
        </w:rPr>
      </w:pPr>
      <w:r w:rsidRPr="00143528">
        <w:rPr>
          <w:sz w:val="24"/>
          <w:szCs w:val="24"/>
          <w:u w:val="single"/>
        </w:rPr>
        <w:t xml:space="preserve">Interaktion mellem </w:t>
      </w:r>
      <w:proofErr w:type="spellStart"/>
      <w:r w:rsidRPr="00143528">
        <w:rPr>
          <w:sz w:val="24"/>
          <w:szCs w:val="24"/>
          <w:u w:val="single"/>
        </w:rPr>
        <w:t>palbociclib</w:t>
      </w:r>
      <w:proofErr w:type="spellEnd"/>
      <w:r w:rsidRPr="00143528">
        <w:rPr>
          <w:sz w:val="24"/>
          <w:szCs w:val="24"/>
          <w:u w:val="single"/>
        </w:rPr>
        <w:t xml:space="preserve"> og </w:t>
      </w:r>
      <w:proofErr w:type="spellStart"/>
      <w:r w:rsidRPr="00143528">
        <w:rPr>
          <w:sz w:val="24"/>
          <w:szCs w:val="24"/>
          <w:u w:val="single"/>
        </w:rPr>
        <w:t>fulvestrant</w:t>
      </w:r>
      <w:proofErr w:type="spellEnd"/>
    </w:p>
    <w:p w14:paraId="6FE49355" w14:textId="77777777" w:rsidR="00143528" w:rsidRPr="00143528" w:rsidRDefault="00143528" w:rsidP="00C11463">
      <w:pPr>
        <w:ind w:left="851"/>
        <w:rPr>
          <w:sz w:val="24"/>
          <w:szCs w:val="24"/>
        </w:rPr>
      </w:pPr>
      <w:r w:rsidRPr="00143528">
        <w:rPr>
          <w:sz w:val="24"/>
          <w:szCs w:val="24"/>
        </w:rPr>
        <w:t xml:space="preserve">Data fra et klinisk studie med patienter med brystkræft viste, at der ikke var nogen klinisk relevant interaktion mellem </w:t>
      </w:r>
      <w:proofErr w:type="spellStart"/>
      <w:r w:rsidRPr="00143528">
        <w:rPr>
          <w:sz w:val="24"/>
          <w:szCs w:val="24"/>
        </w:rPr>
        <w:t>palbociclib</w:t>
      </w:r>
      <w:proofErr w:type="spellEnd"/>
      <w:r w:rsidRPr="00143528">
        <w:rPr>
          <w:sz w:val="24"/>
          <w:szCs w:val="24"/>
        </w:rPr>
        <w:t xml:space="preserve"> og </w:t>
      </w:r>
      <w:proofErr w:type="spellStart"/>
      <w:r w:rsidRPr="00143528">
        <w:rPr>
          <w:sz w:val="24"/>
          <w:szCs w:val="24"/>
        </w:rPr>
        <w:t>fulvestrant</w:t>
      </w:r>
      <w:proofErr w:type="spellEnd"/>
      <w:r w:rsidRPr="00143528">
        <w:rPr>
          <w:sz w:val="24"/>
          <w:szCs w:val="24"/>
        </w:rPr>
        <w:t>, når disse to lægemidler blev administreret samtidigt.</w:t>
      </w:r>
    </w:p>
    <w:p w14:paraId="2EF5201D" w14:textId="77777777" w:rsidR="00143528" w:rsidRPr="00143528" w:rsidRDefault="00143528" w:rsidP="00C11463">
      <w:pPr>
        <w:ind w:left="851"/>
        <w:rPr>
          <w:sz w:val="24"/>
          <w:szCs w:val="24"/>
        </w:rPr>
      </w:pPr>
    </w:p>
    <w:p w14:paraId="0CDDB24F" w14:textId="77777777" w:rsidR="00143528" w:rsidRPr="00143528" w:rsidRDefault="00143528" w:rsidP="00C11463">
      <w:pPr>
        <w:ind w:left="851"/>
        <w:rPr>
          <w:sz w:val="24"/>
          <w:szCs w:val="24"/>
          <w:u w:val="single"/>
        </w:rPr>
      </w:pPr>
      <w:r w:rsidRPr="00143528">
        <w:rPr>
          <w:sz w:val="24"/>
          <w:szCs w:val="24"/>
          <w:u w:val="single"/>
        </w:rPr>
        <w:t xml:space="preserve">Interaktion mellem </w:t>
      </w:r>
      <w:proofErr w:type="spellStart"/>
      <w:r w:rsidRPr="00143528">
        <w:rPr>
          <w:sz w:val="24"/>
          <w:szCs w:val="24"/>
          <w:u w:val="single"/>
        </w:rPr>
        <w:t>palbociclib</w:t>
      </w:r>
      <w:proofErr w:type="spellEnd"/>
      <w:r w:rsidRPr="00143528">
        <w:rPr>
          <w:sz w:val="24"/>
          <w:szCs w:val="24"/>
          <w:u w:val="single"/>
        </w:rPr>
        <w:t xml:space="preserve"> og orale </w:t>
      </w:r>
      <w:proofErr w:type="spellStart"/>
      <w:r w:rsidRPr="00143528">
        <w:rPr>
          <w:sz w:val="24"/>
          <w:szCs w:val="24"/>
          <w:u w:val="single"/>
        </w:rPr>
        <w:t>kontraceptiva</w:t>
      </w:r>
      <w:proofErr w:type="spellEnd"/>
    </w:p>
    <w:p w14:paraId="300E35E6" w14:textId="77777777" w:rsidR="00143528" w:rsidRPr="00143528" w:rsidRDefault="00143528" w:rsidP="00C11463">
      <w:pPr>
        <w:ind w:left="851"/>
        <w:rPr>
          <w:sz w:val="24"/>
          <w:szCs w:val="24"/>
        </w:rPr>
      </w:pPr>
      <w:r w:rsidRPr="00143528">
        <w:rPr>
          <w:sz w:val="24"/>
          <w:szCs w:val="24"/>
        </w:rPr>
        <w:t xml:space="preserve">Der er ikke udført interaktionsstudier med </w:t>
      </w:r>
      <w:proofErr w:type="spellStart"/>
      <w:r w:rsidRPr="00143528">
        <w:rPr>
          <w:sz w:val="24"/>
          <w:szCs w:val="24"/>
        </w:rPr>
        <w:t>palbociclib</w:t>
      </w:r>
      <w:proofErr w:type="spellEnd"/>
      <w:r w:rsidRPr="00143528">
        <w:rPr>
          <w:sz w:val="24"/>
          <w:szCs w:val="24"/>
        </w:rPr>
        <w:t xml:space="preserve"> og orale </w:t>
      </w:r>
      <w:proofErr w:type="spellStart"/>
      <w:r w:rsidRPr="00143528">
        <w:rPr>
          <w:sz w:val="24"/>
          <w:szCs w:val="24"/>
        </w:rPr>
        <w:t>kontraceptiva</w:t>
      </w:r>
      <w:proofErr w:type="spellEnd"/>
      <w:r w:rsidRPr="00143528">
        <w:rPr>
          <w:sz w:val="24"/>
          <w:szCs w:val="24"/>
        </w:rPr>
        <w:t xml:space="preserve"> (se pkt. 4.6).</w:t>
      </w:r>
    </w:p>
    <w:p w14:paraId="2C36910C" w14:textId="77777777" w:rsidR="00143528" w:rsidRPr="00143528" w:rsidRDefault="00143528" w:rsidP="00C11463">
      <w:pPr>
        <w:ind w:left="851"/>
        <w:rPr>
          <w:sz w:val="24"/>
          <w:szCs w:val="24"/>
        </w:rPr>
      </w:pPr>
    </w:p>
    <w:p w14:paraId="446740B1" w14:textId="77777777" w:rsidR="00143528" w:rsidRPr="00143528" w:rsidRDefault="00143528" w:rsidP="00C11463">
      <w:pPr>
        <w:ind w:left="851"/>
        <w:rPr>
          <w:sz w:val="24"/>
          <w:szCs w:val="24"/>
          <w:u w:val="single"/>
        </w:rPr>
      </w:pPr>
      <w:r w:rsidRPr="00143528">
        <w:rPr>
          <w:i/>
          <w:iCs/>
          <w:sz w:val="24"/>
          <w:szCs w:val="24"/>
          <w:u w:val="single"/>
        </w:rPr>
        <w:t xml:space="preserve">In </w:t>
      </w:r>
      <w:proofErr w:type="spellStart"/>
      <w:r w:rsidRPr="00143528">
        <w:rPr>
          <w:i/>
          <w:iCs/>
          <w:sz w:val="24"/>
          <w:szCs w:val="24"/>
          <w:u w:val="single"/>
        </w:rPr>
        <w:t>vitro</w:t>
      </w:r>
      <w:proofErr w:type="spellEnd"/>
      <w:r w:rsidRPr="00143528">
        <w:rPr>
          <w:sz w:val="24"/>
          <w:szCs w:val="24"/>
          <w:u w:val="single"/>
        </w:rPr>
        <w:t>-studie med transportproteiner</w:t>
      </w:r>
    </w:p>
    <w:p w14:paraId="48299D24" w14:textId="67C49412" w:rsidR="00143528" w:rsidRPr="00143528" w:rsidRDefault="00143528" w:rsidP="00C11463">
      <w:pPr>
        <w:ind w:left="851"/>
        <w:rPr>
          <w:sz w:val="24"/>
          <w:szCs w:val="24"/>
        </w:rPr>
      </w:pPr>
      <w:r w:rsidRPr="00143528">
        <w:rPr>
          <w:sz w:val="24"/>
          <w:szCs w:val="24"/>
        </w:rPr>
        <w:t xml:space="preserve">Baseret på </w:t>
      </w:r>
      <w:r w:rsidRPr="00143528">
        <w:rPr>
          <w:i/>
          <w:iCs/>
          <w:sz w:val="24"/>
          <w:szCs w:val="24"/>
        </w:rPr>
        <w:t xml:space="preserve">in </w:t>
      </w:r>
      <w:proofErr w:type="spellStart"/>
      <w:r w:rsidRPr="00143528">
        <w:rPr>
          <w:i/>
          <w:iCs/>
          <w:sz w:val="24"/>
          <w:szCs w:val="24"/>
        </w:rPr>
        <w:t>vitro</w:t>
      </w:r>
      <w:proofErr w:type="spellEnd"/>
      <w:r w:rsidRPr="00143528">
        <w:rPr>
          <w:sz w:val="24"/>
          <w:szCs w:val="24"/>
        </w:rPr>
        <w:t xml:space="preserve">-data forventes </w:t>
      </w:r>
      <w:proofErr w:type="spellStart"/>
      <w:r w:rsidRPr="00143528">
        <w:rPr>
          <w:sz w:val="24"/>
          <w:szCs w:val="24"/>
        </w:rPr>
        <w:t>palbociclib</w:t>
      </w:r>
      <w:proofErr w:type="spellEnd"/>
      <w:r w:rsidRPr="00143528">
        <w:rPr>
          <w:sz w:val="24"/>
          <w:szCs w:val="24"/>
        </w:rPr>
        <w:t xml:space="preserve"> at hæmme transportmedieret </w:t>
      </w:r>
      <w:proofErr w:type="spellStart"/>
      <w:r w:rsidRPr="00143528">
        <w:rPr>
          <w:sz w:val="24"/>
          <w:szCs w:val="24"/>
        </w:rPr>
        <w:t>intestinal</w:t>
      </w:r>
      <w:proofErr w:type="spellEnd"/>
      <w:r w:rsidRPr="00143528">
        <w:rPr>
          <w:sz w:val="24"/>
          <w:szCs w:val="24"/>
        </w:rPr>
        <w:t xml:space="preserve"> P-</w:t>
      </w:r>
      <w:proofErr w:type="spellStart"/>
      <w:r w:rsidRPr="00143528">
        <w:rPr>
          <w:sz w:val="24"/>
          <w:szCs w:val="24"/>
        </w:rPr>
        <w:t>glykoprotein</w:t>
      </w:r>
      <w:proofErr w:type="spellEnd"/>
      <w:r w:rsidRPr="00143528">
        <w:rPr>
          <w:sz w:val="24"/>
          <w:szCs w:val="24"/>
        </w:rPr>
        <w:t xml:space="preserve"> (P-gp) og brystkræft resistent protein (BCRP). Derfor kan samtidig administration af </w:t>
      </w:r>
      <w:proofErr w:type="spellStart"/>
      <w:r w:rsidRPr="00143528">
        <w:rPr>
          <w:sz w:val="24"/>
          <w:szCs w:val="24"/>
        </w:rPr>
        <w:t>palbociclib</w:t>
      </w:r>
      <w:proofErr w:type="spellEnd"/>
      <w:r w:rsidRPr="00143528">
        <w:rPr>
          <w:sz w:val="24"/>
          <w:szCs w:val="24"/>
        </w:rPr>
        <w:t xml:space="preserve"> og lægemidler, som er substrater for P-gp (</w:t>
      </w:r>
      <w:r w:rsidR="00BF2DF3">
        <w:rPr>
          <w:sz w:val="24"/>
          <w:szCs w:val="24"/>
        </w:rPr>
        <w:t>f.eks.</w:t>
      </w:r>
      <w:r w:rsidRPr="00143528">
        <w:rPr>
          <w:sz w:val="24"/>
          <w:szCs w:val="24"/>
        </w:rPr>
        <w:t xml:space="preserve"> </w:t>
      </w:r>
      <w:proofErr w:type="spellStart"/>
      <w:r w:rsidRPr="00143528">
        <w:rPr>
          <w:sz w:val="24"/>
          <w:szCs w:val="24"/>
        </w:rPr>
        <w:t>digoxin</w:t>
      </w:r>
      <w:proofErr w:type="spellEnd"/>
      <w:r w:rsidRPr="00143528">
        <w:rPr>
          <w:sz w:val="24"/>
          <w:szCs w:val="24"/>
        </w:rPr>
        <w:t xml:space="preserve">, </w:t>
      </w:r>
      <w:proofErr w:type="spellStart"/>
      <w:r w:rsidRPr="00143528">
        <w:rPr>
          <w:sz w:val="24"/>
          <w:szCs w:val="24"/>
        </w:rPr>
        <w:t>dabigatran</w:t>
      </w:r>
      <w:proofErr w:type="spellEnd"/>
      <w:r w:rsidRPr="00143528">
        <w:rPr>
          <w:sz w:val="24"/>
          <w:szCs w:val="24"/>
        </w:rPr>
        <w:t xml:space="preserve">, </w:t>
      </w:r>
      <w:proofErr w:type="spellStart"/>
      <w:r w:rsidRPr="00143528">
        <w:rPr>
          <w:sz w:val="24"/>
          <w:szCs w:val="24"/>
        </w:rPr>
        <w:t>colchicin</w:t>
      </w:r>
      <w:proofErr w:type="spellEnd"/>
      <w:r w:rsidRPr="00143528">
        <w:rPr>
          <w:sz w:val="24"/>
          <w:szCs w:val="24"/>
        </w:rPr>
        <w:t>) eller BCRP (</w:t>
      </w:r>
      <w:r w:rsidR="00BF2DF3">
        <w:rPr>
          <w:sz w:val="24"/>
          <w:szCs w:val="24"/>
        </w:rPr>
        <w:t>f.eks.</w:t>
      </w:r>
      <w:r w:rsidRPr="00143528">
        <w:rPr>
          <w:sz w:val="24"/>
          <w:szCs w:val="24"/>
        </w:rPr>
        <w:t xml:space="preserve"> </w:t>
      </w:r>
      <w:proofErr w:type="spellStart"/>
      <w:r w:rsidRPr="00143528">
        <w:rPr>
          <w:sz w:val="24"/>
          <w:szCs w:val="24"/>
        </w:rPr>
        <w:t>pravastatin</w:t>
      </w:r>
      <w:proofErr w:type="spellEnd"/>
      <w:r w:rsidRPr="00143528">
        <w:rPr>
          <w:sz w:val="24"/>
          <w:szCs w:val="24"/>
        </w:rPr>
        <w:t xml:space="preserve">, </w:t>
      </w:r>
      <w:proofErr w:type="spellStart"/>
      <w:r w:rsidRPr="00143528">
        <w:rPr>
          <w:sz w:val="24"/>
          <w:szCs w:val="24"/>
        </w:rPr>
        <w:t>rosuvastatin</w:t>
      </w:r>
      <w:proofErr w:type="spellEnd"/>
      <w:r w:rsidRPr="00143528">
        <w:rPr>
          <w:sz w:val="24"/>
          <w:szCs w:val="24"/>
        </w:rPr>
        <w:t xml:space="preserve">, </w:t>
      </w:r>
      <w:proofErr w:type="spellStart"/>
      <w:r w:rsidRPr="00143528">
        <w:rPr>
          <w:sz w:val="24"/>
          <w:szCs w:val="24"/>
        </w:rPr>
        <w:t>fluvastatin</w:t>
      </w:r>
      <w:proofErr w:type="spellEnd"/>
      <w:r w:rsidRPr="00143528">
        <w:rPr>
          <w:sz w:val="24"/>
          <w:szCs w:val="24"/>
        </w:rPr>
        <w:t xml:space="preserve">, </w:t>
      </w:r>
      <w:proofErr w:type="spellStart"/>
      <w:r w:rsidRPr="00143528">
        <w:rPr>
          <w:sz w:val="24"/>
          <w:szCs w:val="24"/>
        </w:rPr>
        <w:t>sulfasalazin</w:t>
      </w:r>
      <w:proofErr w:type="spellEnd"/>
      <w:r w:rsidRPr="00143528">
        <w:rPr>
          <w:sz w:val="24"/>
          <w:szCs w:val="24"/>
        </w:rPr>
        <w:t xml:space="preserve">), medføre øget virkning og øgede bivirkninger af disse lægemidler. Baseret på in </w:t>
      </w:r>
      <w:proofErr w:type="spellStart"/>
      <w:r w:rsidRPr="00143528">
        <w:rPr>
          <w:sz w:val="24"/>
          <w:szCs w:val="24"/>
        </w:rPr>
        <w:t>vitro</w:t>
      </w:r>
      <w:proofErr w:type="spellEnd"/>
      <w:r w:rsidRPr="00143528">
        <w:rPr>
          <w:sz w:val="24"/>
          <w:szCs w:val="24"/>
        </w:rPr>
        <w:t xml:space="preserve">-data kan </w:t>
      </w:r>
      <w:proofErr w:type="spellStart"/>
      <w:r w:rsidRPr="00143528">
        <w:rPr>
          <w:sz w:val="24"/>
          <w:szCs w:val="24"/>
        </w:rPr>
        <w:t>palbociclib</w:t>
      </w:r>
      <w:proofErr w:type="spellEnd"/>
      <w:r w:rsidRPr="00143528">
        <w:rPr>
          <w:sz w:val="24"/>
          <w:szCs w:val="24"/>
        </w:rPr>
        <w:t xml:space="preserve"> hæmme genoptagelses-transportøren, organiskkation- transportør OCT1 og derved muligvis øge eksponeringen for lægemidler, der er substrater for dette transportprotein (</w:t>
      </w:r>
      <w:r w:rsidR="00BF2DF3">
        <w:rPr>
          <w:sz w:val="24"/>
          <w:szCs w:val="24"/>
        </w:rPr>
        <w:t>f.eks.</w:t>
      </w:r>
      <w:r w:rsidRPr="00143528">
        <w:rPr>
          <w:sz w:val="24"/>
          <w:szCs w:val="24"/>
        </w:rPr>
        <w:t xml:space="preserve"> </w:t>
      </w:r>
      <w:proofErr w:type="spellStart"/>
      <w:r w:rsidRPr="00143528">
        <w:rPr>
          <w:sz w:val="24"/>
          <w:szCs w:val="24"/>
        </w:rPr>
        <w:t>metformin</w:t>
      </w:r>
      <w:proofErr w:type="spellEnd"/>
      <w:r w:rsidRPr="00143528">
        <w:rPr>
          <w:sz w:val="24"/>
          <w:szCs w:val="24"/>
        </w:rPr>
        <w:t>).</w:t>
      </w:r>
    </w:p>
    <w:p w14:paraId="7F7E5BEB" w14:textId="77777777" w:rsidR="00143528" w:rsidRPr="00143528" w:rsidRDefault="00143528" w:rsidP="00C11463">
      <w:pPr>
        <w:ind w:left="851"/>
        <w:rPr>
          <w:sz w:val="24"/>
          <w:szCs w:val="24"/>
        </w:rPr>
      </w:pPr>
    </w:p>
    <w:p w14:paraId="2D995184" w14:textId="77777777" w:rsidR="00143528" w:rsidRPr="00143528" w:rsidRDefault="00143528" w:rsidP="00C11463">
      <w:pPr>
        <w:ind w:left="851"/>
        <w:rPr>
          <w:sz w:val="24"/>
          <w:szCs w:val="24"/>
          <w:u w:val="single"/>
        </w:rPr>
      </w:pPr>
      <w:r w:rsidRPr="00143528">
        <w:rPr>
          <w:sz w:val="24"/>
          <w:szCs w:val="24"/>
          <w:u w:val="single"/>
        </w:rPr>
        <w:t xml:space="preserve">Interaktion mellem </w:t>
      </w:r>
      <w:proofErr w:type="spellStart"/>
      <w:r w:rsidRPr="00143528">
        <w:rPr>
          <w:sz w:val="24"/>
          <w:szCs w:val="24"/>
          <w:u w:val="single"/>
        </w:rPr>
        <w:t>palbociclib</w:t>
      </w:r>
      <w:proofErr w:type="spellEnd"/>
      <w:r w:rsidRPr="00143528">
        <w:rPr>
          <w:sz w:val="24"/>
          <w:szCs w:val="24"/>
          <w:u w:val="single"/>
        </w:rPr>
        <w:t xml:space="preserve"> og </w:t>
      </w:r>
      <w:proofErr w:type="spellStart"/>
      <w:r w:rsidRPr="00143528">
        <w:rPr>
          <w:sz w:val="24"/>
          <w:szCs w:val="24"/>
          <w:u w:val="single"/>
        </w:rPr>
        <w:t>statiner</w:t>
      </w:r>
      <w:proofErr w:type="spellEnd"/>
    </w:p>
    <w:p w14:paraId="6DD8F444" w14:textId="77777777" w:rsidR="00143528" w:rsidRPr="00143528" w:rsidRDefault="00143528" w:rsidP="00C11463">
      <w:pPr>
        <w:ind w:left="851"/>
        <w:rPr>
          <w:sz w:val="24"/>
          <w:szCs w:val="24"/>
        </w:rPr>
      </w:pPr>
      <w:r w:rsidRPr="00143528">
        <w:rPr>
          <w:sz w:val="24"/>
          <w:szCs w:val="24"/>
        </w:rPr>
        <w:t xml:space="preserve">Samtidig anvendelse af </w:t>
      </w:r>
      <w:proofErr w:type="spellStart"/>
      <w:r w:rsidRPr="00143528">
        <w:rPr>
          <w:sz w:val="24"/>
          <w:szCs w:val="24"/>
        </w:rPr>
        <w:t>palbociclib</w:t>
      </w:r>
      <w:proofErr w:type="spellEnd"/>
      <w:r w:rsidRPr="00143528">
        <w:rPr>
          <w:sz w:val="24"/>
          <w:szCs w:val="24"/>
        </w:rPr>
        <w:t xml:space="preserve"> og </w:t>
      </w:r>
      <w:proofErr w:type="spellStart"/>
      <w:r w:rsidRPr="00143528">
        <w:rPr>
          <w:sz w:val="24"/>
          <w:szCs w:val="24"/>
        </w:rPr>
        <w:t>statiner</w:t>
      </w:r>
      <w:proofErr w:type="spellEnd"/>
      <w:r w:rsidRPr="00143528">
        <w:rPr>
          <w:sz w:val="24"/>
          <w:szCs w:val="24"/>
        </w:rPr>
        <w:t xml:space="preserve">, som er substrater for CYP3A4 og/eller BCRP, kan øge risikoen for </w:t>
      </w:r>
      <w:proofErr w:type="spellStart"/>
      <w:r w:rsidRPr="00143528">
        <w:rPr>
          <w:sz w:val="24"/>
          <w:szCs w:val="24"/>
        </w:rPr>
        <w:t>rhabdomyolyse</w:t>
      </w:r>
      <w:proofErr w:type="spellEnd"/>
      <w:r w:rsidRPr="00143528">
        <w:rPr>
          <w:sz w:val="24"/>
          <w:szCs w:val="24"/>
        </w:rPr>
        <w:t xml:space="preserve"> som følge af forhøjede plasmakoncentrationer af </w:t>
      </w:r>
      <w:proofErr w:type="spellStart"/>
      <w:r w:rsidRPr="00143528">
        <w:rPr>
          <w:sz w:val="24"/>
          <w:szCs w:val="24"/>
        </w:rPr>
        <w:t>statiner</w:t>
      </w:r>
      <w:proofErr w:type="spellEnd"/>
      <w:r w:rsidRPr="00143528">
        <w:rPr>
          <w:sz w:val="24"/>
          <w:szCs w:val="24"/>
        </w:rPr>
        <w:t xml:space="preserve">. Der er blevet rapporteret om tilfælde af </w:t>
      </w:r>
      <w:proofErr w:type="spellStart"/>
      <w:r w:rsidRPr="00143528">
        <w:rPr>
          <w:sz w:val="24"/>
          <w:szCs w:val="24"/>
        </w:rPr>
        <w:t>rhabdomyolyse</w:t>
      </w:r>
      <w:proofErr w:type="spellEnd"/>
      <w:r w:rsidRPr="00143528">
        <w:rPr>
          <w:sz w:val="24"/>
          <w:szCs w:val="24"/>
        </w:rPr>
        <w:t xml:space="preserve">, herunder med tilfælde dødelig udgang, efter samtidig administration af </w:t>
      </w:r>
      <w:proofErr w:type="spellStart"/>
      <w:r w:rsidRPr="00143528">
        <w:rPr>
          <w:sz w:val="24"/>
          <w:szCs w:val="24"/>
        </w:rPr>
        <w:t>palbociclib</w:t>
      </w:r>
      <w:proofErr w:type="spellEnd"/>
      <w:r w:rsidRPr="00143528">
        <w:rPr>
          <w:sz w:val="24"/>
          <w:szCs w:val="24"/>
        </w:rPr>
        <w:t xml:space="preserve"> og </w:t>
      </w:r>
      <w:proofErr w:type="spellStart"/>
      <w:r w:rsidRPr="00143528">
        <w:rPr>
          <w:sz w:val="24"/>
          <w:szCs w:val="24"/>
        </w:rPr>
        <w:t>simvastatin</w:t>
      </w:r>
      <w:proofErr w:type="spellEnd"/>
      <w:r w:rsidRPr="00143528">
        <w:rPr>
          <w:sz w:val="24"/>
          <w:szCs w:val="24"/>
        </w:rPr>
        <w:t xml:space="preserve"> eller </w:t>
      </w:r>
      <w:proofErr w:type="spellStart"/>
      <w:r w:rsidRPr="00143528">
        <w:rPr>
          <w:sz w:val="24"/>
          <w:szCs w:val="24"/>
        </w:rPr>
        <w:t>atorvastatin</w:t>
      </w:r>
      <w:proofErr w:type="spellEnd"/>
      <w:r w:rsidRPr="00143528">
        <w:rPr>
          <w:sz w:val="24"/>
          <w:szCs w:val="24"/>
        </w:rPr>
        <w:t>.</w:t>
      </w:r>
    </w:p>
    <w:p w14:paraId="3B4759E7" w14:textId="77777777" w:rsidR="009260DE" w:rsidRPr="00D33C41" w:rsidRDefault="009260DE" w:rsidP="009260DE">
      <w:pPr>
        <w:tabs>
          <w:tab w:val="left" w:pos="851"/>
        </w:tabs>
        <w:ind w:left="851"/>
        <w:rPr>
          <w:sz w:val="24"/>
          <w:szCs w:val="24"/>
        </w:rPr>
      </w:pPr>
    </w:p>
    <w:p w14:paraId="3B50C1E5" w14:textId="77777777" w:rsidR="009260DE" w:rsidRPr="00D33C41" w:rsidRDefault="009260DE" w:rsidP="009260DE">
      <w:pPr>
        <w:tabs>
          <w:tab w:val="left" w:pos="851"/>
        </w:tabs>
        <w:ind w:left="851" w:hanging="851"/>
        <w:rPr>
          <w:b/>
          <w:sz w:val="24"/>
          <w:szCs w:val="24"/>
        </w:rPr>
      </w:pPr>
      <w:r w:rsidRPr="00D33C41">
        <w:rPr>
          <w:b/>
          <w:sz w:val="24"/>
          <w:szCs w:val="24"/>
        </w:rPr>
        <w:t>4.6</w:t>
      </w:r>
      <w:r w:rsidRPr="00D33C41">
        <w:rPr>
          <w:b/>
          <w:sz w:val="24"/>
          <w:szCs w:val="24"/>
        </w:rPr>
        <w:tab/>
      </w:r>
      <w:r w:rsidR="0071241E" w:rsidRPr="00D33C41">
        <w:rPr>
          <w:b/>
          <w:sz w:val="24"/>
          <w:szCs w:val="24"/>
        </w:rPr>
        <w:t>Fertilitet, g</w:t>
      </w:r>
      <w:r w:rsidRPr="00D33C41">
        <w:rPr>
          <w:b/>
          <w:sz w:val="24"/>
          <w:szCs w:val="24"/>
        </w:rPr>
        <w:t>raviditet og amning</w:t>
      </w:r>
    </w:p>
    <w:p w14:paraId="00185058" w14:textId="77777777" w:rsidR="00BF2DF3" w:rsidRDefault="00BF2DF3" w:rsidP="00C11463">
      <w:pPr>
        <w:ind w:left="851"/>
        <w:rPr>
          <w:sz w:val="24"/>
          <w:szCs w:val="24"/>
          <w:u w:val="single"/>
        </w:rPr>
      </w:pPr>
    </w:p>
    <w:p w14:paraId="5CEAADC7" w14:textId="724C9C62" w:rsidR="00143528" w:rsidRPr="00143528" w:rsidRDefault="00143528" w:rsidP="00C11463">
      <w:pPr>
        <w:ind w:left="851"/>
        <w:rPr>
          <w:sz w:val="24"/>
          <w:szCs w:val="24"/>
          <w:u w:val="single"/>
        </w:rPr>
      </w:pPr>
      <w:r w:rsidRPr="00143528">
        <w:rPr>
          <w:sz w:val="24"/>
          <w:szCs w:val="24"/>
          <w:u w:val="single"/>
        </w:rPr>
        <w:t>Kvinder i den fertile alder/prævention hos mænd og kvinder</w:t>
      </w:r>
    </w:p>
    <w:p w14:paraId="32198E80" w14:textId="4980B8BB" w:rsidR="00143528" w:rsidRPr="00143528" w:rsidRDefault="00143528" w:rsidP="00C11463">
      <w:pPr>
        <w:ind w:left="851"/>
        <w:rPr>
          <w:sz w:val="24"/>
          <w:szCs w:val="24"/>
        </w:rPr>
      </w:pPr>
      <w:r w:rsidRPr="00143528">
        <w:rPr>
          <w:sz w:val="24"/>
          <w:szCs w:val="24"/>
        </w:rPr>
        <w:t>Kvinder i den fertile alder, som får dette lægemiddel, eller deres mandlige partnere, skal anvende en sikker præventionsmetode (</w:t>
      </w:r>
      <w:r w:rsidR="00BF2DF3">
        <w:rPr>
          <w:sz w:val="24"/>
          <w:szCs w:val="24"/>
        </w:rPr>
        <w:t>f.eks.</w:t>
      </w:r>
      <w:r w:rsidRPr="00143528">
        <w:rPr>
          <w:sz w:val="24"/>
          <w:szCs w:val="24"/>
        </w:rPr>
        <w:t xml:space="preserve"> dobbelt barriere) under behandlingen og i mindst 3 uger eller 14 uger efter endt behandling for henholdsvis kvinder og mænd (se pkt. 4.5).</w:t>
      </w:r>
    </w:p>
    <w:p w14:paraId="197C8ADC" w14:textId="77777777" w:rsidR="00143528" w:rsidRPr="00143528" w:rsidRDefault="00143528" w:rsidP="00C11463">
      <w:pPr>
        <w:ind w:left="851"/>
        <w:rPr>
          <w:iCs/>
          <w:sz w:val="24"/>
          <w:szCs w:val="24"/>
        </w:rPr>
      </w:pPr>
    </w:p>
    <w:p w14:paraId="59E7E2E7" w14:textId="77777777" w:rsidR="00143528" w:rsidRPr="00143528" w:rsidRDefault="00143528" w:rsidP="00C11463">
      <w:pPr>
        <w:ind w:left="851"/>
        <w:rPr>
          <w:sz w:val="24"/>
          <w:szCs w:val="24"/>
          <w:u w:val="single"/>
        </w:rPr>
      </w:pPr>
      <w:r w:rsidRPr="00143528">
        <w:rPr>
          <w:sz w:val="24"/>
          <w:szCs w:val="24"/>
          <w:u w:val="single"/>
        </w:rPr>
        <w:t>Graviditet</w:t>
      </w:r>
    </w:p>
    <w:p w14:paraId="2FF88E9C" w14:textId="77777777" w:rsidR="00143528" w:rsidRPr="00143528" w:rsidRDefault="00143528" w:rsidP="00C11463">
      <w:pPr>
        <w:ind w:left="851"/>
        <w:rPr>
          <w:sz w:val="24"/>
          <w:szCs w:val="24"/>
        </w:rPr>
      </w:pPr>
      <w:r w:rsidRPr="00143528">
        <w:rPr>
          <w:sz w:val="24"/>
          <w:szCs w:val="24"/>
        </w:rPr>
        <w:t xml:space="preserve">Der er ingen eller utilstrækkelige data fra anvendelse af </w:t>
      </w:r>
      <w:proofErr w:type="spellStart"/>
      <w:r w:rsidRPr="00143528">
        <w:rPr>
          <w:sz w:val="24"/>
          <w:szCs w:val="24"/>
        </w:rPr>
        <w:t>palbociclib</w:t>
      </w:r>
      <w:proofErr w:type="spellEnd"/>
      <w:r w:rsidRPr="00143528">
        <w:rPr>
          <w:sz w:val="24"/>
          <w:szCs w:val="24"/>
        </w:rPr>
        <w:t xml:space="preserve"> til gravide kvinder. Dyreforsøg har påvist reproduktionstoksicitet (se pkt. 5.3). </w:t>
      </w:r>
      <w:proofErr w:type="spellStart"/>
      <w:r w:rsidRPr="00143528">
        <w:rPr>
          <w:sz w:val="24"/>
          <w:szCs w:val="24"/>
        </w:rPr>
        <w:t>Palbociclib</w:t>
      </w:r>
      <w:proofErr w:type="spellEnd"/>
      <w:r w:rsidRPr="00143528">
        <w:rPr>
          <w:sz w:val="24"/>
          <w:szCs w:val="24"/>
        </w:rPr>
        <w:t xml:space="preserve"> bør ikke anvendes under graviditet eller til kvinder i den fertile alder, som ikke anvender sikker </w:t>
      </w:r>
      <w:proofErr w:type="spellStart"/>
      <w:r w:rsidRPr="00143528">
        <w:rPr>
          <w:sz w:val="24"/>
          <w:szCs w:val="24"/>
        </w:rPr>
        <w:t>kontraception</w:t>
      </w:r>
      <w:proofErr w:type="spellEnd"/>
      <w:r w:rsidRPr="00143528">
        <w:rPr>
          <w:sz w:val="24"/>
          <w:szCs w:val="24"/>
        </w:rPr>
        <w:t>.</w:t>
      </w:r>
    </w:p>
    <w:p w14:paraId="6D83D694" w14:textId="77777777" w:rsidR="00143528" w:rsidRPr="00143528" w:rsidRDefault="00143528" w:rsidP="00C11463">
      <w:pPr>
        <w:ind w:left="851"/>
        <w:rPr>
          <w:iCs/>
          <w:sz w:val="24"/>
          <w:szCs w:val="24"/>
        </w:rPr>
      </w:pPr>
    </w:p>
    <w:p w14:paraId="75CBD8C9" w14:textId="77777777" w:rsidR="00143528" w:rsidRPr="00143528" w:rsidRDefault="00143528" w:rsidP="00C11463">
      <w:pPr>
        <w:ind w:left="851"/>
        <w:rPr>
          <w:sz w:val="24"/>
          <w:szCs w:val="24"/>
          <w:u w:val="single"/>
        </w:rPr>
      </w:pPr>
      <w:r w:rsidRPr="00143528">
        <w:rPr>
          <w:sz w:val="24"/>
          <w:szCs w:val="24"/>
          <w:u w:val="single"/>
        </w:rPr>
        <w:t>Amning</w:t>
      </w:r>
    </w:p>
    <w:p w14:paraId="28487BF3" w14:textId="77777777" w:rsidR="00143528" w:rsidRPr="00143528" w:rsidRDefault="00143528" w:rsidP="00C11463">
      <w:pPr>
        <w:ind w:left="851"/>
        <w:rPr>
          <w:sz w:val="24"/>
          <w:szCs w:val="24"/>
        </w:rPr>
      </w:pPr>
      <w:r w:rsidRPr="00143528">
        <w:rPr>
          <w:sz w:val="24"/>
          <w:szCs w:val="24"/>
        </w:rPr>
        <w:t xml:space="preserve">Der er ikke udført studier med mennesker eller dyr med henblik på at vurdere </w:t>
      </w:r>
      <w:proofErr w:type="spellStart"/>
      <w:r w:rsidRPr="00143528">
        <w:rPr>
          <w:sz w:val="24"/>
          <w:szCs w:val="24"/>
        </w:rPr>
        <w:t>palbociclibs</w:t>
      </w:r>
      <w:proofErr w:type="spellEnd"/>
      <w:r w:rsidRPr="00143528">
        <w:rPr>
          <w:sz w:val="24"/>
          <w:szCs w:val="24"/>
        </w:rPr>
        <w:t xml:space="preserve"> indvirkning på mælkeproduktion, dets tilstedeværelse i human mælk eller virkning på det ammede barn. Det er ukendt, om </w:t>
      </w:r>
      <w:proofErr w:type="spellStart"/>
      <w:r w:rsidRPr="00143528">
        <w:rPr>
          <w:sz w:val="24"/>
          <w:szCs w:val="24"/>
        </w:rPr>
        <w:t>palbociclib</w:t>
      </w:r>
      <w:proofErr w:type="spellEnd"/>
      <w:r w:rsidRPr="00143528">
        <w:rPr>
          <w:sz w:val="24"/>
          <w:szCs w:val="24"/>
        </w:rPr>
        <w:t xml:space="preserve"> udskilles i human mælk. Patienter, der får </w:t>
      </w:r>
      <w:proofErr w:type="spellStart"/>
      <w:r w:rsidRPr="00143528">
        <w:rPr>
          <w:sz w:val="24"/>
          <w:szCs w:val="24"/>
        </w:rPr>
        <w:t>palbociclib</w:t>
      </w:r>
      <w:proofErr w:type="spellEnd"/>
      <w:r w:rsidRPr="00143528">
        <w:rPr>
          <w:sz w:val="24"/>
          <w:szCs w:val="24"/>
        </w:rPr>
        <w:t>, bør ikke amme.</w:t>
      </w:r>
    </w:p>
    <w:p w14:paraId="7FC7E686" w14:textId="77777777" w:rsidR="00143528" w:rsidRPr="00143528" w:rsidRDefault="00143528" w:rsidP="00C11463">
      <w:pPr>
        <w:ind w:left="851"/>
        <w:rPr>
          <w:iCs/>
          <w:sz w:val="24"/>
          <w:szCs w:val="24"/>
        </w:rPr>
      </w:pPr>
    </w:p>
    <w:p w14:paraId="32E3AD4C" w14:textId="77777777" w:rsidR="00143528" w:rsidRPr="00143528" w:rsidRDefault="00143528" w:rsidP="00C11463">
      <w:pPr>
        <w:ind w:left="851"/>
        <w:rPr>
          <w:sz w:val="24"/>
          <w:szCs w:val="24"/>
          <w:u w:val="single"/>
        </w:rPr>
      </w:pPr>
      <w:r w:rsidRPr="00143528">
        <w:rPr>
          <w:sz w:val="24"/>
          <w:szCs w:val="24"/>
          <w:u w:val="single"/>
        </w:rPr>
        <w:t>Fertilitet</w:t>
      </w:r>
    </w:p>
    <w:p w14:paraId="637C17F2" w14:textId="0D1F82C8" w:rsidR="00143528" w:rsidRPr="00143528" w:rsidRDefault="00143528" w:rsidP="00C11463">
      <w:pPr>
        <w:ind w:left="851"/>
        <w:rPr>
          <w:sz w:val="24"/>
          <w:szCs w:val="24"/>
        </w:rPr>
      </w:pPr>
      <w:r w:rsidRPr="00143528">
        <w:rPr>
          <w:sz w:val="24"/>
          <w:szCs w:val="24"/>
        </w:rPr>
        <w:t xml:space="preserve">Der var ingen indvirkning på brunstcyklus (hunrotter) eller parring og fertilitet hos rotter (han- og hunrotter) i ikke-kliniske reproduktionsstudier, men der er ikke tilgængelige fertilitetsdata for mennesker. Baseret på fund i hanlige reproduktionsorganer (degeneration af </w:t>
      </w:r>
      <w:proofErr w:type="spellStart"/>
      <w:r w:rsidRPr="00143528">
        <w:rPr>
          <w:sz w:val="24"/>
          <w:szCs w:val="24"/>
        </w:rPr>
        <w:t>tubuli</w:t>
      </w:r>
      <w:proofErr w:type="spellEnd"/>
      <w:r w:rsidRPr="00143528">
        <w:rPr>
          <w:sz w:val="24"/>
          <w:szCs w:val="24"/>
        </w:rPr>
        <w:t xml:space="preserve"> </w:t>
      </w:r>
      <w:proofErr w:type="spellStart"/>
      <w:r w:rsidRPr="00143528">
        <w:rPr>
          <w:sz w:val="24"/>
          <w:szCs w:val="24"/>
        </w:rPr>
        <w:t>seminiferi</w:t>
      </w:r>
      <w:proofErr w:type="spellEnd"/>
      <w:r w:rsidRPr="00143528">
        <w:rPr>
          <w:sz w:val="24"/>
          <w:szCs w:val="24"/>
        </w:rPr>
        <w:t xml:space="preserve"> i testes, </w:t>
      </w:r>
      <w:proofErr w:type="spellStart"/>
      <w:r w:rsidRPr="00143528">
        <w:rPr>
          <w:sz w:val="24"/>
          <w:szCs w:val="24"/>
        </w:rPr>
        <w:t>epidymal</w:t>
      </w:r>
      <w:proofErr w:type="spellEnd"/>
      <w:r w:rsidRPr="00143528">
        <w:rPr>
          <w:sz w:val="24"/>
          <w:szCs w:val="24"/>
        </w:rPr>
        <w:t xml:space="preserve"> </w:t>
      </w:r>
      <w:proofErr w:type="spellStart"/>
      <w:r w:rsidRPr="00143528">
        <w:rPr>
          <w:sz w:val="24"/>
          <w:szCs w:val="24"/>
        </w:rPr>
        <w:t>hypospermi</w:t>
      </w:r>
      <w:proofErr w:type="spellEnd"/>
      <w:r w:rsidRPr="00143528">
        <w:rPr>
          <w:sz w:val="24"/>
          <w:szCs w:val="24"/>
        </w:rPr>
        <w:t xml:space="preserve">, nedsat </w:t>
      </w:r>
      <w:proofErr w:type="spellStart"/>
      <w:r w:rsidRPr="00143528">
        <w:rPr>
          <w:sz w:val="24"/>
          <w:szCs w:val="24"/>
        </w:rPr>
        <w:t>spermmotilitet</w:t>
      </w:r>
      <w:proofErr w:type="spellEnd"/>
      <w:r w:rsidRPr="00143528">
        <w:rPr>
          <w:sz w:val="24"/>
          <w:szCs w:val="24"/>
        </w:rPr>
        <w:t xml:space="preserve"> og -tæthed og nedsat prostatasekretion) i ikke-kliniske sikkerhedsstudier, kan mandlig fertilitet blive kompromitteret ved behandling med </w:t>
      </w:r>
      <w:proofErr w:type="spellStart"/>
      <w:r w:rsidRPr="00143528">
        <w:rPr>
          <w:sz w:val="24"/>
          <w:szCs w:val="24"/>
        </w:rPr>
        <w:t>palbociclib</w:t>
      </w:r>
      <w:proofErr w:type="spellEnd"/>
      <w:r w:rsidRPr="00143528">
        <w:rPr>
          <w:sz w:val="24"/>
          <w:szCs w:val="24"/>
        </w:rPr>
        <w:t xml:space="preserve"> (se pkt. 5.3). Mænd bør derfor overveje sæddeponering før start af behandling med </w:t>
      </w:r>
      <w:proofErr w:type="spellStart"/>
      <w:r w:rsidR="00BF2DF3">
        <w:rPr>
          <w:sz w:val="24"/>
          <w:szCs w:val="24"/>
        </w:rPr>
        <w:t>p</w:t>
      </w:r>
      <w:r w:rsidRPr="00143528">
        <w:rPr>
          <w:sz w:val="24"/>
          <w:szCs w:val="24"/>
        </w:rPr>
        <w:t>albociclib</w:t>
      </w:r>
      <w:proofErr w:type="spellEnd"/>
      <w:r w:rsidRPr="00143528">
        <w:rPr>
          <w:sz w:val="24"/>
          <w:szCs w:val="24"/>
        </w:rPr>
        <w:t>.</w:t>
      </w:r>
    </w:p>
    <w:p w14:paraId="284C910D" w14:textId="77777777" w:rsidR="009260DE" w:rsidRPr="00D33C41" w:rsidRDefault="009260DE" w:rsidP="009260DE">
      <w:pPr>
        <w:tabs>
          <w:tab w:val="left" w:pos="851"/>
        </w:tabs>
        <w:ind w:left="851"/>
        <w:rPr>
          <w:sz w:val="24"/>
          <w:szCs w:val="24"/>
        </w:rPr>
      </w:pPr>
    </w:p>
    <w:p w14:paraId="1C655DFE" w14:textId="77777777" w:rsidR="009260DE" w:rsidRPr="00D33C41" w:rsidRDefault="009260DE" w:rsidP="009260DE">
      <w:pPr>
        <w:tabs>
          <w:tab w:val="left" w:pos="851"/>
        </w:tabs>
        <w:ind w:left="851" w:hanging="851"/>
        <w:rPr>
          <w:b/>
          <w:sz w:val="24"/>
          <w:szCs w:val="24"/>
        </w:rPr>
      </w:pPr>
      <w:r w:rsidRPr="00D33C41">
        <w:rPr>
          <w:b/>
          <w:sz w:val="24"/>
          <w:szCs w:val="24"/>
        </w:rPr>
        <w:t>4.7</w:t>
      </w:r>
      <w:r w:rsidRPr="00D33C41">
        <w:rPr>
          <w:b/>
          <w:sz w:val="24"/>
          <w:szCs w:val="24"/>
        </w:rPr>
        <w:tab/>
        <w:t xml:space="preserve">Virkning på evnen til at føre motorkøretøj </w:t>
      </w:r>
      <w:r w:rsidR="0071241E" w:rsidRPr="00D33C41">
        <w:rPr>
          <w:b/>
          <w:sz w:val="24"/>
          <w:szCs w:val="24"/>
        </w:rPr>
        <w:t>og</w:t>
      </w:r>
      <w:r w:rsidRPr="00D33C41">
        <w:rPr>
          <w:b/>
          <w:sz w:val="24"/>
          <w:szCs w:val="24"/>
        </w:rPr>
        <w:t xml:space="preserve"> betjene maskiner</w:t>
      </w:r>
    </w:p>
    <w:p w14:paraId="003F2B7E" w14:textId="77777777" w:rsidR="00BF2DF3" w:rsidRDefault="00BF2DF3" w:rsidP="00C11463">
      <w:pPr>
        <w:ind w:left="851"/>
        <w:rPr>
          <w:sz w:val="24"/>
          <w:szCs w:val="24"/>
        </w:rPr>
      </w:pPr>
      <w:r>
        <w:rPr>
          <w:sz w:val="24"/>
          <w:szCs w:val="24"/>
        </w:rPr>
        <w:t>Ikke mærkning.</w:t>
      </w:r>
    </w:p>
    <w:p w14:paraId="4E81717C" w14:textId="20B5F9DC" w:rsidR="00143528" w:rsidRPr="00143528" w:rsidRDefault="00143528" w:rsidP="00C11463">
      <w:pPr>
        <w:ind w:left="851"/>
        <w:rPr>
          <w:sz w:val="24"/>
          <w:szCs w:val="24"/>
        </w:rPr>
      </w:pP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påvirker i mindre grad evnen til at føre motorkøretøj og betjene maskiner. </w:t>
      </w:r>
      <w:proofErr w:type="spellStart"/>
      <w:r w:rsidRPr="00143528">
        <w:rPr>
          <w:sz w:val="24"/>
          <w:szCs w:val="24"/>
        </w:rPr>
        <w:t>Palbociclib</w:t>
      </w:r>
      <w:proofErr w:type="spellEnd"/>
      <w:r w:rsidRPr="00143528">
        <w:rPr>
          <w:sz w:val="24"/>
          <w:szCs w:val="24"/>
        </w:rPr>
        <w:t xml:space="preserve"> </w:t>
      </w:r>
      <w:r w:rsidR="009906AA">
        <w:rPr>
          <w:sz w:val="24"/>
          <w:szCs w:val="24"/>
        </w:rPr>
        <w:t>"</w:t>
      </w:r>
      <w:proofErr w:type="spellStart"/>
      <w:r w:rsidR="009906AA">
        <w:rPr>
          <w:sz w:val="24"/>
          <w:szCs w:val="24"/>
        </w:rPr>
        <w:t>Newbury</w:t>
      </w:r>
      <w:proofErr w:type="spellEnd"/>
      <w:r w:rsidR="009906AA">
        <w:rPr>
          <w:sz w:val="24"/>
          <w:szCs w:val="24"/>
        </w:rPr>
        <w:t>"</w:t>
      </w:r>
      <w:r w:rsidRPr="00143528">
        <w:rPr>
          <w:sz w:val="24"/>
          <w:szCs w:val="24"/>
        </w:rPr>
        <w:t xml:space="preserve"> kan dog forårsage træthed, og patienter bør udvise forsigtighed ved kørsel af motorkøretøj eller betjening af maskiner.</w:t>
      </w:r>
    </w:p>
    <w:p w14:paraId="0978172D" w14:textId="77777777" w:rsidR="009260DE" w:rsidRPr="00D33C41" w:rsidRDefault="009260DE" w:rsidP="009260DE">
      <w:pPr>
        <w:tabs>
          <w:tab w:val="left" w:pos="851"/>
        </w:tabs>
        <w:ind w:left="851"/>
        <w:rPr>
          <w:sz w:val="24"/>
          <w:szCs w:val="24"/>
        </w:rPr>
      </w:pPr>
    </w:p>
    <w:p w14:paraId="5F1DD0DE" w14:textId="77777777" w:rsidR="009260DE" w:rsidRPr="00D33C41" w:rsidRDefault="009260DE" w:rsidP="009260DE">
      <w:pPr>
        <w:tabs>
          <w:tab w:val="left" w:pos="851"/>
        </w:tabs>
        <w:ind w:left="851" w:hanging="851"/>
        <w:rPr>
          <w:b/>
          <w:sz w:val="24"/>
          <w:szCs w:val="24"/>
        </w:rPr>
      </w:pPr>
      <w:r w:rsidRPr="00D33C41">
        <w:rPr>
          <w:b/>
          <w:sz w:val="24"/>
          <w:szCs w:val="24"/>
        </w:rPr>
        <w:t>4.8</w:t>
      </w:r>
      <w:r w:rsidRPr="00D33C41">
        <w:rPr>
          <w:b/>
          <w:sz w:val="24"/>
          <w:szCs w:val="24"/>
        </w:rPr>
        <w:tab/>
        <w:t>Bivirkninger</w:t>
      </w:r>
    </w:p>
    <w:p w14:paraId="747EDD63" w14:textId="77777777" w:rsidR="00143528" w:rsidRPr="00143528" w:rsidRDefault="00143528" w:rsidP="00C11463">
      <w:pPr>
        <w:ind w:left="851"/>
        <w:rPr>
          <w:sz w:val="24"/>
          <w:szCs w:val="24"/>
        </w:rPr>
      </w:pPr>
    </w:p>
    <w:p w14:paraId="4200046B" w14:textId="77777777" w:rsidR="00143528" w:rsidRPr="00143528" w:rsidRDefault="00143528" w:rsidP="00C11463">
      <w:pPr>
        <w:ind w:left="851"/>
        <w:rPr>
          <w:sz w:val="24"/>
          <w:szCs w:val="24"/>
          <w:u w:val="single"/>
        </w:rPr>
      </w:pPr>
      <w:r w:rsidRPr="00143528">
        <w:rPr>
          <w:sz w:val="24"/>
          <w:szCs w:val="24"/>
          <w:u w:val="single"/>
        </w:rPr>
        <w:t>Opsummering af sikkerhedsprofilen</w:t>
      </w:r>
    </w:p>
    <w:p w14:paraId="15B6549D" w14:textId="77777777" w:rsidR="00143528" w:rsidRPr="00143528" w:rsidRDefault="00143528" w:rsidP="00C11463">
      <w:pPr>
        <w:ind w:left="851"/>
        <w:rPr>
          <w:sz w:val="24"/>
          <w:szCs w:val="24"/>
          <w:u w:val="single"/>
        </w:rPr>
      </w:pPr>
    </w:p>
    <w:p w14:paraId="0ED8D96A" w14:textId="77777777" w:rsidR="00143528" w:rsidRPr="00143528" w:rsidRDefault="00143528" w:rsidP="00C11463">
      <w:pPr>
        <w:ind w:left="851"/>
        <w:rPr>
          <w:sz w:val="24"/>
          <w:szCs w:val="24"/>
        </w:rPr>
      </w:pPr>
      <w:proofErr w:type="spellStart"/>
      <w:r w:rsidRPr="00143528">
        <w:rPr>
          <w:sz w:val="24"/>
          <w:szCs w:val="24"/>
        </w:rPr>
        <w:t>Palbociclibs</w:t>
      </w:r>
      <w:proofErr w:type="spellEnd"/>
      <w:r w:rsidRPr="00143528">
        <w:rPr>
          <w:sz w:val="24"/>
          <w:szCs w:val="24"/>
        </w:rPr>
        <w:t xml:space="preserve"> samlede sikkerhedsprofil er baseret på </w:t>
      </w:r>
      <w:proofErr w:type="spellStart"/>
      <w:r w:rsidRPr="00143528">
        <w:rPr>
          <w:sz w:val="24"/>
          <w:szCs w:val="24"/>
        </w:rPr>
        <w:t>puljede</w:t>
      </w:r>
      <w:proofErr w:type="spellEnd"/>
      <w:r w:rsidRPr="00143528">
        <w:rPr>
          <w:sz w:val="24"/>
          <w:szCs w:val="24"/>
        </w:rPr>
        <w:t xml:space="preserve"> data fra 872 patienter, som fik </w:t>
      </w:r>
      <w:proofErr w:type="spellStart"/>
      <w:r w:rsidRPr="00143528">
        <w:rPr>
          <w:sz w:val="24"/>
          <w:szCs w:val="24"/>
        </w:rPr>
        <w:t>palbociclib</w:t>
      </w:r>
      <w:proofErr w:type="spellEnd"/>
      <w:r w:rsidRPr="00143528">
        <w:rPr>
          <w:sz w:val="24"/>
          <w:szCs w:val="24"/>
        </w:rPr>
        <w:t xml:space="preserve"> i kombination med endokrin terapi (N=527 i kombination med </w:t>
      </w:r>
      <w:proofErr w:type="spellStart"/>
      <w:r w:rsidRPr="00143528">
        <w:rPr>
          <w:sz w:val="24"/>
          <w:szCs w:val="24"/>
        </w:rPr>
        <w:t>letrozol</w:t>
      </w:r>
      <w:proofErr w:type="spellEnd"/>
      <w:r w:rsidRPr="00143528">
        <w:rPr>
          <w:sz w:val="24"/>
          <w:szCs w:val="24"/>
        </w:rPr>
        <w:t xml:space="preserve"> og N=345 i kombination med </w:t>
      </w:r>
      <w:proofErr w:type="spellStart"/>
      <w:r w:rsidRPr="00143528">
        <w:rPr>
          <w:sz w:val="24"/>
          <w:szCs w:val="24"/>
        </w:rPr>
        <w:t>fulvestrant</w:t>
      </w:r>
      <w:proofErr w:type="spellEnd"/>
      <w:r w:rsidRPr="00143528">
        <w:rPr>
          <w:sz w:val="24"/>
          <w:szCs w:val="24"/>
        </w:rPr>
        <w:t>) i randomiserede kliniske studier hos patienter med HR-positiv, HER2-negativ fremskreden eller metastatisk brystkræft.</w:t>
      </w:r>
    </w:p>
    <w:p w14:paraId="30196AD6" w14:textId="77777777" w:rsidR="00143528" w:rsidRPr="00143528" w:rsidRDefault="00143528" w:rsidP="00C11463">
      <w:pPr>
        <w:ind w:left="851"/>
        <w:rPr>
          <w:sz w:val="24"/>
          <w:szCs w:val="24"/>
        </w:rPr>
      </w:pPr>
    </w:p>
    <w:p w14:paraId="5A24577A" w14:textId="1ECF3AC1" w:rsidR="00143528" w:rsidRPr="00143528" w:rsidRDefault="00143528" w:rsidP="00C11463">
      <w:pPr>
        <w:ind w:left="851"/>
        <w:rPr>
          <w:sz w:val="24"/>
          <w:szCs w:val="24"/>
        </w:rPr>
      </w:pPr>
      <w:r w:rsidRPr="00143528">
        <w:rPr>
          <w:sz w:val="24"/>
          <w:szCs w:val="24"/>
        </w:rPr>
        <w:t>De hyppigste (≥ 20</w:t>
      </w:r>
      <w:r w:rsidR="007A1C7E">
        <w:rPr>
          <w:sz w:val="24"/>
          <w:szCs w:val="24"/>
        </w:rPr>
        <w:t xml:space="preserve"> %</w:t>
      </w:r>
      <w:r w:rsidRPr="00143528">
        <w:rPr>
          <w:sz w:val="24"/>
          <w:szCs w:val="24"/>
        </w:rPr>
        <w:t xml:space="preserve">) bivirkninger af enhver grad, der er rapporteret hos patienter, som fik </w:t>
      </w:r>
      <w:proofErr w:type="spellStart"/>
      <w:r w:rsidRPr="00143528">
        <w:rPr>
          <w:sz w:val="24"/>
          <w:szCs w:val="24"/>
        </w:rPr>
        <w:t>palbociclib</w:t>
      </w:r>
      <w:proofErr w:type="spellEnd"/>
      <w:r w:rsidRPr="00143528">
        <w:rPr>
          <w:sz w:val="24"/>
          <w:szCs w:val="24"/>
        </w:rPr>
        <w:t xml:space="preserve"> i randomiserede kliniske studier, var </w:t>
      </w:r>
      <w:proofErr w:type="spellStart"/>
      <w:r w:rsidRPr="00143528">
        <w:rPr>
          <w:sz w:val="24"/>
          <w:szCs w:val="24"/>
        </w:rPr>
        <w:t>neutropeni</w:t>
      </w:r>
      <w:proofErr w:type="spellEnd"/>
      <w:r w:rsidRPr="00143528">
        <w:rPr>
          <w:sz w:val="24"/>
          <w:szCs w:val="24"/>
        </w:rPr>
        <w:t xml:space="preserve">, infektioner, </w:t>
      </w:r>
      <w:proofErr w:type="spellStart"/>
      <w:r w:rsidRPr="00143528">
        <w:rPr>
          <w:sz w:val="24"/>
          <w:szCs w:val="24"/>
        </w:rPr>
        <w:t>leukopeni</w:t>
      </w:r>
      <w:proofErr w:type="spellEnd"/>
      <w:r w:rsidRPr="00143528">
        <w:rPr>
          <w:sz w:val="24"/>
          <w:szCs w:val="24"/>
        </w:rPr>
        <w:t xml:space="preserve">, træthed, kvalme, </w:t>
      </w:r>
      <w:proofErr w:type="spellStart"/>
      <w:r w:rsidRPr="00143528">
        <w:rPr>
          <w:sz w:val="24"/>
          <w:szCs w:val="24"/>
        </w:rPr>
        <w:t>stomatitis</w:t>
      </w:r>
      <w:proofErr w:type="spellEnd"/>
      <w:r w:rsidRPr="00143528">
        <w:rPr>
          <w:sz w:val="24"/>
          <w:szCs w:val="24"/>
        </w:rPr>
        <w:t xml:space="preserve">, anæmi, diarré, </w:t>
      </w:r>
      <w:proofErr w:type="spellStart"/>
      <w:r w:rsidRPr="00143528">
        <w:rPr>
          <w:sz w:val="24"/>
          <w:szCs w:val="24"/>
        </w:rPr>
        <w:t>alopeci</w:t>
      </w:r>
      <w:proofErr w:type="spellEnd"/>
      <w:r w:rsidRPr="00143528">
        <w:rPr>
          <w:sz w:val="24"/>
          <w:szCs w:val="24"/>
        </w:rPr>
        <w:t xml:space="preserve"> og </w:t>
      </w:r>
      <w:proofErr w:type="spellStart"/>
      <w:r w:rsidRPr="00143528">
        <w:rPr>
          <w:sz w:val="24"/>
          <w:szCs w:val="24"/>
        </w:rPr>
        <w:t>trombocytopeni</w:t>
      </w:r>
      <w:proofErr w:type="spellEnd"/>
      <w:r w:rsidRPr="00143528">
        <w:rPr>
          <w:sz w:val="24"/>
          <w:szCs w:val="24"/>
        </w:rPr>
        <w:t>. De hyppigste (≥</w:t>
      </w:r>
      <w:r w:rsidR="007A1C7E">
        <w:rPr>
          <w:sz w:val="24"/>
          <w:szCs w:val="24"/>
        </w:rPr>
        <w:t> </w:t>
      </w:r>
      <w:r w:rsidRPr="00143528">
        <w:rPr>
          <w:sz w:val="24"/>
          <w:szCs w:val="24"/>
        </w:rPr>
        <w:t>2</w:t>
      </w:r>
      <w:r w:rsidR="007A1C7E">
        <w:rPr>
          <w:sz w:val="24"/>
          <w:szCs w:val="24"/>
        </w:rPr>
        <w:t> %</w:t>
      </w:r>
      <w:r w:rsidRPr="00143528">
        <w:rPr>
          <w:sz w:val="24"/>
          <w:szCs w:val="24"/>
        </w:rPr>
        <w:t xml:space="preserve">) bivirkninger grad ≥ 3 var </w:t>
      </w:r>
      <w:proofErr w:type="spellStart"/>
      <w:r w:rsidRPr="00143528">
        <w:rPr>
          <w:sz w:val="24"/>
          <w:szCs w:val="24"/>
        </w:rPr>
        <w:t>neutropeni</w:t>
      </w:r>
      <w:proofErr w:type="spellEnd"/>
      <w:r w:rsidRPr="00143528">
        <w:rPr>
          <w:sz w:val="24"/>
          <w:szCs w:val="24"/>
        </w:rPr>
        <w:t xml:space="preserve">, </w:t>
      </w:r>
      <w:proofErr w:type="spellStart"/>
      <w:r w:rsidRPr="00143528">
        <w:rPr>
          <w:sz w:val="24"/>
          <w:szCs w:val="24"/>
        </w:rPr>
        <w:t>leukopeni</w:t>
      </w:r>
      <w:proofErr w:type="spellEnd"/>
      <w:r w:rsidRPr="00143528">
        <w:rPr>
          <w:sz w:val="24"/>
          <w:szCs w:val="24"/>
        </w:rPr>
        <w:t xml:space="preserve">, infektioner, anæmi, forhøjet </w:t>
      </w:r>
      <w:proofErr w:type="spellStart"/>
      <w:r w:rsidRPr="00143528">
        <w:rPr>
          <w:sz w:val="24"/>
          <w:szCs w:val="24"/>
        </w:rPr>
        <w:t>aspartataminotransferase</w:t>
      </w:r>
      <w:proofErr w:type="spellEnd"/>
      <w:r w:rsidRPr="00143528">
        <w:rPr>
          <w:sz w:val="24"/>
          <w:szCs w:val="24"/>
        </w:rPr>
        <w:t xml:space="preserve"> (ASAT), træthed og forhøjet </w:t>
      </w:r>
      <w:proofErr w:type="spellStart"/>
      <w:r w:rsidRPr="00143528">
        <w:rPr>
          <w:sz w:val="24"/>
          <w:szCs w:val="24"/>
        </w:rPr>
        <w:t>alaninaminotransferase</w:t>
      </w:r>
      <w:proofErr w:type="spellEnd"/>
      <w:r w:rsidRPr="00143528">
        <w:rPr>
          <w:sz w:val="24"/>
          <w:szCs w:val="24"/>
        </w:rPr>
        <w:t xml:space="preserve"> (ALAT).</w:t>
      </w:r>
    </w:p>
    <w:p w14:paraId="3F3CC4F4" w14:textId="77777777" w:rsidR="00143528" w:rsidRPr="00143528" w:rsidRDefault="00143528" w:rsidP="00C11463">
      <w:pPr>
        <w:ind w:left="851"/>
        <w:rPr>
          <w:sz w:val="24"/>
          <w:szCs w:val="24"/>
        </w:rPr>
      </w:pPr>
    </w:p>
    <w:p w14:paraId="195C921F" w14:textId="61B21374" w:rsidR="00143528" w:rsidRPr="00143528" w:rsidRDefault="00143528" w:rsidP="00C11463">
      <w:pPr>
        <w:ind w:left="851"/>
        <w:rPr>
          <w:sz w:val="24"/>
          <w:szCs w:val="24"/>
        </w:rPr>
      </w:pPr>
      <w:r w:rsidRPr="00143528">
        <w:rPr>
          <w:sz w:val="24"/>
          <w:szCs w:val="24"/>
        </w:rPr>
        <w:t>Dosisnedsættelse eller doseringsændringer på grund af bivirkninger forekom hos 38,4</w:t>
      </w:r>
      <w:r w:rsidR="007A1C7E">
        <w:rPr>
          <w:sz w:val="24"/>
          <w:szCs w:val="24"/>
        </w:rPr>
        <w:t xml:space="preserve"> %</w:t>
      </w:r>
      <w:r w:rsidRPr="00143528">
        <w:rPr>
          <w:sz w:val="24"/>
          <w:szCs w:val="24"/>
        </w:rPr>
        <w:t xml:space="preserve"> af patienter, som fik </w:t>
      </w:r>
      <w:proofErr w:type="spellStart"/>
      <w:r w:rsidRPr="00143528">
        <w:rPr>
          <w:sz w:val="24"/>
          <w:szCs w:val="24"/>
        </w:rPr>
        <w:t>palbociclib</w:t>
      </w:r>
      <w:proofErr w:type="spellEnd"/>
      <w:r w:rsidRPr="00143528">
        <w:rPr>
          <w:sz w:val="24"/>
          <w:szCs w:val="24"/>
        </w:rPr>
        <w:t xml:space="preserve"> i randomiserede kliniske studier, uafhængigt af kombinationen. Permanent </w:t>
      </w:r>
      <w:proofErr w:type="spellStart"/>
      <w:r w:rsidRPr="00143528">
        <w:rPr>
          <w:sz w:val="24"/>
          <w:szCs w:val="24"/>
        </w:rPr>
        <w:t>seponering</w:t>
      </w:r>
      <w:proofErr w:type="spellEnd"/>
      <w:r w:rsidRPr="00143528">
        <w:rPr>
          <w:sz w:val="24"/>
          <w:szCs w:val="24"/>
        </w:rPr>
        <w:t xml:space="preserve"> grundet en bivirkning forekom, uafhængigt af kombinationen, hos 5,2</w:t>
      </w:r>
      <w:r w:rsidR="007A1C7E">
        <w:rPr>
          <w:sz w:val="24"/>
          <w:szCs w:val="24"/>
        </w:rPr>
        <w:t xml:space="preserve"> %</w:t>
      </w:r>
      <w:r w:rsidRPr="00143528">
        <w:rPr>
          <w:sz w:val="24"/>
          <w:szCs w:val="24"/>
        </w:rPr>
        <w:t xml:space="preserve"> af patienter, som fik </w:t>
      </w:r>
      <w:proofErr w:type="spellStart"/>
      <w:r w:rsidRPr="00143528">
        <w:rPr>
          <w:sz w:val="24"/>
          <w:szCs w:val="24"/>
        </w:rPr>
        <w:t>palbociclib</w:t>
      </w:r>
      <w:proofErr w:type="spellEnd"/>
      <w:r w:rsidRPr="00143528">
        <w:rPr>
          <w:sz w:val="24"/>
          <w:szCs w:val="24"/>
        </w:rPr>
        <w:t xml:space="preserve"> i randomiserede kliniske studier.</w:t>
      </w:r>
    </w:p>
    <w:p w14:paraId="0F5E5BB3" w14:textId="77777777" w:rsidR="00143528" w:rsidRPr="00143528" w:rsidRDefault="00143528" w:rsidP="00C11463">
      <w:pPr>
        <w:ind w:left="851"/>
        <w:rPr>
          <w:sz w:val="24"/>
          <w:szCs w:val="24"/>
        </w:rPr>
      </w:pPr>
    </w:p>
    <w:p w14:paraId="31F08A7D" w14:textId="77777777" w:rsidR="00143528" w:rsidRPr="00143528" w:rsidRDefault="00143528" w:rsidP="00C11463">
      <w:pPr>
        <w:ind w:left="851"/>
        <w:rPr>
          <w:sz w:val="24"/>
          <w:szCs w:val="24"/>
          <w:u w:val="single"/>
        </w:rPr>
      </w:pPr>
      <w:r w:rsidRPr="00143528">
        <w:rPr>
          <w:sz w:val="24"/>
          <w:szCs w:val="24"/>
          <w:u w:val="single"/>
        </w:rPr>
        <w:t>Skema over bivirkninger</w:t>
      </w:r>
    </w:p>
    <w:p w14:paraId="73FDBA8B" w14:textId="77777777" w:rsidR="00143528" w:rsidRPr="00143528" w:rsidRDefault="00143528" w:rsidP="00C11463">
      <w:pPr>
        <w:ind w:left="851"/>
        <w:rPr>
          <w:sz w:val="24"/>
          <w:szCs w:val="24"/>
          <w:u w:val="single"/>
        </w:rPr>
      </w:pPr>
    </w:p>
    <w:p w14:paraId="67EA5E3B" w14:textId="77777777" w:rsidR="00143528" w:rsidRPr="00143528" w:rsidRDefault="00143528" w:rsidP="00C11463">
      <w:pPr>
        <w:ind w:left="851"/>
        <w:rPr>
          <w:sz w:val="24"/>
          <w:szCs w:val="24"/>
        </w:rPr>
      </w:pPr>
      <w:r w:rsidRPr="00143528">
        <w:rPr>
          <w:sz w:val="24"/>
          <w:szCs w:val="24"/>
        </w:rPr>
        <w:t xml:space="preserve">Skema 4 viser bivirkningerne fra det </w:t>
      </w:r>
      <w:proofErr w:type="spellStart"/>
      <w:r w:rsidRPr="00143528">
        <w:rPr>
          <w:sz w:val="24"/>
          <w:szCs w:val="24"/>
        </w:rPr>
        <w:t>puljede</w:t>
      </w:r>
      <w:proofErr w:type="spellEnd"/>
      <w:r w:rsidRPr="00143528">
        <w:rPr>
          <w:sz w:val="24"/>
          <w:szCs w:val="24"/>
        </w:rPr>
        <w:t xml:space="preserve"> datasæt fra tre randomiserede studier. Den </w:t>
      </w:r>
      <w:proofErr w:type="spellStart"/>
      <w:r w:rsidRPr="00143528">
        <w:rPr>
          <w:sz w:val="24"/>
          <w:szCs w:val="24"/>
        </w:rPr>
        <w:t>mediane</w:t>
      </w:r>
      <w:proofErr w:type="spellEnd"/>
      <w:r w:rsidRPr="00143528">
        <w:rPr>
          <w:sz w:val="24"/>
          <w:szCs w:val="24"/>
        </w:rPr>
        <w:t xml:space="preserve"> behandlingsvarighed af </w:t>
      </w:r>
      <w:proofErr w:type="spellStart"/>
      <w:r w:rsidRPr="00143528">
        <w:rPr>
          <w:sz w:val="24"/>
          <w:szCs w:val="24"/>
        </w:rPr>
        <w:t>palbociclib</w:t>
      </w:r>
      <w:proofErr w:type="spellEnd"/>
      <w:r w:rsidRPr="00143528">
        <w:rPr>
          <w:sz w:val="24"/>
          <w:szCs w:val="24"/>
        </w:rPr>
        <w:t xml:space="preserve"> i alle </w:t>
      </w:r>
      <w:proofErr w:type="spellStart"/>
      <w:r w:rsidRPr="00143528">
        <w:rPr>
          <w:sz w:val="24"/>
          <w:szCs w:val="24"/>
        </w:rPr>
        <w:t>puljede</w:t>
      </w:r>
      <w:proofErr w:type="spellEnd"/>
      <w:r w:rsidRPr="00143528">
        <w:rPr>
          <w:sz w:val="24"/>
          <w:szCs w:val="24"/>
        </w:rPr>
        <w:t xml:space="preserve"> datasæt på tidspunktet for den endelige analyse af OS var 14,8 måneder.</w:t>
      </w:r>
    </w:p>
    <w:p w14:paraId="252DE177" w14:textId="77777777" w:rsidR="00143528" w:rsidRPr="00143528" w:rsidRDefault="00143528" w:rsidP="00C11463">
      <w:pPr>
        <w:ind w:left="851"/>
        <w:rPr>
          <w:sz w:val="24"/>
          <w:szCs w:val="24"/>
        </w:rPr>
      </w:pPr>
    </w:p>
    <w:p w14:paraId="6C2F5883" w14:textId="77777777" w:rsidR="00143528" w:rsidRPr="00143528" w:rsidRDefault="00143528" w:rsidP="00C11463">
      <w:pPr>
        <w:ind w:left="851"/>
        <w:rPr>
          <w:sz w:val="24"/>
          <w:szCs w:val="24"/>
        </w:rPr>
      </w:pPr>
      <w:r w:rsidRPr="00143528">
        <w:rPr>
          <w:sz w:val="24"/>
          <w:szCs w:val="24"/>
        </w:rPr>
        <w:t xml:space="preserve">Skema 5 viser de laboratorieafvigelser, der blev observeret i </w:t>
      </w:r>
      <w:proofErr w:type="spellStart"/>
      <w:r w:rsidRPr="00143528">
        <w:rPr>
          <w:sz w:val="24"/>
          <w:szCs w:val="24"/>
        </w:rPr>
        <w:t>puljede</w:t>
      </w:r>
      <w:proofErr w:type="spellEnd"/>
      <w:r w:rsidRPr="00143528">
        <w:rPr>
          <w:sz w:val="24"/>
          <w:szCs w:val="24"/>
        </w:rPr>
        <w:t xml:space="preserve"> datasæt fra 3 randomiserede studier.</w:t>
      </w:r>
    </w:p>
    <w:p w14:paraId="6F6381F6" w14:textId="77777777" w:rsidR="00143528" w:rsidRPr="00143528" w:rsidRDefault="00143528" w:rsidP="00C11463">
      <w:pPr>
        <w:ind w:left="851"/>
        <w:rPr>
          <w:sz w:val="24"/>
          <w:szCs w:val="24"/>
        </w:rPr>
      </w:pPr>
    </w:p>
    <w:p w14:paraId="577DBB9E" w14:textId="77777777" w:rsidR="00143528" w:rsidRPr="00143528" w:rsidRDefault="00143528" w:rsidP="00C11463">
      <w:pPr>
        <w:ind w:left="851"/>
        <w:rPr>
          <w:sz w:val="24"/>
          <w:szCs w:val="24"/>
        </w:rPr>
      </w:pPr>
      <w:r w:rsidRPr="00143528">
        <w:rPr>
          <w:sz w:val="24"/>
          <w:szCs w:val="24"/>
        </w:rPr>
        <w:t>Bivirkningerne er opstillet efter systemorganklasse og hyppighed. Hyppigheden er inddelt i følgende grupperinger: meget almindelig (≥ 1/10), almindelig (≥ 1/100 til &lt; 1/10) og ikke almindelig (≥ 1/1.000 til &lt; 1/100). Under de enkelte hyppigheder er de alvorligste bivirkninger nævnt først.</w:t>
      </w:r>
    </w:p>
    <w:p w14:paraId="0D9382FB" w14:textId="0F0DC287" w:rsidR="007A1C7E" w:rsidRDefault="007A1C7E">
      <w:pPr>
        <w:rPr>
          <w:sz w:val="24"/>
          <w:szCs w:val="24"/>
        </w:rPr>
      </w:pPr>
      <w:r>
        <w:rPr>
          <w:sz w:val="24"/>
          <w:szCs w:val="24"/>
        </w:rPr>
        <w:br w:type="page"/>
      </w:r>
    </w:p>
    <w:p w14:paraId="1DEC624D" w14:textId="77777777" w:rsidR="00143528" w:rsidRPr="00143528" w:rsidRDefault="00143528" w:rsidP="00C11463">
      <w:pPr>
        <w:ind w:left="851"/>
        <w:rPr>
          <w:sz w:val="24"/>
          <w:szCs w:val="24"/>
        </w:rPr>
      </w:pPr>
    </w:p>
    <w:p w14:paraId="002CBD2F" w14:textId="1371A5DA" w:rsidR="00143528" w:rsidRPr="00143528" w:rsidRDefault="00143528" w:rsidP="00C11463">
      <w:pPr>
        <w:rPr>
          <w:b/>
          <w:bCs/>
          <w:sz w:val="24"/>
          <w:szCs w:val="24"/>
          <w:lang w:val="sv-SE"/>
        </w:rPr>
      </w:pPr>
      <w:r w:rsidRPr="00143528">
        <w:rPr>
          <w:b/>
          <w:bCs/>
          <w:sz w:val="24"/>
          <w:szCs w:val="24"/>
        </w:rPr>
        <w:t>Skema 4.</w:t>
      </w:r>
      <w:r w:rsidR="00C11463" w:rsidRPr="00D33C41">
        <w:rPr>
          <w:b/>
          <w:bCs/>
          <w:sz w:val="24"/>
          <w:szCs w:val="24"/>
        </w:rPr>
        <w:t xml:space="preserve"> </w:t>
      </w:r>
      <w:r w:rsidRPr="00143528">
        <w:rPr>
          <w:b/>
          <w:bCs/>
          <w:sz w:val="24"/>
          <w:szCs w:val="24"/>
        </w:rPr>
        <w:t xml:space="preserve">Bivirkninger baseret på </w:t>
      </w:r>
      <w:proofErr w:type="spellStart"/>
      <w:r w:rsidRPr="00143528">
        <w:rPr>
          <w:b/>
          <w:bCs/>
          <w:sz w:val="24"/>
          <w:szCs w:val="24"/>
        </w:rPr>
        <w:t>puljede</w:t>
      </w:r>
      <w:proofErr w:type="spellEnd"/>
      <w:r w:rsidRPr="00143528">
        <w:rPr>
          <w:b/>
          <w:bCs/>
          <w:sz w:val="24"/>
          <w:szCs w:val="24"/>
        </w:rPr>
        <w:t xml:space="preserve"> datasæt fra 3 randomiserede studier (N=872)</w:t>
      </w:r>
      <w:r w:rsidR="00C11463" w:rsidRPr="00D33C41">
        <w:rPr>
          <w:b/>
          <w:bCs/>
          <w:sz w:val="24"/>
          <w:szCs w:val="24"/>
        </w:rPr>
        <w:t xml:space="preserve"> </w:t>
      </w:r>
      <w:r w:rsidRPr="00143528">
        <w:rPr>
          <w:b/>
          <w:bCs/>
          <w:sz w:val="24"/>
          <w:szCs w:val="24"/>
          <w:lang w:val="sv-SE"/>
        </w:rPr>
        <w:t xml:space="preserve">og </w:t>
      </w:r>
      <w:proofErr w:type="spellStart"/>
      <w:r w:rsidRPr="00143528">
        <w:rPr>
          <w:b/>
          <w:bCs/>
          <w:sz w:val="24"/>
          <w:szCs w:val="24"/>
          <w:lang w:val="sv-SE"/>
        </w:rPr>
        <w:t>erfaring</w:t>
      </w:r>
      <w:proofErr w:type="spellEnd"/>
      <w:r w:rsidRPr="00143528">
        <w:rPr>
          <w:b/>
          <w:bCs/>
          <w:sz w:val="24"/>
          <w:szCs w:val="24"/>
          <w:lang w:val="sv-SE"/>
        </w:rPr>
        <w:t xml:space="preserve"> efter </w:t>
      </w:r>
      <w:proofErr w:type="spellStart"/>
      <w:r w:rsidRPr="00143528">
        <w:rPr>
          <w:b/>
          <w:bCs/>
          <w:sz w:val="24"/>
          <w:szCs w:val="24"/>
          <w:lang w:val="sv-SE"/>
        </w:rPr>
        <w:t>markedsføring</w:t>
      </w:r>
      <w:proofErr w:type="spellEnd"/>
    </w:p>
    <w:tbl>
      <w:tblPr>
        <w:tblW w:w="5000" w:type="pct"/>
        <w:tblCellMar>
          <w:left w:w="10" w:type="dxa"/>
          <w:right w:w="10" w:type="dxa"/>
        </w:tblCellMar>
        <w:tblLook w:val="04A0" w:firstRow="1" w:lastRow="0" w:firstColumn="1" w:lastColumn="0" w:noHBand="0" w:noVBand="1"/>
      </w:tblPr>
      <w:tblGrid>
        <w:gridCol w:w="5018"/>
        <w:gridCol w:w="1221"/>
        <w:gridCol w:w="2085"/>
        <w:gridCol w:w="1304"/>
      </w:tblGrid>
      <w:tr w:rsidR="00143528" w:rsidRPr="00143528" w14:paraId="2433F87D" w14:textId="77777777" w:rsidTr="00C11463">
        <w:trPr>
          <w:trHeight w:val="701"/>
          <w:tblHeader/>
        </w:trPr>
        <w:tc>
          <w:tcPr>
            <w:tcW w:w="2606"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hideMark/>
          </w:tcPr>
          <w:p w14:paraId="4F627556" w14:textId="77777777" w:rsidR="00143528" w:rsidRPr="00143528" w:rsidRDefault="00143528" w:rsidP="00C11463">
            <w:pPr>
              <w:ind w:left="112"/>
              <w:rPr>
                <w:sz w:val="22"/>
                <w:szCs w:val="22"/>
                <w:lang w:val="en-GB"/>
              </w:rPr>
            </w:pPr>
            <w:proofErr w:type="spellStart"/>
            <w:r w:rsidRPr="00143528">
              <w:rPr>
                <w:b/>
                <w:sz w:val="22"/>
                <w:szCs w:val="22"/>
                <w:lang w:val="en-GB"/>
              </w:rPr>
              <w:t>Systemoganklasse</w:t>
            </w:r>
            <w:proofErr w:type="spellEnd"/>
          </w:p>
          <w:p w14:paraId="0F3C461A" w14:textId="2D8B074F" w:rsidR="00143528" w:rsidRPr="00BF2DF3" w:rsidRDefault="00143528" w:rsidP="00C11463">
            <w:pPr>
              <w:pStyle w:val="Listeafsnit"/>
              <w:numPr>
                <w:ilvl w:val="0"/>
                <w:numId w:val="10"/>
              </w:numPr>
              <w:ind w:left="477"/>
              <w:rPr>
                <w:sz w:val="22"/>
                <w:szCs w:val="22"/>
                <w:lang w:val="en-GB"/>
              </w:rPr>
            </w:pPr>
            <w:proofErr w:type="spellStart"/>
            <w:r w:rsidRPr="00BF2DF3">
              <w:rPr>
                <w:b/>
                <w:sz w:val="22"/>
                <w:szCs w:val="22"/>
                <w:lang w:val="en-GB"/>
              </w:rPr>
              <w:t>Hyppighed</w:t>
            </w:r>
            <w:proofErr w:type="spellEnd"/>
          </w:p>
          <w:p w14:paraId="165A1DDA" w14:textId="28C4BD54" w:rsidR="00143528" w:rsidRPr="00BF2DF3" w:rsidRDefault="00143528" w:rsidP="00C11463">
            <w:pPr>
              <w:pStyle w:val="Listeafsnit"/>
              <w:numPr>
                <w:ilvl w:val="0"/>
                <w:numId w:val="10"/>
              </w:numPr>
              <w:ind w:left="477"/>
              <w:rPr>
                <w:sz w:val="22"/>
                <w:szCs w:val="22"/>
                <w:lang w:val="en-GB"/>
              </w:rPr>
            </w:pPr>
            <w:proofErr w:type="spellStart"/>
            <w:r w:rsidRPr="00BF2DF3">
              <w:rPr>
                <w:b/>
                <w:sz w:val="22"/>
                <w:szCs w:val="22"/>
                <w:lang w:val="en-GB"/>
              </w:rPr>
              <w:t>Foretrukken</w:t>
            </w:r>
            <w:proofErr w:type="spellEnd"/>
            <w:r w:rsidRPr="00BF2DF3">
              <w:rPr>
                <w:b/>
                <w:sz w:val="22"/>
                <w:szCs w:val="22"/>
                <w:lang w:val="en-GB"/>
              </w:rPr>
              <w:t xml:space="preserve"> </w:t>
            </w:r>
            <w:proofErr w:type="spellStart"/>
            <w:r w:rsidRPr="00BF2DF3">
              <w:rPr>
                <w:b/>
                <w:sz w:val="22"/>
                <w:szCs w:val="22"/>
                <w:lang w:val="en-GB"/>
              </w:rPr>
              <w:t>term</w:t>
            </w:r>
            <w:r w:rsidRPr="00BF2DF3">
              <w:rPr>
                <w:b/>
                <w:sz w:val="22"/>
                <w:szCs w:val="22"/>
                <w:vertAlign w:val="superscript"/>
                <w:lang w:val="en-GB"/>
              </w:rPr>
              <w:t>a</w:t>
            </w:r>
            <w:proofErr w:type="spellEnd"/>
            <w:r w:rsidRPr="00BF2DF3">
              <w:rPr>
                <w:b/>
                <w:sz w:val="22"/>
                <w:szCs w:val="22"/>
                <w:lang w:val="en-GB"/>
              </w:rPr>
              <w:t xml:space="preserve"> </w:t>
            </w:r>
          </w:p>
        </w:tc>
        <w:tc>
          <w:tcPr>
            <w:tcW w:w="634"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hideMark/>
          </w:tcPr>
          <w:p w14:paraId="6D542D5E" w14:textId="77777777" w:rsidR="007A1C7E" w:rsidRDefault="00143528" w:rsidP="00C11463">
            <w:pPr>
              <w:ind w:left="112"/>
              <w:rPr>
                <w:b/>
                <w:sz w:val="22"/>
                <w:szCs w:val="22"/>
                <w:lang w:val="en-GB"/>
              </w:rPr>
            </w:pPr>
            <w:r w:rsidRPr="00143528">
              <w:rPr>
                <w:b/>
                <w:sz w:val="22"/>
                <w:szCs w:val="22"/>
                <w:lang w:val="en-GB"/>
              </w:rPr>
              <w:t xml:space="preserve">Alle grader </w:t>
            </w:r>
          </w:p>
          <w:p w14:paraId="1A37F5D6" w14:textId="31037960" w:rsidR="00143528" w:rsidRPr="00143528" w:rsidRDefault="00143528" w:rsidP="00C11463">
            <w:pPr>
              <w:ind w:left="112"/>
              <w:rPr>
                <w:sz w:val="22"/>
                <w:szCs w:val="22"/>
                <w:lang w:val="en-GB"/>
              </w:rPr>
            </w:pPr>
            <w:r w:rsidRPr="00143528">
              <w:rPr>
                <w:b/>
                <w:sz w:val="22"/>
                <w:szCs w:val="22"/>
                <w:lang w:val="en-GB"/>
              </w:rPr>
              <w:t>n (</w:t>
            </w:r>
            <w:r w:rsidR="007A1C7E">
              <w:rPr>
                <w:b/>
                <w:sz w:val="22"/>
                <w:szCs w:val="22"/>
                <w:lang w:val="en-GB"/>
              </w:rPr>
              <w:t>%</w:t>
            </w:r>
            <w:r w:rsidRPr="00143528">
              <w:rPr>
                <w:b/>
                <w:sz w:val="22"/>
                <w:szCs w:val="22"/>
                <w:lang w:val="en-GB"/>
              </w:rPr>
              <w:t>)</w:t>
            </w:r>
          </w:p>
        </w:tc>
        <w:tc>
          <w:tcPr>
            <w:tcW w:w="1083"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hideMark/>
          </w:tcPr>
          <w:p w14:paraId="6FDECAB6" w14:textId="77777777" w:rsidR="00143528" w:rsidRPr="00143528" w:rsidRDefault="00143528" w:rsidP="00C11463">
            <w:pPr>
              <w:ind w:left="112"/>
              <w:rPr>
                <w:b/>
                <w:sz w:val="22"/>
                <w:szCs w:val="22"/>
                <w:lang w:val="en-GB"/>
              </w:rPr>
            </w:pPr>
            <w:r w:rsidRPr="00143528">
              <w:rPr>
                <w:b/>
                <w:sz w:val="22"/>
                <w:szCs w:val="22"/>
                <w:lang w:val="en-GB"/>
              </w:rPr>
              <w:t xml:space="preserve">Grad 3 </w:t>
            </w:r>
          </w:p>
          <w:p w14:paraId="51139C41" w14:textId="7C00BAB2" w:rsidR="00143528" w:rsidRPr="00143528" w:rsidRDefault="00143528" w:rsidP="007A1C7E">
            <w:pPr>
              <w:ind w:left="112"/>
              <w:rPr>
                <w:sz w:val="22"/>
                <w:szCs w:val="22"/>
                <w:lang w:val="en-GB"/>
              </w:rPr>
            </w:pPr>
            <w:r w:rsidRPr="00143528">
              <w:rPr>
                <w:b/>
                <w:sz w:val="22"/>
                <w:szCs w:val="22"/>
                <w:lang w:val="en-GB"/>
              </w:rPr>
              <w:t>n (</w:t>
            </w:r>
            <w:r w:rsidR="007A1C7E">
              <w:rPr>
                <w:b/>
                <w:sz w:val="22"/>
                <w:szCs w:val="22"/>
                <w:lang w:val="en-GB"/>
              </w:rPr>
              <w:t>%</w:t>
            </w:r>
            <w:r w:rsidRPr="00143528">
              <w:rPr>
                <w:b/>
                <w:sz w:val="22"/>
                <w:szCs w:val="22"/>
                <w:lang w:val="en-GB"/>
              </w:rPr>
              <w:t>)</w:t>
            </w:r>
          </w:p>
        </w:tc>
        <w:tc>
          <w:tcPr>
            <w:tcW w:w="677"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hideMark/>
          </w:tcPr>
          <w:p w14:paraId="785E586E" w14:textId="77777777" w:rsidR="00143528" w:rsidRPr="00143528" w:rsidRDefault="00143528" w:rsidP="00C11463">
            <w:pPr>
              <w:ind w:left="112"/>
              <w:rPr>
                <w:b/>
                <w:sz w:val="22"/>
                <w:szCs w:val="22"/>
                <w:lang w:val="en-GB"/>
              </w:rPr>
            </w:pPr>
            <w:r w:rsidRPr="00143528">
              <w:rPr>
                <w:b/>
                <w:sz w:val="22"/>
                <w:szCs w:val="22"/>
                <w:lang w:val="en-GB"/>
              </w:rPr>
              <w:t xml:space="preserve">Grad 4 </w:t>
            </w:r>
          </w:p>
          <w:p w14:paraId="5673669A" w14:textId="430736D9" w:rsidR="00143528" w:rsidRPr="00143528" w:rsidRDefault="00143528" w:rsidP="00C11463">
            <w:pPr>
              <w:ind w:left="112"/>
              <w:rPr>
                <w:sz w:val="22"/>
                <w:szCs w:val="22"/>
                <w:lang w:val="en-GB"/>
              </w:rPr>
            </w:pPr>
            <w:r w:rsidRPr="00143528">
              <w:rPr>
                <w:b/>
                <w:sz w:val="22"/>
                <w:szCs w:val="22"/>
                <w:lang w:val="en-GB"/>
              </w:rPr>
              <w:t>n (</w:t>
            </w:r>
            <w:r w:rsidR="007A1C7E">
              <w:rPr>
                <w:b/>
                <w:sz w:val="22"/>
                <w:szCs w:val="22"/>
                <w:lang w:val="en-GB"/>
              </w:rPr>
              <w:t>%</w:t>
            </w:r>
            <w:r w:rsidRPr="00143528">
              <w:rPr>
                <w:b/>
                <w:sz w:val="22"/>
                <w:szCs w:val="22"/>
                <w:lang w:val="en-GB"/>
              </w:rPr>
              <w:t>)</w:t>
            </w:r>
          </w:p>
        </w:tc>
      </w:tr>
      <w:tr w:rsidR="00143528" w:rsidRPr="00143528" w14:paraId="6ED91DEA" w14:textId="77777777" w:rsidTr="00C11463">
        <w:trPr>
          <w:trHeight w:val="239"/>
        </w:trPr>
        <w:tc>
          <w:tcPr>
            <w:tcW w:w="2606" w:type="pct"/>
            <w:tcBorders>
              <w:top w:val="single" w:sz="4" w:space="0" w:color="000000"/>
              <w:left w:val="single" w:sz="4" w:space="0" w:color="000000"/>
              <w:bottom w:val="nil"/>
              <w:right w:val="single" w:sz="4" w:space="0" w:color="000000"/>
            </w:tcBorders>
            <w:tcMar>
              <w:top w:w="23" w:type="dxa"/>
              <w:left w:w="82" w:type="dxa"/>
              <w:bottom w:w="0" w:type="dxa"/>
              <w:right w:w="68" w:type="dxa"/>
            </w:tcMar>
            <w:hideMark/>
          </w:tcPr>
          <w:p w14:paraId="78D0A561" w14:textId="77777777" w:rsidR="00143528" w:rsidRPr="00143528" w:rsidRDefault="00143528" w:rsidP="00C11463">
            <w:pPr>
              <w:ind w:left="112"/>
              <w:rPr>
                <w:b/>
                <w:bCs/>
                <w:sz w:val="22"/>
                <w:szCs w:val="22"/>
              </w:rPr>
            </w:pPr>
            <w:r w:rsidRPr="00143528">
              <w:rPr>
                <w:b/>
                <w:bCs/>
                <w:sz w:val="22"/>
                <w:szCs w:val="22"/>
              </w:rPr>
              <w:t>Infektioner og parasitære sygdomme</w:t>
            </w:r>
          </w:p>
          <w:p w14:paraId="77656F7F" w14:textId="60CA7DC8" w:rsidR="00143528" w:rsidRPr="00143528" w:rsidRDefault="00C11463" w:rsidP="00C11463">
            <w:pPr>
              <w:ind w:left="112"/>
              <w:rPr>
                <w:i/>
                <w:iCs/>
                <w:sz w:val="22"/>
                <w:szCs w:val="22"/>
              </w:rPr>
            </w:pPr>
            <w:r w:rsidRPr="00BF2DF3">
              <w:rPr>
                <w:i/>
                <w:iCs/>
                <w:sz w:val="22"/>
                <w:szCs w:val="22"/>
              </w:rPr>
              <w:t>M</w:t>
            </w:r>
            <w:r w:rsidR="00143528" w:rsidRPr="00143528">
              <w:rPr>
                <w:i/>
                <w:iCs/>
                <w:sz w:val="22"/>
                <w:szCs w:val="22"/>
              </w:rPr>
              <w:t>eget almindelig</w:t>
            </w:r>
          </w:p>
          <w:p w14:paraId="097365AF" w14:textId="459ED492" w:rsidR="00143528" w:rsidRPr="00143528" w:rsidRDefault="00143528" w:rsidP="00BF2DF3">
            <w:pPr>
              <w:ind w:left="477"/>
              <w:rPr>
                <w:sz w:val="22"/>
                <w:szCs w:val="22"/>
                <w:lang w:val="en-GB"/>
              </w:rPr>
            </w:pPr>
            <w:proofErr w:type="spellStart"/>
            <w:r w:rsidRPr="00143528">
              <w:rPr>
                <w:sz w:val="22"/>
                <w:szCs w:val="22"/>
                <w:lang w:val="en-GB"/>
              </w:rPr>
              <w:t>Infe</w:t>
            </w:r>
            <w:r w:rsidR="00C11463" w:rsidRPr="00BF2DF3">
              <w:rPr>
                <w:sz w:val="22"/>
                <w:szCs w:val="22"/>
                <w:lang w:val="en-GB"/>
              </w:rPr>
              <w:t>k</w:t>
            </w:r>
            <w:r w:rsidRPr="00143528">
              <w:rPr>
                <w:sz w:val="22"/>
                <w:szCs w:val="22"/>
                <w:lang w:val="en-GB"/>
              </w:rPr>
              <w:t>tioner</w:t>
            </w:r>
            <w:r w:rsidRPr="00143528">
              <w:rPr>
                <w:sz w:val="22"/>
                <w:szCs w:val="22"/>
                <w:vertAlign w:val="superscript"/>
                <w:lang w:val="en-GB"/>
              </w:rPr>
              <w:t>b</w:t>
            </w:r>
            <w:proofErr w:type="spellEnd"/>
          </w:p>
        </w:tc>
        <w:tc>
          <w:tcPr>
            <w:tcW w:w="634"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2B109882" w14:textId="77777777" w:rsidR="00143528" w:rsidRPr="00143528" w:rsidRDefault="00143528" w:rsidP="00C11463">
            <w:pPr>
              <w:ind w:left="112"/>
              <w:rPr>
                <w:sz w:val="22"/>
                <w:szCs w:val="22"/>
                <w:lang w:val="en-GB"/>
              </w:rPr>
            </w:pPr>
          </w:p>
          <w:p w14:paraId="36B773F7" w14:textId="77777777" w:rsidR="00143528" w:rsidRPr="00143528" w:rsidRDefault="00143528" w:rsidP="00C11463">
            <w:pPr>
              <w:ind w:left="112"/>
              <w:rPr>
                <w:sz w:val="22"/>
                <w:szCs w:val="22"/>
                <w:lang w:val="en-GB"/>
              </w:rPr>
            </w:pPr>
          </w:p>
          <w:p w14:paraId="36E8A22C" w14:textId="77777777" w:rsidR="00143528" w:rsidRPr="00143528" w:rsidRDefault="00143528" w:rsidP="00C11463">
            <w:pPr>
              <w:ind w:left="112"/>
              <w:rPr>
                <w:sz w:val="22"/>
                <w:szCs w:val="22"/>
                <w:lang w:val="en-GB"/>
              </w:rPr>
            </w:pPr>
            <w:r w:rsidRPr="00143528">
              <w:rPr>
                <w:sz w:val="22"/>
                <w:szCs w:val="22"/>
                <w:lang w:val="en-GB"/>
              </w:rPr>
              <w:t>516 (59,2)</w:t>
            </w:r>
          </w:p>
        </w:tc>
        <w:tc>
          <w:tcPr>
            <w:tcW w:w="1083"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15A24ADA" w14:textId="77777777" w:rsidR="00143528" w:rsidRPr="00143528" w:rsidRDefault="00143528" w:rsidP="00C11463">
            <w:pPr>
              <w:ind w:left="112"/>
              <w:rPr>
                <w:sz w:val="22"/>
                <w:szCs w:val="22"/>
                <w:lang w:val="en-GB"/>
              </w:rPr>
            </w:pPr>
          </w:p>
          <w:p w14:paraId="0E1E5102" w14:textId="77777777" w:rsidR="00143528" w:rsidRPr="00143528" w:rsidRDefault="00143528" w:rsidP="00C11463">
            <w:pPr>
              <w:ind w:left="112"/>
              <w:rPr>
                <w:sz w:val="22"/>
                <w:szCs w:val="22"/>
                <w:lang w:val="en-GB"/>
              </w:rPr>
            </w:pPr>
          </w:p>
          <w:p w14:paraId="3C167BF7" w14:textId="77777777" w:rsidR="00143528" w:rsidRPr="00143528" w:rsidRDefault="00143528" w:rsidP="00C11463">
            <w:pPr>
              <w:ind w:left="112"/>
              <w:rPr>
                <w:sz w:val="22"/>
                <w:szCs w:val="22"/>
                <w:lang w:val="en-GB"/>
              </w:rPr>
            </w:pPr>
            <w:r w:rsidRPr="00143528">
              <w:rPr>
                <w:sz w:val="22"/>
                <w:szCs w:val="22"/>
                <w:lang w:val="en-GB"/>
              </w:rPr>
              <w:t>49 (5,6)</w:t>
            </w:r>
          </w:p>
        </w:tc>
        <w:tc>
          <w:tcPr>
            <w:tcW w:w="677"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459E7C16" w14:textId="77777777" w:rsidR="00143528" w:rsidRPr="00143528" w:rsidRDefault="00143528" w:rsidP="00C11463">
            <w:pPr>
              <w:ind w:left="112"/>
              <w:rPr>
                <w:sz w:val="22"/>
                <w:szCs w:val="22"/>
                <w:lang w:val="en-GB"/>
              </w:rPr>
            </w:pPr>
          </w:p>
          <w:p w14:paraId="6C0B2B29" w14:textId="77777777" w:rsidR="00143528" w:rsidRPr="00143528" w:rsidRDefault="00143528" w:rsidP="00C11463">
            <w:pPr>
              <w:ind w:left="112"/>
              <w:rPr>
                <w:sz w:val="22"/>
                <w:szCs w:val="22"/>
                <w:lang w:val="en-GB"/>
              </w:rPr>
            </w:pPr>
          </w:p>
          <w:p w14:paraId="0383B591" w14:textId="77777777" w:rsidR="00143528" w:rsidRPr="00143528" w:rsidRDefault="00143528" w:rsidP="00C11463">
            <w:pPr>
              <w:ind w:left="112"/>
              <w:rPr>
                <w:sz w:val="22"/>
                <w:szCs w:val="22"/>
                <w:lang w:val="en-GB"/>
              </w:rPr>
            </w:pPr>
            <w:r w:rsidRPr="00143528">
              <w:rPr>
                <w:sz w:val="22"/>
                <w:szCs w:val="22"/>
                <w:lang w:val="en-GB"/>
              </w:rPr>
              <w:t>8(0,9)</w:t>
            </w:r>
          </w:p>
        </w:tc>
      </w:tr>
      <w:tr w:rsidR="00143528" w:rsidRPr="00143528" w14:paraId="233A02AB" w14:textId="77777777" w:rsidTr="00C11463">
        <w:trPr>
          <w:trHeight w:val="239"/>
        </w:trPr>
        <w:tc>
          <w:tcPr>
            <w:tcW w:w="2606" w:type="pct"/>
            <w:tcBorders>
              <w:top w:val="single" w:sz="4" w:space="0" w:color="000000"/>
              <w:left w:val="single" w:sz="4" w:space="0" w:color="000000"/>
              <w:bottom w:val="nil"/>
              <w:right w:val="single" w:sz="4" w:space="0" w:color="000000"/>
            </w:tcBorders>
            <w:tcMar>
              <w:top w:w="23" w:type="dxa"/>
              <w:left w:w="82" w:type="dxa"/>
              <w:bottom w:w="0" w:type="dxa"/>
              <w:right w:w="68" w:type="dxa"/>
            </w:tcMar>
            <w:hideMark/>
          </w:tcPr>
          <w:p w14:paraId="1A5D9A96" w14:textId="77777777" w:rsidR="00143528" w:rsidRPr="00143528" w:rsidRDefault="00143528" w:rsidP="00C11463">
            <w:pPr>
              <w:ind w:left="112"/>
              <w:rPr>
                <w:b/>
                <w:bCs/>
                <w:sz w:val="22"/>
                <w:szCs w:val="22"/>
              </w:rPr>
            </w:pPr>
            <w:r w:rsidRPr="00143528">
              <w:rPr>
                <w:b/>
                <w:bCs/>
                <w:sz w:val="22"/>
                <w:szCs w:val="22"/>
              </w:rPr>
              <w:t>Blod og lymfesystem</w:t>
            </w:r>
          </w:p>
          <w:p w14:paraId="14003AA5" w14:textId="77777777" w:rsidR="00143528" w:rsidRPr="00143528" w:rsidRDefault="00143528" w:rsidP="00C11463">
            <w:pPr>
              <w:ind w:left="112"/>
              <w:rPr>
                <w:i/>
                <w:iCs/>
                <w:sz w:val="22"/>
                <w:szCs w:val="22"/>
              </w:rPr>
            </w:pPr>
            <w:r w:rsidRPr="00143528">
              <w:rPr>
                <w:i/>
                <w:iCs/>
                <w:sz w:val="22"/>
                <w:szCs w:val="22"/>
              </w:rPr>
              <w:t>Meget almindelig</w:t>
            </w:r>
          </w:p>
          <w:p w14:paraId="67D690B9" w14:textId="77777777" w:rsidR="00143528" w:rsidRPr="00143528" w:rsidRDefault="00143528" w:rsidP="00BF2DF3">
            <w:pPr>
              <w:ind w:left="477"/>
              <w:rPr>
                <w:sz w:val="22"/>
                <w:szCs w:val="22"/>
              </w:rPr>
            </w:pPr>
            <w:proofErr w:type="spellStart"/>
            <w:r w:rsidRPr="00143528">
              <w:rPr>
                <w:sz w:val="22"/>
                <w:szCs w:val="22"/>
              </w:rPr>
              <w:t>Neutropeni</w:t>
            </w:r>
            <w:r w:rsidRPr="00143528">
              <w:rPr>
                <w:sz w:val="22"/>
                <w:szCs w:val="22"/>
                <w:vertAlign w:val="superscript"/>
              </w:rPr>
              <w:t>c</w:t>
            </w:r>
            <w:proofErr w:type="spellEnd"/>
          </w:p>
        </w:tc>
        <w:tc>
          <w:tcPr>
            <w:tcW w:w="634"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2D7AFFAC" w14:textId="77777777" w:rsidR="00143528" w:rsidRPr="00143528" w:rsidRDefault="00143528" w:rsidP="00C11463">
            <w:pPr>
              <w:ind w:left="112"/>
              <w:rPr>
                <w:sz w:val="22"/>
                <w:szCs w:val="22"/>
              </w:rPr>
            </w:pPr>
          </w:p>
          <w:p w14:paraId="62AF23A0" w14:textId="77777777" w:rsidR="00143528" w:rsidRPr="00143528" w:rsidRDefault="00143528" w:rsidP="00C11463">
            <w:pPr>
              <w:ind w:left="112"/>
              <w:rPr>
                <w:sz w:val="22"/>
                <w:szCs w:val="22"/>
              </w:rPr>
            </w:pPr>
          </w:p>
          <w:p w14:paraId="73F6AF87" w14:textId="77777777" w:rsidR="00143528" w:rsidRPr="00143528" w:rsidRDefault="00143528" w:rsidP="00C11463">
            <w:pPr>
              <w:ind w:left="112"/>
              <w:rPr>
                <w:sz w:val="22"/>
                <w:szCs w:val="22"/>
                <w:lang w:val="en-GB"/>
              </w:rPr>
            </w:pPr>
            <w:r w:rsidRPr="00143528">
              <w:rPr>
                <w:sz w:val="22"/>
                <w:szCs w:val="22"/>
                <w:lang w:val="en-GB"/>
              </w:rPr>
              <w:t>716 (82,1)</w:t>
            </w:r>
          </w:p>
        </w:tc>
        <w:tc>
          <w:tcPr>
            <w:tcW w:w="1083"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59B8B84A" w14:textId="77777777" w:rsidR="00143528" w:rsidRPr="00143528" w:rsidRDefault="00143528" w:rsidP="00C11463">
            <w:pPr>
              <w:ind w:left="112"/>
              <w:rPr>
                <w:sz w:val="22"/>
                <w:szCs w:val="22"/>
                <w:lang w:val="en-GB"/>
              </w:rPr>
            </w:pPr>
          </w:p>
          <w:p w14:paraId="1E82DE9A" w14:textId="77777777" w:rsidR="00143528" w:rsidRPr="00143528" w:rsidRDefault="00143528" w:rsidP="00C11463">
            <w:pPr>
              <w:ind w:left="112"/>
              <w:rPr>
                <w:sz w:val="22"/>
                <w:szCs w:val="22"/>
                <w:lang w:val="en-GB"/>
              </w:rPr>
            </w:pPr>
          </w:p>
          <w:p w14:paraId="1DA28D1E" w14:textId="77777777" w:rsidR="00143528" w:rsidRPr="00143528" w:rsidRDefault="00143528" w:rsidP="00C11463">
            <w:pPr>
              <w:ind w:left="112"/>
              <w:rPr>
                <w:sz w:val="22"/>
                <w:szCs w:val="22"/>
                <w:lang w:val="en-GB"/>
              </w:rPr>
            </w:pPr>
            <w:r w:rsidRPr="00143528">
              <w:rPr>
                <w:sz w:val="22"/>
                <w:szCs w:val="22"/>
                <w:lang w:val="en-GB"/>
              </w:rPr>
              <w:t>500 (57,3)</w:t>
            </w:r>
          </w:p>
        </w:tc>
        <w:tc>
          <w:tcPr>
            <w:tcW w:w="677"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000C8335" w14:textId="77777777" w:rsidR="00143528" w:rsidRPr="00143528" w:rsidRDefault="00143528" w:rsidP="00C11463">
            <w:pPr>
              <w:ind w:left="112"/>
              <w:rPr>
                <w:sz w:val="22"/>
                <w:szCs w:val="22"/>
                <w:lang w:val="en-GB"/>
              </w:rPr>
            </w:pPr>
          </w:p>
          <w:p w14:paraId="7B122A6B" w14:textId="77777777" w:rsidR="00143528" w:rsidRPr="00143528" w:rsidRDefault="00143528" w:rsidP="00C11463">
            <w:pPr>
              <w:ind w:left="112"/>
              <w:rPr>
                <w:sz w:val="22"/>
                <w:szCs w:val="22"/>
                <w:lang w:val="en-GB"/>
              </w:rPr>
            </w:pPr>
          </w:p>
          <w:p w14:paraId="02F2447C" w14:textId="77777777" w:rsidR="00143528" w:rsidRPr="00143528" w:rsidRDefault="00143528" w:rsidP="00C11463">
            <w:pPr>
              <w:ind w:left="112"/>
              <w:rPr>
                <w:sz w:val="22"/>
                <w:szCs w:val="22"/>
                <w:lang w:val="en-GB"/>
              </w:rPr>
            </w:pPr>
            <w:r w:rsidRPr="00143528">
              <w:rPr>
                <w:sz w:val="22"/>
                <w:szCs w:val="22"/>
                <w:lang w:val="en-GB"/>
              </w:rPr>
              <w:t>97 (11,1)</w:t>
            </w:r>
          </w:p>
        </w:tc>
      </w:tr>
      <w:tr w:rsidR="00143528" w:rsidRPr="00143528" w14:paraId="5DD6C1A3" w14:textId="77777777" w:rsidTr="00C11463">
        <w:trPr>
          <w:trHeight w:val="20"/>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038527C1" w14:textId="77777777" w:rsidR="00143528" w:rsidRPr="00143528" w:rsidRDefault="00143528" w:rsidP="00BF2DF3">
            <w:pPr>
              <w:ind w:left="477"/>
              <w:rPr>
                <w:sz w:val="22"/>
                <w:szCs w:val="22"/>
                <w:lang w:val="en-GB"/>
              </w:rPr>
            </w:pPr>
            <w:proofErr w:type="spellStart"/>
            <w:r w:rsidRPr="00143528">
              <w:rPr>
                <w:sz w:val="22"/>
                <w:szCs w:val="22"/>
                <w:lang w:val="en-GB"/>
              </w:rPr>
              <w:t>Leukopeni</w:t>
            </w:r>
            <w:r w:rsidRPr="00143528">
              <w:rPr>
                <w:sz w:val="22"/>
                <w:szCs w:val="22"/>
                <w:vertAlign w:val="superscript"/>
                <w:lang w:val="en-GB"/>
              </w:rPr>
              <w:t>d</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hideMark/>
          </w:tcPr>
          <w:p w14:paraId="2652C220" w14:textId="77777777" w:rsidR="00143528" w:rsidRPr="00143528" w:rsidRDefault="00143528" w:rsidP="00C11463">
            <w:pPr>
              <w:ind w:left="112"/>
              <w:rPr>
                <w:sz w:val="22"/>
                <w:szCs w:val="22"/>
                <w:lang w:val="en-GB"/>
              </w:rPr>
            </w:pPr>
            <w:r w:rsidRPr="00143528">
              <w:rPr>
                <w:sz w:val="22"/>
                <w:szCs w:val="22"/>
                <w:lang w:val="en-GB"/>
              </w:rPr>
              <w:t>424 (48,6)</w:t>
            </w:r>
          </w:p>
        </w:tc>
        <w:tc>
          <w:tcPr>
            <w:tcW w:w="1083" w:type="pct"/>
            <w:tcBorders>
              <w:top w:val="nil"/>
              <w:left w:val="single" w:sz="4" w:space="0" w:color="000000"/>
              <w:bottom w:val="nil"/>
              <w:right w:val="single" w:sz="4" w:space="0" w:color="000000"/>
            </w:tcBorders>
            <w:tcMar>
              <w:top w:w="23" w:type="dxa"/>
              <w:left w:w="82" w:type="dxa"/>
              <w:bottom w:w="0" w:type="dxa"/>
              <w:right w:w="68" w:type="dxa"/>
            </w:tcMar>
            <w:hideMark/>
          </w:tcPr>
          <w:p w14:paraId="4FEE0324" w14:textId="77777777" w:rsidR="00143528" w:rsidRPr="00143528" w:rsidRDefault="00143528" w:rsidP="00C11463">
            <w:pPr>
              <w:ind w:left="112"/>
              <w:rPr>
                <w:sz w:val="22"/>
                <w:szCs w:val="22"/>
                <w:lang w:val="en-GB"/>
              </w:rPr>
            </w:pPr>
            <w:r w:rsidRPr="00143528">
              <w:rPr>
                <w:sz w:val="22"/>
                <w:szCs w:val="22"/>
                <w:lang w:val="en-GB"/>
              </w:rPr>
              <w:t>254 (29,1)</w:t>
            </w:r>
          </w:p>
        </w:tc>
        <w:tc>
          <w:tcPr>
            <w:tcW w:w="677" w:type="pct"/>
            <w:tcBorders>
              <w:top w:val="nil"/>
              <w:left w:val="single" w:sz="4" w:space="0" w:color="000000"/>
              <w:bottom w:val="nil"/>
              <w:right w:val="single" w:sz="4" w:space="0" w:color="000000"/>
            </w:tcBorders>
            <w:tcMar>
              <w:top w:w="23" w:type="dxa"/>
              <w:left w:w="82" w:type="dxa"/>
              <w:bottom w:w="0" w:type="dxa"/>
              <w:right w:w="68" w:type="dxa"/>
            </w:tcMar>
            <w:hideMark/>
          </w:tcPr>
          <w:p w14:paraId="78FB5AC9" w14:textId="77777777" w:rsidR="00143528" w:rsidRPr="00143528" w:rsidRDefault="00143528" w:rsidP="00C11463">
            <w:pPr>
              <w:ind w:left="112"/>
              <w:rPr>
                <w:sz w:val="22"/>
                <w:szCs w:val="22"/>
                <w:lang w:val="en-GB"/>
              </w:rPr>
            </w:pPr>
            <w:r w:rsidRPr="00143528">
              <w:rPr>
                <w:sz w:val="22"/>
                <w:szCs w:val="22"/>
                <w:lang w:val="en-GB"/>
              </w:rPr>
              <w:t>7 (0,8)</w:t>
            </w:r>
          </w:p>
        </w:tc>
      </w:tr>
      <w:tr w:rsidR="00143528" w:rsidRPr="00143528" w14:paraId="6029FD9A" w14:textId="77777777" w:rsidTr="00C11463">
        <w:trPr>
          <w:trHeight w:val="20"/>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12CF645B" w14:textId="77777777" w:rsidR="00143528" w:rsidRPr="00143528" w:rsidRDefault="00143528" w:rsidP="00BF2DF3">
            <w:pPr>
              <w:ind w:left="477"/>
              <w:rPr>
                <w:sz w:val="22"/>
                <w:szCs w:val="22"/>
                <w:lang w:val="en-GB"/>
              </w:rPr>
            </w:pPr>
            <w:proofErr w:type="spellStart"/>
            <w:r w:rsidRPr="00143528">
              <w:rPr>
                <w:sz w:val="22"/>
                <w:szCs w:val="22"/>
                <w:lang w:val="en-GB"/>
              </w:rPr>
              <w:t>Anaemi</w:t>
            </w:r>
            <w:r w:rsidRPr="00143528">
              <w:rPr>
                <w:sz w:val="22"/>
                <w:szCs w:val="22"/>
                <w:vertAlign w:val="superscript"/>
                <w:lang w:val="en-GB"/>
              </w:rPr>
              <w:t>e</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hideMark/>
          </w:tcPr>
          <w:p w14:paraId="3949BE3E" w14:textId="77777777" w:rsidR="00143528" w:rsidRPr="00143528" w:rsidRDefault="00143528" w:rsidP="00C11463">
            <w:pPr>
              <w:ind w:left="112"/>
              <w:rPr>
                <w:sz w:val="22"/>
                <w:szCs w:val="22"/>
                <w:lang w:val="en-GB"/>
              </w:rPr>
            </w:pPr>
            <w:r w:rsidRPr="00143528">
              <w:rPr>
                <w:sz w:val="22"/>
                <w:szCs w:val="22"/>
                <w:lang w:val="en-GB"/>
              </w:rPr>
              <w:t>258 (29,6)</w:t>
            </w:r>
          </w:p>
        </w:tc>
        <w:tc>
          <w:tcPr>
            <w:tcW w:w="1083" w:type="pct"/>
            <w:tcBorders>
              <w:top w:val="nil"/>
              <w:left w:val="single" w:sz="4" w:space="0" w:color="000000"/>
              <w:bottom w:val="nil"/>
              <w:right w:val="single" w:sz="4" w:space="0" w:color="000000"/>
            </w:tcBorders>
            <w:tcMar>
              <w:top w:w="23" w:type="dxa"/>
              <w:left w:w="82" w:type="dxa"/>
              <w:bottom w:w="0" w:type="dxa"/>
              <w:right w:w="68" w:type="dxa"/>
            </w:tcMar>
            <w:hideMark/>
          </w:tcPr>
          <w:p w14:paraId="5D14196D" w14:textId="77777777" w:rsidR="00143528" w:rsidRPr="00143528" w:rsidRDefault="00143528" w:rsidP="00C11463">
            <w:pPr>
              <w:ind w:left="112"/>
              <w:rPr>
                <w:sz w:val="22"/>
                <w:szCs w:val="22"/>
                <w:lang w:val="en-GB"/>
              </w:rPr>
            </w:pPr>
            <w:r w:rsidRPr="00143528">
              <w:rPr>
                <w:sz w:val="22"/>
                <w:szCs w:val="22"/>
                <w:lang w:val="en-GB"/>
              </w:rPr>
              <w:t>45 (5,2)</w:t>
            </w:r>
          </w:p>
        </w:tc>
        <w:tc>
          <w:tcPr>
            <w:tcW w:w="677" w:type="pct"/>
            <w:tcBorders>
              <w:top w:val="nil"/>
              <w:left w:val="single" w:sz="4" w:space="0" w:color="000000"/>
              <w:bottom w:val="nil"/>
              <w:right w:val="single" w:sz="4" w:space="0" w:color="000000"/>
            </w:tcBorders>
            <w:tcMar>
              <w:top w:w="23" w:type="dxa"/>
              <w:left w:w="82" w:type="dxa"/>
              <w:bottom w:w="0" w:type="dxa"/>
              <w:right w:w="68" w:type="dxa"/>
            </w:tcMar>
            <w:hideMark/>
          </w:tcPr>
          <w:p w14:paraId="672060AF" w14:textId="77777777" w:rsidR="00143528" w:rsidRPr="00143528" w:rsidRDefault="00143528" w:rsidP="00C11463">
            <w:pPr>
              <w:ind w:left="112"/>
              <w:rPr>
                <w:sz w:val="22"/>
                <w:szCs w:val="22"/>
                <w:lang w:val="en-GB"/>
              </w:rPr>
            </w:pPr>
            <w:r w:rsidRPr="00143528">
              <w:rPr>
                <w:sz w:val="22"/>
                <w:szCs w:val="22"/>
                <w:lang w:val="en-GB"/>
              </w:rPr>
              <w:t>2 (0,2)</w:t>
            </w:r>
          </w:p>
        </w:tc>
      </w:tr>
      <w:tr w:rsidR="00143528" w:rsidRPr="00143528" w14:paraId="0553B16B" w14:textId="77777777" w:rsidTr="00C11463">
        <w:trPr>
          <w:trHeight w:val="241"/>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45F2E997" w14:textId="77777777" w:rsidR="00143528" w:rsidRPr="00143528" w:rsidRDefault="00143528" w:rsidP="00BF2DF3">
            <w:pPr>
              <w:ind w:left="477"/>
              <w:rPr>
                <w:sz w:val="22"/>
                <w:szCs w:val="22"/>
                <w:lang w:val="en-GB"/>
              </w:rPr>
            </w:pPr>
            <w:proofErr w:type="spellStart"/>
            <w:r w:rsidRPr="00143528">
              <w:rPr>
                <w:sz w:val="22"/>
                <w:szCs w:val="22"/>
                <w:lang w:val="en-GB"/>
              </w:rPr>
              <w:t>Trombocytopeni</w:t>
            </w:r>
            <w:r w:rsidRPr="00143528">
              <w:rPr>
                <w:sz w:val="22"/>
                <w:szCs w:val="22"/>
                <w:vertAlign w:val="superscript"/>
                <w:lang w:val="en-GB"/>
              </w:rPr>
              <w:t>f</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hideMark/>
          </w:tcPr>
          <w:p w14:paraId="12F82E3C" w14:textId="77777777" w:rsidR="00143528" w:rsidRPr="00143528" w:rsidRDefault="00143528" w:rsidP="00C11463">
            <w:pPr>
              <w:ind w:left="112"/>
              <w:rPr>
                <w:sz w:val="22"/>
                <w:szCs w:val="22"/>
                <w:lang w:val="en-GB"/>
              </w:rPr>
            </w:pPr>
            <w:r w:rsidRPr="00143528">
              <w:rPr>
                <w:sz w:val="22"/>
                <w:szCs w:val="22"/>
                <w:lang w:val="en-GB"/>
              </w:rPr>
              <w:t>194 (22,2)</w:t>
            </w:r>
          </w:p>
        </w:tc>
        <w:tc>
          <w:tcPr>
            <w:tcW w:w="1083" w:type="pct"/>
            <w:tcBorders>
              <w:top w:val="nil"/>
              <w:left w:val="single" w:sz="4" w:space="0" w:color="000000"/>
              <w:bottom w:val="nil"/>
              <w:right w:val="single" w:sz="4" w:space="0" w:color="000000"/>
            </w:tcBorders>
            <w:tcMar>
              <w:top w:w="23" w:type="dxa"/>
              <w:left w:w="82" w:type="dxa"/>
              <w:bottom w:w="0" w:type="dxa"/>
              <w:right w:w="68" w:type="dxa"/>
            </w:tcMar>
            <w:hideMark/>
          </w:tcPr>
          <w:p w14:paraId="5612683F" w14:textId="77777777" w:rsidR="00143528" w:rsidRPr="00143528" w:rsidRDefault="00143528" w:rsidP="00C11463">
            <w:pPr>
              <w:ind w:left="112"/>
              <w:rPr>
                <w:sz w:val="22"/>
                <w:szCs w:val="22"/>
                <w:lang w:val="en-GB"/>
              </w:rPr>
            </w:pPr>
            <w:r w:rsidRPr="00143528">
              <w:rPr>
                <w:sz w:val="22"/>
                <w:szCs w:val="22"/>
                <w:lang w:val="en-GB"/>
              </w:rPr>
              <w:t>16 (1,8)</w:t>
            </w:r>
          </w:p>
        </w:tc>
        <w:tc>
          <w:tcPr>
            <w:tcW w:w="677" w:type="pct"/>
            <w:tcBorders>
              <w:top w:val="nil"/>
              <w:left w:val="single" w:sz="4" w:space="0" w:color="000000"/>
              <w:bottom w:val="nil"/>
              <w:right w:val="single" w:sz="4" w:space="0" w:color="000000"/>
            </w:tcBorders>
            <w:tcMar>
              <w:top w:w="23" w:type="dxa"/>
              <w:left w:w="82" w:type="dxa"/>
              <w:bottom w:w="0" w:type="dxa"/>
              <w:right w:w="68" w:type="dxa"/>
            </w:tcMar>
            <w:hideMark/>
          </w:tcPr>
          <w:p w14:paraId="1B36186C" w14:textId="77777777" w:rsidR="00143528" w:rsidRPr="00143528" w:rsidRDefault="00143528" w:rsidP="00C11463">
            <w:pPr>
              <w:ind w:left="112"/>
              <w:rPr>
                <w:sz w:val="22"/>
                <w:szCs w:val="22"/>
                <w:lang w:val="en-GB"/>
              </w:rPr>
            </w:pPr>
            <w:r w:rsidRPr="00143528">
              <w:rPr>
                <w:sz w:val="22"/>
                <w:szCs w:val="22"/>
                <w:lang w:val="en-GB"/>
              </w:rPr>
              <w:t>4 (0,5)</w:t>
            </w:r>
          </w:p>
        </w:tc>
      </w:tr>
      <w:tr w:rsidR="00143528" w:rsidRPr="00143528" w14:paraId="1145F3BF" w14:textId="77777777" w:rsidTr="00C11463">
        <w:trPr>
          <w:trHeight w:val="441"/>
        </w:trPr>
        <w:tc>
          <w:tcPr>
            <w:tcW w:w="2606"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76CA029A" w14:textId="77777777" w:rsidR="00143528" w:rsidRPr="00143528" w:rsidRDefault="00143528" w:rsidP="00C11463">
            <w:pPr>
              <w:ind w:left="112"/>
              <w:rPr>
                <w:i/>
                <w:iCs/>
                <w:sz w:val="22"/>
                <w:szCs w:val="22"/>
                <w:lang w:val="en-GB"/>
              </w:rPr>
            </w:pPr>
            <w:proofErr w:type="spellStart"/>
            <w:r w:rsidRPr="00143528">
              <w:rPr>
                <w:i/>
                <w:iCs/>
                <w:sz w:val="22"/>
                <w:szCs w:val="22"/>
                <w:lang w:val="en-GB"/>
              </w:rPr>
              <w:t>Almindelig</w:t>
            </w:r>
            <w:proofErr w:type="spellEnd"/>
          </w:p>
          <w:p w14:paraId="3ED2B8A5" w14:textId="77777777" w:rsidR="00143528" w:rsidRPr="00143528" w:rsidRDefault="00143528" w:rsidP="00BF2DF3">
            <w:pPr>
              <w:ind w:left="477"/>
              <w:rPr>
                <w:sz w:val="22"/>
                <w:szCs w:val="22"/>
                <w:lang w:val="en-GB"/>
              </w:rPr>
            </w:pPr>
            <w:proofErr w:type="spellStart"/>
            <w:r w:rsidRPr="00143528">
              <w:rPr>
                <w:sz w:val="22"/>
                <w:szCs w:val="22"/>
                <w:lang w:val="en-GB"/>
              </w:rPr>
              <w:t>Febril</w:t>
            </w:r>
            <w:proofErr w:type="spellEnd"/>
            <w:r w:rsidRPr="00143528">
              <w:rPr>
                <w:sz w:val="22"/>
                <w:szCs w:val="22"/>
                <w:lang w:val="en-GB"/>
              </w:rPr>
              <w:t xml:space="preserve"> </w:t>
            </w:r>
            <w:proofErr w:type="spellStart"/>
            <w:r w:rsidRPr="00143528">
              <w:rPr>
                <w:sz w:val="22"/>
                <w:szCs w:val="22"/>
                <w:lang w:val="en-GB"/>
              </w:rPr>
              <w:t>neutropeni</w:t>
            </w:r>
            <w:proofErr w:type="spellEnd"/>
          </w:p>
        </w:tc>
        <w:tc>
          <w:tcPr>
            <w:tcW w:w="634" w:type="pct"/>
            <w:tcBorders>
              <w:top w:val="nil"/>
              <w:left w:val="single" w:sz="4" w:space="0" w:color="000000"/>
              <w:bottom w:val="single" w:sz="4" w:space="0" w:color="000000"/>
              <w:right w:val="single" w:sz="4" w:space="0" w:color="000000"/>
            </w:tcBorders>
            <w:tcMar>
              <w:top w:w="23" w:type="dxa"/>
              <w:left w:w="82" w:type="dxa"/>
              <w:bottom w:w="0" w:type="dxa"/>
              <w:right w:w="68" w:type="dxa"/>
            </w:tcMar>
          </w:tcPr>
          <w:p w14:paraId="35025E98" w14:textId="77777777" w:rsidR="00143528" w:rsidRPr="00143528" w:rsidRDefault="00143528" w:rsidP="00C11463">
            <w:pPr>
              <w:ind w:left="112"/>
              <w:rPr>
                <w:sz w:val="22"/>
                <w:szCs w:val="22"/>
                <w:lang w:val="en-GB"/>
              </w:rPr>
            </w:pPr>
          </w:p>
          <w:p w14:paraId="36F3C017" w14:textId="77777777" w:rsidR="00143528" w:rsidRPr="00143528" w:rsidRDefault="00143528" w:rsidP="00C11463">
            <w:pPr>
              <w:ind w:left="112"/>
              <w:rPr>
                <w:sz w:val="22"/>
                <w:szCs w:val="22"/>
                <w:lang w:val="en-GB"/>
              </w:rPr>
            </w:pPr>
            <w:r w:rsidRPr="00143528">
              <w:rPr>
                <w:sz w:val="22"/>
                <w:szCs w:val="22"/>
                <w:lang w:val="en-GB"/>
              </w:rPr>
              <w:t>12 (1,4)</w:t>
            </w:r>
          </w:p>
        </w:tc>
        <w:tc>
          <w:tcPr>
            <w:tcW w:w="1083" w:type="pct"/>
            <w:tcBorders>
              <w:top w:val="nil"/>
              <w:left w:val="single" w:sz="4" w:space="0" w:color="000000"/>
              <w:bottom w:val="single" w:sz="4" w:space="0" w:color="000000"/>
              <w:right w:val="single" w:sz="4" w:space="0" w:color="000000"/>
            </w:tcBorders>
            <w:tcMar>
              <w:top w:w="23" w:type="dxa"/>
              <w:left w:w="82" w:type="dxa"/>
              <w:bottom w:w="0" w:type="dxa"/>
              <w:right w:w="68" w:type="dxa"/>
            </w:tcMar>
          </w:tcPr>
          <w:p w14:paraId="401D0826" w14:textId="77777777" w:rsidR="00143528" w:rsidRPr="00143528" w:rsidRDefault="00143528" w:rsidP="00C11463">
            <w:pPr>
              <w:ind w:left="112"/>
              <w:rPr>
                <w:sz w:val="22"/>
                <w:szCs w:val="22"/>
                <w:lang w:val="en-GB"/>
              </w:rPr>
            </w:pPr>
          </w:p>
          <w:p w14:paraId="34CE72D2" w14:textId="77777777" w:rsidR="00143528" w:rsidRPr="00143528" w:rsidRDefault="00143528" w:rsidP="00C11463">
            <w:pPr>
              <w:ind w:left="112"/>
              <w:rPr>
                <w:sz w:val="22"/>
                <w:szCs w:val="22"/>
                <w:lang w:val="en-GB"/>
              </w:rPr>
            </w:pPr>
            <w:r w:rsidRPr="00143528">
              <w:rPr>
                <w:sz w:val="22"/>
                <w:szCs w:val="22"/>
                <w:lang w:val="en-GB"/>
              </w:rPr>
              <w:t>10 (1,1)</w:t>
            </w:r>
          </w:p>
        </w:tc>
        <w:tc>
          <w:tcPr>
            <w:tcW w:w="677" w:type="pct"/>
            <w:tcBorders>
              <w:top w:val="nil"/>
              <w:left w:val="single" w:sz="4" w:space="0" w:color="000000"/>
              <w:bottom w:val="single" w:sz="4" w:space="0" w:color="000000"/>
              <w:right w:val="single" w:sz="4" w:space="0" w:color="000000"/>
            </w:tcBorders>
            <w:tcMar>
              <w:top w:w="23" w:type="dxa"/>
              <w:left w:w="82" w:type="dxa"/>
              <w:bottom w:w="0" w:type="dxa"/>
              <w:right w:w="68" w:type="dxa"/>
            </w:tcMar>
          </w:tcPr>
          <w:p w14:paraId="6F17B409" w14:textId="77777777" w:rsidR="00143528" w:rsidRPr="00143528" w:rsidRDefault="00143528" w:rsidP="00C11463">
            <w:pPr>
              <w:ind w:left="112"/>
              <w:rPr>
                <w:sz w:val="22"/>
                <w:szCs w:val="22"/>
                <w:lang w:val="en-GB"/>
              </w:rPr>
            </w:pPr>
          </w:p>
          <w:p w14:paraId="7B629DA0" w14:textId="77777777" w:rsidR="00143528" w:rsidRPr="00143528" w:rsidRDefault="00143528" w:rsidP="00C11463">
            <w:pPr>
              <w:ind w:left="112"/>
              <w:rPr>
                <w:sz w:val="22"/>
                <w:szCs w:val="22"/>
                <w:lang w:val="en-GB"/>
              </w:rPr>
            </w:pPr>
            <w:r w:rsidRPr="00143528">
              <w:rPr>
                <w:sz w:val="22"/>
                <w:szCs w:val="22"/>
                <w:lang w:val="en-GB"/>
              </w:rPr>
              <w:t>2 (0,2)</w:t>
            </w:r>
          </w:p>
        </w:tc>
      </w:tr>
      <w:tr w:rsidR="00143528" w:rsidRPr="00143528" w14:paraId="3E2A96BA" w14:textId="77777777" w:rsidTr="00C11463">
        <w:trPr>
          <w:trHeight w:val="701"/>
        </w:trPr>
        <w:tc>
          <w:tcPr>
            <w:tcW w:w="2606"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hideMark/>
          </w:tcPr>
          <w:p w14:paraId="43A49A2A" w14:textId="77777777" w:rsidR="00143528" w:rsidRPr="00143528" w:rsidRDefault="00143528" w:rsidP="00C11463">
            <w:pPr>
              <w:ind w:left="112"/>
              <w:rPr>
                <w:sz w:val="22"/>
                <w:szCs w:val="22"/>
              </w:rPr>
            </w:pPr>
            <w:r w:rsidRPr="00143528">
              <w:rPr>
                <w:b/>
                <w:sz w:val="22"/>
                <w:szCs w:val="22"/>
              </w:rPr>
              <w:t>Metabolisme og ernæring</w:t>
            </w:r>
          </w:p>
          <w:p w14:paraId="1CBB0471" w14:textId="77777777" w:rsidR="00143528" w:rsidRPr="00143528" w:rsidRDefault="00143528" w:rsidP="00C11463">
            <w:pPr>
              <w:ind w:left="112"/>
              <w:rPr>
                <w:sz w:val="22"/>
                <w:szCs w:val="22"/>
              </w:rPr>
            </w:pPr>
            <w:r w:rsidRPr="00143528">
              <w:rPr>
                <w:i/>
                <w:sz w:val="22"/>
                <w:szCs w:val="22"/>
              </w:rPr>
              <w:t>Meget almindelig</w:t>
            </w:r>
          </w:p>
          <w:p w14:paraId="4DA62BF5" w14:textId="77777777" w:rsidR="00143528" w:rsidRPr="00143528" w:rsidRDefault="00143528" w:rsidP="00BF2DF3">
            <w:pPr>
              <w:ind w:left="477"/>
              <w:rPr>
                <w:sz w:val="22"/>
                <w:szCs w:val="22"/>
              </w:rPr>
            </w:pPr>
            <w:r w:rsidRPr="00143528">
              <w:rPr>
                <w:sz w:val="22"/>
                <w:szCs w:val="22"/>
              </w:rPr>
              <w:t>Appetitløshed</w:t>
            </w:r>
          </w:p>
        </w:tc>
        <w:tc>
          <w:tcPr>
            <w:tcW w:w="634"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7AF125B9" w14:textId="77777777" w:rsidR="00143528" w:rsidRPr="00143528" w:rsidRDefault="00143528" w:rsidP="00C11463">
            <w:pPr>
              <w:ind w:left="112"/>
              <w:rPr>
                <w:sz w:val="22"/>
                <w:szCs w:val="22"/>
              </w:rPr>
            </w:pPr>
          </w:p>
          <w:p w14:paraId="1041349A" w14:textId="77777777" w:rsidR="00143528" w:rsidRPr="00143528" w:rsidRDefault="00143528" w:rsidP="00C11463">
            <w:pPr>
              <w:ind w:left="112"/>
              <w:rPr>
                <w:sz w:val="22"/>
                <w:szCs w:val="22"/>
                <w:lang w:val="en-GB"/>
              </w:rPr>
            </w:pPr>
            <w:r w:rsidRPr="00143528">
              <w:rPr>
                <w:sz w:val="22"/>
                <w:szCs w:val="22"/>
                <w:lang w:val="en-GB"/>
              </w:rPr>
              <w:t>152 (17,4)</w:t>
            </w:r>
          </w:p>
        </w:tc>
        <w:tc>
          <w:tcPr>
            <w:tcW w:w="1083"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308BBE4E" w14:textId="77777777" w:rsidR="00143528" w:rsidRPr="00143528" w:rsidRDefault="00143528" w:rsidP="00C11463">
            <w:pPr>
              <w:ind w:left="112"/>
              <w:rPr>
                <w:sz w:val="22"/>
                <w:szCs w:val="22"/>
                <w:lang w:val="en-GB"/>
              </w:rPr>
            </w:pPr>
          </w:p>
          <w:p w14:paraId="7C107F50" w14:textId="77777777" w:rsidR="00143528" w:rsidRPr="00143528" w:rsidRDefault="00143528" w:rsidP="00C11463">
            <w:pPr>
              <w:ind w:left="112"/>
              <w:rPr>
                <w:sz w:val="22"/>
                <w:szCs w:val="22"/>
                <w:lang w:val="en-GB"/>
              </w:rPr>
            </w:pPr>
            <w:r w:rsidRPr="00143528">
              <w:rPr>
                <w:sz w:val="22"/>
                <w:szCs w:val="22"/>
                <w:lang w:val="en-GB"/>
              </w:rPr>
              <w:t>8 (0,9)</w:t>
            </w:r>
          </w:p>
        </w:tc>
        <w:tc>
          <w:tcPr>
            <w:tcW w:w="677"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1FF11D1F" w14:textId="77777777" w:rsidR="00143528" w:rsidRPr="00143528" w:rsidRDefault="00143528" w:rsidP="00C11463">
            <w:pPr>
              <w:ind w:left="112"/>
              <w:rPr>
                <w:sz w:val="22"/>
                <w:szCs w:val="22"/>
                <w:lang w:val="en-GB"/>
              </w:rPr>
            </w:pPr>
          </w:p>
          <w:p w14:paraId="7FF6E7E1"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0F830445" w14:textId="77777777" w:rsidTr="00C11463">
        <w:trPr>
          <w:trHeight w:val="720"/>
        </w:trPr>
        <w:tc>
          <w:tcPr>
            <w:tcW w:w="2606"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hideMark/>
          </w:tcPr>
          <w:p w14:paraId="02E53E4F" w14:textId="77777777" w:rsidR="00143528" w:rsidRPr="00143528" w:rsidRDefault="00143528" w:rsidP="00C11463">
            <w:pPr>
              <w:ind w:left="112"/>
              <w:rPr>
                <w:sz w:val="22"/>
                <w:szCs w:val="22"/>
                <w:lang w:val="en-GB"/>
              </w:rPr>
            </w:pPr>
            <w:proofErr w:type="spellStart"/>
            <w:r w:rsidRPr="00143528">
              <w:rPr>
                <w:b/>
                <w:sz w:val="22"/>
                <w:szCs w:val="22"/>
                <w:lang w:val="en-GB"/>
              </w:rPr>
              <w:t>Nervesystemet</w:t>
            </w:r>
            <w:proofErr w:type="spellEnd"/>
          </w:p>
          <w:p w14:paraId="2F93FCEB" w14:textId="77777777" w:rsidR="00143528" w:rsidRPr="00143528" w:rsidRDefault="00143528" w:rsidP="00C11463">
            <w:pPr>
              <w:ind w:left="112"/>
              <w:rPr>
                <w:sz w:val="22"/>
                <w:szCs w:val="22"/>
                <w:lang w:val="en-GB"/>
              </w:rPr>
            </w:pPr>
            <w:proofErr w:type="spellStart"/>
            <w:r w:rsidRPr="00143528">
              <w:rPr>
                <w:i/>
                <w:sz w:val="22"/>
                <w:szCs w:val="22"/>
                <w:lang w:val="en-GB"/>
              </w:rPr>
              <w:t>Almindelig</w:t>
            </w:r>
            <w:proofErr w:type="spellEnd"/>
          </w:p>
          <w:p w14:paraId="5B5AA142" w14:textId="77777777" w:rsidR="00143528" w:rsidRPr="00143528" w:rsidRDefault="00143528" w:rsidP="00BF2DF3">
            <w:pPr>
              <w:ind w:left="477"/>
              <w:rPr>
                <w:sz w:val="22"/>
                <w:szCs w:val="22"/>
                <w:lang w:val="en-GB"/>
              </w:rPr>
            </w:pPr>
            <w:proofErr w:type="spellStart"/>
            <w:r w:rsidRPr="00143528">
              <w:rPr>
                <w:sz w:val="22"/>
                <w:szCs w:val="22"/>
                <w:lang w:val="en-GB"/>
              </w:rPr>
              <w:t>Dysgeusi</w:t>
            </w:r>
            <w:proofErr w:type="spellEnd"/>
          </w:p>
        </w:tc>
        <w:tc>
          <w:tcPr>
            <w:tcW w:w="634"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3EE9424F" w14:textId="77777777" w:rsidR="00143528" w:rsidRPr="00143528" w:rsidRDefault="00143528" w:rsidP="00C11463">
            <w:pPr>
              <w:ind w:left="112"/>
              <w:rPr>
                <w:sz w:val="22"/>
                <w:szCs w:val="22"/>
                <w:lang w:val="en-GB"/>
              </w:rPr>
            </w:pPr>
          </w:p>
          <w:p w14:paraId="15A1A8AB" w14:textId="77777777" w:rsidR="00143528" w:rsidRPr="00143528" w:rsidRDefault="00143528" w:rsidP="00C11463">
            <w:pPr>
              <w:ind w:left="112"/>
              <w:rPr>
                <w:sz w:val="22"/>
                <w:szCs w:val="22"/>
                <w:lang w:val="en-GB"/>
              </w:rPr>
            </w:pPr>
          </w:p>
          <w:p w14:paraId="75D06509" w14:textId="77777777" w:rsidR="00143528" w:rsidRPr="00143528" w:rsidRDefault="00143528" w:rsidP="00C11463">
            <w:pPr>
              <w:ind w:left="112"/>
              <w:rPr>
                <w:sz w:val="22"/>
                <w:szCs w:val="22"/>
                <w:lang w:val="en-GB"/>
              </w:rPr>
            </w:pPr>
            <w:r w:rsidRPr="00143528">
              <w:rPr>
                <w:sz w:val="22"/>
                <w:szCs w:val="22"/>
                <w:lang w:val="en-GB"/>
              </w:rPr>
              <w:t>79 (9,1)</w:t>
            </w:r>
          </w:p>
        </w:tc>
        <w:tc>
          <w:tcPr>
            <w:tcW w:w="1083"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56C0FDF5" w14:textId="77777777" w:rsidR="00143528" w:rsidRPr="00143528" w:rsidRDefault="00143528" w:rsidP="00C11463">
            <w:pPr>
              <w:ind w:left="112"/>
              <w:rPr>
                <w:sz w:val="22"/>
                <w:szCs w:val="22"/>
                <w:lang w:val="en-GB"/>
              </w:rPr>
            </w:pPr>
          </w:p>
          <w:p w14:paraId="44DB8B3A" w14:textId="77777777" w:rsidR="00143528" w:rsidRPr="00143528" w:rsidRDefault="00143528" w:rsidP="00C11463">
            <w:pPr>
              <w:ind w:left="112"/>
              <w:rPr>
                <w:sz w:val="22"/>
                <w:szCs w:val="22"/>
                <w:lang w:val="en-GB"/>
              </w:rPr>
            </w:pPr>
          </w:p>
          <w:p w14:paraId="35790723" w14:textId="77777777" w:rsidR="00143528" w:rsidRPr="00143528" w:rsidRDefault="00143528" w:rsidP="00C11463">
            <w:pPr>
              <w:ind w:left="112"/>
              <w:rPr>
                <w:sz w:val="22"/>
                <w:szCs w:val="22"/>
                <w:lang w:val="en-GB"/>
              </w:rPr>
            </w:pPr>
            <w:r w:rsidRPr="00143528">
              <w:rPr>
                <w:sz w:val="22"/>
                <w:szCs w:val="22"/>
                <w:lang w:val="en-GB"/>
              </w:rPr>
              <w:t>0 (0,0)</w:t>
            </w:r>
          </w:p>
        </w:tc>
        <w:tc>
          <w:tcPr>
            <w:tcW w:w="677"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7F13A619" w14:textId="77777777" w:rsidR="00143528" w:rsidRPr="00143528" w:rsidRDefault="00143528" w:rsidP="00C11463">
            <w:pPr>
              <w:ind w:left="112"/>
              <w:rPr>
                <w:sz w:val="22"/>
                <w:szCs w:val="22"/>
                <w:lang w:val="en-GB"/>
              </w:rPr>
            </w:pPr>
          </w:p>
          <w:p w14:paraId="2FD80BDD" w14:textId="77777777" w:rsidR="00143528" w:rsidRPr="00143528" w:rsidRDefault="00143528" w:rsidP="00C11463">
            <w:pPr>
              <w:ind w:left="112"/>
              <w:rPr>
                <w:sz w:val="22"/>
                <w:szCs w:val="22"/>
                <w:lang w:val="en-GB"/>
              </w:rPr>
            </w:pPr>
          </w:p>
          <w:p w14:paraId="0E4BDDA7"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79E1E3DB" w14:textId="77777777" w:rsidTr="00C11463">
        <w:trPr>
          <w:trHeight w:val="720"/>
        </w:trPr>
        <w:tc>
          <w:tcPr>
            <w:tcW w:w="2606" w:type="pct"/>
            <w:tcBorders>
              <w:top w:val="single" w:sz="4" w:space="0" w:color="000000"/>
              <w:left w:val="single" w:sz="4" w:space="0" w:color="000000"/>
              <w:bottom w:val="nil"/>
              <w:right w:val="single" w:sz="4" w:space="0" w:color="000000"/>
            </w:tcBorders>
            <w:tcMar>
              <w:top w:w="23" w:type="dxa"/>
              <w:left w:w="82" w:type="dxa"/>
              <w:bottom w:w="0" w:type="dxa"/>
              <w:right w:w="68" w:type="dxa"/>
            </w:tcMar>
            <w:hideMark/>
          </w:tcPr>
          <w:p w14:paraId="3047922D" w14:textId="77777777" w:rsidR="00143528" w:rsidRPr="00143528" w:rsidRDefault="00143528" w:rsidP="00C11463">
            <w:pPr>
              <w:ind w:left="112"/>
              <w:rPr>
                <w:b/>
                <w:bCs/>
                <w:sz w:val="22"/>
                <w:szCs w:val="22"/>
                <w:lang w:val="en-GB"/>
              </w:rPr>
            </w:pPr>
            <w:proofErr w:type="spellStart"/>
            <w:r w:rsidRPr="00143528">
              <w:rPr>
                <w:b/>
                <w:bCs/>
                <w:sz w:val="22"/>
                <w:szCs w:val="22"/>
                <w:lang w:val="en-GB"/>
              </w:rPr>
              <w:t>Øjne</w:t>
            </w:r>
            <w:proofErr w:type="spellEnd"/>
          </w:p>
          <w:p w14:paraId="44BF8A49" w14:textId="77777777" w:rsidR="00143528" w:rsidRPr="00143528" w:rsidRDefault="00143528" w:rsidP="00C11463">
            <w:pPr>
              <w:ind w:left="112"/>
              <w:rPr>
                <w:sz w:val="22"/>
                <w:szCs w:val="22"/>
                <w:lang w:val="en-GB"/>
              </w:rPr>
            </w:pPr>
            <w:proofErr w:type="spellStart"/>
            <w:r w:rsidRPr="00143528">
              <w:rPr>
                <w:sz w:val="22"/>
                <w:szCs w:val="22"/>
                <w:lang w:val="en-GB"/>
              </w:rPr>
              <w:t>Almindelig</w:t>
            </w:r>
            <w:proofErr w:type="spellEnd"/>
          </w:p>
          <w:p w14:paraId="0328E65E" w14:textId="77777777" w:rsidR="00143528" w:rsidRPr="00143528" w:rsidRDefault="00143528" w:rsidP="00BF2DF3">
            <w:pPr>
              <w:ind w:left="477"/>
              <w:rPr>
                <w:sz w:val="22"/>
                <w:szCs w:val="22"/>
                <w:lang w:val="en-GB"/>
              </w:rPr>
            </w:pPr>
            <w:proofErr w:type="spellStart"/>
            <w:r w:rsidRPr="00143528">
              <w:rPr>
                <w:sz w:val="22"/>
                <w:szCs w:val="22"/>
                <w:lang w:val="en-GB"/>
              </w:rPr>
              <w:t>Sløret</w:t>
            </w:r>
            <w:proofErr w:type="spellEnd"/>
            <w:r w:rsidRPr="00143528">
              <w:rPr>
                <w:sz w:val="22"/>
                <w:szCs w:val="22"/>
                <w:lang w:val="en-GB"/>
              </w:rPr>
              <w:t xml:space="preserve"> </w:t>
            </w:r>
            <w:proofErr w:type="spellStart"/>
            <w:r w:rsidRPr="00143528">
              <w:rPr>
                <w:sz w:val="22"/>
                <w:szCs w:val="22"/>
                <w:lang w:val="en-GB"/>
              </w:rPr>
              <w:t>syn</w:t>
            </w:r>
            <w:proofErr w:type="spellEnd"/>
          </w:p>
        </w:tc>
        <w:tc>
          <w:tcPr>
            <w:tcW w:w="634"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531A6170" w14:textId="77777777" w:rsidR="00143528" w:rsidRPr="00143528" w:rsidRDefault="00143528" w:rsidP="00C11463">
            <w:pPr>
              <w:ind w:left="112"/>
              <w:rPr>
                <w:sz w:val="22"/>
                <w:szCs w:val="22"/>
                <w:lang w:val="en-GB"/>
              </w:rPr>
            </w:pPr>
          </w:p>
          <w:p w14:paraId="3618F5DC" w14:textId="77777777" w:rsidR="00143528" w:rsidRPr="00143528" w:rsidRDefault="00143528" w:rsidP="00C11463">
            <w:pPr>
              <w:ind w:left="112"/>
              <w:rPr>
                <w:sz w:val="22"/>
                <w:szCs w:val="22"/>
                <w:lang w:val="en-GB"/>
              </w:rPr>
            </w:pPr>
          </w:p>
          <w:p w14:paraId="769CC02D" w14:textId="77777777" w:rsidR="00143528" w:rsidRPr="00143528" w:rsidRDefault="00143528" w:rsidP="00C11463">
            <w:pPr>
              <w:ind w:left="112"/>
              <w:rPr>
                <w:sz w:val="22"/>
                <w:szCs w:val="22"/>
                <w:lang w:val="en-GB"/>
              </w:rPr>
            </w:pPr>
            <w:r w:rsidRPr="00143528">
              <w:rPr>
                <w:sz w:val="22"/>
                <w:szCs w:val="22"/>
                <w:lang w:val="en-GB"/>
              </w:rPr>
              <w:t>48 (5,5)</w:t>
            </w:r>
          </w:p>
        </w:tc>
        <w:tc>
          <w:tcPr>
            <w:tcW w:w="1083"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76857495" w14:textId="77777777" w:rsidR="00143528" w:rsidRPr="00143528" w:rsidRDefault="00143528" w:rsidP="00C11463">
            <w:pPr>
              <w:ind w:left="112"/>
              <w:rPr>
                <w:sz w:val="22"/>
                <w:szCs w:val="22"/>
                <w:lang w:val="en-GB"/>
              </w:rPr>
            </w:pPr>
          </w:p>
          <w:p w14:paraId="78D66A3E" w14:textId="77777777" w:rsidR="00143528" w:rsidRPr="00143528" w:rsidRDefault="00143528" w:rsidP="00C11463">
            <w:pPr>
              <w:ind w:left="112"/>
              <w:rPr>
                <w:sz w:val="22"/>
                <w:szCs w:val="22"/>
                <w:lang w:val="en-GB"/>
              </w:rPr>
            </w:pPr>
          </w:p>
          <w:p w14:paraId="54B6BEF0" w14:textId="77777777" w:rsidR="00143528" w:rsidRPr="00143528" w:rsidRDefault="00143528" w:rsidP="00C11463">
            <w:pPr>
              <w:ind w:left="112"/>
              <w:rPr>
                <w:sz w:val="22"/>
                <w:szCs w:val="22"/>
                <w:lang w:val="en-GB"/>
              </w:rPr>
            </w:pPr>
            <w:r w:rsidRPr="00143528">
              <w:rPr>
                <w:sz w:val="22"/>
                <w:szCs w:val="22"/>
                <w:lang w:val="en-GB"/>
              </w:rPr>
              <w:t>1 (0,1)</w:t>
            </w:r>
          </w:p>
        </w:tc>
        <w:tc>
          <w:tcPr>
            <w:tcW w:w="677"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01C7E51E" w14:textId="77777777" w:rsidR="00143528" w:rsidRPr="00143528" w:rsidRDefault="00143528" w:rsidP="00C11463">
            <w:pPr>
              <w:ind w:left="112"/>
              <w:rPr>
                <w:sz w:val="22"/>
                <w:szCs w:val="22"/>
                <w:lang w:val="en-GB"/>
              </w:rPr>
            </w:pPr>
          </w:p>
          <w:p w14:paraId="6CAD60E6" w14:textId="77777777" w:rsidR="00143528" w:rsidRPr="00143528" w:rsidRDefault="00143528" w:rsidP="00C11463">
            <w:pPr>
              <w:ind w:left="112"/>
              <w:rPr>
                <w:sz w:val="22"/>
                <w:szCs w:val="22"/>
                <w:lang w:val="en-GB"/>
              </w:rPr>
            </w:pPr>
          </w:p>
          <w:p w14:paraId="526B4FD1"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02098681" w14:textId="77777777" w:rsidTr="00C11463">
        <w:trPr>
          <w:trHeight w:val="230"/>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69EF4E14" w14:textId="77777777" w:rsidR="00143528" w:rsidRPr="00143528" w:rsidRDefault="00143528" w:rsidP="00BF2DF3">
            <w:pPr>
              <w:ind w:left="477"/>
              <w:rPr>
                <w:sz w:val="22"/>
                <w:szCs w:val="22"/>
                <w:lang w:val="en-GB"/>
              </w:rPr>
            </w:pPr>
            <w:proofErr w:type="spellStart"/>
            <w:r w:rsidRPr="00143528">
              <w:rPr>
                <w:sz w:val="22"/>
                <w:szCs w:val="22"/>
                <w:lang w:val="en-GB"/>
              </w:rPr>
              <w:t>Tåreflåd</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hideMark/>
          </w:tcPr>
          <w:p w14:paraId="1C93497B" w14:textId="77777777" w:rsidR="00143528" w:rsidRPr="00143528" w:rsidRDefault="00143528" w:rsidP="00C11463">
            <w:pPr>
              <w:ind w:left="112"/>
              <w:rPr>
                <w:sz w:val="22"/>
                <w:szCs w:val="22"/>
                <w:lang w:val="en-GB"/>
              </w:rPr>
            </w:pPr>
            <w:r w:rsidRPr="00143528">
              <w:rPr>
                <w:sz w:val="22"/>
                <w:szCs w:val="22"/>
                <w:lang w:val="en-GB"/>
              </w:rPr>
              <w:t>59 (6,8)</w:t>
            </w:r>
          </w:p>
        </w:tc>
        <w:tc>
          <w:tcPr>
            <w:tcW w:w="1083" w:type="pct"/>
            <w:tcBorders>
              <w:top w:val="nil"/>
              <w:left w:val="single" w:sz="4" w:space="0" w:color="000000"/>
              <w:bottom w:val="nil"/>
              <w:right w:val="single" w:sz="4" w:space="0" w:color="000000"/>
            </w:tcBorders>
            <w:tcMar>
              <w:top w:w="23" w:type="dxa"/>
              <w:left w:w="82" w:type="dxa"/>
              <w:bottom w:w="0" w:type="dxa"/>
              <w:right w:w="68" w:type="dxa"/>
            </w:tcMar>
            <w:hideMark/>
          </w:tcPr>
          <w:p w14:paraId="5976C2F5" w14:textId="77777777" w:rsidR="00143528" w:rsidRPr="00143528" w:rsidRDefault="00143528" w:rsidP="00C11463">
            <w:pPr>
              <w:ind w:left="112"/>
              <w:rPr>
                <w:sz w:val="22"/>
                <w:szCs w:val="22"/>
                <w:lang w:val="en-GB"/>
              </w:rPr>
            </w:pPr>
            <w:r w:rsidRPr="00143528">
              <w:rPr>
                <w:sz w:val="22"/>
                <w:szCs w:val="22"/>
                <w:lang w:val="en-GB"/>
              </w:rPr>
              <w:t>0 (0,0)</w:t>
            </w:r>
          </w:p>
        </w:tc>
        <w:tc>
          <w:tcPr>
            <w:tcW w:w="677" w:type="pct"/>
            <w:tcBorders>
              <w:top w:val="nil"/>
              <w:left w:val="single" w:sz="4" w:space="0" w:color="000000"/>
              <w:bottom w:val="nil"/>
              <w:right w:val="single" w:sz="4" w:space="0" w:color="000000"/>
            </w:tcBorders>
            <w:tcMar>
              <w:top w:w="23" w:type="dxa"/>
              <w:left w:w="82" w:type="dxa"/>
              <w:bottom w:w="0" w:type="dxa"/>
              <w:right w:w="68" w:type="dxa"/>
            </w:tcMar>
            <w:hideMark/>
          </w:tcPr>
          <w:p w14:paraId="3C221196"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79EA21AC" w14:textId="77777777" w:rsidTr="00C11463">
        <w:trPr>
          <w:trHeight w:val="211"/>
        </w:trPr>
        <w:tc>
          <w:tcPr>
            <w:tcW w:w="2606"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4279C2A1" w14:textId="77777777" w:rsidR="00143528" w:rsidRPr="00143528" w:rsidRDefault="00143528" w:rsidP="00BF2DF3">
            <w:pPr>
              <w:ind w:left="477"/>
              <w:rPr>
                <w:sz w:val="22"/>
                <w:szCs w:val="22"/>
                <w:lang w:val="en-GB"/>
              </w:rPr>
            </w:pPr>
            <w:proofErr w:type="spellStart"/>
            <w:r w:rsidRPr="00143528">
              <w:rPr>
                <w:sz w:val="22"/>
                <w:szCs w:val="22"/>
                <w:lang w:val="en-GB"/>
              </w:rPr>
              <w:t>Tørre</w:t>
            </w:r>
            <w:proofErr w:type="spellEnd"/>
            <w:r w:rsidRPr="00143528">
              <w:rPr>
                <w:sz w:val="22"/>
                <w:szCs w:val="22"/>
                <w:lang w:val="en-GB"/>
              </w:rPr>
              <w:t xml:space="preserve"> </w:t>
            </w:r>
            <w:proofErr w:type="spellStart"/>
            <w:r w:rsidRPr="00143528">
              <w:rPr>
                <w:sz w:val="22"/>
                <w:szCs w:val="22"/>
                <w:lang w:val="en-GB"/>
              </w:rPr>
              <w:t>øjne</w:t>
            </w:r>
            <w:proofErr w:type="spellEnd"/>
          </w:p>
        </w:tc>
        <w:tc>
          <w:tcPr>
            <w:tcW w:w="634"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542C6412" w14:textId="77777777" w:rsidR="00143528" w:rsidRPr="00143528" w:rsidRDefault="00143528" w:rsidP="00C11463">
            <w:pPr>
              <w:ind w:left="112"/>
              <w:rPr>
                <w:sz w:val="22"/>
                <w:szCs w:val="22"/>
                <w:lang w:val="en-GB"/>
              </w:rPr>
            </w:pPr>
            <w:r w:rsidRPr="00143528">
              <w:rPr>
                <w:sz w:val="22"/>
                <w:szCs w:val="22"/>
                <w:lang w:val="en-GB"/>
              </w:rPr>
              <w:t>36 (4,1)</w:t>
            </w:r>
          </w:p>
        </w:tc>
        <w:tc>
          <w:tcPr>
            <w:tcW w:w="1083"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4607DF41" w14:textId="77777777" w:rsidR="00143528" w:rsidRPr="00143528" w:rsidRDefault="00143528" w:rsidP="00C11463">
            <w:pPr>
              <w:ind w:left="112"/>
              <w:rPr>
                <w:sz w:val="22"/>
                <w:szCs w:val="22"/>
                <w:lang w:val="en-GB"/>
              </w:rPr>
            </w:pPr>
            <w:r w:rsidRPr="00143528">
              <w:rPr>
                <w:sz w:val="22"/>
                <w:szCs w:val="22"/>
                <w:lang w:val="en-GB"/>
              </w:rPr>
              <w:t>0 (0,0)</w:t>
            </w:r>
          </w:p>
        </w:tc>
        <w:tc>
          <w:tcPr>
            <w:tcW w:w="677"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370C9CDA"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54A21496" w14:textId="77777777" w:rsidTr="00C11463">
        <w:trPr>
          <w:trHeight w:val="698"/>
        </w:trPr>
        <w:tc>
          <w:tcPr>
            <w:tcW w:w="2606"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hideMark/>
          </w:tcPr>
          <w:p w14:paraId="261AB275" w14:textId="77777777" w:rsidR="00143528" w:rsidRPr="00143528" w:rsidRDefault="00143528" w:rsidP="00C11463">
            <w:pPr>
              <w:ind w:left="112"/>
              <w:rPr>
                <w:sz w:val="22"/>
                <w:szCs w:val="22"/>
              </w:rPr>
            </w:pPr>
            <w:r w:rsidRPr="00143528">
              <w:rPr>
                <w:b/>
                <w:sz w:val="22"/>
                <w:szCs w:val="22"/>
              </w:rPr>
              <w:t>Vaskulære sygdomme</w:t>
            </w:r>
          </w:p>
          <w:p w14:paraId="693CE66D" w14:textId="77777777" w:rsidR="00143528" w:rsidRPr="00143528" w:rsidRDefault="00143528" w:rsidP="00C11463">
            <w:pPr>
              <w:ind w:left="112"/>
              <w:rPr>
                <w:sz w:val="22"/>
                <w:szCs w:val="22"/>
              </w:rPr>
            </w:pPr>
            <w:r w:rsidRPr="00143528">
              <w:rPr>
                <w:i/>
                <w:sz w:val="22"/>
                <w:szCs w:val="22"/>
              </w:rPr>
              <w:t>Almindelig</w:t>
            </w:r>
          </w:p>
          <w:p w14:paraId="6060DF14" w14:textId="77777777" w:rsidR="00143528" w:rsidRPr="00143528" w:rsidRDefault="00143528" w:rsidP="00BF2DF3">
            <w:pPr>
              <w:ind w:left="477"/>
              <w:rPr>
                <w:sz w:val="22"/>
                <w:szCs w:val="22"/>
              </w:rPr>
            </w:pPr>
            <w:r w:rsidRPr="00143528">
              <w:rPr>
                <w:sz w:val="22"/>
                <w:szCs w:val="22"/>
              </w:rPr>
              <w:t xml:space="preserve">Venøs </w:t>
            </w:r>
            <w:proofErr w:type="spellStart"/>
            <w:r w:rsidRPr="00143528">
              <w:rPr>
                <w:sz w:val="22"/>
                <w:szCs w:val="22"/>
              </w:rPr>
              <w:t>tromboembolisme</w:t>
            </w:r>
            <w:r w:rsidRPr="00143528">
              <w:rPr>
                <w:sz w:val="22"/>
                <w:szCs w:val="22"/>
                <w:vertAlign w:val="superscript"/>
              </w:rPr>
              <w:t>j</w:t>
            </w:r>
            <w:proofErr w:type="spellEnd"/>
          </w:p>
        </w:tc>
        <w:tc>
          <w:tcPr>
            <w:tcW w:w="634"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7F5AE94A" w14:textId="77777777" w:rsidR="00143528" w:rsidRPr="00143528" w:rsidRDefault="00143528" w:rsidP="00C11463">
            <w:pPr>
              <w:ind w:left="112"/>
              <w:rPr>
                <w:sz w:val="22"/>
                <w:szCs w:val="22"/>
              </w:rPr>
            </w:pPr>
          </w:p>
          <w:p w14:paraId="5DB4B2B8" w14:textId="77777777" w:rsidR="00143528" w:rsidRPr="00143528" w:rsidRDefault="00143528" w:rsidP="00C11463">
            <w:pPr>
              <w:ind w:left="112"/>
              <w:rPr>
                <w:sz w:val="22"/>
                <w:szCs w:val="22"/>
                <w:lang w:val="en-GB"/>
              </w:rPr>
            </w:pPr>
            <w:r w:rsidRPr="00143528">
              <w:rPr>
                <w:sz w:val="22"/>
                <w:szCs w:val="22"/>
                <w:lang w:val="en-GB"/>
              </w:rPr>
              <w:t>28 (3,2)</w:t>
            </w:r>
          </w:p>
        </w:tc>
        <w:tc>
          <w:tcPr>
            <w:tcW w:w="1083"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783919FA" w14:textId="77777777" w:rsidR="00143528" w:rsidRPr="00143528" w:rsidRDefault="00143528" w:rsidP="00C11463">
            <w:pPr>
              <w:ind w:left="112"/>
              <w:rPr>
                <w:sz w:val="22"/>
                <w:szCs w:val="22"/>
                <w:lang w:val="en-GB"/>
              </w:rPr>
            </w:pPr>
          </w:p>
          <w:p w14:paraId="41A6838E" w14:textId="77777777" w:rsidR="00143528" w:rsidRPr="00143528" w:rsidRDefault="00143528" w:rsidP="00C11463">
            <w:pPr>
              <w:ind w:left="112"/>
              <w:rPr>
                <w:sz w:val="22"/>
                <w:szCs w:val="22"/>
                <w:lang w:val="en-GB"/>
              </w:rPr>
            </w:pPr>
            <w:r w:rsidRPr="00143528">
              <w:rPr>
                <w:sz w:val="22"/>
                <w:szCs w:val="22"/>
                <w:lang w:val="en-GB"/>
              </w:rPr>
              <w:t>11 (1,3)</w:t>
            </w:r>
          </w:p>
        </w:tc>
        <w:tc>
          <w:tcPr>
            <w:tcW w:w="677"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2C11C29E" w14:textId="77777777" w:rsidR="00143528" w:rsidRPr="00143528" w:rsidRDefault="00143528" w:rsidP="00C11463">
            <w:pPr>
              <w:ind w:left="112"/>
              <w:rPr>
                <w:sz w:val="22"/>
                <w:szCs w:val="22"/>
                <w:lang w:val="en-GB"/>
              </w:rPr>
            </w:pPr>
          </w:p>
          <w:p w14:paraId="4063EDAE" w14:textId="77777777" w:rsidR="00143528" w:rsidRPr="00143528" w:rsidRDefault="00143528" w:rsidP="00C11463">
            <w:pPr>
              <w:ind w:left="112"/>
              <w:rPr>
                <w:sz w:val="22"/>
                <w:szCs w:val="22"/>
                <w:lang w:val="en-GB"/>
              </w:rPr>
            </w:pPr>
            <w:r w:rsidRPr="00143528">
              <w:rPr>
                <w:sz w:val="22"/>
                <w:szCs w:val="22"/>
                <w:lang w:val="en-GB"/>
              </w:rPr>
              <w:t>7 (0,8)</w:t>
            </w:r>
          </w:p>
        </w:tc>
      </w:tr>
      <w:tr w:rsidR="00143528" w:rsidRPr="00143528" w14:paraId="50F79242" w14:textId="77777777" w:rsidTr="00C11463">
        <w:trPr>
          <w:trHeight w:val="931"/>
        </w:trPr>
        <w:tc>
          <w:tcPr>
            <w:tcW w:w="2606"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hideMark/>
          </w:tcPr>
          <w:p w14:paraId="68FC994E" w14:textId="77777777" w:rsidR="00143528" w:rsidRPr="00143528" w:rsidRDefault="00143528" w:rsidP="00C11463">
            <w:pPr>
              <w:ind w:left="112"/>
              <w:rPr>
                <w:sz w:val="22"/>
                <w:szCs w:val="22"/>
              </w:rPr>
            </w:pPr>
            <w:r w:rsidRPr="00143528">
              <w:rPr>
                <w:b/>
                <w:sz w:val="22"/>
                <w:szCs w:val="22"/>
              </w:rPr>
              <w:t xml:space="preserve">Luftveje, thorax og </w:t>
            </w:r>
            <w:proofErr w:type="spellStart"/>
            <w:r w:rsidRPr="00143528">
              <w:rPr>
                <w:b/>
                <w:sz w:val="22"/>
                <w:szCs w:val="22"/>
              </w:rPr>
              <w:t>mediastinum</w:t>
            </w:r>
            <w:proofErr w:type="spellEnd"/>
          </w:p>
          <w:p w14:paraId="3D9224DF" w14:textId="77777777" w:rsidR="00143528" w:rsidRPr="00143528" w:rsidRDefault="00143528" w:rsidP="00C11463">
            <w:pPr>
              <w:ind w:left="112"/>
              <w:rPr>
                <w:sz w:val="22"/>
                <w:szCs w:val="22"/>
              </w:rPr>
            </w:pPr>
            <w:r w:rsidRPr="00143528">
              <w:rPr>
                <w:i/>
                <w:sz w:val="22"/>
                <w:szCs w:val="22"/>
              </w:rPr>
              <w:t>Almindelig</w:t>
            </w:r>
          </w:p>
          <w:p w14:paraId="2A9D4931" w14:textId="77777777" w:rsidR="00143528" w:rsidRPr="00143528" w:rsidRDefault="00143528" w:rsidP="00BF2DF3">
            <w:pPr>
              <w:ind w:left="477"/>
              <w:rPr>
                <w:sz w:val="22"/>
                <w:szCs w:val="22"/>
              </w:rPr>
            </w:pPr>
            <w:r w:rsidRPr="00143528">
              <w:rPr>
                <w:sz w:val="22"/>
                <w:szCs w:val="22"/>
              </w:rPr>
              <w:t>Næseblod</w:t>
            </w:r>
          </w:p>
          <w:p w14:paraId="6F0DAFE5" w14:textId="77777777" w:rsidR="00143528" w:rsidRPr="00143528" w:rsidRDefault="00143528" w:rsidP="00BF2DF3">
            <w:pPr>
              <w:ind w:left="477"/>
              <w:rPr>
                <w:sz w:val="22"/>
                <w:szCs w:val="22"/>
                <w:lang w:val="en-GB"/>
              </w:rPr>
            </w:pPr>
            <w:r w:rsidRPr="00143528">
              <w:rPr>
                <w:sz w:val="22"/>
                <w:szCs w:val="22"/>
                <w:lang w:val="en-GB"/>
              </w:rPr>
              <w:t>ILD/</w:t>
            </w:r>
            <w:proofErr w:type="spellStart"/>
            <w:r w:rsidRPr="00143528">
              <w:rPr>
                <w:sz w:val="22"/>
                <w:szCs w:val="22"/>
                <w:lang w:val="en-GB"/>
              </w:rPr>
              <w:t>pneumonitis</w:t>
            </w:r>
            <w:r w:rsidRPr="00143528">
              <w:rPr>
                <w:sz w:val="22"/>
                <w:szCs w:val="22"/>
                <w:vertAlign w:val="superscript"/>
                <w:lang w:val="en-GB"/>
              </w:rPr>
              <w:t>i</w:t>
            </w:r>
            <w:proofErr w:type="spellEnd"/>
          </w:p>
        </w:tc>
        <w:tc>
          <w:tcPr>
            <w:tcW w:w="634"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7B21CEE3" w14:textId="77777777" w:rsidR="00143528" w:rsidRPr="00143528" w:rsidRDefault="00143528" w:rsidP="00C11463">
            <w:pPr>
              <w:ind w:left="112"/>
              <w:rPr>
                <w:sz w:val="22"/>
                <w:szCs w:val="22"/>
                <w:lang w:val="en-GB"/>
              </w:rPr>
            </w:pPr>
          </w:p>
          <w:p w14:paraId="5B0ACD7A" w14:textId="77777777" w:rsidR="00143528" w:rsidRPr="00143528" w:rsidRDefault="00143528" w:rsidP="00C11463">
            <w:pPr>
              <w:ind w:left="112"/>
              <w:rPr>
                <w:sz w:val="22"/>
                <w:szCs w:val="22"/>
                <w:lang w:val="en-GB"/>
              </w:rPr>
            </w:pPr>
            <w:r w:rsidRPr="00143528">
              <w:rPr>
                <w:sz w:val="22"/>
                <w:szCs w:val="22"/>
                <w:lang w:val="en-GB"/>
              </w:rPr>
              <w:t>77 (8,8)</w:t>
            </w:r>
          </w:p>
          <w:p w14:paraId="4879BAA1" w14:textId="77777777" w:rsidR="00143528" w:rsidRPr="00143528" w:rsidRDefault="00143528" w:rsidP="00C11463">
            <w:pPr>
              <w:ind w:left="112"/>
              <w:rPr>
                <w:sz w:val="22"/>
                <w:szCs w:val="22"/>
                <w:lang w:val="en-GB"/>
              </w:rPr>
            </w:pPr>
            <w:r w:rsidRPr="00143528">
              <w:rPr>
                <w:sz w:val="22"/>
                <w:szCs w:val="22"/>
                <w:lang w:val="en-GB"/>
              </w:rPr>
              <w:t>12 (1,4)</w:t>
            </w:r>
          </w:p>
        </w:tc>
        <w:tc>
          <w:tcPr>
            <w:tcW w:w="1083"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00F98F41" w14:textId="77777777" w:rsidR="00143528" w:rsidRPr="00143528" w:rsidRDefault="00143528" w:rsidP="00C11463">
            <w:pPr>
              <w:ind w:left="112"/>
              <w:rPr>
                <w:sz w:val="22"/>
                <w:szCs w:val="22"/>
                <w:lang w:val="en-GB"/>
              </w:rPr>
            </w:pPr>
          </w:p>
          <w:p w14:paraId="00F95F26" w14:textId="77777777" w:rsidR="00143528" w:rsidRPr="00143528" w:rsidRDefault="00143528" w:rsidP="00C11463">
            <w:pPr>
              <w:numPr>
                <w:ilvl w:val="0"/>
                <w:numId w:val="7"/>
              </w:numPr>
              <w:ind w:left="112"/>
              <w:rPr>
                <w:sz w:val="22"/>
                <w:szCs w:val="22"/>
                <w:lang w:val="en-GB"/>
              </w:rPr>
            </w:pPr>
            <w:r w:rsidRPr="00143528">
              <w:rPr>
                <w:sz w:val="22"/>
                <w:szCs w:val="22"/>
                <w:lang w:val="en-GB"/>
              </w:rPr>
              <w:t>(0,0)</w:t>
            </w:r>
          </w:p>
          <w:p w14:paraId="79C3E090" w14:textId="77777777" w:rsidR="00143528" w:rsidRPr="00143528" w:rsidRDefault="00143528" w:rsidP="00C11463">
            <w:pPr>
              <w:numPr>
                <w:ilvl w:val="0"/>
                <w:numId w:val="7"/>
              </w:numPr>
              <w:ind w:left="112"/>
              <w:rPr>
                <w:sz w:val="22"/>
                <w:szCs w:val="22"/>
                <w:lang w:val="en-GB"/>
              </w:rPr>
            </w:pPr>
            <w:r w:rsidRPr="00143528">
              <w:rPr>
                <w:sz w:val="22"/>
                <w:szCs w:val="22"/>
                <w:lang w:val="en-GB"/>
              </w:rPr>
              <w:t>(0,1)</w:t>
            </w:r>
          </w:p>
        </w:tc>
        <w:tc>
          <w:tcPr>
            <w:tcW w:w="677" w:type="pct"/>
            <w:tcBorders>
              <w:top w:val="single" w:sz="4" w:space="0" w:color="000000"/>
              <w:left w:val="single" w:sz="4" w:space="0" w:color="000000"/>
              <w:bottom w:val="single" w:sz="4" w:space="0" w:color="000000"/>
              <w:right w:val="single" w:sz="4" w:space="0" w:color="000000"/>
            </w:tcBorders>
            <w:tcMar>
              <w:top w:w="23" w:type="dxa"/>
              <w:left w:w="82" w:type="dxa"/>
              <w:bottom w:w="0" w:type="dxa"/>
              <w:right w:w="68" w:type="dxa"/>
            </w:tcMar>
          </w:tcPr>
          <w:p w14:paraId="6A8ADCA5" w14:textId="77777777" w:rsidR="00143528" w:rsidRPr="00143528" w:rsidRDefault="00143528" w:rsidP="00C11463">
            <w:pPr>
              <w:ind w:left="112"/>
              <w:rPr>
                <w:sz w:val="22"/>
                <w:szCs w:val="22"/>
                <w:lang w:val="en-GB"/>
              </w:rPr>
            </w:pPr>
          </w:p>
          <w:p w14:paraId="6C3F9FD9" w14:textId="77777777" w:rsidR="00143528" w:rsidRPr="00143528" w:rsidRDefault="00143528" w:rsidP="00C11463">
            <w:pPr>
              <w:ind w:left="112"/>
              <w:rPr>
                <w:sz w:val="22"/>
                <w:szCs w:val="22"/>
                <w:lang w:val="en-GB"/>
              </w:rPr>
            </w:pPr>
            <w:r w:rsidRPr="00143528">
              <w:rPr>
                <w:sz w:val="22"/>
                <w:szCs w:val="22"/>
                <w:lang w:val="en-GB"/>
              </w:rPr>
              <w:t>0 (0,0)</w:t>
            </w:r>
          </w:p>
          <w:p w14:paraId="5FE435FA"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0032BEE0" w14:textId="77777777" w:rsidTr="00C11463">
        <w:trPr>
          <w:trHeight w:val="718"/>
        </w:trPr>
        <w:tc>
          <w:tcPr>
            <w:tcW w:w="2606" w:type="pct"/>
            <w:tcBorders>
              <w:top w:val="single" w:sz="4" w:space="0" w:color="000000"/>
              <w:left w:val="single" w:sz="4" w:space="0" w:color="000000"/>
              <w:bottom w:val="nil"/>
              <w:right w:val="single" w:sz="4" w:space="0" w:color="000000"/>
            </w:tcBorders>
            <w:tcMar>
              <w:top w:w="23" w:type="dxa"/>
              <w:left w:w="82" w:type="dxa"/>
              <w:bottom w:w="0" w:type="dxa"/>
              <w:right w:w="68" w:type="dxa"/>
            </w:tcMar>
            <w:hideMark/>
          </w:tcPr>
          <w:p w14:paraId="44B2D108" w14:textId="77777777" w:rsidR="00143528" w:rsidRPr="00143528" w:rsidRDefault="00143528" w:rsidP="00C11463">
            <w:pPr>
              <w:ind w:left="112"/>
              <w:rPr>
                <w:sz w:val="22"/>
                <w:szCs w:val="22"/>
                <w:lang w:val="en-GB"/>
              </w:rPr>
            </w:pPr>
            <w:r w:rsidRPr="00143528">
              <w:rPr>
                <w:b/>
                <w:sz w:val="22"/>
                <w:szCs w:val="22"/>
                <w:lang w:val="en-GB"/>
              </w:rPr>
              <w:t>Mave-</w:t>
            </w:r>
            <w:proofErr w:type="spellStart"/>
            <w:r w:rsidRPr="00143528">
              <w:rPr>
                <w:b/>
                <w:sz w:val="22"/>
                <w:szCs w:val="22"/>
                <w:lang w:val="en-GB"/>
              </w:rPr>
              <w:t>tarm</w:t>
            </w:r>
            <w:proofErr w:type="spellEnd"/>
            <w:r w:rsidRPr="00143528">
              <w:rPr>
                <w:b/>
                <w:sz w:val="22"/>
                <w:szCs w:val="22"/>
                <w:lang w:val="en-GB"/>
              </w:rPr>
              <w:t>-</w:t>
            </w:r>
            <w:proofErr w:type="spellStart"/>
            <w:r w:rsidRPr="00143528">
              <w:rPr>
                <w:b/>
                <w:sz w:val="22"/>
                <w:szCs w:val="22"/>
                <w:lang w:val="en-GB"/>
              </w:rPr>
              <w:t>kanalen</w:t>
            </w:r>
            <w:proofErr w:type="spellEnd"/>
          </w:p>
          <w:p w14:paraId="1B09FEB1" w14:textId="77777777" w:rsidR="00143528" w:rsidRPr="00143528" w:rsidRDefault="00143528" w:rsidP="00C11463">
            <w:pPr>
              <w:ind w:left="112"/>
              <w:rPr>
                <w:i/>
                <w:iCs/>
                <w:sz w:val="22"/>
                <w:szCs w:val="22"/>
                <w:lang w:val="en-GB"/>
              </w:rPr>
            </w:pPr>
            <w:r w:rsidRPr="00143528">
              <w:rPr>
                <w:i/>
                <w:iCs/>
                <w:sz w:val="22"/>
                <w:szCs w:val="22"/>
                <w:lang w:val="en-GB"/>
              </w:rPr>
              <w:t xml:space="preserve">Meget </w:t>
            </w:r>
            <w:proofErr w:type="spellStart"/>
            <w:r w:rsidRPr="00143528">
              <w:rPr>
                <w:i/>
                <w:iCs/>
                <w:sz w:val="22"/>
                <w:szCs w:val="22"/>
                <w:lang w:val="en-GB"/>
              </w:rPr>
              <w:t>almindelig</w:t>
            </w:r>
            <w:proofErr w:type="spellEnd"/>
          </w:p>
          <w:p w14:paraId="697C9D85" w14:textId="77777777" w:rsidR="00143528" w:rsidRPr="00143528" w:rsidRDefault="00143528" w:rsidP="000027E3">
            <w:pPr>
              <w:ind w:left="477"/>
              <w:rPr>
                <w:sz w:val="22"/>
                <w:szCs w:val="22"/>
                <w:lang w:val="en-GB"/>
              </w:rPr>
            </w:pPr>
            <w:r w:rsidRPr="00143528">
              <w:rPr>
                <w:sz w:val="22"/>
                <w:szCs w:val="22"/>
                <w:lang w:val="en-GB"/>
              </w:rPr>
              <w:t>Stomatitis</w:t>
            </w:r>
            <w:r w:rsidRPr="00143528">
              <w:rPr>
                <w:sz w:val="22"/>
                <w:szCs w:val="22"/>
                <w:vertAlign w:val="superscript"/>
                <w:lang w:val="en-GB"/>
              </w:rPr>
              <w:t>g</w:t>
            </w:r>
          </w:p>
        </w:tc>
        <w:tc>
          <w:tcPr>
            <w:tcW w:w="634"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6CB3F39F" w14:textId="77777777" w:rsidR="00143528" w:rsidRPr="00143528" w:rsidRDefault="00143528" w:rsidP="00C11463">
            <w:pPr>
              <w:ind w:left="112"/>
              <w:rPr>
                <w:sz w:val="22"/>
                <w:szCs w:val="22"/>
                <w:lang w:val="en-GB"/>
              </w:rPr>
            </w:pPr>
          </w:p>
          <w:p w14:paraId="4E9601B6" w14:textId="77777777" w:rsidR="00143528" w:rsidRPr="00143528" w:rsidRDefault="00143528" w:rsidP="00C11463">
            <w:pPr>
              <w:ind w:left="112"/>
              <w:rPr>
                <w:sz w:val="22"/>
                <w:szCs w:val="22"/>
                <w:lang w:val="en-GB"/>
              </w:rPr>
            </w:pPr>
            <w:r w:rsidRPr="00143528">
              <w:rPr>
                <w:sz w:val="22"/>
                <w:szCs w:val="22"/>
                <w:lang w:val="en-GB"/>
              </w:rPr>
              <w:t>264 (30,3)</w:t>
            </w:r>
          </w:p>
        </w:tc>
        <w:tc>
          <w:tcPr>
            <w:tcW w:w="1083"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6BCC9322" w14:textId="77777777" w:rsidR="00143528" w:rsidRPr="00143528" w:rsidRDefault="00143528" w:rsidP="00C11463">
            <w:pPr>
              <w:ind w:left="112"/>
              <w:rPr>
                <w:sz w:val="22"/>
                <w:szCs w:val="22"/>
                <w:lang w:val="en-GB"/>
              </w:rPr>
            </w:pPr>
          </w:p>
          <w:p w14:paraId="22356E66" w14:textId="77777777" w:rsidR="00143528" w:rsidRPr="00143528" w:rsidRDefault="00143528" w:rsidP="00C11463">
            <w:pPr>
              <w:ind w:left="112"/>
              <w:rPr>
                <w:sz w:val="22"/>
                <w:szCs w:val="22"/>
                <w:lang w:val="en-GB"/>
              </w:rPr>
            </w:pPr>
            <w:r w:rsidRPr="00143528">
              <w:rPr>
                <w:sz w:val="22"/>
                <w:szCs w:val="22"/>
                <w:lang w:val="en-GB"/>
              </w:rPr>
              <w:t>8 (0,9)</w:t>
            </w:r>
          </w:p>
        </w:tc>
        <w:tc>
          <w:tcPr>
            <w:tcW w:w="677"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76D8FA05" w14:textId="77777777" w:rsidR="00143528" w:rsidRPr="00143528" w:rsidRDefault="00143528" w:rsidP="00C11463">
            <w:pPr>
              <w:ind w:left="112"/>
              <w:rPr>
                <w:sz w:val="22"/>
                <w:szCs w:val="22"/>
                <w:lang w:val="en-GB"/>
              </w:rPr>
            </w:pPr>
          </w:p>
          <w:p w14:paraId="7CFC9024"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36F05F10" w14:textId="77777777" w:rsidTr="00C11463">
        <w:trPr>
          <w:trHeight w:val="230"/>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35D14C5A" w14:textId="77777777" w:rsidR="00143528" w:rsidRPr="00143528" w:rsidRDefault="00143528" w:rsidP="000027E3">
            <w:pPr>
              <w:ind w:left="477"/>
              <w:rPr>
                <w:sz w:val="22"/>
                <w:szCs w:val="22"/>
                <w:lang w:val="en-GB"/>
              </w:rPr>
            </w:pPr>
            <w:proofErr w:type="spellStart"/>
            <w:r w:rsidRPr="00143528">
              <w:rPr>
                <w:sz w:val="22"/>
                <w:szCs w:val="22"/>
                <w:lang w:val="en-GB"/>
              </w:rPr>
              <w:t>Kvalme</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hideMark/>
          </w:tcPr>
          <w:p w14:paraId="396ADC48" w14:textId="77777777" w:rsidR="00143528" w:rsidRPr="00143528" w:rsidRDefault="00143528" w:rsidP="00C11463">
            <w:pPr>
              <w:ind w:left="112"/>
              <w:rPr>
                <w:sz w:val="22"/>
                <w:szCs w:val="22"/>
                <w:lang w:val="en-GB"/>
              </w:rPr>
            </w:pPr>
            <w:r w:rsidRPr="00143528">
              <w:rPr>
                <w:sz w:val="22"/>
                <w:szCs w:val="22"/>
                <w:lang w:val="en-GB"/>
              </w:rPr>
              <w:t>314 (36,0)</w:t>
            </w:r>
          </w:p>
        </w:tc>
        <w:tc>
          <w:tcPr>
            <w:tcW w:w="1083" w:type="pct"/>
            <w:tcBorders>
              <w:top w:val="nil"/>
              <w:left w:val="single" w:sz="4" w:space="0" w:color="000000"/>
              <w:bottom w:val="nil"/>
              <w:right w:val="single" w:sz="4" w:space="0" w:color="000000"/>
            </w:tcBorders>
            <w:tcMar>
              <w:top w:w="23" w:type="dxa"/>
              <w:left w:w="82" w:type="dxa"/>
              <w:bottom w:w="0" w:type="dxa"/>
              <w:right w:w="68" w:type="dxa"/>
            </w:tcMar>
            <w:hideMark/>
          </w:tcPr>
          <w:p w14:paraId="5391983D" w14:textId="77777777" w:rsidR="00143528" w:rsidRPr="00143528" w:rsidRDefault="00143528" w:rsidP="00C11463">
            <w:pPr>
              <w:ind w:left="112"/>
              <w:rPr>
                <w:sz w:val="22"/>
                <w:szCs w:val="22"/>
                <w:lang w:val="en-GB"/>
              </w:rPr>
            </w:pPr>
            <w:r w:rsidRPr="00143528">
              <w:rPr>
                <w:sz w:val="22"/>
                <w:szCs w:val="22"/>
                <w:lang w:val="en-GB"/>
              </w:rPr>
              <w:t>5 (0,6)</w:t>
            </w:r>
          </w:p>
        </w:tc>
        <w:tc>
          <w:tcPr>
            <w:tcW w:w="677" w:type="pct"/>
            <w:tcBorders>
              <w:top w:val="nil"/>
              <w:left w:val="single" w:sz="4" w:space="0" w:color="000000"/>
              <w:bottom w:val="nil"/>
              <w:right w:val="single" w:sz="4" w:space="0" w:color="000000"/>
            </w:tcBorders>
            <w:tcMar>
              <w:top w:w="23" w:type="dxa"/>
              <w:left w:w="82" w:type="dxa"/>
              <w:bottom w:w="0" w:type="dxa"/>
              <w:right w:w="68" w:type="dxa"/>
            </w:tcMar>
            <w:hideMark/>
          </w:tcPr>
          <w:p w14:paraId="138A2D16"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378CFBDE" w14:textId="77777777" w:rsidTr="00C11463">
        <w:trPr>
          <w:trHeight w:val="230"/>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3E7BB9E3" w14:textId="77777777" w:rsidR="00143528" w:rsidRPr="00143528" w:rsidRDefault="00143528" w:rsidP="000027E3">
            <w:pPr>
              <w:ind w:left="477"/>
              <w:rPr>
                <w:sz w:val="22"/>
                <w:szCs w:val="22"/>
                <w:lang w:val="en-GB"/>
              </w:rPr>
            </w:pPr>
            <w:proofErr w:type="spellStart"/>
            <w:r w:rsidRPr="00143528">
              <w:rPr>
                <w:sz w:val="22"/>
                <w:szCs w:val="22"/>
                <w:lang w:val="en-GB"/>
              </w:rPr>
              <w:t>Diarré</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hideMark/>
          </w:tcPr>
          <w:p w14:paraId="2B970179" w14:textId="77777777" w:rsidR="00143528" w:rsidRPr="00143528" w:rsidRDefault="00143528" w:rsidP="00C11463">
            <w:pPr>
              <w:ind w:left="112"/>
              <w:rPr>
                <w:sz w:val="22"/>
                <w:szCs w:val="22"/>
                <w:lang w:val="en-GB"/>
              </w:rPr>
            </w:pPr>
            <w:r w:rsidRPr="00143528">
              <w:rPr>
                <w:sz w:val="22"/>
                <w:szCs w:val="22"/>
                <w:lang w:val="en-GB"/>
              </w:rPr>
              <w:t>238 (27,3)</w:t>
            </w:r>
          </w:p>
        </w:tc>
        <w:tc>
          <w:tcPr>
            <w:tcW w:w="1083" w:type="pct"/>
            <w:tcBorders>
              <w:top w:val="nil"/>
              <w:left w:val="single" w:sz="4" w:space="0" w:color="000000"/>
              <w:bottom w:val="nil"/>
              <w:right w:val="single" w:sz="4" w:space="0" w:color="000000"/>
            </w:tcBorders>
            <w:tcMar>
              <w:top w:w="23" w:type="dxa"/>
              <w:left w:w="82" w:type="dxa"/>
              <w:bottom w:w="0" w:type="dxa"/>
              <w:right w:w="68" w:type="dxa"/>
            </w:tcMar>
            <w:hideMark/>
          </w:tcPr>
          <w:p w14:paraId="5B2047C9" w14:textId="77777777" w:rsidR="00143528" w:rsidRPr="00143528" w:rsidRDefault="00143528" w:rsidP="00C11463">
            <w:pPr>
              <w:ind w:left="112"/>
              <w:rPr>
                <w:sz w:val="22"/>
                <w:szCs w:val="22"/>
                <w:lang w:val="en-GB"/>
              </w:rPr>
            </w:pPr>
            <w:r w:rsidRPr="00143528">
              <w:rPr>
                <w:sz w:val="22"/>
                <w:szCs w:val="22"/>
                <w:lang w:val="en-GB"/>
              </w:rPr>
              <w:t>9 (1,0)</w:t>
            </w:r>
          </w:p>
        </w:tc>
        <w:tc>
          <w:tcPr>
            <w:tcW w:w="677" w:type="pct"/>
            <w:tcBorders>
              <w:top w:val="nil"/>
              <w:left w:val="single" w:sz="4" w:space="0" w:color="000000"/>
              <w:bottom w:val="nil"/>
              <w:right w:val="single" w:sz="4" w:space="0" w:color="000000"/>
            </w:tcBorders>
            <w:tcMar>
              <w:top w:w="23" w:type="dxa"/>
              <w:left w:w="82" w:type="dxa"/>
              <w:bottom w:w="0" w:type="dxa"/>
              <w:right w:w="68" w:type="dxa"/>
            </w:tcMar>
            <w:hideMark/>
          </w:tcPr>
          <w:p w14:paraId="006ED924"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4AB403B2" w14:textId="77777777" w:rsidTr="00C11463">
        <w:trPr>
          <w:trHeight w:val="211"/>
        </w:trPr>
        <w:tc>
          <w:tcPr>
            <w:tcW w:w="2606"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36A7398F" w14:textId="77777777" w:rsidR="00143528" w:rsidRPr="00143528" w:rsidRDefault="00143528" w:rsidP="000027E3">
            <w:pPr>
              <w:ind w:left="477"/>
              <w:rPr>
                <w:sz w:val="22"/>
                <w:szCs w:val="22"/>
                <w:lang w:val="en-GB"/>
              </w:rPr>
            </w:pPr>
            <w:proofErr w:type="spellStart"/>
            <w:r w:rsidRPr="00143528">
              <w:rPr>
                <w:sz w:val="22"/>
                <w:szCs w:val="22"/>
                <w:lang w:val="en-GB"/>
              </w:rPr>
              <w:t>Opkastning</w:t>
            </w:r>
            <w:proofErr w:type="spellEnd"/>
          </w:p>
        </w:tc>
        <w:tc>
          <w:tcPr>
            <w:tcW w:w="634"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4857F3F2" w14:textId="77777777" w:rsidR="00143528" w:rsidRPr="00143528" w:rsidRDefault="00143528" w:rsidP="00C11463">
            <w:pPr>
              <w:ind w:left="112"/>
              <w:rPr>
                <w:sz w:val="22"/>
                <w:szCs w:val="22"/>
                <w:lang w:val="en-GB"/>
              </w:rPr>
            </w:pPr>
            <w:r w:rsidRPr="00143528">
              <w:rPr>
                <w:sz w:val="22"/>
                <w:szCs w:val="22"/>
                <w:lang w:val="en-GB"/>
              </w:rPr>
              <w:t>165 (18,9)</w:t>
            </w:r>
          </w:p>
        </w:tc>
        <w:tc>
          <w:tcPr>
            <w:tcW w:w="1083"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71367250" w14:textId="77777777" w:rsidR="00143528" w:rsidRPr="00143528" w:rsidRDefault="00143528" w:rsidP="00C11463">
            <w:pPr>
              <w:ind w:left="112"/>
              <w:rPr>
                <w:sz w:val="22"/>
                <w:szCs w:val="22"/>
                <w:lang w:val="en-GB"/>
              </w:rPr>
            </w:pPr>
            <w:r w:rsidRPr="00143528">
              <w:rPr>
                <w:sz w:val="22"/>
                <w:szCs w:val="22"/>
                <w:lang w:val="en-GB"/>
              </w:rPr>
              <w:t>6 (0,7)</w:t>
            </w:r>
          </w:p>
        </w:tc>
        <w:tc>
          <w:tcPr>
            <w:tcW w:w="677"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50CC5A60"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0B818FF2" w14:textId="77777777" w:rsidTr="00C11463">
        <w:trPr>
          <w:trHeight w:val="719"/>
        </w:trPr>
        <w:tc>
          <w:tcPr>
            <w:tcW w:w="2606" w:type="pct"/>
            <w:tcBorders>
              <w:top w:val="single" w:sz="4" w:space="0" w:color="000000"/>
              <w:left w:val="single" w:sz="4" w:space="0" w:color="000000"/>
              <w:bottom w:val="nil"/>
              <w:right w:val="single" w:sz="4" w:space="0" w:color="000000"/>
            </w:tcBorders>
            <w:tcMar>
              <w:top w:w="23" w:type="dxa"/>
              <w:left w:w="82" w:type="dxa"/>
              <w:bottom w:w="0" w:type="dxa"/>
              <w:right w:w="68" w:type="dxa"/>
            </w:tcMar>
            <w:hideMark/>
          </w:tcPr>
          <w:p w14:paraId="76FE8FF0" w14:textId="77777777" w:rsidR="00143528" w:rsidRPr="00143528" w:rsidRDefault="00143528" w:rsidP="00C11463">
            <w:pPr>
              <w:ind w:left="112"/>
              <w:rPr>
                <w:sz w:val="22"/>
                <w:szCs w:val="22"/>
              </w:rPr>
            </w:pPr>
            <w:r w:rsidRPr="00143528">
              <w:rPr>
                <w:b/>
                <w:sz w:val="22"/>
                <w:szCs w:val="22"/>
              </w:rPr>
              <w:t>Hud og subkutane væv</w:t>
            </w:r>
          </w:p>
          <w:p w14:paraId="1EE4E6F2" w14:textId="77777777" w:rsidR="00143528" w:rsidRPr="00143528" w:rsidRDefault="00143528" w:rsidP="00C11463">
            <w:pPr>
              <w:ind w:left="112"/>
              <w:rPr>
                <w:sz w:val="22"/>
                <w:szCs w:val="22"/>
              </w:rPr>
            </w:pPr>
            <w:r w:rsidRPr="00143528">
              <w:rPr>
                <w:i/>
                <w:sz w:val="22"/>
                <w:szCs w:val="22"/>
              </w:rPr>
              <w:t>Meget almindelig</w:t>
            </w:r>
          </w:p>
          <w:p w14:paraId="4E7C9606" w14:textId="77777777" w:rsidR="00143528" w:rsidRPr="00143528" w:rsidRDefault="00143528" w:rsidP="000027E3">
            <w:pPr>
              <w:ind w:left="477"/>
              <w:rPr>
                <w:sz w:val="22"/>
                <w:szCs w:val="22"/>
                <w:lang w:val="en-GB"/>
              </w:rPr>
            </w:pPr>
            <w:proofErr w:type="spellStart"/>
            <w:r w:rsidRPr="00143528">
              <w:rPr>
                <w:sz w:val="22"/>
                <w:szCs w:val="22"/>
                <w:lang w:val="en-GB"/>
              </w:rPr>
              <w:t>Udslæt</w:t>
            </w:r>
            <w:r w:rsidRPr="00143528">
              <w:rPr>
                <w:sz w:val="22"/>
                <w:szCs w:val="22"/>
                <w:vertAlign w:val="superscript"/>
                <w:lang w:val="en-GB"/>
              </w:rPr>
              <w:t>h</w:t>
            </w:r>
            <w:proofErr w:type="spellEnd"/>
          </w:p>
        </w:tc>
        <w:tc>
          <w:tcPr>
            <w:tcW w:w="634"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1C94424B" w14:textId="77777777" w:rsidR="00143528" w:rsidRPr="00143528" w:rsidRDefault="00143528" w:rsidP="00C11463">
            <w:pPr>
              <w:ind w:left="112"/>
              <w:rPr>
                <w:sz w:val="22"/>
                <w:szCs w:val="22"/>
                <w:lang w:val="en-GB"/>
              </w:rPr>
            </w:pPr>
          </w:p>
          <w:p w14:paraId="7EBFF01D" w14:textId="77777777" w:rsidR="00143528" w:rsidRPr="00143528" w:rsidRDefault="00143528" w:rsidP="00C11463">
            <w:pPr>
              <w:ind w:left="112"/>
              <w:rPr>
                <w:sz w:val="22"/>
                <w:szCs w:val="22"/>
                <w:lang w:val="en-GB"/>
              </w:rPr>
            </w:pPr>
            <w:r w:rsidRPr="00143528">
              <w:rPr>
                <w:sz w:val="22"/>
                <w:szCs w:val="22"/>
                <w:lang w:val="en-GB"/>
              </w:rPr>
              <w:t>158 (18,1)</w:t>
            </w:r>
          </w:p>
        </w:tc>
        <w:tc>
          <w:tcPr>
            <w:tcW w:w="1083"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246B8392" w14:textId="77777777" w:rsidR="00143528" w:rsidRPr="00143528" w:rsidRDefault="00143528" w:rsidP="00C11463">
            <w:pPr>
              <w:ind w:left="112"/>
              <w:rPr>
                <w:sz w:val="22"/>
                <w:szCs w:val="22"/>
                <w:lang w:val="en-GB"/>
              </w:rPr>
            </w:pPr>
          </w:p>
          <w:p w14:paraId="4BA33568" w14:textId="77777777" w:rsidR="00143528" w:rsidRPr="00143528" w:rsidRDefault="00143528" w:rsidP="00C11463">
            <w:pPr>
              <w:ind w:left="112"/>
              <w:rPr>
                <w:sz w:val="22"/>
                <w:szCs w:val="22"/>
                <w:lang w:val="en-GB"/>
              </w:rPr>
            </w:pPr>
            <w:r w:rsidRPr="00143528">
              <w:rPr>
                <w:sz w:val="22"/>
                <w:szCs w:val="22"/>
                <w:lang w:val="en-GB"/>
              </w:rPr>
              <w:t>7 (0,8)</w:t>
            </w:r>
          </w:p>
        </w:tc>
        <w:tc>
          <w:tcPr>
            <w:tcW w:w="677"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4F44A78E" w14:textId="77777777" w:rsidR="00143528" w:rsidRPr="00143528" w:rsidRDefault="00143528" w:rsidP="00C11463">
            <w:pPr>
              <w:ind w:left="112"/>
              <w:rPr>
                <w:sz w:val="22"/>
                <w:szCs w:val="22"/>
                <w:lang w:val="en-GB"/>
              </w:rPr>
            </w:pPr>
          </w:p>
          <w:p w14:paraId="17DCC516"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592AFFC1" w14:textId="77777777" w:rsidTr="00C11463">
        <w:trPr>
          <w:trHeight w:val="229"/>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047BFE2D" w14:textId="77777777" w:rsidR="00143528" w:rsidRPr="00143528" w:rsidRDefault="00143528" w:rsidP="000027E3">
            <w:pPr>
              <w:ind w:left="477"/>
              <w:rPr>
                <w:sz w:val="22"/>
                <w:szCs w:val="22"/>
                <w:lang w:val="en-GB"/>
              </w:rPr>
            </w:pPr>
            <w:proofErr w:type="spellStart"/>
            <w:r w:rsidRPr="00143528">
              <w:rPr>
                <w:sz w:val="22"/>
                <w:szCs w:val="22"/>
                <w:lang w:val="en-GB"/>
              </w:rPr>
              <w:t>Alopeci</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hideMark/>
          </w:tcPr>
          <w:p w14:paraId="23D2ADDC" w14:textId="77777777" w:rsidR="00143528" w:rsidRPr="00143528" w:rsidRDefault="00143528" w:rsidP="00C11463">
            <w:pPr>
              <w:ind w:left="112"/>
              <w:rPr>
                <w:sz w:val="22"/>
                <w:szCs w:val="22"/>
                <w:lang w:val="en-GB"/>
              </w:rPr>
            </w:pPr>
            <w:r w:rsidRPr="00143528">
              <w:rPr>
                <w:sz w:val="22"/>
                <w:szCs w:val="22"/>
                <w:lang w:val="en-GB"/>
              </w:rPr>
              <w:t>234 (26,8)</w:t>
            </w:r>
          </w:p>
        </w:tc>
        <w:tc>
          <w:tcPr>
            <w:tcW w:w="1083" w:type="pct"/>
            <w:tcBorders>
              <w:top w:val="nil"/>
              <w:left w:val="single" w:sz="4" w:space="0" w:color="000000"/>
              <w:bottom w:val="nil"/>
              <w:right w:val="single" w:sz="4" w:space="0" w:color="000000"/>
            </w:tcBorders>
            <w:tcMar>
              <w:top w:w="23" w:type="dxa"/>
              <w:left w:w="82" w:type="dxa"/>
              <w:bottom w:w="0" w:type="dxa"/>
              <w:right w:w="68" w:type="dxa"/>
            </w:tcMar>
            <w:hideMark/>
          </w:tcPr>
          <w:p w14:paraId="64649C86" w14:textId="77777777" w:rsidR="00143528" w:rsidRPr="00143528" w:rsidRDefault="00143528" w:rsidP="00C11463">
            <w:pPr>
              <w:ind w:left="112"/>
              <w:rPr>
                <w:sz w:val="22"/>
                <w:szCs w:val="22"/>
                <w:lang w:val="en-GB"/>
              </w:rPr>
            </w:pPr>
            <w:r w:rsidRPr="00143528">
              <w:rPr>
                <w:sz w:val="22"/>
                <w:szCs w:val="22"/>
                <w:lang w:val="en-GB"/>
              </w:rPr>
              <w:t>N/A</w:t>
            </w:r>
          </w:p>
        </w:tc>
        <w:tc>
          <w:tcPr>
            <w:tcW w:w="677" w:type="pct"/>
            <w:tcBorders>
              <w:top w:val="nil"/>
              <w:left w:val="single" w:sz="4" w:space="0" w:color="000000"/>
              <w:bottom w:val="nil"/>
              <w:right w:val="single" w:sz="4" w:space="0" w:color="000000"/>
            </w:tcBorders>
            <w:tcMar>
              <w:top w:w="23" w:type="dxa"/>
              <w:left w:w="82" w:type="dxa"/>
              <w:bottom w:w="0" w:type="dxa"/>
              <w:right w:w="68" w:type="dxa"/>
            </w:tcMar>
            <w:hideMark/>
          </w:tcPr>
          <w:p w14:paraId="02D5A516" w14:textId="77777777" w:rsidR="00143528" w:rsidRPr="00143528" w:rsidRDefault="00143528" w:rsidP="00C11463">
            <w:pPr>
              <w:ind w:left="112"/>
              <w:rPr>
                <w:sz w:val="22"/>
                <w:szCs w:val="22"/>
                <w:lang w:val="en-GB"/>
              </w:rPr>
            </w:pPr>
            <w:r w:rsidRPr="00143528">
              <w:rPr>
                <w:sz w:val="22"/>
                <w:szCs w:val="22"/>
                <w:lang w:val="en-GB"/>
              </w:rPr>
              <w:t>N/A</w:t>
            </w:r>
          </w:p>
        </w:tc>
      </w:tr>
      <w:tr w:rsidR="00143528" w:rsidRPr="00143528" w14:paraId="02463344" w14:textId="77777777" w:rsidTr="00C11463">
        <w:trPr>
          <w:trHeight w:val="230"/>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61A262E2" w14:textId="77777777" w:rsidR="00143528" w:rsidRPr="00143528" w:rsidRDefault="00143528" w:rsidP="000027E3">
            <w:pPr>
              <w:ind w:left="477"/>
              <w:rPr>
                <w:sz w:val="22"/>
                <w:szCs w:val="22"/>
                <w:lang w:val="en-GB"/>
              </w:rPr>
            </w:pPr>
            <w:proofErr w:type="spellStart"/>
            <w:r w:rsidRPr="00143528">
              <w:rPr>
                <w:sz w:val="22"/>
                <w:szCs w:val="22"/>
                <w:lang w:val="en-GB"/>
              </w:rPr>
              <w:t>Tør</w:t>
            </w:r>
            <w:proofErr w:type="spellEnd"/>
            <w:r w:rsidRPr="00143528">
              <w:rPr>
                <w:sz w:val="22"/>
                <w:szCs w:val="22"/>
                <w:lang w:val="en-GB"/>
              </w:rPr>
              <w:t xml:space="preserve"> </w:t>
            </w:r>
            <w:proofErr w:type="spellStart"/>
            <w:r w:rsidRPr="00143528">
              <w:rPr>
                <w:sz w:val="22"/>
                <w:szCs w:val="22"/>
                <w:lang w:val="en-GB"/>
              </w:rPr>
              <w:t>hud</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hideMark/>
          </w:tcPr>
          <w:p w14:paraId="2DB86BCB" w14:textId="77777777" w:rsidR="00143528" w:rsidRPr="00143528" w:rsidRDefault="00143528" w:rsidP="00C11463">
            <w:pPr>
              <w:ind w:left="112"/>
              <w:rPr>
                <w:sz w:val="22"/>
                <w:szCs w:val="22"/>
                <w:lang w:val="en-GB"/>
              </w:rPr>
            </w:pPr>
            <w:r w:rsidRPr="00143528">
              <w:rPr>
                <w:sz w:val="22"/>
                <w:szCs w:val="22"/>
                <w:lang w:val="en-GB"/>
              </w:rPr>
              <w:t>93 (10,7)</w:t>
            </w:r>
          </w:p>
        </w:tc>
        <w:tc>
          <w:tcPr>
            <w:tcW w:w="1083" w:type="pct"/>
            <w:tcBorders>
              <w:top w:val="nil"/>
              <w:left w:val="single" w:sz="4" w:space="0" w:color="000000"/>
              <w:bottom w:val="nil"/>
              <w:right w:val="single" w:sz="4" w:space="0" w:color="000000"/>
            </w:tcBorders>
            <w:tcMar>
              <w:top w:w="23" w:type="dxa"/>
              <w:left w:w="82" w:type="dxa"/>
              <w:bottom w:w="0" w:type="dxa"/>
              <w:right w:w="68" w:type="dxa"/>
            </w:tcMar>
            <w:hideMark/>
          </w:tcPr>
          <w:p w14:paraId="170C0F9C" w14:textId="77777777" w:rsidR="00143528" w:rsidRPr="00143528" w:rsidRDefault="00143528" w:rsidP="00C11463">
            <w:pPr>
              <w:ind w:left="112"/>
              <w:rPr>
                <w:sz w:val="22"/>
                <w:szCs w:val="22"/>
                <w:lang w:val="en-GB"/>
              </w:rPr>
            </w:pPr>
            <w:r w:rsidRPr="00143528">
              <w:rPr>
                <w:sz w:val="22"/>
                <w:szCs w:val="22"/>
                <w:lang w:val="en-GB"/>
              </w:rPr>
              <w:t>0 (0,0)</w:t>
            </w:r>
          </w:p>
        </w:tc>
        <w:tc>
          <w:tcPr>
            <w:tcW w:w="677" w:type="pct"/>
            <w:tcBorders>
              <w:top w:val="nil"/>
              <w:left w:val="single" w:sz="4" w:space="0" w:color="000000"/>
              <w:bottom w:val="nil"/>
              <w:right w:val="single" w:sz="4" w:space="0" w:color="000000"/>
            </w:tcBorders>
            <w:tcMar>
              <w:top w:w="23" w:type="dxa"/>
              <w:left w:w="82" w:type="dxa"/>
              <w:bottom w:w="0" w:type="dxa"/>
              <w:right w:w="68" w:type="dxa"/>
            </w:tcMar>
            <w:hideMark/>
          </w:tcPr>
          <w:p w14:paraId="44BF8460"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15AA0DCA" w14:textId="77777777" w:rsidTr="00C11463">
        <w:trPr>
          <w:trHeight w:val="461"/>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5A2969C1" w14:textId="77777777" w:rsidR="00143528" w:rsidRPr="00143528" w:rsidRDefault="00143528" w:rsidP="00C11463">
            <w:pPr>
              <w:ind w:left="112"/>
              <w:rPr>
                <w:i/>
                <w:sz w:val="22"/>
                <w:szCs w:val="22"/>
                <w:lang w:val="sv-SE"/>
              </w:rPr>
            </w:pPr>
            <w:proofErr w:type="spellStart"/>
            <w:r w:rsidRPr="00143528">
              <w:rPr>
                <w:i/>
                <w:sz w:val="22"/>
                <w:szCs w:val="22"/>
                <w:lang w:val="sv-SE"/>
              </w:rPr>
              <w:t>Almindelig</w:t>
            </w:r>
            <w:proofErr w:type="spellEnd"/>
          </w:p>
          <w:p w14:paraId="01CAF7D9" w14:textId="77777777" w:rsidR="00143528" w:rsidRPr="00143528" w:rsidRDefault="00143528" w:rsidP="000027E3">
            <w:pPr>
              <w:ind w:left="477"/>
              <w:rPr>
                <w:i/>
                <w:sz w:val="22"/>
                <w:szCs w:val="22"/>
                <w:lang w:val="sv-SE"/>
              </w:rPr>
            </w:pPr>
            <w:r w:rsidRPr="00143528">
              <w:rPr>
                <w:i/>
                <w:sz w:val="22"/>
                <w:szCs w:val="22"/>
                <w:lang w:val="sv-SE"/>
              </w:rPr>
              <w:t xml:space="preserve">Palmar-plantar </w:t>
            </w:r>
            <w:proofErr w:type="spellStart"/>
            <w:r w:rsidRPr="00143528">
              <w:rPr>
                <w:i/>
                <w:sz w:val="22"/>
                <w:szCs w:val="22"/>
                <w:lang w:val="sv-SE"/>
              </w:rPr>
              <w:t>erytrodysæstesisyndrome</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tcPr>
          <w:p w14:paraId="6292E512" w14:textId="77777777" w:rsidR="00143528" w:rsidRPr="00143528" w:rsidRDefault="00143528" w:rsidP="00C11463">
            <w:pPr>
              <w:ind w:left="112"/>
              <w:rPr>
                <w:sz w:val="22"/>
                <w:szCs w:val="22"/>
                <w:lang w:val="sv-SE"/>
              </w:rPr>
            </w:pPr>
          </w:p>
          <w:p w14:paraId="386AC7F2" w14:textId="77777777" w:rsidR="00143528" w:rsidRPr="00143528" w:rsidRDefault="00143528" w:rsidP="00C11463">
            <w:pPr>
              <w:ind w:left="112"/>
              <w:rPr>
                <w:sz w:val="22"/>
                <w:szCs w:val="22"/>
                <w:lang w:val="en-GB"/>
              </w:rPr>
            </w:pPr>
            <w:r w:rsidRPr="00143528">
              <w:rPr>
                <w:sz w:val="22"/>
                <w:szCs w:val="22"/>
                <w:lang w:val="en-GB"/>
              </w:rPr>
              <w:t>16 (1,8)</w:t>
            </w:r>
          </w:p>
        </w:tc>
        <w:tc>
          <w:tcPr>
            <w:tcW w:w="1083" w:type="pct"/>
            <w:tcBorders>
              <w:top w:val="nil"/>
              <w:left w:val="single" w:sz="4" w:space="0" w:color="000000"/>
              <w:bottom w:val="nil"/>
              <w:right w:val="single" w:sz="4" w:space="0" w:color="000000"/>
            </w:tcBorders>
            <w:tcMar>
              <w:top w:w="23" w:type="dxa"/>
              <w:left w:w="82" w:type="dxa"/>
              <w:bottom w:w="0" w:type="dxa"/>
              <w:right w:w="68" w:type="dxa"/>
            </w:tcMar>
          </w:tcPr>
          <w:p w14:paraId="738568AD" w14:textId="77777777" w:rsidR="00143528" w:rsidRPr="00143528" w:rsidRDefault="00143528" w:rsidP="00C11463">
            <w:pPr>
              <w:ind w:left="112"/>
              <w:rPr>
                <w:sz w:val="22"/>
                <w:szCs w:val="22"/>
                <w:lang w:val="en-GB"/>
              </w:rPr>
            </w:pPr>
          </w:p>
          <w:p w14:paraId="600DA5EA" w14:textId="77777777" w:rsidR="00143528" w:rsidRPr="00143528" w:rsidRDefault="00143528" w:rsidP="00C11463">
            <w:pPr>
              <w:ind w:left="112"/>
              <w:rPr>
                <w:sz w:val="22"/>
                <w:szCs w:val="22"/>
                <w:lang w:val="en-GB"/>
              </w:rPr>
            </w:pPr>
            <w:r w:rsidRPr="00143528">
              <w:rPr>
                <w:sz w:val="22"/>
                <w:szCs w:val="22"/>
                <w:lang w:val="en-GB"/>
              </w:rPr>
              <w:t>0 (0,0)</w:t>
            </w:r>
          </w:p>
        </w:tc>
        <w:tc>
          <w:tcPr>
            <w:tcW w:w="677" w:type="pct"/>
            <w:tcBorders>
              <w:top w:val="nil"/>
              <w:left w:val="single" w:sz="4" w:space="0" w:color="000000"/>
              <w:bottom w:val="nil"/>
              <w:right w:val="single" w:sz="4" w:space="0" w:color="000000"/>
            </w:tcBorders>
            <w:tcMar>
              <w:top w:w="23" w:type="dxa"/>
              <w:left w:w="82" w:type="dxa"/>
              <w:bottom w:w="0" w:type="dxa"/>
              <w:right w:w="68" w:type="dxa"/>
            </w:tcMar>
          </w:tcPr>
          <w:p w14:paraId="06A2DF99" w14:textId="77777777" w:rsidR="00143528" w:rsidRPr="00143528" w:rsidRDefault="00143528" w:rsidP="00C11463">
            <w:pPr>
              <w:ind w:left="112"/>
              <w:rPr>
                <w:sz w:val="22"/>
                <w:szCs w:val="22"/>
                <w:lang w:val="en-GB"/>
              </w:rPr>
            </w:pPr>
          </w:p>
          <w:p w14:paraId="31689F0A"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4209D057" w14:textId="77777777" w:rsidTr="00C11463">
        <w:trPr>
          <w:trHeight w:val="458"/>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37DFB8FA" w14:textId="77777777" w:rsidR="00143528" w:rsidRPr="00143528" w:rsidRDefault="00143528" w:rsidP="00C11463">
            <w:pPr>
              <w:ind w:left="112"/>
              <w:rPr>
                <w:sz w:val="22"/>
                <w:szCs w:val="22"/>
              </w:rPr>
            </w:pPr>
            <w:r w:rsidRPr="00143528">
              <w:rPr>
                <w:i/>
                <w:sz w:val="22"/>
                <w:szCs w:val="22"/>
              </w:rPr>
              <w:t>Ikke almindelig</w:t>
            </w:r>
          </w:p>
          <w:p w14:paraId="1CC82A4F" w14:textId="77777777" w:rsidR="00143528" w:rsidRPr="00143528" w:rsidRDefault="00143528" w:rsidP="000027E3">
            <w:pPr>
              <w:ind w:left="477"/>
              <w:rPr>
                <w:sz w:val="22"/>
                <w:szCs w:val="22"/>
              </w:rPr>
            </w:pPr>
            <w:proofErr w:type="spellStart"/>
            <w:r w:rsidRPr="00143528">
              <w:rPr>
                <w:sz w:val="22"/>
                <w:szCs w:val="22"/>
              </w:rPr>
              <w:t>Kutan</w:t>
            </w:r>
            <w:proofErr w:type="spellEnd"/>
            <w:r w:rsidRPr="00143528">
              <w:rPr>
                <w:sz w:val="22"/>
                <w:szCs w:val="22"/>
              </w:rPr>
              <w:t xml:space="preserve"> lupus </w:t>
            </w:r>
            <w:proofErr w:type="spellStart"/>
            <w:r w:rsidRPr="00143528">
              <w:rPr>
                <w:sz w:val="22"/>
                <w:szCs w:val="22"/>
              </w:rPr>
              <w:t>erythematosus</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tcPr>
          <w:p w14:paraId="460BEA39" w14:textId="77777777" w:rsidR="00143528" w:rsidRPr="00143528" w:rsidRDefault="00143528" w:rsidP="00C11463">
            <w:pPr>
              <w:ind w:left="112"/>
              <w:rPr>
                <w:sz w:val="22"/>
                <w:szCs w:val="22"/>
              </w:rPr>
            </w:pPr>
          </w:p>
          <w:p w14:paraId="52255829" w14:textId="77777777" w:rsidR="00143528" w:rsidRPr="00143528" w:rsidRDefault="00143528" w:rsidP="00C11463">
            <w:pPr>
              <w:ind w:left="112"/>
              <w:rPr>
                <w:sz w:val="22"/>
                <w:szCs w:val="22"/>
                <w:lang w:val="en-GB"/>
              </w:rPr>
            </w:pPr>
            <w:r w:rsidRPr="00143528">
              <w:rPr>
                <w:sz w:val="22"/>
                <w:szCs w:val="22"/>
                <w:lang w:val="en-GB"/>
              </w:rPr>
              <w:t>1 (0,1)</w:t>
            </w:r>
          </w:p>
        </w:tc>
        <w:tc>
          <w:tcPr>
            <w:tcW w:w="1083" w:type="pct"/>
            <w:tcBorders>
              <w:top w:val="nil"/>
              <w:left w:val="single" w:sz="4" w:space="0" w:color="000000"/>
              <w:bottom w:val="nil"/>
              <w:right w:val="single" w:sz="4" w:space="0" w:color="000000"/>
            </w:tcBorders>
            <w:tcMar>
              <w:top w:w="23" w:type="dxa"/>
              <w:left w:w="82" w:type="dxa"/>
              <w:bottom w:w="0" w:type="dxa"/>
              <w:right w:w="68" w:type="dxa"/>
            </w:tcMar>
          </w:tcPr>
          <w:p w14:paraId="7DB3F35C" w14:textId="77777777" w:rsidR="00143528" w:rsidRPr="00143528" w:rsidRDefault="00143528" w:rsidP="00C11463">
            <w:pPr>
              <w:ind w:left="112"/>
              <w:rPr>
                <w:sz w:val="22"/>
                <w:szCs w:val="22"/>
                <w:lang w:val="en-GB"/>
              </w:rPr>
            </w:pPr>
          </w:p>
          <w:p w14:paraId="7B8C01C9" w14:textId="77777777" w:rsidR="00143528" w:rsidRPr="00143528" w:rsidRDefault="00143528" w:rsidP="00C11463">
            <w:pPr>
              <w:ind w:left="112"/>
              <w:rPr>
                <w:sz w:val="22"/>
                <w:szCs w:val="22"/>
                <w:lang w:val="en-GB"/>
              </w:rPr>
            </w:pPr>
            <w:r w:rsidRPr="00143528">
              <w:rPr>
                <w:sz w:val="22"/>
                <w:szCs w:val="22"/>
                <w:lang w:val="en-GB"/>
              </w:rPr>
              <w:t>0 (0,0)</w:t>
            </w:r>
          </w:p>
        </w:tc>
        <w:tc>
          <w:tcPr>
            <w:tcW w:w="677" w:type="pct"/>
            <w:tcBorders>
              <w:top w:val="nil"/>
              <w:left w:val="single" w:sz="4" w:space="0" w:color="000000"/>
              <w:bottom w:val="nil"/>
              <w:right w:val="single" w:sz="4" w:space="0" w:color="000000"/>
            </w:tcBorders>
            <w:tcMar>
              <w:top w:w="23" w:type="dxa"/>
              <w:left w:w="82" w:type="dxa"/>
              <w:bottom w:w="0" w:type="dxa"/>
              <w:right w:w="68" w:type="dxa"/>
            </w:tcMar>
          </w:tcPr>
          <w:p w14:paraId="452D757A" w14:textId="77777777" w:rsidR="00143528" w:rsidRPr="00143528" w:rsidRDefault="00143528" w:rsidP="00C11463">
            <w:pPr>
              <w:ind w:left="112"/>
              <w:rPr>
                <w:sz w:val="22"/>
                <w:szCs w:val="22"/>
                <w:lang w:val="en-GB"/>
              </w:rPr>
            </w:pPr>
          </w:p>
          <w:p w14:paraId="7C00B417"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6512EA28" w14:textId="77777777" w:rsidTr="00C11463">
        <w:trPr>
          <w:trHeight w:val="211"/>
        </w:trPr>
        <w:tc>
          <w:tcPr>
            <w:tcW w:w="2606"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0D8A685C" w14:textId="77777777" w:rsidR="00143528" w:rsidRPr="00143528" w:rsidRDefault="00143528" w:rsidP="000027E3">
            <w:pPr>
              <w:ind w:left="477"/>
              <w:rPr>
                <w:sz w:val="22"/>
                <w:szCs w:val="22"/>
                <w:lang w:val="en-GB"/>
              </w:rPr>
            </w:pPr>
            <w:r w:rsidRPr="00143528">
              <w:rPr>
                <w:sz w:val="22"/>
                <w:szCs w:val="22"/>
                <w:lang w:val="en-GB"/>
              </w:rPr>
              <w:t>Erythema multiforme</w:t>
            </w:r>
          </w:p>
        </w:tc>
        <w:tc>
          <w:tcPr>
            <w:tcW w:w="634"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11D2413B" w14:textId="77777777" w:rsidR="00143528" w:rsidRPr="00143528" w:rsidRDefault="00143528" w:rsidP="00C11463">
            <w:pPr>
              <w:ind w:left="112"/>
              <w:rPr>
                <w:sz w:val="22"/>
                <w:szCs w:val="22"/>
                <w:lang w:val="en-GB"/>
              </w:rPr>
            </w:pPr>
            <w:r w:rsidRPr="00143528">
              <w:rPr>
                <w:sz w:val="22"/>
                <w:szCs w:val="22"/>
                <w:lang w:val="en-GB"/>
              </w:rPr>
              <w:t>1 (0,1)</w:t>
            </w:r>
          </w:p>
        </w:tc>
        <w:tc>
          <w:tcPr>
            <w:tcW w:w="1083"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4A1D2390" w14:textId="77777777" w:rsidR="00143528" w:rsidRPr="00143528" w:rsidRDefault="00143528" w:rsidP="00C11463">
            <w:pPr>
              <w:ind w:left="112"/>
              <w:rPr>
                <w:sz w:val="22"/>
                <w:szCs w:val="22"/>
                <w:lang w:val="en-GB"/>
              </w:rPr>
            </w:pPr>
            <w:r w:rsidRPr="00143528">
              <w:rPr>
                <w:sz w:val="22"/>
                <w:szCs w:val="22"/>
                <w:lang w:val="en-GB"/>
              </w:rPr>
              <w:t>0 (0,0)</w:t>
            </w:r>
          </w:p>
        </w:tc>
        <w:tc>
          <w:tcPr>
            <w:tcW w:w="677"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5AEA2ED1"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18F866A1" w14:textId="77777777" w:rsidTr="00C11463">
        <w:trPr>
          <w:trHeight w:val="720"/>
        </w:trPr>
        <w:tc>
          <w:tcPr>
            <w:tcW w:w="2606" w:type="pct"/>
            <w:tcBorders>
              <w:top w:val="single" w:sz="4" w:space="0" w:color="000000"/>
              <w:left w:val="single" w:sz="4" w:space="0" w:color="000000"/>
              <w:bottom w:val="nil"/>
              <w:right w:val="single" w:sz="4" w:space="0" w:color="000000"/>
            </w:tcBorders>
            <w:tcMar>
              <w:top w:w="23" w:type="dxa"/>
              <w:left w:w="82" w:type="dxa"/>
              <w:bottom w:w="0" w:type="dxa"/>
              <w:right w:w="68" w:type="dxa"/>
            </w:tcMar>
            <w:hideMark/>
          </w:tcPr>
          <w:p w14:paraId="21ADDF65" w14:textId="402EAD8A" w:rsidR="00143528" w:rsidRPr="00143528" w:rsidRDefault="00143528" w:rsidP="00C11463">
            <w:pPr>
              <w:ind w:left="112"/>
              <w:rPr>
                <w:sz w:val="22"/>
                <w:szCs w:val="22"/>
              </w:rPr>
            </w:pPr>
            <w:r w:rsidRPr="00143528">
              <w:rPr>
                <w:b/>
                <w:sz w:val="22"/>
                <w:szCs w:val="22"/>
              </w:rPr>
              <w:t>Almene symptomer og reaktioner på administrationsstedet</w:t>
            </w:r>
            <w:r w:rsidRPr="00143528">
              <w:rPr>
                <w:sz w:val="22"/>
                <w:szCs w:val="22"/>
              </w:rPr>
              <w:t xml:space="preserve"> </w:t>
            </w:r>
          </w:p>
          <w:p w14:paraId="265FD785" w14:textId="77777777" w:rsidR="00143528" w:rsidRPr="00143528" w:rsidRDefault="00143528" w:rsidP="004D752E">
            <w:pPr>
              <w:ind w:left="477"/>
              <w:rPr>
                <w:sz w:val="22"/>
                <w:szCs w:val="22"/>
                <w:lang w:val="en-GB"/>
              </w:rPr>
            </w:pPr>
            <w:proofErr w:type="spellStart"/>
            <w:r w:rsidRPr="00143528">
              <w:rPr>
                <w:sz w:val="22"/>
                <w:szCs w:val="22"/>
                <w:lang w:val="en-GB"/>
              </w:rPr>
              <w:t>Træthed</w:t>
            </w:r>
            <w:proofErr w:type="spellEnd"/>
          </w:p>
        </w:tc>
        <w:tc>
          <w:tcPr>
            <w:tcW w:w="634"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45DBDB23" w14:textId="77777777" w:rsidR="00143528" w:rsidRPr="00143528" w:rsidRDefault="00143528" w:rsidP="00C11463">
            <w:pPr>
              <w:ind w:left="112"/>
              <w:rPr>
                <w:sz w:val="22"/>
                <w:szCs w:val="22"/>
                <w:lang w:val="en-GB"/>
              </w:rPr>
            </w:pPr>
          </w:p>
          <w:p w14:paraId="1E72B50B" w14:textId="77777777" w:rsidR="00143528" w:rsidRPr="00143528" w:rsidRDefault="00143528" w:rsidP="00C11463">
            <w:pPr>
              <w:ind w:left="112"/>
              <w:rPr>
                <w:sz w:val="22"/>
                <w:szCs w:val="22"/>
                <w:lang w:val="en-GB"/>
              </w:rPr>
            </w:pPr>
            <w:r w:rsidRPr="00143528">
              <w:rPr>
                <w:sz w:val="22"/>
                <w:szCs w:val="22"/>
                <w:lang w:val="en-GB"/>
              </w:rPr>
              <w:t>362 (41,5)</w:t>
            </w:r>
          </w:p>
        </w:tc>
        <w:tc>
          <w:tcPr>
            <w:tcW w:w="1083"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31982CFB" w14:textId="77777777" w:rsidR="00143528" w:rsidRPr="00143528" w:rsidRDefault="00143528" w:rsidP="00C11463">
            <w:pPr>
              <w:ind w:left="112"/>
              <w:rPr>
                <w:sz w:val="22"/>
                <w:szCs w:val="22"/>
                <w:lang w:val="en-GB"/>
              </w:rPr>
            </w:pPr>
          </w:p>
          <w:p w14:paraId="360265B0" w14:textId="77777777" w:rsidR="00143528" w:rsidRPr="00143528" w:rsidRDefault="00143528" w:rsidP="00C11463">
            <w:pPr>
              <w:ind w:left="112"/>
              <w:rPr>
                <w:sz w:val="22"/>
                <w:szCs w:val="22"/>
                <w:lang w:val="en-GB"/>
              </w:rPr>
            </w:pPr>
            <w:r w:rsidRPr="00143528">
              <w:rPr>
                <w:sz w:val="22"/>
                <w:szCs w:val="22"/>
                <w:lang w:val="en-GB"/>
              </w:rPr>
              <w:t>23 (2,6)</w:t>
            </w:r>
          </w:p>
        </w:tc>
        <w:tc>
          <w:tcPr>
            <w:tcW w:w="677"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1503D5E0" w14:textId="77777777" w:rsidR="00143528" w:rsidRPr="00143528" w:rsidRDefault="00143528" w:rsidP="00C11463">
            <w:pPr>
              <w:ind w:left="112"/>
              <w:rPr>
                <w:sz w:val="22"/>
                <w:szCs w:val="22"/>
                <w:lang w:val="en-GB"/>
              </w:rPr>
            </w:pPr>
          </w:p>
          <w:p w14:paraId="4F30AA0C" w14:textId="77777777" w:rsidR="00143528" w:rsidRPr="00143528" w:rsidRDefault="00143528" w:rsidP="00C11463">
            <w:pPr>
              <w:ind w:left="112"/>
              <w:rPr>
                <w:sz w:val="22"/>
                <w:szCs w:val="22"/>
                <w:lang w:val="en-GB"/>
              </w:rPr>
            </w:pPr>
            <w:r w:rsidRPr="00143528">
              <w:rPr>
                <w:sz w:val="22"/>
                <w:szCs w:val="22"/>
                <w:lang w:val="en-GB"/>
              </w:rPr>
              <w:t>2 (0,2)</w:t>
            </w:r>
          </w:p>
        </w:tc>
      </w:tr>
      <w:tr w:rsidR="00143528" w:rsidRPr="00143528" w14:paraId="3D20632F" w14:textId="77777777" w:rsidTr="00C11463">
        <w:trPr>
          <w:trHeight w:val="230"/>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0C85E0EB" w14:textId="77777777" w:rsidR="00143528" w:rsidRPr="00143528" w:rsidRDefault="00143528" w:rsidP="004D752E">
            <w:pPr>
              <w:ind w:left="477"/>
              <w:rPr>
                <w:sz w:val="22"/>
                <w:szCs w:val="22"/>
                <w:lang w:val="en-GB"/>
              </w:rPr>
            </w:pPr>
            <w:proofErr w:type="spellStart"/>
            <w:r w:rsidRPr="00143528">
              <w:rPr>
                <w:sz w:val="22"/>
                <w:szCs w:val="22"/>
                <w:lang w:val="en-GB"/>
              </w:rPr>
              <w:t>Asteni</w:t>
            </w:r>
            <w:proofErr w:type="spellEnd"/>
          </w:p>
        </w:tc>
        <w:tc>
          <w:tcPr>
            <w:tcW w:w="634" w:type="pct"/>
            <w:tcBorders>
              <w:top w:val="nil"/>
              <w:left w:val="single" w:sz="4" w:space="0" w:color="000000"/>
              <w:bottom w:val="nil"/>
              <w:right w:val="single" w:sz="4" w:space="0" w:color="000000"/>
            </w:tcBorders>
            <w:tcMar>
              <w:top w:w="23" w:type="dxa"/>
              <w:left w:w="82" w:type="dxa"/>
              <w:bottom w:w="0" w:type="dxa"/>
              <w:right w:w="68" w:type="dxa"/>
            </w:tcMar>
            <w:hideMark/>
          </w:tcPr>
          <w:p w14:paraId="07125437" w14:textId="77777777" w:rsidR="00143528" w:rsidRPr="00143528" w:rsidRDefault="00143528" w:rsidP="00C11463">
            <w:pPr>
              <w:ind w:left="112"/>
              <w:rPr>
                <w:sz w:val="22"/>
                <w:szCs w:val="22"/>
                <w:lang w:val="en-GB"/>
              </w:rPr>
            </w:pPr>
            <w:r w:rsidRPr="00143528">
              <w:rPr>
                <w:sz w:val="22"/>
                <w:szCs w:val="22"/>
                <w:lang w:val="en-GB"/>
              </w:rPr>
              <w:t>118 (13,5)</w:t>
            </w:r>
          </w:p>
        </w:tc>
        <w:tc>
          <w:tcPr>
            <w:tcW w:w="1083" w:type="pct"/>
            <w:tcBorders>
              <w:top w:val="nil"/>
              <w:left w:val="single" w:sz="4" w:space="0" w:color="000000"/>
              <w:bottom w:val="nil"/>
              <w:right w:val="single" w:sz="4" w:space="0" w:color="000000"/>
            </w:tcBorders>
            <w:tcMar>
              <w:top w:w="23" w:type="dxa"/>
              <w:left w:w="82" w:type="dxa"/>
              <w:bottom w:w="0" w:type="dxa"/>
              <w:right w:w="68" w:type="dxa"/>
            </w:tcMar>
            <w:hideMark/>
          </w:tcPr>
          <w:p w14:paraId="65358856" w14:textId="77777777" w:rsidR="00143528" w:rsidRPr="00143528" w:rsidRDefault="00143528" w:rsidP="00C11463">
            <w:pPr>
              <w:ind w:left="112"/>
              <w:rPr>
                <w:sz w:val="22"/>
                <w:szCs w:val="22"/>
                <w:lang w:val="en-GB"/>
              </w:rPr>
            </w:pPr>
            <w:r w:rsidRPr="00143528">
              <w:rPr>
                <w:sz w:val="22"/>
                <w:szCs w:val="22"/>
                <w:lang w:val="en-GB"/>
              </w:rPr>
              <w:t>14 (1,6)</w:t>
            </w:r>
          </w:p>
        </w:tc>
        <w:tc>
          <w:tcPr>
            <w:tcW w:w="677" w:type="pct"/>
            <w:tcBorders>
              <w:top w:val="nil"/>
              <w:left w:val="single" w:sz="4" w:space="0" w:color="000000"/>
              <w:bottom w:val="nil"/>
              <w:right w:val="single" w:sz="4" w:space="0" w:color="000000"/>
            </w:tcBorders>
            <w:tcMar>
              <w:top w:w="23" w:type="dxa"/>
              <w:left w:w="82" w:type="dxa"/>
              <w:bottom w:w="0" w:type="dxa"/>
              <w:right w:w="68" w:type="dxa"/>
            </w:tcMar>
            <w:hideMark/>
          </w:tcPr>
          <w:p w14:paraId="51BC3A96" w14:textId="77777777" w:rsidR="00143528" w:rsidRPr="00143528" w:rsidRDefault="00143528" w:rsidP="00C11463">
            <w:pPr>
              <w:ind w:left="112"/>
              <w:rPr>
                <w:sz w:val="22"/>
                <w:szCs w:val="22"/>
                <w:lang w:val="en-GB"/>
              </w:rPr>
            </w:pPr>
            <w:r w:rsidRPr="00143528">
              <w:rPr>
                <w:sz w:val="22"/>
                <w:szCs w:val="22"/>
                <w:lang w:val="en-GB"/>
              </w:rPr>
              <w:t>1 (0,1)</w:t>
            </w:r>
          </w:p>
        </w:tc>
      </w:tr>
      <w:tr w:rsidR="00143528" w:rsidRPr="00143528" w14:paraId="018023A1" w14:textId="77777777" w:rsidTr="00C11463">
        <w:trPr>
          <w:trHeight w:val="211"/>
        </w:trPr>
        <w:tc>
          <w:tcPr>
            <w:tcW w:w="2606"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1E89E1FC" w14:textId="77777777" w:rsidR="00143528" w:rsidRPr="00143528" w:rsidRDefault="00143528" w:rsidP="004D752E">
            <w:pPr>
              <w:ind w:left="477"/>
              <w:rPr>
                <w:sz w:val="22"/>
                <w:szCs w:val="22"/>
                <w:lang w:val="en-GB"/>
              </w:rPr>
            </w:pPr>
            <w:proofErr w:type="spellStart"/>
            <w:r w:rsidRPr="00143528">
              <w:rPr>
                <w:sz w:val="22"/>
                <w:szCs w:val="22"/>
                <w:lang w:val="en-GB"/>
              </w:rPr>
              <w:t>Pyreksi</w:t>
            </w:r>
            <w:proofErr w:type="spellEnd"/>
          </w:p>
        </w:tc>
        <w:tc>
          <w:tcPr>
            <w:tcW w:w="634"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2AAF4735" w14:textId="77777777" w:rsidR="00143528" w:rsidRPr="00143528" w:rsidRDefault="00143528" w:rsidP="00C11463">
            <w:pPr>
              <w:ind w:left="112"/>
              <w:rPr>
                <w:sz w:val="22"/>
                <w:szCs w:val="22"/>
                <w:lang w:val="en-GB"/>
              </w:rPr>
            </w:pPr>
            <w:r w:rsidRPr="00143528">
              <w:rPr>
                <w:sz w:val="22"/>
                <w:szCs w:val="22"/>
                <w:lang w:val="en-GB"/>
              </w:rPr>
              <w:t>115 (13,2)</w:t>
            </w:r>
          </w:p>
        </w:tc>
        <w:tc>
          <w:tcPr>
            <w:tcW w:w="1083"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214B7ABF" w14:textId="77777777" w:rsidR="00143528" w:rsidRPr="00143528" w:rsidRDefault="00143528" w:rsidP="00C11463">
            <w:pPr>
              <w:ind w:left="112"/>
              <w:rPr>
                <w:sz w:val="22"/>
                <w:szCs w:val="22"/>
                <w:lang w:val="en-GB"/>
              </w:rPr>
            </w:pPr>
            <w:r w:rsidRPr="00143528">
              <w:rPr>
                <w:sz w:val="22"/>
                <w:szCs w:val="22"/>
                <w:lang w:val="en-GB"/>
              </w:rPr>
              <w:t>1 (0,1)</w:t>
            </w:r>
          </w:p>
        </w:tc>
        <w:tc>
          <w:tcPr>
            <w:tcW w:w="677"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67B0B798" w14:textId="77777777" w:rsidR="00143528" w:rsidRPr="00143528" w:rsidRDefault="00143528" w:rsidP="00C11463">
            <w:pPr>
              <w:ind w:left="112"/>
              <w:rPr>
                <w:sz w:val="22"/>
                <w:szCs w:val="22"/>
                <w:lang w:val="en-GB"/>
              </w:rPr>
            </w:pPr>
            <w:r w:rsidRPr="00143528">
              <w:rPr>
                <w:sz w:val="22"/>
                <w:szCs w:val="22"/>
                <w:lang w:val="en-GB"/>
              </w:rPr>
              <w:t xml:space="preserve">0 (0,0) </w:t>
            </w:r>
          </w:p>
        </w:tc>
      </w:tr>
      <w:tr w:rsidR="00143528" w:rsidRPr="00143528" w14:paraId="50996289" w14:textId="77777777" w:rsidTr="00C11463">
        <w:trPr>
          <w:trHeight w:val="718"/>
        </w:trPr>
        <w:tc>
          <w:tcPr>
            <w:tcW w:w="2606" w:type="pct"/>
            <w:tcBorders>
              <w:top w:val="single" w:sz="4" w:space="0" w:color="000000"/>
              <w:left w:val="single" w:sz="4" w:space="0" w:color="000000"/>
              <w:bottom w:val="nil"/>
              <w:right w:val="single" w:sz="4" w:space="0" w:color="000000"/>
            </w:tcBorders>
            <w:tcMar>
              <w:top w:w="23" w:type="dxa"/>
              <w:left w:w="82" w:type="dxa"/>
              <w:bottom w:w="0" w:type="dxa"/>
              <w:right w:w="68" w:type="dxa"/>
            </w:tcMar>
            <w:hideMark/>
          </w:tcPr>
          <w:p w14:paraId="2BE39010" w14:textId="77777777" w:rsidR="00143528" w:rsidRPr="00143528" w:rsidRDefault="00143528" w:rsidP="00C11463">
            <w:pPr>
              <w:ind w:left="112"/>
              <w:rPr>
                <w:b/>
                <w:sz w:val="22"/>
                <w:szCs w:val="22"/>
              </w:rPr>
            </w:pPr>
            <w:r w:rsidRPr="00143528">
              <w:rPr>
                <w:b/>
                <w:sz w:val="22"/>
                <w:szCs w:val="22"/>
              </w:rPr>
              <w:t>Undersøgelser</w:t>
            </w:r>
          </w:p>
          <w:p w14:paraId="541A6E9C" w14:textId="77777777" w:rsidR="00143528" w:rsidRPr="00143528" w:rsidRDefault="00143528" w:rsidP="00C11463">
            <w:pPr>
              <w:ind w:left="112"/>
              <w:rPr>
                <w:sz w:val="22"/>
                <w:szCs w:val="22"/>
              </w:rPr>
            </w:pPr>
            <w:r w:rsidRPr="00143528">
              <w:rPr>
                <w:i/>
                <w:sz w:val="22"/>
                <w:szCs w:val="22"/>
              </w:rPr>
              <w:t>Meget almindelig</w:t>
            </w:r>
          </w:p>
          <w:p w14:paraId="15122FE1" w14:textId="77777777" w:rsidR="00143528" w:rsidRPr="00143528" w:rsidRDefault="00143528" w:rsidP="004D752E">
            <w:pPr>
              <w:ind w:left="477"/>
              <w:rPr>
                <w:sz w:val="22"/>
                <w:szCs w:val="22"/>
              </w:rPr>
            </w:pPr>
            <w:r w:rsidRPr="00143528">
              <w:rPr>
                <w:sz w:val="22"/>
                <w:szCs w:val="22"/>
              </w:rPr>
              <w:t>Forhøjet ALAT</w:t>
            </w:r>
          </w:p>
        </w:tc>
        <w:tc>
          <w:tcPr>
            <w:tcW w:w="634"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75C37465" w14:textId="77777777" w:rsidR="00143528" w:rsidRPr="00143528" w:rsidRDefault="00143528" w:rsidP="00C11463">
            <w:pPr>
              <w:ind w:left="112"/>
              <w:rPr>
                <w:sz w:val="22"/>
                <w:szCs w:val="22"/>
              </w:rPr>
            </w:pPr>
          </w:p>
          <w:p w14:paraId="66554698" w14:textId="77777777" w:rsidR="00143528" w:rsidRPr="00143528" w:rsidRDefault="00143528" w:rsidP="00C11463">
            <w:pPr>
              <w:ind w:left="112"/>
              <w:rPr>
                <w:sz w:val="22"/>
                <w:szCs w:val="22"/>
                <w:lang w:val="en-GB"/>
              </w:rPr>
            </w:pPr>
            <w:r w:rsidRPr="00143528">
              <w:rPr>
                <w:sz w:val="22"/>
                <w:szCs w:val="22"/>
                <w:lang w:val="en-GB"/>
              </w:rPr>
              <w:t>92 (10,6)</w:t>
            </w:r>
          </w:p>
        </w:tc>
        <w:tc>
          <w:tcPr>
            <w:tcW w:w="1083"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70821174" w14:textId="77777777" w:rsidR="00143528" w:rsidRPr="00143528" w:rsidRDefault="00143528" w:rsidP="00C11463">
            <w:pPr>
              <w:ind w:left="112"/>
              <w:rPr>
                <w:sz w:val="22"/>
                <w:szCs w:val="22"/>
                <w:lang w:val="en-GB"/>
              </w:rPr>
            </w:pPr>
          </w:p>
          <w:p w14:paraId="48E47FFC" w14:textId="77777777" w:rsidR="00143528" w:rsidRPr="00143528" w:rsidRDefault="00143528" w:rsidP="00C11463">
            <w:pPr>
              <w:ind w:left="112"/>
              <w:rPr>
                <w:sz w:val="22"/>
                <w:szCs w:val="22"/>
                <w:lang w:val="en-GB"/>
              </w:rPr>
            </w:pPr>
            <w:r w:rsidRPr="00143528">
              <w:rPr>
                <w:sz w:val="22"/>
                <w:szCs w:val="22"/>
                <w:lang w:val="en-GB"/>
              </w:rPr>
              <w:t>18 (2,1)</w:t>
            </w:r>
          </w:p>
        </w:tc>
        <w:tc>
          <w:tcPr>
            <w:tcW w:w="677" w:type="pct"/>
            <w:tcBorders>
              <w:top w:val="single" w:sz="4" w:space="0" w:color="000000"/>
              <w:left w:val="single" w:sz="4" w:space="0" w:color="000000"/>
              <w:bottom w:val="nil"/>
              <w:right w:val="single" w:sz="4" w:space="0" w:color="000000"/>
            </w:tcBorders>
            <w:tcMar>
              <w:top w:w="23" w:type="dxa"/>
              <w:left w:w="82" w:type="dxa"/>
              <w:bottom w:w="0" w:type="dxa"/>
              <w:right w:w="68" w:type="dxa"/>
            </w:tcMar>
          </w:tcPr>
          <w:p w14:paraId="010EAF4E" w14:textId="77777777" w:rsidR="00143528" w:rsidRPr="00143528" w:rsidRDefault="00143528" w:rsidP="00C11463">
            <w:pPr>
              <w:ind w:left="112"/>
              <w:rPr>
                <w:sz w:val="22"/>
                <w:szCs w:val="22"/>
                <w:lang w:val="en-GB"/>
              </w:rPr>
            </w:pPr>
          </w:p>
          <w:p w14:paraId="2B680520" w14:textId="77777777" w:rsidR="00143528" w:rsidRPr="00143528" w:rsidRDefault="00143528" w:rsidP="00C11463">
            <w:pPr>
              <w:ind w:left="112"/>
              <w:rPr>
                <w:sz w:val="22"/>
                <w:szCs w:val="22"/>
                <w:lang w:val="en-GB"/>
              </w:rPr>
            </w:pPr>
            <w:r w:rsidRPr="00143528">
              <w:rPr>
                <w:sz w:val="22"/>
                <w:szCs w:val="22"/>
                <w:lang w:val="en-GB"/>
              </w:rPr>
              <w:t>1 (0,1)</w:t>
            </w:r>
          </w:p>
        </w:tc>
      </w:tr>
      <w:tr w:rsidR="00143528" w:rsidRPr="00143528" w14:paraId="67D97B19" w14:textId="77777777" w:rsidTr="00C11463">
        <w:trPr>
          <w:trHeight w:val="230"/>
        </w:trPr>
        <w:tc>
          <w:tcPr>
            <w:tcW w:w="2606" w:type="pct"/>
            <w:tcBorders>
              <w:top w:val="nil"/>
              <w:left w:val="single" w:sz="4" w:space="0" w:color="000000"/>
              <w:bottom w:val="nil"/>
              <w:right w:val="single" w:sz="4" w:space="0" w:color="000000"/>
            </w:tcBorders>
            <w:tcMar>
              <w:top w:w="23" w:type="dxa"/>
              <w:left w:w="82" w:type="dxa"/>
              <w:bottom w:w="0" w:type="dxa"/>
              <w:right w:w="68" w:type="dxa"/>
            </w:tcMar>
            <w:hideMark/>
          </w:tcPr>
          <w:p w14:paraId="2765F2CE" w14:textId="77777777" w:rsidR="00143528" w:rsidRPr="00143528" w:rsidRDefault="00143528" w:rsidP="004D752E">
            <w:pPr>
              <w:ind w:left="477"/>
              <w:rPr>
                <w:sz w:val="22"/>
                <w:szCs w:val="22"/>
                <w:lang w:val="en-GB"/>
              </w:rPr>
            </w:pPr>
            <w:proofErr w:type="spellStart"/>
            <w:r w:rsidRPr="00143528">
              <w:rPr>
                <w:sz w:val="22"/>
                <w:szCs w:val="22"/>
                <w:lang w:val="en-GB"/>
              </w:rPr>
              <w:t>Forhøjet</w:t>
            </w:r>
            <w:proofErr w:type="spellEnd"/>
            <w:r w:rsidRPr="00143528">
              <w:rPr>
                <w:sz w:val="22"/>
                <w:szCs w:val="22"/>
                <w:lang w:val="en-GB"/>
              </w:rPr>
              <w:t xml:space="preserve"> ASAT </w:t>
            </w:r>
          </w:p>
        </w:tc>
        <w:tc>
          <w:tcPr>
            <w:tcW w:w="634" w:type="pct"/>
            <w:tcBorders>
              <w:top w:val="nil"/>
              <w:left w:val="single" w:sz="4" w:space="0" w:color="000000"/>
              <w:bottom w:val="nil"/>
              <w:right w:val="single" w:sz="4" w:space="0" w:color="000000"/>
            </w:tcBorders>
            <w:tcMar>
              <w:top w:w="23" w:type="dxa"/>
              <w:left w:w="82" w:type="dxa"/>
              <w:bottom w:w="0" w:type="dxa"/>
              <w:right w:w="68" w:type="dxa"/>
            </w:tcMar>
            <w:hideMark/>
          </w:tcPr>
          <w:p w14:paraId="0D20A081" w14:textId="77777777" w:rsidR="00143528" w:rsidRPr="00143528" w:rsidRDefault="00143528" w:rsidP="00C11463">
            <w:pPr>
              <w:ind w:left="112"/>
              <w:rPr>
                <w:sz w:val="22"/>
                <w:szCs w:val="22"/>
                <w:lang w:val="en-GB"/>
              </w:rPr>
            </w:pPr>
            <w:r w:rsidRPr="00143528">
              <w:rPr>
                <w:sz w:val="22"/>
                <w:szCs w:val="22"/>
                <w:lang w:val="en-GB"/>
              </w:rPr>
              <w:t>99 (11,4)</w:t>
            </w:r>
          </w:p>
        </w:tc>
        <w:tc>
          <w:tcPr>
            <w:tcW w:w="1083" w:type="pct"/>
            <w:tcBorders>
              <w:top w:val="nil"/>
              <w:left w:val="single" w:sz="4" w:space="0" w:color="000000"/>
              <w:bottom w:val="nil"/>
              <w:right w:val="single" w:sz="4" w:space="0" w:color="000000"/>
            </w:tcBorders>
            <w:tcMar>
              <w:top w:w="23" w:type="dxa"/>
              <w:left w:w="82" w:type="dxa"/>
              <w:bottom w:w="0" w:type="dxa"/>
              <w:right w:w="68" w:type="dxa"/>
            </w:tcMar>
            <w:hideMark/>
          </w:tcPr>
          <w:p w14:paraId="37BA3C45" w14:textId="77777777" w:rsidR="00143528" w:rsidRPr="00143528" w:rsidRDefault="00143528" w:rsidP="00C11463">
            <w:pPr>
              <w:ind w:left="112"/>
              <w:rPr>
                <w:sz w:val="22"/>
                <w:szCs w:val="22"/>
                <w:lang w:val="en-GB"/>
              </w:rPr>
            </w:pPr>
            <w:r w:rsidRPr="00143528">
              <w:rPr>
                <w:sz w:val="22"/>
                <w:szCs w:val="22"/>
                <w:lang w:val="en-GB"/>
              </w:rPr>
              <w:t>25 (2,.9)</w:t>
            </w:r>
          </w:p>
        </w:tc>
        <w:tc>
          <w:tcPr>
            <w:tcW w:w="677" w:type="pct"/>
            <w:tcBorders>
              <w:top w:val="nil"/>
              <w:left w:val="single" w:sz="4" w:space="0" w:color="000000"/>
              <w:bottom w:val="nil"/>
              <w:right w:val="single" w:sz="4" w:space="0" w:color="000000"/>
            </w:tcBorders>
            <w:tcMar>
              <w:top w:w="23" w:type="dxa"/>
              <w:left w:w="82" w:type="dxa"/>
              <w:bottom w:w="0" w:type="dxa"/>
              <w:right w:w="68" w:type="dxa"/>
            </w:tcMar>
            <w:hideMark/>
          </w:tcPr>
          <w:p w14:paraId="7EA700E0" w14:textId="77777777" w:rsidR="00143528" w:rsidRPr="00143528" w:rsidRDefault="00143528" w:rsidP="00C11463">
            <w:pPr>
              <w:ind w:left="112"/>
              <w:rPr>
                <w:sz w:val="22"/>
                <w:szCs w:val="22"/>
                <w:lang w:val="en-GB"/>
              </w:rPr>
            </w:pPr>
            <w:r w:rsidRPr="00143528">
              <w:rPr>
                <w:sz w:val="22"/>
                <w:szCs w:val="22"/>
                <w:lang w:val="en-GB"/>
              </w:rPr>
              <w:t>0 (0,0)</w:t>
            </w:r>
          </w:p>
        </w:tc>
      </w:tr>
      <w:tr w:rsidR="00143528" w:rsidRPr="00143528" w14:paraId="657C64E5" w14:textId="77777777" w:rsidTr="00C11463">
        <w:trPr>
          <w:trHeight w:val="441"/>
        </w:trPr>
        <w:tc>
          <w:tcPr>
            <w:tcW w:w="2606" w:type="pct"/>
            <w:tcBorders>
              <w:top w:val="nil"/>
              <w:left w:val="single" w:sz="4" w:space="0" w:color="000000"/>
              <w:bottom w:val="single" w:sz="4" w:space="0" w:color="000000"/>
              <w:right w:val="single" w:sz="4" w:space="0" w:color="000000"/>
            </w:tcBorders>
            <w:tcMar>
              <w:top w:w="23" w:type="dxa"/>
              <w:left w:w="82" w:type="dxa"/>
              <w:bottom w:w="0" w:type="dxa"/>
              <w:right w:w="68" w:type="dxa"/>
            </w:tcMar>
            <w:hideMark/>
          </w:tcPr>
          <w:p w14:paraId="1D545350" w14:textId="77777777" w:rsidR="00143528" w:rsidRPr="00143528" w:rsidRDefault="00143528" w:rsidP="00C11463">
            <w:pPr>
              <w:ind w:left="112"/>
              <w:rPr>
                <w:sz w:val="22"/>
                <w:szCs w:val="22"/>
              </w:rPr>
            </w:pPr>
            <w:r w:rsidRPr="00143528">
              <w:rPr>
                <w:i/>
                <w:sz w:val="22"/>
                <w:szCs w:val="22"/>
              </w:rPr>
              <w:t>Almindelig</w:t>
            </w:r>
          </w:p>
          <w:p w14:paraId="470CE6C0" w14:textId="77777777" w:rsidR="00143528" w:rsidRPr="00143528" w:rsidRDefault="00143528" w:rsidP="004D752E">
            <w:pPr>
              <w:ind w:left="477"/>
              <w:rPr>
                <w:sz w:val="22"/>
                <w:szCs w:val="22"/>
              </w:rPr>
            </w:pPr>
            <w:r w:rsidRPr="00143528">
              <w:rPr>
                <w:sz w:val="22"/>
                <w:szCs w:val="22"/>
              </w:rPr>
              <w:t xml:space="preserve">Forhøjet </w:t>
            </w:r>
            <w:proofErr w:type="spellStart"/>
            <w:r w:rsidRPr="00143528">
              <w:rPr>
                <w:sz w:val="22"/>
                <w:szCs w:val="22"/>
              </w:rPr>
              <w:t>kreatinin</w:t>
            </w:r>
            <w:proofErr w:type="spellEnd"/>
            <w:r w:rsidRPr="00143528">
              <w:rPr>
                <w:sz w:val="22"/>
                <w:szCs w:val="22"/>
              </w:rPr>
              <w:t xml:space="preserve"> i blodet</w:t>
            </w:r>
          </w:p>
        </w:tc>
        <w:tc>
          <w:tcPr>
            <w:tcW w:w="634" w:type="pct"/>
            <w:tcBorders>
              <w:top w:val="nil"/>
              <w:left w:val="single" w:sz="4" w:space="0" w:color="000000"/>
              <w:bottom w:val="single" w:sz="4" w:space="0" w:color="000000"/>
              <w:right w:val="single" w:sz="4" w:space="0" w:color="000000"/>
            </w:tcBorders>
            <w:tcMar>
              <w:top w:w="23" w:type="dxa"/>
              <w:left w:w="82" w:type="dxa"/>
              <w:bottom w:w="0" w:type="dxa"/>
              <w:right w:w="68" w:type="dxa"/>
            </w:tcMar>
          </w:tcPr>
          <w:p w14:paraId="54FD208D" w14:textId="77777777" w:rsidR="00143528" w:rsidRPr="00143528" w:rsidRDefault="00143528" w:rsidP="00C11463">
            <w:pPr>
              <w:ind w:left="112"/>
              <w:rPr>
                <w:sz w:val="22"/>
                <w:szCs w:val="22"/>
              </w:rPr>
            </w:pPr>
          </w:p>
          <w:p w14:paraId="0DD6A209" w14:textId="77777777" w:rsidR="00143528" w:rsidRPr="00143528" w:rsidRDefault="00143528" w:rsidP="00C11463">
            <w:pPr>
              <w:ind w:left="112"/>
              <w:rPr>
                <w:sz w:val="22"/>
                <w:szCs w:val="22"/>
                <w:lang w:val="en-GB"/>
              </w:rPr>
            </w:pPr>
            <w:r w:rsidRPr="00143528">
              <w:rPr>
                <w:sz w:val="22"/>
                <w:szCs w:val="22"/>
                <w:lang w:val="en-GB"/>
              </w:rPr>
              <w:t>57 (6,5)</w:t>
            </w:r>
          </w:p>
        </w:tc>
        <w:tc>
          <w:tcPr>
            <w:tcW w:w="1083" w:type="pct"/>
            <w:tcBorders>
              <w:top w:val="nil"/>
              <w:left w:val="single" w:sz="4" w:space="0" w:color="000000"/>
              <w:bottom w:val="single" w:sz="4" w:space="0" w:color="000000"/>
              <w:right w:val="single" w:sz="4" w:space="0" w:color="000000"/>
            </w:tcBorders>
            <w:tcMar>
              <w:top w:w="23" w:type="dxa"/>
              <w:left w:w="82" w:type="dxa"/>
              <w:bottom w:w="0" w:type="dxa"/>
              <w:right w:w="68" w:type="dxa"/>
            </w:tcMar>
          </w:tcPr>
          <w:p w14:paraId="7E12DA74" w14:textId="77777777" w:rsidR="00143528" w:rsidRPr="00143528" w:rsidRDefault="00143528" w:rsidP="00C11463">
            <w:pPr>
              <w:ind w:left="112"/>
              <w:rPr>
                <w:sz w:val="22"/>
                <w:szCs w:val="22"/>
                <w:lang w:val="en-GB"/>
              </w:rPr>
            </w:pPr>
          </w:p>
          <w:p w14:paraId="34539445" w14:textId="77777777" w:rsidR="00143528" w:rsidRPr="00143528" w:rsidRDefault="00143528" w:rsidP="00C11463">
            <w:pPr>
              <w:ind w:left="112"/>
              <w:rPr>
                <w:sz w:val="22"/>
                <w:szCs w:val="22"/>
                <w:lang w:val="en-GB"/>
              </w:rPr>
            </w:pPr>
            <w:r w:rsidRPr="00143528">
              <w:rPr>
                <w:sz w:val="22"/>
                <w:szCs w:val="22"/>
                <w:lang w:val="en-GB"/>
              </w:rPr>
              <w:t>3 (0,3)</w:t>
            </w:r>
          </w:p>
        </w:tc>
        <w:tc>
          <w:tcPr>
            <w:tcW w:w="677" w:type="pct"/>
            <w:tcBorders>
              <w:top w:val="nil"/>
              <w:left w:val="single" w:sz="4" w:space="0" w:color="000000"/>
              <w:bottom w:val="single" w:sz="4" w:space="0" w:color="000000"/>
              <w:right w:val="single" w:sz="4" w:space="0" w:color="000000"/>
            </w:tcBorders>
            <w:tcMar>
              <w:top w:w="23" w:type="dxa"/>
              <w:left w:w="82" w:type="dxa"/>
              <w:bottom w:w="0" w:type="dxa"/>
              <w:right w:w="68" w:type="dxa"/>
            </w:tcMar>
          </w:tcPr>
          <w:p w14:paraId="056BE5EC" w14:textId="77777777" w:rsidR="00143528" w:rsidRPr="00143528" w:rsidRDefault="00143528" w:rsidP="00C11463">
            <w:pPr>
              <w:ind w:left="112"/>
              <w:rPr>
                <w:sz w:val="22"/>
                <w:szCs w:val="22"/>
                <w:lang w:val="en-GB"/>
              </w:rPr>
            </w:pPr>
          </w:p>
          <w:p w14:paraId="176053D2" w14:textId="77777777" w:rsidR="00143528" w:rsidRPr="00143528" w:rsidRDefault="00143528" w:rsidP="00C11463">
            <w:pPr>
              <w:ind w:left="112"/>
              <w:rPr>
                <w:sz w:val="22"/>
                <w:szCs w:val="22"/>
                <w:lang w:val="en-GB"/>
              </w:rPr>
            </w:pPr>
            <w:r w:rsidRPr="00143528">
              <w:rPr>
                <w:sz w:val="22"/>
                <w:szCs w:val="22"/>
                <w:lang w:val="en-GB"/>
              </w:rPr>
              <w:t>2 (0,2)</w:t>
            </w:r>
          </w:p>
        </w:tc>
      </w:tr>
    </w:tbl>
    <w:p w14:paraId="70379B93" w14:textId="77777777" w:rsidR="00143528" w:rsidRPr="00143528" w:rsidRDefault="00143528" w:rsidP="00C11463">
      <w:pPr>
        <w:rPr>
          <w:sz w:val="20"/>
          <w:lang w:val="sv-SE"/>
        </w:rPr>
      </w:pPr>
      <w:r w:rsidRPr="00143528">
        <w:rPr>
          <w:sz w:val="20"/>
          <w:lang w:val="sv-SE"/>
        </w:rPr>
        <w:t xml:space="preserve">ALAT = </w:t>
      </w:r>
      <w:proofErr w:type="spellStart"/>
      <w:r w:rsidRPr="00143528">
        <w:rPr>
          <w:sz w:val="20"/>
          <w:lang w:val="sv-SE"/>
        </w:rPr>
        <w:t>alanine</w:t>
      </w:r>
      <w:proofErr w:type="spellEnd"/>
      <w:r w:rsidRPr="00143528">
        <w:rPr>
          <w:sz w:val="20"/>
          <w:lang w:val="sv-SE"/>
        </w:rPr>
        <w:t xml:space="preserve"> </w:t>
      </w:r>
      <w:proofErr w:type="spellStart"/>
      <w:r w:rsidRPr="00143528">
        <w:rPr>
          <w:sz w:val="20"/>
          <w:lang w:val="sv-SE"/>
        </w:rPr>
        <w:t>aminotransferase</w:t>
      </w:r>
      <w:proofErr w:type="spellEnd"/>
      <w:r w:rsidRPr="00143528">
        <w:rPr>
          <w:sz w:val="20"/>
          <w:lang w:val="sv-SE"/>
        </w:rPr>
        <w:t xml:space="preserve">; ASAT = </w:t>
      </w:r>
      <w:proofErr w:type="spellStart"/>
      <w:r w:rsidRPr="00143528">
        <w:rPr>
          <w:sz w:val="20"/>
          <w:lang w:val="sv-SE"/>
        </w:rPr>
        <w:t>aspartate</w:t>
      </w:r>
      <w:proofErr w:type="spellEnd"/>
      <w:r w:rsidRPr="00143528">
        <w:rPr>
          <w:sz w:val="20"/>
          <w:lang w:val="sv-SE"/>
        </w:rPr>
        <w:t xml:space="preserve"> </w:t>
      </w:r>
      <w:proofErr w:type="spellStart"/>
      <w:r w:rsidRPr="00143528">
        <w:rPr>
          <w:sz w:val="20"/>
          <w:lang w:val="sv-SE"/>
        </w:rPr>
        <w:t>aminotransferase</w:t>
      </w:r>
      <w:proofErr w:type="spellEnd"/>
      <w:r w:rsidRPr="00143528">
        <w:rPr>
          <w:sz w:val="20"/>
          <w:lang w:val="sv-SE"/>
        </w:rPr>
        <w:t xml:space="preserve">; ILS = </w:t>
      </w:r>
      <w:proofErr w:type="spellStart"/>
      <w:r w:rsidRPr="00143528">
        <w:rPr>
          <w:sz w:val="20"/>
          <w:lang w:val="sv-SE"/>
        </w:rPr>
        <w:t>interstitiel</w:t>
      </w:r>
      <w:proofErr w:type="spellEnd"/>
      <w:r w:rsidRPr="00143528">
        <w:rPr>
          <w:sz w:val="20"/>
          <w:lang w:val="sv-SE"/>
        </w:rPr>
        <w:t xml:space="preserve"> </w:t>
      </w:r>
      <w:proofErr w:type="spellStart"/>
      <w:r w:rsidRPr="00143528">
        <w:rPr>
          <w:sz w:val="20"/>
          <w:lang w:val="sv-SE"/>
        </w:rPr>
        <w:t>lungesygdom</w:t>
      </w:r>
      <w:proofErr w:type="spellEnd"/>
      <w:r w:rsidRPr="00143528">
        <w:rPr>
          <w:sz w:val="20"/>
          <w:lang w:val="sv-SE"/>
        </w:rPr>
        <w:t>;</w:t>
      </w:r>
    </w:p>
    <w:p w14:paraId="2058564F" w14:textId="77777777" w:rsidR="00143528" w:rsidRPr="00143528" w:rsidRDefault="00143528" w:rsidP="00C11463">
      <w:pPr>
        <w:rPr>
          <w:sz w:val="20"/>
          <w:lang w:val="sv-SE"/>
        </w:rPr>
      </w:pPr>
      <w:r w:rsidRPr="00143528">
        <w:rPr>
          <w:sz w:val="20"/>
          <w:lang w:val="sv-SE"/>
        </w:rPr>
        <w:t>N/n = antal patienter.</w:t>
      </w:r>
    </w:p>
    <w:p w14:paraId="77F3CA92" w14:textId="77777777" w:rsidR="00143528" w:rsidRPr="00143528" w:rsidRDefault="00143528" w:rsidP="00C11463">
      <w:pPr>
        <w:ind w:left="284" w:hanging="284"/>
        <w:rPr>
          <w:sz w:val="20"/>
        </w:rPr>
      </w:pPr>
      <w:r w:rsidRPr="00143528">
        <w:rPr>
          <w:sz w:val="20"/>
          <w:vertAlign w:val="superscript"/>
        </w:rPr>
        <w:t xml:space="preserve">a. </w:t>
      </w:r>
      <w:r w:rsidRPr="00143528">
        <w:rPr>
          <w:sz w:val="20"/>
          <w:vertAlign w:val="superscript"/>
        </w:rPr>
        <w:tab/>
      </w:r>
      <w:r w:rsidRPr="00143528">
        <w:rPr>
          <w:sz w:val="20"/>
        </w:rPr>
        <w:t xml:space="preserve">Foretrukne termer er angivet i henhold til </w:t>
      </w:r>
      <w:proofErr w:type="spellStart"/>
      <w:r w:rsidRPr="00143528">
        <w:rPr>
          <w:sz w:val="20"/>
        </w:rPr>
        <w:t>MedDRA</w:t>
      </w:r>
      <w:proofErr w:type="spellEnd"/>
      <w:r w:rsidRPr="00143528">
        <w:rPr>
          <w:sz w:val="20"/>
        </w:rPr>
        <w:t xml:space="preserve"> 17.1.</w:t>
      </w:r>
    </w:p>
    <w:p w14:paraId="02662DDC" w14:textId="228F1981" w:rsidR="00143528" w:rsidRPr="00143528" w:rsidRDefault="00143528" w:rsidP="00C11463">
      <w:pPr>
        <w:ind w:left="284" w:hanging="284"/>
        <w:rPr>
          <w:sz w:val="20"/>
        </w:rPr>
      </w:pPr>
      <w:r w:rsidRPr="00143528">
        <w:rPr>
          <w:sz w:val="20"/>
          <w:vertAlign w:val="superscript"/>
        </w:rPr>
        <w:t>b.</w:t>
      </w:r>
      <w:r w:rsidRPr="00143528">
        <w:rPr>
          <w:sz w:val="20"/>
        </w:rPr>
        <w:t xml:space="preserve"> </w:t>
      </w:r>
      <w:r w:rsidRPr="00143528">
        <w:rPr>
          <w:sz w:val="20"/>
        </w:rPr>
        <w:tab/>
        <w:t>Infektioner omfatter alle foretrukne termer, der er en del af systemorganklassen Infektioner og</w:t>
      </w:r>
      <w:r w:rsidR="004D752E">
        <w:rPr>
          <w:sz w:val="20"/>
        </w:rPr>
        <w:t xml:space="preserve"> </w:t>
      </w:r>
      <w:proofErr w:type="spellStart"/>
      <w:r w:rsidRPr="00143528">
        <w:rPr>
          <w:sz w:val="20"/>
        </w:rPr>
        <w:t>infestationer</w:t>
      </w:r>
      <w:proofErr w:type="spellEnd"/>
      <w:r w:rsidRPr="00143528">
        <w:rPr>
          <w:sz w:val="20"/>
        </w:rPr>
        <w:t>.</w:t>
      </w:r>
    </w:p>
    <w:p w14:paraId="24FA12B6" w14:textId="77777777" w:rsidR="00143528" w:rsidRPr="00143528" w:rsidRDefault="00143528" w:rsidP="00C11463">
      <w:pPr>
        <w:ind w:left="284" w:hanging="284"/>
        <w:rPr>
          <w:sz w:val="20"/>
        </w:rPr>
      </w:pPr>
      <w:r w:rsidRPr="00143528">
        <w:rPr>
          <w:sz w:val="20"/>
          <w:vertAlign w:val="superscript"/>
        </w:rPr>
        <w:t>c.</w:t>
      </w:r>
      <w:r w:rsidRPr="00143528">
        <w:rPr>
          <w:sz w:val="20"/>
        </w:rPr>
        <w:t xml:space="preserve"> </w:t>
      </w:r>
      <w:r w:rsidRPr="00143528">
        <w:rPr>
          <w:sz w:val="20"/>
        </w:rPr>
        <w:tab/>
      </w:r>
      <w:proofErr w:type="spellStart"/>
      <w:r w:rsidRPr="00143528">
        <w:rPr>
          <w:sz w:val="20"/>
        </w:rPr>
        <w:t>Neutropeni</w:t>
      </w:r>
      <w:proofErr w:type="spellEnd"/>
      <w:r w:rsidRPr="00143528">
        <w:rPr>
          <w:sz w:val="20"/>
        </w:rPr>
        <w:t xml:space="preserve"> omfatter følgende foretrukne termer: </w:t>
      </w:r>
      <w:proofErr w:type="spellStart"/>
      <w:r w:rsidRPr="00143528">
        <w:rPr>
          <w:sz w:val="20"/>
        </w:rPr>
        <w:t>Neutropeni</w:t>
      </w:r>
      <w:proofErr w:type="spellEnd"/>
      <w:r w:rsidRPr="00143528">
        <w:rPr>
          <w:sz w:val="20"/>
        </w:rPr>
        <w:t xml:space="preserve">, nedsat </w:t>
      </w:r>
      <w:proofErr w:type="spellStart"/>
      <w:r w:rsidRPr="00143528">
        <w:rPr>
          <w:sz w:val="20"/>
        </w:rPr>
        <w:t>neutrofiltal</w:t>
      </w:r>
      <w:proofErr w:type="spellEnd"/>
      <w:r w:rsidRPr="00143528">
        <w:rPr>
          <w:sz w:val="20"/>
        </w:rPr>
        <w:t>.</w:t>
      </w:r>
    </w:p>
    <w:p w14:paraId="28AC9608" w14:textId="77777777" w:rsidR="00143528" w:rsidRPr="00143528" w:rsidRDefault="00143528" w:rsidP="00C11463">
      <w:pPr>
        <w:ind w:left="284" w:hanging="284"/>
        <w:rPr>
          <w:sz w:val="20"/>
        </w:rPr>
      </w:pPr>
      <w:r w:rsidRPr="00143528">
        <w:rPr>
          <w:sz w:val="20"/>
          <w:vertAlign w:val="superscript"/>
        </w:rPr>
        <w:t>d.</w:t>
      </w:r>
      <w:r w:rsidRPr="00143528">
        <w:rPr>
          <w:sz w:val="20"/>
        </w:rPr>
        <w:t xml:space="preserve"> </w:t>
      </w:r>
      <w:r w:rsidRPr="00143528">
        <w:rPr>
          <w:sz w:val="20"/>
        </w:rPr>
        <w:tab/>
      </w:r>
      <w:proofErr w:type="spellStart"/>
      <w:r w:rsidRPr="00143528">
        <w:rPr>
          <w:sz w:val="20"/>
        </w:rPr>
        <w:t>Leukopeni</w:t>
      </w:r>
      <w:proofErr w:type="spellEnd"/>
      <w:r w:rsidRPr="00143528">
        <w:rPr>
          <w:sz w:val="20"/>
        </w:rPr>
        <w:t xml:space="preserve"> omfatter følgende foretrukne termer: </w:t>
      </w:r>
      <w:proofErr w:type="spellStart"/>
      <w:r w:rsidRPr="00143528">
        <w:rPr>
          <w:sz w:val="20"/>
        </w:rPr>
        <w:t>Leukopeni</w:t>
      </w:r>
      <w:proofErr w:type="spellEnd"/>
      <w:r w:rsidRPr="00143528">
        <w:rPr>
          <w:sz w:val="20"/>
        </w:rPr>
        <w:t>, nedsat antal leukocytter.</w:t>
      </w:r>
    </w:p>
    <w:p w14:paraId="00046715" w14:textId="77777777" w:rsidR="00143528" w:rsidRPr="00143528" w:rsidRDefault="00143528" w:rsidP="00C11463">
      <w:pPr>
        <w:ind w:left="284" w:hanging="284"/>
        <w:rPr>
          <w:sz w:val="20"/>
        </w:rPr>
      </w:pPr>
      <w:r w:rsidRPr="00143528">
        <w:rPr>
          <w:sz w:val="20"/>
          <w:vertAlign w:val="superscript"/>
        </w:rPr>
        <w:t>e.</w:t>
      </w:r>
      <w:r w:rsidRPr="00143528">
        <w:rPr>
          <w:sz w:val="20"/>
        </w:rPr>
        <w:t xml:space="preserve"> </w:t>
      </w:r>
      <w:r w:rsidRPr="00143528">
        <w:rPr>
          <w:sz w:val="20"/>
        </w:rPr>
        <w:tab/>
        <w:t>Anæmi omfatter følgende foretrukne termer: Anæmi, nedsat hæmoglobin, nedsat hæmatokrit.</w:t>
      </w:r>
    </w:p>
    <w:p w14:paraId="43F3509E" w14:textId="77777777" w:rsidR="00143528" w:rsidRPr="00143528" w:rsidRDefault="00143528" w:rsidP="00C11463">
      <w:pPr>
        <w:ind w:left="284" w:hanging="284"/>
        <w:rPr>
          <w:sz w:val="20"/>
        </w:rPr>
      </w:pPr>
      <w:r w:rsidRPr="00143528">
        <w:rPr>
          <w:sz w:val="20"/>
          <w:vertAlign w:val="superscript"/>
        </w:rPr>
        <w:t>f.</w:t>
      </w:r>
      <w:r w:rsidRPr="00143528">
        <w:rPr>
          <w:sz w:val="20"/>
        </w:rPr>
        <w:t xml:space="preserve"> </w:t>
      </w:r>
      <w:r w:rsidRPr="00143528">
        <w:rPr>
          <w:sz w:val="20"/>
        </w:rPr>
        <w:tab/>
      </w:r>
      <w:proofErr w:type="spellStart"/>
      <w:r w:rsidRPr="00143528">
        <w:rPr>
          <w:sz w:val="20"/>
        </w:rPr>
        <w:t>Trombocytopeni</w:t>
      </w:r>
      <w:proofErr w:type="spellEnd"/>
      <w:r w:rsidRPr="00143528">
        <w:rPr>
          <w:sz w:val="20"/>
        </w:rPr>
        <w:t xml:space="preserve"> omfatter følgende foretrukne termer: </w:t>
      </w:r>
      <w:proofErr w:type="spellStart"/>
      <w:r w:rsidRPr="00143528">
        <w:rPr>
          <w:sz w:val="20"/>
        </w:rPr>
        <w:t>Trombocytopeni</w:t>
      </w:r>
      <w:proofErr w:type="spellEnd"/>
      <w:r w:rsidRPr="00143528">
        <w:rPr>
          <w:sz w:val="20"/>
        </w:rPr>
        <w:t xml:space="preserve">, nedsat </w:t>
      </w:r>
      <w:proofErr w:type="spellStart"/>
      <w:r w:rsidRPr="00143528">
        <w:rPr>
          <w:sz w:val="20"/>
        </w:rPr>
        <w:t>trombocyttal</w:t>
      </w:r>
      <w:proofErr w:type="spellEnd"/>
      <w:r w:rsidRPr="00143528">
        <w:rPr>
          <w:sz w:val="20"/>
        </w:rPr>
        <w:t>.</w:t>
      </w:r>
    </w:p>
    <w:p w14:paraId="68689BE2" w14:textId="77777777" w:rsidR="00143528" w:rsidRPr="00143528" w:rsidRDefault="00143528" w:rsidP="00C11463">
      <w:pPr>
        <w:ind w:left="284" w:hanging="284"/>
        <w:rPr>
          <w:sz w:val="20"/>
        </w:rPr>
      </w:pPr>
      <w:r w:rsidRPr="00143528">
        <w:rPr>
          <w:sz w:val="20"/>
          <w:vertAlign w:val="superscript"/>
        </w:rPr>
        <w:t>g</w:t>
      </w:r>
      <w:r w:rsidRPr="00143528">
        <w:rPr>
          <w:sz w:val="20"/>
          <w:vertAlign w:val="superscript"/>
        </w:rPr>
        <w:tab/>
      </w:r>
      <w:proofErr w:type="spellStart"/>
      <w:r w:rsidRPr="00143528">
        <w:rPr>
          <w:sz w:val="20"/>
        </w:rPr>
        <w:t>Stomatitis</w:t>
      </w:r>
      <w:proofErr w:type="spellEnd"/>
      <w:r w:rsidRPr="00143528">
        <w:rPr>
          <w:sz w:val="20"/>
        </w:rPr>
        <w:t xml:space="preserve"> omfatter følgende foretrukne termer: </w:t>
      </w:r>
      <w:proofErr w:type="spellStart"/>
      <w:r w:rsidRPr="00143528">
        <w:rPr>
          <w:sz w:val="20"/>
        </w:rPr>
        <w:t>Aftøs</w:t>
      </w:r>
      <w:proofErr w:type="spellEnd"/>
      <w:r w:rsidRPr="00143528">
        <w:rPr>
          <w:sz w:val="20"/>
        </w:rPr>
        <w:t xml:space="preserve"> </w:t>
      </w:r>
      <w:proofErr w:type="spellStart"/>
      <w:r w:rsidRPr="00143528">
        <w:rPr>
          <w:sz w:val="20"/>
        </w:rPr>
        <w:t>stomatitis</w:t>
      </w:r>
      <w:proofErr w:type="spellEnd"/>
      <w:r w:rsidRPr="00143528">
        <w:rPr>
          <w:sz w:val="20"/>
        </w:rPr>
        <w:t xml:space="preserve">, </w:t>
      </w:r>
      <w:proofErr w:type="spellStart"/>
      <w:r w:rsidRPr="00143528">
        <w:rPr>
          <w:sz w:val="20"/>
        </w:rPr>
        <w:t>cheilitis</w:t>
      </w:r>
      <w:proofErr w:type="spellEnd"/>
      <w:r w:rsidRPr="00143528">
        <w:rPr>
          <w:sz w:val="20"/>
        </w:rPr>
        <w:t xml:space="preserve">, </w:t>
      </w:r>
      <w:proofErr w:type="spellStart"/>
      <w:r w:rsidRPr="00143528">
        <w:rPr>
          <w:sz w:val="20"/>
        </w:rPr>
        <w:t>glossitis</w:t>
      </w:r>
      <w:proofErr w:type="spellEnd"/>
      <w:r w:rsidRPr="00143528">
        <w:rPr>
          <w:sz w:val="20"/>
        </w:rPr>
        <w:t xml:space="preserve">, </w:t>
      </w:r>
      <w:proofErr w:type="spellStart"/>
      <w:r w:rsidRPr="00143528">
        <w:rPr>
          <w:sz w:val="20"/>
        </w:rPr>
        <w:t>glossalgi</w:t>
      </w:r>
      <w:proofErr w:type="spellEnd"/>
      <w:r w:rsidRPr="00143528">
        <w:rPr>
          <w:sz w:val="20"/>
        </w:rPr>
        <w:t xml:space="preserve">, mundsår, slimhindeinflammation, orale smerter, </w:t>
      </w:r>
      <w:proofErr w:type="spellStart"/>
      <w:r w:rsidRPr="00143528">
        <w:rPr>
          <w:sz w:val="20"/>
        </w:rPr>
        <w:t>orofaryngealt</w:t>
      </w:r>
      <w:proofErr w:type="spellEnd"/>
      <w:r w:rsidRPr="00143528">
        <w:rPr>
          <w:sz w:val="20"/>
        </w:rPr>
        <w:t xml:space="preserve"> ubehag, </w:t>
      </w:r>
      <w:proofErr w:type="spellStart"/>
      <w:r w:rsidRPr="00143528">
        <w:rPr>
          <w:sz w:val="20"/>
        </w:rPr>
        <w:t>orofaryngeal</w:t>
      </w:r>
      <w:proofErr w:type="spellEnd"/>
      <w:r w:rsidRPr="00143528">
        <w:rPr>
          <w:sz w:val="20"/>
        </w:rPr>
        <w:t xml:space="preserve"> smerte, </w:t>
      </w:r>
      <w:proofErr w:type="spellStart"/>
      <w:r w:rsidRPr="00143528">
        <w:rPr>
          <w:sz w:val="20"/>
        </w:rPr>
        <w:t>stomatitis</w:t>
      </w:r>
      <w:proofErr w:type="spellEnd"/>
      <w:r w:rsidRPr="00143528">
        <w:rPr>
          <w:sz w:val="20"/>
        </w:rPr>
        <w:t>.</w:t>
      </w:r>
    </w:p>
    <w:p w14:paraId="103116AE" w14:textId="77777777" w:rsidR="00143528" w:rsidRPr="00143528" w:rsidRDefault="00143528" w:rsidP="00C11463">
      <w:pPr>
        <w:ind w:left="284" w:hanging="284"/>
        <w:rPr>
          <w:sz w:val="20"/>
        </w:rPr>
      </w:pPr>
      <w:r w:rsidRPr="00143528">
        <w:rPr>
          <w:sz w:val="20"/>
          <w:vertAlign w:val="superscript"/>
        </w:rPr>
        <w:t>h.</w:t>
      </w:r>
      <w:r w:rsidRPr="00143528">
        <w:rPr>
          <w:sz w:val="20"/>
        </w:rPr>
        <w:t xml:space="preserve"> </w:t>
      </w:r>
      <w:r w:rsidRPr="00143528">
        <w:rPr>
          <w:sz w:val="20"/>
        </w:rPr>
        <w:tab/>
        <w:t xml:space="preserve">Udslæt omfatter følgende foretrukne termer: </w:t>
      </w:r>
      <w:proofErr w:type="spellStart"/>
      <w:r w:rsidRPr="00143528">
        <w:rPr>
          <w:sz w:val="20"/>
        </w:rPr>
        <w:t>Pruritus</w:t>
      </w:r>
      <w:proofErr w:type="spellEnd"/>
      <w:r w:rsidRPr="00143528">
        <w:rPr>
          <w:sz w:val="20"/>
        </w:rPr>
        <w:t xml:space="preserve">, </w:t>
      </w:r>
      <w:proofErr w:type="spellStart"/>
      <w:r w:rsidRPr="00143528">
        <w:rPr>
          <w:sz w:val="20"/>
        </w:rPr>
        <w:t>makulopapuløst</w:t>
      </w:r>
      <w:proofErr w:type="spellEnd"/>
      <w:r w:rsidRPr="00143528">
        <w:rPr>
          <w:sz w:val="20"/>
        </w:rPr>
        <w:t xml:space="preserve"> udslæt, kløende udslæt, </w:t>
      </w:r>
      <w:proofErr w:type="spellStart"/>
      <w:r w:rsidRPr="00143528">
        <w:rPr>
          <w:sz w:val="20"/>
        </w:rPr>
        <w:t>erytematøst</w:t>
      </w:r>
      <w:proofErr w:type="spellEnd"/>
      <w:r w:rsidRPr="00143528">
        <w:rPr>
          <w:sz w:val="20"/>
        </w:rPr>
        <w:t xml:space="preserve"> udslæt, papuløst udslæt, </w:t>
      </w:r>
      <w:proofErr w:type="spellStart"/>
      <w:r w:rsidRPr="00143528">
        <w:rPr>
          <w:sz w:val="20"/>
        </w:rPr>
        <w:t>dermatitis</w:t>
      </w:r>
      <w:proofErr w:type="spellEnd"/>
      <w:r w:rsidRPr="00143528">
        <w:rPr>
          <w:sz w:val="20"/>
        </w:rPr>
        <w:t xml:space="preserve">, </w:t>
      </w:r>
      <w:proofErr w:type="spellStart"/>
      <w:r w:rsidRPr="00143528">
        <w:rPr>
          <w:sz w:val="20"/>
        </w:rPr>
        <w:t>akneiform</w:t>
      </w:r>
      <w:proofErr w:type="spellEnd"/>
      <w:r w:rsidRPr="00143528">
        <w:rPr>
          <w:sz w:val="20"/>
        </w:rPr>
        <w:t xml:space="preserve"> </w:t>
      </w:r>
      <w:proofErr w:type="spellStart"/>
      <w:r w:rsidRPr="00143528">
        <w:rPr>
          <w:sz w:val="20"/>
        </w:rPr>
        <w:t>dermatitis</w:t>
      </w:r>
      <w:proofErr w:type="spellEnd"/>
      <w:r w:rsidRPr="00143528">
        <w:rPr>
          <w:sz w:val="20"/>
        </w:rPr>
        <w:t>, toksisk hududslæt.</w:t>
      </w:r>
    </w:p>
    <w:p w14:paraId="463FC210" w14:textId="77777777" w:rsidR="00143528" w:rsidRPr="00143528" w:rsidRDefault="00143528" w:rsidP="00C11463">
      <w:pPr>
        <w:ind w:left="284" w:hanging="284"/>
        <w:rPr>
          <w:sz w:val="20"/>
        </w:rPr>
      </w:pPr>
      <w:r w:rsidRPr="00143528">
        <w:rPr>
          <w:sz w:val="20"/>
          <w:vertAlign w:val="superscript"/>
        </w:rPr>
        <w:t>i</w:t>
      </w:r>
      <w:r w:rsidRPr="00143528">
        <w:rPr>
          <w:sz w:val="20"/>
          <w:vertAlign w:val="superscript"/>
        </w:rPr>
        <w:tab/>
        <w:t xml:space="preserve"> </w:t>
      </w:r>
      <w:r w:rsidRPr="00143528">
        <w:rPr>
          <w:sz w:val="20"/>
        </w:rPr>
        <w:t xml:space="preserve">ILS/pneumonitis omfatter alle rapporterede foretrukne termer, der er en del af standardiseret </w:t>
      </w:r>
      <w:proofErr w:type="spellStart"/>
      <w:r w:rsidRPr="00143528">
        <w:rPr>
          <w:sz w:val="20"/>
        </w:rPr>
        <w:t>MedDRA</w:t>
      </w:r>
      <w:proofErr w:type="spellEnd"/>
      <w:r w:rsidRPr="00143528">
        <w:rPr>
          <w:sz w:val="20"/>
        </w:rPr>
        <w:t xml:space="preserve"> Query </w:t>
      </w:r>
      <w:proofErr w:type="spellStart"/>
      <w:r w:rsidRPr="00143528">
        <w:rPr>
          <w:sz w:val="20"/>
        </w:rPr>
        <w:t>Interstitial</w:t>
      </w:r>
      <w:proofErr w:type="spellEnd"/>
      <w:r w:rsidRPr="00143528">
        <w:rPr>
          <w:sz w:val="20"/>
        </w:rPr>
        <w:t xml:space="preserve"> Lung </w:t>
      </w:r>
      <w:proofErr w:type="spellStart"/>
      <w:r w:rsidRPr="00143528">
        <w:rPr>
          <w:sz w:val="20"/>
        </w:rPr>
        <w:t>Disease</w:t>
      </w:r>
      <w:proofErr w:type="spellEnd"/>
      <w:r w:rsidRPr="00143528">
        <w:rPr>
          <w:sz w:val="20"/>
        </w:rPr>
        <w:t xml:space="preserve"> (smal).</w:t>
      </w:r>
    </w:p>
    <w:p w14:paraId="1704CA23" w14:textId="77777777" w:rsidR="00143528" w:rsidRPr="00143528" w:rsidRDefault="00143528" w:rsidP="00C11463">
      <w:pPr>
        <w:ind w:left="284" w:hanging="284"/>
        <w:rPr>
          <w:sz w:val="20"/>
        </w:rPr>
      </w:pPr>
      <w:r w:rsidRPr="00143528">
        <w:rPr>
          <w:sz w:val="20"/>
          <w:vertAlign w:val="superscript"/>
        </w:rPr>
        <w:t>j</w:t>
      </w:r>
      <w:r w:rsidRPr="00143528">
        <w:rPr>
          <w:sz w:val="20"/>
        </w:rPr>
        <w:t xml:space="preserve"> </w:t>
      </w:r>
      <w:r w:rsidRPr="00143528">
        <w:rPr>
          <w:sz w:val="20"/>
        </w:rPr>
        <w:tab/>
        <w:t xml:space="preserve">Venøs </w:t>
      </w:r>
      <w:proofErr w:type="spellStart"/>
      <w:r w:rsidRPr="00143528">
        <w:rPr>
          <w:sz w:val="20"/>
        </w:rPr>
        <w:t>tromboembolisme</w:t>
      </w:r>
      <w:proofErr w:type="spellEnd"/>
      <w:r w:rsidRPr="00143528">
        <w:rPr>
          <w:sz w:val="20"/>
        </w:rPr>
        <w:t xml:space="preserve"> omfatter følgende foretrukne termer: </w:t>
      </w:r>
      <w:proofErr w:type="spellStart"/>
      <w:r w:rsidRPr="00143528">
        <w:rPr>
          <w:sz w:val="20"/>
        </w:rPr>
        <w:t>lungeemboli</w:t>
      </w:r>
      <w:proofErr w:type="spellEnd"/>
      <w:r w:rsidRPr="00143528">
        <w:rPr>
          <w:sz w:val="20"/>
        </w:rPr>
        <w:t xml:space="preserve">, </w:t>
      </w:r>
      <w:proofErr w:type="spellStart"/>
      <w:r w:rsidRPr="00143528">
        <w:rPr>
          <w:sz w:val="20"/>
        </w:rPr>
        <w:t>emboli</w:t>
      </w:r>
      <w:proofErr w:type="spellEnd"/>
      <w:r w:rsidRPr="00143528">
        <w:rPr>
          <w:sz w:val="20"/>
        </w:rPr>
        <w:t xml:space="preserve">, dyb venetrombose, perifer </w:t>
      </w:r>
      <w:proofErr w:type="spellStart"/>
      <w:r w:rsidRPr="00143528">
        <w:rPr>
          <w:sz w:val="20"/>
        </w:rPr>
        <w:t>emboli</w:t>
      </w:r>
      <w:proofErr w:type="spellEnd"/>
      <w:r w:rsidRPr="00143528">
        <w:rPr>
          <w:sz w:val="20"/>
        </w:rPr>
        <w:t>, trombose.</w:t>
      </w:r>
    </w:p>
    <w:p w14:paraId="2DCB70E4" w14:textId="77777777" w:rsidR="00143528" w:rsidRPr="00143528" w:rsidRDefault="00143528" w:rsidP="00143528">
      <w:pPr>
        <w:tabs>
          <w:tab w:val="left" w:pos="851"/>
        </w:tabs>
        <w:ind w:left="851"/>
        <w:rPr>
          <w:sz w:val="24"/>
          <w:szCs w:val="24"/>
        </w:rPr>
      </w:pPr>
    </w:p>
    <w:p w14:paraId="70B69BF0" w14:textId="39A4BB45" w:rsidR="00143528" w:rsidRPr="00143528" w:rsidRDefault="00143528" w:rsidP="00D33C41">
      <w:pPr>
        <w:rPr>
          <w:b/>
          <w:bCs/>
          <w:sz w:val="24"/>
          <w:szCs w:val="24"/>
        </w:rPr>
      </w:pPr>
      <w:r w:rsidRPr="00143528">
        <w:rPr>
          <w:b/>
          <w:bCs/>
          <w:sz w:val="24"/>
          <w:szCs w:val="24"/>
        </w:rPr>
        <w:t>Skema 5.</w:t>
      </w:r>
      <w:r w:rsidR="00D33C41" w:rsidRPr="00D33C41">
        <w:rPr>
          <w:b/>
          <w:bCs/>
          <w:sz w:val="24"/>
          <w:szCs w:val="24"/>
        </w:rPr>
        <w:t xml:space="preserve"> </w:t>
      </w:r>
      <w:r w:rsidRPr="00143528">
        <w:rPr>
          <w:b/>
          <w:bCs/>
          <w:sz w:val="24"/>
          <w:szCs w:val="24"/>
        </w:rPr>
        <w:t>Laboratorieafvigelser, der blev observe</w:t>
      </w:r>
      <w:r w:rsidR="003A454E">
        <w:rPr>
          <w:b/>
          <w:bCs/>
          <w:sz w:val="24"/>
          <w:szCs w:val="24"/>
        </w:rPr>
        <w:t>re</w:t>
      </w:r>
      <w:r w:rsidRPr="00143528">
        <w:rPr>
          <w:b/>
          <w:bCs/>
          <w:sz w:val="24"/>
          <w:szCs w:val="24"/>
        </w:rPr>
        <w:t xml:space="preserve">t i </w:t>
      </w:r>
      <w:proofErr w:type="spellStart"/>
      <w:r w:rsidRPr="00143528">
        <w:rPr>
          <w:b/>
          <w:bCs/>
          <w:sz w:val="24"/>
          <w:szCs w:val="24"/>
        </w:rPr>
        <w:t>puljede</w:t>
      </w:r>
      <w:proofErr w:type="spellEnd"/>
      <w:r w:rsidRPr="00143528">
        <w:rPr>
          <w:b/>
          <w:bCs/>
          <w:sz w:val="24"/>
          <w:szCs w:val="24"/>
        </w:rPr>
        <w:t xml:space="preserve"> datasæt fra 3 randomiserede studier (N=872)</w:t>
      </w:r>
    </w:p>
    <w:tbl>
      <w:tblPr>
        <w:tblW w:w="5000" w:type="pct"/>
        <w:tblCellMar>
          <w:left w:w="10" w:type="dxa"/>
          <w:right w:w="10" w:type="dxa"/>
        </w:tblCellMar>
        <w:tblLook w:val="04A0" w:firstRow="1" w:lastRow="0" w:firstColumn="1" w:lastColumn="0" w:noHBand="0" w:noVBand="1"/>
      </w:tblPr>
      <w:tblGrid>
        <w:gridCol w:w="3011"/>
        <w:gridCol w:w="1004"/>
        <w:gridCol w:w="1152"/>
        <w:gridCol w:w="1152"/>
        <w:gridCol w:w="1005"/>
        <w:gridCol w:w="1152"/>
        <w:gridCol w:w="1152"/>
      </w:tblGrid>
      <w:tr w:rsidR="00143528" w:rsidRPr="00143528" w14:paraId="0FB8FB8A" w14:textId="77777777" w:rsidTr="00D33C41">
        <w:trPr>
          <w:trHeight w:val="470"/>
        </w:trPr>
        <w:tc>
          <w:tcPr>
            <w:tcW w:w="1564"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tcPr>
          <w:p w14:paraId="28894079" w14:textId="77777777" w:rsidR="00143528" w:rsidRPr="00143528" w:rsidRDefault="00143528" w:rsidP="00D33C41">
            <w:pPr>
              <w:ind w:left="84"/>
              <w:rPr>
                <w:sz w:val="22"/>
                <w:szCs w:val="22"/>
              </w:rPr>
            </w:pPr>
          </w:p>
        </w:tc>
        <w:tc>
          <w:tcPr>
            <w:tcW w:w="1718" w:type="pct"/>
            <w:gridSpan w:val="3"/>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347B2638" w14:textId="77777777" w:rsidR="00143528" w:rsidRPr="00143528" w:rsidRDefault="00143528" w:rsidP="006A56CA">
            <w:pPr>
              <w:ind w:left="84"/>
              <w:jc w:val="center"/>
              <w:rPr>
                <w:sz w:val="22"/>
                <w:szCs w:val="22"/>
                <w:lang w:val="en-GB"/>
              </w:rPr>
            </w:pPr>
            <w:r w:rsidRPr="00143528">
              <w:rPr>
                <w:b/>
                <w:sz w:val="22"/>
                <w:szCs w:val="22"/>
                <w:lang w:val="en-GB"/>
              </w:rPr>
              <w:t xml:space="preserve">Palbociclib plus letrozole or </w:t>
            </w:r>
            <w:proofErr w:type="spellStart"/>
            <w:r w:rsidRPr="00143528">
              <w:rPr>
                <w:b/>
                <w:sz w:val="22"/>
                <w:szCs w:val="22"/>
                <w:lang w:val="en-GB"/>
              </w:rPr>
              <w:t>fulvestrant</w:t>
            </w:r>
            <w:proofErr w:type="spellEnd"/>
          </w:p>
        </w:tc>
        <w:tc>
          <w:tcPr>
            <w:tcW w:w="1718" w:type="pct"/>
            <w:gridSpan w:val="3"/>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7375F806" w14:textId="77777777" w:rsidR="00143528" w:rsidRPr="00143528" w:rsidRDefault="00143528" w:rsidP="006A56CA">
            <w:pPr>
              <w:ind w:left="84"/>
              <w:jc w:val="center"/>
              <w:rPr>
                <w:sz w:val="22"/>
                <w:szCs w:val="22"/>
                <w:lang w:val="en-GB"/>
              </w:rPr>
            </w:pPr>
            <w:proofErr w:type="spellStart"/>
            <w:r w:rsidRPr="00143528">
              <w:rPr>
                <w:b/>
                <w:sz w:val="22"/>
                <w:szCs w:val="22"/>
                <w:lang w:val="en-GB"/>
              </w:rPr>
              <w:t>Komparatorarme</w:t>
            </w:r>
            <w:proofErr w:type="spellEnd"/>
            <w:r w:rsidRPr="00143528">
              <w:rPr>
                <w:b/>
                <w:sz w:val="22"/>
                <w:szCs w:val="22"/>
                <w:lang w:val="en-GB"/>
              </w:rPr>
              <w:t>*</w:t>
            </w:r>
          </w:p>
        </w:tc>
      </w:tr>
      <w:tr w:rsidR="00143528" w:rsidRPr="00143528" w14:paraId="00DB9542" w14:textId="77777777" w:rsidTr="00D33C41">
        <w:trPr>
          <w:trHeight w:val="701"/>
        </w:trPr>
        <w:tc>
          <w:tcPr>
            <w:tcW w:w="1564"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46968C43" w14:textId="77777777" w:rsidR="00143528" w:rsidRPr="00143528" w:rsidRDefault="00143528" w:rsidP="00D33C41">
            <w:pPr>
              <w:ind w:left="84"/>
              <w:rPr>
                <w:sz w:val="22"/>
                <w:szCs w:val="22"/>
                <w:lang w:val="en-GB"/>
              </w:rPr>
            </w:pPr>
            <w:proofErr w:type="spellStart"/>
            <w:r w:rsidRPr="00143528">
              <w:rPr>
                <w:b/>
                <w:sz w:val="22"/>
                <w:szCs w:val="22"/>
                <w:lang w:val="en-GB"/>
              </w:rPr>
              <w:t>Laboratorieabnormiteter</w:t>
            </w:r>
            <w:proofErr w:type="spellEnd"/>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88FC9D9" w14:textId="77777777" w:rsidR="00143528" w:rsidRPr="00143528" w:rsidRDefault="00143528" w:rsidP="006A56CA">
            <w:pPr>
              <w:ind w:left="84"/>
              <w:jc w:val="center"/>
              <w:rPr>
                <w:sz w:val="22"/>
                <w:szCs w:val="22"/>
                <w:lang w:val="en-GB"/>
              </w:rPr>
            </w:pPr>
            <w:r w:rsidRPr="00143528">
              <w:rPr>
                <w:b/>
                <w:sz w:val="22"/>
                <w:szCs w:val="22"/>
                <w:lang w:val="en-GB"/>
              </w:rPr>
              <w:t>Alle grader</w:t>
            </w:r>
          </w:p>
          <w:p w14:paraId="5F3F45B3" w14:textId="587E619E" w:rsidR="00143528" w:rsidRPr="00143528" w:rsidRDefault="007A1C7E" w:rsidP="006A56CA">
            <w:pPr>
              <w:ind w:left="84"/>
              <w:jc w:val="center"/>
              <w:rPr>
                <w:sz w:val="22"/>
                <w:szCs w:val="22"/>
                <w:lang w:val="en-GB"/>
              </w:rPr>
            </w:pPr>
            <w:r>
              <w:rPr>
                <w:b/>
                <w:sz w:val="22"/>
                <w:szCs w:val="22"/>
                <w:lang w:val="en-GB"/>
              </w:rPr>
              <w:t xml:space="preserve"> %</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961C2E4" w14:textId="06D00A29" w:rsidR="00143528" w:rsidRPr="00143528" w:rsidRDefault="00143528" w:rsidP="006A56CA">
            <w:pPr>
              <w:ind w:left="84"/>
              <w:jc w:val="center"/>
              <w:rPr>
                <w:sz w:val="22"/>
                <w:szCs w:val="22"/>
                <w:lang w:val="en-GB"/>
              </w:rPr>
            </w:pPr>
            <w:r w:rsidRPr="00143528">
              <w:rPr>
                <w:b/>
                <w:sz w:val="22"/>
                <w:szCs w:val="22"/>
                <w:lang w:val="en-GB"/>
              </w:rPr>
              <w:t>Grad 3</w:t>
            </w:r>
          </w:p>
          <w:p w14:paraId="567E56A8" w14:textId="0DEE0ACC" w:rsidR="00143528" w:rsidRPr="00143528" w:rsidRDefault="007A1C7E" w:rsidP="006A56CA">
            <w:pPr>
              <w:ind w:left="84"/>
              <w:jc w:val="center"/>
              <w:rPr>
                <w:sz w:val="22"/>
                <w:szCs w:val="22"/>
                <w:lang w:val="en-GB"/>
              </w:rPr>
            </w:pPr>
            <w:r>
              <w:rPr>
                <w:b/>
                <w:sz w:val="22"/>
                <w:szCs w:val="22"/>
                <w:lang w:val="en-GB"/>
              </w:rPr>
              <w:t xml:space="preserve"> %</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47CF3CDA" w14:textId="76228CE0" w:rsidR="00143528" w:rsidRPr="00143528" w:rsidRDefault="00143528" w:rsidP="006A56CA">
            <w:pPr>
              <w:ind w:left="84"/>
              <w:jc w:val="center"/>
              <w:rPr>
                <w:sz w:val="22"/>
                <w:szCs w:val="22"/>
                <w:lang w:val="en-GB"/>
              </w:rPr>
            </w:pPr>
            <w:r w:rsidRPr="00143528">
              <w:rPr>
                <w:b/>
                <w:sz w:val="22"/>
                <w:szCs w:val="22"/>
                <w:lang w:val="en-GB"/>
              </w:rPr>
              <w:t>Grad 4</w:t>
            </w:r>
          </w:p>
          <w:p w14:paraId="745E5E85" w14:textId="0A91E976" w:rsidR="00143528" w:rsidRPr="00143528" w:rsidRDefault="007A1C7E" w:rsidP="006A56CA">
            <w:pPr>
              <w:ind w:left="84"/>
              <w:jc w:val="center"/>
              <w:rPr>
                <w:sz w:val="22"/>
                <w:szCs w:val="22"/>
                <w:lang w:val="en-GB"/>
              </w:rPr>
            </w:pPr>
            <w:r>
              <w:rPr>
                <w:b/>
                <w:sz w:val="22"/>
                <w:szCs w:val="22"/>
                <w:lang w:val="en-GB"/>
              </w:rPr>
              <w:t xml:space="preserve"> %</w:t>
            </w:r>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635D00A9" w14:textId="77777777" w:rsidR="00143528" w:rsidRPr="00143528" w:rsidRDefault="00143528" w:rsidP="006A56CA">
            <w:pPr>
              <w:ind w:left="84"/>
              <w:jc w:val="center"/>
              <w:rPr>
                <w:b/>
                <w:sz w:val="22"/>
                <w:szCs w:val="22"/>
                <w:lang w:val="en-GB"/>
              </w:rPr>
            </w:pPr>
            <w:r w:rsidRPr="00143528">
              <w:rPr>
                <w:b/>
                <w:sz w:val="22"/>
                <w:szCs w:val="22"/>
                <w:lang w:val="en-GB"/>
              </w:rPr>
              <w:t>Alle</w:t>
            </w:r>
          </w:p>
          <w:p w14:paraId="01EF466A" w14:textId="20FCFF3A" w:rsidR="00143528" w:rsidRPr="00143528" w:rsidRDefault="00143528" w:rsidP="006A56CA">
            <w:pPr>
              <w:ind w:left="84"/>
              <w:jc w:val="center"/>
              <w:rPr>
                <w:sz w:val="22"/>
                <w:szCs w:val="22"/>
                <w:lang w:val="en-GB"/>
              </w:rPr>
            </w:pPr>
            <w:r w:rsidRPr="00143528">
              <w:rPr>
                <w:b/>
                <w:sz w:val="22"/>
                <w:szCs w:val="22"/>
                <w:lang w:val="en-GB"/>
              </w:rPr>
              <w:t>grader</w:t>
            </w:r>
          </w:p>
          <w:p w14:paraId="536CFD04" w14:textId="51FA3566" w:rsidR="00143528" w:rsidRPr="00143528" w:rsidRDefault="007A1C7E" w:rsidP="006A56CA">
            <w:pPr>
              <w:ind w:left="84"/>
              <w:jc w:val="center"/>
              <w:rPr>
                <w:sz w:val="22"/>
                <w:szCs w:val="22"/>
                <w:lang w:val="en-GB"/>
              </w:rPr>
            </w:pPr>
            <w:r>
              <w:rPr>
                <w:b/>
                <w:sz w:val="22"/>
                <w:szCs w:val="22"/>
                <w:lang w:val="en-GB"/>
              </w:rPr>
              <w:t xml:space="preserve"> %</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7335840" w14:textId="2683603E" w:rsidR="00143528" w:rsidRPr="00143528" w:rsidRDefault="00143528" w:rsidP="006A56CA">
            <w:pPr>
              <w:ind w:left="84"/>
              <w:jc w:val="center"/>
              <w:rPr>
                <w:sz w:val="22"/>
                <w:szCs w:val="22"/>
                <w:lang w:val="en-GB"/>
              </w:rPr>
            </w:pPr>
            <w:r w:rsidRPr="00143528">
              <w:rPr>
                <w:b/>
                <w:sz w:val="22"/>
                <w:szCs w:val="22"/>
                <w:lang w:val="en-GB"/>
              </w:rPr>
              <w:t>Grad 3</w:t>
            </w:r>
          </w:p>
          <w:p w14:paraId="27CD58E8" w14:textId="453730AC" w:rsidR="00143528" w:rsidRPr="00143528" w:rsidRDefault="007A1C7E" w:rsidP="006A56CA">
            <w:pPr>
              <w:ind w:left="84"/>
              <w:jc w:val="center"/>
              <w:rPr>
                <w:sz w:val="22"/>
                <w:szCs w:val="22"/>
                <w:lang w:val="en-GB"/>
              </w:rPr>
            </w:pPr>
            <w:r>
              <w:rPr>
                <w:b/>
                <w:sz w:val="22"/>
                <w:szCs w:val="22"/>
                <w:lang w:val="en-GB"/>
              </w:rPr>
              <w:t xml:space="preserve"> %</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BD884F7" w14:textId="190FEF89" w:rsidR="00143528" w:rsidRPr="00143528" w:rsidRDefault="00143528" w:rsidP="006A56CA">
            <w:pPr>
              <w:ind w:left="84"/>
              <w:jc w:val="center"/>
              <w:rPr>
                <w:sz w:val="22"/>
                <w:szCs w:val="22"/>
                <w:lang w:val="en-GB"/>
              </w:rPr>
            </w:pPr>
            <w:r w:rsidRPr="00143528">
              <w:rPr>
                <w:b/>
                <w:sz w:val="22"/>
                <w:szCs w:val="22"/>
                <w:lang w:val="en-GB"/>
              </w:rPr>
              <w:t>Grad 4</w:t>
            </w:r>
          </w:p>
          <w:p w14:paraId="0C71B28D" w14:textId="1AABD191" w:rsidR="00143528" w:rsidRPr="00143528" w:rsidRDefault="007A1C7E" w:rsidP="006A56CA">
            <w:pPr>
              <w:ind w:left="84"/>
              <w:jc w:val="center"/>
              <w:rPr>
                <w:sz w:val="22"/>
                <w:szCs w:val="22"/>
                <w:lang w:val="en-GB"/>
              </w:rPr>
            </w:pPr>
            <w:r>
              <w:rPr>
                <w:b/>
                <w:sz w:val="22"/>
                <w:szCs w:val="22"/>
                <w:lang w:val="en-GB"/>
              </w:rPr>
              <w:t xml:space="preserve"> %</w:t>
            </w:r>
          </w:p>
        </w:tc>
      </w:tr>
      <w:tr w:rsidR="00143528" w:rsidRPr="00143528" w14:paraId="0330EFD7" w14:textId="77777777" w:rsidTr="00D33C41">
        <w:trPr>
          <w:trHeight w:val="240"/>
        </w:trPr>
        <w:tc>
          <w:tcPr>
            <w:tcW w:w="1564"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2F9A3C7" w14:textId="77777777" w:rsidR="00143528" w:rsidRPr="00143528" w:rsidRDefault="00143528" w:rsidP="00D33C41">
            <w:pPr>
              <w:ind w:left="84"/>
              <w:rPr>
                <w:sz w:val="22"/>
                <w:szCs w:val="22"/>
                <w:lang w:val="en-GB"/>
              </w:rPr>
            </w:pPr>
            <w:r w:rsidRPr="00143528">
              <w:rPr>
                <w:sz w:val="22"/>
                <w:szCs w:val="22"/>
                <w:lang w:val="en-GB"/>
              </w:rPr>
              <w:t xml:space="preserve">Fald i </w:t>
            </w:r>
            <w:proofErr w:type="spellStart"/>
            <w:r w:rsidRPr="00143528">
              <w:rPr>
                <w:sz w:val="22"/>
                <w:szCs w:val="22"/>
                <w:lang w:val="en-GB"/>
              </w:rPr>
              <w:t>leukocytter</w:t>
            </w:r>
            <w:proofErr w:type="spellEnd"/>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3E0CAF82" w14:textId="77777777" w:rsidR="00143528" w:rsidRPr="00143528" w:rsidRDefault="00143528" w:rsidP="006A56CA">
            <w:pPr>
              <w:ind w:left="84"/>
              <w:jc w:val="center"/>
              <w:rPr>
                <w:sz w:val="22"/>
                <w:szCs w:val="22"/>
                <w:lang w:val="en-GB"/>
              </w:rPr>
            </w:pPr>
            <w:r w:rsidRPr="00143528">
              <w:rPr>
                <w:sz w:val="22"/>
                <w:szCs w:val="22"/>
                <w:lang w:val="en-GB"/>
              </w:rPr>
              <w:t>97.4</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7B5E5A2" w14:textId="77777777" w:rsidR="00143528" w:rsidRPr="00143528" w:rsidRDefault="00143528" w:rsidP="006A56CA">
            <w:pPr>
              <w:ind w:left="84"/>
              <w:jc w:val="center"/>
              <w:rPr>
                <w:sz w:val="22"/>
                <w:szCs w:val="22"/>
                <w:lang w:val="en-GB"/>
              </w:rPr>
            </w:pPr>
            <w:r w:rsidRPr="00143528">
              <w:rPr>
                <w:sz w:val="22"/>
                <w:szCs w:val="22"/>
                <w:lang w:val="en-GB"/>
              </w:rPr>
              <w:t>41,8</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68372315" w14:textId="77777777" w:rsidR="00143528" w:rsidRPr="00143528" w:rsidRDefault="00143528" w:rsidP="006A56CA">
            <w:pPr>
              <w:ind w:left="84"/>
              <w:jc w:val="center"/>
              <w:rPr>
                <w:sz w:val="22"/>
                <w:szCs w:val="22"/>
                <w:lang w:val="en-GB"/>
              </w:rPr>
            </w:pPr>
            <w:r w:rsidRPr="00143528">
              <w:rPr>
                <w:sz w:val="22"/>
                <w:szCs w:val="22"/>
                <w:lang w:val="en-GB"/>
              </w:rPr>
              <w:t>1,0</w:t>
            </w:r>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2649D56A" w14:textId="77777777" w:rsidR="00143528" w:rsidRPr="00143528" w:rsidRDefault="00143528" w:rsidP="006A56CA">
            <w:pPr>
              <w:ind w:left="84"/>
              <w:jc w:val="center"/>
              <w:rPr>
                <w:sz w:val="22"/>
                <w:szCs w:val="22"/>
                <w:lang w:val="en-GB"/>
              </w:rPr>
            </w:pPr>
            <w:r w:rsidRPr="00143528">
              <w:rPr>
                <w:sz w:val="22"/>
                <w:szCs w:val="22"/>
                <w:lang w:val="en-GB"/>
              </w:rPr>
              <w:t>26,2</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798D15DA" w14:textId="77777777" w:rsidR="00143528" w:rsidRPr="00143528" w:rsidRDefault="00143528" w:rsidP="006A56CA">
            <w:pPr>
              <w:ind w:left="84"/>
              <w:jc w:val="center"/>
              <w:rPr>
                <w:sz w:val="22"/>
                <w:szCs w:val="22"/>
                <w:lang w:val="en-GB"/>
              </w:rPr>
            </w:pPr>
            <w:r w:rsidRPr="00143528">
              <w:rPr>
                <w:sz w:val="22"/>
                <w:szCs w:val="22"/>
                <w:lang w:val="en-GB"/>
              </w:rPr>
              <w:t>0,2</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348C3DF0" w14:textId="77777777" w:rsidR="00143528" w:rsidRPr="00143528" w:rsidRDefault="00143528" w:rsidP="006A56CA">
            <w:pPr>
              <w:ind w:left="84"/>
              <w:jc w:val="center"/>
              <w:rPr>
                <w:sz w:val="22"/>
                <w:szCs w:val="22"/>
                <w:lang w:val="en-GB"/>
              </w:rPr>
            </w:pPr>
            <w:r w:rsidRPr="00143528">
              <w:rPr>
                <w:sz w:val="22"/>
                <w:szCs w:val="22"/>
                <w:lang w:val="en-GB"/>
              </w:rPr>
              <w:t>0,2</w:t>
            </w:r>
          </w:p>
        </w:tc>
      </w:tr>
      <w:tr w:rsidR="00143528" w:rsidRPr="00143528" w14:paraId="62F28D42" w14:textId="77777777" w:rsidTr="00D33C41">
        <w:trPr>
          <w:trHeight w:val="240"/>
        </w:trPr>
        <w:tc>
          <w:tcPr>
            <w:tcW w:w="1564"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76DC1CF" w14:textId="77777777" w:rsidR="00143528" w:rsidRPr="00143528" w:rsidRDefault="00143528" w:rsidP="00D33C41">
            <w:pPr>
              <w:ind w:left="84"/>
              <w:rPr>
                <w:sz w:val="22"/>
                <w:szCs w:val="22"/>
                <w:lang w:val="en-GB"/>
              </w:rPr>
            </w:pPr>
            <w:r w:rsidRPr="00143528">
              <w:rPr>
                <w:sz w:val="22"/>
                <w:szCs w:val="22"/>
                <w:lang w:val="en-GB"/>
              </w:rPr>
              <w:t xml:space="preserve">Fald i </w:t>
            </w:r>
            <w:proofErr w:type="spellStart"/>
            <w:r w:rsidRPr="00143528">
              <w:rPr>
                <w:sz w:val="22"/>
                <w:szCs w:val="22"/>
                <w:lang w:val="en-GB"/>
              </w:rPr>
              <w:t>neutrofiltal</w:t>
            </w:r>
            <w:proofErr w:type="spellEnd"/>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8B0C63F" w14:textId="77777777" w:rsidR="00143528" w:rsidRPr="00143528" w:rsidRDefault="00143528" w:rsidP="006A56CA">
            <w:pPr>
              <w:ind w:left="84"/>
              <w:jc w:val="center"/>
              <w:rPr>
                <w:sz w:val="22"/>
                <w:szCs w:val="22"/>
                <w:lang w:val="en-GB"/>
              </w:rPr>
            </w:pPr>
            <w:r w:rsidRPr="00143528">
              <w:rPr>
                <w:sz w:val="22"/>
                <w:szCs w:val="22"/>
                <w:lang w:val="en-GB"/>
              </w:rPr>
              <w:t>95.6</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50B21127" w14:textId="77777777" w:rsidR="00143528" w:rsidRPr="00143528" w:rsidRDefault="00143528" w:rsidP="006A56CA">
            <w:pPr>
              <w:ind w:left="84"/>
              <w:jc w:val="center"/>
              <w:rPr>
                <w:sz w:val="22"/>
                <w:szCs w:val="22"/>
                <w:lang w:val="en-GB"/>
              </w:rPr>
            </w:pPr>
            <w:r w:rsidRPr="00143528">
              <w:rPr>
                <w:sz w:val="22"/>
                <w:szCs w:val="22"/>
                <w:lang w:val="en-GB"/>
              </w:rPr>
              <w:t>57,5</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5A48F18D" w14:textId="77777777" w:rsidR="00143528" w:rsidRPr="00143528" w:rsidRDefault="00143528" w:rsidP="006A56CA">
            <w:pPr>
              <w:ind w:left="84"/>
              <w:jc w:val="center"/>
              <w:rPr>
                <w:sz w:val="22"/>
                <w:szCs w:val="22"/>
                <w:lang w:val="en-GB"/>
              </w:rPr>
            </w:pPr>
            <w:r w:rsidRPr="00143528">
              <w:rPr>
                <w:sz w:val="22"/>
                <w:szCs w:val="22"/>
                <w:lang w:val="en-GB"/>
              </w:rPr>
              <w:t>11,7</w:t>
            </w:r>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3B67916E" w14:textId="77777777" w:rsidR="00143528" w:rsidRPr="00143528" w:rsidRDefault="00143528" w:rsidP="006A56CA">
            <w:pPr>
              <w:ind w:left="84"/>
              <w:jc w:val="center"/>
              <w:rPr>
                <w:sz w:val="22"/>
                <w:szCs w:val="22"/>
                <w:lang w:val="en-GB"/>
              </w:rPr>
            </w:pPr>
            <w:r w:rsidRPr="00143528">
              <w:rPr>
                <w:sz w:val="22"/>
                <w:szCs w:val="22"/>
                <w:lang w:val="en-GB"/>
              </w:rPr>
              <w:t>17,0</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F42EF52" w14:textId="77777777" w:rsidR="00143528" w:rsidRPr="00143528" w:rsidRDefault="00143528" w:rsidP="006A56CA">
            <w:pPr>
              <w:ind w:left="84"/>
              <w:jc w:val="center"/>
              <w:rPr>
                <w:sz w:val="22"/>
                <w:szCs w:val="22"/>
                <w:lang w:val="en-GB"/>
              </w:rPr>
            </w:pPr>
            <w:r w:rsidRPr="00143528">
              <w:rPr>
                <w:sz w:val="22"/>
                <w:szCs w:val="22"/>
                <w:lang w:val="en-GB"/>
              </w:rPr>
              <w:t>0,9</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5E3E5C6" w14:textId="77777777" w:rsidR="00143528" w:rsidRPr="00143528" w:rsidRDefault="00143528" w:rsidP="006A56CA">
            <w:pPr>
              <w:ind w:left="84"/>
              <w:jc w:val="center"/>
              <w:rPr>
                <w:sz w:val="22"/>
                <w:szCs w:val="22"/>
                <w:lang w:val="en-GB"/>
              </w:rPr>
            </w:pPr>
            <w:r w:rsidRPr="00143528">
              <w:rPr>
                <w:sz w:val="22"/>
                <w:szCs w:val="22"/>
                <w:lang w:val="en-GB"/>
              </w:rPr>
              <w:t>0,6</w:t>
            </w:r>
          </w:p>
        </w:tc>
      </w:tr>
      <w:tr w:rsidR="00143528" w:rsidRPr="00143528" w14:paraId="1F59A253" w14:textId="77777777" w:rsidTr="00D33C41">
        <w:trPr>
          <w:trHeight w:val="240"/>
        </w:trPr>
        <w:tc>
          <w:tcPr>
            <w:tcW w:w="1564"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E21FCE3" w14:textId="77777777" w:rsidR="00143528" w:rsidRPr="00143528" w:rsidRDefault="00143528" w:rsidP="00D33C41">
            <w:pPr>
              <w:ind w:left="84"/>
              <w:rPr>
                <w:sz w:val="22"/>
                <w:szCs w:val="22"/>
                <w:lang w:val="en-GB"/>
              </w:rPr>
            </w:pPr>
            <w:proofErr w:type="spellStart"/>
            <w:r w:rsidRPr="00143528">
              <w:rPr>
                <w:sz w:val="22"/>
                <w:szCs w:val="22"/>
                <w:lang w:val="en-GB"/>
              </w:rPr>
              <w:t>Forhøjet</w:t>
            </w:r>
            <w:proofErr w:type="spellEnd"/>
            <w:r w:rsidRPr="00143528">
              <w:rPr>
                <w:sz w:val="22"/>
                <w:szCs w:val="22"/>
                <w:lang w:val="en-GB"/>
              </w:rPr>
              <w:t xml:space="preserve"> </w:t>
            </w:r>
            <w:proofErr w:type="spellStart"/>
            <w:r w:rsidRPr="00143528">
              <w:rPr>
                <w:sz w:val="22"/>
                <w:szCs w:val="22"/>
                <w:lang w:val="en-GB"/>
              </w:rPr>
              <w:t>kreatinin</w:t>
            </w:r>
            <w:proofErr w:type="spellEnd"/>
            <w:r w:rsidRPr="00143528">
              <w:rPr>
                <w:sz w:val="22"/>
                <w:szCs w:val="22"/>
                <w:lang w:val="en-GB"/>
              </w:rPr>
              <w:t xml:space="preserve"> i </w:t>
            </w:r>
            <w:proofErr w:type="spellStart"/>
            <w:r w:rsidRPr="00143528">
              <w:rPr>
                <w:sz w:val="22"/>
                <w:szCs w:val="22"/>
                <w:lang w:val="en-GB"/>
              </w:rPr>
              <w:t>blodet</w:t>
            </w:r>
            <w:proofErr w:type="spellEnd"/>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48EF571F" w14:textId="77777777" w:rsidR="00143528" w:rsidRPr="00143528" w:rsidRDefault="00143528" w:rsidP="006A56CA">
            <w:pPr>
              <w:ind w:left="84"/>
              <w:jc w:val="center"/>
              <w:rPr>
                <w:sz w:val="22"/>
                <w:szCs w:val="22"/>
                <w:lang w:val="en-GB"/>
              </w:rPr>
            </w:pPr>
            <w:r w:rsidRPr="00143528">
              <w:rPr>
                <w:sz w:val="22"/>
                <w:szCs w:val="22"/>
                <w:lang w:val="en-GB"/>
              </w:rPr>
              <w:t>95.5</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20EE251E" w14:textId="77777777" w:rsidR="00143528" w:rsidRPr="00143528" w:rsidRDefault="00143528" w:rsidP="006A56CA">
            <w:pPr>
              <w:ind w:left="84"/>
              <w:jc w:val="center"/>
              <w:rPr>
                <w:sz w:val="22"/>
                <w:szCs w:val="22"/>
                <w:lang w:val="en-GB"/>
              </w:rPr>
            </w:pPr>
            <w:r w:rsidRPr="00143528">
              <w:rPr>
                <w:sz w:val="22"/>
                <w:szCs w:val="22"/>
                <w:lang w:val="en-GB"/>
              </w:rPr>
              <w:t>1,6</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6B12B61B" w14:textId="77777777" w:rsidR="00143528" w:rsidRPr="00143528" w:rsidRDefault="00143528" w:rsidP="006A56CA">
            <w:pPr>
              <w:ind w:left="84"/>
              <w:jc w:val="center"/>
              <w:rPr>
                <w:sz w:val="22"/>
                <w:szCs w:val="22"/>
                <w:lang w:val="en-GB"/>
              </w:rPr>
            </w:pPr>
            <w:r w:rsidRPr="00143528">
              <w:rPr>
                <w:sz w:val="22"/>
                <w:szCs w:val="22"/>
                <w:lang w:val="en-GB"/>
              </w:rPr>
              <w:t>0,3</w:t>
            </w:r>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47E10B37" w14:textId="77777777" w:rsidR="00143528" w:rsidRPr="00143528" w:rsidRDefault="00143528" w:rsidP="006A56CA">
            <w:pPr>
              <w:ind w:left="84"/>
              <w:jc w:val="center"/>
              <w:rPr>
                <w:sz w:val="22"/>
                <w:szCs w:val="22"/>
                <w:lang w:val="en-GB"/>
              </w:rPr>
            </w:pPr>
            <w:r w:rsidRPr="00143528">
              <w:rPr>
                <w:sz w:val="22"/>
                <w:szCs w:val="22"/>
                <w:lang w:val="en-GB"/>
              </w:rPr>
              <w:t>86,8</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F781BEB" w14:textId="77777777" w:rsidR="00143528" w:rsidRPr="00143528" w:rsidRDefault="00143528" w:rsidP="006A56CA">
            <w:pPr>
              <w:ind w:left="84"/>
              <w:jc w:val="center"/>
              <w:rPr>
                <w:sz w:val="22"/>
                <w:szCs w:val="22"/>
                <w:lang w:val="en-GB"/>
              </w:rPr>
            </w:pPr>
            <w:r w:rsidRPr="00143528">
              <w:rPr>
                <w:sz w:val="22"/>
                <w:szCs w:val="22"/>
                <w:lang w:val="en-GB"/>
              </w:rPr>
              <w:t>0,0</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5DD3BF2A" w14:textId="77777777" w:rsidR="00143528" w:rsidRPr="00143528" w:rsidRDefault="00143528" w:rsidP="006A56CA">
            <w:pPr>
              <w:ind w:left="84"/>
              <w:jc w:val="center"/>
              <w:rPr>
                <w:sz w:val="22"/>
                <w:szCs w:val="22"/>
                <w:lang w:val="en-GB"/>
              </w:rPr>
            </w:pPr>
            <w:r w:rsidRPr="00143528">
              <w:rPr>
                <w:sz w:val="22"/>
                <w:szCs w:val="22"/>
                <w:lang w:val="en-GB"/>
              </w:rPr>
              <w:t>0,0</w:t>
            </w:r>
          </w:p>
        </w:tc>
      </w:tr>
      <w:tr w:rsidR="00143528" w:rsidRPr="00143528" w14:paraId="56E48142" w14:textId="77777777" w:rsidTr="00D33C41">
        <w:trPr>
          <w:trHeight w:val="240"/>
        </w:trPr>
        <w:tc>
          <w:tcPr>
            <w:tcW w:w="1564"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4CB50B7D" w14:textId="77777777" w:rsidR="00143528" w:rsidRPr="00143528" w:rsidRDefault="00143528" w:rsidP="00D33C41">
            <w:pPr>
              <w:ind w:left="84"/>
              <w:rPr>
                <w:sz w:val="22"/>
                <w:szCs w:val="22"/>
                <w:lang w:val="en-GB"/>
              </w:rPr>
            </w:pPr>
            <w:proofErr w:type="spellStart"/>
            <w:r w:rsidRPr="00143528">
              <w:rPr>
                <w:sz w:val="22"/>
                <w:szCs w:val="22"/>
                <w:lang w:val="en-GB"/>
              </w:rPr>
              <w:t>Anæmi</w:t>
            </w:r>
            <w:proofErr w:type="spellEnd"/>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5886A33C" w14:textId="77777777" w:rsidR="00143528" w:rsidRPr="00143528" w:rsidRDefault="00143528" w:rsidP="006A56CA">
            <w:pPr>
              <w:ind w:left="84"/>
              <w:jc w:val="center"/>
              <w:rPr>
                <w:sz w:val="22"/>
                <w:szCs w:val="22"/>
                <w:lang w:val="en-GB"/>
              </w:rPr>
            </w:pPr>
            <w:r w:rsidRPr="00143528">
              <w:rPr>
                <w:sz w:val="22"/>
                <w:szCs w:val="22"/>
                <w:lang w:val="en-GB"/>
              </w:rPr>
              <w:t>80.1</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4031130F" w14:textId="77777777" w:rsidR="00143528" w:rsidRPr="00143528" w:rsidRDefault="00143528" w:rsidP="006A56CA">
            <w:pPr>
              <w:ind w:left="84"/>
              <w:jc w:val="center"/>
              <w:rPr>
                <w:sz w:val="22"/>
                <w:szCs w:val="22"/>
                <w:lang w:val="en-GB"/>
              </w:rPr>
            </w:pPr>
            <w:r w:rsidRPr="00143528">
              <w:rPr>
                <w:sz w:val="22"/>
                <w:szCs w:val="22"/>
                <w:lang w:val="en-GB"/>
              </w:rPr>
              <w:t>5,6</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35B4ED42" w14:textId="77777777" w:rsidR="00143528" w:rsidRPr="00143528" w:rsidRDefault="00143528" w:rsidP="006A56CA">
            <w:pPr>
              <w:ind w:left="84"/>
              <w:jc w:val="center"/>
              <w:rPr>
                <w:sz w:val="22"/>
                <w:szCs w:val="22"/>
                <w:lang w:val="en-GB"/>
              </w:rPr>
            </w:pPr>
            <w:r w:rsidRPr="00143528">
              <w:rPr>
                <w:sz w:val="22"/>
                <w:szCs w:val="22"/>
                <w:lang w:val="en-GB"/>
              </w:rPr>
              <w:t>N/A</w:t>
            </w:r>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78FEC966" w14:textId="77777777" w:rsidR="00143528" w:rsidRPr="00143528" w:rsidRDefault="00143528" w:rsidP="006A56CA">
            <w:pPr>
              <w:ind w:left="84"/>
              <w:jc w:val="center"/>
              <w:rPr>
                <w:sz w:val="22"/>
                <w:szCs w:val="22"/>
                <w:lang w:val="en-GB"/>
              </w:rPr>
            </w:pPr>
            <w:r w:rsidRPr="00143528">
              <w:rPr>
                <w:sz w:val="22"/>
                <w:szCs w:val="22"/>
                <w:lang w:val="en-GB"/>
              </w:rPr>
              <w:t>42,1</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618158BF" w14:textId="77777777" w:rsidR="00143528" w:rsidRPr="00143528" w:rsidRDefault="00143528" w:rsidP="006A56CA">
            <w:pPr>
              <w:ind w:left="84"/>
              <w:jc w:val="center"/>
              <w:rPr>
                <w:sz w:val="22"/>
                <w:szCs w:val="22"/>
                <w:lang w:val="en-GB"/>
              </w:rPr>
            </w:pPr>
            <w:r w:rsidRPr="00143528">
              <w:rPr>
                <w:sz w:val="22"/>
                <w:szCs w:val="22"/>
                <w:lang w:val="en-GB"/>
              </w:rPr>
              <w:t>2,3</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3A36799E" w14:textId="77777777" w:rsidR="00143528" w:rsidRPr="00143528" w:rsidRDefault="00143528" w:rsidP="006A56CA">
            <w:pPr>
              <w:ind w:left="84"/>
              <w:jc w:val="center"/>
              <w:rPr>
                <w:sz w:val="22"/>
                <w:szCs w:val="22"/>
                <w:lang w:val="en-GB"/>
              </w:rPr>
            </w:pPr>
            <w:r w:rsidRPr="00143528">
              <w:rPr>
                <w:sz w:val="22"/>
                <w:szCs w:val="22"/>
                <w:lang w:val="en-GB"/>
              </w:rPr>
              <w:t>N/A</w:t>
            </w:r>
          </w:p>
        </w:tc>
      </w:tr>
      <w:tr w:rsidR="00143528" w:rsidRPr="00143528" w14:paraId="57B93A7B" w14:textId="77777777" w:rsidTr="00D33C41">
        <w:trPr>
          <w:trHeight w:val="240"/>
        </w:trPr>
        <w:tc>
          <w:tcPr>
            <w:tcW w:w="1564"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73F992C" w14:textId="77777777" w:rsidR="00143528" w:rsidRPr="00143528" w:rsidRDefault="00143528" w:rsidP="00D33C41">
            <w:pPr>
              <w:ind w:left="84"/>
              <w:rPr>
                <w:sz w:val="22"/>
                <w:szCs w:val="22"/>
                <w:lang w:val="en-GB"/>
              </w:rPr>
            </w:pPr>
            <w:r w:rsidRPr="00143528">
              <w:rPr>
                <w:sz w:val="22"/>
                <w:szCs w:val="22"/>
                <w:lang w:val="en-GB"/>
              </w:rPr>
              <w:t xml:space="preserve">Fald i </w:t>
            </w:r>
            <w:proofErr w:type="spellStart"/>
            <w:r w:rsidRPr="00143528">
              <w:rPr>
                <w:sz w:val="22"/>
                <w:szCs w:val="22"/>
                <w:lang w:val="en-GB"/>
              </w:rPr>
              <w:t>trombocytter</w:t>
            </w:r>
            <w:proofErr w:type="spellEnd"/>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7DE3D870" w14:textId="77777777" w:rsidR="00143528" w:rsidRPr="00143528" w:rsidRDefault="00143528" w:rsidP="006A56CA">
            <w:pPr>
              <w:ind w:left="84"/>
              <w:jc w:val="center"/>
              <w:rPr>
                <w:sz w:val="22"/>
                <w:szCs w:val="22"/>
                <w:lang w:val="en-GB"/>
              </w:rPr>
            </w:pPr>
            <w:r w:rsidRPr="00143528">
              <w:rPr>
                <w:sz w:val="22"/>
                <w:szCs w:val="22"/>
                <w:lang w:val="en-GB"/>
              </w:rPr>
              <w:t>65.2</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28F34E61" w14:textId="77777777" w:rsidR="00143528" w:rsidRPr="00143528" w:rsidRDefault="00143528" w:rsidP="006A56CA">
            <w:pPr>
              <w:ind w:left="84"/>
              <w:jc w:val="center"/>
              <w:rPr>
                <w:sz w:val="22"/>
                <w:szCs w:val="22"/>
                <w:lang w:val="en-GB"/>
              </w:rPr>
            </w:pPr>
            <w:r w:rsidRPr="00143528">
              <w:rPr>
                <w:sz w:val="22"/>
                <w:szCs w:val="22"/>
                <w:lang w:val="en-GB"/>
              </w:rPr>
              <w:t>1,8</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912A54D" w14:textId="77777777" w:rsidR="00143528" w:rsidRPr="00143528" w:rsidRDefault="00143528" w:rsidP="006A56CA">
            <w:pPr>
              <w:ind w:left="84"/>
              <w:jc w:val="center"/>
              <w:rPr>
                <w:sz w:val="22"/>
                <w:szCs w:val="22"/>
                <w:lang w:val="en-GB"/>
              </w:rPr>
            </w:pPr>
            <w:r w:rsidRPr="00143528">
              <w:rPr>
                <w:sz w:val="22"/>
                <w:szCs w:val="22"/>
                <w:lang w:val="en-GB"/>
              </w:rPr>
              <w:t>0,5</w:t>
            </w:r>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7B5C2814" w14:textId="77777777" w:rsidR="00143528" w:rsidRPr="00143528" w:rsidRDefault="00143528" w:rsidP="006A56CA">
            <w:pPr>
              <w:ind w:left="84"/>
              <w:jc w:val="center"/>
              <w:rPr>
                <w:sz w:val="22"/>
                <w:szCs w:val="22"/>
                <w:lang w:val="en-GB"/>
              </w:rPr>
            </w:pPr>
            <w:r w:rsidRPr="00143528">
              <w:rPr>
                <w:sz w:val="22"/>
                <w:szCs w:val="22"/>
                <w:lang w:val="en-GB"/>
              </w:rPr>
              <w:t>13,2</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97A6E72" w14:textId="77777777" w:rsidR="00143528" w:rsidRPr="00143528" w:rsidRDefault="00143528" w:rsidP="006A56CA">
            <w:pPr>
              <w:ind w:left="84"/>
              <w:jc w:val="center"/>
              <w:rPr>
                <w:sz w:val="22"/>
                <w:szCs w:val="22"/>
                <w:lang w:val="en-GB"/>
              </w:rPr>
            </w:pPr>
            <w:r w:rsidRPr="00143528">
              <w:rPr>
                <w:sz w:val="22"/>
                <w:szCs w:val="22"/>
                <w:lang w:val="en-GB"/>
              </w:rPr>
              <w:t>0,2</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8EBC38A" w14:textId="77777777" w:rsidR="00143528" w:rsidRPr="00143528" w:rsidRDefault="00143528" w:rsidP="006A56CA">
            <w:pPr>
              <w:ind w:left="84"/>
              <w:jc w:val="center"/>
              <w:rPr>
                <w:sz w:val="22"/>
                <w:szCs w:val="22"/>
                <w:lang w:val="en-GB"/>
              </w:rPr>
            </w:pPr>
            <w:r w:rsidRPr="00143528">
              <w:rPr>
                <w:sz w:val="22"/>
                <w:szCs w:val="22"/>
                <w:lang w:val="en-GB"/>
              </w:rPr>
              <w:t>0,0</w:t>
            </w:r>
          </w:p>
        </w:tc>
      </w:tr>
      <w:tr w:rsidR="00143528" w:rsidRPr="00143528" w14:paraId="3CB30597" w14:textId="77777777" w:rsidTr="00D33C41">
        <w:trPr>
          <w:trHeight w:val="240"/>
        </w:trPr>
        <w:tc>
          <w:tcPr>
            <w:tcW w:w="1564"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7805671C" w14:textId="77777777" w:rsidR="00143528" w:rsidRPr="00143528" w:rsidRDefault="00143528" w:rsidP="00D33C41">
            <w:pPr>
              <w:ind w:left="84"/>
              <w:rPr>
                <w:sz w:val="22"/>
                <w:szCs w:val="22"/>
                <w:lang w:val="en-GB"/>
              </w:rPr>
            </w:pPr>
            <w:proofErr w:type="spellStart"/>
            <w:r w:rsidRPr="00143528">
              <w:rPr>
                <w:sz w:val="22"/>
                <w:szCs w:val="22"/>
                <w:lang w:val="en-GB"/>
              </w:rPr>
              <w:t>Forhøjet</w:t>
            </w:r>
            <w:proofErr w:type="spellEnd"/>
            <w:r w:rsidRPr="00143528">
              <w:rPr>
                <w:sz w:val="22"/>
                <w:szCs w:val="22"/>
                <w:lang w:val="en-GB"/>
              </w:rPr>
              <w:t xml:space="preserve"> ASAT</w:t>
            </w:r>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25182A1" w14:textId="43183770" w:rsidR="00143528" w:rsidRPr="00143528" w:rsidRDefault="00143528" w:rsidP="006A56CA">
            <w:pPr>
              <w:ind w:left="84"/>
              <w:jc w:val="center"/>
              <w:rPr>
                <w:sz w:val="22"/>
                <w:szCs w:val="22"/>
                <w:lang w:val="en-GB"/>
              </w:rPr>
            </w:pPr>
            <w:r w:rsidRPr="00143528">
              <w:rPr>
                <w:sz w:val="22"/>
                <w:szCs w:val="22"/>
                <w:lang w:val="en-GB"/>
              </w:rPr>
              <w:t>55.5</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C0D0BDF" w14:textId="77777777" w:rsidR="00143528" w:rsidRPr="00143528" w:rsidRDefault="00143528" w:rsidP="006A56CA">
            <w:pPr>
              <w:ind w:left="84"/>
              <w:jc w:val="center"/>
              <w:rPr>
                <w:sz w:val="22"/>
                <w:szCs w:val="22"/>
                <w:lang w:val="en-GB"/>
              </w:rPr>
            </w:pPr>
            <w:r w:rsidRPr="00143528">
              <w:rPr>
                <w:sz w:val="22"/>
                <w:szCs w:val="22"/>
                <w:lang w:val="en-GB"/>
              </w:rPr>
              <w:t>3,9</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6B8D1206" w14:textId="77777777" w:rsidR="00143528" w:rsidRPr="00143528" w:rsidRDefault="00143528" w:rsidP="006A56CA">
            <w:pPr>
              <w:ind w:left="84"/>
              <w:jc w:val="center"/>
              <w:rPr>
                <w:sz w:val="22"/>
                <w:szCs w:val="22"/>
                <w:lang w:val="en-GB"/>
              </w:rPr>
            </w:pPr>
            <w:r w:rsidRPr="00143528">
              <w:rPr>
                <w:sz w:val="22"/>
                <w:szCs w:val="22"/>
                <w:lang w:val="en-GB"/>
              </w:rPr>
              <w:t>0,0</w:t>
            </w:r>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DF960DD" w14:textId="77777777" w:rsidR="00143528" w:rsidRPr="00143528" w:rsidRDefault="00143528" w:rsidP="006A56CA">
            <w:pPr>
              <w:ind w:left="84"/>
              <w:jc w:val="center"/>
              <w:rPr>
                <w:sz w:val="22"/>
                <w:szCs w:val="22"/>
                <w:lang w:val="en-GB"/>
              </w:rPr>
            </w:pPr>
            <w:r w:rsidRPr="00143528">
              <w:rPr>
                <w:sz w:val="22"/>
                <w:szCs w:val="22"/>
                <w:lang w:val="en-GB"/>
              </w:rPr>
              <w:t>43,3</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305D030" w14:textId="77777777" w:rsidR="00143528" w:rsidRPr="00143528" w:rsidRDefault="00143528" w:rsidP="006A56CA">
            <w:pPr>
              <w:ind w:left="84"/>
              <w:jc w:val="center"/>
              <w:rPr>
                <w:sz w:val="22"/>
                <w:szCs w:val="22"/>
                <w:lang w:val="en-GB"/>
              </w:rPr>
            </w:pPr>
            <w:r w:rsidRPr="00143528">
              <w:rPr>
                <w:sz w:val="22"/>
                <w:szCs w:val="22"/>
                <w:lang w:val="en-GB"/>
              </w:rPr>
              <w:t>2,1</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11106302" w14:textId="77777777" w:rsidR="00143528" w:rsidRPr="00143528" w:rsidRDefault="00143528" w:rsidP="006A56CA">
            <w:pPr>
              <w:ind w:left="84"/>
              <w:jc w:val="center"/>
              <w:rPr>
                <w:sz w:val="22"/>
                <w:szCs w:val="22"/>
                <w:lang w:val="en-GB"/>
              </w:rPr>
            </w:pPr>
            <w:r w:rsidRPr="00143528">
              <w:rPr>
                <w:sz w:val="22"/>
                <w:szCs w:val="22"/>
                <w:lang w:val="en-GB"/>
              </w:rPr>
              <w:t>0,0</w:t>
            </w:r>
          </w:p>
        </w:tc>
      </w:tr>
      <w:tr w:rsidR="00143528" w:rsidRPr="00143528" w14:paraId="10021E78" w14:textId="77777777" w:rsidTr="00D33C41">
        <w:trPr>
          <w:trHeight w:val="240"/>
        </w:trPr>
        <w:tc>
          <w:tcPr>
            <w:tcW w:w="1564"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3AEA55BC" w14:textId="77777777" w:rsidR="00143528" w:rsidRPr="00143528" w:rsidRDefault="00143528" w:rsidP="00D33C41">
            <w:pPr>
              <w:ind w:left="84"/>
              <w:rPr>
                <w:sz w:val="22"/>
                <w:szCs w:val="22"/>
                <w:lang w:val="en-GB"/>
              </w:rPr>
            </w:pPr>
            <w:proofErr w:type="spellStart"/>
            <w:r w:rsidRPr="00143528">
              <w:rPr>
                <w:sz w:val="22"/>
                <w:szCs w:val="22"/>
                <w:lang w:val="en-GB"/>
              </w:rPr>
              <w:t>Forhøjet</w:t>
            </w:r>
            <w:proofErr w:type="spellEnd"/>
            <w:r w:rsidRPr="00143528">
              <w:rPr>
                <w:sz w:val="22"/>
                <w:szCs w:val="22"/>
                <w:lang w:val="en-GB"/>
              </w:rPr>
              <w:t xml:space="preserve"> ALAT</w:t>
            </w:r>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4AE7EC02" w14:textId="77777777" w:rsidR="00143528" w:rsidRPr="00143528" w:rsidRDefault="00143528" w:rsidP="006A56CA">
            <w:pPr>
              <w:ind w:left="84"/>
              <w:jc w:val="center"/>
              <w:rPr>
                <w:sz w:val="22"/>
                <w:szCs w:val="22"/>
                <w:lang w:val="en-GB"/>
              </w:rPr>
            </w:pPr>
            <w:r w:rsidRPr="00143528">
              <w:rPr>
                <w:sz w:val="22"/>
                <w:szCs w:val="22"/>
                <w:lang w:val="en-GB"/>
              </w:rPr>
              <w:t>46.1</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3E55D2FB" w14:textId="77777777" w:rsidR="00143528" w:rsidRPr="00143528" w:rsidRDefault="00143528" w:rsidP="006A56CA">
            <w:pPr>
              <w:ind w:left="84"/>
              <w:jc w:val="center"/>
              <w:rPr>
                <w:sz w:val="22"/>
                <w:szCs w:val="22"/>
                <w:lang w:val="en-GB"/>
              </w:rPr>
            </w:pPr>
            <w:r w:rsidRPr="00143528">
              <w:rPr>
                <w:sz w:val="22"/>
                <w:szCs w:val="22"/>
                <w:lang w:val="en-GB"/>
              </w:rPr>
              <w:t>2,5</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7D8BC13E" w14:textId="77777777" w:rsidR="00143528" w:rsidRPr="00143528" w:rsidRDefault="00143528" w:rsidP="006A56CA">
            <w:pPr>
              <w:ind w:left="84"/>
              <w:jc w:val="center"/>
              <w:rPr>
                <w:sz w:val="22"/>
                <w:szCs w:val="22"/>
                <w:lang w:val="en-GB"/>
              </w:rPr>
            </w:pPr>
            <w:r w:rsidRPr="00143528">
              <w:rPr>
                <w:sz w:val="22"/>
                <w:szCs w:val="22"/>
                <w:lang w:val="en-GB"/>
              </w:rPr>
              <w:t>0,1</w:t>
            </w:r>
          </w:p>
        </w:tc>
        <w:tc>
          <w:tcPr>
            <w:tcW w:w="522"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75817476" w14:textId="77777777" w:rsidR="00143528" w:rsidRPr="00143528" w:rsidRDefault="00143528" w:rsidP="006A56CA">
            <w:pPr>
              <w:ind w:left="84"/>
              <w:jc w:val="center"/>
              <w:rPr>
                <w:sz w:val="22"/>
                <w:szCs w:val="22"/>
                <w:lang w:val="en-GB"/>
              </w:rPr>
            </w:pPr>
            <w:r w:rsidRPr="00143528">
              <w:rPr>
                <w:sz w:val="22"/>
                <w:szCs w:val="22"/>
                <w:lang w:val="en-GB"/>
              </w:rPr>
              <w:t>33,2</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025DC656" w14:textId="77777777" w:rsidR="00143528" w:rsidRPr="00143528" w:rsidRDefault="00143528" w:rsidP="006A56CA">
            <w:pPr>
              <w:ind w:left="84"/>
              <w:jc w:val="center"/>
              <w:rPr>
                <w:sz w:val="22"/>
                <w:szCs w:val="22"/>
                <w:lang w:val="en-GB"/>
              </w:rPr>
            </w:pPr>
            <w:r w:rsidRPr="00143528">
              <w:rPr>
                <w:sz w:val="22"/>
                <w:szCs w:val="22"/>
                <w:lang w:val="en-GB"/>
              </w:rPr>
              <w:t>0,4</w:t>
            </w:r>
          </w:p>
        </w:tc>
        <w:tc>
          <w:tcPr>
            <w:tcW w:w="598" w:type="pct"/>
            <w:tcBorders>
              <w:top w:val="single" w:sz="4" w:space="0" w:color="000000"/>
              <w:left w:val="single" w:sz="4" w:space="0" w:color="000000"/>
              <w:bottom w:val="single" w:sz="4" w:space="0" w:color="000000"/>
              <w:right w:val="single" w:sz="4" w:space="0" w:color="000000"/>
            </w:tcBorders>
            <w:tcMar>
              <w:top w:w="54" w:type="dxa"/>
              <w:left w:w="108" w:type="dxa"/>
              <w:bottom w:w="0" w:type="dxa"/>
              <w:right w:w="68" w:type="dxa"/>
            </w:tcMar>
            <w:hideMark/>
          </w:tcPr>
          <w:p w14:paraId="628E8145" w14:textId="77777777" w:rsidR="00143528" w:rsidRPr="00143528" w:rsidRDefault="00143528" w:rsidP="006A56CA">
            <w:pPr>
              <w:ind w:left="84"/>
              <w:jc w:val="center"/>
              <w:rPr>
                <w:sz w:val="22"/>
                <w:szCs w:val="22"/>
                <w:lang w:val="en-GB"/>
              </w:rPr>
            </w:pPr>
            <w:r w:rsidRPr="00143528">
              <w:rPr>
                <w:sz w:val="22"/>
                <w:szCs w:val="22"/>
                <w:lang w:val="en-GB"/>
              </w:rPr>
              <w:t>0,0</w:t>
            </w:r>
          </w:p>
        </w:tc>
      </w:tr>
    </w:tbl>
    <w:p w14:paraId="3C57A960" w14:textId="77777777" w:rsidR="00143528" w:rsidRPr="00143528" w:rsidRDefault="00143528" w:rsidP="00D33C41">
      <w:pPr>
        <w:rPr>
          <w:sz w:val="20"/>
          <w:lang w:val="sv-SE"/>
        </w:rPr>
      </w:pPr>
      <w:r w:rsidRPr="00143528">
        <w:rPr>
          <w:sz w:val="20"/>
          <w:lang w:val="sv-SE"/>
        </w:rPr>
        <w:t xml:space="preserve">ASAT = </w:t>
      </w:r>
      <w:proofErr w:type="spellStart"/>
      <w:r w:rsidRPr="00143528">
        <w:rPr>
          <w:sz w:val="20"/>
          <w:lang w:val="sv-SE"/>
        </w:rPr>
        <w:t>aspartataminotransferase</w:t>
      </w:r>
      <w:proofErr w:type="spellEnd"/>
      <w:r w:rsidRPr="00143528">
        <w:rPr>
          <w:sz w:val="20"/>
          <w:lang w:val="sv-SE"/>
        </w:rPr>
        <w:t xml:space="preserve">; ALAT = </w:t>
      </w:r>
      <w:proofErr w:type="spellStart"/>
      <w:r w:rsidRPr="00143528">
        <w:rPr>
          <w:sz w:val="20"/>
          <w:lang w:val="sv-SE"/>
        </w:rPr>
        <w:t>alaninaminotransferase</w:t>
      </w:r>
      <w:proofErr w:type="spellEnd"/>
      <w:r w:rsidRPr="00143528">
        <w:rPr>
          <w:sz w:val="20"/>
          <w:lang w:val="sv-SE"/>
        </w:rPr>
        <w:t xml:space="preserve">; N = antal patienter; N/A = </w:t>
      </w:r>
      <w:proofErr w:type="spellStart"/>
      <w:r w:rsidRPr="00143528">
        <w:rPr>
          <w:sz w:val="20"/>
          <w:lang w:val="sv-SE"/>
        </w:rPr>
        <w:t>Ikke</w:t>
      </w:r>
      <w:proofErr w:type="spellEnd"/>
      <w:r w:rsidRPr="00143528">
        <w:rPr>
          <w:sz w:val="20"/>
          <w:lang w:val="sv-SE"/>
        </w:rPr>
        <w:t xml:space="preserve"> relevant.</w:t>
      </w:r>
    </w:p>
    <w:p w14:paraId="0A09A22B" w14:textId="77777777" w:rsidR="00143528" w:rsidRPr="00143528" w:rsidRDefault="00143528" w:rsidP="00D33C41">
      <w:pPr>
        <w:rPr>
          <w:sz w:val="20"/>
        </w:rPr>
      </w:pPr>
      <w:r w:rsidRPr="00143528">
        <w:rPr>
          <w:sz w:val="20"/>
        </w:rPr>
        <w:t xml:space="preserve">Bemærk: Laboratorieresultaternes sværhedsgrader angives i henhold til NCI </w:t>
      </w:r>
      <w:proofErr w:type="gramStart"/>
      <w:r w:rsidRPr="00143528">
        <w:rPr>
          <w:sz w:val="20"/>
        </w:rPr>
        <w:t>CTCAE version</w:t>
      </w:r>
      <w:proofErr w:type="gramEnd"/>
      <w:r w:rsidRPr="00143528">
        <w:rPr>
          <w:sz w:val="20"/>
        </w:rPr>
        <w:t xml:space="preserve"> 4.0.</w:t>
      </w:r>
    </w:p>
    <w:p w14:paraId="2E9EFA61" w14:textId="77777777" w:rsidR="00143528" w:rsidRPr="00143528" w:rsidRDefault="00143528" w:rsidP="00D33C41">
      <w:pPr>
        <w:rPr>
          <w:sz w:val="20"/>
        </w:rPr>
      </w:pPr>
      <w:r w:rsidRPr="00143528">
        <w:rPr>
          <w:sz w:val="20"/>
        </w:rPr>
        <w:t xml:space="preserve">* </w:t>
      </w:r>
      <w:proofErr w:type="spellStart"/>
      <w:r w:rsidRPr="00143528">
        <w:rPr>
          <w:sz w:val="20"/>
        </w:rPr>
        <w:t>letrozol</w:t>
      </w:r>
      <w:proofErr w:type="spellEnd"/>
      <w:r w:rsidRPr="00143528">
        <w:rPr>
          <w:sz w:val="20"/>
        </w:rPr>
        <w:t xml:space="preserve"> eller </w:t>
      </w:r>
      <w:proofErr w:type="spellStart"/>
      <w:r w:rsidRPr="00143528">
        <w:rPr>
          <w:sz w:val="20"/>
        </w:rPr>
        <w:t>fulvestrant</w:t>
      </w:r>
      <w:proofErr w:type="spellEnd"/>
    </w:p>
    <w:p w14:paraId="23F81BE7" w14:textId="77777777" w:rsidR="00143528" w:rsidRPr="00143528" w:rsidRDefault="00143528" w:rsidP="00143528">
      <w:pPr>
        <w:tabs>
          <w:tab w:val="left" w:pos="851"/>
        </w:tabs>
        <w:ind w:left="851"/>
        <w:rPr>
          <w:sz w:val="24"/>
          <w:szCs w:val="24"/>
        </w:rPr>
      </w:pPr>
    </w:p>
    <w:p w14:paraId="00533D65" w14:textId="77777777" w:rsidR="00143528" w:rsidRPr="00143528" w:rsidRDefault="00143528" w:rsidP="00D33C41">
      <w:pPr>
        <w:ind w:left="851"/>
        <w:rPr>
          <w:sz w:val="24"/>
          <w:szCs w:val="24"/>
          <w:u w:val="single"/>
        </w:rPr>
      </w:pPr>
      <w:r w:rsidRPr="00143528">
        <w:rPr>
          <w:sz w:val="24"/>
          <w:szCs w:val="24"/>
          <w:u w:val="single"/>
        </w:rPr>
        <w:t>Beskrivelse af udvalgte bivirkninger</w:t>
      </w:r>
    </w:p>
    <w:p w14:paraId="14670251" w14:textId="52697B0F" w:rsidR="00143528" w:rsidRPr="00143528" w:rsidRDefault="00143528" w:rsidP="00D33C41">
      <w:pPr>
        <w:ind w:left="851"/>
        <w:rPr>
          <w:sz w:val="24"/>
          <w:szCs w:val="24"/>
        </w:rPr>
      </w:pPr>
      <w:proofErr w:type="spellStart"/>
      <w:r w:rsidRPr="00143528">
        <w:rPr>
          <w:sz w:val="24"/>
          <w:szCs w:val="24"/>
        </w:rPr>
        <w:t>Neutropeni</w:t>
      </w:r>
      <w:proofErr w:type="spellEnd"/>
      <w:r w:rsidRPr="00143528">
        <w:rPr>
          <w:sz w:val="24"/>
          <w:szCs w:val="24"/>
        </w:rPr>
        <w:t xml:space="preserve"> af enhver grad blev samlet set rapporteret hos 716 (82,1</w:t>
      </w:r>
      <w:r w:rsidR="007A1C7E">
        <w:rPr>
          <w:sz w:val="24"/>
          <w:szCs w:val="24"/>
        </w:rPr>
        <w:t xml:space="preserve"> %</w:t>
      </w:r>
      <w:r w:rsidRPr="00143528">
        <w:rPr>
          <w:sz w:val="24"/>
          <w:szCs w:val="24"/>
        </w:rPr>
        <w:t xml:space="preserve">) patienter, som fik </w:t>
      </w:r>
      <w:proofErr w:type="spellStart"/>
      <w:r w:rsidRPr="00143528">
        <w:rPr>
          <w:sz w:val="24"/>
          <w:szCs w:val="24"/>
        </w:rPr>
        <w:t>palbociclib</w:t>
      </w:r>
      <w:proofErr w:type="spellEnd"/>
      <w:r w:rsidRPr="00143528">
        <w:rPr>
          <w:sz w:val="24"/>
          <w:szCs w:val="24"/>
        </w:rPr>
        <w:t xml:space="preserve">, uanset kombinationen; </w:t>
      </w:r>
      <w:proofErr w:type="spellStart"/>
      <w:r w:rsidRPr="00143528">
        <w:rPr>
          <w:sz w:val="24"/>
          <w:szCs w:val="24"/>
        </w:rPr>
        <w:t>neutropeni</w:t>
      </w:r>
      <w:proofErr w:type="spellEnd"/>
      <w:r w:rsidRPr="00143528">
        <w:rPr>
          <w:sz w:val="24"/>
          <w:szCs w:val="24"/>
        </w:rPr>
        <w:t xml:space="preserve"> grad 3 blev rapporteret hos 500 (57,3</w:t>
      </w:r>
      <w:r w:rsidR="007A1C7E">
        <w:rPr>
          <w:sz w:val="24"/>
          <w:szCs w:val="24"/>
        </w:rPr>
        <w:t xml:space="preserve"> %</w:t>
      </w:r>
      <w:r w:rsidRPr="00143528">
        <w:rPr>
          <w:sz w:val="24"/>
          <w:szCs w:val="24"/>
        </w:rPr>
        <w:t xml:space="preserve">) patienter og </w:t>
      </w:r>
      <w:proofErr w:type="spellStart"/>
      <w:r w:rsidRPr="00143528">
        <w:rPr>
          <w:sz w:val="24"/>
          <w:szCs w:val="24"/>
        </w:rPr>
        <w:t>neutropeni</w:t>
      </w:r>
      <w:proofErr w:type="spellEnd"/>
      <w:r w:rsidRPr="00143528">
        <w:rPr>
          <w:sz w:val="24"/>
          <w:szCs w:val="24"/>
        </w:rPr>
        <w:t xml:space="preserve"> grad 4 hos 97 (11,1</w:t>
      </w:r>
      <w:r w:rsidR="007A1C7E">
        <w:rPr>
          <w:sz w:val="24"/>
          <w:szCs w:val="24"/>
        </w:rPr>
        <w:t xml:space="preserve"> %</w:t>
      </w:r>
      <w:r w:rsidRPr="00143528">
        <w:rPr>
          <w:sz w:val="24"/>
          <w:szCs w:val="24"/>
        </w:rPr>
        <w:t>) patienter (se skema 4).</w:t>
      </w:r>
    </w:p>
    <w:p w14:paraId="4ED0A0DD" w14:textId="77777777" w:rsidR="00143528" w:rsidRPr="00143528" w:rsidRDefault="00143528" w:rsidP="00D33C41">
      <w:pPr>
        <w:ind w:left="851"/>
        <w:rPr>
          <w:sz w:val="24"/>
          <w:szCs w:val="24"/>
        </w:rPr>
      </w:pPr>
    </w:p>
    <w:p w14:paraId="34B81269" w14:textId="77777777" w:rsidR="00143528" w:rsidRPr="00143528" w:rsidRDefault="00143528" w:rsidP="00D33C41">
      <w:pPr>
        <w:ind w:left="851"/>
        <w:rPr>
          <w:sz w:val="24"/>
          <w:szCs w:val="24"/>
        </w:rPr>
      </w:pPr>
      <w:r w:rsidRPr="00143528">
        <w:rPr>
          <w:sz w:val="24"/>
          <w:szCs w:val="24"/>
        </w:rPr>
        <w:t xml:space="preserve">Mediantiden til første episode af enhver grad af </w:t>
      </w:r>
      <w:proofErr w:type="spellStart"/>
      <w:r w:rsidRPr="00143528">
        <w:rPr>
          <w:sz w:val="24"/>
          <w:szCs w:val="24"/>
        </w:rPr>
        <w:t>neutropeni</w:t>
      </w:r>
      <w:proofErr w:type="spellEnd"/>
      <w:r w:rsidRPr="00143528">
        <w:rPr>
          <w:sz w:val="24"/>
          <w:szCs w:val="24"/>
        </w:rPr>
        <w:t xml:space="preserve"> var 15 dage (12-700 dage), og medianvarigheden af </w:t>
      </w:r>
      <w:proofErr w:type="spellStart"/>
      <w:r w:rsidRPr="00143528">
        <w:rPr>
          <w:sz w:val="24"/>
          <w:szCs w:val="24"/>
        </w:rPr>
        <w:t>neutropeni</w:t>
      </w:r>
      <w:proofErr w:type="spellEnd"/>
      <w:r w:rsidRPr="00143528">
        <w:rPr>
          <w:sz w:val="24"/>
          <w:szCs w:val="24"/>
        </w:rPr>
        <w:t xml:space="preserve"> grad ≥ 3 var 7 dage på tværs af 3 randomiserede kliniske studier.</w:t>
      </w:r>
    </w:p>
    <w:p w14:paraId="14A7272E" w14:textId="77777777" w:rsidR="00143528" w:rsidRPr="00143528" w:rsidRDefault="00143528" w:rsidP="00D33C41">
      <w:pPr>
        <w:ind w:left="851"/>
        <w:rPr>
          <w:sz w:val="24"/>
          <w:szCs w:val="24"/>
        </w:rPr>
      </w:pPr>
    </w:p>
    <w:p w14:paraId="6B96CBCD" w14:textId="7F1E4AFA" w:rsidR="00143528" w:rsidRPr="00143528" w:rsidRDefault="00143528" w:rsidP="00D33C41">
      <w:pPr>
        <w:ind w:left="851"/>
        <w:rPr>
          <w:sz w:val="24"/>
          <w:szCs w:val="24"/>
        </w:rPr>
      </w:pPr>
      <w:r w:rsidRPr="00143528">
        <w:rPr>
          <w:sz w:val="24"/>
          <w:szCs w:val="24"/>
        </w:rPr>
        <w:t xml:space="preserve">Febril </w:t>
      </w:r>
      <w:proofErr w:type="spellStart"/>
      <w:r w:rsidRPr="00143528">
        <w:rPr>
          <w:sz w:val="24"/>
          <w:szCs w:val="24"/>
        </w:rPr>
        <w:t>neutropeni</w:t>
      </w:r>
      <w:proofErr w:type="spellEnd"/>
      <w:r w:rsidRPr="00143528">
        <w:rPr>
          <w:sz w:val="24"/>
          <w:szCs w:val="24"/>
        </w:rPr>
        <w:t xml:space="preserve"> er blevet rapporteret hos 0,9</w:t>
      </w:r>
      <w:r w:rsidR="007A1C7E">
        <w:rPr>
          <w:sz w:val="24"/>
          <w:szCs w:val="24"/>
        </w:rPr>
        <w:t xml:space="preserve"> %</w:t>
      </w:r>
      <w:r w:rsidRPr="00143528">
        <w:rPr>
          <w:sz w:val="24"/>
          <w:szCs w:val="24"/>
        </w:rPr>
        <w:t xml:space="preserve"> af de patienter, som fik </w:t>
      </w:r>
      <w:proofErr w:type="spellStart"/>
      <w:r w:rsidRPr="00143528">
        <w:rPr>
          <w:sz w:val="24"/>
          <w:szCs w:val="24"/>
        </w:rPr>
        <w:t>palbociclib</w:t>
      </w:r>
      <w:proofErr w:type="spellEnd"/>
      <w:r w:rsidRPr="00143528">
        <w:rPr>
          <w:sz w:val="24"/>
          <w:szCs w:val="24"/>
        </w:rPr>
        <w:t xml:space="preserve"> i kombination med </w:t>
      </w:r>
      <w:proofErr w:type="spellStart"/>
      <w:r w:rsidRPr="00143528">
        <w:rPr>
          <w:sz w:val="24"/>
          <w:szCs w:val="24"/>
        </w:rPr>
        <w:t>fulvestrant</w:t>
      </w:r>
      <w:proofErr w:type="spellEnd"/>
      <w:r w:rsidRPr="00143528">
        <w:rPr>
          <w:sz w:val="24"/>
          <w:szCs w:val="24"/>
        </w:rPr>
        <w:t>, og hos 1,7</w:t>
      </w:r>
      <w:r w:rsidR="007A1C7E">
        <w:rPr>
          <w:sz w:val="24"/>
          <w:szCs w:val="24"/>
        </w:rPr>
        <w:t xml:space="preserve"> %</w:t>
      </w:r>
      <w:r w:rsidRPr="00143528">
        <w:rPr>
          <w:sz w:val="24"/>
          <w:szCs w:val="24"/>
        </w:rPr>
        <w:t xml:space="preserve"> af de patienter, der fik </w:t>
      </w:r>
      <w:proofErr w:type="spellStart"/>
      <w:r w:rsidRPr="00143528">
        <w:rPr>
          <w:sz w:val="24"/>
          <w:szCs w:val="24"/>
        </w:rPr>
        <w:t>palbociclib</w:t>
      </w:r>
      <w:proofErr w:type="spellEnd"/>
      <w:r w:rsidRPr="00143528">
        <w:rPr>
          <w:sz w:val="24"/>
          <w:szCs w:val="24"/>
        </w:rPr>
        <w:t xml:space="preserve"> i kombination med </w:t>
      </w:r>
      <w:proofErr w:type="spellStart"/>
      <w:r w:rsidRPr="00143528">
        <w:rPr>
          <w:sz w:val="24"/>
          <w:szCs w:val="24"/>
        </w:rPr>
        <w:t>letrozol</w:t>
      </w:r>
      <w:proofErr w:type="spellEnd"/>
      <w:r w:rsidRPr="00143528">
        <w:rPr>
          <w:sz w:val="24"/>
          <w:szCs w:val="24"/>
        </w:rPr>
        <w:t xml:space="preserve">. </w:t>
      </w:r>
    </w:p>
    <w:p w14:paraId="13156B3D" w14:textId="77777777" w:rsidR="00143528" w:rsidRPr="00143528" w:rsidRDefault="00143528" w:rsidP="00D33C41">
      <w:pPr>
        <w:ind w:left="851"/>
        <w:rPr>
          <w:sz w:val="24"/>
          <w:szCs w:val="24"/>
        </w:rPr>
      </w:pPr>
    </w:p>
    <w:p w14:paraId="37BFCF10" w14:textId="5CB33EB3" w:rsidR="00143528" w:rsidRPr="00143528" w:rsidRDefault="00143528" w:rsidP="00D33C41">
      <w:pPr>
        <w:ind w:left="851"/>
        <w:rPr>
          <w:sz w:val="24"/>
          <w:szCs w:val="24"/>
        </w:rPr>
      </w:pPr>
      <w:r w:rsidRPr="00143528">
        <w:rPr>
          <w:sz w:val="24"/>
          <w:szCs w:val="24"/>
        </w:rPr>
        <w:t xml:space="preserve">Febril </w:t>
      </w:r>
      <w:proofErr w:type="spellStart"/>
      <w:r w:rsidRPr="00143528">
        <w:rPr>
          <w:sz w:val="24"/>
          <w:szCs w:val="24"/>
        </w:rPr>
        <w:t>neutropeni</w:t>
      </w:r>
      <w:proofErr w:type="spellEnd"/>
      <w:r w:rsidRPr="00143528">
        <w:rPr>
          <w:sz w:val="24"/>
          <w:szCs w:val="24"/>
        </w:rPr>
        <w:t xml:space="preserve"> blev rapporteret hos ca. 2</w:t>
      </w:r>
      <w:r w:rsidR="007A1C7E">
        <w:rPr>
          <w:sz w:val="24"/>
          <w:szCs w:val="24"/>
        </w:rPr>
        <w:t xml:space="preserve"> %</w:t>
      </w:r>
      <w:r w:rsidRPr="00143528">
        <w:rPr>
          <w:sz w:val="24"/>
          <w:szCs w:val="24"/>
        </w:rPr>
        <w:t xml:space="preserve"> af de patienter, som fik </w:t>
      </w:r>
      <w:proofErr w:type="spellStart"/>
      <w:r w:rsidRPr="00143528">
        <w:rPr>
          <w:sz w:val="24"/>
          <w:szCs w:val="24"/>
        </w:rPr>
        <w:t>palbociclib</w:t>
      </w:r>
      <w:proofErr w:type="spellEnd"/>
      <w:r w:rsidRPr="00143528">
        <w:rPr>
          <w:sz w:val="24"/>
          <w:szCs w:val="24"/>
        </w:rPr>
        <w:t xml:space="preserve"> på tværs af det samlede kliniske program.</w:t>
      </w:r>
    </w:p>
    <w:p w14:paraId="547772BA" w14:textId="77777777" w:rsidR="00143528" w:rsidRPr="00143528" w:rsidRDefault="00143528" w:rsidP="00D33C41">
      <w:pPr>
        <w:ind w:left="851"/>
        <w:rPr>
          <w:sz w:val="24"/>
          <w:szCs w:val="24"/>
        </w:rPr>
      </w:pPr>
    </w:p>
    <w:p w14:paraId="05792237" w14:textId="77777777" w:rsidR="00143528" w:rsidRPr="00143528" w:rsidRDefault="00143528" w:rsidP="00D33C41">
      <w:pPr>
        <w:ind w:left="851"/>
        <w:rPr>
          <w:sz w:val="24"/>
          <w:szCs w:val="24"/>
          <w:u w:val="single"/>
        </w:rPr>
      </w:pPr>
      <w:r w:rsidRPr="00143528">
        <w:rPr>
          <w:sz w:val="24"/>
          <w:szCs w:val="24"/>
          <w:u w:val="single"/>
        </w:rPr>
        <w:t>Pædiatrisk population</w:t>
      </w:r>
    </w:p>
    <w:p w14:paraId="132246E3" w14:textId="77777777" w:rsidR="00143528" w:rsidRPr="00143528" w:rsidRDefault="00143528" w:rsidP="00D33C41">
      <w:pPr>
        <w:ind w:left="851"/>
        <w:rPr>
          <w:iCs/>
          <w:sz w:val="24"/>
          <w:szCs w:val="24"/>
        </w:rPr>
      </w:pPr>
      <w:proofErr w:type="spellStart"/>
      <w:r w:rsidRPr="00143528">
        <w:rPr>
          <w:iCs/>
          <w:sz w:val="24"/>
          <w:szCs w:val="24"/>
        </w:rPr>
        <w:t>Palbociclib</w:t>
      </w:r>
      <w:proofErr w:type="spellEnd"/>
      <w:r w:rsidRPr="00143528">
        <w:rPr>
          <w:iCs/>
          <w:sz w:val="24"/>
          <w:szCs w:val="24"/>
        </w:rPr>
        <w:t xml:space="preserve"> i kombination med kemoterapi er blevet evalueret hos 79 pædiatriske patienter med solide tumorer, herunder r/r </w:t>
      </w:r>
      <w:proofErr w:type="spellStart"/>
      <w:r w:rsidRPr="00143528">
        <w:rPr>
          <w:iCs/>
          <w:sz w:val="24"/>
          <w:szCs w:val="24"/>
        </w:rPr>
        <w:t>Ewings</w:t>
      </w:r>
      <w:proofErr w:type="spellEnd"/>
      <w:r w:rsidRPr="00143528">
        <w:rPr>
          <w:iCs/>
          <w:sz w:val="24"/>
          <w:szCs w:val="24"/>
        </w:rPr>
        <w:t xml:space="preserve"> sarkom (EWS), i studie A5481092 (se pkt. 5.1). </w:t>
      </w:r>
      <w:proofErr w:type="spellStart"/>
      <w:r w:rsidRPr="00143528">
        <w:rPr>
          <w:iCs/>
          <w:sz w:val="24"/>
          <w:szCs w:val="24"/>
        </w:rPr>
        <w:t>Palbociclibs</w:t>
      </w:r>
      <w:proofErr w:type="spellEnd"/>
      <w:r w:rsidRPr="00143528">
        <w:rPr>
          <w:iCs/>
          <w:sz w:val="24"/>
          <w:szCs w:val="24"/>
        </w:rPr>
        <w:t xml:space="preserve"> sikkerhedsprofil hos denne pædiatriske population svarede til den kendte sikkerhedsprofil i den voksne population.</w:t>
      </w:r>
    </w:p>
    <w:p w14:paraId="25064111" w14:textId="77777777" w:rsidR="00143528" w:rsidRPr="00143528" w:rsidRDefault="00143528" w:rsidP="00D33C41">
      <w:pPr>
        <w:ind w:left="851"/>
        <w:rPr>
          <w:iCs/>
          <w:sz w:val="24"/>
          <w:szCs w:val="24"/>
        </w:rPr>
      </w:pPr>
    </w:p>
    <w:p w14:paraId="7BFAF167" w14:textId="77777777" w:rsidR="00143528" w:rsidRPr="00143528" w:rsidRDefault="00143528" w:rsidP="00D33C41">
      <w:pPr>
        <w:ind w:left="851"/>
        <w:rPr>
          <w:sz w:val="24"/>
          <w:szCs w:val="24"/>
          <w:u w:val="single"/>
        </w:rPr>
      </w:pPr>
      <w:r w:rsidRPr="00143528">
        <w:rPr>
          <w:sz w:val="24"/>
          <w:szCs w:val="24"/>
          <w:u w:val="single"/>
        </w:rPr>
        <w:t>Indberetning af formodede bivirkninger</w:t>
      </w:r>
    </w:p>
    <w:p w14:paraId="28D16F38" w14:textId="77777777" w:rsidR="00D33C41" w:rsidRPr="00D33C41" w:rsidRDefault="00143528" w:rsidP="00D33C41">
      <w:pPr>
        <w:ind w:left="851"/>
        <w:rPr>
          <w:sz w:val="24"/>
          <w:szCs w:val="24"/>
        </w:rPr>
      </w:pPr>
      <w:r w:rsidRPr="00143528">
        <w:rPr>
          <w:sz w:val="24"/>
          <w:szCs w:val="24"/>
        </w:rPr>
        <w:t>Når lægemidlet er godkendt, er indberetning af formodede bivirkninger vigtig. Det muliggør løbende overvågning af benefit/</w:t>
      </w:r>
      <w:proofErr w:type="spellStart"/>
      <w:r w:rsidRPr="00143528">
        <w:rPr>
          <w:sz w:val="24"/>
          <w:szCs w:val="24"/>
        </w:rPr>
        <w:t>risk</w:t>
      </w:r>
      <w:proofErr w:type="spellEnd"/>
      <w:r w:rsidRPr="00143528">
        <w:rPr>
          <w:sz w:val="24"/>
          <w:szCs w:val="24"/>
        </w:rPr>
        <w:t>-forholdet for lægemidlet. Sundhedspersoner anmodes om at indberette alle formodede bivirkninger via</w:t>
      </w:r>
    </w:p>
    <w:p w14:paraId="650C0084" w14:textId="413EFF35" w:rsidR="00143528" w:rsidRPr="00143528" w:rsidRDefault="00143528" w:rsidP="00D33C41">
      <w:pPr>
        <w:ind w:left="851"/>
        <w:rPr>
          <w:sz w:val="24"/>
          <w:szCs w:val="24"/>
        </w:rPr>
      </w:pPr>
      <w:r w:rsidRPr="00143528">
        <w:rPr>
          <w:sz w:val="24"/>
          <w:szCs w:val="24"/>
        </w:rPr>
        <w:t xml:space="preserve"> </w:t>
      </w:r>
    </w:p>
    <w:p w14:paraId="187CAAC9" w14:textId="77777777" w:rsidR="00143528" w:rsidRPr="00143528" w:rsidRDefault="00143528" w:rsidP="00D33C41">
      <w:pPr>
        <w:ind w:left="851"/>
        <w:rPr>
          <w:sz w:val="24"/>
          <w:szCs w:val="24"/>
        </w:rPr>
      </w:pPr>
      <w:r w:rsidRPr="00143528">
        <w:rPr>
          <w:sz w:val="24"/>
          <w:szCs w:val="24"/>
        </w:rPr>
        <w:t>Lægemiddelstyrelsen</w:t>
      </w:r>
    </w:p>
    <w:p w14:paraId="01B0AAE7" w14:textId="77777777" w:rsidR="00143528" w:rsidRPr="00143528" w:rsidRDefault="00143528" w:rsidP="00D33C41">
      <w:pPr>
        <w:ind w:left="851"/>
        <w:rPr>
          <w:sz w:val="24"/>
          <w:szCs w:val="24"/>
        </w:rPr>
      </w:pPr>
      <w:r w:rsidRPr="00143528">
        <w:rPr>
          <w:sz w:val="24"/>
          <w:szCs w:val="24"/>
        </w:rPr>
        <w:t>Axel Heides Gade 1</w:t>
      </w:r>
    </w:p>
    <w:p w14:paraId="71991723" w14:textId="77777777" w:rsidR="00143528" w:rsidRPr="00143528" w:rsidRDefault="00143528" w:rsidP="00D33C41">
      <w:pPr>
        <w:ind w:left="851"/>
        <w:rPr>
          <w:sz w:val="24"/>
          <w:szCs w:val="24"/>
        </w:rPr>
      </w:pPr>
      <w:r w:rsidRPr="00143528">
        <w:rPr>
          <w:sz w:val="24"/>
          <w:szCs w:val="24"/>
        </w:rPr>
        <w:t>DK-2300 København S</w:t>
      </w:r>
    </w:p>
    <w:p w14:paraId="191994E7" w14:textId="77777777" w:rsidR="00143528" w:rsidRPr="00143528" w:rsidRDefault="00143528" w:rsidP="00D33C41">
      <w:pPr>
        <w:ind w:left="851"/>
        <w:rPr>
          <w:sz w:val="24"/>
          <w:szCs w:val="24"/>
        </w:rPr>
      </w:pPr>
      <w:r w:rsidRPr="00143528">
        <w:rPr>
          <w:sz w:val="24"/>
          <w:szCs w:val="24"/>
        </w:rPr>
        <w:t xml:space="preserve">Websted: </w:t>
      </w:r>
      <w:hyperlink r:id="rId8" w:history="1">
        <w:r w:rsidRPr="00143528">
          <w:rPr>
            <w:rStyle w:val="Hyperlink"/>
            <w:sz w:val="24"/>
            <w:szCs w:val="24"/>
          </w:rPr>
          <w:t>www.meldenbivirkning.dk</w:t>
        </w:r>
      </w:hyperlink>
    </w:p>
    <w:p w14:paraId="37B97BA3" w14:textId="77777777" w:rsidR="009260DE" w:rsidRPr="00D33C41" w:rsidRDefault="009260DE" w:rsidP="00A10294">
      <w:pPr>
        <w:tabs>
          <w:tab w:val="left" w:pos="851"/>
        </w:tabs>
        <w:ind w:left="851"/>
        <w:rPr>
          <w:sz w:val="24"/>
          <w:szCs w:val="24"/>
        </w:rPr>
      </w:pPr>
    </w:p>
    <w:p w14:paraId="61C8FEAB" w14:textId="77777777" w:rsidR="009260DE" w:rsidRPr="00D33C41" w:rsidRDefault="009260DE" w:rsidP="009260DE">
      <w:pPr>
        <w:tabs>
          <w:tab w:val="left" w:pos="851"/>
        </w:tabs>
        <w:ind w:left="851" w:hanging="851"/>
        <w:rPr>
          <w:b/>
          <w:sz w:val="24"/>
          <w:szCs w:val="24"/>
        </w:rPr>
      </w:pPr>
      <w:r w:rsidRPr="00D33C41">
        <w:rPr>
          <w:b/>
          <w:sz w:val="24"/>
          <w:szCs w:val="24"/>
        </w:rPr>
        <w:t>4.9</w:t>
      </w:r>
      <w:r w:rsidRPr="00D33C41">
        <w:rPr>
          <w:b/>
          <w:sz w:val="24"/>
          <w:szCs w:val="24"/>
        </w:rPr>
        <w:tab/>
        <w:t>Overdosering</w:t>
      </w:r>
    </w:p>
    <w:p w14:paraId="134229D7" w14:textId="60CEA2E9" w:rsidR="00143528" w:rsidRPr="00143528" w:rsidRDefault="00143528" w:rsidP="00D33C41">
      <w:pPr>
        <w:ind w:left="851"/>
        <w:rPr>
          <w:sz w:val="24"/>
          <w:szCs w:val="24"/>
        </w:rPr>
      </w:pPr>
      <w:r w:rsidRPr="00143528">
        <w:rPr>
          <w:sz w:val="24"/>
          <w:szCs w:val="24"/>
        </w:rPr>
        <w:t xml:space="preserve">I tilfælde af overdosering af </w:t>
      </w:r>
      <w:proofErr w:type="spellStart"/>
      <w:r w:rsidRPr="00143528">
        <w:rPr>
          <w:sz w:val="24"/>
          <w:szCs w:val="24"/>
        </w:rPr>
        <w:t>palbociclib</w:t>
      </w:r>
      <w:proofErr w:type="spellEnd"/>
      <w:r w:rsidRPr="00143528">
        <w:rPr>
          <w:sz w:val="24"/>
          <w:szCs w:val="24"/>
        </w:rPr>
        <w:t xml:space="preserve"> kan der forekomme både </w:t>
      </w:r>
      <w:proofErr w:type="spellStart"/>
      <w:r w:rsidRPr="00143528">
        <w:rPr>
          <w:sz w:val="24"/>
          <w:szCs w:val="24"/>
        </w:rPr>
        <w:t>gastrointestinal</w:t>
      </w:r>
      <w:proofErr w:type="spellEnd"/>
      <w:r w:rsidRPr="00143528">
        <w:rPr>
          <w:sz w:val="24"/>
          <w:szCs w:val="24"/>
        </w:rPr>
        <w:t xml:space="preserve"> (</w:t>
      </w:r>
      <w:r w:rsidR="00BF2DF3">
        <w:rPr>
          <w:sz w:val="24"/>
          <w:szCs w:val="24"/>
        </w:rPr>
        <w:t>f.eks.</w:t>
      </w:r>
      <w:r w:rsidRPr="00143528">
        <w:rPr>
          <w:sz w:val="24"/>
          <w:szCs w:val="24"/>
        </w:rPr>
        <w:t xml:space="preserve"> kvalme, opkastning) og hæmatologisk toksicitet (</w:t>
      </w:r>
      <w:r w:rsidR="00BF2DF3">
        <w:rPr>
          <w:sz w:val="24"/>
          <w:szCs w:val="24"/>
        </w:rPr>
        <w:t>f.eks.</w:t>
      </w:r>
      <w:r w:rsidRPr="00143528">
        <w:rPr>
          <w:sz w:val="24"/>
          <w:szCs w:val="24"/>
        </w:rPr>
        <w:t xml:space="preserve"> </w:t>
      </w:r>
      <w:proofErr w:type="spellStart"/>
      <w:r w:rsidRPr="00143528">
        <w:rPr>
          <w:sz w:val="24"/>
          <w:szCs w:val="24"/>
        </w:rPr>
        <w:t>neutropeni</w:t>
      </w:r>
      <w:proofErr w:type="spellEnd"/>
      <w:r w:rsidRPr="00143528">
        <w:rPr>
          <w:sz w:val="24"/>
          <w:szCs w:val="24"/>
        </w:rPr>
        <w:t>), og der bør gives generel understøttende behandling.</w:t>
      </w:r>
    </w:p>
    <w:p w14:paraId="5E59A54A" w14:textId="77777777" w:rsidR="009260DE" w:rsidRPr="00D33C41" w:rsidRDefault="009260DE" w:rsidP="009260DE">
      <w:pPr>
        <w:tabs>
          <w:tab w:val="left" w:pos="851"/>
        </w:tabs>
        <w:ind w:left="851"/>
        <w:rPr>
          <w:sz w:val="24"/>
          <w:szCs w:val="24"/>
        </w:rPr>
      </w:pPr>
    </w:p>
    <w:p w14:paraId="30270131" w14:textId="77777777" w:rsidR="009260DE" w:rsidRPr="00D33C41" w:rsidRDefault="009260DE" w:rsidP="009260DE">
      <w:pPr>
        <w:tabs>
          <w:tab w:val="left" w:pos="851"/>
        </w:tabs>
        <w:ind w:left="851" w:hanging="851"/>
        <w:rPr>
          <w:b/>
          <w:sz w:val="24"/>
          <w:szCs w:val="24"/>
        </w:rPr>
      </w:pPr>
      <w:r w:rsidRPr="00D33C41">
        <w:rPr>
          <w:b/>
          <w:sz w:val="24"/>
          <w:szCs w:val="24"/>
        </w:rPr>
        <w:t>4.10</w:t>
      </w:r>
      <w:r w:rsidRPr="00D33C41">
        <w:rPr>
          <w:b/>
          <w:sz w:val="24"/>
          <w:szCs w:val="24"/>
        </w:rPr>
        <w:tab/>
        <w:t>Udlevering</w:t>
      </w:r>
    </w:p>
    <w:p w14:paraId="6365918F" w14:textId="44319404" w:rsidR="009260DE" w:rsidRPr="00D33C41" w:rsidRDefault="00D33C41" w:rsidP="009260DE">
      <w:pPr>
        <w:tabs>
          <w:tab w:val="left" w:pos="851"/>
        </w:tabs>
        <w:ind w:left="851"/>
        <w:rPr>
          <w:sz w:val="24"/>
          <w:szCs w:val="24"/>
        </w:rPr>
      </w:pPr>
      <w:r w:rsidRPr="00D33C41">
        <w:rPr>
          <w:sz w:val="24"/>
          <w:szCs w:val="24"/>
        </w:rPr>
        <w:t>BEGR (kun til sygehuse)</w:t>
      </w:r>
    </w:p>
    <w:p w14:paraId="4A8E1635" w14:textId="77777777" w:rsidR="009260DE" w:rsidRPr="00D33C41" w:rsidRDefault="009260DE" w:rsidP="009260DE">
      <w:pPr>
        <w:tabs>
          <w:tab w:val="left" w:pos="851"/>
        </w:tabs>
        <w:ind w:left="851"/>
        <w:rPr>
          <w:sz w:val="24"/>
          <w:szCs w:val="24"/>
        </w:rPr>
      </w:pPr>
    </w:p>
    <w:p w14:paraId="47F6C160" w14:textId="77777777" w:rsidR="009260DE" w:rsidRPr="00D33C41" w:rsidRDefault="009260DE" w:rsidP="009260DE">
      <w:pPr>
        <w:tabs>
          <w:tab w:val="left" w:pos="851"/>
        </w:tabs>
        <w:ind w:left="851"/>
        <w:rPr>
          <w:sz w:val="24"/>
          <w:szCs w:val="24"/>
        </w:rPr>
      </w:pPr>
    </w:p>
    <w:p w14:paraId="60655CB6" w14:textId="77777777" w:rsidR="009260DE" w:rsidRPr="00D33C41" w:rsidRDefault="009260DE" w:rsidP="009260DE">
      <w:pPr>
        <w:tabs>
          <w:tab w:val="left" w:pos="851"/>
        </w:tabs>
        <w:ind w:left="851" w:hanging="851"/>
        <w:rPr>
          <w:b/>
          <w:sz w:val="24"/>
          <w:szCs w:val="24"/>
        </w:rPr>
      </w:pPr>
      <w:r w:rsidRPr="00D33C41">
        <w:rPr>
          <w:b/>
          <w:sz w:val="24"/>
          <w:szCs w:val="24"/>
        </w:rPr>
        <w:t>5.</w:t>
      </w:r>
      <w:r w:rsidRPr="00D33C41">
        <w:rPr>
          <w:b/>
          <w:sz w:val="24"/>
          <w:szCs w:val="24"/>
        </w:rPr>
        <w:tab/>
        <w:t>FARMAKOLOGISKE EGENSKABER</w:t>
      </w:r>
    </w:p>
    <w:p w14:paraId="2BA28DFB" w14:textId="77777777" w:rsidR="009260DE" w:rsidRPr="00D33C41" w:rsidRDefault="009260DE" w:rsidP="009260DE">
      <w:pPr>
        <w:tabs>
          <w:tab w:val="left" w:pos="851"/>
        </w:tabs>
        <w:ind w:left="851"/>
        <w:rPr>
          <w:sz w:val="24"/>
          <w:szCs w:val="24"/>
        </w:rPr>
      </w:pPr>
    </w:p>
    <w:p w14:paraId="162DA430" w14:textId="77777777" w:rsidR="009260DE" w:rsidRPr="00D33C41" w:rsidRDefault="009260DE" w:rsidP="009260DE">
      <w:pPr>
        <w:tabs>
          <w:tab w:val="num" w:pos="851"/>
        </w:tabs>
        <w:ind w:left="851" w:hanging="851"/>
        <w:rPr>
          <w:b/>
          <w:sz w:val="24"/>
          <w:szCs w:val="24"/>
        </w:rPr>
      </w:pPr>
      <w:r w:rsidRPr="00D33C41">
        <w:rPr>
          <w:b/>
          <w:sz w:val="24"/>
          <w:szCs w:val="24"/>
        </w:rPr>
        <w:t>5.1</w:t>
      </w:r>
      <w:r w:rsidRPr="00D33C41">
        <w:rPr>
          <w:b/>
          <w:sz w:val="24"/>
          <w:szCs w:val="24"/>
        </w:rPr>
        <w:tab/>
      </w:r>
      <w:proofErr w:type="spellStart"/>
      <w:r w:rsidRPr="00D33C41">
        <w:rPr>
          <w:b/>
          <w:sz w:val="24"/>
          <w:szCs w:val="24"/>
        </w:rPr>
        <w:t>Farmakodynamiske</w:t>
      </w:r>
      <w:proofErr w:type="spellEnd"/>
      <w:r w:rsidRPr="00D33C41">
        <w:rPr>
          <w:b/>
          <w:sz w:val="24"/>
          <w:szCs w:val="24"/>
        </w:rPr>
        <w:t xml:space="preserve"> egenskaber</w:t>
      </w:r>
    </w:p>
    <w:p w14:paraId="5E0A7C04" w14:textId="1DB45852" w:rsidR="00143528" w:rsidRPr="00143528" w:rsidRDefault="00143528" w:rsidP="00D33C41">
      <w:pPr>
        <w:ind w:left="851"/>
        <w:rPr>
          <w:sz w:val="24"/>
          <w:szCs w:val="24"/>
        </w:rPr>
      </w:pPr>
      <w:proofErr w:type="spellStart"/>
      <w:r w:rsidRPr="00143528">
        <w:rPr>
          <w:sz w:val="24"/>
          <w:szCs w:val="24"/>
        </w:rPr>
        <w:t>Farmakoterapeutisk</w:t>
      </w:r>
      <w:proofErr w:type="spellEnd"/>
      <w:r w:rsidRPr="00143528">
        <w:rPr>
          <w:sz w:val="24"/>
          <w:szCs w:val="24"/>
        </w:rPr>
        <w:t xml:space="preserve"> klassifikation: </w:t>
      </w:r>
      <w:proofErr w:type="spellStart"/>
      <w:r w:rsidRPr="00143528">
        <w:rPr>
          <w:sz w:val="24"/>
          <w:szCs w:val="24"/>
        </w:rPr>
        <w:t>Antineoplastiske</w:t>
      </w:r>
      <w:proofErr w:type="spellEnd"/>
      <w:r w:rsidRPr="00143528">
        <w:rPr>
          <w:sz w:val="24"/>
          <w:szCs w:val="24"/>
        </w:rPr>
        <w:t xml:space="preserve"> stoffer, </w:t>
      </w:r>
      <w:proofErr w:type="spellStart"/>
      <w:r w:rsidRPr="00143528">
        <w:rPr>
          <w:sz w:val="24"/>
          <w:szCs w:val="24"/>
        </w:rPr>
        <w:t>proteinkinasehæmmere</w:t>
      </w:r>
      <w:proofErr w:type="spellEnd"/>
      <w:r w:rsidRPr="00143528">
        <w:rPr>
          <w:sz w:val="24"/>
          <w:szCs w:val="24"/>
        </w:rPr>
        <w:t>, ATC-kode: L01EF01</w:t>
      </w:r>
    </w:p>
    <w:p w14:paraId="53449159" w14:textId="77777777" w:rsidR="00143528" w:rsidRPr="00143528" w:rsidRDefault="00143528" w:rsidP="00D33C41">
      <w:pPr>
        <w:ind w:left="851"/>
        <w:rPr>
          <w:sz w:val="24"/>
          <w:szCs w:val="24"/>
        </w:rPr>
      </w:pPr>
    </w:p>
    <w:p w14:paraId="0888F2C1" w14:textId="77777777" w:rsidR="00143528" w:rsidRPr="00143528" w:rsidRDefault="00143528" w:rsidP="00D33C41">
      <w:pPr>
        <w:ind w:left="851"/>
        <w:rPr>
          <w:bCs/>
          <w:sz w:val="24"/>
          <w:szCs w:val="24"/>
          <w:u w:val="single"/>
        </w:rPr>
      </w:pPr>
      <w:r w:rsidRPr="00143528">
        <w:rPr>
          <w:bCs/>
          <w:sz w:val="24"/>
          <w:szCs w:val="24"/>
          <w:u w:val="single"/>
        </w:rPr>
        <w:t>Virkningsmekanisme</w:t>
      </w:r>
    </w:p>
    <w:p w14:paraId="08D58D6A" w14:textId="77777777" w:rsidR="00143528" w:rsidRPr="00143528" w:rsidRDefault="00143528" w:rsidP="00D33C41">
      <w:pPr>
        <w:ind w:left="851"/>
        <w:rPr>
          <w:bCs/>
          <w:sz w:val="24"/>
          <w:szCs w:val="24"/>
        </w:rPr>
      </w:pPr>
      <w:proofErr w:type="spellStart"/>
      <w:r w:rsidRPr="00143528">
        <w:rPr>
          <w:bCs/>
          <w:sz w:val="24"/>
          <w:szCs w:val="24"/>
        </w:rPr>
        <w:t>Palbociclib</w:t>
      </w:r>
      <w:proofErr w:type="spellEnd"/>
      <w:r w:rsidRPr="00143528">
        <w:rPr>
          <w:bCs/>
          <w:sz w:val="24"/>
          <w:szCs w:val="24"/>
        </w:rPr>
        <w:t xml:space="preserve"> er en yderst selektiv, </w:t>
      </w:r>
      <w:proofErr w:type="gramStart"/>
      <w:r w:rsidRPr="00143528">
        <w:rPr>
          <w:bCs/>
          <w:sz w:val="24"/>
          <w:szCs w:val="24"/>
        </w:rPr>
        <w:t>reversibel</w:t>
      </w:r>
      <w:proofErr w:type="gramEnd"/>
      <w:r w:rsidRPr="00143528">
        <w:rPr>
          <w:bCs/>
          <w:sz w:val="24"/>
          <w:szCs w:val="24"/>
        </w:rPr>
        <w:t xml:space="preserve"> hæmmer af </w:t>
      </w:r>
      <w:proofErr w:type="spellStart"/>
      <w:r w:rsidRPr="00143528">
        <w:rPr>
          <w:bCs/>
          <w:sz w:val="24"/>
          <w:szCs w:val="24"/>
        </w:rPr>
        <w:t>cyclinafhængig</w:t>
      </w:r>
      <w:proofErr w:type="spellEnd"/>
      <w:r w:rsidRPr="00143528">
        <w:rPr>
          <w:bCs/>
          <w:sz w:val="24"/>
          <w:szCs w:val="24"/>
        </w:rPr>
        <w:t xml:space="preserve"> </w:t>
      </w:r>
      <w:proofErr w:type="spellStart"/>
      <w:r w:rsidRPr="00143528">
        <w:rPr>
          <w:bCs/>
          <w:sz w:val="24"/>
          <w:szCs w:val="24"/>
        </w:rPr>
        <w:t>kinase</w:t>
      </w:r>
      <w:proofErr w:type="spellEnd"/>
      <w:r w:rsidRPr="00143528">
        <w:rPr>
          <w:bCs/>
          <w:sz w:val="24"/>
          <w:szCs w:val="24"/>
        </w:rPr>
        <w:t xml:space="preserve"> (CDK) 4 og 6. </w:t>
      </w:r>
      <w:proofErr w:type="spellStart"/>
      <w:r w:rsidRPr="00143528">
        <w:rPr>
          <w:bCs/>
          <w:sz w:val="24"/>
          <w:szCs w:val="24"/>
        </w:rPr>
        <w:t>Cyclin</w:t>
      </w:r>
      <w:proofErr w:type="spellEnd"/>
      <w:r w:rsidRPr="00143528">
        <w:rPr>
          <w:bCs/>
          <w:sz w:val="24"/>
          <w:szCs w:val="24"/>
        </w:rPr>
        <w:t xml:space="preserve"> D1 og CDK4/6 er </w:t>
      </w:r>
      <w:proofErr w:type="spellStart"/>
      <w:r w:rsidRPr="00143528">
        <w:rPr>
          <w:bCs/>
          <w:sz w:val="24"/>
          <w:szCs w:val="24"/>
        </w:rPr>
        <w:t>downstream</w:t>
      </w:r>
      <w:proofErr w:type="spellEnd"/>
      <w:r w:rsidRPr="00143528">
        <w:rPr>
          <w:bCs/>
          <w:sz w:val="24"/>
          <w:szCs w:val="24"/>
        </w:rPr>
        <w:t xml:space="preserve"> for flere signalveje, der fører til </w:t>
      </w:r>
      <w:proofErr w:type="spellStart"/>
      <w:r w:rsidRPr="00143528">
        <w:rPr>
          <w:bCs/>
          <w:sz w:val="24"/>
          <w:szCs w:val="24"/>
        </w:rPr>
        <w:t>celleproliferation</w:t>
      </w:r>
      <w:proofErr w:type="spellEnd"/>
      <w:r w:rsidRPr="00143528">
        <w:rPr>
          <w:bCs/>
          <w:sz w:val="24"/>
          <w:szCs w:val="24"/>
        </w:rPr>
        <w:t>.</w:t>
      </w:r>
    </w:p>
    <w:p w14:paraId="039ED0F0" w14:textId="77777777" w:rsidR="00143528" w:rsidRPr="00143528" w:rsidRDefault="00143528" w:rsidP="00D33C41">
      <w:pPr>
        <w:ind w:left="851"/>
        <w:rPr>
          <w:bCs/>
          <w:sz w:val="24"/>
          <w:szCs w:val="24"/>
          <w:u w:val="single"/>
        </w:rPr>
      </w:pPr>
    </w:p>
    <w:p w14:paraId="7EC227DA" w14:textId="77777777" w:rsidR="00143528" w:rsidRPr="00143528" w:rsidRDefault="00143528" w:rsidP="00D33C41">
      <w:pPr>
        <w:ind w:left="851"/>
        <w:rPr>
          <w:bCs/>
          <w:sz w:val="24"/>
          <w:szCs w:val="24"/>
          <w:u w:val="single"/>
        </w:rPr>
      </w:pPr>
      <w:proofErr w:type="spellStart"/>
      <w:r w:rsidRPr="00143528">
        <w:rPr>
          <w:bCs/>
          <w:sz w:val="24"/>
          <w:szCs w:val="24"/>
          <w:u w:val="single"/>
        </w:rPr>
        <w:t>Farmakodynamisk</w:t>
      </w:r>
      <w:proofErr w:type="spellEnd"/>
      <w:r w:rsidRPr="00143528">
        <w:rPr>
          <w:bCs/>
          <w:sz w:val="24"/>
          <w:szCs w:val="24"/>
          <w:u w:val="single"/>
        </w:rPr>
        <w:t xml:space="preserve"> virkning</w:t>
      </w:r>
    </w:p>
    <w:p w14:paraId="797FDDE3" w14:textId="77777777" w:rsidR="00143528" w:rsidRPr="00143528" w:rsidRDefault="00143528" w:rsidP="00D33C41">
      <w:pPr>
        <w:ind w:left="851"/>
        <w:rPr>
          <w:bCs/>
          <w:sz w:val="24"/>
          <w:szCs w:val="24"/>
        </w:rPr>
      </w:pPr>
      <w:r w:rsidRPr="00143528">
        <w:rPr>
          <w:bCs/>
          <w:sz w:val="24"/>
          <w:szCs w:val="24"/>
        </w:rPr>
        <w:t xml:space="preserve">Gennem hæmning af CDK4/6 reducerer </w:t>
      </w:r>
      <w:proofErr w:type="spellStart"/>
      <w:r w:rsidRPr="00143528">
        <w:rPr>
          <w:bCs/>
          <w:sz w:val="24"/>
          <w:szCs w:val="24"/>
        </w:rPr>
        <w:t>palbociclib</w:t>
      </w:r>
      <w:proofErr w:type="spellEnd"/>
      <w:r w:rsidRPr="00143528">
        <w:rPr>
          <w:bCs/>
          <w:sz w:val="24"/>
          <w:szCs w:val="24"/>
        </w:rPr>
        <w:t xml:space="preserve"> </w:t>
      </w:r>
      <w:proofErr w:type="spellStart"/>
      <w:r w:rsidRPr="00143528">
        <w:rPr>
          <w:bCs/>
          <w:sz w:val="24"/>
          <w:szCs w:val="24"/>
        </w:rPr>
        <w:t>celleproliferation</w:t>
      </w:r>
      <w:proofErr w:type="spellEnd"/>
      <w:r w:rsidRPr="00143528">
        <w:rPr>
          <w:bCs/>
          <w:sz w:val="24"/>
          <w:szCs w:val="24"/>
        </w:rPr>
        <w:t xml:space="preserve"> ved at blokere cellens progression fra G1-fasen til S-fasen i cellecyklussen. Testning af </w:t>
      </w:r>
      <w:proofErr w:type="spellStart"/>
      <w:r w:rsidRPr="00143528">
        <w:rPr>
          <w:bCs/>
          <w:sz w:val="24"/>
          <w:szCs w:val="24"/>
        </w:rPr>
        <w:t>palbociclib</w:t>
      </w:r>
      <w:proofErr w:type="spellEnd"/>
      <w:r w:rsidRPr="00143528">
        <w:rPr>
          <w:bCs/>
          <w:sz w:val="24"/>
          <w:szCs w:val="24"/>
        </w:rPr>
        <w:t xml:space="preserve"> i et panel af molekylært profilerede brystkræftcellelinjer viste en høj aktivitet på </w:t>
      </w:r>
      <w:proofErr w:type="spellStart"/>
      <w:r w:rsidRPr="00143528">
        <w:rPr>
          <w:bCs/>
          <w:sz w:val="24"/>
          <w:szCs w:val="24"/>
        </w:rPr>
        <w:t>luminal</w:t>
      </w:r>
      <w:proofErr w:type="spellEnd"/>
      <w:r w:rsidRPr="00143528">
        <w:rPr>
          <w:bCs/>
          <w:sz w:val="24"/>
          <w:szCs w:val="24"/>
        </w:rPr>
        <w:t xml:space="preserve"> brystkræft, især ER-positiv brystkræft. I de testede cellelinjer var tabet af </w:t>
      </w:r>
      <w:proofErr w:type="spellStart"/>
      <w:r w:rsidRPr="00143528">
        <w:rPr>
          <w:bCs/>
          <w:sz w:val="24"/>
          <w:szCs w:val="24"/>
        </w:rPr>
        <w:t>retinoblastom</w:t>
      </w:r>
      <w:proofErr w:type="spellEnd"/>
      <w:r w:rsidRPr="00143528">
        <w:rPr>
          <w:bCs/>
          <w:sz w:val="24"/>
          <w:szCs w:val="24"/>
        </w:rPr>
        <w:t xml:space="preserve"> (Rb) associeret med nedsat aktivitet af </w:t>
      </w:r>
      <w:proofErr w:type="spellStart"/>
      <w:r w:rsidRPr="00143528">
        <w:rPr>
          <w:bCs/>
          <w:sz w:val="24"/>
          <w:szCs w:val="24"/>
        </w:rPr>
        <w:t>palbociclib</w:t>
      </w:r>
      <w:proofErr w:type="spellEnd"/>
      <w:r w:rsidRPr="00143528">
        <w:rPr>
          <w:bCs/>
          <w:sz w:val="24"/>
          <w:szCs w:val="24"/>
        </w:rPr>
        <w:t xml:space="preserve">. Der blev dog ikke observeret relation mellem Rb1-ekspression og tumorrespons i et </w:t>
      </w:r>
      <w:proofErr w:type="spellStart"/>
      <w:r w:rsidRPr="00143528">
        <w:rPr>
          <w:bCs/>
          <w:i/>
          <w:iCs/>
          <w:sz w:val="24"/>
          <w:szCs w:val="24"/>
        </w:rPr>
        <w:t>follow-up</w:t>
      </w:r>
      <w:proofErr w:type="spellEnd"/>
      <w:r w:rsidRPr="00143528">
        <w:rPr>
          <w:bCs/>
          <w:i/>
          <w:iCs/>
          <w:sz w:val="24"/>
          <w:szCs w:val="24"/>
        </w:rPr>
        <w:t xml:space="preserve"> </w:t>
      </w:r>
      <w:r w:rsidRPr="00143528">
        <w:rPr>
          <w:bCs/>
          <w:sz w:val="24"/>
          <w:szCs w:val="24"/>
        </w:rPr>
        <w:t xml:space="preserve">studie med friske tumorprøver. Tilsvarende blev der ikke observeret nogen sammenhæng, når man undersøgte responset på </w:t>
      </w:r>
      <w:proofErr w:type="spellStart"/>
      <w:r w:rsidRPr="00143528">
        <w:rPr>
          <w:bCs/>
          <w:sz w:val="24"/>
          <w:szCs w:val="24"/>
        </w:rPr>
        <w:t>palbociclib</w:t>
      </w:r>
      <w:proofErr w:type="spellEnd"/>
      <w:r w:rsidRPr="00143528">
        <w:rPr>
          <w:bCs/>
          <w:sz w:val="24"/>
          <w:szCs w:val="24"/>
        </w:rPr>
        <w:t xml:space="preserve"> i </w:t>
      </w:r>
      <w:r w:rsidRPr="00143528">
        <w:rPr>
          <w:bCs/>
          <w:i/>
          <w:iCs/>
          <w:sz w:val="24"/>
          <w:szCs w:val="24"/>
        </w:rPr>
        <w:t xml:space="preserve">in </w:t>
      </w:r>
      <w:proofErr w:type="spellStart"/>
      <w:r w:rsidRPr="00143528">
        <w:rPr>
          <w:bCs/>
          <w:i/>
          <w:iCs/>
          <w:sz w:val="24"/>
          <w:szCs w:val="24"/>
        </w:rPr>
        <w:t>vivo</w:t>
      </w:r>
      <w:proofErr w:type="spellEnd"/>
      <w:r w:rsidRPr="00143528">
        <w:rPr>
          <w:bCs/>
          <w:i/>
          <w:iCs/>
          <w:sz w:val="24"/>
          <w:szCs w:val="24"/>
        </w:rPr>
        <w:t xml:space="preserve"> </w:t>
      </w:r>
      <w:r w:rsidRPr="00143528">
        <w:rPr>
          <w:bCs/>
          <w:sz w:val="24"/>
          <w:szCs w:val="24"/>
        </w:rPr>
        <w:t xml:space="preserve">modeller med </w:t>
      </w:r>
      <w:proofErr w:type="spellStart"/>
      <w:r w:rsidRPr="00143528">
        <w:rPr>
          <w:bCs/>
          <w:sz w:val="24"/>
          <w:szCs w:val="24"/>
        </w:rPr>
        <w:t>xenografer</w:t>
      </w:r>
      <w:proofErr w:type="spellEnd"/>
      <w:r w:rsidRPr="00143528">
        <w:rPr>
          <w:bCs/>
          <w:sz w:val="24"/>
          <w:szCs w:val="24"/>
        </w:rPr>
        <w:t xml:space="preserve"> fra patienter (PDX-modeller). De tilgængelige kliniske data er beskrevet i afsnittet om klinisk virkning og sikkerhed (se pkt. 5.1).</w:t>
      </w:r>
    </w:p>
    <w:p w14:paraId="39704BDF" w14:textId="77777777" w:rsidR="00143528" w:rsidRPr="00143528" w:rsidRDefault="00143528" w:rsidP="00D33C41">
      <w:pPr>
        <w:ind w:left="851"/>
        <w:rPr>
          <w:bCs/>
          <w:sz w:val="24"/>
          <w:szCs w:val="24"/>
          <w:u w:val="single"/>
        </w:rPr>
      </w:pPr>
    </w:p>
    <w:p w14:paraId="241B6DF9" w14:textId="77777777" w:rsidR="00143528" w:rsidRPr="00143528" w:rsidRDefault="00143528" w:rsidP="00D33C41">
      <w:pPr>
        <w:ind w:left="851"/>
        <w:rPr>
          <w:bCs/>
          <w:sz w:val="24"/>
          <w:szCs w:val="24"/>
          <w:u w:val="single"/>
        </w:rPr>
      </w:pPr>
      <w:r w:rsidRPr="00143528">
        <w:rPr>
          <w:bCs/>
          <w:sz w:val="24"/>
          <w:szCs w:val="24"/>
          <w:u w:val="single"/>
        </w:rPr>
        <w:t>Kardial elektrofysiologi</w:t>
      </w:r>
    </w:p>
    <w:p w14:paraId="4B56B9A1" w14:textId="77777777" w:rsidR="00143528" w:rsidRPr="00143528" w:rsidRDefault="00143528" w:rsidP="00D33C41">
      <w:pPr>
        <w:ind w:left="851"/>
        <w:rPr>
          <w:bCs/>
          <w:sz w:val="24"/>
          <w:szCs w:val="24"/>
        </w:rPr>
      </w:pPr>
      <w:proofErr w:type="spellStart"/>
      <w:r w:rsidRPr="00143528">
        <w:rPr>
          <w:bCs/>
          <w:sz w:val="24"/>
          <w:szCs w:val="24"/>
        </w:rPr>
        <w:t>Palbociclibs</w:t>
      </w:r>
      <w:proofErr w:type="spellEnd"/>
      <w:r w:rsidRPr="00143528">
        <w:rPr>
          <w:bCs/>
          <w:sz w:val="24"/>
          <w:szCs w:val="24"/>
        </w:rPr>
        <w:t xml:space="preserve"> virkning på QT-intervallet korrigeret for hjertefrekvens (</w:t>
      </w:r>
      <w:proofErr w:type="spellStart"/>
      <w:r w:rsidRPr="00143528">
        <w:rPr>
          <w:bCs/>
          <w:sz w:val="24"/>
          <w:szCs w:val="24"/>
        </w:rPr>
        <w:t>QTc</w:t>
      </w:r>
      <w:proofErr w:type="spellEnd"/>
      <w:r w:rsidRPr="00143528">
        <w:rPr>
          <w:bCs/>
          <w:sz w:val="24"/>
          <w:szCs w:val="24"/>
        </w:rPr>
        <w:t xml:space="preserve">) blev evalueret hos 77 patienter med fremskreden brystkræft ved hjælp af tidsparrede ændringer i elektrokardiogrammet (EKG), der evaluerede ændringer i forhold til </w:t>
      </w:r>
      <w:r w:rsidRPr="00143528">
        <w:rPr>
          <w:bCs/>
          <w:i/>
          <w:iCs/>
          <w:sz w:val="24"/>
          <w:szCs w:val="24"/>
        </w:rPr>
        <w:t xml:space="preserve">baseline </w:t>
      </w:r>
      <w:r w:rsidRPr="00143528">
        <w:rPr>
          <w:bCs/>
          <w:sz w:val="24"/>
          <w:szCs w:val="24"/>
        </w:rPr>
        <w:t xml:space="preserve">og tilsvarende </w:t>
      </w:r>
      <w:proofErr w:type="spellStart"/>
      <w:r w:rsidRPr="00143528">
        <w:rPr>
          <w:bCs/>
          <w:sz w:val="24"/>
          <w:szCs w:val="24"/>
        </w:rPr>
        <w:t>farmakokinetiske</w:t>
      </w:r>
      <w:proofErr w:type="spellEnd"/>
      <w:r w:rsidRPr="00143528">
        <w:rPr>
          <w:bCs/>
          <w:sz w:val="24"/>
          <w:szCs w:val="24"/>
        </w:rPr>
        <w:t xml:space="preserve"> data.</w:t>
      </w:r>
    </w:p>
    <w:p w14:paraId="591C3CF7" w14:textId="77777777" w:rsidR="00143528" w:rsidRPr="00143528" w:rsidRDefault="00143528" w:rsidP="00D33C41">
      <w:pPr>
        <w:ind w:left="851"/>
        <w:rPr>
          <w:bCs/>
          <w:sz w:val="24"/>
          <w:szCs w:val="24"/>
        </w:rPr>
      </w:pPr>
      <w:proofErr w:type="spellStart"/>
      <w:r w:rsidRPr="00143528">
        <w:rPr>
          <w:bCs/>
          <w:sz w:val="24"/>
          <w:szCs w:val="24"/>
        </w:rPr>
        <w:t>Palbociclib</w:t>
      </w:r>
      <w:proofErr w:type="spellEnd"/>
      <w:r w:rsidRPr="00143528">
        <w:rPr>
          <w:bCs/>
          <w:sz w:val="24"/>
          <w:szCs w:val="24"/>
        </w:rPr>
        <w:t xml:space="preserve"> forlængede ikke </w:t>
      </w:r>
      <w:proofErr w:type="spellStart"/>
      <w:r w:rsidRPr="00143528">
        <w:rPr>
          <w:bCs/>
          <w:sz w:val="24"/>
          <w:szCs w:val="24"/>
        </w:rPr>
        <w:t>QTc</w:t>
      </w:r>
      <w:proofErr w:type="spellEnd"/>
      <w:r w:rsidRPr="00143528">
        <w:rPr>
          <w:bCs/>
          <w:sz w:val="24"/>
          <w:szCs w:val="24"/>
        </w:rPr>
        <w:t xml:space="preserve"> i klinisk relevant grad ved den anbefalede dosis på 125 mg dagligt (doseringsplan 3/1).</w:t>
      </w:r>
    </w:p>
    <w:p w14:paraId="2B5BA3A7" w14:textId="77777777" w:rsidR="00143528" w:rsidRPr="00143528" w:rsidRDefault="00143528" w:rsidP="00D33C41">
      <w:pPr>
        <w:ind w:left="851"/>
        <w:rPr>
          <w:bCs/>
          <w:sz w:val="24"/>
          <w:szCs w:val="24"/>
        </w:rPr>
      </w:pPr>
    </w:p>
    <w:p w14:paraId="75A201ED" w14:textId="77777777" w:rsidR="00143528" w:rsidRPr="00143528" w:rsidRDefault="00143528" w:rsidP="00D33C41">
      <w:pPr>
        <w:ind w:left="851"/>
        <w:rPr>
          <w:bCs/>
          <w:sz w:val="24"/>
          <w:szCs w:val="24"/>
          <w:u w:val="single"/>
        </w:rPr>
      </w:pPr>
      <w:r w:rsidRPr="00143528">
        <w:rPr>
          <w:bCs/>
          <w:sz w:val="24"/>
          <w:szCs w:val="24"/>
          <w:u w:val="single"/>
        </w:rPr>
        <w:t>Klinisk virkning og sikkerhed</w:t>
      </w:r>
    </w:p>
    <w:p w14:paraId="6330CD24" w14:textId="77777777" w:rsidR="00143528" w:rsidRPr="00143528" w:rsidRDefault="00143528" w:rsidP="00D33C41">
      <w:pPr>
        <w:ind w:left="851"/>
        <w:rPr>
          <w:bCs/>
          <w:sz w:val="24"/>
          <w:szCs w:val="24"/>
          <w:u w:val="single"/>
        </w:rPr>
      </w:pPr>
    </w:p>
    <w:p w14:paraId="623ADB95" w14:textId="77777777" w:rsidR="00143528" w:rsidRPr="00143528" w:rsidRDefault="00143528" w:rsidP="00D33C41">
      <w:pPr>
        <w:ind w:left="851"/>
        <w:rPr>
          <w:bCs/>
          <w:i/>
          <w:iCs/>
          <w:sz w:val="24"/>
          <w:szCs w:val="24"/>
        </w:rPr>
      </w:pPr>
      <w:r w:rsidRPr="00143528">
        <w:rPr>
          <w:bCs/>
          <w:i/>
          <w:iCs/>
          <w:sz w:val="24"/>
          <w:szCs w:val="24"/>
        </w:rPr>
        <w:t xml:space="preserve">Randomiseret fase 3-studie PALOMA-2: </w:t>
      </w:r>
      <w:proofErr w:type="spellStart"/>
      <w:r w:rsidRPr="00143528">
        <w:rPr>
          <w:bCs/>
          <w:i/>
          <w:iCs/>
          <w:sz w:val="24"/>
          <w:szCs w:val="24"/>
        </w:rPr>
        <w:t>palbociclib</w:t>
      </w:r>
      <w:proofErr w:type="spellEnd"/>
      <w:r w:rsidRPr="00143528">
        <w:rPr>
          <w:bCs/>
          <w:i/>
          <w:iCs/>
          <w:sz w:val="24"/>
          <w:szCs w:val="24"/>
        </w:rPr>
        <w:t xml:space="preserve"> i kombination med </w:t>
      </w:r>
      <w:proofErr w:type="spellStart"/>
      <w:r w:rsidRPr="00143528">
        <w:rPr>
          <w:bCs/>
          <w:i/>
          <w:iCs/>
          <w:sz w:val="24"/>
          <w:szCs w:val="24"/>
        </w:rPr>
        <w:t>letrozol</w:t>
      </w:r>
      <w:proofErr w:type="spellEnd"/>
    </w:p>
    <w:p w14:paraId="0706C67D" w14:textId="77777777" w:rsidR="00143528" w:rsidRPr="00143528" w:rsidRDefault="00143528" w:rsidP="00D33C41">
      <w:pPr>
        <w:ind w:left="851"/>
        <w:rPr>
          <w:bCs/>
          <w:i/>
          <w:iCs/>
          <w:sz w:val="24"/>
          <w:szCs w:val="24"/>
          <w:u w:val="single"/>
        </w:rPr>
      </w:pPr>
    </w:p>
    <w:p w14:paraId="29F95758" w14:textId="77777777" w:rsidR="00143528" w:rsidRPr="00143528" w:rsidRDefault="00143528" w:rsidP="00D33C41">
      <w:pPr>
        <w:ind w:left="851"/>
        <w:rPr>
          <w:bCs/>
          <w:sz w:val="24"/>
          <w:szCs w:val="24"/>
        </w:rPr>
      </w:pPr>
      <w:r w:rsidRPr="00143528">
        <w:rPr>
          <w:bCs/>
          <w:sz w:val="24"/>
          <w:szCs w:val="24"/>
        </w:rPr>
        <w:t xml:space="preserve">Virkningen af </w:t>
      </w:r>
      <w:proofErr w:type="spellStart"/>
      <w:r w:rsidRPr="00143528">
        <w:rPr>
          <w:bCs/>
          <w:sz w:val="24"/>
          <w:szCs w:val="24"/>
        </w:rPr>
        <w:t>palbociclib</w:t>
      </w:r>
      <w:proofErr w:type="spellEnd"/>
      <w:r w:rsidRPr="00143528">
        <w:rPr>
          <w:bCs/>
          <w:sz w:val="24"/>
          <w:szCs w:val="24"/>
        </w:rPr>
        <w:t xml:space="preserve"> i kombination med </w:t>
      </w:r>
      <w:proofErr w:type="spellStart"/>
      <w:r w:rsidRPr="00143528">
        <w:rPr>
          <w:bCs/>
          <w:sz w:val="24"/>
          <w:szCs w:val="24"/>
        </w:rPr>
        <w:t>letrozol</w:t>
      </w:r>
      <w:proofErr w:type="spellEnd"/>
      <w:r w:rsidRPr="00143528">
        <w:rPr>
          <w:bCs/>
          <w:sz w:val="24"/>
          <w:szCs w:val="24"/>
        </w:rPr>
        <w:t xml:space="preserve"> </w:t>
      </w:r>
      <w:r w:rsidRPr="00143528">
        <w:rPr>
          <w:bCs/>
          <w:i/>
          <w:iCs/>
          <w:sz w:val="24"/>
          <w:szCs w:val="24"/>
        </w:rPr>
        <w:t xml:space="preserve">versus </w:t>
      </w:r>
      <w:proofErr w:type="spellStart"/>
      <w:r w:rsidRPr="00143528">
        <w:rPr>
          <w:bCs/>
          <w:sz w:val="24"/>
          <w:szCs w:val="24"/>
        </w:rPr>
        <w:t>letrozol</w:t>
      </w:r>
      <w:proofErr w:type="spellEnd"/>
      <w:r w:rsidRPr="00143528">
        <w:rPr>
          <w:bCs/>
          <w:sz w:val="24"/>
          <w:szCs w:val="24"/>
        </w:rPr>
        <w:t xml:space="preserve"> plus placebo blev evalueret i et internationalt, randomiseret, dobbeltblind, placebokontrolleret, multicenterstudie med parallelle grupper hos kvinder med ER-positiv, HER2-negativ lokalt fremskreden brystkræft, hvor kurativ </w:t>
      </w:r>
      <w:proofErr w:type="spellStart"/>
      <w:r w:rsidRPr="00143528">
        <w:rPr>
          <w:bCs/>
          <w:sz w:val="24"/>
          <w:szCs w:val="24"/>
        </w:rPr>
        <w:t>resektion</w:t>
      </w:r>
      <w:proofErr w:type="spellEnd"/>
      <w:r w:rsidRPr="00143528">
        <w:rPr>
          <w:bCs/>
          <w:sz w:val="24"/>
          <w:szCs w:val="24"/>
        </w:rPr>
        <w:t xml:space="preserve"> eller strålebehandling ikke var mulig, eller metastatisk brystkræft, som ikke forudgående havde fået systemisk behandling for deres fremskredne sygdom.</w:t>
      </w:r>
    </w:p>
    <w:p w14:paraId="5D988BB5" w14:textId="77777777" w:rsidR="00143528" w:rsidRPr="00143528" w:rsidRDefault="00143528" w:rsidP="00D33C41">
      <w:pPr>
        <w:ind w:left="851"/>
        <w:rPr>
          <w:bCs/>
          <w:sz w:val="24"/>
          <w:szCs w:val="24"/>
          <w:u w:val="single"/>
        </w:rPr>
      </w:pPr>
    </w:p>
    <w:p w14:paraId="40347632" w14:textId="55D35C16" w:rsidR="00143528" w:rsidRPr="00143528" w:rsidRDefault="00143528" w:rsidP="00D33C41">
      <w:pPr>
        <w:ind w:left="851"/>
        <w:rPr>
          <w:bCs/>
          <w:sz w:val="24"/>
          <w:szCs w:val="24"/>
        </w:rPr>
      </w:pPr>
      <w:r w:rsidRPr="00143528">
        <w:rPr>
          <w:bCs/>
          <w:sz w:val="24"/>
          <w:szCs w:val="24"/>
        </w:rPr>
        <w:t xml:space="preserve">I alt 666 </w:t>
      </w:r>
      <w:proofErr w:type="spellStart"/>
      <w:r w:rsidRPr="00143528">
        <w:rPr>
          <w:bCs/>
          <w:sz w:val="24"/>
          <w:szCs w:val="24"/>
        </w:rPr>
        <w:t>postmenopausale</w:t>
      </w:r>
      <w:proofErr w:type="spellEnd"/>
      <w:r w:rsidRPr="00143528">
        <w:rPr>
          <w:bCs/>
          <w:sz w:val="24"/>
          <w:szCs w:val="24"/>
        </w:rPr>
        <w:t xml:space="preserve"> kvinder blev randomiseret i forholdet 2:1 til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letrozol</w:t>
      </w:r>
      <w:proofErr w:type="spellEnd"/>
      <w:r w:rsidRPr="00143528">
        <w:rPr>
          <w:bCs/>
          <w:sz w:val="24"/>
          <w:szCs w:val="24"/>
        </w:rPr>
        <w:t xml:space="preserve">-armen eller placebo plus </w:t>
      </w:r>
      <w:proofErr w:type="spellStart"/>
      <w:r w:rsidRPr="00143528">
        <w:rPr>
          <w:bCs/>
          <w:sz w:val="24"/>
          <w:szCs w:val="24"/>
        </w:rPr>
        <w:t>letrozol</w:t>
      </w:r>
      <w:proofErr w:type="spellEnd"/>
      <w:r w:rsidRPr="00143528">
        <w:rPr>
          <w:bCs/>
          <w:sz w:val="24"/>
          <w:szCs w:val="24"/>
        </w:rPr>
        <w:t>-armen og blev stratificeret iht. sygdomsplacering (</w:t>
      </w:r>
      <w:proofErr w:type="spellStart"/>
      <w:r w:rsidRPr="00143528">
        <w:rPr>
          <w:bCs/>
          <w:sz w:val="24"/>
          <w:szCs w:val="24"/>
        </w:rPr>
        <w:t>visceral</w:t>
      </w:r>
      <w:proofErr w:type="spellEnd"/>
      <w:r w:rsidRPr="00143528">
        <w:rPr>
          <w:bCs/>
          <w:sz w:val="24"/>
          <w:szCs w:val="24"/>
        </w:rPr>
        <w:t xml:space="preserve"> </w:t>
      </w:r>
      <w:r w:rsidRPr="00143528">
        <w:rPr>
          <w:bCs/>
          <w:i/>
          <w:iCs/>
          <w:sz w:val="24"/>
          <w:szCs w:val="24"/>
        </w:rPr>
        <w:t xml:space="preserve">versus </w:t>
      </w:r>
      <w:proofErr w:type="spellStart"/>
      <w:r w:rsidRPr="00143528">
        <w:rPr>
          <w:bCs/>
          <w:sz w:val="24"/>
          <w:szCs w:val="24"/>
        </w:rPr>
        <w:t>ikkevisceral</w:t>
      </w:r>
      <w:proofErr w:type="spellEnd"/>
      <w:r w:rsidRPr="00143528">
        <w:rPr>
          <w:bCs/>
          <w:sz w:val="24"/>
          <w:szCs w:val="24"/>
        </w:rPr>
        <w:t>), sygdomsfrit interval fra slutningen af neoadjuverende behandling til sygdomsrecidiv (</w:t>
      </w:r>
      <w:r w:rsidRPr="00143528">
        <w:rPr>
          <w:bCs/>
          <w:i/>
          <w:iCs/>
          <w:sz w:val="24"/>
          <w:szCs w:val="24"/>
        </w:rPr>
        <w:t>de</w:t>
      </w:r>
      <w:r w:rsidRPr="00143528">
        <w:rPr>
          <w:bCs/>
          <w:sz w:val="24"/>
          <w:szCs w:val="24"/>
        </w:rPr>
        <w:t> </w:t>
      </w:r>
      <w:proofErr w:type="spellStart"/>
      <w:r w:rsidRPr="00143528">
        <w:rPr>
          <w:bCs/>
          <w:i/>
          <w:iCs/>
          <w:sz w:val="24"/>
          <w:szCs w:val="24"/>
        </w:rPr>
        <w:t>novo</w:t>
      </w:r>
      <w:proofErr w:type="spellEnd"/>
      <w:r w:rsidRPr="00143528">
        <w:rPr>
          <w:bCs/>
          <w:i/>
          <w:iCs/>
          <w:sz w:val="24"/>
          <w:szCs w:val="24"/>
        </w:rPr>
        <w:t xml:space="preserve"> </w:t>
      </w:r>
      <w:r w:rsidRPr="00143528">
        <w:rPr>
          <w:bCs/>
          <w:sz w:val="24"/>
          <w:szCs w:val="24"/>
        </w:rPr>
        <w:t xml:space="preserve">metastatisk </w:t>
      </w:r>
      <w:r w:rsidRPr="00143528">
        <w:rPr>
          <w:bCs/>
          <w:i/>
          <w:iCs/>
          <w:sz w:val="24"/>
          <w:szCs w:val="24"/>
        </w:rPr>
        <w:t xml:space="preserve">versus </w:t>
      </w:r>
      <w:r w:rsidRPr="00143528">
        <w:rPr>
          <w:bCs/>
          <w:sz w:val="24"/>
          <w:szCs w:val="24"/>
        </w:rPr>
        <w:t xml:space="preserve">≤ 12 måneder </w:t>
      </w:r>
      <w:r w:rsidRPr="00143528">
        <w:rPr>
          <w:bCs/>
          <w:i/>
          <w:iCs/>
          <w:sz w:val="24"/>
          <w:szCs w:val="24"/>
        </w:rPr>
        <w:t xml:space="preserve">versus </w:t>
      </w:r>
      <w:r w:rsidRPr="00143528">
        <w:rPr>
          <w:bCs/>
          <w:sz w:val="24"/>
          <w:szCs w:val="24"/>
        </w:rPr>
        <w:t xml:space="preserve">&gt; 12 måneder), og iht. typen af forudgående neoadjuverende kræftbehandling (forudgående hormonbehandling </w:t>
      </w:r>
      <w:r w:rsidRPr="00143528">
        <w:rPr>
          <w:bCs/>
          <w:i/>
          <w:iCs/>
          <w:sz w:val="24"/>
          <w:szCs w:val="24"/>
        </w:rPr>
        <w:t xml:space="preserve">versus </w:t>
      </w:r>
      <w:r w:rsidRPr="00143528">
        <w:rPr>
          <w:bCs/>
          <w:sz w:val="24"/>
          <w:szCs w:val="24"/>
        </w:rPr>
        <w:t xml:space="preserve">ingen forudgående hormonbehandling). Patienter med fremskreden symptomatisk </w:t>
      </w:r>
      <w:proofErr w:type="spellStart"/>
      <w:r w:rsidRPr="00143528">
        <w:rPr>
          <w:bCs/>
          <w:sz w:val="24"/>
          <w:szCs w:val="24"/>
        </w:rPr>
        <w:t>visceral</w:t>
      </w:r>
      <w:proofErr w:type="spellEnd"/>
      <w:r w:rsidRPr="00143528">
        <w:rPr>
          <w:bCs/>
          <w:sz w:val="24"/>
          <w:szCs w:val="24"/>
        </w:rPr>
        <w:t xml:space="preserve"> spredning med risiko for livstruende komplikationer på kort sigt (herunder patienter med massive ukontrollerede </w:t>
      </w:r>
      <w:proofErr w:type="spellStart"/>
      <w:r w:rsidRPr="00143528">
        <w:rPr>
          <w:bCs/>
          <w:sz w:val="24"/>
          <w:szCs w:val="24"/>
        </w:rPr>
        <w:t>effusioner</w:t>
      </w:r>
      <w:proofErr w:type="spellEnd"/>
      <w:r w:rsidRPr="00143528">
        <w:rPr>
          <w:bCs/>
          <w:sz w:val="24"/>
          <w:szCs w:val="24"/>
        </w:rPr>
        <w:t xml:space="preserve"> (</w:t>
      </w:r>
      <w:proofErr w:type="spellStart"/>
      <w:r w:rsidRPr="00143528">
        <w:rPr>
          <w:bCs/>
          <w:sz w:val="24"/>
          <w:szCs w:val="24"/>
        </w:rPr>
        <w:t>pleural</w:t>
      </w:r>
      <w:proofErr w:type="spellEnd"/>
      <w:r w:rsidRPr="00143528">
        <w:rPr>
          <w:bCs/>
          <w:sz w:val="24"/>
          <w:szCs w:val="24"/>
        </w:rPr>
        <w:t xml:space="preserve">, perikardial, </w:t>
      </w:r>
      <w:proofErr w:type="spellStart"/>
      <w:r w:rsidRPr="00143528">
        <w:rPr>
          <w:bCs/>
          <w:sz w:val="24"/>
          <w:szCs w:val="24"/>
        </w:rPr>
        <w:t>peritoneal</w:t>
      </w:r>
      <w:proofErr w:type="spellEnd"/>
      <w:r w:rsidRPr="00143528">
        <w:rPr>
          <w:bCs/>
          <w:sz w:val="24"/>
          <w:szCs w:val="24"/>
        </w:rPr>
        <w:t xml:space="preserve">), </w:t>
      </w:r>
      <w:proofErr w:type="spellStart"/>
      <w:r w:rsidRPr="00143528">
        <w:rPr>
          <w:bCs/>
          <w:sz w:val="24"/>
          <w:szCs w:val="24"/>
        </w:rPr>
        <w:t>pulmonal</w:t>
      </w:r>
      <w:proofErr w:type="spellEnd"/>
      <w:r w:rsidRPr="00143528">
        <w:rPr>
          <w:bCs/>
          <w:sz w:val="24"/>
          <w:szCs w:val="24"/>
        </w:rPr>
        <w:t xml:space="preserve"> </w:t>
      </w:r>
      <w:proofErr w:type="spellStart"/>
      <w:r w:rsidRPr="00143528">
        <w:rPr>
          <w:bCs/>
          <w:sz w:val="24"/>
          <w:szCs w:val="24"/>
        </w:rPr>
        <w:t>lymfangitis</w:t>
      </w:r>
      <w:proofErr w:type="spellEnd"/>
      <w:r w:rsidRPr="00143528">
        <w:rPr>
          <w:bCs/>
          <w:sz w:val="24"/>
          <w:szCs w:val="24"/>
        </w:rPr>
        <w:t xml:space="preserve"> og mere end 50</w:t>
      </w:r>
      <w:r w:rsidR="007A1C7E">
        <w:rPr>
          <w:bCs/>
          <w:sz w:val="24"/>
          <w:szCs w:val="24"/>
        </w:rPr>
        <w:t xml:space="preserve"> %</w:t>
      </w:r>
      <w:r w:rsidRPr="00143528">
        <w:rPr>
          <w:bCs/>
          <w:sz w:val="24"/>
          <w:szCs w:val="24"/>
        </w:rPr>
        <w:t xml:space="preserve"> leverinvolvering) var ikke egnede til inklusion i studiet.</w:t>
      </w:r>
    </w:p>
    <w:p w14:paraId="37A73508" w14:textId="77777777" w:rsidR="00143528" w:rsidRPr="00143528" w:rsidRDefault="00143528" w:rsidP="00D33C41">
      <w:pPr>
        <w:ind w:left="851"/>
        <w:rPr>
          <w:bCs/>
          <w:sz w:val="24"/>
          <w:szCs w:val="24"/>
        </w:rPr>
      </w:pPr>
    </w:p>
    <w:p w14:paraId="24AA37B8" w14:textId="77777777" w:rsidR="00143528" w:rsidRPr="00143528" w:rsidRDefault="00143528" w:rsidP="00D33C41">
      <w:pPr>
        <w:ind w:left="851"/>
        <w:rPr>
          <w:bCs/>
          <w:sz w:val="24"/>
          <w:szCs w:val="24"/>
        </w:rPr>
      </w:pPr>
      <w:r w:rsidRPr="00143528">
        <w:rPr>
          <w:bCs/>
          <w:sz w:val="24"/>
          <w:szCs w:val="24"/>
        </w:rPr>
        <w:t>Patienterne fortsatte med at få den tildelte behandling indtil objektiv sygdomsprogression, symptomatisk forværring, uacceptabel toksicitet, død eller tilbagetrækning af samtykke, uanset hvad der indtraf først. Overkrydsning mellem de to behandlingsarme var ikke tilladt.</w:t>
      </w:r>
    </w:p>
    <w:p w14:paraId="31285015" w14:textId="77777777" w:rsidR="00143528" w:rsidRPr="00143528" w:rsidRDefault="00143528" w:rsidP="00D33C41">
      <w:pPr>
        <w:ind w:left="851"/>
        <w:rPr>
          <w:bCs/>
          <w:sz w:val="24"/>
          <w:szCs w:val="24"/>
        </w:rPr>
      </w:pPr>
    </w:p>
    <w:p w14:paraId="7294FEFB" w14:textId="484614CA" w:rsidR="00143528" w:rsidRPr="00143528" w:rsidRDefault="00143528" w:rsidP="00D33C41">
      <w:pPr>
        <w:ind w:left="851"/>
        <w:rPr>
          <w:bCs/>
          <w:sz w:val="24"/>
          <w:szCs w:val="24"/>
        </w:rPr>
      </w:pPr>
      <w:r w:rsidRPr="00143528">
        <w:rPr>
          <w:bCs/>
          <w:sz w:val="24"/>
          <w:szCs w:val="24"/>
        </w:rPr>
        <w:t xml:space="preserve">Patienterne var ligeligt fordelt mellem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letrozol</w:t>
      </w:r>
      <w:proofErr w:type="spellEnd"/>
      <w:r w:rsidRPr="00143528">
        <w:rPr>
          <w:bCs/>
          <w:sz w:val="24"/>
          <w:szCs w:val="24"/>
        </w:rPr>
        <w:t xml:space="preserve">-armen og placebo plus </w:t>
      </w:r>
      <w:proofErr w:type="spellStart"/>
      <w:r w:rsidRPr="00143528">
        <w:rPr>
          <w:bCs/>
          <w:sz w:val="24"/>
          <w:szCs w:val="24"/>
        </w:rPr>
        <w:t>letrozol</w:t>
      </w:r>
      <w:proofErr w:type="spellEnd"/>
      <w:r w:rsidRPr="00143528">
        <w:rPr>
          <w:bCs/>
          <w:sz w:val="24"/>
          <w:szCs w:val="24"/>
        </w:rPr>
        <w:t xml:space="preserve">-armen mht. demografiske data ved </w:t>
      </w:r>
      <w:r w:rsidRPr="00143528">
        <w:rPr>
          <w:bCs/>
          <w:i/>
          <w:iCs/>
          <w:sz w:val="24"/>
          <w:szCs w:val="24"/>
        </w:rPr>
        <w:t xml:space="preserve">baseline </w:t>
      </w:r>
      <w:r w:rsidRPr="00143528">
        <w:rPr>
          <w:bCs/>
          <w:sz w:val="24"/>
          <w:szCs w:val="24"/>
        </w:rPr>
        <w:t>og prognostiske karakteristika. Medianalderen for patienter, der indgik i dette studie, var 62 år (28-89 år), 48,3</w:t>
      </w:r>
      <w:r w:rsidR="007A1C7E">
        <w:rPr>
          <w:bCs/>
          <w:sz w:val="24"/>
          <w:szCs w:val="24"/>
        </w:rPr>
        <w:t xml:space="preserve"> %</w:t>
      </w:r>
      <w:r w:rsidRPr="00143528">
        <w:rPr>
          <w:bCs/>
          <w:sz w:val="24"/>
          <w:szCs w:val="24"/>
        </w:rPr>
        <w:t xml:space="preserve"> af patienterne havde fået kemoterapi, og 56,3</w:t>
      </w:r>
      <w:r w:rsidR="007A1C7E">
        <w:rPr>
          <w:bCs/>
          <w:sz w:val="24"/>
          <w:szCs w:val="24"/>
        </w:rPr>
        <w:t xml:space="preserve"> %</w:t>
      </w:r>
      <w:r w:rsidRPr="00143528">
        <w:rPr>
          <w:bCs/>
          <w:sz w:val="24"/>
          <w:szCs w:val="24"/>
        </w:rPr>
        <w:t xml:space="preserve"> havde fået antihormonbehandling som neoadjuverende behandling forud for diagnosen ”fremskreden brystkræft”, mens 37,2</w:t>
      </w:r>
      <w:r w:rsidR="007A1C7E">
        <w:rPr>
          <w:bCs/>
          <w:sz w:val="24"/>
          <w:szCs w:val="24"/>
        </w:rPr>
        <w:t xml:space="preserve"> %</w:t>
      </w:r>
      <w:r w:rsidRPr="00143528">
        <w:rPr>
          <w:bCs/>
          <w:sz w:val="24"/>
          <w:szCs w:val="24"/>
        </w:rPr>
        <w:t xml:space="preserve"> af patienterne ikke havde fået forudgående systemisk neoadjuverende behandling. Størstedelen af patienterne (97,4</w:t>
      </w:r>
      <w:r w:rsidR="007A1C7E">
        <w:rPr>
          <w:bCs/>
          <w:sz w:val="24"/>
          <w:szCs w:val="24"/>
        </w:rPr>
        <w:t xml:space="preserve"> %</w:t>
      </w:r>
      <w:r w:rsidRPr="00143528">
        <w:rPr>
          <w:bCs/>
          <w:sz w:val="24"/>
          <w:szCs w:val="24"/>
        </w:rPr>
        <w:t xml:space="preserve">) havde metastatisk sygdom ved </w:t>
      </w:r>
      <w:r w:rsidRPr="00143528">
        <w:rPr>
          <w:bCs/>
          <w:i/>
          <w:iCs/>
          <w:sz w:val="24"/>
          <w:szCs w:val="24"/>
        </w:rPr>
        <w:t>baseline</w:t>
      </w:r>
      <w:r w:rsidRPr="00143528">
        <w:rPr>
          <w:bCs/>
          <w:sz w:val="24"/>
          <w:szCs w:val="24"/>
        </w:rPr>
        <w:t>, 23,6</w:t>
      </w:r>
      <w:r w:rsidR="007A1C7E">
        <w:rPr>
          <w:bCs/>
          <w:sz w:val="24"/>
          <w:szCs w:val="24"/>
        </w:rPr>
        <w:t xml:space="preserve"> %</w:t>
      </w:r>
      <w:r w:rsidRPr="00143528">
        <w:rPr>
          <w:bCs/>
          <w:sz w:val="24"/>
          <w:szCs w:val="24"/>
        </w:rPr>
        <w:t xml:space="preserve"> af patienterne havde kun knoglesygdom og 49,2</w:t>
      </w:r>
      <w:r w:rsidR="007A1C7E">
        <w:rPr>
          <w:bCs/>
          <w:sz w:val="24"/>
          <w:szCs w:val="24"/>
        </w:rPr>
        <w:t xml:space="preserve"> %</w:t>
      </w:r>
      <w:r w:rsidRPr="00143528">
        <w:rPr>
          <w:bCs/>
          <w:sz w:val="24"/>
          <w:szCs w:val="24"/>
        </w:rPr>
        <w:t xml:space="preserve"> af patienterne havde </w:t>
      </w:r>
      <w:proofErr w:type="spellStart"/>
      <w:r w:rsidRPr="00143528">
        <w:rPr>
          <w:bCs/>
          <w:sz w:val="24"/>
          <w:szCs w:val="24"/>
        </w:rPr>
        <w:t>visceral</w:t>
      </w:r>
      <w:proofErr w:type="spellEnd"/>
      <w:r w:rsidRPr="00143528">
        <w:rPr>
          <w:bCs/>
          <w:sz w:val="24"/>
          <w:szCs w:val="24"/>
        </w:rPr>
        <w:t xml:space="preserve"> sygdom.</w:t>
      </w:r>
    </w:p>
    <w:p w14:paraId="5906DCB7" w14:textId="77777777" w:rsidR="00143528" w:rsidRPr="00143528" w:rsidRDefault="00143528" w:rsidP="00D33C41">
      <w:pPr>
        <w:ind w:left="851"/>
        <w:rPr>
          <w:bCs/>
          <w:sz w:val="24"/>
          <w:szCs w:val="24"/>
        </w:rPr>
      </w:pPr>
    </w:p>
    <w:p w14:paraId="774E4A4B" w14:textId="77777777" w:rsidR="00143528" w:rsidRPr="00143528" w:rsidRDefault="00143528" w:rsidP="00D33C41">
      <w:pPr>
        <w:ind w:left="851"/>
        <w:rPr>
          <w:bCs/>
          <w:sz w:val="24"/>
          <w:szCs w:val="24"/>
        </w:rPr>
      </w:pPr>
      <w:r w:rsidRPr="00143528">
        <w:rPr>
          <w:bCs/>
          <w:sz w:val="24"/>
          <w:szCs w:val="24"/>
        </w:rPr>
        <w:t xml:space="preserve">Studiets primære endepunkt var </w:t>
      </w:r>
      <w:proofErr w:type="spellStart"/>
      <w:r w:rsidRPr="00143528">
        <w:rPr>
          <w:bCs/>
          <w:sz w:val="24"/>
          <w:szCs w:val="24"/>
        </w:rPr>
        <w:t>investigatorvurderet</w:t>
      </w:r>
      <w:proofErr w:type="spellEnd"/>
      <w:r w:rsidRPr="00143528">
        <w:rPr>
          <w:bCs/>
          <w:sz w:val="24"/>
          <w:szCs w:val="24"/>
        </w:rPr>
        <w:t xml:space="preserve"> progressionsfri overlevelse (PFS) iht. Response Evaluation </w:t>
      </w:r>
      <w:proofErr w:type="spellStart"/>
      <w:r w:rsidRPr="00143528">
        <w:rPr>
          <w:bCs/>
          <w:sz w:val="24"/>
          <w:szCs w:val="24"/>
        </w:rPr>
        <w:t>Criteria</w:t>
      </w:r>
      <w:proofErr w:type="spellEnd"/>
      <w:r w:rsidRPr="00143528">
        <w:rPr>
          <w:bCs/>
          <w:sz w:val="24"/>
          <w:szCs w:val="24"/>
        </w:rPr>
        <w:t xml:space="preserve"> in Solid Tumours (RECIST) v1.1. Sekundære effektendepunkter omfattede objektiv respons (OR), positiv klinisk respons (</w:t>
      </w:r>
      <w:proofErr w:type="spellStart"/>
      <w:r w:rsidRPr="00143528">
        <w:rPr>
          <w:bCs/>
          <w:i/>
          <w:iCs/>
          <w:sz w:val="24"/>
          <w:szCs w:val="24"/>
        </w:rPr>
        <w:t>clinical</w:t>
      </w:r>
      <w:proofErr w:type="spellEnd"/>
      <w:r w:rsidRPr="00143528">
        <w:rPr>
          <w:bCs/>
          <w:i/>
          <w:iCs/>
          <w:sz w:val="24"/>
          <w:szCs w:val="24"/>
        </w:rPr>
        <w:t xml:space="preserve"> benefit response </w:t>
      </w:r>
      <w:r w:rsidRPr="00143528">
        <w:rPr>
          <w:bCs/>
          <w:sz w:val="24"/>
          <w:szCs w:val="24"/>
        </w:rPr>
        <w:t>- CBR), sikkerhed og ændring i livskvalitet (</w:t>
      </w:r>
      <w:proofErr w:type="spellStart"/>
      <w:r w:rsidRPr="00143528">
        <w:rPr>
          <w:bCs/>
          <w:sz w:val="24"/>
          <w:szCs w:val="24"/>
        </w:rPr>
        <w:t>QoL</w:t>
      </w:r>
      <w:proofErr w:type="spellEnd"/>
      <w:r w:rsidRPr="00143528">
        <w:rPr>
          <w:bCs/>
          <w:sz w:val="24"/>
          <w:szCs w:val="24"/>
        </w:rPr>
        <w:t>).</w:t>
      </w:r>
    </w:p>
    <w:p w14:paraId="11851C14" w14:textId="77777777" w:rsidR="00143528" w:rsidRPr="00143528" w:rsidRDefault="00143528" w:rsidP="00D33C41">
      <w:pPr>
        <w:ind w:left="851"/>
        <w:rPr>
          <w:bCs/>
          <w:sz w:val="24"/>
          <w:szCs w:val="24"/>
        </w:rPr>
      </w:pPr>
    </w:p>
    <w:p w14:paraId="3A92F66B" w14:textId="638C752D" w:rsidR="00143528" w:rsidRPr="00143528" w:rsidRDefault="00143528" w:rsidP="00D33C41">
      <w:pPr>
        <w:ind w:left="851"/>
        <w:rPr>
          <w:bCs/>
          <w:sz w:val="24"/>
          <w:szCs w:val="24"/>
        </w:rPr>
      </w:pPr>
      <w:r w:rsidRPr="00143528">
        <w:rPr>
          <w:bCs/>
          <w:sz w:val="24"/>
          <w:szCs w:val="24"/>
        </w:rPr>
        <w:t xml:space="preserve">Ved skæringsdatoen for data 26. februar 2016 nåede studiet det primære mål, forbedret PFS. Den observerede </w:t>
      </w:r>
      <w:proofErr w:type="spellStart"/>
      <w:r w:rsidRPr="00143528">
        <w:rPr>
          <w:bCs/>
          <w:i/>
          <w:iCs/>
          <w:sz w:val="24"/>
          <w:szCs w:val="24"/>
        </w:rPr>
        <w:t>hazard</w:t>
      </w:r>
      <w:proofErr w:type="spellEnd"/>
      <w:r w:rsidRPr="00143528">
        <w:rPr>
          <w:bCs/>
          <w:i/>
          <w:iCs/>
          <w:sz w:val="24"/>
          <w:szCs w:val="24"/>
        </w:rPr>
        <w:t xml:space="preserve"> ratio </w:t>
      </w:r>
      <w:r w:rsidRPr="00143528">
        <w:rPr>
          <w:bCs/>
          <w:sz w:val="24"/>
          <w:szCs w:val="24"/>
        </w:rPr>
        <w:t>(HR) var 0,576 (95</w:t>
      </w:r>
      <w:r w:rsidR="007A1C7E">
        <w:rPr>
          <w:bCs/>
          <w:sz w:val="24"/>
          <w:szCs w:val="24"/>
        </w:rPr>
        <w:t xml:space="preserve"> %</w:t>
      </w:r>
      <w:r w:rsidRPr="00143528">
        <w:rPr>
          <w:bCs/>
          <w:sz w:val="24"/>
          <w:szCs w:val="24"/>
        </w:rPr>
        <w:t xml:space="preserve"> CI: 0,46-0,72) til fordel for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letrozol</w:t>
      </w:r>
      <w:proofErr w:type="spellEnd"/>
      <w:r w:rsidRPr="00143528">
        <w:rPr>
          <w:bCs/>
          <w:sz w:val="24"/>
          <w:szCs w:val="24"/>
        </w:rPr>
        <w:t xml:space="preserve"> med en </w:t>
      </w:r>
      <w:proofErr w:type="spellStart"/>
      <w:r w:rsidRPr="00143528">
        <w:rPr>
          <w:bCs/>
          <w:sz w:val="24"/>
          <w:szCs w:val="24"/>
        </w:rPr>
        <w:t>p-værdi</w:t>
      </w:r>
      <w:proofErr w:type="spellEnd"/>
      <w:r w:rsidRPr="00143528">
        <w:rPr>
          <w:bCs/>
          <w:sz w:val="24"/>
          <w:szCs w:val="24"/>
        </w:rPr>
        <w:t xml:space="preserve"> på &lt; 0,000001 (1-sidet stratificeret log-rank test). Der blev udført en opdateret analyse af det primære og sekundære endepunkt efter yderligere 15 måneders opfølgning (skæringsdato for data: 31. maj 2017). Der observeredes i alt 405 PFS-hændelser; henholdsvis 245 hændelser (55,2</w:t>
      </w:r>
      <w:r w:rsidR="007A1C7E">
        <w:rPr>
          <w:bCs/>
          <w:sz w:val="24"/>
          <w:szCs w:val="24"/>
        </w:rPr>
        <w:t xml:space="preserve"> %</w:t>
      </w:r>
      <w:r w:rsidRPr="00143528">
        <w:rPr>
          <w:bCs/>
          <w:sz w:val="24"/>
          <w:szCs w:val="24"/>
        </w:rPr>
        <w:t xml:space="preserve">) i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letrozol</w:t>
      </w:r>
      <w:proofErr w:type="spellEnd"/>
      <w:r w:rsidRPr="00143528">
        <w:rPr>
          <w:bCs/>
          <w:sz w:val="24"/>
          <w:szCs w:val="24"/>
        </w:rPr>
        <w:t>-armen og 160 (72,1</w:t>
      </w:r>
      <w:r w:rsidR="007A1C7E">
        <w:rPr>
          <w:bCs/>
          <w:sz w:val="24"/>
          <w:szCs w:val="24"/>
        </w:rPr>
        <w:t xml:space="preserve"> %</w:t>
      </w:r>
      <w:r w:rsidRPr="00143528">
        <w:rPr>
          <w:bCs/>
          <w:sz w:val="24"/>
          <w:szCs w:val="24"/>
        </w:rPr>
        <w:t>) i komparatorarmen.</w:t>
      </w:r>
    </w:p>
    <w:p w14:paraId="330447D4" w14:textId="77777777" w:rsidR="00143528" w:rsidRPr="00143528" w:rsidRDefault="00143528" w:rsidP="00D33C41">
      <w:pPr>
        <w:ind w:left="851"/>
        <w:rPr>
          <w:bCs/>
          <w:sz w:val="24"/>
          <w:szCs w:val="24"/>
        </w:rPr>
      </w:pPr>
    </w:p>
    <w:p w14:paraId="46446B81" w14:textId="77777777" w:rsidR="00143528" w:rsidRPr="00143528" w:rsidRDefault="00143528" w:rsidP="00D33C41">
      <w:pPr>
        <w:ind w:left="851"/>
        <w:rPr>
          <w:bCs/>
          <w:sz w:val="24"/>
          <w:szCs w:val="24"/>
        </w:rPr>
      </w:pPr>
      <w:r w:rsidRPr="00143528">
        <w:rPr>
          <w:bCs/>
          <w:sz w:val="24"/>
          <w:szCs w:val="24"/>
        </w:rPr>
        <w:t xml:space="preserve">Skema 6 viser effektresultaterne baseret på den primære og den opdaterede analyse fra PALOMA-2 studiet ud fra </w:t>
      </w:r>
      <w:proofErr w:type="spellStart"/>
      <w:r w:rsidRPr="00143528">
        <w:rPr>
          <w:bCs/>
          <w:sz w:val="24"/>
          <w:szCs w:val="24"/>
        </w:rPr>
        <w:t>investigators</w:t>
      </w:r>
      <w:proofErr w:type="spellEnd"/>
      <w:r w:rsidRPr="00143528">
        <w:rPr>
          <w:bCs/>
          <w:sz w:val="24"/>
          <w:szCs w:val="24"/>
        </w:rPr>
        <w:t xml:space="preserve"> vurdering og den uafhængige gennemgang.</w:t>
      </w:r>
    </w:p>
    <w:p w14:paraId="49DD0563" w14:textId="77777777" w:rsidR="00143528" w:rsidRPr="00143528" w:rsidRDefault="00143528" w:rsidP="00D33C41">
      <w:pPr>
        <w:ind w:left="851"/>
        <w:rPr>
          <w:bCs/>
          <w:sz w:val="24"/>
          <w:szCs w:val="24"/>
        </w:rPr>
      </w:pPr>
    </w:p>
    <w:p w14:paraId="3F24726B" w14:textId="7EE1BD45" w:rsidR="00143528" w:rsidRPr="00143528" w:rsidRDefault="00143528" w:rsidP="00D33C41">
      <w:pPr>
        <w:rPr>
          <w:b/>
          <w:bCs/>
          <w:sz w:val="24"/>
          <w:szCs w:val="24"/>
        </w:rPr>
      </w:pPr>
      <w:r w:rsidRPr="00143528">
        <w:rPr>
          <w:b/>
          <w:bCs/>
          <w:sz w:val="24"/>
          <w:szCs w:val="24"/>
        </w:rPr>
        <w:t>Skema 6.</w:t>
      </w:r>
      <w:r w:rsidR="00D33C41" w:rsidRPr="00D33C41">
        <w:rPr>
          <w:b/>
          <w:bCs/>
          <w:sz w:val="24"/>
          <w:szCs w:val="24"/>
        </w:rPr>
        <w:t xml:space="preserve"> </w:t>
      </w:r>
      <w:r w:rsidRPr="00143528">
        <w:rPr>
          <w:b/>
          <w:bCs/>
          <w:sz w:val="24"/>
          <w:szCs w:val="24"/>
        </w:rPr>
        <w:t>PALOMA-2 (</w:t>
      </w:r>
      <w:r w:rsidRPr="00143528">
        <w:rPr>
          <w:b/>
          <w:bCs/>
          <w:i/>
          <w:iCs/>
          <w:sz w:val="24"/>
          <w:szCs w:val="24"/>
        </w:rPr>
        <w:t>intent-to-</w:t>
      </w:r>
      <w:proofErr w:type="spellStart"/>
      <w:r w:rsidRPr="00143528">
        <w:rPr>
          <w:b/>
          <w:bCs/>
          <w:i/>
          <w:iCs/>
          <w:sz w:val="24"/>
          <w:szCs w:val="24"/>
        </w:rPr>
        <w:t>treat</w:t>
      </w:r>
      <w:proofErr w:type="spellEnd"/>
      <w:r w:rsidRPr="00143528">
        <w:rPr>
          <w:b/>
          <w:bCs/>
          <w:i/>
          <w:iCs/>
          <w:sz w:val="24"/>
          <w:szCs w:val="24"/>
        </w:rPr>
        <w:t xml:space="preserve"> </w:t>
      </w:r>
      <w:r w:rsidRPr="00143528">
        <w:rPr>
          <w:b/>
          <w:bCs/>
          <w:sz w:val="24"/>
          <w:szCs w:val="24"/>
        </w:rPr>
        <w:t>population) - Effektresultater baseret på den primære og den opdaterede skæringsdato</w:t>
      </w:r>
    </w:p>
    <w:tbl>
      <w:tblPr>
        <w:tblW w:w="5000" w:type="pct"/>
        <w:tblCellMar>
          <w:left w:w="10" w:type="dxa"/>
          <w:right w:w="10" w:type="dxa"/>
        </w:tblCellMar>
        <w:tblLook w:val="04A0" w:firstRow="1" w:lastRow="0" w:firstColumn="1" w:lastColumn="0" w:noHBand="0" w:noVBand="1"/>
      </w:tblPr>
      <w:tblGrid>
        <w:gridCol w:w="2097"/>
        <w:gridCol w:w="1845"/>
        <w:gridCol w:w="1987"/>
        <w:gridCol w:w="1845"/>
        <w:gridCol w:w="1854"/>
      </w:tblGrid>
      <w:tr w:rsidR="00143528" w:rsidRPr="00143528" w14:paraId="45CD2EE9" w14:textId="77777777" w:rsidTr="00D33C41">
        <w:trPr>
          <w:trHeight w:val="470"/>
          <w:tblHeader/>
        </w:trPr>
        <w:tc>
          <w:tcPr>
            <w:tcW w:w="1089" w:type="pct"/>
            <w:vMerge w:val="restar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tcPr>
          <w:p w14:paraId="74464956" w14:textId="77777777" w:rsidR="00143528" w:rsidRPr="00143528" w:rsidRDefault="00143528" w:rsidP="00D33C41">
            <w:pPr>
              <w:ind w:left="132"/>
              <w:rPr>
                <w:sz w:val="22"/>
                <w:szCs w:val="22"/>
              </w:rPr>
            </w:pPr>
          </w:p>
        </w:tc>
        <w:tc>
          <w:tcPr>
            <w:tcW w:w="1990" w:type="pct"/>
            <w:gridSpan w:val="2"/>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4778599C" w14:textId="77777777" w:rsidR="00143528" w:rsidRPr="00143528" w:rsidRDefault="00143528" w:rsidP="00123771">
            <w:pPr>
              <w:ind w:left="132"/>
              <w:jc w:val="center"/>
              <w:rPr>
                <w:b/>
                <w:sz w:val="22"/>
                <w:szCs w:val="22"/>
              </w:rPr>
            </w:pPr>
            <w:r w:rsidRPr="00143528">
              <w:rPr>
                <w:b/>
                <w:sz w:val="22"/>
                <w:szCs w:val="22"/>
              </w:rPr>
              <w:t>Primær analyse</w:t>
            </w:r>
          </w:p>
          <w:p w14:paraId="6F1288C4" w14:textId="77777777" w:rsidR="00143528" w:rsidRPr="00143528" w:rsidRDefault="00143528" w:rsidP="00123771">
            <w:pPr>
              <w:ind w:left="132"/>
              <w:jc w:val="center"/>
              <w:rPr>
                <w:b/>
                <w:sz w:val="22"/>
                <w:szCs w:val="22"/>
              </w:rPr>
            </w:pPr>
            <w:r w:rsidRPr="00143528">
              <w:rPr>
                <w:b/>
                <w:sz w:val="22"/>
                <w:szCs w:val="22"/>
              </w:rPr>
              <w:t>(26. februar 2016 som skæringsdato)</w:t>
            </w:r>
          </w:p>
        </w:tc>
        <w:tc>
          <w:tcPr>
            <w:tcW w:w="1921" w:type="pct"/>
            <w:gridSpan w:val="2"/>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3515B1E7" w14:textId="77777777" w:rsidR="00143528" w:rsidRPr="00143528" w:rsidRDefault="00143528" w:rsidP="00123771">
            <w:pPr>
              <w:ind w:left="132"/>
              <w:jc w:val="center"/>
              <w:rPr>
                <w:b/>
                <w:sz w:val="22"/>
                <w:szCs w:val="22"/>
              </w:rPr>
            </w:pPr>
            <w:r w:rsidRPr="00143528">
              <w:rPr>
                <w:b/>
                <w:sz w:val="22"/>
                <w:szCs w:val="22"/>
              </w:rPr>
              <w:t>Opdateret analyse</w:t>
            </w:r>
          </w:p>
          <w:p w14:paraId="1C56B792" w14:textId="77777777" w:rsidR="00143528" w:rsidRPr="00143528" w:rsidRDefault="00143528" w:rsidP="00123771">
            <w:pPr>
              <w:ind w:left="132"/>
              <w:jc w:val="center"/>
              <w:rPr>
                <w:sz w:val="22"/>
                <w:szCs w:val="22"/>
              </w:rPr>
            </w:pPr>
            <w:r w:rsidRPr="00143528">
              <w:rPr>
                <w:b/>
                <w:sz w:val="22"/>
                <w:szCs w:val="22"/>
              </w:rPr>
              <w:t>(31. maj 2017 som skæringsdato)</w:t>
            </w:r>
          </w:p>
        </w:tc>
      </w:tr>
      <w:tr w:rsidR="00143528" w:rsidRPr="00143528" w14:paraId="3C20BD5F" w14:textId="77777777" w:rsidTr="00D33C41">
        <w:trPr>
          <w:trHeight w:val="718"/>
          <w:tblHeader/>
        </w:trPr>
        <w:tc>
          <w:tcPr>
            <w:tcW w:w="1089" w:type="pct"/>
            <w:vMerge/>
            <w:tcBorders>
              <w:top w:val="single" w:sz="4" w:space="0" w:color="000000"/>
              <w:left w:val="single" w:sz="4" w:space="0" w:color="000000"/>
              <w:bottom w:val="single" w:sz="4" w:space="0" w:color="000000"/>
              <w:right w:val="single" w:sz="4" w:space="0" w:color="000000"/>
            </w:tcBorders>
            <w:vAlign w:val="center"/>
            <w:hideMark/>
          </w:tcPr>
          <w:p w14:paraId="6B8D766F" w14:textId="77777777" w:rsidR="00143528" w:rsidRPr="00143528" w:rsidRDefault="00143528" w:rsidP="00D33C41">
            <w:pPr>
              <w:ind w:left="132"/>
              <w:rPr>
                <w:sz w:val="22"/>
                <w:szCs w:val="22"/>
              </w:rPr>
            </w:pP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2D057FB4" w14:textId="77777777" w:rsidR="00143528" w:rsidRPr="00143528" w:rsidRDefault="00143528" w:rsidP="00123771">
            <w:pPr>
              <w:ind w:left="132"/>
              <w:jc w:val="center"/>
              <w:rPr>
                <w:b/>
                <w:bCs/>
                <w:sz w:val="22"/>
                <w:szCs w:val="22"/>
                <w:lang w:val="en-GB"/>
              </w:rPr>
            </w:pPr>
            <w:r w:rsidRPr="00143528">
              <w:rPr>
                <w:b/>
                <w:bCs/>
                <w:sz w:val="22"/>
                <w:szCs w:val="22"/>
                <w:lang w:val="en-GB"/>
              </w:rPr>
              <w:t>Palbociclib</w:t>
            </w:r>
          </w:p>
          <w:p w14:paraId="4700EE23" w14:textId="77777777" w:rsidR="00143528" w:rsidRPr="00143528" w:rsidRDefault="00143528" w:rsidP="00123771">
            <w:pPr>
              <w:ind w:left="132"/>
              <w:jc w:val="center"/>
              <w:rPr>
                <w:sz w:val="22"/>
                <w:szCs w:val="22"/>
                <w:lang w:val="en-GB"/>
              </w:rPr>
            </w:pPr>
            <w:r w:rsidRPr="00143528">
              <w:rPr>
                <w:b/>
                <w:sz w:val="22"/>
                <w:szCs w:val="22"/>
                <w:lang w:val="en-GB"/>
              </w:rPr>
              <w:t>plus letrozole</w:t>
            </w:r>
          </w:p>
          <w:p w14:paraId="09BC9514" w14:textId="77777777" w:rsidR="00143528" w:rsidRPr="00143528" w:rsidRDefault="00143528" w:rsidP="00123771">
            <w:pPr>
              <w:ind w:left="132"/>
              <w:jc w:val="center"/>
              <w:rPr>
                <w:sz w:val="22"/>
                <w:szCs w:val="22"/>
                <w:lang w:val="en-GB"/>
              </w:rPr>
            </w:pPr>
            <w:r w:rsidRPr="00143528">
              <w:rPr>
                <w:b/>
                <w:sz w:val="22"/>
                <w:szCs w:val="22"/>
                <w:lang w:val="en-GB"/>
              </w:rPr>
              <w:t>(N = 444)</w:t>
            </w:r>
          </w:p>
        </w:tc>
        <w:tc>
          <w:tcPr>
            <w:tcW w:w="1032"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22AFC402" w14:textId="77777777" w:rsidR="00143528" w:rsidRPr="00143528" w:rsidRDefault="00143528" w:rsidP="00123771">
            <w:pPr>
              <w:ind w:left="132"/>
              <w:jc w:val="center"/>
              <w:rPr>
                <w:sz w:val="22"/>
                <w:szCs w:val="22"/>
                <w:lang w:val="en-GB"/>
              </w:rPr>
            </w:pPr>
            <w:r w:rsidRPr="00143528">
              <w:rPr>
                <w:b/>
                <w:sz w:val="22"/>
                <w:szCs w:val="22"/>
                <w:lang w:val="en-GB"/>
              </w:rPr>
              <w:t>Placebo plus letrozole</w:t>
            </w:r>
          </w:p>
          <w:p w14:paraId="4BFF4CDA" w14:textId="77777777" w:rsidR="00143528" w:rsidRPr="00143528" w:rsidRDefault="00143528" w:rsidP="00123771">
            <w:pPr>
              <w:ind w:left="132"/>
              <w:jc w:val="center"/>
              <w:rPr>
                <w:sz w:val="22"/>
                <w:szCs w:val="22"/>
                <w:lang w:val="en-GB"/>
              </w:rPr>
            </w:pPr>
            <w:r w:rsidRPr="00143528">
              <w:rPr>
                <w:b/>
                <w:sz w:val="22"/>
                <w:szCs w:val="22"/>
                <w:lang w:val="en-GB"/>
              </w:rPr>
              <w:t>(N = 222)</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1C343604" w14:textId="77777777" w:rsidR="00143528" w:rsidRPr="00143528" w:rsidRDefault="00143528" w:rsidP="00123771">
            <w:pPr>
              <w:ind w:left="132"/>
              <w:jc w:val="center"/>
              <w:rPr>
                <w:b/>
                <w:sz w:val="22"/>
                <w:szCs w:val="22"/>
                <w:lang w:val="en-GB"/>
              </w:rPr>
            </w:pPr>
            <w:r w:rsidRPr="00143528">
              <w:rPr>
                <w:b/>
                <w:sz w:val="22"/>
                <w:szCs w:val="22"/>
                <w:lang w:val="en-GB"/>
              </w:rPr>
              <w:t>Palbociclib</w:t>
            </w:r>
          </w:p>
          <w:p w14:paraId="1A0903BC" w14:textId="77777777" w:rsidR="00143528" w:rsidRPr="00143528" w:rsidRDefault="00143528" w:rsidP="00123771">
            <w:pPr>
              <w:ind w:left="132"/>
              <w:jc w:val="center"/>
              <w:rPr>
                <w:sz w:val="22"/>
                <w:szCs w:val="22"/>
                <w:lang w:val="en-GB"/>
              </w:rPr>
            </w:pPr>
            <w:r w:rsidRPr="00143528">
              <w:rPr>
                <w:b/>
                <w:sz w:val="22"/>
                <w:szCs w:val="22"/>
                <w:lang w:val="en-GB"/>
              </w:rPr>
              <w:t>plus letrozole</w:t>
            </w:r>
          </w:p>
          <w:p w14:paraId="66E0F353" w14:textId="77777777" w:rsidR="00143528" w:rsidRPr="00143528" w:rsidRDefault="00143528" w:rsidP="00123771">
            <w:pPr>
              <w:ind w:left="132"/>
              <w:jc w:val="center"/>
              <w:rPr>
                <w:sz w:val="22"/>
                <w:szCs w:val="22"/>
                <w:lang w:val="en-GB"/>
              </w:rPr>
            </w:pPr>
            <w:r w:rsidRPr="00143528">
              <w:rPr>
                <w:b/>
                <w:sz w:val="22"/>
                <w:szCs w:val="22"/>
                <w:lang w:val="en-GB"/>
              </w:rPr>
              <w:t>(N = 444)</w:t>
            </w:r>
          </w:p>
        </w:tc>
        <w:tc>
          <w:tcPr>
            <w:tcW w:w="963"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5EE3A18D" w14:textId="66689AA2" w:rsidR="00143528" w:rsidRPr="00143528" w:rsidRDefault="00143528" w:rsidP="00123771">
            <w:pPr>
              <w:ind w:left="132"/>
              <w:jc w:val="center"/>
              <w:rPr>
                <w:b/>
                <w:sz w:val="22"/>
                <w:szCs w:val="22"/>
                <w:lang w:val="en-GB"/>
              </w:rPr>
            </w:pPr>
            <w:r w:rsidRPr="00143528">
              <w:rPr>
                <w:b/>
                <w:sz w:val="22"/>
                <w:szCs w:val="22"/>
                <w:lang w:val="en-GB"/>
              </w:rPr>
              <w:t>Placebo</w:t>
            </w:r>
          </w:p>
          <w:p w14:paraId="5DB9755D" w14:textId="77777777" w:rsidR="00143528" w:rsidRPr="00143528" w:rsidRDefault="00143528" w:rsidP="00123771">
            <w:pPr>
              <w:ind w:left="132"/>
              <w:jc w:val="center"/>
              <w:rPr>
                <w:sz w:val="22"/>
                <w:szCs w:val="22"/>
                <w:lang w:val="en-GB"/>
              </w:rPr>
            </w:pPr>
            <w:r w:rsidRPr="00143528">
              <w:rPr>
                <w:b/>
                <w:sz w:val="22"/>
                <w:szCs w:val="22"/>
                <w:lang w:val="en-GB"/>
              </w:rPr>
              <w:t>plus letrozole</w:t>
            </w:r>
          </w:p>
          <w:p w14:paraId="2ED85424" w14:textId="77777777" w:rsidR="00143528" w:rsidRPr="00143528" w:rsidRDefault="00143528" w:rsidP="00123771">
            <w:pPr>
              <w:ind w:left="132"/>
              <w:jc w:val="center"/>
              <w:rPr>
                <w:sz w:val="22"/>
                <w:szCs w:val="22"/>
                <w:lang w:val="en-GB"/>
              </w:rPr>
            </w:pPr>
            <w:r w:rsidRPr="00143528">
              <w:rPr>
                <w:b/>
                <w:sz w:val="22"/>
                <w:szCs w:val="22"/>
                <w:lang w:val="en-GB"/>
              </w:rPr>
              <w:t>(N = 222)</w:t>
            </w:r>
          </w:p>
        </w:tc>
      </w:tr>
      <w:tr w:rsidR="00143528" w:rsidRPr="00143528" w14:paraId="5F6F7A7A" w14:textId="77777777" w:rsidTr="00D33C41">
        <w:trPr>
          <w:trHeight w:val="240"/>
        </w:trPr>
        <w:tc>
          <w:tcPr>
            <w:tcW w:w="5000" w:type="pct"/>
            <w:gridSpan w:val="5"/>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4F0DCC9D" w14:textId="77777777" w:rsidR="00143528" w:rsidRPr="00143528" w:rsidRDefault="00143528" w:rsidP="00D33C41">
            <w:pPr>
              <w:ind w:left="132"/>
              <w:rPr>
                <w:sz w:val="22"/>
                <w:szCs w:val="22"/>
              </w:rPr>
            </w:pPr>
            <w:r w:rsidRPr="00143528">
              <w:rPr>
                <w:b/>
                <w:sz w:val="22"/>
                <w:szCs w:val="22"/>
              </w:rPr>
              <w:t xml:space="preserve">Progressionsfri overlevelse baseret på </w:t>
            </w:r>
            <w:proofErr w:type="spellStart"/>
            <w:r w:rsidRPr="00143528">
              <w:rPr>
                <w:b/>
                <w:sz w:val="22"/>
                <w:szCs w:val="22"/>
              </w:rPr>
              <w:t>investigators</w:t>
            </w:r>
            <w:proofErr w:type="spellEnd"/>
            <w:r w:rsidRPr="00143528">
              <w:rPr>
                <w:b/>
                <w:sz w:val="22"/>
                <w:szCs w:val="22"/>
              </w:rPr>
              <w:t xml:space="preserve"> vurdering</w:t>
            </w:r>
          </w:p>
        </w:tc>
      </w:tr>
      <w:tr w:rsidR="00143528" w:rsidRPr="00143528" w14:paraId="10F4352E" w14:textId="77777777" w:rsidTr="00D33C41">
        <w:trPr>
          <w:trHeight w:val="240"/>
        </w:trPr>
        <w:tc>
          <w:tcPr>
            <w:tcW w:w="1089"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52BA732F" w14:textId="1365196A" w:rsidR="00143528" w:rsidRPr="00143528" w:rsidRDefault="00143528" w:rsidP="00D33C41">
            <w:pPr>
              <w:ind w:left="132"/>
              <w:rPr>
                <w:sz w:val="22"/>
                <w:szCs w:val="22"/>
                <w:lang w:val="en-GB"/>
              </w:rPr>
            </w:pPr>
            <w:r w:rsidRPr="00143528">
              <w:rPr>
                <w:sz w:val="22"/>
                <w:szCs w:val="22"/>
                <w:lang w:val="en-GB"/>
              </w:rPr>
              <w:t xml:space="preserve">Antal </w:t>
            </w:r>
            <w:proofErr w:type="spellStart"/>
            <w:r w:rsidRPr="00143528">
              <w:rPr>
                <w:sz w:val="22"/>
                <w:szCs w:val="22"/>
                <w:lang w:val="en-GB"/>
              </w:rPr>
              <w:t>hændelser</w:t>
            </w:r>
            <w:proofErr w:type="spellEnd"/>
            <w:r w:rsidRPr="00143528">
              <w:rPr>
                <w:sz w:val="22"/>
                <w:szCs w:val="22"/>
                <w:lang w:val="en-GB"/>
              </w:rPr>
              <w:t xml:space="preserve"> (</w:t>
            </w:r>
            <w:r w:rsidR="007A1C7E">
              <w:rPr>
                <w:sz w:val="22"/>
                <w:szCs w:val="22"/>
                <w:lang w:val="en-GB"/>
              </w:rPr>
              <w:t>%</w:t>
            </w:r>
            <w:r w:rsidRPr="00143528">
              <w:rPr>
                <w:sz w:val="22"/>
                <w:szCs w:val="22"/>
                <w:lang w:val="en-GB"/>
              </w:rPr>
              <w:t xml:space="preserve">) </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55E1BC3F" w14:textId="77777777" w:rsidR="00143528" w:rsidRPr="00143528" w:rsidRDefault="00143528" w:rsidP="00123771">
            <w:pPr>
              <w:ind w:left="132"/>
              <w:jc w:val="center"/>
              <w:rPr>
                <w:sz w:val="22"/>
                <w:szCs w:val="22"/>
                <w:lang w:val="en-GB"/>
              </w:rPr>
            </w:pPr>
            <w:r w:rsidRPr="00143528">
              <w:rPr>
                <w:sz w:val="22"/>
                <w:szCs w:val="22"/>
                <w:lang w:val="en-GB"/>
              </w:rPr>
              <w:t>194 (43,7)</w:t>
            </w:r>
          </w:p>
        </w:tc>
        <w:tc>
          <w:tcPr>
            <w:tcW w:w="1032"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4FFFA57C" w14:textId="77777777" w:rsidR="00143528" w:rsidRPr="00143528" w:rsidRDefault="00143528" w:rsidP="00123771">
            <w:pPr>
              <w:ind w:left="132"/>
              <w:jc w:val="center"/>
              <w:rPr>
                <w:sz w:val="22"/>
                <w:szCs w:val="22"/>
                <w:lang w:val="en-GB"/>
              </w:rPr>
            </w:pPr>
            <w:r w:rsidRPr="00143528">
              <w:rPr>
                <w:sz w:val="22"/>
                <w:szCs w:val="22"/>
                <w:lang w:val="en-GB"/>
              </w:rPr>
              <w:t>137 (61,7)</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1D7C75C4" w14:textId="77777777" w:rsidR="00143528" w:rsidRPr="00143528" w:rsidRDefault="00143528" w:rsidP="00123771">
            <w:pPr>
              <w:ind w:left="132"/>
              <w:jc w:val="center"/>
              <w:rPr>
                <w:sz w:val="22"/>
                <w:szCs w:val="22"/>
                <w:lang w:val="en-GB"/>
              </w:rPr>
            </w:pPr>
            <w:r w:rsidRPr="00143528">
              <w:rPr>
                <w:sz w:val="22"/>
                <w:szCs w:val="22"/>
                <w:lang w:val="en-GB"/>
              </w:rPr>
              <w:t>245 (55,2)</w:t>
            </w:r>
          </w:p>
        </w:tc>
        <w:tc>
          <w:tcPr>
            <w:tcW w:w="963"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4ABEB360" w14:textId="77777777" w:rsidR="00143528" w:rsidRPr="00143528" w:rsidRDefault="00143528" w:rsidP="00123771">
            <w:pPr>
              <w:ind w:left="132"/>
              <w:jc w:val="center"/>
              <w:rPr>
                <w:sz w:val="22"/>
                <w:szCs w:val="22"/>
                <w:lang w:val="en-GB"/>
              </w:rPr>
            </w:pPr>
            <w:r w:rsidRPr="00143528">
              <w:rPr>
                <w:sz w:val="22"/>
                <w:szCs w:val="22"/>
                <w:lang w:val="en-GB"/>
              </w:rPr>
              <w:t>160 (72,1)</w:t>
            </w:r>
          </w:p>
        </w:tc>
      </w:tr>
      <w:tr w:rsidR="00143528" w:rsidRPr="00143528" w14:paraId="0A7E2F74" w14:textId="77777777" w:rsidTr="00D33C41">
        <w:trPr>
          <w:trHeight w:val="470"/>
        </w:trPr>
        <w:tc>
          <w:tcPr>
            <w:tcW w:w="1089"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3A8EE3F" w14:textId="29954759" w:rsidR="00143528" w:rsidRPr="00143528" w:rsidRDefault="00143528" w:rsidP="00D33C41">
            <w:pPr>
              <w:ind w:left="132"/>
              <w:rPr>
                <w:sz w:val="22"/>
                <w:szCs w:val="22"/>
                <w:lang w:val="en-GB"/>
              </w:rPr>
            </w:pPr>
            <w:r w:rsidRPr="00143528">
              <w:rPr>
                <w:sz w:val="22"/>
                <w:szCs w:val="22"/>
                <w:lang w:val="en-GB"/>
              </w:rPr>
              <w:t>Median PFS (</w:t>
            </w:r>
            <w:proofErr w:type="spellStart"/>
            <w:r w:rsidRPr="00143528">
              <w:rPr>
                <w:sz w:val="22"/>
                <w:szCs w:val="22"/>
                <w:lang w:val="en-GB"/>
              </w:rPr>
              <w:t>måneder</w:t>
            </w:r>
            <w:proofErr w:type="spellEnd"/>
            <w:r w:rsidRPr="00143528">
              <w:rPr>
                <w:sz w:val="22"/>
                <w:szCs w:val="22"/>
                <w:lang w:val="en-GB"/>
              </w:rPr>
              <w:t xml:space="preserve"> (95</w:t>
            </w:r>
            <w:r w:rsidR="007A1C7E">
              <w:rPr>
                <w:sz w:val="22"/>
                <w:szCs w:val="22"/>
                <w:lang w:val="en-GB"/>
              </w:rPr>
              <w:t xml:space="preserve"> %</w:t>
            </w:r>
            <w:r w:rsidRPr="00143528">
              <w:rPr>
                <w:sz w:val="22"/>
                <w:szCs w:val="22"/>
                <w:lang w:val="en-GB"/>
              </w:rPr>
              <w:t xml:space="preserve"> CI))</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2C893C6" w14:textId="77777777" w:rsidR="00143528" w:rsidRPr="00143528" w:rsidRDefault="00143528" w:rsidP="00123771">
            <w:pPr>
              <w:ind w:left="132"/>
              <w:jc w:val="center"/>
              <w:rPr>
                <w:sz w:val="22"/>
                <w:szCs w:val="22"/>
                <w:lang w:val="en-GB"/>
              </w:rPr>
            </w:pPr>
            <w:r w:rsidRPr="00143528">
              <w:rPr>
                <w:sz w:val="22"/>
                <w:szCs w:val="22"/>
                <w:lang w:val="en-GB"/>
              </w:rPr>
              <w:t>24.8 (22,1, NE)</w:t>
            </w:r>
          </w:p>
        </w:tc>
        <w:tc>
          <w:tcPr>
            <w:tcW w:w="1032"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63D9BED6" w14:textId="77777777" w:rsidR="00143528" w:rsidRPr="00143528" w:rsidRDefault="00143528" w:rsidP="00123771">
            <w:pPr>
              <w:ind w:left="132"/>
              <w:jc w:val="center"/>
              <w:rPr>
                <w:sz w:val="22"/>
                <w:szCs w:val="22"/>
                <w:lang w:val="en-GB"/>
              </w:rPr>
            </w:pPr>
            <w:r w:rsidRPr="00143528">
              <w:rPr>
                <w:sz w:val="22"/>
                <w:szCs w:val="22"/>
                <w:lang w:val="en-GB"/>
              </w:rPr>
              <w:t>14,5 (12,9, 17,1)</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337B0285" w14:textId="77777777" w:rsidR="00143528" w:rsidRPr="00143528" w:rsidRDefault="00143528" w:rsidP="00123771">
            <w:pPr>
              <w:ind w:left="132"/>
              <w:jc w:val="center"/>
              <w:rPr>
                <w:sz w:val="22"/>
                <w:szCs w:val="22"/>
                <w:lang w:val="en-GB"/>
              </w:rPr>
            </w:pPr>
            <w:r w:rsidRPr="00143528">
              <w:rPr>
                <w:sz w:val="22"/>
                <w:szCs w:val="22"/>
                <w:lang w:val="en-GB"/>
              </w:rPr>
              <w:t>27,6 (22,4, 30,3)</w:t>
            </w:r>
          </w:p>
        </w:tc>
        <w:tc>
          <w:tcPr>
            <w:tcW w:w="963"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111C6C94" w14:textId="77777777" w:rsidR="00143528" w:rsidRPr="00143528" w:rsidRDefault="00143528" w:rsidP="00123771">
            <w:pPr>
              <w:ind w:left="132"/>
              <w:jc w:val="center"/>
              <w:rPr>
                <w:sz w:val="22"/>
                <w:szCs w:val="22"/>
                <w:lang w:val="en-GB"/>
              </w:rPr>
            </w:pPr>
            <w:r w:rsidRPr="00143528">
              <w:rPr>
                <w:sz w:val="22"/>
                <w:szCs w:val="22"/>
                <w:lang w:val="en-GB"/>
              </w:rPr>
              <w:t>14,5 (12,3, 17,1)</w:t>
            </w:r>
          </w:p>
        </w:tc>
      </w:tr>
      <w:tr w:rsidR="00143528" w:rsidRPr="00143528" w14:paraId="507A8EFB" w14:textId="77777777" w:rsidTr="00D33C41">
        <w:trPr>
          <w:trHeight w:val="470"/>
        </w:trPr>
        <w:tc>
          <w:tcPr>
            <w:tcW w:w="1089"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25EF25C5" w14:textId="6A137369" w:rsidR="00143528" w:rsidRPr="00143528" w:rsidRDefault="00143528" w:rsidP="00D33C41">
            <w:pPr>
              <w:ind w:left="132"/>
              <w:rPr>
                <w:i/>
                <w:iCs/>
                <w:sz w:val="22"/>
                <w:szCs w:val="22"/>
              </w:rPr>
            </w:pPr>
            <w:proofErr w:type="spellStart"/>
            <w:r w:rsidRPr="00143528">
              <w:rPr>
                <w:i/>
                <w:iCs/>
                <w:sz w:val="22"/>
                <w:szCs w:val="22"/>
              </w:rPr>
              <w:t>Hazard</w:t>
            </w:r>
            <w:proofErr w:type="spellEnd"/>
            <w:r w:rsidRPr="00143528">
              <w:rPr>
                <w:i/>
                <w:iCs/>
                <w:sz w:val="22"/>
                <w:szCs w:val="22"/>
              </w:rPr>
              <w:t xml:space="preserve"> ratio </w:t>
            </w:r>
            <w:r w:rsidRPr="00143528">
              <w:rPr>
                <w:sz w:val="22"/>
                <w:szCs w:val="22"/>
              </w:rPr>
              <w:t>((95</w:t>
            </w:r>
            <w:r w:rsidR="007A1C7E">
              <w:rPr>
                <w:sz w:val="22"/>
                <w:szCs w:val="22"/>
              </w:rPr>
              <w:t> %</w:t>
            </w:r>
            <w:r w:rsidRPr="00143528">
              <w:rPr>
                <w:sz w:val="22"/>
                <w:szCs w:val="22"/>
              </w:rPr>
              <w:t xml:space="preserve"> CI) og </w:t>
            </w:r>
            <w:proofErr w:type="spellStart"/>
            <w:r w:rsidRPr="00143528">
              <w:rPr>
                <w:sz w:val="22"/>
                <w:szCs w:val="22"/>
              </w:rPr>
              <w:t>p-værdi</w:t>
            </w:r>
            <w:proofErr w:type="spellEnd"/>
            <w:r w:rsidRPr="00143528">
              <w:rPr>
                <w:sz w:val="22"/>
                <w:szCs w:val="22"/>
              </w:rPr>
              <w:t xml:space="preserve">) </w:t>
            </w:r>
          </w:p>
        </w:tc>
        <w:tc>
          <w:tcPr>
            <w:tcW w:w="1990" w:type="pct"/>
            <w:gridSpan w:val="2"/>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6288CBFC" w14:textId="77777777" w:rsidR="00143528" w:rsidRPr="00143528" w:rsidRDefault="00143528" w:rsidP="00123771">
            <w:pPr>
              <w:ind w:left="132"/>
              <w:jc w:val="center"/>
              <w:rPr>
                <w:sz w:val="22"/>
                <w:szCs w:val="22"/>
                <w:lang w:val="en-GB"/>
              </w:rPr>
            </w:pPr>
            <w:r w:rsidRPr="00143528">
              <w:rPr>
                <w:sz w:val="22"/>
                <w:szCs w:val="22"/>
                <w:lang w:val="en-GB"/>
              </w:rPr>
              <w:t>0,576 (0,463, 0,718), p&lt; 0.000001</w:t>
            </w:r>
          </w:p>
        </w:tc>
        <w:tc>
          <w:tcPr>
            <w:tcW w:w="1921" w:type="pct"/>
            <w:gridSpan w:val="2"/>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35065F16" w14:textId="77777777" w:rsidR="00143528" w:rsidRPr="00143528" w:rsidRDefault="00143528" w:rsidP="00123771">
            <w:pPr>
              <w:ind w:left="132"/>
              <w:jc w:val="center"/>
              <w:rPr>
                <w:sz w:val="22"/>
                <w:szCs w:val="22"/>
                <w:lang w:val="en-GB"/>
              </w:rPr>
            </w:pPr>
            <w:r w:rsidRPr="00143528">
              <w:rPr>
                <w:sz w:val="22"/>
                <w:szCs w:val="22"/>
                <w:lang w:val="en-GB"/>
              </w:rPr>
              <w:t>0,563 (0,461, 0,687), p&lt; 0.000001</w:t>
            </w:r>
          </w:p>
        </w:tc>
      </w:tr>
      <w:tr w:rsidR="00143528" w:rsidRPr="00143528" w14:paraId="17CEA8D6" w14:textId="77777777" w:rsidTr="00D33C41">
        <w:trPr>
          <w:trHeight w:val="240"/>
        </w:trPr>
        <w:tc>
          <w:tcPr>
            <w:tcW w:w="5000" w:type="pct"/>
            <w:gridSpan w:val="5"/>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8CC11AC" w14:textId="77777777" w:rsidR="00143528" w:rsidRPr="00143528" w:rsidRDefault="00143528" w:rsidP="00D33C41">
            <w:pPr>
              <w:ind w:left="132"/>
              <w:rPr>
                <w:sz w:val="22"/>
                <w:szCs w:val="22"/>
              </w:rPr>
            </w:pPr>
            <w:r w:rsidRPr="00143528">
              <w:rPr>
                <w:b/>
                <w:sz w:val="22"/>
                <w:szCs w:val="22"/>
              </w:rPr>
              <w:t>Progressionsfri overlevelse baseret på uafhængig vurdering</w:t>
            </w:r>
          </w:p>
        </w:tc>
      </w:tr>
      <w:tr w:rsidR="00143528" w:rsidRPr="00143528" w14:paraId="38169A89" w14:textId="77777777" w:rsidTr="00D33C41">
        <w:trPr>
          <w:trHeight w:val="240"/>
        </w:trPr>
        <w:tc>
          <w:tcPr>
            <w:tcW w:w="1089"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6E2FD9CE" w14:textId="288CA54A" w:rsidR="00143528" w:rsidRPr="00143528" w:rsidRDefault="00143528" w:rsidP="00D33C41">
            <w:pPr>
              <w:ind w:left="132"/>
              <w:rPr>
                <w:sz w:val="22"/>
                <w:szCs w:val="22"/>
                <w:lang w:val="en-GB"/>
              </w:rPr>
            </w:pPr>
            <w:r w:rsidRPr="00143528">
              <w:rPr>
                <w:sz w:val="22"/>
                <w:szCs w:val="22"/>
                <w:lang w:val="en-GB"/>
              </w:rPr>
              <w:t xml:space="preserve">Antal </w:t>
            </w:r>
            <w:proofErr w:type="spellStart"/>
            <w:r w:rsidRPr="00143528">
              <w:rPr>
                <w:sz w:val="22"/>
                <w:szCs w:val="22"/>
                <w:lang w:val="en-GB"/>
              </w:rPr>
              <w:t>hændelser</w:t>
            </w:r>
            <w:proofErr w:type="spellEnd"/>
            <w:r w:rsidRPr="00143528">
              <w:rPr>
                <w:sz w:val="22"/>
                <w:szCs w:val="22"/>
                <w:lang w:val="en-GB"/>
              </w:rPr>
              <w:t xml:space="preserve"> (</w:t>
            </w:r>
            <w:r w:rsidR="007A1C7E">
              <w:rPr>
                <w:sz w:val="22"/>
                <w:szCs w:val="22"/>
                <w:lang w:val="en-GB"/>
              </w:rPr>
              <w:t>%</w:t>
            </w:r>
            <w:r w:rsidRPr="00143528">
              <w:rPr>
                <w:sz w:val="22"/>
                <w:szCs w:val="22"/>
                <w:lang w:val="en-GB"/>
              </w:rPr>
              <w:t>)</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3CC3994A" w14:textId="77777777" w:rsidR="00143528" w:rsidRPr="00143528" w:rsidRDefault="00143528" w:rsidP="00123771">
            <w:pPr>
              <w:ind w:left="132"/>
              <w:jc w:val="center"/>
              <w:rPr>
                <w:sz w:val="22"/>
                <w:szCs w:val="22"/>
                <w:lang w:val="en-GB"/>
              </w:rPr>
            </w:pPr>
            <w:r w:rsidRPr="00143528">
              <w:rPr>
                <w:sz w:val="22"/>
                <w:szCs w:val="22"/>
                <w:lang w:val="en-GB"/>
              </w:rPr>
              <w:t>152 (34,2)</w:t>
            </w:r>
          </w:p>
        </w:tc>
        <w:tc>
          <w:tcPr>
            <w:tcW w:w="1032"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36DC83A0" w14:textId="77777777" w:rsidR="00143528" w:rsidRPr="00143528" w:rsidRDefault="00143528" w:rsidP="00123771">
            <w:pPr>
              <w:ind w:left="132"/>
              <w:jc w:val="center"/>
              <w:rPr>
                <w:sz w:val="22"/>
                <w:szCs w:val="22"/>
                <w:lang w:val="en-GB"/>
              </w:rPr>
            </w:pPr>
            <w:r w:rsidRPr="00143528">
              <w:rPr>
                <w:sz w:val="22"/>
                <w:szCs w:val="22"/>
                <w:lang w:val="en-GB"/>
              </w:rPr>
              <w:t>96 (43,2)</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44B25F80" w14:textId="77777777" w:rsidR="00143528" w:rsidRPr="00143528" w:rsidRDefault="00143528" w:rsidP="00123771">
            <w:pPr>
              <w:ind w:left="132"/>
              <w:jc w:val="center"/>
              <w:rPr>
                <w:sz w:val="22"/>
                <w:szCs w:val="22"/>
                <w:lang w:val="en-GB"/>
              </w:rPr>
            </w:pPr>
            <w:r w:rsidRPr="00143528">
              <w:rPr>
                <w:sz w:val="22"/>
                <w:szCs w:val="22"/>
                <w:lang w:val="en-GB"/>
              </w:rPr>
              <w:t>193 (43,5)</w:t>
            </w:r>
          </w:p>
        </w:tc>
        <w:tc>
          <w:tcPr>
            <w:tcW w:w="963"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A068B31" w14:textId="77777777" w:rsidR="00143528" w:rsidRPr="00143528" w:rsidRDefault="00143528" w:rsidP="00123771">
            <w:pPr>
              <w:ind w:left="132"/>
              <w:jc w:val="center"/>
              <w:rPr>
                <w:sz w:val="22"/>
                <w:szCs w:val="22"/>
                <w:lang w:val="en-GB"/>
              </w:rPr>
            </w:pPr>
            <w:r w:rsidRPr="00143528">
              <w:rPr>
                <w:sz w:val="22"/>
                <w:szCs w:val="22"/>
                <w:lang w:val="en-GB"/>
              </w:rPr>
              <w:t>118 (53,2)</w:t>
            </w:r>
          </w:p>
        </w:tc>
      </w:tr>
      <w:tr w:rsidR="00143528" w:rsidRPr="00143528" w14:paraId="35DA1AB3" w14:textId="77777777" w:rsidTr="00D33C41">
        <w:trPr>
          <w:trHeight w:val="470"/>
        </w:trPr>
        <w:tc>
          <w:tcPr>
            <w:tcW w:w="1089"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56335B66" w14:textId="70A58704" w:rsidR="00143528" w:rsidRPr="00143528" w:rsidRDefault="00143528" w:rsidP="00D33C41">
            <w:pPr>
              <w:ind w:left="132"/>
              <w:rPr>
                <w:sz w:val="22"/>
                <w:szCs w:val="22"/>
                <w:lang w:val="en-GB"/>
              </w:rPr>
            </w:pPr>
            <w:r w:rsidRPr="00143528">
              <w:rPr>
                <w:sz w:val="22"/>
                <w:szCs w:val="22"/>
                <w:lang w:val="en-GB"/>
              </w:rPr>
              <w:t>Median PFS (</w:t>
            </w:r>
            <w:proofErr w:type="spellStart"/>
            <w:r w:rsidRPr="00143528">
              <w:rPr>
                <w:sz w:val="22"/>
                <w:szCs w:val="22"/>
                <w:lang w:val="en-GB"/>
              </w:rPr>
              <w:t>måneder</w:t>
            </w:r>
            <w:proofErr w:type="spellEnd"/>
            <w:r w:rsidRPr="00143528">
              <w:rPr>
                <w:sz w:val="22"/>
                <w:szCs w:val="22"/>
                <w:lang w:val="en-GB"/>
              </w:rPr>
              <w:t xml:space="preserve"> (95</w:t>
            </w:r>
            <w:r w:rsidR="007A1C7E">
              <w:rPr>
                <w:sz w:val="22"/>
                <w:szCs w:val="22"/>
                <w:lang w:val="en-GB"/>
              </w:rPr>
              <w:t xml:space="preserve"> %</w:t>
            </w:r>
            <w:r w:rsidRPr="00143528">
              <w:rPr>
                <w:sz w:val="22"/>
                <w:szCs w:val="22"/>
                <w:lang w:val="en-GB"/>
              </w:rPr>
              <w:t xml:space="preserve"> CI))</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B464BE6" w14:textId="77777777" w:rsidR="00143528" w:rsidRPr="00143528" w:rsidRDefault="00143528" w:rsidP="00123771">
            <w:pPr>
              <w:ind w:left="132"/>
              <w:jc w:val="center"/>
              <w:rPr>
                <w:sz w:val="22"/>
                <w:szCs w:val="22"/>
                <w:lang w:val="en-GB"/>
              </w:rPr>
            </w:pPr>
            <w:r w:rsidRPr="00143528">
              <w:rPr>
                <w:sz w:val="22"/>
                <w:szCs w:val="22"/>
                <w:lang w:val="en-GB"/>
              </w:rPr>
              <w:t>30,5 (27,4, NE)</w:t>
            </w:r>
          </w:p>
        </w:tc>
        <w:tc>
          <w:tcPr>
            <w:tcW w:w="1032"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22DA62FD" w14:textId="77777777" w:rsidR="00143528" w:rsidRPr="00143528" w:rsidRDefault="00143528" w:rsidP="00123771">
            <w:pPr>
              <w:ind w:left="132"/>
              <w:jc w:val="center"/>
              <w:rPr>
                <w:sz w:val="22"/>
                <w:szCs w:val="22"/>
                <w:lang w:val="en-GB"/>
              </w:rPr>
            </w:pPr>
            <w:r w:rsidRPr="00143528">
              <w:rPr>
                <w:sz w:val="22"/>
                <w:szCs w:val="22"/>
                <w:lang w:val="en-GB"/>
              </w:rPr>
              <w:t>19,3 (16,4, 30,6)</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2F1452BC" w14:textId="77777777" w:rsidR="00143528" w:rsidRPr="00143528" w:rsidRDefault="00143528" w:rsidP="00123771">
            <w:pPr>
              <w:ind w:left="132"/>
              <w:jc w:val="center"/>
              <w:rPr>
                <w:sz w:val="22"/>
                <w:szCs w:val="22"/>
                <w:lang w:val="en-GB"/>
              </w:rPr>
            </w:pPr>
            <w:r w:rsidRPr="00143528">
              <w:rPr>
                <w:sz w:val="22"/>
                <w:szCs w:val="22"/>
                <w:lang w:val="en-GB"/>
              </w:rPr>
              <w:t>35,7 (27,7, 38,9)</w:t>
            </w:r>
          </w:p>
        </w:tc>
        <w:tc>
          <w:tcPr>
            <w:tcW w:w="963"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39B6D36F" w14:textId="77777777" w:rsidR="00143528" w:rsidRPr="00143528" w:rsidRDefault="00143528" w:rsidP="00123771">
            <w:pPr>
              <w:ind w:left="132"/>
              <w:jc w:val="center"/>
              <w:rPr>
                <w:sz w:val="22"/>
                <w:szCs w:val="22"/>
                <w:lang w:val="en-GB"/>
              </w:rPr>
            </w:pPr>
            <w:r w:rsidRPr="00143528">
              <w:rPr>
                <w:sz w:val="22"/>
                <w:szCs w:val="22"/>
                <w:lang w:val="en-GB"/>
              </w:rPr>
              <w:t>19,5 (16,6, 26,6)</w:t>
            </w:r>
          </w:p>
        </w:tc>
      </w:tr>
      <w:tr w:rsidR="00143528" w:rsidRPr="00143528" w14:paraId="58D1D94A" w14:textId="77777777" w:rsidTr="00D33C41">
        <w:trPr>
          <w:trHeight w:val="470"/>
        </w:trPr>
        <w:tc>
          <w:tcPr>
            <w:tcW w:w="1089"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B3F028C" w14:textId="52C044ED" w:rsidR="00143528" w:rsidRPr="00143528" w:rsidRDefault="00143528" w:rsidP="00D33C41">
            <w:pPr>
              <w:ind w:left="132"/>
              <w:rPr>
                <w:sz w:val="22"/>
                <w:szCs w:val="22"/>
              </w:rPr>
            </w:pPr>
            <w:proofErr w:type="spellStart"/>
            <w:r w:rsidRPr="00143528">
              <w:rPr>
                <w:i/>
                <w:iCs/>
                <w:sz w:val="22"/>
                <w:szCs w:val="22"/>
              </w:rPr>
              <w:t>Hazard</w:t>
            </w:r>
            <w:proofErr w:type="spellEnd"/>
            <w:r w:rsidRPr="00143528">
              <w:rPr>
                <w:i/>
                <w:iCs/>
                <w:sz w:val="22"/>
                <w:szCs w:val="22"/>
              </w:rPr>
              <w:t xml:space="preserve"> ratio </w:t>
            </w:r>
            <w:r w:rsidRPr="00143528">
              <w:rPr>
                <w:sz w:val="22"/>
                <w:szCs w:val="22"/>
              </w:rPr>
              <w:t>(95</w:t>
            </w:r>
            <w:r w:rsidR="007A1C7E">
              <w:rPr>
                <w:sz w:val="22"/>
                <w:szCs w:val="22"/>
              </w:rPr>
              <w:t xml:space="preserve"> %</w:t>
            </w:r>
            <w:r w:rsidRPr="00143528">
              <w:rPr>
                <w:sz w:val="22"/>
                <w:szCs w:val="22"/>
              </w:rPr>
              <w:t xml:space="preserve"> CI) og 1-sidet </w:t>
            </w:r>
            <w:proofErr w:type="spellStart"/>
            <w:r w:rsidRPr="00143528">
              <w:rPr>
                <w:sz w:val="22"/>
                <w:szCs w:val="22"/>
              </w:rPr>
              <w:t>p-værdi</w:t>
            </w:r>
            <w:proofErr w:type="spellEnd"/>
          </w:p>
        </w:tc>
        <w:tc>
          <w:tcPr>
            <w:tcW w:w="1990" w:type="pct"/>
            <w:gridSpan w:val="2"/>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B516D36" w14:textId="77777777" w:rsidR="00143528" w:rsidRPr="00143528" w:rsidRDefault="00143528" w:rsidP="00123771">
            <w:pPr>
              <w:ind w:left="132"/>
              <w:jc w:val="center"/>
              <w:rPr>
                <w:sz w:val="22"/>
                <w:szCs w:val="22"/>
                <w:lang w:val="en-GB"/>
              </w:rPr>
            </w:pPr>
            <w:r w:rsidRPr="00143528">
              <w:rPr>
                <w:sz w:val="22"/>
                <w:szCs w:val="22"/>
                <w:lang w:val="en-GB"/>
              </w:rPr>
              <w:t>0,653 (0,505, 0,844), p=0.000532</w:t>
            </w:r>
          </w:p>
        </w:tc>
        <w:tc>
          <w:tcPr>
            <w:tcW w:w="1921" w:type="pct"/>
            <w:gridSpan w:val="2"/>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4DD75482" w14:textId="77777777" w:rsidR="00143528" w:rsidRPr="00143528" w:rsidRDefault="00143528" w:rsidP="00123771">
            <w:pPr>
              <w:ind w:left="132"/>
              <w:jc w:val="center"/>
              <w:rPr>
                <w:sz w:val="22"/>
                <w:szCs w:val="22"/>
                <w:lang w:val="en-GB"/>
              </w:rPr>
            </w:pPr>
            <w:r w:rsidRPr="00143528">
              <w:rPr>
                <w:sz w:val="22"/>
                <w:szCs w:val="22"/>
                <w:lang w:val="en-GB"/>
              </w:rPr>
              <w:t>0,611 (0,485, 0,769), p=0,000012</w:t>
            </w:r>
          </w:p>
        </w:tc>
      </w:tr>
      <w:tr w:rsidR="00143528" w:rsidRPr="00143528" w14:paraId="1BC24B5F" w14:textId="77777777" w:rsidTr="00D33C41">
        <w:trPr>
          <w:trHeight w:val="240"/>
        </w:trPr>
        <w:tc>
          <w:tcPr>
            <w:tcW w:w="1089"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589D277" w14:textId="36ADE10C" w:rsidR="00143528" w:rsidRPr="00143528" w:rsidRDefault="00143528" w:rsidP="00D33C41">
            <w:pPr>
              <w:ind w:left="132"/>
              <w:rPr>
                <w:sz w:val="22"/>
                <w:szCs w:val="22"/>
                <w:lang w:val="en-GB"/>
              </w:rPr>
            </w:pPr>
            <w:r w:rsidRPr="00143528">
              <w:rPr>
                <w:b/>
                <w:sz w:val="22"/>
                <w:szCs w:val="22"/>
                <w:lang w:val="en-GB"/>
              </w:rPr>
              <w:t>OR*</w:t>
            </w:r>
            <w:r w:rsidRPr="00143528">
              <w:rPr>
                <w:sz w:val="22"/>
                <w:szCs w:val="22"/>
                <w:lang w:val="en-GB"/>
              </w:rPr>
              <w:t xml:space="preserve"> (</w:t>
            </w:r>
            <w:r w:rsidR="007A1C7E">
              <w:rPr>
                <w:sz w:val="22"/>
                <w:szCs w:val="22"/>
                <w:lang w:val="en-GB"/>
              </w:rPr>
              <w:t>%</w:t>
            </w:r>
            <w:r w:rsidRPr="00143528">
              <w:rPr>
                <w:sz w:val="22"/>
                <w:szCs w:val="22"/>
                <w:lang w:val="en-GB"/>
              </w:rPr>
              <w:t xml:space="preserve"> (95</w:t>
            </w:r>
            <w:r w:rsidR="007A1C7E">
              <w:rPr>
                <w:sz w:val="22"/>
                <w:szCs w:val="22"/>
                <w:lang w:val="en-GB"/>
              </w:rPr>
              <w:t xml:space="preserve"> %</w:t>
            </w:r>
            <w:r w:rsidRPr="00143528">
              <w:rPr>
                <w:sz w:val="22"/>
                <w:szCs w:val="22"/>
                <w:lang w:val="en-GB"/>
              </w:rPr>
              <w:t xml:space="preserve"> CI))</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135BC5E6" w14:textId="77777777" w:rsidR="00143528" w:rsidRPr="00143528" w:rsidRDefault="00143528" w:rsidP="00123771">
            <w:pPr>
              <w:ind w:left="132"/>
              <w:jc w:val="center"/>
              <w:rPr>
                <w:sz w:val="22"/>
                <w:szCs w:val="22"/>
                <w:lang w:val="en-GB"/>
              </w:rPr>
            </w:pPr>
            <w:r w:rsidRPr="00143528">
              <w:rPr>
                <w:sz w:val="22"/>
                <w:szCs w:val="22"/>
                <w:lang w:val="en-GB"/>
              </w:rPr>
              <w:t>46,4 (41,7, 51,2)</w:t>
            </w:r>
          </w:p>
        </w:tc>
        <w:tc>
          <w:tcPr>
            <w:tcW w:w="1032"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42C3B18A" w14:textId="77777777" w:rsidR="00143528" w:rsidRPr="00143528" w:rsidRDefault="00143528" w:rsidP="00123771">
            <w:pPr>
              <w:ind w:left="132"/>
              <w:jc w:val="center"/>
              <w:rPr>
                <w:sz w:val="22"/>
                <w:szCs w:val="22"/>
                <w:lang w:val="en-GB"/>
              </w:rPr>
            </w:pPr>
            <w:r w:rsidRPr="00143528">
              <w:rPr>
                <w:sz w:val="22"/>
                <w:szCs w:val="22"/>
                <w:lang w:val="en-GB"/>
              </w:rPr>
              <w:t>38,3 (31,9, 45,0)</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687EE2AE" w14:textId="77777777" w:rsidR="00143528" w:rsidRPr="00143528" w:rsidRDefault="00143528" w:rsidP="00123771">
            <w:pPr>
              <w:ind w:left="132"/>
              <w:jc w:val="center"/>
              <w:rPr>
                <w:sz w:val="22"/>
                <w:szCs w:val="22"/>
                <w:lang w:val="en-GB"/>
              </w:rPr>
            </w:pPr>
            <w:r w:rsidRPr="00143528">
              <w:rPr>
                <w:sz w:val="22"/>
                <w:szCs w:val="22"/>
                <w:lang w:val="en-GB"/>
              </w:rPr>
              <w:t>47,5 (42,8, 52,3)</w:t>
            </w:r>
          </w:p>
        </w:tc>
        <w:tc>
          <w:tcPr>
            <w:tcW w:w="963"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66CB2E76" w14:textId="77777777" w:rsidR="00143528" w:rsidRPr="00143528" w:rsidRDefault="00143528" w:rsidP="00123771">
            <w:pPr>
              <w:ind w:left="132"/>
              <w:jc w:val="center"/>
              <w:rPr>
                <w:sz w:val="22"/>
                <w:szCs w:val="22"/>
                <w:lang w:val="en-GB"/>
              </w:rPr>
            </w:pPr>
            <w:r w:rsidRPr="00143528">
              <w:rPr>
                <w:sz w:val="22"/>
                <w:szCs w:val="22"/>
                <w:lang w:val="en-GB"/>
              </w:rPr>
              <w:t>38,7(32,3, 45,5)</w:t>
            </w:r>
          </w:p>
        </w:tc>
      </w:tr>
      <w:tr w:rsidR="00143528" w:rsidRPr="00143528" w14:paraId="457A1219" w14:textId="77777777" w:rsidTr="00D33C41">
        <w:trPr>
          <w:trHeight w:val="468"/>
        </w:trPr>
        <w:tc>
          <w:tcPr>
            <w:tcW w:w="1089"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7D24193" w14:textId="479F690B" w:rsidR="00143528" w:rsidRPr="00143528" w:rsidRDefault="00143528" w:rsidP="00D33C41">
            <w:pPr>
              <w:ind w:left="132"/>
              <w:rPr>
                <w:sz w:val="22"/>
                <w:szCs w:val="22"/>
                <w:lang w:val="en-GB"/>
              </w:rPr>
            </w:pPr>
            <w:r w:rsidRPr="00143528">
              <w:rPr>
                <w:b/>
                <w:sz w:val="22"/>
                <w:szCs w:val="22"/>
                <w:lang w:val="en-GB"/>
              </w:rPr>
              <w:t xml:space="preserve">OR* </w:t>
            </w:r>
            <w:proofErr w:type="spellStart"/>
            <w:r w:rsidRPr="00143528">
              <w:rPr>
                <w:b/>
                <w:sz w:val="22"/>
                <w:szCs w:val="22"/>
                <w:lang w:val="en-GB"/>
              </w:rPr>
              <w:t>målbar</w:t>
            </w:r>
            <w:proofErr w:type="spellEnd"/>
            <w:r w:rsidRPr="00143528">
              <w:rPr>
                <w:b/>
                <w:sz w:val="22"/>
                <w:szCs w:val="22"/>
                <w:lang w:val="en-GB"/>
              </w:rPr>
              <w:t xml:space="preserve"> </w:t>
            </w:r>
            <w:proofErr w:type="spellStart"/>
            <w:r w:rsidRPr="00143528">
              <w:rPr>
                <w:b/>
                <w:sz w:val="22"/>
                <w:szCs w:val="22"/>
                <w:lang w:val="en-GB"/>
              </w:rPr>
              <w:t>sygdom</w:t>
            </w:r>
            <w:proofErr w:type="spellEnd"/>
            <w:r w:rsidRPr="00143528">
              <w:rPr>
                <w:b/>
                <w:sz w:val="22"/>
                <w:szCs w:val="22"/>
                <w:lang w:val="en-GB"/>
              </w:rPr>
              <w:t xml:space="preserve"> (</w:t>
            </w:r>
            <w:r w:rsidR="007A1C7E">
              <w:rPr>
                <w:sz w:val="22"/>
                <w:szCs w:val="22"/>
                <w:lang w:val="en-GB"/>
              </w:rPr>
              <w:t>%</w:t>
            </w:r>
            <w:r w:rsidRPr="00143528">
              <w:rPr>
                <w:sz w:val="22"/>
                <w:szCs w:val="22"/>
                <w:lang w:val="en-GB"/>
              </w:rPr>
              <w:t xml:space="preserve"> (95</w:t>
            </w:r>
            <w:r w:rsidR="007A1C7E">
              <w:rPr>
                <w:sz w:val="22"/>
                <w:szCs w:val="22"/>
                <w:lang w:val="en-GB"/>
              </w:rPr>
              <w:t xml:space="preserve"> %</w:t>
            </w:r>
            <w:r w:rsidRPr="00143528">
              <w:rPr>
                <w:sz w:val="22"/>
                <w:szCs w:val="22"/>
                <w:lang w:val="en-GB"/>
              </w:rPr>
              <w:t xml:space="preserve"> CI))</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282A5183" w14:textId="77777777" w:rsidR="00143528" w:rsidRPr="00143528" w:rsidRDefault="00143528" w:rsidP="00123771">
            <w:pPr>
              <w:ind w:left="132"/>
              <w:jc w:val="center"/>
              <w:rPr>
                <w:sz w:val="22"/>
                <w:szCs w:val="22"/>
                <w:lang w:val="en-GB"/>
              </w:rPr>
            </w:pPr>
            <w:r w:rsidRPr="00143528">
              <w:rPr>
                <w:sz w:val="22"/>
                <w:szCs w:val="22"/>
                <w:lang w:val="en-GB"/>
              </w:rPr>
              <w:t>60,7 (55,2, 65,9)</w:t>
            </w:r>
          </w:p>
        </w:tc>
        <w:tc>
          <w:tcPr>
            <w:tcW w:w="1032"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7A85CF66" w14:textId="77777777" w:rsidR="00143528" w:rsidRPr="00143528" w:rsidRDefault="00143528" w:rsidP="00123771">
            <w:pPr>
              <w:ind w:left="132"/>
              <w:jc w:val="center"/>
              <w:rPr>
                <w:sz w:val="22"/>
                <w:szCs w:val="22"/>
                <w:lang w:val="en-GB"/>
              </w:rPr>
            </w:pPr>
            <w:r w:rsidRPr="00143528">
              <w:rPr>
                <w:sz w:val="22"/>
                <w:szCs w:val="22"/>
                <w:lang w:val="en-GB"/>
              </w:rPr>
              <w:t>49,1 (41,4, 56,9)</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7A7280D3" w14:textId="77777777" w:rsidR="00143528" w:rsidRPr="00143528" w:rsidRDefault="00143528" w:rsidP="00123771">
            <w:pPr>
              <w:ind w:left="132"/>
              <w:jc w:val="center"/>
              <w:rPr>
                <w:sz w:val="22"/>
                <w:szCs w:val="22"/>
                <w:lang w:val="en-GB"/>
              </w:rPr>
            </w:pPr>
            <w:r w:rsidRPr="00143528">
              <w:rPr>
                <w:sz w:val="22"/>
                <w:szCs w:val="22"/>
                <w:lang w:val="en-GB"/>
              </w:rPr>
              <w:t>62,4 (57,0, 67,6)</w:t>
            </w:r>
          </w:p>
        </w:tc>
        <w:tc>
          <w:tcPr>
            <w:tcW w:w="963"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15C519C3" w14:textId="77777777" w:rsidR="00143528" w:rsidRPr="00143528" w:rsidRDefault="00143528" w:rsidP="00123771">
            <w:pPr>
              <w:ind w:left="132"/>
              <w:jc w:val="center"/>
              <w:rPr>
                <w:sz w:val="22"/>
                <w:szCs w:val="22"/>
                <w:lang w:val="en-GB"/>
              </w:rPr>
            </w:pPr>
            <w:r w:rsidRPr="00143528">
              <w:rPr>
                <w:sz w:val="22"/>
                <w:szCs w:val="22"/>
                <w:lang w:val="en-GB"/>
              </w:rPr>
              <w:t>49,7 (42,0, 57,4)</w:t>
            </w:r>
          </w:p>
        </w:tc>
      </w:tr>
      <w:tr w:rsidR="00143528" w:rsidRPr="00143528" w14:paraId="06586BF6" w14:textId="77777777" w:rsidTr="00D33C41">
        <w:trPr>
          <w:trHeight w:val="240"/>
        </w:trPr>
        <w:tc>
          <w:tcPr>
            <w:tcW w:w="1089"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77153520" w14:textId="498DA31D" w:rsidR="00143528" w:rsidRPr="00143528" w:rsidRDefault="00143528" w:rsidP="00D33C41">
            <w:pPr>
              <w:ind w:left="132"/>
              <w:rPr>
                <w:sz w:val="22"/>
                <w:szCs w:val="22"/>
                <w:lang w:val="en-GB"/>
              </w:rPr>
            </w:pPr>
            <w:r w:rsidRPr="00143528">
              <w:rPr>
                <w:b/>
                <w:sz w:val="22"/>
                <w:szCs w:val="22"/>
                <w:lang w:val="en-GB"/>
              </w:rPr>
              <w:t>CBR* (</w:t>
            </w:r>
            <w:r w:rsidR="007A1C7E">
              <w:rPr>
                <w:sz w:val="22"/>
                <w:szCs w:val="22"/>
                <w:lang w:val="en-GB"/>
              </w:rPr>
              <w:t>%</w:t>
            </w:r>
            <w:r w:rsidRPr="00143528">
              <w:rPr>
                <w:sz w:val="22"/>
                <w:szCs w:val="22"/>
                <w:lang w:val="en-GB"/>
              </w:rPr>
              <w:t xml:space="preserve"> (95</w:t>
            </w:r>
            <w:r w:rsidR="007A1C7E">
              <w:rPr>
                <w:sz w:val="22"/>
                <w:szCs w:val="22"/>
                <w:lang w:val="en-GB"/>
              </w:rPr>
              <w:t xml:space="preserve"> %</w:t>
            </w:r>
            <w:r w:rsidRPr="00143528">
              <w:rPr>
                <w:sz w:val="22"/>
                <w:szCs w:val="22"/>
                <w:lang w:val="en-GB"/>
              </w:rPr>
              <w:t xml:space="preserve"> CI))</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3A409FC" w14:textId="77777777" w:rsidR="00143528" w:rsidRPr="00143528" w:rsidRDefault="00143528" w:rsidP="00123771">
            <w:pPr>
              <w:ind w:left="132"/>
              <w:jc w:val="center"/>
              <w:rPr>
                <w:sz w:val="22"/>
                <w:szCs w:val="22"/>
                <w:lang w:val="en-GB"/>
              </w:rPr>
            </w:pPr>
            <w:r w:rsidRPr="00143528">
              <w:rPr>
                <w:sz w:val="22"/>
                <w:szCs w:val="22"/>
                <w:lang w:val="en-GB"/>
              </w:rPr>
              <w:t>85,8 (82,2, 88,9)</w:t>
            </w:r>
          </w:p>
        </w:tc>
        <w:tc>
          <w:tcPr>
            <w:tcW w:w="1032"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471FB7AD" w14:textId="77777777" w:rsidR="00143528" w:rsidRPr="00143528" w:rsidRDefault="00143528" w:rsidP="00123771">
            <w:pPr>
              <w:ind w:left="132"/>
              <w:jc w:val="center"/>
              <w:rPr>
                <w:sz w:val="22"/>
                <w:szCs w:val="22"/>
                <w:lang w:val="en-GB"/>
              </w:rPr>
            </w:pPr>
            <w:r w:rsidRPr="00143528">
              <w:rPr>
                <w:sz w:val="22"/>
                <w:szCs w:val="22"/>
                <w:lang w:val="en-GB"/>
              </w:rPr>
              <w:t>71,2 (64,7, 77,0)</w:t>
            </w:r>
          </w:p>
        </w:tc>
        <w:tc>
          <w:tcPr>
            <w:tcW w:w="958"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26D64B5B" w14:textId="77777777" w:rsidR="00143528" w:rsidRPr="00143528" w:rsidRDefault="00143528" w:rsidP="00123771">
            <w:pPr>
              <w:ind w:left="132"/>
              <w:jc w:val="center"/>
              <w:rPr>
                <w:sz w:val="22"/>
                <w:szCs w:val="22"/>
                <w:lang w:val="en-GB"/>
              </w:rPr>
            </w:pPr>
            <w:r w:rsidRPr="00143528">
              <w:rPr>
                <w:sz w:val="22"/>
                <w:szCs w:val="22"/>
                <w:lang w:val="en-GB"/>
              </w:rPr>
              <w:t>85,6 (82,0, 88,7)</w:t>
            </w:r>
          </w:p>
        </w:tc>
        <w:tc>
          <w:tcPr>
            <w:tcW w:w="963" w:type="pct"/>
            <w:tcBorders>
              <w:top w:val="single" w:sz="4" w:space="0" w:color="000000"/>
              <w:left w:val="single" w:sz="4" w:space="0" w:color="000000"/>
              <w:bottom w:val="single" w:sz="4" w:space="0" w:color="000000"/>
              <w:right w:val="single" w:sz="4" w:space="0" w:color="000000"/>
            </w:tcBorders>
            <w:tcMar>
              <w:top w:w="54" w:type="dxa"/>
              <w:left w:w="115" w:type="dxa"/>
              <w:bottom w:w="0" w:type="dxa"/>
              <w:right w:w="113" w:type="dxa"/>
            </w:tcMar>
            <w:hideMark/>
          </w:tcPr>
          <w:p w14:paraId="06159DEE" w14:textId="77777777" w:rsidR="00143528" w:rsidRPr="00143528" w:rsidRDefault="00143528" w:rsidP="00123771">
            <w:pPr>
              <w:ind w:left="132"/>
              <w:jc w:val="center"/>
              <w:rPr>
                <w:sz w:val="22"/>
                <w:szCs w:val="22"/>
                <w:lang w:val="en-GB"/>
              </w:rPr>
            </w:pPr>
            <w:r w:rsidRPr="00143528">
              <w:rPr>
                <w:sz w:val="22"/>
                <w:szCs w:val="22"/>
                <w:lang w:val="en-GB"/>
              </w:rPr>
              <w:t>71,2 (64,7, 77,0)</w:t>
            </w:r>
          </w:p>
        </w:tc>
      </w:tr>
    </w:tbl>
    <w:p w14:paraId="09326E33" w14:textId="77777777" w:rsidR="00143528" w:rsidRPr="00143528" w:rsidRDefault="00143528" w:rsidP="00D33C41">
      <w:pPr>
        <w:rPr>
          <w:bCs/>
          <w:sz w:val="20"/>
        </w:rPr>
      </w:pPr>
      <w:r w:rsidRPr="00143528">
        <w:rPr>
          <w:bCs/>
          <w:sz w:val="20"/>
        </w:rPr>
        <w:t xml:space="preserve">N=antal patienter; CI=konfidensinterval; NE=ikke </w:t>
      </w:r>
      <w:proofErr w:type="spellStart"/>
      <w:r w:rsidRPr="00143528">
        <w:rPr>
          <w:bCs/>
          <w:sz w:val="20"/>
        </w:rPr>
        <w:t>estimerbart</w:t>
      </w:r>
      <w:proofErr w:type="spellEnd"/>
      <w:r w:rsidRPr="00143528">
        <w:rPr>
          <w:bCs/>
          <w:sz w:val="20"/>
        </w:rPr>
        <w:t>; OR=objektiv respons; CBR=positiv klinisk respons (</w:t>
      </w:r>
      <w:proofErr w:type="spellStart"/>
      <w:r w:rsidRPr="00143528">
        <w:rPr>
          <w:bCs/>
          <w:i/>
          <w:iCs/>
          <w:sz w:val="20"/>
        </w:rPr>
        <w:t>clinical</w:t>
      </w:r>
      <w:proofErr w:type="spellEnd"/>
      <w:r w:rsidRPr="00143528">
        <w:rPr>
          <w:bCs/>
          <w:i/>
          <w:iCs/>
          <w:sz w:val="20"/>
        </w:rPr>
        <w:t xml:space="preserve"> benefit response</w:t>
      </w:r>
      <w:r w:rsidRPr="00143528">
        <w:rPr>
          <w:bCs/>
          <w:sz w:val="20"/>
        </w:rPr>
        <w:t>); PFS=progressionsfri overlevelse.</w:t>
      </w:r>
    </w:p>
    <w:p w14:paraId="6EBA45FC" w14:textId="77777777" w:rsidR="00143528" w:rsidRPr="00143528" w:rsidRDefault="00143528" w:rsidP="00D33C41">
      <w:pPr>
        <w:rPr>
          <w:bCs/>
          <w:sz w:val="20"/>
        </w:rPr>
      </w:pPr>
      <w:r w:rsidRPr="00143528">
        <w:rPr>
          <w:bCs/>
          <w:sz w:val="20"/>
        </w:rPr>
        <w:t>* Sekundære endepunktsresultater er baseret på bekræftet og ubekræftet respons iht. RECIST 1.1.</w:t>
      </w:r>
    </w:p>
    <w:p w14:paraId="7B1BBBDF" w14:textId="77777777" w:rsidR="00143528" w:rsidRPr="00143528" w:rsidRDefault="00143528" w:rsidP="00D33C41">
      <w:pPr>
        <w:ind w:left="851"/>
        <w:rPr>
          <w:bCs/>
          <w:sz w:val="24"/>
          <w:szCs w:val="24"/>
        </w:rPr>
      </w:pPr>
    </w:p>
    <w:p w14:paraId="7203466E" w14:textId="77777777" w:rsidR="00143528" w:rsidRPr="00143528" w:rsidRDefault="00143528" w:rsidP="00D33C41">
      <w:pPr>
        <w:ind w:left="851"/>
        <w:rPr>
          <w:bCs/>
          <w:sz w:val="24"/>
          <w:szCs w:val="24"/>
        </w:rPr>
      </w:pPr>
      <w:r w:rsidRPr="00143528">
        <w:rPr>
          <w:bCs/>
          <w:sz w:val="24"/>
          <w:szCs w:val="24"/>
        </w:rPr>
        <w:t>Kaplan-Meier-kurverne over PFS baseret på 31. maj 2017 som skæringsdato er vist i figur 1 herunder.</w:t>
      </w:r>
    </w:p>
    <w:p w14:paraId="02B1E3E0" w14:textId="77777777" w:rsidR="00143528" w:rsidRPr="00143528" w:rsidRDefault="00143528" w:rsidP="00D33C41">
      <w:pPr>
        <w:ind w:left="851"/>
        <w:rPr>
          <w:bCs/>
          <w:sz w:val="24"/>
          <w:szCs w:val="24"/>
        </w:rPr>
      </w:pPr>
    </w:p>
    <w:p w14:paraId="7D7FA9DD" w14:textId="34631072" w:rsidR="00143528" w:rsidRPr="00143528" w:rsidRDefault="00143528" w:rsidP="00143528">
      <w:pPr>
        <w:tabs>
          <w:tab w:val="left" w:pos="851"/>
        </w:tabs>
        <w:ind w:left="851"/>
        <w:rPr>
          <w:bCs/>
          <w:sz w:val="24"/>
          <w:szCs w:val="24"/>
        </w:rPr>
      </w:pPr>
      <w:r w:rsidRPr="00D33C41">
        <w:rPr>
          <w:noProof/>
          <w:sz w:val="24"/>
          <w:szCs w:val="24"/>
        </w:rPr>
        <w:drawing>
          <wp:inline distT="0" distB="0" distL="0" distR="0" wp14:anchorId="769656ED" wp14:editId="6BB25B3C">
            <wp:extent cx="5760720" cy="3954780"/>
            <wp:effectExtent l="0" t="0" r="0" b="7620"/>
            <wp:docPr id="1972122812" name="Billede 8" descr="En bild som visar text, diagram, linje,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n bild som visar text, diagram, linje, Teckensnitt&#10;&#10;AI-genererat innehåll kan vara felaktig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54780"/>
                    </a:xfrm>
                    <a:prstGeom prst="rect">
                      <a:avLst/>
                    </a:prstGeom>
                    <a:noFill/>
                    <a:ln>
                      <a:noFill/>
                    </a:ln>
                  </pic:spPr>
                </pic:pic>
              </a:graphicData>
            </a:graphic>
          </wp:inline>
        </w:drawing>
      </w:r>
    </w:p>
    <w:p w14:paraId="25A48AE9" w14:textId="77777777" w:rsidR="00143528" w:rsidRPr="00143528" w:rsidRDefault="00143528" w:rsidP="00143528">
      <w:pPr>
        <w:tabs>
          <w:tab w:val="left" w:pos="851"/>
        </w:tabs>
        <w:ind w:left="851"/>
        <w:rPr>
          <w:bCs/>
          <w:sz w:val="24"/>
          <w:szCs w:val="24"/>
        </w:rPr>
      </w:pPr>
    </w:p>
    <w:p w14:paraId="3471CE5C" w14:textId="77777777" w:rsidR="00143528" w:rsidRPr="00143528" w:rsidRDefault="00143528" w:rsidP="00D33C41">
      <w:pPr>
        <w:ind w:left="851"/>
        <w:rPr>
          <w:bCs/>
          <w:sz w:val="24"/>
          <w:szCs w:val="24"/>
        </w:rPr>
      </w:pPr>
      <w:r w:rsidRPr="00143528">
        <w:rPr>
          <w:bCs/>
          <w:sz w:val="24"/>
          <w:szCs w:val="24"/>
        </w:rPr>
        <w:t xml:space="preserve">Der blev udført en række præspecificerede PFS-analyser i undergrupper baseret på prognostiske faktorer og </w:t>
      </w:r>
      <w:r w:rsidRPr="00143528">
        <w:rPr>
          <w:bCs/>
          <w:i/>
          <w:iCs/>
          <w:sz w:val="24"/>
          <w:szCs w:val="24"/>
        </w:rPr>
        <w:t>baseline</w:t>
      </w:r>
      <w:r w:rsidRPr="00143528">
        <w:rPr>
          <w:bCs/>
          <w:sz w:val="24"/>
          <w:szCs w:val="24"/>
        </w:rPr>
        <w:t xml:space="preserve">-egenskaber for at undersøge den interne overensstemmelse af behandlingseffekten. Der blev observeret en reduktion i risikoen for sygdomsprogression eller død til fordel for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letrozol</w:t>
      </w:r>
      <w:proofErr w:type="spellEnd"/>
      <w:r w:rsidRPr="00143528">
        <w:rPr>
          <w:bCs/>
          <w:sz w:val="24"/>
          <w:szCs w:val="24"/>
        </w:rPr>
        <w:t xml:space="preserve">-armen i alle patientundergrupper, defineret iht. stratifikationsfaktorer og </w:t>
      </w:r>
      <w:r w:rsidRPr="00143528">
        <w:rPr>
          <w:bCs/>
          <w:i/>
          <w:iCs/>
          <w:sz w:val="24"/>
          <w:szCs w:val="24"/>
        </w:rPr>
        <w:t>baseline</w:t>
      </w:r>
      <w:r w:rsidRPr="00143528">
        <w:rPr>
          <w:bCs/>
          <w:sz w:val="24"/>
          <w:szCs w:val="24"/>
        </w:rPr>
        <w:t>-karakteristika i den primære og i den opdaterede analyse.</w:t>
      </w:r>
    </w:p>
    <w:p w14:paraId="0D065E5D" w14:textId="77777777" w:rsidR="00143528" w:rsidRPr="00143528" w:rsidRDefault="00143528" w:rsidP="00D33C41">
      <w:pPr>
        <w:ind w:left="851"/>
        <w:rPr>
          <w:bCs/>
          <w:sz w:val="24"/>
          <w:szCs w:val="24"/>
        </w:rPr>
      </w:pPr>
    </w:p>
    <w:p w14:paraId="485EDF71" w14:textId="18F2FA95" w:rsidR="00143528" w:rsidRPr="00143528" w:rsidRDefault="00143528" w:rsidP="00D33C41">
      <w:pPr>
        <w:ind w:left="851"/>
        <w:rPr>
          <w:bCs/>
          <w:sz w:val="24"/>
          <w:szCs w:val="24"/>
        </w:rPr>
      </w:pPr>
      <w:r w:rsidRPr="00143528">
        <w:rPr>
          <w:bCs/>
          <w:sz w:val="24"/>
          <w:szCs w:val="24"/>
        </w:rPr>
        <w:t xml:space="preserve">Ved skæringsdatoen for data 31. maj 2017 sås reduktion i risiko i følgende undergrupper fortsat: (1) patienter med enten </w:t>
      </w:r>
      <w:proofErr w:type="spellStart"/>
      <w:r w:rsidRPr="00143528">
        <w:rPr>
          <w:bCs/>
          <w:sz w:val="24"/>
          <w:szCs w:val="24"/>
        </w:rPr>
        <w:t>viscerale</w:t>
      </w:r>
      <w:proofErr w:type="spellEnd"/>
      <w:r w:rsidRPr="00143528">
        <w:rPr>
          <w:bCs/>
          <w:sz w:val="24"/>
          <w:szCs w:val="24"/>
        </w:rPr>
        <w:t xml:space="preserve"> metastaser (HR 0,62 [95</w:t>
      </w:r>
      <w:r w:rsidR="007A1C7E">
        <w:rPr>
          <w:bCs/>
          <w:sz w:val="24"/>
          <w:szCs w:val="24"/>
        </w:rPr>
        <w:t xml:space="preserve"> %</w:t>
      </w:r>
      <w:r w:rsidRPr="00143528">
        <w:rPr>
          <w:bCs/>
          <w:sz w:val="24"/>
          <w:szCs w:val="24"/>
        </w:rPr>
        <w:t xml:space="preserve"> CI: 0,47; 0,81], median progressionsfri overlevelse [</w:t>
      </w:r>
      <w:proofErr w:type="spellStart"/>
      <w:r w:rsidRPr="00143528">
        <w:rPr>
          <w:bCs/>
          <w:sz w:val="24"/>
          <w:szCs w:val="24"/>
        </w:rPr>
        <w:t>mPFS</w:t>
      </w:r>
      <w:proofErr w:type="spellEnd"/>
      <w:r w:rsidRPr="00143528">
        <w:rPr>
          <w:bCs/>
          <w:sz w:val="24"/>
          <w:szCs w:val="24"/>
        </w:rPr>
        <w:t xml:space="preserve">] 19,3 måneder </w:t>
      </w:r>
      <w:r w:rsidRPr="00143528">
        <w:rPr>
          <w:bCs/>
          <w:i/>
          <w:iCs/>
          <w:sz w:val="24"/>
          <w:szCs w:val="24"/>
        </w:rPr>
        <w:t xml:space="preserve">versus </w:t>
      </w:r>
      <w:r w:rsidRPr="00143528">
        <w:rPr>
          <w:bCs/>
          <w:sz w:val="24"/>
          <w:szCs w:val="24"/>
        </w:rPr>
        <w:t xml:space="preserve">12,3 måneder) eller uden </w:t>
      </w:r>
      <w:proofErr w:type="spellStart"/>
      <w:r w:rsidRPr="00143528">
        <w:rPr>
          <w:bCs/>
          <w:sz w:val="24"/>
          <w:szCs w:val="24"/>
        </w:rPr>
        <w:t>viscerale</w:t>
      </w:r>
      <w:proofErr w:type="spellEnd"/>
      <w:r w:rsidRPr="00143528">
        <w:rPr>
          <w:bCs/>
          <w:sz w:val="24"/>
          <w:szCs w:val="24"/>
        </w:rPr>
        <w:t xml:space="preserve"> metastaser (HR 0,50 [95</w:t>
      </w:r>
      <w:r w:rsidR="007A1C7E">
        <w:rPr>
          <w:bCs/>
          <w:sz w:val="24"/>
          <w:szCs w:val="24"/>
        </w:rPr>
        <w:t xml:space="preserve"> %</w:t>
      </w:r>
      <w:r w:rsidRPr="00143528">
        <w:rPr>
          <w:bCs/>
          <w:sz w:val="24"/>
          <w:szCs w:val="24"/>
        </w:rPr>
        <w:t xml:space="preserve"> CI: 0,37; 0,67], </w:t>
      </w:r>
      <w:proofErr w:type="spellStart"/>
      <w:r w:rsidRPr="00143528">
        <w:rPr>
          <w:bCs/>
          <w:sz w:val="24"/>
          <w:szCs w:val="24"/>
        </w:rPr>
        <w:t>mPFS</w:t>
      </w:r>
      <w:proofErr w:type="spellEnd"/>
      <w:r w:rsidRPr="00143528">
        <w:rPr>
          <w:bCs/>
          <w:sz w:val="24"/>
          <w:szCs w:val="24"/>
        </w:rPr>
        <w:t xml:space="preserve"> 35,9 måneder </w:t>
      </w:r>
      <w:r w:rsidRPr="00143528">
        <w:rPr>
          <w:bCs/>
          <w:i/>
          <w:iCs/>
          <w:sz w:val="24"/>
          <w:szCs w:val="24"/>
        </w:rPr>
        <w:t xml:space="preserve">versus </w:t>
      </w:r>
      <w:r w:rsidRPr="00143528">
        <w:rPr>
          <w:bCs/>
          <w:sz w:val="24"/>
          <w:szCs w:val="24"/>
        </w:rPr>
        <w:t>17,0 måneder) og (2) patienter med enten kun knoglesygdom (HR 0,41 [95</w:t>
      </w:r>
      <w:r w:rsidR="007A1C7E">
        <w:rPr>
          <w:bCs/>
          <w:sz w:val="24"/>
          <w:szCs w:val="24"/>
        </w:rPr>
        <w:t xml:space="preserve"> %</w:t>
      </w:r>
      <w:r w:rsidRPr="00143528">
        <w:rPr>
          <w:bCs/>
          <w:sz w:val="24"/>
          <w:szCs w:val="24"/>
        </w:rPr>
        <w:t xml:space="preserve"> CI: 0,26; 0,63], </w:t>
      </w:r>
      <w:proofErr w:type="spellStart"/>
      <w:r w:rsidRPr="00143528">
        <w:rPr>
          <w:bCs/>
          <w:sz w:val="24"/>
          <w:szCs w:val="24"/>
        </w:rPr>
        <w:t>mPFS</w:t>
      </w:r>
      <w:proofErr w:type="spellEnd"/>
      <w:r w:rsidRPr="00143528">
        <w:rPr>
          <w:bCs/>
          <w:sz w:val="24"/>
          <w:szCs w:val="24"/>
        </w:rPr>
        <w:t xml:space="preserve"> 36,2 måneder </w:t>
      </w:r>
      <w:r w:rsidRPr="00143528">
        <w:rPr>
          <w:bCs/>
          <w:i/>
          <w:iCs/>
          <w:sz w:val="24"/>
          <w:szCs w:val="24"/>
        </w:rPr>
        <w:t xml:space="preserve">versus </w:t>
      </w:r>
      <w:r w:rsidRPr="00143528">
        <w:rPr>
          <w:bCs/>
          <w:sz w:val="24"/>
          <w:szCs w:val="24"/>
        </w:rPr>
        <w:t>11,2 måneder) eller uden kun-knoglesygdom (HR 0,62 [95</w:t>
      </w:r>
      <w:r w:rsidR="007A1C7E">
        <w:rPr>
          <w:bCs/>
          <w:sz w:val="24"/>
          <w:szCs w:val="24"/>
        </w:rPr>
        <w:t xml:space="preserve"> %</w:t>
      </w:r>
      <w:r w:rsidRPr="00143528">
        <w:rPr>
          <w:bCs/>
          <w:sz w:val="24"/>
          <w:szCs w:val="24"/>
        </w:rPr>
        <w:t xml:space="preserve"> CI: 0,50; 0,78], </w:t>
      </w:r>
      <w:proofErr w:type="spellStart"/>
      <w:r w:rsidRPr="00143528">
        <w:rPr>
          <w:bCs/>
          <w:sz w:val="24"/>
          <w:szCs w:val="24"/>
        </w:rPr>
        <w:t>mPFS</w:t>
      </w:r>
      <w:proofErr w:type="spellEnd"/>
      <w:r w:rsidRPr="00143528">
        <w:rPr>
          <w:bCs/>
          <w:sz w:val="24"/>
          <w:szCs w:val="24"/>
        </w:rPr>
        <w:t xml:space="preserve"> 24,2 måneder </w:t>
      </w:r>
      <w:r w:rsidRPr="00143528">
        <w:rPr>
          <w:bCs/>
          <w:i/>
          <w:iCs/>
          <w:sz w:val="24"/>
          <w:szCs w:val="24"/>
        </w:rPr>
        <w:t xml:space="preserve">versus </w:t>
      </w:r>
      <w:r w:rsidRPr="00143528">
        <w:rPr>
          <w:bCs/>
          <w:sz w:val="24"/>
          <w:szCs w:val="24"/>
        </w:rPr>
        <w:t xml:space="preserve">14,5 måneder). Der blev også observeret en reduktion i risiko for sygdomsprogression eller død i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letrozolarmen</w:t>
      </w:r>
      <w:proofErr w:type="spellEnd"/>
      <w:r w:rsidRPr="00143528">
        <w:rPr>
          <w:bCs/>
          <w:sz w:val="24"/>
          <w:szCs w:val="24"/>
        </w:rPr>
        <w:t xml:space="preserve"> hos 512 patienter med tumor testet positiv for Rb-</w:t>
      </w:r>
      <w:proofErr w:type="spellStart"/>
      <w:r w:rsidRPr="00143528">
        <w:rPr>
          <w:bCs/>
          <w:sz w:val="24"/>
          <w:szCs w:val="24"/>
        </w:rPr>
        <w:t>proteinekspression</w:t>
      </w:r>
      <w:proofErr w:type="spellEnd"/>
      <w:r w:rsidRPr="00143528">
        <w:rPr>
          <w:bCs/>
          <w:sz w:val="24"/>
          <w:szCs w:val="24"/>
        </w:rPr>
        <w:t xml:space="preserve"> ved </w:t>
      </w:r>
      <w:proofErr w:type="spellStart"/>
      <w:r w:rsidRPr="00143528">
        <w:rPr>
          <w:bCs/>
          <w:sz w:val="24"/>
          <w:szCs w:val="24"/>
        </w:rPr>
        <w:t>immunhistokemi</w:t>
      </w:r>
      <w:proofErr w:type="spellEnd"/>
      <w:r w:rsidRPr="00143528">
        <w:rPr>
          <w:bCs/>
          <w:sz w:val="24"/>
          <w:szCs w:val="24"/>
        </w:rPr>
        <w:t xml:space="preserve"> (IHC) (HR 0,543 [95</w:t>
      </w:r>
      <w:r w:rsidR="007A1C7E">
        <w:rPr>
          <w:bCs/>
          <w:sz w:val="24"/>
          <w:szCs w:val="24"/>
        </w:rPr>
        <w:t xml:space="preserve"> %</w:t>
      </w:r>
      <w:r w:rsidRPr="00143528">
        <w:rPr>
          <w:bCs/>
          <w:sz w:val="24"/>
          <w:szCs w:val="24"/>
        </w:rPr>
        <w:t xml:space="preserve"> CI: 0,433; 0,681], </w:t>
      </w:r>
      <w:proofErr w:type="spellStart"/>
      <w:r w:rsidRPr="00143528">
        <w:rPr>
          <w:bCs/>
          <w:sz w:val="24"/>
          <w:szCs w:val="24"/>
        </w:rPr>
        <w:t>mPFS</w:t>
      </w:r>
      <w:proofErr w:type="spellEnd"/>
      <w:r w:rsidRPr="00143528">
        <w:rPr>
          <w:bCs/>
          <w:sz w:val="24"/>
          <w:szCs w:val="24"/>
        </w:rPr>
        <w:t xml:space="preserve"> 27,4 måneder </w:t>
      </w:r>
      <w:r w:rsidRPr="00143528">
        <w:rPr>
          <w:bCs/>
          <w:i/>
          <w:iCs/>
          <w:sz w:val="24"/>
          <w:szCs w:val="24"/>
        </w:rPr>
        <w:t xml:space="preserve">versus </w:t>
      </w:r>
      <w:r w:rsidRPr="00143528">
        <w:rPr>
          <w:bCs/>
          <w:sz w:val="24"/>
          <w:szCs w:val="24"/>
        </w:rPr>
        <w:t>13,7 måneder). Hos de 51 IHC Rb-ekspression negative patienter, var forskellen mellem behandlingsarmene ikke statistisk signifikant (HR 0.868 [95</w:t>
      </w:r>
      <w:r w:rsidR="007A1C7E">
        <w:rPr>
          <w:bCs/>
          <w:sz w:val="24"/>
          <w:szCs w:val="24"/>
        </w:rPr>
        <w:t xml:space="preserve"> %</w:t>
      </w:r>
      <w:r w:rsidRPr="00143528">
        <w:rPr>
          <w:bCs/>
          <w:sz w:val="24"/>
          <w:szCs w:val="24"/>
        </w:rPr>
        <w:t xml:space="preserve"> CI: 0.424; 1.777], </w:t>
      </w:r>
      <w:proofErr w:type="spellStart"/>
      <w:r w:rsidRPr="00143528">
        <w:rPr>
          <w:bCs/>
          <w:sz w:val="24"/>
          <w:szCs w:val="24"/>
        </w:rPr>
        <w:t>mPFS</w:t>
      </w:r>
      <w:proofErr w:type="spellEnd"/>
      <w:r w:rsidRPr="00143528">
        <w:rPr>
          <w:bCs/>
          <w:sz w:val="24"/>
          <w:szCs w:val="24"/>
        </w:rPr>
        <w:t xml:space="preserve"> 23.2 </w:t>
      </w:r>
      <w:r w:rsidRPr="00143528">
        <w:rPr>
          <w:bCs/>
          <w:i/>
          <w:iCs/>
          <w:sz w:val="24"/>
          <w:szCs w:val="24"/>
        </w:rPr>
        <w:t xml:space="preserve">versus </w:t>
      </w:r>
      <w:r w:rsidRPr="00143528">
        <w:rPr>
          <w:bCs/>
          <w:sz w:val="24"/>
          <w:szCs w:val="24"/>
        </w:rPr>
        <w:t xml:space="preserve">18,5 måneder) henholdsvis i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letrozol</w:t>
      </w:r>
      <w:proofErr w:type="spellEnd"/>
      <w:r w:rsidRPr="00143528">
        <w:rPr>
          <w:bCs/>
          <w:sz w:val="24"/>
          <w:szCs w:val="24"/>
        </w:rPr>
        <w:t xml:space="preserve">-armen </w:t>
      </w:r>
      <w:r w:rsidRPr="00143528">
        <w:rPr>
          <w:bCs/>
          <w:i/>
          <w:iCs/>
          <w:sz w:val="24"/>
          <w:szCs w:val="24"/>
        </w:rPr>
        <w:t xml:space="preserve">versus </w:t>
      </w:r>
      <w:r w:rsidRPr="00143528">
        <w:rPr>
          <w:bCs/>
          <w:sz w:val="24"/>
          <w:szCs w:val="24"/>
        </w:rPr>
        <w:t xml:space="preserve">placebo plus </w:t>
      </w:r>
      <w:proofErr w:type="spellStart"/>
      <w:r w:rsidRPr="00143528">
        <w:rPr>
          <w:bCs/>
          <w:sz w:val="24"/>
          <w:szCs w:val="24"/>
        </w:rPr>
        <w:t>letrozol</w:t>
      </w:r>
      <w:proofErr w:type="spellEnd"/>
      <w:r w:rsidRPr="00143528">
        <w:rPr>
          <w:bCs/>
          <w:sz w:val="24"/>
          <w:szCs w:val="24"/>
        </w:rPr>
        <w:t>-armen.</w:t>
      </w:r>
    </w:p>
    <w:p w14:paraId="7AAEBABA" w14:textId="77777777" w:rsidR="00143528" w:rsidRPr="00143528" w:rsidRDefault="00143528" w:rsidP="00D33C41">
      <w:pPr>
        <w:ind w:left="851"/>
        <w:rPr>
          <w:bCs/>
          <w:sz w:val="24"/>
          <w:szCs w:val="24"/>
        </w:rPr>
      </w:pPr>
    </w:p>
    <w:p w14:paraId="1C3E791E" w14:textId="77777777" w:rsidR="00143528" w:rsidRPr="00143528" w:rsidRDefault="00143528" w:rsidP="00D33C41">
      <w:pPr>
        <w:ind w:left="851"/>
        <w:rPr>
          <w:bCs/>
          <w:sz w:val="24"/>
          <w:szCs w:val="24"/>
        </w:rPr>
      </w:pPr>
      <w:r w:rsidRPr="00143528">
        <w:rPr>
          <w:bCs/>
          <w:sz w:val="24"/>
          <w:szCs w:val="24"/>
        </w:rPr>
        <w:t xml:space="preserve">Yderligere effektmål (objektiv respons (OR) og tid til respons (TTR)) vurderet i sub-grupper af patienter med eller uden </w:t>
      </w:r>
      <w:proofErr w:type="spellStart"/>
      <w:r w:rsidRPr="00143528">
        <w:rPr>
          <w:bCs/>
          <w:sz w:val="24"/>
          <w:szCs w:val="24"/>
        </w:rPr>
        <w:t>visceral</w:t>
      </w:r>
      <w:proofErr w:type="spellEnd"/>
      <w:r w:rsidRPr="00143528">
        <w:rPr>
          <w:bCs/>
          <w:sz w:val="24"/>
          <w:szCs w:val="24"/>
        </w:rPr>
        <w:t xml:space="preserve"> sygdom, baseret på den opdaterede skæringsdato 31. maj 2017, er vist i skema 7.</w:t>
      </w:r>
    </w:p>
    <w:p w14:paraId="23B93E01" w14:textId="77777777" w:rsidR="00143528" w:rsidRPr="00143528" w:rsidRDefault="00143528" w:rsidP="00D33C41">
      <w:pPr>
        <w:ind w:left="851"/>
        <w:rPr>
          <w:bCs/>
          <w:sz w:val="24"/>
          <w:szCs w:val="24"/>
        </w:rPr>
      </w:pPr>
    </w:p>
    <w:p w14:paraId="148C787E" w14:textId="76ED2FFD" w:rsidR="00143528" w:rsidRPr="00143528" w:rsidRDefault="00143528" w:rsidP="00D33C41">
      <w:pPr>
        <w:rPr>
          <w:b/>
          <w:bCs/>
          <w:sz w:val="24"/>
          <w:szCs w:val="24"/>
        </w:rPr>
      </w:pPr>
      <w:r w:rsidRPr="00143528">
        <w:rPr>
          <w:b/>
          <w:bCs/>
          <w:sz w:val="24"/>
          <w:szCs w:val="24"/>
        </w:rPr>
        <w:t>Skema 7.</w:t>
      </w:r>
      <w:r w:rsidR="00D33C41" w:rsidRPr="00D33C41">
        <w:rPr>
          <w:b/>
          <w:bCs/>
          <w:sz w:val="24"/>
          <w:szCs w:val="24"/>
        </w:rPr>
        <w:t xml:space="preserve"> </w:t>
      </w:r>
      <w:r w:rsidRPr="00143528">
        <w:rPr>
          <w:b/>
          <w:bCs/>
          <w:sz w:val="24"/>
          <w:szCs w:val="24"/>
        </w:rPr>
        <w:t xml:space="preserve">Effektresultater hos patienter med </w:t>
      </w:r>
      <w:proofErr w:type="spellStart"/>
      <w:r w:rsidRPr="00143528">
        <w:rPr>
          <w:b/>
          <w:bCs/>
          <w:sz w:val="24"/>
          <w:szCs w:val="24"/>
        </w:rPr>
        <w:t>visceral</w:t>
      </w:r>
      <w:proofErr w:type="spellEnd"/>
      <w:r w:rsidRPr="00143528">
        <w:rPr>
          <w:b/>
          <w:bCs/>
          <w:sz w:val="24"/>
          <w:szCs w:val="24"/>
        </w:rPr>
        <w:t xml:space="preserve"> eller ikke-</w:t>
      </w:r>
      <w:proofErr w:type="spellStart"/>
      <w:r w:rsidRPr="00143528">
        <w:rPr>
          <w:b/>
          <w:bCs/>
          <w:sz w:val="24"/>
          <w:szCs w:val="24"/>
        </w:rPr>
        <w:t>visceral</w:t>
      </w:r>
      <w:proofErr w:type="spellEnd"/>
      <w:r w:rsidRPr="00143528">
        <w:rPr>
          <w:b/>
          <w:bCs/>
          <w:sz w:val="24"/>
          <w:szCs w:val="24"/>
        </w:rPr>
        <w:t xml:space="preserve"> sygdom fra PALOMA–2 studiet (</w:t>
      </w:r>
      <w:r w:rsidRPr="00143528">
        <w:rPr>
          <w:b/>
          <w:bCs/>
          <w:i/>
          <w:iCs/>
          <w:sz w:val="24"/>
          <w:szCs w:val="24"/>
        </w:rPr>
        <w:t>intent-to-</w:t>
      </w:r>
      <w:proofErr w:type="spellStart"/>
      <w:r w:rsidRPr="00143528">
        <w:rPr>
          <w:b/>
          <w:bCs/>
          <w:i/>
          <w:iCs/>
          <w:sz w:val="24"/>
          <w:szCs w:val="24"/>
        </w:rPr>
        <w:t>treat</w:t>
      </w:r>
      <w:proofErr w:type="spellEnd"/>
      <w:r w:rsidRPr="00143528">
        <w:rPr>
          <w:b/>
          <w:bCs/>
          <w:i/>
          <w:iCs/>
          <w:sz w:val="24"/>
          <w:szCs w:val="24"/>
        </w:rPr>
        <w:t xml:space="preserve"> </w:t>
      </w:r>
      <w:r w:rsidRPr="00143528">
        <w:rPr>
          <w:b/>
          <w:bCs/>
          <w:sz w:val="24"/>
          <w:szCs w:val="24"/>
        </w:rPr>
        <w:t>population, 31. maj 2017 som skæringsdato</w:t>
      </w:r>
    </w:p>
    <w:tbl>
      <w:tblPr>
        <w:tblW w:w="5000" w:type="pct"/>
        <w:tblCellMar>
          <w:left w:w="10" w:type="dxa"/>
          <w:right w:w="10" w:type="dxa"/>
        </w:tblCellMar>
        <w:tblLook w:val="04A0" w:firstRow="1" w:lastRow="0" w:firstColumn="1" w:lastColumn="0" w:noHBand="0" w:noVBand="1"/>
      </w:tblPr>
      <w:tblGrid>
        <w:gridCol w:w="2950"/>
        <w:gridCol w:w="1648"/>
        <w:gridCol w:w="1858"/>
        <w:gridCol w:w="1529"/>
        <w:gridCol w:w="1643"/>
      </w:tblGrid>
      <w:tr w:rsidR="00143528" w:rsidRPr="00143528" w14:paraId="7498965D" w14:textId="77777777" w:rsidTr="00D33C41">
        <w:trPr>
          <w:trHeight w:val="264"/>
          <w:tblHeader/>
        </w:trPr>
        <w:tc>
          <w:tcPr>
            <w:tcW w:w="1532"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tcPr>
          <w:p w14:paraId="6BF7423A" w14:textId="77777777" w:rsidR="00143528" w:rsidRPr="00143528" w:rsidRDefault="00143528" w:rsidP="00D33C41">
            <w:pPr>
              <w:ind w:left="84"/>
              <w:rPr>
                <w:sz w:val="22"/>
                <w:szCs w:val="22"/>
              </w:rPr>
            </w:pPr>
          </w:p>
        </w:tc>
        <w:tc>
          <w:tcPr>
            <w:tcW w:w="1821" w:type="pct"/>
            <w:gridSpan w:val="2"/>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07B49DB7" w14:textId="6FF1B7F8" w:rsidR="00143528" w:rsidRPr="00143528" w:rsidRDefault="00143528" w:rsidP="00123771">
            <w:pPr>
              <w:ind w:left="84"/>
              <w:jc w:val="center"/>
              <w:rPr>
                <w:sz w:val="22"/>
                <w:szCs w:val="22"/>
                <w:lang w:val="en-GB"/>
              </w:rPr>
            </w:pPr>
            <w:r w:rsidRPr="00143528">
              <w:rPr>
                <w:b/>
                <w:sz w:val="22"/>
                <w:szCs w:val="22"/>
                <w:lang w:val="en-GB"/>
              </w:rPr>
              <w:t xml:space="preserve">Visceral </w:t>
            </w:r>
            <w:proofErr w:type="spellStart"/>
            <w:r w:rsidRPr="00143528">
              <w:rPr>
                <w:b/>
                <w:sz w:val="22"/>
                <w:szCs w:val="22"/>
                <w:lang w:val="en-GB"/>
              </w:rPr>
              <w:t>sygdom</w:t>
            </w:r>
            <w:proofErr w:type="spellEnd"/>
          </w:p>
        </w:tc>
        <w:tc>
          <w:tcPr>
            <w:tcW w:w="1647" w:type="pct"/>
            <w:gridSpan w:val="2"/>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371325A9" w14:textId="7B2CDEE9" w:rsidR="00143528" w:rsidRPr="00143528" w:rsidRDefault="00143528" w:rsidP="00123771">
            <w:pPr>
              <w:ind w:left="84"/>
              <w:jc w:val="center"/>
              <w:rPr>
                <w:sz w:val="22"/>
                <w:szCs w:val="22"/>
                <w:lang w:val="en-GB"/>
              </w:rPr>
            </w:pPr>
            <w:r w:rsidRPr="00143528">
              <w:rPr>
                <w:b/>
                <w:sz w:val="22"/>
                <w:szCs w:val="22"/>
                <w:lang w:val="en-GB"/>
              </w:rPr>
              <w:t xml:space="preserve">Ikke-visceral </w:t>
            </w:r>
            <w:proofErr w:type="spellStart"/>
            <w:r w:rsidRPr="00143528">
              <w:rPr>
                <w:b/>
                <w:sz w:val="22"/>
                <w:szCs w:val="22"/>
                <w:lang w:val="en-GB"/>
              </w:rPr>
              <w:t>sygdom</w:t>
            </w:r>
            <w:proofErr w:type="spellEnd"/>
          </w:p>
        </w:tc>
      </w:tr>
      <w:tr w:rsidR="00143528" w:rsidRPr="00143528" w14:paraId="48C5EBE4" w14:textId="77777777" w:rsidTr="00D33C41">
        <w:trPr>
          <w:trHeight w:val="768"/>
          <w:tblHeader/>
        </w:trPr>
        <w:tc>
          <w:tcPr>
            <w:tcW w:w="1532"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tcPr>
          <w:p w14:paraId="1CCD630D" w14:textId="77777777" w:rsidR="00143528" w:rsidRPr="00143528" w:rsidRDefault="00143528" w:rsidP="00D33C41">
            <w:pPr>
              <w:ind w:left="84"/>
              <w:rPr>
                <w:sz w:val="22"/>
                <w:szCs w:val="22"/>
                <w:lang w:val="en-GB"/>
              </w:rPr>
            </w:pPr>
          </w:p>
        </w:tc>
        <w:tc>
          <w:tcPr>
            <w:tcW w:w="856"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0E5DA78B" w14:textId="272B8B00" w:rsidR="00143528" w:rsidRPr="00143528" w:rsidRDefault="00143528" w:rsidP="00123771">
            <w:pPr>
              <w:ind w:left="84"/>
              <w:jc w:val="center"/>
              <w:rPr>
                <w:sz w:val="22"/>
                <w:szCs w:val="22"/>
                <w:lang w:val="en-GB"/>
              </w:rPr>
            </w:pPr>
            <w:r w:rsidRPr="00143528">
              <w:rPr>
                <w:b/>
                <w:sz w:val="22"/>
                <w:szCs w:val="22"/>
                <w:lang w:val="en-GB"/>
              </w:rPr>
              <w:t>Palbociclib</w:t>
            </w:r>
          </w:p>
          <w:p w14:paraId="39F12D5A" w14:textId="4C8033AD" w:rsidR="00143528" w:rsidRPr="00143528" w:rsidRDefault="00143528" w:rsidP="00123771">
            <w:pPr>
              <w:ind w:left="84"/>
              <w:jc w:val="center"/>
              <w:rPr>
                <w:sz w:val="22"/>
                <w:szCs w:val="22"/>
                <w:lang w:val="en-GB"/>
              </w:rPr>
            </w:pPr>
            <w:r w:rsidRPr="00143528">
              <w:rPr>
                <w:b/>
                <w:sz w:val="22"/>
                <w:szCs w:val="22"/>
                <w:lang w:val="en-GB"/>
              </w:rPr>
              <w:t>plus letrozole</w:t>
            </w:r>
          </w:p>
          <w:p w14:paraId="7465B5D3" w14:textId="77777777" w:rsidR="00143528" w:rsidRPr="00143528" w:rsidRDefault="00143528" w:rsidP="00123771">
            <w:pPr>
              <w:ind w:left="84"/>
              <w:jc w:val="center"/>
              <w:rPr>
                <w:sz w:val="22"/>
                <w:szCs w:val="22"/>
                <w:lang w:val="en-GB"/>
              </w:rPr>
            </w:pPr>
            <w:r w:rsidRPr="00143528">
              <w:rPr>
                <w:b/>
                <w:sz w:val="22"/>
                <w:szCs w:val="22"/>
                <w:lang w:val="en-GB"/>
              </w:rPr>
              <w:t>(N=214)</w:t>
            </w:r>
          </w:p>
        </w:tc>
        <w:tc>
          <w:tcPr>
            <w:tcW w:w="965"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7CFD6193" w14:textId="6D4B41EC" w:rsidR="00143528" w:rsidRPr="00143528" w:rsidRDefault="00143528" w:rsidP="00123771">
            <w:pPr>
              <w:ind w:left="84"/>
              <w:jc w:val="center"/>
              <w:rPr>
                <w:sz w:val="22"/>
                <w:szCs w:val="22"/>
                <w:lang w:val="en-GB"/>
              </w:rPr>
            </w:pPr>
            <w:r w:rsidRPr="00143528">
              <w:rPr>
                <w:b/>
                <w:sz w:val="22"/>
                <w:szCs w:val="22"/>
                <w:lang w:val="en-GB"/>
              </w:rPr>
              <w:t>Placebo plus letrozole</w:t>
            </w:r>
          </w:p>
          <w:p w14:paraId="1F954368" w14:textId="77777777" w:rsidR="00143528" w:rsidRPr="00143528" w:rsidRDefault="00143528" w:rsidP="00123771">
            <w:pPr>
              <w:ind w:left="84"/>
              <w:jc w:val="center"/>
              <w:rPr>
                <w:sz w:val="22"/>
                <w:szCs w:val="22"/>
                <w:lang w:val="en-GB"/>
              </w:rPr>
            </w:pPr>
            <w:r w:rsidRPr="00143528">
              <w:rPr>
                <w:b/>
                <w:sz w:val="22"/>
                <w:szCs w:val="22"/>
                <w:lang w:val="en-GB"/>
              </w:rPr>
              <w:t>(N=110)</w:t>
            </w:r>
          </w:p>
        </w:tc>
        <w:tc>
          <w:tcPr>
            <w:tcW w:w="794"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3C47C220" w14:textId="03708B4E" w:rsidR="00143528" w:rsidRPr="00143528" w:rsidRDefault="00143528" w:rsidP="00123771">
            <w:pPr>
              <w:ind w:left="84"/>
              <w:jc w:val="center"/>
              <w:rPr>
                <w:sz w:val="22"/>
                <w:szCs w:val="22"/>
                <w:lang w:val="en-GB"/>
              </w:rPr>
            </w:pPr>
            <w:r w:rsidRPr="00143528">
              <w:rPr>
                <w:b/>
                <w:sz w:val="22"/>
                <w:szCs w:val="22"/>
                <w:lang w:val="en-GB"/>
              </w:rPr>
              <w:t>Palbociclib</w:t>
            </w:r>
          </w:p>
          <w:p w14:paraId="27EF1B32" w14:textId="0F9CF027" w:rsidR="00143528" w:rsidRPr="00143528" w:rsidRDefault="00143528" w:rsidP="00123771">
            <w:pPr>
              <w:ind w:left="84"/>
              <w:jc w:val="center"/>
              <w:rPr>
                <w:sz w:val="22"/>
                <w:szCs w:val="22"/>
                <w:lang w:val="en-GB"/>
              </w:rPr>
            </w:pPr>
            <w:r w:rsidRPr="00143528">
              <w:rPr>
                <w:b/>
                <w:sz w:val="22"/>
                <w:szCs w:val="22"/>
                <w:lang w:val="en-GB"/>
              </w:rPr>
              <w:t>plus letrozole</w:t>
            </w:r>
          </w:p>
          <w:p w14:paraId="1AF31147" w14:textId="77777777" w:rsidR="00143528" w:rsidRPr="00143528" w:rsidRDefault="00143528" w:rsidP="00123771">
            <w:pPr>
              <w:ind w:left="84"/>
              <w:jc w:val="center"/>
              <w:rPr>
                <w:sz w:val="22"/>
                <w:szCs w:val="22"/>
                <w:lang w:val="en-GB"/>
              </w:rPr>
            </w:pPr>
            <w:r w:rsidRPr="00143528">
              <w:rPr>
                <w:b/>
                <w:sz w:val="22"/>
                <w:szCs w:val="22"/>
                <w:lang w:val="en-GB"/>
              </w:rPr>
              <w:t>(N=230)</w:t>
            </w:r>
          </w:p>
        </w:tc>
        <w:tc>
          <w:tcPr>
            <w:tcW w:w="854"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79EA8889" w14:textId="12B5C038" w:rsidR="00143528" w:rsidRPr="00143528" w:rsidRDefault="00143528" w:rsidP="00123771">
            <w:pPr>
              <w:ind w:left="84"/>
              <w:jc w:val="center"/>
              <w:rPr>
                <w:sz w:val="22"/>
                <w:szCs w:val="22"/>
                <w:lang w:val="en-GB"/>
              </w:rPr>
            </w:pPr>
            <w:r w:rsidRPr="00143528">
              <w:rPr>
                <w:b/>
                <w:sz w:val="22"/>
                <w:szCs w:val="22"/>
                <w:lang w:val="en-GB"/>
              </w:rPr>
              <w:t>Placebo plus letrozole</w:t>
            </w:r>
          </w:p>
          <w:p w14:paraId="3584F55E" w14:textId="77777777" w:rsidR="00143528" w:rsidRPr="00143528" w:rsidRDefault="00143528" w:rsidP="00123771">
            <w:pPr>
              <w:ind w:left="84"/>
              <w:jc w:val="center"/>
              <w:rPr>
                <w:sz w:val="22"/>
                <w:szCs w:val="22"/>
                <w:lang w:val="en-GB"/>
              </w:rPr>
            </w:pPr>
            <w:r w:rsidRPr="00143528">
              <w:rPr>
                <w:b/>
                <w:sz w:val="22"/>
                <w:szCs w:val="22"/>
                <w:lang w:val="en-GB"/>
              </w:rPr>
              <w:t>(N=112)</w:t>
            </w:r>
          </w:p>
        </w:tc>
      </w:tr>
      <w:tr w:rsidR="00143528" w:rsidRPr="00143528" w14:paraId="5F199864" w14:textId="77777777" w:rsidTr="00D33C41">
        <w:trPr>
          <w:trHeight w:val="516"/>
        </w:trPr>
        <w:tc>
          <w:tcPr>
            <w:tcW w:w="1532"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6BF77460" w14:textId="073F6F1F" w:rsidR="00143528" w:rsidRPr="00143528" w:rsidRDefault="00143528" w:rsidP="00D33C41">
            <w:pPr>
              <w:ind w:left="84"/>
              <w:rPr>
                <w:sz w:val="22"/>
                <w:szCs w:val="22"/>
                <w:lang w:val="en-GB"/>
              </w:rPr>
            </w:pPr>
            <w:r w:rsidRPr="00143528">
              <w:rPr>
                <w:sz w:val="22"/>
                <w:szCs w:val="22"/>
                <w:lang w:val="en-GB"/>
              </w:rPr>
              <w:t>OR (</w:t>
            </w:r>
            <w:r w:rsidR="007A1C7E">
              <w:rPr>
                <w:sz w:val="22"/>
                <w:szCs w:val="22"/>
                <w:lang w:val="en-GB"/>
              </w:rPr>
              <w:t>%</w:t>
            </w:r>
            <w:r w:rsidRPr="00143528">
              <w:rPr>
                <w:sz w:val="22"/>
                <w:szCs w:val="22"/>
                <w:lang w:val="en-GB"/>
              </w:rPr>
              <w:t xml:space="preserve"> (95</w:t>
            </w:r>
            <w:r w:rsidR="007A1C7E">
              <w:rPr>
                <w:sz w:val="22"/>
                <w:szCs w:val="22"/>
                <w:lang w:val="en-GB"/>
              </w:rPr>
              <w:t xml:space="preserve"> %</w:t>
            </w:r>
            <w:r w:rsidRPr="00143528">
              <w:rPr>
                <w:sz w:val="22"/>
                <w:szCs w:val="22"/>
                <w:lang w:val="en-GB"/>
              </w:rPr>
              <w:t xml:space="preserve"> CI))</w:t>
            </w:r>
          </w:p>
        </w:tc>
        <w:tc>
          <w:tcPr>
            <w:tcW w:w="856"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0F386BF5" w14:textId="77777777" w:rsidR="00143528" w:rsidRPr="00143528" w:rsidRDefault="00143528" w:rsidP="00123771">
            <w:pPr>
              <w:ind w:left="84"/>
              <w:jc w:val="center"/>
              <w:rPr>
                <w:sz w:val="22"/>
                <w:szCs w:val="22"/>
                <w:lang w:val="en-GB"/>
              </w:rPr>
            </w:pPr>
            <w:r w:rsidRPr="00143528">
              <w:rPr>
                <w:sz w:val="22"/>
                <w:szCs w:val="22"/>
                <w:lang w:val="en-GB"/>
              </w:rPr>
              <w:t>59,8</w:t>
            </w:r>
          </w:p>
          <w:p w14:paraId="02924AD5" w14:textId="77777777" w:rsidR="00143528" w:rsidRPr="00143528" w:rsidRDefault="00143528" w:rsidP="00123771">
            <w:pPr>
              <w:ind w:left="84"/>
              <w:jc w:val="center"/>
              <w:rPr>
                <w:sz w:val="22"/>
                <w:szCs w:val="22"/>
                <w:lang w:val="en-GB"/>
              </w:rPr>
            </w:pPr>
            <w:r w:rsidRPr="00143528">
              <w:rPr>
                <w:sz w:val="22"/>
                <w:szCs w:val="22"/>
                <w:lang w:val="en-GB"/>
              </w:rPr>
              <w:t>(52,9, 66,4)</w:t>
            </w:r>
          </w:p>
        </w:tc>
        <w:tc>
          <w:tcPr>
            <w:tcW w:w="965"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414D8307" w14:textId="77777777" w:rsidR="00143528" w:rsidRPr="00143528" w:rsidRDefault="00143528" w:rsidP="00123771">
            <w:pPr>
              <w:ind w:left="84"/>
              <w:jc w:val="center"/>
              <w:rPr>
                <w:sz w:val="22"/>
                <w:szCs w:val="22"/>
                <w:lang w:val="en-GB"/>
              </w:rPr>
            </w:pPr>
            <w:r w:rsidRPr="00143528">
              <w:rPr>
                <w:sz w:val="22"/>
                <w:szCs w:val="22"/>
                <w:lang w:val="en-GB"/>
              </w:rPr>
              <w:t>46,4</w:t>
            </w:r>
          </w:p>
          <w:p w14:paraId="55A87F7B" w14:textId="77777777" w:rsidR="00143528" w:rsidRPr="00143528" w:rsidRDefault="00143528" w:rsidP="00123771">
            <w:pPr>
              <w:ind w:left="84"/>
              <w:jc w:val="center"/>
              <w:rPr>
                <w:sz w:val="22"/>
                <w:szCs w:val="22"/>
                <w:lang w:val="en-GB"/>
              </w:rPr>
            </w:pPr>
            <w:r w:rsidRPr="00143528">
              <w:rPr>
                <w:sz w:val="22"/>
                <w:szCs w:val="22"/>
                <w:lang w:val="en-GB"/>
              </w:rPr>
              <w:t>(36,8, 56,1)</w:t>
            </w:r>
          </w:p>
        </w:tc>
        <w:tc>
          <w:tcPr>
            <w:tcW w:w="794"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3C2F7DA8" w14:textId="77777777" w:rsidR="00143528" w:rsidRPr="00143528" w:rsidRDefault="00143528" w:rsidP="00123771">
            <w:pPr>
              <w:ind w:left="84"/>
              <w:jc w:val="center"/>
              <w:rPr>
                <w:sz w:val="22"/>
                <w:szCs w:val="22"/>
                <w:lang w:val="en-GB"/>
              </w:rPr>
            </w:pPr>
            <w:r w:rsidRPr="00143528">
              <w:rPr>
                <w:sz w:val="22"/>
                <w:szCs w:val="22"/>
                <w:lang w:val="en-GB"/>
              </w:rPr>
              <w:t>36,1</w:t>
            </w:r>
          </w:p>
          <w:p w14:paraId="04F4660F" w14:textId="77777777" w:rsidR="00143528" w:rsidRPr="00143528" w:rsidRDefault="00143528" w:rsidP="00123771">
            <w:pPr>
              <w:ind w:left="84"/>
              <w:jc w:val="center"/>
              <w:rPr>
                <w:sz w:val="22"/>
                <w:szCs w:val="22"/>
                <w:lang w:val="en-GB"/>
              </w:rPr>
            </w:pPr>
            <w:r w:rsidRPr="00143528">
              <w:rPr>
                <w:sz w:val="22"/>
                <w:szCs w:val="22"/>
                <w:lang w:val="en-GB"/>
              </w:rPr>
              <w:t>(29,9, 42,7)</w:t>
            </w:r>
          </w:p>
        </w:tc>
        <w:tc>
          <w:tcPr>
            <w:tcW w:w="854"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2EFC00A0" w14:textId="77777777" w:rsidR="00143528" w:rsidRPr="00143528" w:rsidRDefault="00143528" w:rsidP="00123771">
            <w:pPr>
              <w:ind w:left="84"/>
              <w:jc w:val="center"/>
              <w:rPr>
                <w:sz w:val="22"/>
                <w:szCs w:val="22"/>
                <w:lang w:val="en-GB"/>
              </w:rPr>
            </w:pPr>
            <w:r w:rsidRPr="00143528">
              <w:rPr>
                <w:sz w:val="22"/>
                <w:szCs w:val="22"/>
                <w:lang w:val="en-GB"/>
              </w:rPr>
              <w:t>31,3</w:t>
            </w:r>
          </w:p>
          <w:p w14:paraId="14B0D64A" w14:textId="77777777" w:rsidR="00143528" w:rsidRPr="00143528" w:rsidRDefault="00143528" w:rsidP="00123771">
            <w:pPr>
              <w:ind w:left="84"/>
              <w:jc w:val="center"/>
              <w:rPr>
                <w:sz w:val="22"/>
                <w:szCs w:val="22"/>
                <w:lang w:val="en-GB"/>
              </w:rPr>
            </w:pPr>
            <w:r w:rsidRPr="00143528">
              <w:rPr>
                <w:sz w:val="22"/>
                <w:szCs w:val="22"/>
                <w:lang w:val="en-GB"/>
              </w:rPr>
              <w:t>(22,8, 40,7)</w:t>
            </w:r>
          </w:p>
        </w:tc>
      </w:tr>
      <w:tr w:rsidR="00143528" w:rsidRPr="00143528" w14:paraId="6BC8782D" w14:textId="77777777" w:rsidTr="00D33C41">
        <w:trPr>
          <w:trHeight w:val="516"/>
        </w:trPr>
        <w:tc>
          <w:tcPr>
            <w:tcW w:w="1532"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73F8276A" w14:textId="77777777" w:rsidR="00143528" w:rsidRPr="00143528" w:rsidRDefault="00143528" w:rsidP="00D33C41">
            <w:pPr>
              <w:ind w:left="84"/>
              <w:rPr>
                <w:sz w:val="22"/>
                <w:szCs w:val="22"/>
                <w:lang w:val="en-GB"/>
              </w:rPr>
            </w:pPr>
            <w:r w:rsidRPr="00143528">
              <w:rPr>
                <w:sz w:val="22"/>
                <w:szCs w:val="22"/>
                <w:lang w:val="en-GB"/>
              </w:rPr>
              <w:t>TTR, Median (</w:t>
            </w:r>
            <w:proofErr w:type="spellStart"/>
            <w:r w:rsidRPr="00143528">
              <w:rPr>
                <w:sz w:val="22"/>
                <w:szCs w:val="22"/>
                <w:lang w:val="en-GB"/>
              </w:rPr>
              <w:t>måneder</w:t>
            </w:r>
            <w:proofErr w:type="spellEnd"/>
            <w:r w:rsidRPr="00143528">
              <w:rPr>
                <w:sz w:val="22"/>
                <w:szCs w:val="22"/>
                <w:lang w:val="en-GB"/>
              </w:rPr>
              <w:t xml:space="preserve"> (interval))</w:t>
            </w:r>
          </w:p>
        </w:tc>
        <w:tc>
          <w:tcPr>
            <w:tcW w:w="856"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120D0DB7" w14:textId="77777777" w:rsidR="00143528" w:rsidRPr="00143528" w:rsidRDefault="00143528" w:rsidP="00123771">
            <w:pPr>
              <w:ind w:left="84"/>
              <w:jc w:val="center"/>
              <w:rPr>
                <w:sz w:val="22"/>
                <w:szCs w:val="22"/>
                <w:lang w:val="en-GB"/>
              </w:rPr>
            </w:pPr>
            <w:r w:rsidRPr="00143528">
              <w:rPr>
                <w:sz w:val="22"/>
                <w:szCs w:val="22"/>
                <w:lang w:val="en-GB"/>
              </w:rPr>
              <w:t>5,4</w:t>
            </w:r>
          </w:p>
          <w:p w14:paraId="19D3D0DE" w14:textId="77777777" w:rsidR="00143528" w:rsidRPr="00143528" w:rsidRDefault="00143528" w:rsidP="00123771">
            <w:pPr>
              <w:ind w:left="84"/>
              <w:jc w:val="center"/>
              <w:rPr>
                <w:sz w:val="22"/>
                <w:szCs w:val="22"/>
                <w:lang w:val="en-GB"/>
              </w:rPr>
            </w:pPr>
            <w:r w:rsidRPr="00143528">
              <w:rPr>
                <w:sz w:val="22"/>
                <w:szCs w:val="22"/>
                <w:lang w:val="en-GB"/>
              </w:rPr>
              <w:t>(2,0, 30,4)</w:t>
            </w:r>
          </w:p>
        </w:tc>
        <w:tc>
          <w:tcPr>
            <w:tcW w:w="965"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6E008EA4" w14:textId="77777777" w:rsidR="00143528" w:rsidRPr="00143528" w:rsidRDefault="00143528" w:rsidP="00123771">
            <w:pPr>
              <w:ind w:left="84"/>
              <w:jc w:val="center"/>
              <w:rPr>
                <w:sz w:val="22"/>
                <w:szCs w:val="22"/>
                <w:lang w:val="en-GB"/>
              </w:rPr>
            </w:pPr>
            <w:r w:rsidRPr="00143528">
              <w:rPr>
                <w:sz w:val="22"/>
                <w:szCs w:val="22"/>
                <w:lang w:val="en-GB"/>
              </w:rPr>
              <w:t>5,3</w:t>
            </w:r>
          </w:p>
          <w:p w14:paraId="266D1A0C" w14:textId="77777777" w:rsidR="00143528" w:rsidRPr="00143528" w:rsidRDefault="00143528" w:rsidP="00123771">
            <w:pPr>
              <w:ind w:left="84"/>
              <w:jc w:val="center"/>
              <w:rPr>
                <w:sz w:val="22"/>
                <w:szCs w:val="22"/>
                <w:lang w:val="en-GB"/>
              </w:rPr>
            </w:pPr>
            <w:r w:rsidRPr="00143528">
              <w:rPr>
                <w:sz w:val="22"/>
                <w:szCs w:val="22"/>
                <w:lang w:val="en-GB"/>
              </w:rPr>
              <w:t>(2,6, 27,9)</w:t>
            </w:r>
          </w:p>
        </w:tc>
        <w:tc>
          <w:tcPr>
            <w:tcW w:w="794"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428D0A90" w14:textId="77777777" w:rsidR="00143528" w:rsidRPr="00143528" w:rsidRDefault="00143528" w:rsidP="00123771">
            <w:pPr>
              <w:ind w:left="84"/>
              <w:jc w:val="center"/>
              <w:rPr>
                <w:sz w:val="22"/>
                <w:szCs w:val="22"/>
                <w:lang w:val="en-GB"/>
              </w:rPr>
            </w:pPr>
            <w:r w:rsidRPr="00143528">
              <w:rPr>
                <w:sz w:val="22"/>
                <w:szCs w:val="22"/>
                <w:lang w:val="en-GB"/>
              </w:rPr>
              <w:t>3,0</w:t>
            </w:r>
          </w:p>
          <w:p w14:paraId="37DB05BD" w14:textId="77777777" w:rsidR="00143528" w:rsidRPr="00143528" w:rsidRDefault="00143528" w:rsidP="00123771">
            <w:pPr>
              <w:ind w:left="84"/>
              <w:jc w:val="center"/>
              <w:rPr>
                <w:sz w:val="22"/>
                <w:szCs w:val="22"/>
                <w:lang w:val="en-GB"/>
              </w:rPr>
            </w:pPr>
            <w:r w:rsidRPr="00143528">
              <w:rPr>
                <w:sz w:val="22"/>
                <w:szCs w:val="22"/>
                <w:lang w:val="en-GB"/>
              </w:rPr>
              <w:t>(2,1, 27,8)</w:t>
            </w:r>
          </w:p>
        </w:tc>
        <w:tc>
          <w:tcPr>
            <w:tcW w:w="854"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70" w:type="dxa"/>
            </w:tcMar>
            <w:hideMark/>
          </w:tcPr>
          <w:p w14:paraId="6877EBD0" w14:textId="77777777" w:rsidR="00143528" w:rsidRPr="00143528" w:rsidRDefault="00143528" w:rsidP="00123771">
            <w:pPr>
              <w:ind w:left="84"/>
              <w:jc w:val="center"/>
              <w:rPr>
                <w:sz w:val="22"/>
                <w:szCs w:val="22"/>
                <w:lang w:val="en-GB"/>
              </w:rPr>
            </w:pPr>
            <w:r w:rsidRPr="00143528">
              <w:rPr>
                <w:sz w:val="22"/>
                <w:szCs w:val="22"/>
                <w:lang w:val="en-GB"/>
              </w:rPr>
              <w:t>5,5</w:t>
            </w:r>
          </w:p>
          <w:p w14:paraId="5B9E87B1" w14:textId="77777777" w:rsidR="00143528" w:rsidRPr="00143528" w:rsidRDefault="00143528" w:rsidP="00123771">
            <w:pPr>
              <w:ind w:left="84"/>
              <w:jc w:val="center"/>
              <w:rPr>
                <w:sz w:val="22"/>
                <w:szCs w:val="22"/>
                <w:lang w:val="en-GB"/>
              </w:rPr>
            </w:pPr>
            <w:r w:rsidRPr="00143528">
              <w:rPr>
                <w:sz w:val="22"/>
                <w:szCs w:val="22"/>
                <w:lang w:val="en-GB"/>
              </w:rPr>
              <w:t>(2,6, 22,2)</w:t>
            </w:r>
          </w:p>
        </w:tc>
      </w:tr>
    </w:tbl>
    <w:p w14:paraId="04B73F40" w14:textId="77777777" w:rsidR="00143528" w:rsidRPr="00143528" w:rsidRDefault="00143528" w:rsidP="00D33C41">
      <w:pPr>
        <w:rPr>
          <w:bCs/>
          <w:sz w:val="20"/>
        </w:rPr>
      </w:pPr>
      <w:r w:rsidRPr="00143528">
        <w:rPr>
          <w:bCs/>
          <w:sz w:val="20"/>
        </w:rPr>
        <w:t>N=antal patienter; CI=konfidensinterval; OR=objektiv respons baseret på bekræftet og ubekræftet respons iht.</w:t>
      </w:r>
    </w:p>
    <w:p w14:paraId="0502391E" w14:textId="77777777" w:rsidR="00143528" w:rsidRPr="00143528" w:rsidRDefault="00143528" w:rsidP="00D33C41">
      <w:pPr>
        <w:rPr>
          <w:bCs/>
          <w:sz w:val="20"/>
        </w:rPr>
      </w:pPr>
      <w:r w:rsidRPr="00143528">
        <w:rPr>
          <w:bCs/>
          <w:sz w:val="20"/>
        </w:rPr>
        <w:t>RECIST 1.1; TTR=tid til første tumorrespons.</w:t>
      </w:r>
    </w:p>
    <w:p w14:paraId="4155F696" w14:textId="77777777" w:rsidR="00143528" w:rsidRPr="00143528" w:rsidRDefault="00143528" w:rsidP="00143528">
      <w:pPr>
        <w:tabs>
          <w:tab w:val="left" w:pos="851"/>
        </w:tabs>
        <w:ind w:left="851"/>
        <w:rPr>
          <w:bCs/>
          <w:sz w:val="24"/>
          <w:szCs w:val="24"/>
        </w:rPr>
      </w:pPr>
    </w:p>
    <w:p w14:paraId="19E1A54C" w14:textId="17CB27D8" w:rsidR="00143528" w:rsidRPr="00143528" w:rsidRDefault="00143528" w:rsidP="00D33C41">
      <w:pPr>
        <w:ind w:left="851"/>
        <w:rPr>
          <w:bCs/>
          <w:sz w:val="24"/>
          <w:szCs w:val="24"/>
        </w:rPr>
      </w:pPr>
      <w:r w:rsidRPr="00143528">
        <w:rPr>
          <w:bCs/>
          <w:sz w:val="24"/>
          <w:szCs w:val="24"/>
        </w:rPr>
        <w:t xml:space="preserve">På tidspunktet for de opdaterede analyser var mediantiden fra </w:t>
      </w:r>
      <w:proofErr w:type="spellStart"/>
      <w:r w:rsidRPr="00143528">
        <w:rPr>
          <w:bCs/>
          <w:sz w:val="24"/>
          <w:szCs w:val="24"/>
        </w:rPr>
        <w:t>randomisering</w:t>
      </w:r>
      <w:proofErr w:type="spellEnd"/>
      <w:r w:rsidRPr="00143528">
        <w:rPr>
          <w:bCs/>
          <w:sz w:val="24"/>
          <w:szCs w:val="24"/>
        </w:rPr>
        <w:t xml:space="preserve"> til den anden efterfølgende kræftbehandling 38 måneder i </w:t>
      </w:r>
      <w:proofErr w:type="spellStart"/>
      <w:r w:rsidRPr="00143528">
        <w:rPr>
          <w:bCs/>
          <w:sz w:val="24"/>
          <w:szCs w:val="24"/>
        </w:rPr>
        <w:t>palbociclib</w:t>
      </w:r>
      <w:proofErr w:type="spellEnd"/>
      <w:r w:rsidRPr="00143528">
        <w:rPr>
          <w:bCs/>
          <w:sz w:val="24"/>
          <w:szCs w:val="24"/>
        </w:rPr>
        <w:t xml:space="preserve"> + </w:t>
      </w:r>
      <w:proofErr w:type="spellStart"/>
      <w:r w:rsidRPr="00143528">
        <w:rPr>
          <w:bCs/>
          <w:sz w:val="24"/>
          <w:szCs w:val="24"/>
        </w:rPr>
        <w:t>letrozol</w:t>
      </w:r>
      <w:proofErr w:type="spellEnd"/>
      <w:r w:rsidRPr="00143528">
        <w:rPr>
          <w:bCs/>
          <w:sz w:val="24"/>
          <w:szCs w:val="24"/>
        </w:rPr>
        <w:t>-armen og 28,8 måneder i placebo + </w:t>
      </w:r>
      <w:proofErr w:type="spellStart"/>
      <w:r w:rsidRPr="00143528">
        <w:rPr>
          <w:bCs/>
          <w:sz w:val="24"/>
          <w:szCs w:val="24"/>
        </w:rPr>
        <w:t>letrozol</w:t>
      </w:r>
      <w:proofErr w:type="spellEnd"/>
      <w:r w:rsidRPr="00143528">
        <w:rPr>
          <w:bCs/>
          <w:sz w:val="24"/>
          <w:szCs w:val="24"/>
        </w:rPr>
        <w:t>-armen, HR 0,73 (95</w:t>
      </w:r>
      <w:r w:rsidR="007A1C7E">
        <w:rPr>
          <w:bCs/>
          <w:sz w:val="24"/>
          <w:szCs w:val="24"/>
        </w:rPr>
        <w:t xml:space="preserve"> %</w:t>
      </w:r>
      <w:r w:rsidRPr="00143528">
        <w:rPr>
          <w:bCs/>
          <w:sz w:val="24"/>
          <w:szCs w:val="24"/>
        </w:rPr>
        <w:t xml:space="preserve"> CI: 0,58-0,91).</w:t>
      </w:r>
    </w:p>
    <w:p w14:paraId="008F0F0F" w14:textId="77777777" w:rsidR="00143528" w:rsidRPr="00143528" w:rsidRDefault="00143528" w:rsidP="00D33C41">
      <w:pPr>
        <w:ind w:left="851"/>
        <w:rPr>
          <w:bCs/>
          <w:sz w:val="24"/>
          <w:szCs w:val="24"/>
        </w:rPr>
      </w:pPr>
    </w:p>
    <w:p w14:paraId="0B4159A4" w14:textId="77777777" w:rsidR="00143528" w:rsidRPr="00143528" w:rsidRDefault="00143528" w:rsidP="00D33C41">
      <w:pPr>
        <w:ind w:left="851"/>
        <w:rPr>
          <w:bCs/>
          <w:sz w:val="24"/>
          <w:szCs w:val="24"/>
        </w:rPr>
      </w:pPr>
      <w:r w:rsidRPr="00143528">
        <w:rPr>
          <w:bCs/>
          <w:sz w:val="24"/>
          <w:szCs w:val="24"/>
        </w:rPr>
        <w:t>Resultaterne fra den endelige OS-analyse fra PALOMA-2-studiet vises i skema 8. Efter en median opfølgningstid på 90 måneder var de endelige OS-resultater ikke statistisk signifikante. Kaplan Meierkurver over OS er vist i figur 2.</w:t>
      </w:r>
    </w:p>
    <w:p w14:paraId="65189BFA" w14:textId="77777777" w:rsidR="00143528" w:rsidRPr="00143528" w:rsidRDefault="00143528" w:rsidP="00D33C41">
      <w:pPr>
        <w:ind w:left="851"/>
        <w:rPr>
          <w:bCs/>
          <w:sz w:val="24"/>
          <w:szCs w:val="24"/>
        </w:rPr>
      </w:pPr>
    </w:p>
    <w:p w14:paraId="7C24C263" w14:textId="096FD34B" w:rsidR="00143528" w:rsidRPr="00143528" w:rsidRDefault="00143528" w:rsidP="00D33C41">
      <w:pPr>
        <w:rPr>
          <w:bCs/>
          <w:sz w:val="24"/>
          <w:szCs w:val="24"/>
        </w:rPr>
      </w:pPr>
      <w:r w:rsidRPr="00143528">
        <w:rPr>
          <w:b/>
          <w:bCs/>
          <w:sz w:val="24"/>
          <w:szCs w:val="24"/>
        </w:rPr>
        <w:t>Skema 8.</w:t>
      </w:r>
      <w:r w:rsidR="00D33C41" w:rsidRPr="00D33C41">
        <w:rPr>
          <w:b/>
          <w:bCs/>
          <w:sz w:val="24"/>
          <w:szCs w:val="24"/>
        </w:rPr>
        <w:t xml:space="preserve"> </w:t>
      </w:r>
      <w:r w:rsidRPr="00143528">
        <w:rPr>
          <w:b/>
          <w:bCs/>
          <w:sz w:val="24"/>
          <w:szCs w:val="24"/>
        </w:rPr>
        <w:t>PALOMA-2 (</w:t>
      </w:r>
      <w:r w:rsidRPr="00143528">
        <w:rPr>
          <w:b/>
          <w:bCs/>
          <w:i/>
          <w:iCs/>
          <w:sz w:val="24"/>
          <w:szCs w:val="24"/>
        </w:rPr>
        <w:t>intent-to-</w:t>
      </w:r>
      <w:proofErr w:type="spellStart"/>
      <w:r w:rsidRPr="00143528">
        <w:rPr>
          <w:b/>
          <w:bCs/>
          <w:i/>
          <w:iCs/>
          <w:sz w:val="24"/>
          <w:szCs w:val="24"/>
        </w:rPr>
        <w:t>treat</w:t>
      </w:r>
      <w:proofErr w:type="spellEnd"/>
      <w:r w:rsidRPr="00143528">
        <w:rPr>
          <w:b/>
          <w:bCs/>
          <w:i/>
          <w:iCs/>
          <w:sz w:val="24"/>
          <w:szCs w:val="24"/>
        </w:rPr>
        <w:t xml:space="preserve"> </w:t>
      </w:r>
      <w:r w:rsidRPr="00143528">
        <w:rPr>
          <w:b/>
          <w:bCs/>
          <w:sz w:val="24"/>
          <w:szCs w:val="24"/>
        </w:rPr>
        <w:t>population) – Resultater for endelig samlet overlevelse</w:t>
      </w:r>
    </w:p>
    <w:tbl>
      <w:tblPr>
        <w:tblStyle w:val="Tabel-Gitter"/>
        <w:tblW w:w="5000" w:type="pct"/>
        <w:tblInd w:w="0" w:type="dxa"/>
        <w:tblLook w:val="04A0" w:firstRow="1" w:lastRow="0" w:firstColumn="1" w:lastColumn="0" w:noHBand="0" w:noVBand="1"/>
      </w:tblPr>
      <w:tblGrid>
        <w:gridCol w:w="3210"/>
        <w:gridCol w:w="3208"/>
        <w:gridCol w:w="3210"/>
      </w:tblGrid>
      <w:tr w:rsidR="00143528" w:rsidRPr="00143528" w14:paraId="53B9CCD4" w14:textId="77777777" w:rsidTr="00D33C41">
        <w:trPr>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9423C2A" w14:textId="77777777" w:rsidR="00143528" w:rsidRPr="00143528" w:rsidRDefault="00143528" w:rsidP="00123771">
            <w:pPr>
              <w:ind w:left="84"/>
              <w:jc w:val="center"/>
              <w:rPr>
                <w:b/>
                <w:bCs/>
                <w:sz w:val="22"/>
                <w:szCs w:val="22"/>
                <w:lang w:val="da-DK"/>
              </w:rPr>
            </w:pPr>
            <w:r w:rsidRPr="00143528">
              <w:rPr>
                <w:b/>
                <w:bCs/>
                <w:sz w:val="22"/>
                <w:szCs w:val="22"/>
                <w:lang w:val="da-DK"/>
              </w:rPr>
              <w:t>Endelig samlet overlevelse (OS)</w:t>
            </w:r>
          </w:p>
          <w:p w14:paraId="6D0AD5D2" w14:textId="77777777" w:rsidR="00143528" w:rsidRPr="00143528" w:rsidRDefault="00143528" w:rsidP="00123771">
            <w:pPr>
              <w:ind w:left="84"/>
              <w:jc w:val="center"/>
              <w:rPr>
                <w:sz w:val="22"/>
                <w:szCs w:val="22"/>
                <w:lang w:val="da-DK"/>
              </w:rPr>
            </w:pPr>
            <w:r w:rsidRPr="00143528">
              <w:rPr>
                <w:b/>
                <w:bCs/>
                <w:sz w:val="22"/>
                <w:szCs w:val="22"/>
                <w:lang w:val="da-DK"/>
              </w:rPr>
              <w:t>(15. november 2021 skæringsdato)</w:t>
            </w:r>
          </w:p>
        </w:tc>
      </w:tr>
      <w:tr w:rsidR="00143528" w:rsidRPr="00143528" w14:paraId="450E426C" w14:textId="77777777" w:rsidTr="00D33C41">
        <w:trPr>
          <w:tblHeader/>
        </w:trPr>
        <w:tc>
          <w:tcPr>
            <w:tcW w:w="1667" w:type="pct"/>
            <w:tcBorders>
              <w:top w:val="single" w:sz="4" w:space="0" w:color="auto"/>
              <w:left w:val="single" w:sz="4" w:space="0" w:color="auto"/>
              <w:bottom w:val="single" w:sz="4" w:space="0" w:color="auto"/>
              <w:right w:val="single" w:sz="4" w:space="0" w:color="auto"/>
            </w:tcBorders>
          </w:tcPr>
          <w:p w14:paraId="19F3BE74" w14:textId="77777777" w:rsidR="00143528" w:rsidRPr="00143528" w:rsidRDefault="00143528" w:rsidP="00D33C41">
            <w:pPr>
              <w:ind w:left="84"/>
              <w:rPr>
                <w:sz w:val="22"/>
                <w:szCs w:val="22"/>
                <w:lang w:val="da-DK"/>
              </w:rPr>
            </w:pPr>
          </w:p>
        </w:tc>
        <w:tc>
          <w:tcPr>
            <w:tcW w:w="1666" w:type="pct"/>
            <w:tcBorders>
              <w:top w:val="single" w:sz="4" w:space="0" w:color="auto"/>
              <w:left w:val="single" w:sz="4" w:space="0" w:color="auto"/>
              <w:bottom w:val="single" w:sz="4" w:space="0" w:color="auto"/>
              <w:right w:val="single" w:sz="4" w:space="0" w:color="auto"/>
            </w:tcBorders>
            <w:hideMark/>
          </w:tcPr>
          <w:p w14:paraId="36DE2F06" w14:textId="77777777" w:rsidR="00143528" w:rsidRPr="00143528" w:rsidRDefault="00143528" w:rsidP="00123771">
            <w:pPr>
              <w:ind w:left="84"/>
              <w:jc w:val="center"/>
              <w:rPr>
                <w:b/>
                <w:bCs/>
                <w:sz w:val="22"/>
                <w:szCs w:val="22"/>
              </w:rPr>
            </w:pPr>
            <w:r w:rsidRPr="00143528">
              <w:rPr>
                <w:b/>
                <w:bCs/>
                <w:sz w:val="22"/>
                <w:szCs w:val="22"/>
              </w:rPr>
              <w:t>Palbociclib</w:t>
            </w:r>
          </w:p>
          <w:p w14:paraId="04BECC94" w14:textId="77777777" w:rsidR="00143528" w:rsidRPr="00143528" w:rsidRDefault="00143528" w:rsidP="00123771">
            <w:pPr>
              <w:ind w:left="84"/>
              <w:jc w:val="center"/>
              <w:rPr>
                <w:b/>
                <w:bCs/>
                <w:sz w:val="22"/>
                <w:szCs w:val="22"/>
              </w:rPr>
            </w:pPr>
            <w:r w:rsidRPr="00143528">
              <w:rPr>
                <w:b/>
                <w:bCs/>
                <w:sz w:val="22"/>
                <w:szCs w:val="22"/>
              </w:rPr>
              <w:t>plus letrozole</w:t>
            </w:r>
          </w:p>
          <w:p w14:paraId="26BB039D" w14:textId="77777777" w:rsidR="00143528" w:rsidRPr="00143528" w:rsidRDefault="00143528" w:rsidP="00123771">
            <w:pPr>
              <w:ind w:left="84"/>
              <w:jc w:val="center"/>
              <w:rPr>
                <w:b/>
                <w:bCs/>
                <w:sz w:val="22"/>
                <w:szCs w:val="22"/>
              </w:rPr>
            </w:pPr>
            <w:r w:rsidRPr="00143528">
              <w:rPr>
                <w:b/>
                <w:bCs/>
                <w:sz w:val="22"/>
                <w:szCs w:val="22"/>
              </w:rPr>
              <w:t>(N=444)</w:t>
            </w:r>
          </w:p>
        </w:tc>
        <w:tc>
          <w:tcPr>
            <w:tcW w:w="1667" w:type="pct"/>
            <w:tcBorders>
              <w:top w:val="single" w:sz="4" w:space="0" w:color="auto"/>
              <w:left w:val="single" w:sz="4" w:space="0" w:color="auto"/>
              <w:bottom w:val="single" w:sz="4" w:space="0" w:color="auto"/>
              <w:right w:val="single" w:sz="4" w:space="0" w:color="auto"/>
            </w:tcBorders>
            <w:hideMark/>
          </w:tcPr>
          <w:p w14:paraId="6F865A33" w14:textId="77777777" w:rsidR="00143528" w:rsidRPr="00143528" w:rsidRDefault="00143528" w:rsidP="00123771">
            <w:pPr>
              <w:ind w:left="84"/>
              <w:jc w:val="center"/>
              <w:rPr>
                <w:b/>
                <w:bCs/>
                <w:sz w:val="22"/>
                <w:szCs w:val="22"/>
              </w:rPr>
            </w:pPr>
            <w:r w:rsidRPr="00143528">
              <w:rPr>
                <w:b/>
                <w:bCs/>
                <w:sz w:val="22"/>
                <w:szCs w:val="22"/>
              </w:rPr>
              <w:t>Placebo</w:t>
            </w:r>
          </w:p>
          <w:p w14:paraId="103F5143" w14:textId="77777777" w:rsidR="00143528" w:rsidRPr="00143528" w:rsidRDefault="00143528" w:rsidP="00123771">
            <w:pPr>
              <w:ind w:left="84"/>
              <w:jc w:val="center"/>
              <w:rPr>
                <w:b/>
                <w:bCs/>
                <w:sz w:val="22"/>
                <w:szCs w:val="22"/>
              </w:rPr>
            </w:pPr>
            <w:r w:rsidRPr="00143528">
              <w:rPr>
                <w:b/>
                <w:bCs/>
                <w:sz w:val="22"/>
                <w:szCs w:val="22"/>
              </w:rPr>
              <w:t>plus letrozole</w:t>
            </w:r>
          </w:p>
          <w:p w14:paraId="681D3F32" w14:textId="77777777" w:rsidR="00143528" w:rsidRPr="00143528" w:rsidRDefault="00143528" w:rsidP="00123771">
            <w:pPr>
              <w:ind w:left="84"/>
              <w:jc w:val="center"/>
              <w:rPr>
                <w:b/>
                <w:bCs/>
                <w:sz w:val="22"/>
                <w:szCs w:val="22"/>
              </w:rPr>
            </w:pPr>
            <w:r w:rsidRPr="00143528">
              <w:rPr>
                <w:b/>
                <w:bCs/>
                <w:sz w:val="22"/>
                <w:szCs w:val="22"/>
              </w:rPr>
              <w:t>(N=222)</w:t>
            </w:r>
          </w:p>
        </w:tc>
      </w:tr>
      <w:tr w:rsidR="00143528" w:rsidRPr="00143528" w14:paraId="43832B0B" w14:textId="77777777" w:rsidTr="00D33C41">
        <w:tc>
          <w:tcPr>
            <w:tcW w:w="1667" w:type="pct"/>
            <w:tcBorders>
              <w:top w:val="single" w:sz="4" w:space="0" w:color="auto"/>
              <w:left w:val="single" w:sz="4" w:space="0" w:color="auto"/>
              <w:bottom w:val="single" w:sz="4" w:space="0" w:color="auto"/>
              <w:right w:val="single" w:sz="4" w:space="0" w:color="auto"/>
            </w:tcBorders>
            <w:hideMark/>
          </w:tcPr>
          <w:p w14:paraId="4F16FA3B" w14:textId="2796A1EC" w:rsidR="00143528" w:rsidRPr="00143528" w:rsidRDefault="00143528" w:rsidP="00D33C41">
            <w:pPr>
              <w:ind w:left="84"/>
              <w:rPr>
                <w:sz w:val="22"/>
                <w:szCs w:val="22"/>
              </w:rPr>
            </w:pPr>
            <w:r w:rsidRPr="00143528">
              <w:rPr>
                <w:sz w:val="22"/>
                <w:szCs w:val="22"/>
              </w:rPr>
              <w:t xml:space="preserve">Antal </w:t>
            </w:r>
            <w:proofErr w:type="spellStart"/>
            <w:r w:rsidRPr="00143528">
              <w:rPr>
                <w:sz w:val="22"/>
                <w:szCs w:val="22"/>
              </w:rPr>
              <w:t>hændelser</w:t>
            </w:r>
            <w:proofErr w:type="spellEnd"/>
            <w:r w:rsidRPr="00143528">
              <w:rPr>
                <w:sz w:val="22"/>
                <w:szCs w:val="22"/>
              </w:rPr>
              <w:t xml:space="preserve"> (</w:t>
            </w:r>
            <w:r w:rsidR="007A1C7E">
              <w:rPr>
                <w:sz w:val="22"/>
                <w:szCs w:val="22"/>
              </w:rPr>
              <w:t>%</w:t>
            </w:r>
            <w:r w:rsidRPr="00143528">
              <w:rPr>
                <w:sz w:val="22"/>
                <w:szCs w:val="22"/>
              </w:rPr>
              <w:t>)</w:t>
            </w:r>
          </w:p>
        </w:tc>
        <w:tc>
          <w:tcPr>
            <w:tcW w:w="1666" w:type="pct"/>
            <w:tcBorders>
              <w:top w:val="single" w:sz="4" w:space="0" w:color="auto"/>
              <w:left w:val="single" w:sz="4" w:space="0" w:color="auto"/>
              <w:bottom w:val="single" w:sz="4" w:space="0" w:color="auto"/>
              <w:right w:val="single" w:sz="4" w:space="0" w:color="auto"/>
            </w:tcBorders>
            <w:hideMark/>
          </w:tcPr>
          <w:p w14:paraId="3F8A90D6" w14:textId="77777777" w:rsidR="00143528" w:rsidRPr="00143528" w:rsidRDefault="00143528" w:rsidP="00123771">
            <w:pPr>
              <w:ind w:left="84"/>
              <w:jc w:val="center"/>
              <w:rPr>
                <w:sz w:val="22"/>
                <w:szCs w:val="22"/>
              </w:rPr>
            </w:pPr>
            <w:r w:rsidRPr="00143528">
              <w:rPr>
                <w:sz w:val="22"/>
                <w:szCs w:val="22"/>
              </w:rPr>
              <w:t>273 (61,5)</w:t>
            </w:r>
          </w:p>
        </w:tc>
        <w:tc>
          <w:tcPr>
            <w:tcW w:w="1667" w:type="pct"/>
            <w:tcBorders>
              <w:top w:val="single" w:sz="4" w:space="0" w:color="auto"/>
              <w:left w:val="single" w:sz="4" w:space="0" w:color="auto"/>
              <w:bottom w:val="single" w:sz="4" w:space="0" w:color="auto"/>
              <w:right w:val="single" w:sz="4" w:space="0" w:color="auto"/>
            </w:tcBorders>
            <w:hideMark/>
          </w:tcPr>
          <w:p w14:paraId="41E32EB2" w14:textId="77777777" w:rsidR="00143528" w:rsidRPr="00143528" w:rsidRDefault="00143528" w:rsidP="00123771">
            <w:pPr>
              <w:ind w:left="84"/>
              <w:jc w:val="center"/>
              <w:rPr>
                <w:sz w:val="22"/>
                <w:szCs w:val="22"/>
              </w:rPr>
            </w:pPr>
            <w:r w:rsidRPr="00143528">
              <w:rPr>
                <w:sz w:val="22"/>
                <w:szCs w:val="22"/>
              </w:rPr>
              <w:t>132 (59,5)</w:t>
            </w:r>
          </w:p>
        </w:tc>
      </w:tr>
      <w:tr w:rsidR="00143528" w:rsidRPr="00143528" w14:paraId="6C0C9609" w14:textId="77777777" w:rsidTr="00D33C41">
        <w:tc>
          <w:tcPr>
            <w:tcW w:w="1667" w:type="pct"/>
            <w:tcBorders>
              <w:top w:val="single" w:sz="4" w:space="0" w:color="auto"/>
              <w:left w:val="single" w:sz="4" w:space="0" w:color="auto"/>
              <w:bottom w:val="single" w:sz="4" w:space="0" w:color="auto"/>
              <w:right w:val="single" w:sz="4" w:space="0" w:color="auto"/>
            </w:tcBorders>
            <w:hideMark/>
          </w:tcPr>
          <w:p w14:paraId="1A1730AC" w14:textId="58CEB446" w:rsidR="00143528" w:rsidRPr="00143528" w:rsidRDefault="00143528" w:rsidP="00D33C41">
            <w:pPr>
              <w:ind w:left="84"/>
              <w:rPr>
                <w:sz w:val="22"/>
                <w:szCs w:val="22"/>
                <w:lang w:val="da-DK"/>
              </w:rPr>
            </w:pPr>
            <w:r w:rsidRPr="00143528">
              <w:rPr>
                <w:sz w:val="22"/>
                <w:szCs w:val="22"/>
                <w:lang w:val="da-DK"/>
              </w:rPr>
              <w:t xml:space="preserve">Antal forsøgspersoner, der </w:t>
            </w:r>
            <w:proofErr w:type="spellStart"/>
            <w:r w:rsidRPr="00143528">
              <w:rPr>
                <w:sz w:val="22"/>
                <w:szCs w:val="22"/>
                <w:lang w:val="da-DK"/>
              </w:rPr>
              <w:t>restorer</w:t>
            </w:r>
            <w:proofErr w:type="spellEnd"/>
            <w:r w:rsidRPr="00143528">
              <w:rPr>
                <w:sz w:val="22"/>
                <w:szCs w:val="22"/>
                <w:lang w:val="da-DK"/>
              </w:rPr>
              <w:t xml:space="preserve"> i opfølgning (</w:t>
            </w:r>
            <w:r w:rsidR="007A1C7E">
              <w:rPr>
                <w:sz w:val="22"/>
                <w:szCs w:val="22"/>
                <w:lang w:val="da-DK"/>
              </w:rPr>
              <w:t>%</w:t>
            </w:r>
            <w:r w:rsidRPr="00143528">
              <w:rPr>
                <w:sz w:val="22"/>
                <w:szCs w:val="22"/>
                <w:lang w:val="da-DK"/>
              </w:rPr>
              <w:t>)</w:t>
            </w:r>
          </w:p>
        </w:tc>
        <w:tc>
          <w:tcPr>
            <w:tcW w:w="1666" w:type="pct"/>
            <w:tcBorders>
              <w:top w:val="single" w:sz="4" w:space="0" w:color="auto"/>
              <w:left w:val="single" w:sz="4" w:space="0" w:color="auto"/>
              <w:bottom w:val="single" w:sz="4" w:space="0" w:color="auto"/>
              <w:right w:val="single" w:sz="4" w:space="0" w:color="auto"/>
            </w:tcBorders>
            <w:hideMark/>
          </w:tcPr>
          <w:p w14:paraId="06B2EAA3" w14:textId="77777777" w:rsidR="00143528" w:rsidRPr="00143528" w:rsidRDefault="00143528" w:rsidP="00123771">
            <w:pPr>
              <w:ind w:left="84"/>
              <w:jc w:val="center"/>
              <w:rPr>
                <w:sz w:val="22"/>
                <w:szCs w:val="22"/>
              </w:rPr>
            </w:pPr>
            <w:r w:rsidRPr="00143528">
              <w:rPr>
                <w:sz w:val="22"/>
                <w:szCs w:val="22"/>
              </w:rPr>
              <w:t>112 (25,2)</w:t>
            </w:r>
          </w:p>
        </w:tc>
        <w:tc>
          <w:tcPr>
            <w:tcW w:w="1667" w:type="pct"/>
            <w:tcBorders>
              <w:top w:val="single" w:sz="4" w:space="0" w:color="auto"/>
              <w:left w:val="single" w:sz="4" w:space="0" w:color="auto"/>
              <w:bottom w:val="single" w:sz="4" w:space="0" w:color="auto"/>
              <w:right w:val="single" w:sz="4" w:space="0" w:color="auto"/>
            </w:tcBorders>
            <w:hideMark/>
          </w:tcPr>
          <w:p w14:paraId="18E032E1" w14:textId="77777777" w:rsidR="00143528" w:rsidRPr="00143528" w:rsidRDefault="00143528" w:rsidP="00123771">
            <w:pPr>
              <w:ind w:left="84"/>
              <w:jc w:val="center"/>
              <w:rPr>
                <w:sz w:val="22"/>
                <w:szCs w:val="22"/>
              </w:rPr>
            </w:pPr>
            <w:r w:rsidRPr="00143528">
              <w:rPr>
                <w:sz w:val="22"/>
                <w:szCs w:val="22"/>
              </w:rPr>
              <w:t>43 (19,4)</w:t>
            </w:r>
          </w:p>
        </w:tc>
      </w:tr>
      <w:tr w:rsidR="00143528" w:rsidRPr="00143528" w14:paraId="0832EC8E" w14:textId="77777777" w:rsidTr="00D33C41">
        <w:tc>
          <w:tcPr>
            <w:tcW w:w="1667" w:type="pct"/>
            <w:tcBorders>
              <w:top w:val="single" w:sz="4" w:space="0" w:color="auto"/>
              <w:left w:val="single" w:sz="4" w:space="0" w:color="auto"/>
              <w:bottom w:val="single" w:sz="4" w:space="0" w:color="auto"/>
              <w:right w:val="single" w:sz="4" w:space="0" w:color="auto"/>
            </w:tcBorders>
            <w:hideMark/>
          </w:tcPr>
          <w:p w14:paraId="39E4CF3B" w14:textId="59230BA8" w:rsidR="00143528" w:rsidRPr="00143528" w:rsidRDefault="00143528" w:rsidP="00D33C41">
            <w:pPr>
              <w:ind w:left="84"/>
              <w:rPr>
                <w:sz w:val="22"/>
                <w:szCs w:val="22"/>
              </w:rPr>
            </w:pPr>
            <w:r w:rsidRPr="00143528">
              <w:rPr>
                <w:sz w:val="22"/>
                <w:szCs w:val="22"/>
              </w:rPr>
              <w:t>Median OS (</w:t>
            </w:r>
            <w:proofErr w:type="spellStart"/>
            <w:r w:rsidRPr="00143528">
              <w:rPr>
                <w:sz w:val="22"/>
                <w:szCs w:val="22"/>
              </w:rPr>
              <w:t>måneder</w:t>
            </w:r>
            <w:proofErr w:type="spellEnd"/>
            <w:r w:rsidRPr="00143528">
              <w:rPr>
                <w:sz w:val="22"/>
                <w:szCs w:val="22"/>
              </w:rPr>
              <w:t xml:space="preserve"> [95</w:t>
            </w:r>
            <w:r w:rsidR="007A1C7E">
              <w:rPr>
                <w:sz w:val="22"/>
                <w:szCs w:val="22"/>
              </w:rPr>
              <w:t xml:space="preserve"> %</w:t>
            </w:r>
            <w:r w:rsidRPr="00143528">
              <w:rPr>
                <w:sz w:val="22"/>
                <w:szCs w:val="22"/>
              </w:rPr>
              <w:t xml:space="preserve"> CI])</w:t>
            </w:r>
          </w:p>
        </w:tc>
        <w:tc>
          <w:tcPr>
            <w:tcW w:w="1666" w:type="pct"/>
            <w:tcBorders>
              <w:top w:val="single" w:sz="4" w:space="0" w:color="auto"/>
              <w:left w:val="single" w:sz="4" w:space="0" w:color="auto"/>
              <w:bottom w:val="single" w:sz="4" w:space="0" w:color="auto"/>
              <w:right w:val="single" w:sz="4" w:space="0" w:color="auto"/>
            </w:tcBorders>
            <w:hideMark/>
          </w:tcPr>
          <w:p w14:paraId="19EEDCEF" w14:textId="77777777" w:rsidR="00143528" w:rsidRPr="00143528" w:rsidRDefault="00143528" w:rsidP="00123771">
            <w:pPr>
              <w:ind w:left="84"/>
              <w:jc w:val="center"/>
              <w:rPr>
                <w:sz w:val="22"/>
                <w:szCs w:val="22"/>
              </w:rPr>
            </w:pPr>
            <w:r w:rsidRPr="00143528">
              <w:rPr>
                <w:sz w:val="22"/>
                <w:szCs w:val="22"/>
              </w:rPr>
              <w:t>53,9 (49,8, 60,8)</w:t>
            </w:r>
          </w:p>
        </w:tc>
        <w:tc>
          <w:tcPr>
            <w:tcW w:w="1667" w:type="pct"/>
            <w:tcBorders>
              <w:top w:val="single" w:sz="4" w:space="0" w:color="auto"/>
              <w:left w:val="single" w:sz="4" w:space="0" w:color="auto"/>
              <w:bottom w:val="single" w:sz="4" w:space="0" w:color="auto"/>
              <w:right w:val="single" w:sz="4" w:space="0" w:color="auto"/>
            </w:tcBorders>
            <w:hideMark/>
          </w:tcPr>
          <w:p w14:paraId="7B9E6FC6" w14:textId="77777777" w:rsidR="00143528" w:rsidRPr="00143528" w:rsidRDefault="00143528" w:rsidP="00123771">
            <w:pPr>
              <w:ind w:left="84"/>
              <w:jc w:val="center"/>
              <w:rPr>
                <w:sz w:val="22"/>
                <w:szCs w:val="22"/>
              </w:rPr>
            </w:pPr>
            <w:r w:rsidRPr="00143528">
              <w:rPr>
                <w:sz w:val="22"/>
                <w:szCs w:val="22"/>
              </w:rPr>
              <w:t>51,2 (43,7, 58,9)</w:t>
            </w:r>
          </w:p>
        </w:tc>
      </w:tr>
      <w:tr w:rsidR="00143528" w:rsidRPr="00143528" w14:paraId="1358F427" w14:textId="77777777" w:rsidTr="00D33C41">
        <w:tc>
          <w:tcPr>
            <w:tcW w:w="1667" w:type="pct"/>
            <w:tcBorders>
              <w:top w:val="single" w:sz="4" w:space="0" w:color="auto"/>
              <w:left w:val="single" w:sz="4" w:space="0" w:color="auto"/>
              <w:bottom w:val="single" w:sz="4" w:space="0" w:color="auto"/>
              <w:right w:val="single" w:sz="4" w:space="0" w:color="auto"/>
            </w:tcBorders>
            <w:hideMark/>
          </w:tcPr>
          <w:p w14:paraId="24A9AD2C" w14:textId="2D31B16F" w:rsidR="00143528" w:rsidRPr="00143528" w:rsidRDefault="00143528" w:rsidP="00D33C41">
            <w:pPr>
              <w:ind w:left="84"/>
              <w:rPr>
                <w:sz w:val="22"/>
                <w:szCs w:val="22"/>
                <w:lang w:val="da-DK"/>
              </w:rPr>
            </w:pPr>
            <w:proofErr w:type="spellStart"/>
            <w:r w:rsidRPr="00143528">
              <w:rPr>
                <w:i/>
                <w:iCs/>
                <w:sz w:val="22"/>
                <w:szCs w:val="22"/>
                <w:lang w:val="da-DK"/>
              </w:rPr>
              <w:t>Hazard</w:t>
            </w:r>
            <w:proofErr w:type="spellEnd"/>
            <w:r w:rsidRPr="00143528">
              <w:rPr>
                <w:i/>
                <w:iCs/>
                <w:sz w:val="22"/>
                <w:szCs w:val="22"/>
                <w:lang w:val="da-DK"/>
              </w:rPr>
              <w:t xml:space="preserve"> ratio</w:t>
            </w:r>
            <w:r w:rsidRPr="00143528">
              <w:rPr>
                <w:sz w:val="22"/>
                <w:szCs w:val="22"/>
                <w:lang w:val="da-DK"/>
              </w:rPr>
              <w:t xml:space="preserve"> (95</w:t>
            </w:r>
            <w:r w:rsidR="007A1C7E">
              <w:rPr>
                <w:sz w:val="22"/>
                <w:szCs w:val="22"/>
                <w:lang w:val="da-DK"/>
              </w:rPr>
              <w:t xml:space="preserve"> %</w:t>
            </w:r>
            <w:r w:rsidRPr="00143528">
              <w:rPr>
                <w:sz w:val="22"/>
                <w:szCs w:val="22"/>
                <w:lang w:val="da-DK"/>
              </w:rPr>
              <w:t xml:space="preserve"> CI) og </w:t>
            </w:r>
            <w:proofErr w:type="spellStart"/>
            <w:r w:rsidRPr="00143528">
              <w:rPr>
                <w:sz w:val="22"/>
                <w:szCs w:val="22"/>
                <w:lang w:val="da-DK"/>
              </w:rPr>
              <w:t>p</w:t>
            </w:r>
            <w:r w:rsidRPr="00143528">
              <w:rPr>
                <w:sz w:val="22"/>
                <w:szCs w:val="22"/>
                <w:lang w:val="da-DK"/>
              </w:rPr>
              <w:noBreakHyphen/>
              <w:t>værdi</w:t>
            </w:r>
            <w:proofErr w:type="spellEnd"/>
            <w:r w:rsidRPr="00143528">
              <w:rPr>
                <w:sz w:val="22"/>
                <w:szCs w:val="22"/>
                <w:lang w:val="da-DK"/>
              </w:rPr>
              <w:t>†</w:t>
            </w:r>
          </w:p>
        </w:tc>
        <w:tc>
          <w:tcPr>
            <w:tcW w:w="3333" w:type="pct"/>
            <w:gridSpan w:val="2"/>
            <w:tcBorders>
              <w:top w:val="single" w:sz="4" w:space="0" w:color="auto"/>
              <w:left w:val="single" w:sz="4" w:space="0" w:color="auto"/>
              <w:bottom w:val="single" w:sz="4" w:space="0" w:color="auto"/>
              <w:right w:val="single" w:sz="4" w:space="0" w:color="auto"/>
            </w:tcBorders>
          </w:tcPr>
          <w:p w14:paraId="1C65438F" w14:textId="51CBB7FF" w:rsidR="00143528" w:rsidRPr="00143528" w:rsidRDefault="00143528" w:rsidP="00123771">
            <w:pPr>
              <w:ind w:left="84"/>
              <w:jc w:val="center"/>
              <w:rPr>
                <w:sz w:val="22"/>
                <w:szCs w:val="22"/>
              </w:rPr>
            </w:pPr>
            <w:r w:rsidRPr="00143528">
              <w:rPr>
                <w:sz w:val="22"/>
                <w:szCs w:val="22"/>
              </w:rPr>
              <w:t>0,956 (0,777, 1,177), p=0,6755†*</w:t>
            </w:r>
          </w:p>
          <w:p w14:paraId="73DD7EDE" w14:textId="77777777" w:rsidR="00143528" w:rsidRPr="00143528" w:rsidRDefault="00143528" w:rsidP="00123771">
            <w:pPr>
              <w:ind w:left="84"/>
              <w:jc w:val="center"/>
              <w:rPr>
                <w:sz w:val="22"/>
                <w:szCs w:val="22"/>
              </w:rPr>
            </w:pPr>
          </w:p>
        </w:tc>
      </w:tr>
    </w:tbl>
    <w:p w14:paraId="569B260D" w14:textId="77777777" w:rsidR="00143528" w:rsidRPr="00143528" w:rsidRDefault="00143528" w:rsidP="00D33C41">
      <w:pPr>
        <w:ind w:left="284" w:hanging="284"/>
        <w:rPr>
          <w:bCs/>
          <w:sz w:val="20"/>
          <w:lang w:val="sv-SE"/>
        </w:rPr>
      </w:pPr>
      <w:r w:rsidRPr="00143528">
        <w:rPr>
          <w:bCs/>
          <w:sz w:val="20"/>
          <w:lang w:val="sv-SE"/>
        </w:rPr>
        <w:t xml:space="preserve">CI = </w:t>
      </w:r>
      <w:proofErr w:type="spellStart"/>
      <w:r w:rsidRPr="00143528">
        <w:rPr>
          <w:bCs/>
          <w:sz w:val="20"/>
          <w:lang w:val="sv-SE"/>
        </w:rPr>
        <w:t>konfidensinterval</w:t>
      </w:r>
      <w:proofErr w:type="spellEnd"/>
      <w:r w:rsidRPr="00143528">
        <w:rPr>
          <w:bCs/>
          <w:sz w:val="20"/>
          <w:lang w:val="sv-SE"/>
        </w:rPr>
        <w:t>.</w:t>
      </w:r>
    </w:p>
    <w:p w14:paraId="190FAF2B" w14:textId="173161FB" w:rsidR="00143528" w:rsidRPr="00143528" w:rsidRDefault="00143528" w:rsidP="00D33C41">
      <w:pPr>
        <w:ind w:left="284" w:hanging="284"/>
        <w:rPr>
          <w:bCs/>
          <w:sz w:val="20"/>
          <w:lang w:val="sv-SE"/>
        </w:rPr>
      </w:pPr>
      <w:r w:rsidRPr="00143528">
        <w:rPr>
          <w:bCs/>
          <w:sz w:val="20"/>
          <w:lang w:val="sv-SE"/>
        </w:rPr>
        <w:t xml:space="preserve">* </w:t>
      </w:r>
      <w:r w:rsidR="00D33C41" w:rsidRPr="00123771">
        <w:rPr>
          <w:bCs/>
          <w:sz w:val="20"/>
          <w:lang w:val="sv-SE"/>
        </w:rPr>
        <w:tab/>
      </w:r>
      <w:proofErr w:type="spellStart"/>
      <w:r w:rsidRPr="00143528">
        <w:rPr>
          <w:bCs/>
          <w:sz w:val="20"/>
          <w:lang w:val="sv-SE"/>
        </w:rPr>
        <w:t>Ikke</w:t>
      </w:r>
      <w:proofErr w:type="spellEnd"/>
      <w:r w:rsidRPr="00143528">
        <w:rPr>
          <w:bCs/>
          <w:sz w:val="20"/>
          <w:lang w:val="sv-SE"/>
        </w:rPr>
        <w:t xml:space="preserve"> statistisk signifikant.</w:t>
      </w:r>
    </w:p>
    <w:p w14:paraId="09BFD46C" w14:textId="5C88AA0E" w:rsidR="00143528" w:rsidRPr="00143528" w:rsidRDefault="00143528" w:rsidP="00D33C41">
      <w:pPr>
        <w:ind w:left="284" w:hanging="284"/>
        <w:rPr>
          <w:bCs/>
          <w:sz w:val="20"/>
        </w:rPr>
      </w:pPr>
      <w:r w:rsidRPr="00143528">
        <w:rPr>
          <w:bCs/>
          <w:sz w:val="20"/>
        </w:rPr>
        <w:t xml:space="preserve">† </w:t>
      </w:r>
      <w:r w:rsidR="00D33C41" w:rsidRPr="00123771">
        <w:rPr>
          <w:bCs/>
          <w:sz w:val="20"/>
        </w:rPr>
        <w:tab/>
      </w:r>
      <w:r w:rsidRPr="00143528">
        <w:rPr>
          <w:bCs/>
          <w:sz w:val="20"/>
        </w:rPr>
        <w:t xml:space="preserve">2-sidet </w:t>
      </w:r>
      <w:proofErr w:type="spellStart"/>
      <w:r w:rsidRPr="00143528">
        <w:rPr>
          <w:bCs/>
          <w:sz w:val="20"/>
        </w:rPr>
        <w:t>p-værdi</w:t>
      </w:r>
      <w:proofErr w:type="spellEnd"/>
      <w:r w:rsidRPr="00143528">
        <w:rPr>
          <w:bCs/>
          <w:sz w:val="20"/>
        </w:rPr>
        <w:t xml:space="preserve"> fra log-rank test stratificeret efter sygdomssted (</w:t>
      </w:r>
      <w:proofErr w:type="spellStart"/>
      <w:r w:rsidRPr="00143528">
        <w:rPr>
          <w:bCs/>
          <w:sz w:val="20"/>
        </w:rPr>
        <w:t>visceralt</w:t>
      </w:r>
      <w:proofErr w:type="spellEnd"/>
      <w:r w:rsidRPr="00143528">
        <w:rPr>
          <w:bCs/>
          <w:sz w:val="20"/>
        </w:rPr>
        <w:t xml:space="preserve"> vs. ikke-</w:t>
      </w:r>
      <w:proofErr w:type="spellStart"/>
      <w:r w:rsidRPr="00143528">
        <w:rPr>
          <w:bCs/>
          <w:sz w:val="20"/>
        </w:rPr>
        <w:t>visceralt</w:t>
      </w:r>
      <w:proofErr w:type="spellEnd"/>
      <w:r w:rsidRPr="00143528">
        <w:rPr>
          <w:bCs/>
          <w:sz w:val="20"/>
        </w:rPr>
        <w:t xml:space="preserve">) pr. </w:t>
      </w:r>
      <w:proofErr w:type="spellStart"/>
      <w:r w:rsidRPr="00143528">
        <w:rPr>
          <w:bCs/>
          <w:sz w:val="20"/>
        </w:rPr>
        <w:t>randomisering</w:t>
      </w:r>
      <w:proofErr w:type="spellEnd"/>
      <w:r w:rsidRPr="00143528">
        <w:rPr>
          <w:bCs/>
          <w:sz w:val="20"/>
        </w:rPr>
        <w:t>.</w:t>
      </w:r>
    </w:p>
    <w:p w14:paraId="1F44F7DF" w14:textId="77777777" w:rsidR="00143528" w:rsidRPr="00143528" w:rsidRDefault="00143528" w:rsidP="00143528">
      <w:pPr>
        <w:tabs>
          <w:tab w:val="left" w:pos="851"/>
        </w:tabs>
        <w:ind w:left="851"/>
        <w:rPr>
          <w:bCs/>
          <w:sz w:val="24"/>
          <w:szCs w:val="24"/>
        </w:rPr>
      </w:pPr>
    </w:p>
    <w:p w14:paraId="33E5E82D" w14:textId="468B0F8B" w:rsidR="00143528" w:rsidRPr="00143528" w:rsidRDefault="00143528" w:rsidP="00143528">
      <w:pPr>
        <w:tabs>
          <w:tab w:val="left" w:pos="851"/>
        </w:tabs>
        <w:ind w:left="851"/>
        <w:rPr>
          <w:bCs/>
          <w:sz w:val="24"/>
          <w:szCs w:val="24"/>
        </w:rPr>
      </w:pPr>
      <w:r w:rsidRPr="00D33C41">
        <w:rPr>
          <w:noProof/>
          <w:sz w:val="24"/>
          <w:szCs w:val="24"/>
        </w:rPr>
        <w:drawing>
          <wp:inline distT="0" distB="0" distL="0" distR="0" wp14:anchorId="0091BF28" wp14:editId="5B4D7B96">
            <wp:extent cx="5760720" cy="3649980"/>
            <wp:effectExtent l="0" t="0" r="0" b="7620"/>
            <wp:docPr id="1511753401" name="Billede 7" descr="En bild som visar text, diagram, linje, Graf&#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n bild som visar text, diagram, linje, Graf&#10;&#10;AI-genererat innehåll kan vara felaktig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649980"/>
                    </a:xfrm>
                    <a:prstGeom prst="rect">
                      <a:avLst/>
                    </a:prstGeom>
                    <a:noFill/>
                    <a:ln>
                      <a:noFill/>
                    </a:ln>
                  </pic:spPr>
                </pic:pic>
              </a:graphicData>
            </a:graphic>
          </wp:inline>
        </w:drawing>
      </w:r>
    </w:p>
    <w:p w14:paraId="1608C8BD" w14:textId="77777777" w:rsidR="00143528" w:rsidRPr="00143528" w:rsidRDefault="00143528" w:rsidP="00143528">
      <w:pPr>
        <w:tabs>
          <w:tab w:val="left" w:pos="851"/>
        </w:tabs>
        <w:ind w:left="851"/>
        <w:rPr>
          <w:bCs/>
          <w:sz w:val="24"/>
          <w:szCs w:val="24"/>
        </w:rPr>
      </w:pPr>
    </w:p>
    <w:p w14:paraId="6A09AB96" w14:textId="77777777" w:rsidR="00143528" w:rsidRPr="00143528" w:rsidRDefault="00143528" w:rsidP="00D33C41">
      <w:pPr>
        <w:ind w:left="851"/>
        <w:rPr>
          <w:bCs/>
          <w:i/>
          <w:iCs/>
          <w:sz w:val="24"/>
          <w:szCs w:val="24"/>
        </w:rPr>
      </w:pPr>
      <w:r w:rsidRPr="00143528">
        <w:rPr>
          <w:bCs/>
          <w:i/>
          <w:iCs/>
          <w:sz w:val="24"/>
          <w:szCs w:val="24"/>
        </w:rPr>
        <w:t xml:space="preserve">Randomiseret fase 3-studie PALOMA-3: </w:t>
      </w:r>
      <w:proofErr w:type="spellStart"/>
      <w:r w:rsidRPr="00143528">
        <w:rPr>
          <w:bCs/>
          <w:i/>
          <w:iCs/>
          <w:sz w:val="24"/>
          <w:szCs w:val="24"/>
        </w:rPr>
        <w:t>palbociclib</w:t>
      </w:r>
      <w:proofErr w:type="spellEnd"/>
      <w:r w:rsidRPr="00143528">
        <w:rPr>
          <w:bCs/>
          <w:i/>
          <w:iCs/>
          <w:sz w:val="24"/>
          <w:szCs w:val="24"/>
        </w:rPr>
        <w:t xml:space="preserve"> i kombination med </w:t>
      </w:r>
      <w:proofErr w:type="spellStart"/>
      <w:r w:rsidRPr="00143528">
        <w:rPr>
          <w:bCs/>
          <w:i/>
          <w:iCs/>
          <w:sz w:val="24"/>
          <w:szCs w:val="24"/>
        </w:rPr>
        <w:t>fulvestrant</w:t>
      </w:r>
      <w:proofErr w:type="spellEnd"/>
    </w:p>
    <w:p w14:paraId="10088AC9" w14:textId="77777777" w:rsidR="00143528" w:rsidRPr="00143528" w:rsidRDefault="00143528" w:rsidP="00D33C41">
      <w:pPr>
        <w:ind w:left="851"/>
        <w:rPr>
          <w:bCs/>
          <w:i/>
          <w:iCs/>
          <w:sz w:val="24"/>
          <w:szCs w:val="24"/>
        </w:rPr>
      </w:pPr>
    </w:p>
    <w:p w14:paraId="32C10D13" w14:textId="77777777" w:rsidR="00143528" w:rsidRPr="00143528" w:rsidRDefault="00143528" w:rsidP="00D33C41">
      <w:pPr>
        <w:ind w:left="851"/>
        <w:rPr>
          <w:bCs/>
          <w:sz w:val="24"/>
          <w:szCs w:val="24"/>
        </w:rPr>
      </w:pPr>
      <w:r w:rsidRPr="00143528">
        <w:rPr>
          <w:bCs/>
          <w:sz w:val="24"/>
          <w:szCs w:val="24"/>
        </w:rPr>
        <w:t xml:space="preserve">Virkningen af </w:t>
      </w:r>
      <w:proofErr w:type="spellStart"/>
      <w:r w:rsidRPr="00143528">
        <w:rPr>
          <w:bCs/>
          <w:sz w:val="24"/>
          <w:szCs w:val="24"/>
        </w:rPr>
        <w:t>palbociclib</w:t>
      </w:r>
      <w:proofErr w:type="spellEnd"/>
      <w:r w:rsidRPr="00143528">
        <w:rPr>
          <w:bCs/>
          <w:sz w:val="24"/>
          <w:szCs w:val="24"/>
        </w:rPr>
        <w:t xml:space="preserve"> i kombination med </w:t>
      </w:r>
      <w:proofErr w:type="spellStart"/>
      <w:r w:rsidRPr="00143528">
        <w:rPr>
          <w:bCs/>
          <w:sz w:val="24"/>
          <w:szCs w:val="24"/>
        </w:rPr>
        <w:t>fulvestrant</w:t>
      </w:r>
      <w:proofErr w:type="spellEnd"/>
      <w:r w:rsidRPr="00143528">
        <w:rPr>
          <w:bCs/>
          <w:sz w:val="24"/>
          <w:szCs w:val="24"/>
        </w:rPr>
        <w:t xml:space="preserve"> </w:t>
      </w:r>
      <w:r w:rsidRPr="00143528">
        <w:rPr>
          <w:bCs/>
          <w:i/>
          <w:iCs/>
          <w:sz w:val="24"/>
          <w:szCs w:val="24"/>
        </w:rPr>
        <w:t xml:space="preserve">versus </w:t>
      </w:r>
      <w:proofErr w:type="spellStart"/>
      <w:r w:rsidRPr="00143528">
        <w:rPr>
          <w:bCs/>
          <w:sz w:val="24"/>
          <w:szCs w:val="24"/>
        </w:rPr>
        <w:t>fulvestrant</w:t>
      </w:r>
      <w:proofErr w:type="spellEnd"/>
      <w:r w:rsidRPr="00143528">
        <w:rPr>
          <w:bCs/>
          <w:sz w:val="24"/>
          <w:szCs w:val="24"/>
        </w:rPr>
        <w:t xml:space="preserve"> plus placebo blev evalueret i et internationalt, randomiseret, dobbeltblind multicenterstudie med parallelle grupper hos kvinder med HR-positiv, HER2-negativ lokalt fremskreden brystkræft, hvor kurativ </w:t>
      </w:r>
      <w:proofErr w:type="spellStart"/>
      <w:r w:rsidRPr="00143528">
        <w:rPr>
          <w:bCs/>
          <w:sz w:val="24"/>
          <w:szCs w:val="24"/>
        </w:rPr>
        <w:t>resektion</w:t>
      </w:r>
      <w:proofErr w:type="spellEnd"/>
      <w:r w:rsidRPr="00143528">
        <w:rPr>
          <w:bCs/>
          <w:sz w:val="24"/>
          <w:szCs w:val="24"/>
        </w:rPr>
        <w:t xml:space="preserve"> eller strålebehandling ikke var muligt, eller metastatisk brystkræft, uanset deres </w:t>
      </w:r>
      <w:proofErr w:type="spellStart"/>
      <w:r w:rsidRPr="00143528">
        <w:rPr>
          <w:bCs/>
          <w:sz w:val="24"/>
          <w:szCs w:val="24"/>
        </w:rPr>
        <w:t>menopausale</w:t>
      </w:r>
      <w:proofErr w:type="spellEnd"/>
      <w:r w:rsidRPr="00143528">
        <w:rPr>
          <w:bCs/>
          <w:sz w:val="24"/>
          <w:szCs w:val="24"/>
        </w:rPr>
        <w:t xml:space="preserve"> status, hvor sygdommen havde progredieret efter forudgående endokrin terapi i det neoadjuverende eller metastatiske scenario.</w:t>
      </w:r>
    </w:p>
    <w:p w14:paraId="331F5364" w14:textId="77777777" w:rsidR="00143528" w:rsidRPr="00143528" w:rsidRDefault="00143528" w:rsidP="00D33C41">
      <w:pPr>
        <w:ind w:left="851"/>
        <w:rPr>
          <w:bCs/>
          <w:sz w:val="24"/>
          <w:szCs w:val="24"/>
        </w:rPr>
      </w:pPr>
    </w:p>
    <w:p w14:paraId="53CEF3BA" w14:textId="107A7B14" w:rsidR="00143528" w:rsidRPr="00143528" w:rsidRDefault="00143528" w:rsidP="00D33C41">
      <w:pPr>
        <w:ind w:left="851"/>
        <w:rPr>
          <w:bCs/>
          <w:sz w:val="24"/>
          <w:szCs w:val="24"/>
        </w:rPr>
      </w:pPr>
      <w:r w:rsidRPr="00143528">
        <w:rPr>
          <w:bCs/>
          <w:sz w:val="24"/>
          <w:szCs w:val="24"/>
        </w:rPr>
        <w:t xml:space="preserve">I alt 521 præ-, peri- og </w:t>
      </w:r>
      <w:proofErr w:type="spellStart"/>
      <w:r w:rsidRPr="00143528">
        <w:rPr>
          <w:bCs/>
          <w:sz w:val="24"/>
          <w:szCs w:val="24"/>
        </w:rPr>
        <w:t>postmenopausale</w:t>
      </w:r>
      <w:proofErr w:type="spellEnd"/>
      <w:r w:rsidRPr="00143528">
        <w:rPr>
          <w:bCs/>
          <w:sz w:val="24"/>
          <w:szCs w:val="24"/>
        </w:rPr>
        <w:t xml:space="preserve"> kvinder, hvor sygdommen havde progredieret ved eller inden for 12 måneder efter afslutning af adjuverende endokrin terapi eller ved eller inden for 1 måned efter forudgående endokrin terapi for fremskreden sygdom, blev randomiseret i forholdet 2:1 til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fulvestrant</w:t>
      </w:r>
      <w:proofErr w:type="spellEnd"/>
      <w:r w:rsidRPr="00143528">
        <w:rPr>
          <w:bCs/>
          <w:sz w:val="24"/>
          <w:szCs w:val="24"/>
        </w:rPr>
        <w:t xml:space="preserve"> eller placebo plus </w:t>
      </w:r>
      <w:proofErr w:type="spellStart"/>
      <w:r w:rsidRPr="00143528">
        <w:rPr>
          <w:bCs/>
          <w:sz w:val="24"/>
          <w:szCs w:val="24"/>
        </w:rPr>
        <w:t>fulvestrant</w:t>
      </w:r>
      <w:proofErr w:type="spellEnd"/>
      <w:r w:rsidRPr="00143528">
        <w:rPr>
          <w:bCs/>
          <w:sz w:val="24"/>
          <w:szCs w:val="24"/>
        </w:rPr>
        <w:t xml:space="preserve"> og stratificeret iht. dokumenteret følsomhed overfor forudgående hormonbehandling, </w:t>
      </w:r>
      <w:proofErr w:type="spellStart"/>
      <w:r w:rsidRPr="00143528">
        <w:rPr>
          <w:bCs/>
          <w:sz w:val="24"/>
          <w:szCs w:val="24"/>
        </w:rPr>
        <w:t>menopausal</w:t>
      </w:r>
      <w:proofErr w:type="spellEnd"/>
      <w:r w:rsidRPr="00143528">
        <w:rPr>
          <w:bCs/>
          <w:sz w:val="24"/>
          <w:szCs w:val="24"/>
        </w:rPr>
        <w:t xml:space="preserve"> status ved inklusion i studiet (præ-/</w:t>
      </w:r>
      <w:proofErr w:type="spellStart"/>
      <w:r w:rsidRPr="00143528">
        <w:rPr>
          <w:bCs/>
          <w:sz w:val="24"/>
          <w:szCs w:val="24"/>
        </w:rPr>
        <w:t>peri</w:t>
      </w:r>
      <w:proofErr w:type="spellEnd"/>
      <w:r w:rsidRPr="00143528">
        <w:rPr>
          <w:bCs/>
          <w:sz w:val="24"/>
          <w:szCs w:val="24"/>
        </w:rPr>
        <w:t xml:space="preserve"> – </w:t>
      </w:r>
      <w:r w:rsidRPr="00143528">
        <w:rPr>
          <w:bCs/>
          <w:i/>
          <w:iCs/>
          <w:sz w:val="24"/>
          <w:szCs w:val="24"/>
        </w:rPr>
        <w:t>versus</w:t>
      </w:r>
      <w:r w:rsidRPr="00143528">
        <w:rPr>
          <w:bCs/>
          <w:sz w:val="24"/>
          <w:szCs w:val="24"/>
        </w:rPr>
        <w:t xml:space="preserve"> </w:t>
      </w:r>
      <w:proofErr w:type="spellStart"/>
      <w:r w:rsidRPr="00143528">
        <w:rPr>
          <w:bCs/>
          <w:sz w:val="24"/>
          <w:szCs w:val="24"/>
        </w:rPr>
        <w:t>postmenopausal</w:t>
      </w:r>
      <w:proofErr w:type="spellEnd"/>
      <w:r w:rsidRPr="00143528">
        <w:rPr>
          <w:bCs/>
          <w:sz w:val="24"/>
          <w:szCs w:val="24"/>
        </w:rPr>
        <w:t xml:space="preserve">) samt tilstedeværelse af </w:t>
      </w:r>
      <w:proofErr w:type="spellStart"/>
      <w:r w:rsidRPr="00143528">
        <w:rPr>
          <w:bCs/>
          <w:sz w:val="24"/>
          <w:szCs w:val="24"/>
        </w:rPr>
        <w:t>viscerale</w:t>
      </w:r>
      <w:proofErr w:type="spellEnd"/>
      <w:r w:rsidRPr="00143528">
        <w:rPr>
          <w:bCs/>
          <w:sz w:val="24"/>
          <w:szCs w:val="24"/>
        </w:rPr>
        <w:t xml:space="preserve"> metastaser. Præ-/</w:t>
      </w:r>
      <w:proofErr w:type="spellStart"/>
      <w:r w:rsidRPr="00143528">
        <w:rPr>
          <w:bCs/>
          <w:sz w:val="24"/>
          <w:szCs w:val="24"/>
        </w:rPr>
        <w:t>perimenopausale</w:t>
      </w:r>
      <w:proofErr w:type="spellEnd"/>
      <w:r w:rsidRPr="00143528">
        <w:rPr>
          <w:bCs/>
          <w:sz w:val="24"/>
          <w:szCs w:val="24"/>
        </w:rPr>
        <w:t xml:space="preserve"> kvinder fik LHRH-agonisten </w:t>
      </w:r>
      <w:proofErr w:type="spellStart"/>
      <w:r w:rsidRPr="00143528">
        <w:rPr>
          <w:bCs/>
          <w:sz w:val="24"/>
          <w:szCs w:val="24"/>
        </w:rPr>
        <w:t>goserelin</w:t>
      </w:r>
      <w:proofErr w:type="spellEnd"/>
      <w:r w:rsidRPr="00143528">
        <w:rPr>
          <w:bCs/>
          <w:sz w:val="24"/>
          <w:szCs w:val="24"/>
        </w:rPr>
        <w:t xml:space="preserve">. Patienter med fremskreden/metastatisk symptomatisk </w:t>
      </w:r>
      <w:proofErr w:type="spellStart"/>
      <w:r w:rsidRPr="00143528">
        <w:rPr>
          <w:bCs/>
          <w:sz w:val="24"/>
          <w:szCs w:val="24"/>
        </w:rPr>
        <w:t>visceral</w:t>
      </w:r>
      <w:proofErr w:type="spellEnd"/>
      <w:r w:rsidRPr="00143528">
        <w:rPr>
          <w:bCs/>
          <w:sz w:val="24"/>
          <w:szCs w:val="24"/>
        </w:rPr>
        <w:t xml:space="preserve"> spredning, der på kort sigt havde risiko for livstruende komplikationer (herunder patienter med massive ukontrollerede </w:t>
      </w:r>
      <w:proofErr w:type="spellStart"/>
      <w:r w:rsidRPr="00143528">
        <w:rPr>
          <w:bCs/>
          <w:sz w:val="24"/>
          <w:szCs w:val="24"/>
        </w:rPr>
        <w:t>effusioner</w:t>
      </w:r>
      <w:proofErr w:type="spellEnd"/>
      <w:r w:rsidRPr="00143528">
        <w:rPr>
          <w:bCs/>
          <w:sz w:val="24"/>
          <w:szCs w:val="24"/>
        </w:rPr>
        <w:t xml:space="preserve"> (</w:t>
      </w:r>
      <w:proofErr w:type="spellStart"/>
      <w:r w:rsidRPr="00143528">
        <w:rPr>
          <w:bCs/>
          <w:sz w:val="24"/>
          <w:szCs w:val="24"/>
        </w:rPr>
        <w:t>pleural</w:t>
      </w:r>
      <w:proofErr w:type="spellEnd"/>
      <w:r w:rsidRPr="00143528">
        <w:rPr>
          <w:bCs/>
          <w:sz w:val="24"/>
          <w:szCs w:val="24"/>
        </w:rPr>
        <w:t xml:space="preserve">, perikardial, </w:t>
      </w:r>
      <w:proofErr w:type="spellStart"/>
      <w:r w:rsidRPr="00143528">
        <w:rPr>
          <w:bCs/>
          <w:sz w:val="24"/>
          <w:szCs w:val="24"/>
        </w:rPr>
        <w:t>peritoneal</w:t>
      </w:r>
      <w:proofErr w:type="spellEnd"/>
      <w:r w:rsidRPr="00143528">
        <w:rPr>
          <w:bCs/>
          <w:sz w:val="24"/>
          <w:szCs w:val="24"/>
        </w:rPr>
        <w:t xml:space="preserve">), </w:t>
      </w:r>
      <w:proofErr w:type="spellStart"/>
      <w:r w:rsidRPr="00143528">
        <w:rPr>
          <w:bCs/>
          <w:sz w:val="24"/>
          <w:szCs w:val="24"/>
        </w:rPr>
        <w:t>pulmonal</w:t>
      </w:r>
      <w:proofErr w:type="spellEnd"/>
      <w:r w:rsidRPr="00143528">
        <w:rPr>
          <w:bCs/>
          <w:sz w:val="24"/>
          <w:szCs w:val="24"/>
        </w:rPr>
        <w:t xml:space="preserve"> </w:t>
      </w:r>
      <w:proofErr w:type="spellStart"/>
      <w:r w:rsidRPr="00143528">
        <w:rPr>
          <w:bCs/>
          <w:sz w:val="24"/>
          <w:szCs w:val="24"/>
        </w:rPr>
        <w:t>lymfangitis</w:t>
      </w:r>
      <w:proofErr w:type="spellEnd"/>
      <w:r w:rsidRPr="00143528">
        <w:rPr>
          <w:bCs/>
          <w:sz w:val="24"/>
          <w:szCs w:val="24"/>
        </w:rPr>
        <w:t xml:space="preserve"> og mere end 50</w:t>
      </w:r>
      <w:r w:rsidR="007A1C7E">
        <w:rPr>
          <w:bCs/>
          <w:sz w:val="24"/>
          <w:szCs w:val="24"/>
        </w:rPr>
        <w:t xml:space="preserve"> %</w:t>
      </w:r>
      <w:r w:rsidRPr="00143528">
        <w:rPr>
          <w:bCs/>
          <w:sz w:val="24"/>
          <w:szCs w:val="24"/>
        </w:rPr>
        <w:t xml:space="preserve"> leverinvolvering) var ikke egnede til inklusion i studiet.</w:t>
      </w:r>
    </w:p>
    <w:p w14:paraId="4568FC97" w14:textId="77777777" w:rsidR="00143528" w:rsidRPr="00143528" w:rsidRDefault="00143528" w:rsidP="00D33C41">
      <w:pPr>
        <w:ind w:left="851"/>
        <w:rPr>
          <w:bCs/>
          <w:sz w:val="24"/>
          <w:szCs w:val="24"/>
        </w:rPr>
      </w:pPr>
    </w:p>
    <w:p w14:paraId="67AEF469" w14:textId="77777777" w:rsidR="00143528" w:rsidRPr="00143528" w:rsidRDefault="00143528" w:rsidP="00D33C41">
      <w:pPr>
        <w:ind w:left="851"/>
        <w:rPr>
          <w:bCs/>
          <w:sz w:val="24"/>
          <w:szCs w:val="24"/>
        </w:rPr>
      </w:pPr>
      <w:r w:rsidRPr="00143528">
        <w:rPr>
          <w:bCs/>
          <w:sz w:val="24"/>
          <w:szCs w:val="24"/>
        </w:rPr>
        <w:t>Patienterne fortsatte med at få den tildelte behandling indtil objektiv sygdomsprogression, symptomforværring, uacceptabel toksicitet, død eller tilbagetrækning af samtykke, uanset hvad der indtraf først. Overkrydsning mellem de to behandlingsarme var ikke tilladt.</w:t>
      </w:r>
    </w:p>
    <w:p w14:paraId="3DE34BE4" w14:textId="77777777" w:rsidR="00143528" w:rsidRPr="00143528" w:rsidRDefault="00143528" w:rsidP="00D33C41">
      <w:pPr>
        <w:ind w:left="851"/>
        <w:rPr>
          <w:bCs/>
          <w:sz w:val="24"/>
          <w:szCs w:val="24"/>
        </w:rPr>
      </w:pPr>
    </w:p>
    <w:p w14:paraId="53E34B4F" w14:textId="1B9DA306" w:rsidR="00143528" w:rsidRPr="00143528" w:rsidRDefault="00143528" w:rsidP="00D33C41">
      <w:pPr>
        <w:ind w:left="851"/>
        <w:rPr>
          <w:bCs/>
          <w:sz w:val="24"/>
          <w:szCs w:val="24"/>
        </w:rPr>
      </w:pPr>
      <w:r w:rsidRPr="00143528">
        <w:rPr>
          <w:bCs/>
          <w:sz w:val="24"/>
          <w:szCs w:val="24"/>
        </w:rPr>
        <w:t xml:space="preserve">Patienterne var ligeligt fordelt mellem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fulvestrant</w:t>
      </w:r>
      <w:proofErr w:type="spellEnd"/>
      <w:r w:rsidRPr="00143528">
        <w:rPr>
          <w:bCs/>
          <w:sz w:val="24"/>
          <w:szCs w:val="24"/>
        </w:rPr>
        <w:t xml:space="preserve">-armen og placebo plus </w:t>
      </w:r>
      <w:proofErr w:type="spellStart"/>
      <w:r w:rsidRPr="00143528">
        <w:rPr>
          <w:bCs/>
          <w:sz w:val="24"/>
          <w:szCs w:val="24"/>
        </w:rPr>
        <w:t>fulvestrantarmen</w:t>
      </w:r>
      <w:proofErr w:type="spellEnd"/>
      <w:r w:rsidRPr="00143528">
        <w:rPr>
          <w:bCs/>
          <w:sz w:val="24"/>
          <w:szCs w:val="24"/>
        </w:rPr>
        <w:t xml:space="preserve"> mht. demografiske data ved </w:t>
      </w:r>
      <w:r w:rsidRPr="00143528">
        <w:rPr>
          <w:bCs/>
          <w:i/>
          <w:iCs/>
          <w:sz w:val="24"/>
          <w:szCs w:val="24"/>
        </w:rPr>
        <w:t xml:space="preserve">baseline </w:t>
      </w:r>
      <w:r w:rsidRPr="00143528">
        <w:rPr>
          <w:bCs/>
          <w:sz w:val="24"/>
          <w:szCs w:val="24"/>
        </w:rPr>
        <w:t xml:space="preserve">og prognostiske karakteristika. Den </w:t>
      </w:r>
      <w:proofErr w:type="spellStart"/>
      <w:r w:rsidRPr="00143528">
        <w:rPr>
          <w:bCs/>
          <w:sz w:val="24"/>
          <w:szCs w:val="24"/>
        </w:rPr>
        <w:t>mediane</w:t>
      </w:r>
      <w:proofErr w:type="spellEnd"/>
      <w:r w:rsidRPr="00143528">
        <w:rPr>
          <w:bCs/>
          <w:sz w:val="24"/>
          <w:szCs w:val="24"/>
        </w:rPr>
        <w:t xml:space="preserve"> alder for patienter inkluderet i studiet var 57 år (29-88 år). Størstedelen af patienterne i begge behandlingsarme var hvide, havde dokumenteret følsomhed for forudgående hormonbehandling og var </w:t>
      </w:r>
      <w:proofErr w:type="spellStart"/>
      <w:r w:rsidRPr="00143528">
        <w:rPr>
          <w:bCs/>
          <w:sz w:val="24"/>
          <w:szCs w:val="24"/>
        </w:rPr>
        <w:t>postmenopausale</w:t>
      </w:r>
      <w:proofErr w:type="spellEnd"/>
      <w:r w:rsidRPr="00143528">
        <w:rPr>
          <w:bCs/>
          <w:sz w:val="24"/>
          <w:szCs w:val="24"/>
        </w:rPr>
        <w:t>. Omkring 20</w:t>
      </w:r>
      <w:r w:rsidR="007A1C7E">
        <w:rPr>
          <w:bCs/>
          <w:sz w:val="24"/>
          <w:szCs w:val="24"/>
        </w:rPr>
        <w:t xml:space="preserve"> %</w:t>
      </w:r>
      <w:r w:rsidRPr="00143528">
        <w:rPr>
          <w:bCs/>
          <w:sz w:val="24"/>
          <w:szCs w:val="24"/>
        </w:rPr>
        <w:t xml:space="preserve"> af patienterne var præ-/</w:t>
      </w:r>
      <w:proofErr w:type="spellStart"/>
      <w:r w:rsidRPr="00143528">
        <w:rPr>
          <w:bCs/>
          <w:sz w:val="24"/>
          <w:szCs w:val="24"/>
        </w:rPr>
        <w:t>perimenopausale</w:t>
      </w:r>
      <w:proofErr w:type="spellEnd"/>
      <w:r w:rsidRPr="00143528">
        <w:rPr>
          <w:bCs/>
          <w:sz w:val="24"/>
          <w:szCs w:val="24"/>
        </w:rPr>
        <w:t>. Alle patienter havde fået forudgående systemisk behandling og de fleste patienter i begge behandlingsarme havde forudgående fået kemoterapi for deres primære diagnose. Mere end halvdelen (62</w:t>
      </w:r>
      <w:r w:rsidR="007A1C7E">
        <w:rPr>
          <w:bCs/>
          <w:sz w:val="24"/>
          <w:szCs w:val="24"/>
        </w:rPr>
        <w:t xml:space="preserve"> %</w:t>
      </w:r>
      <w:r w:rsidRPr="00143528">
        <w:rPr>
          <w:bCs/>
          <w:sz w:val="24"/>
          <w:szCs w:val="24"/>
        </w:rPr>
        <w:t>) havde ECOG-performance status 0, 60</w:t>
      </w:r>
      <w:r w:rsidR="007A1C7E">
        <w:rPr>
          <w:bCs/>
          <w:sz w:val="24"/>
          <w:szCs w:val="24"/>
        </w:rPr>
        <w:t xml:space="preserve"> %</w:t>
      </w:r>
      <w:r w:rsidRPr="00143528">
        <w:rPr>
          <w:bCs/>
          <w:sz w:val="24"/>
          <w:szCs w:val="24"/>
        </w:rPr>
        <w:t xml:space="preserve"> havde </w:t>
      </w:r>
      <w:proofErr w:type="spellStart"/>
      <w:r w:rsidRPr="00143528">
        <w:rPr>
          <w:bCs/>
          <w:sz w:val="24"/>
          <w:szCs w:val="24"/>
        </w:rPr>
        <w:t>viscerale</w:t>
      </w:r>
      <w:proofErr w:type="spellEnd"/>
      <w:r w:rsidRPr="00143528">
        <w:rPr>
          <w:bCs/>
          <w:sz w:val="24"/>
          <w:szCs w:val="24"/>
        </w:rPr>
        <w:t xml:space="preserve"> metastaser, og 60</w:t>
      </w:r>
      <w:r w:rsidR="007A1C7E">
        <w:rPr>
          <w:bCs/>
          <w:sz w:val="24"/>
          <w:szCs w:val="24"/>
        </w:rPr>
        <w:t xml:space="preserve"> %</w:t>
      </w:r>
      <w:r w:rsidRPr="00143528">
        <w:rPr>
          <w:bCs/>
          <w:sz w:val="24"/>
          <w:szCs w:val="24"/>
        </w:rPr>
        <w:t xml:space="preserve"> havde fået mere end en forudgående hormonbehandling for deres primære diagnose.</w:t>
      </w:r>
    </w:p>
    <w:p w14:paraId="51CCFB9A" w14:textId="77777777" w:rsidR="00143528" w:rsidRPr="00143528" w:rsidRDefault="00143528" w:rsidP="00D33C41">
      <w:pPr>
        <w:ind w:left="851"/>
        <w:rPr>
          <w:bCs/>
          <w:sz w:val="24"/>
          <w:szCs w:val="24"/>
        </w:rPr>
      </w:pPr>
    </w:p>
    <w:p w14:paraId="3FDD1DFC" w14:textId="77777777" w:rsidR="00143528" w:rsidRPr="00143528" w:rsidRDefault="00143528" w:rsidP="00D33C41">
      <w:pPr>
        <w:ind w:left="851"/>
        <w:rPr>
          <w:bCs/>
          <w:sz w:val="24"/>
          <w:szCs w:val="24"/>
        </w:rPr>
      </w:pPr>
      <w:r w:rsidRPr="00143528">
        <w:rPr>
          <w:bCs/>
          <w:sz w:val="24"/>
          <w:szCs w:val="24"/>
        </w:rPr>
        <w:t xml:space="preserve">Studiets primære endepunkt var </w:t>
      </w:r>
      <w:proofErr w:type="spellStart"/>
      <w:r w:rsidRPr="00143528">
        <w:rPr>
          <w:bCs/>
          <w:sz w:val="24"/>
          <w:szCs w:val="24"/>
        </w:rPr>
        <w:t>investigatorvurderet</w:t>
      </w:r>
      <w:proofErr w:type="spellEnd"/>
      <w:r w:rsidRPr="00143528">
        <w:rPr>
          <w:bCs/>
          <w:sz w:val="24"/>
          <w:szCs w:val="24"/>
        </w:rPr>
        <w:t xml:space="preserve"> progressionsfri overlevelse (PFS) i henhold til RECIST 1.1. Understøttende PFS-analyser var baseret på en central, uafhængig radiologisk gennemgang. Sekundære endepunkter omfattede OR, CBR, OS, sikkerhed og tid indtil forværring (TTD) for smerte-endepunktet.</w:t>
      </w:r>
    </w:p>
    <w:p w14:paraId="20D41AA0" w14:textId="77777777" w:rsidR="00143528" w:rsidRPr="00143528" w:rsidRDefault="00143528" w:rsidP="00D33C41">
      <w:pPr>
        <w:ind w:left="851"/>
        <w:rPr>
          <w:bCs/>
          <w:sz w:val="24"/>
          <w:szCs w:val="24"/>
        </w:rPr>
      </w:pPr>
    </w:p>
    <w:p w14:paraId="040E29F2" w14:textId="206174C9" w:rsidR="00143528" w:rsidRPr="00143528" w:rsidRDefault="00143528" w:rsidP="00D33C41">
      <w:pPr>
        <w:ind w:left="851"/>
        <w:rPr>
          <w:bCs/>
          <w:sz w:val="24"/>
          <w:szCs w:val="24"/>
        </w:rPr>
      </w:pPr>
      <w:r w:rsidRPr="00143528">
        <w:rPr>
          <w:bCs/>
          <w:sz w:val="24"/>
          <w:szCs w:val="24"/>
        </w:rPr>
        <w:t xml:space="preserve">Studiet opfyldte det primære endepunkt mht. forlængelse af </w:t>
      </w:r>
      <w:proofErr w:type="spellStart"/>
      <w:r w:rsidRPr="00143528">
        <w:rPr>
          <w:bCs/>
          <w:sz w:val="24"/>
          <w:szCs w:val="24"/>
        </w:rPr>
        <w:t>investigatorvurderet</w:t>
      </w:r>
      <w:proofErr w:type="spellEnd"/>
      <w:r w:rsidRPr="00143528">
        <w:rPr>
          <w:bCs/>
          <w:sz w:val="24"/>
          <w:szCs w:val="24"/>
        </w:rPr>
        <w:t xml:space="preserve"> progressionsfri overlevelse (PFS) ved interim-analysen, som blev foretaget med 82</w:t>
      </w:r>
      <w:r w:rsidR="007A1C7E">
        <w:rPr>
          <w:bCs/>
          <w:sz w:val="24"/>
          <w:szCs w:val="24"/>
        </w:rPr>
        <w:t xml:space="preserve"> %</w:t>
      </w:r>
      <w:r w:rsidRPr="00143528">
        <w:rPr>
          <w:bCs/>
          <w:sz w:val="24"/>
          <w:szCs w:val="24"/>
        </w:rPr>
        <w:t xml:space="preserve"> af de planlagte PFS-hændelser. Resultaterne krydsede den præspecificerede </w:t>
      </w:r>
      <w:proofErr w:type="spellStart"/>
      <w:r w:rsidRPr="00143528">
        <w:rPr>
          <w:bCs/>
          <w:sz w:val="24"/>
          <w:szCs w:val="24"/>
        </w:rPr>
        <w:t>Haybittle</w:t>
      </w:r>
      <w:proofErr w:type="spellEnd"/>
      <w:r w:rsidRPr="00143528">
        <w:rPr>
          <w:bCs/>
          <w:sz w:val="24"/>
          <w:szCs w:val="24"/>
        </w:rPr>
        <w:t>-Peto-effektgrænse (</w:t>
      </w:r>
      <w:r w:rsidRPr="00143528">
        <w:rPr>
          <w:bCs/>
          <w:sz w:val="24"/>
          <w:szCs w:val="24"/>
          <w:lang w:val="sv-SE"/>
        </w:rPr>
        <w:t>α</w:t>
      </w:r>
      <w:r w:rsidRPr="00143528">
        <w:rPr>
          <w:bCs/>
          <w:sz w:val="24"/>
          <w:szCs w:val="24"/>
        </w:rPr>
        <w:t xml:space="preserve"> = 0,00135) og viste en statistisk signifikant forlængelse af PFS og en klinisk relevant virkning af behandlingen. En senere opdatering af effektdata er vist i skema 9.</w:t>
      </w:r>
    </w:p>
    <w:p w14:paraId="2E6BD6C6" w14:textId="77777777" w:rsidR="00143528" w:rsidRPr="00143528" w:rsidRDefault="00143528" w:rsidP="00D33C41">
      <w:pPr>
        <w:ind w:left="851"/>
        <w:rPr>
          <w:bCs/>
          <w:sz w:val="24"/>
          <w:szCs w:val="24"/>
        </w:rPr>
      </w:pPr>
    </w:p>
    <w:p w14:paraId="7A1B23B2" w14:textId="2EA0672C" w:rsidR="00143528" w:rsidRPr="00143528" w:rsidRDefault="00143528" w:rsidP="00D33C41">
      <w:pPr>
        <w:ind w:left="851"/>
        <w:rPr>
          <w:bCs/>
          <w:sz w:val="24"/>
          <w:szCs w:val="24"/>
        </w:rPr>
      </w:pPr>
      <w:r w:rsidRPr="00143528">
        <w:rPr>
          <w:bCs/>
          <w:sz w:val="24"/>
          <w:szCs w:val="24"/>
        </w:rPr>
        <w:t>Efter en median opfølgningstid på 45 måneder blev en endelig OS-analyse udført baseret på 310 hændelser (60</w:t>
      </w:r>
      <w:r w:rsidR="007A1C7E">
        <w:rPr>
          <w:bCs/>
          <w:sz w:val="24"/>
          <w:szCs w:val="24"/>
        </w:rPr>
        <w:t xml:space="preserve"> %</w:t>
      </w:r>
      <w:r w:rsidRPr="00143528">
        <w:rPr>
          <w:bCs/>
          <w:sz w:val="24"/>
          <w:szCs w:val="24"/>
        </w:rPr>
        <w:t xml:space="preserve"> af randomiserede patienter). Der blev observeret en 6,9 måneders forskel i median OS i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fulvestrant</w:t>
      </w:r>
      <w:proofErr w:type="spellEnd"/>
      <w:r w:rsidRPr="00143528">
        <w:rPr>
          <w:bCs/>
          <w:sz w:val="24"/>
          <w:szCs w:val="24"/>
        </w:rPr>
        <w:t xml:space="preserve">-armen sammenlignet med placebo plus </w:t>
      </w:r>
      <w:proofErr w:type="spellStart"/>
      <w:r w:rsidRPr="00143528">
        <w:rPr>
          <w:bCs/>
          <w:sz w:val="24"/>
          <w:szCs w:val="24"/>
        </w:rPr>
        <w:t>fulvestrant</w:t>
      </w:r>
      <w:proofErr w:type="spellEnd"/>
      <w:r w:rsidRPr="00143528">
        <w:rPr>
          <w:bCs/>
          <w:sz w:val="24"/>
          <w:szCs w:val="24"/>
        </w:rPr>
        <w:t xml:space="preserve">-armen. Dette resultat var ikke statistisk signifikant ved det præspecificerede signifikansniveau på 0,0235 (1-sidet). I placebo plus </w:t>
      </w:r>
      <w:proofErr w:type="spellStart"/>
      <w:r w:rsidRPr="00143528">
        <w:rPr>
          <w:bCs/>
          <w:sz w:val="24"/>
          <w:szCs w:val="24"/>
        </w:rPr>
        <w:t>fulvestrant</w:t>
      </w:r>
      <w:proofErr w:type="spellEnd"/>
      <w:r w:rsidRPr="00143528">
        <w:rPr>
          <w:bCs/>
          <w:sz w:val="24"/>
          <w:szCs w:val="24"/>
        </w:rPr>
        <w:t>-armen fik 15,5</w:t>
      </w:r>
      <w:r w:rsidR="007A1C7E">
        <w:rPr>
          <w:bCs/>
          <w:sz w:val="24"/>
          <w:szCs w:val="24"/>
        </w:rPr>
        <w:t xml:space="preserve"> %</w:t>
      </w:r>
      <w:r w:rsidRPr="00143528">
        <w:rPr>
          <w:bCs/>
          <w:sz w:val="24"/>
          <w:szCs w:val="24"/>
        </w:rPr>
        <w:t xml:space="preserve"> af randomiserede patienter </w:t>
      </w:r>
      <w:proofErr w:type="spellStart"/>
      <w:r w:rsidRPr="00143528">
        <w:rPr>
          <w:bCs/>
          <w:sz w:val="24"/>
          <w:szCs w:val="24"/>
        </w:rPr>
        <w:t>palbociclib</w:t>
      </w:r>
      <w:proofErr w:type="spellEnd"/>
      <w:r w:rsidRPr="00143528">
        <w:rPr>
          <w:bCs/>
          <w:sz w:val="24"/>
          <w:szCs w:val="24"/>
        </w:rPr>
        <w:t xml:space="preserve"> og andre CDK-</w:t>
      </w:r>
      <w:proofErr w:type="spellStart"/>
      <w:r w:rsidRPr="00143528">
        <w:rPr>
          <w:bCs/>
          <w:sz w:val="24"/>
          <w:szCs w:val="24"/>
        </w:rPr>
        <w:t>hæmmere</w:t>
      </w:r>
      <w:proofErr w:type="spellEnd"/>
      <w:r w:rsidRPr="00143528">
        <w:rPr>
          <w:bCs/>
          <w:sz w:val="24"/>
          <w:szCs w:val="24"/>
        </w:rPr>
        <w:t xml:space="preserve"> som efterfølgende behandlinger efter progression.</w:t>
      </w:r>
    </w:p>
    <w:p w14:paraId="7E356596" w14:textId="77777777" w:rsidR="00143528" w:rsidRPr="00143528" w:rsidRDefault="00143528" w:rsidP="00D33C41">
      <w:pPr>
        <w:ind w:left="851"/>
        <w:rPr>
          <w:bCs/>
          <w:sz w:val="24"/>
          <w:szCs w:val="24"/>
        </w:rPr>
      </w:pPr>
    </w:p>
    <w:p w14:paraId="61872A7E" w14:textId="77777777" w:rsidR="00143528" w:rsidRPr="00143528" w:rsidRDefault="00143528" w:rsidP="00D33C41">
      <w:pPr>
        <w:ind w:left="851"/>
        <w:rPr>
          <w:bCs/>
          <w:sz w:val="24"/>
          <w:szCs w:val="24"/>
        </w:rPr>
      </w:pPr>
      <w:r w:rsidRPr="00143528">
        <w:rPr>
          <w:bCs/>
          <w:sz w:val="24"/>
          <w:szCs w:val="24"/>
        </w:rPr>
        <w:t xml:space="preserve">Resultaterne fra </w:t>
      </w:r>
      <w:proofErr w:type="spellStart"/>
      <w:r w:rsidRPr="00143528">
        <w:rPr>
          <w:bCs/>
          <w:sz w:val="24"/>
          <w:szCs w:val="24"/>
        </w:rPr>
        <w:t>investigatorvurderet</w:t>
      </w:r>
      <w:proofErr w:type="spellEnd"/>
      <w:r w:rsidRPr="00143528">
        <w:rPr>
          <w:bCs/>
          <w:sz w:val="24"/>
          <w:szCs w:val="24"/>
        </w:rPr>
        <w:t xml:space="preserve"> PFS og endelige OS-data fra PALOMA-3-studiet vises i skema 9. De relevante Kaplan-Meier-kurver vises i henholdsvis figur 3 og 4.</w:t>
      </w:r>
    </w:p>
    <w:p w14:paraId="19761F7C" w14:textId="77777777" w:rsidR="00143528" w:rsidRPr="00143528" w:rsidRDefault="00143528" w:rsidP="00143528">
      <w:pPr>
        <w:tabs>
          <w:tab w:val="left" w:pos="851"/>
        </w:tabs>
        <w:ind w:left="851"/>
        <w:rPr>
          <w:bCs/>
          <w:sz w:val="24"/>
          <w:szCs w:val="24"/>
        </w:rPr>
      </w:pPr>
    </w:p>
    <w:p w14:paraId="63A28740" w14:textId="551BFD9A" w:rsidR="00143528" w:rsidRPr="00143528" w:rsidRDefault="00143528" w:rsidP="00D33C41">
      <w:pPr>
        <w:rPr>
          <w:b/>
          <w:bCs/>
          <w:sz w:val="24"/>
          <w:szCs w:val="24"/>
          <w:lang w:val="sv-SE"/>
        </w:rPr>
      </w:pPr>
      <w:proofErr w:type="spellStart"/>
      <w:r w:rsidRPr="00143528">
        <w:rPr>
          <w:b/>
          <w:bCs/>
          <w:sz w:val="24"/>
          <w:szCs w:val="24"/>
          <w:lang w:val="sv-SE"/>
        </w:rPr>
        <w:t>Skema</w:t>
      </w:r>
      <w:proofErr w:type="spellEnd"/>
      <w:r w:rsidRPr="00143528">
        <w:rPr>
          <w:b/>
          <w:bCs/>
          <w:sz w:val="24"/>
          <w:szCs w:val="24"/>
          <w:lang w:val="sv-SE"/>
        </w:rPr>
        <w:t xml:space="preserve"> 9.</w:t>
      </w:r>
      <w:r w:rsidR="00D33C41" w:rsidRPr="00D33C41">
        <w:rPr>
          <w:b/>
          <w:bCs/>
          <w:sz w:val="24"/>
          <w:szCs w:val="24"/>
          <w:lang w:val="sv-SE"/>
        </w:rPr>
        <w:t xml:space="preserve"> </w:t>
      </w:r>
      <w:r w:rsidRPr="00143528">
        <w:rPr>
          <w:b/>
          <w:bCs/>
          <w:sz w:val="24"/>
          <w:szCs w:val="24"/>
          <w:lang w:val="sv-SE"/>
        </w:rPr>
        <w:t>Effektdata – PALOMA-3 (</w:t>
      </w:r>
      <w:proofErr w:type="spellStart"/>
      <w:r w:rsidRPr="00143528">
        <w:rPr>
          <w:b/>
          <w:bCs/>
          <w:sz w:val="24"/>
          <w:szCs w:val="24"/>
          <w:lang w:val="sv-SE"/>
        </w:rPr>
        <w:t>investigatorvurderet</w:t>
      </w:r>
      <w:proofErr w:type="spellEnd"/>
      <w:r w:rsidRPr="00143528">
        <w:rPr>
          <w:b/>
          <w:bCs/>
          <w:sz w:val="24"/>
          <w:szCs w:val="24"/>
          <w:lang w:val="sv-SE"/>
        </w:rPr>
        <w:t xml:space="preserve">, </w:t>
      </w:r>
      <w:proofErr w:type="spellStart"/>
      <w:r w:rsidRPr="00143528">
        <w:rPr>
          <w:b/>
          <w:bCs/>
          <w:i/>
          <w:iCs/>
          <w:sz w:val="24"/>
          <w:szCs w:val="24"/>
          <w:lang w:val="sv-SE"/>
        </w:rPr>
        <w:t>intent</w:t>
      </w:r>
      <w:proofErr w:type="spellEnd"/>
      <w:r w:rsidRPr="00143528">
        <w:rPr>
          <w:b/>
          <w:bCs/>
          <w:i/>
          <w:iCs/>
          <w:sz w:val="24"/>
          <w:szCs w:val="24"/>
          <w:lang w:val="sv-SE"/>
        </w:rPr>
        <w:t>-to-</w:t>
      </w:r>
      <w:proofErr w:type="spellStart"/>
      <w:r w:rsidRPr="00143528">
        <w:rPr>
          <w:b/>
          <w:bCs/>
          <w:i/>
          <w:iCs/>
          <w:sz w:val="24"/>
          <w:szCs w:val="24"/>
          <w:lang w:val="sv-SE"/>
        </w:rPr>
        <w:t>treat</w:t>
      </w:r>
      <w:proofErr w:type="spellEnd"/>
      <w:r w:rsidRPr="00143528">
        <w:rPr>
          <w:b/>
          <w:bCs/>
          <w:sz w:val="24"/>
          <w:szCs w:val="24"/>
          <w:lang w:val="sv-SE"/>
        </w:rPr>
        <w:t>-population)</w:t>
      </w:r>
    </w:p>
    <w:tbl>
      <w:tblPr>
        <w:tblW w:w="5000" w:type="pct"/>
        <w:tblCellMar>
          <w:left w:w="10" w:type="dxa"/>
          <w:right w:w="10" w:type="dxa"/>
        </w:tblCellMar>
        <w:tblLook w:val="04A0" w:firstRow="1" w:lastRow="0" w:firstColumn="1" w:lastColumn="0" w:noHBand="0" w:noVBand="1"/>
      </w:tblPr>
      <w:tblGrid>
        <w:gridCol w:w="5039"/>
        <w:gridCol w:w="2271"/>
        <w:gridCol w:w="2313"/>
      </w:tblGrid>
      <w:tr w:rsidR="00143528" w:rsidRPr="00143528" w14:paraId="359CA265" w14:textId="77777777" w:rsidTr="00D33C41">
        <w:trPr>
          <w:trHeight w:val="516"/>
        </w:trPr>
        <w:tc>
          <w:tcPr>
            <w:tcW w:w="2618" w:type="pct"/>
            <w:vMerge w:val="restar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tcPr>
          <w:p w14:paraId="3AC27351" w14:textId="77777777" w:rsidR="00143528" w:rsidRPr="00143528" w:rsidRDefault="00143528" w:rsidP="00D33C41">
            <w:pPr>
              <w:ind w:left="164"/>
              <w:rPr>
                <w:sz w:val="24"/>
                <w:szCs w:val="24"/>
                <w:lang w:val="en-GB"/>
              </w:rPr>
            </w:pPr>
          </w:p>
        </w:tc>
        <w:tc>
          <w:tcPr>
            <w:tcW w:w="2382" w:type="pct"/>
            <w:gridSpan w:val="2"/>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50CEC9A9" w14:textId="77777777" w:rsidR="00143528" w:rsidRPr="00143528" w:rsidRDefault="00143528" w:rsidP="00123771">
            <w:pPr>
              <w:ind w:left="164"/>
              <w:jc w:val="center"/>
              <w:rPr>
                <w:b/>
                <w:sz w:val="24"/>
                <w:szCs w:val="24"/>
                <w:lang w:val="en-GB"/>
              </w:rPr>
            </w:pPr>
            <w:proofErr w:type="spellStart"/>
            <w:r w:rsidRPr="00143528">
              <w:rPr>
                <w:b/>
                <w:sz w:val="24"/>
                <w:szCs w:val="24"/>
                <w:lang w:val="en-GB"/>
              </w:rPr>
              <w:t>Opdateret</w:t>
            </w:r>
            <w:proofErr w:type="spellEnd"/>
            <w:r w:rsidRPr="00143528">
              <w:rPr>
                <w:b/>
                <w:sz w:val="24"/>
                <w:szCs w:val="24"/>
                <w:lang w:val="en-GB"/>
              </w:rPr>
              <w:t xml:space="preserve"> analyse</w:t>
            </w:r>
          </w:p>
          <w:p w14:paraId="281B2D11" w14:textId="77777777" w:rsidR="00143528" w:rsidRPr="00143528" w:rsidRDefault="00143528" w:rsidP="00123771">
            <w:pPr>
              <w:ind w:left="164"/>
              <w:jc w:val="center"/>
              <w:rPr>
                <w:sz w:val="24"/>
                <w:szCs w:val="24"/>
                <w:lang w:val="en-GB"/>
              </w:rPr>
            </w:pPr>
            <w:r w:rsidRPr="00143528">
              <w:rPr>
                <w:b/>
                <w:sz w:val="24"/>
                <w:szCs w:val="24"/>
                <w:lang w:val="en-GB"/>
              </w:rPr>
              <w:t xml:space="preserve">(23. oktober 2015 </w:t>
            </w:r>
            <w:proofErr w:type="spellStart"/>
            <w:r w:rsidRPr="00143528">
              <w:rPr>
                <w:b/>
                <w:sz w:val="24"/>
                <w:szCs w:val="24"/>
                <w:lang w:val="en-GB"/>
              </w:rPr>
              <w:t>skæringsdato</w:t>
            </w:r>
            <w:proofErr w:type="spellEnd"/>
            <w:r w:rsidRPr="00143528">
              <w:rPr>
                <w:b/>
                <w:sz w:val="24"/>
                <w:szCs w:val="24"/>
                <w:lang w:val="en-GB"/>
              </w:rPr>
              <w:t>)</w:t>
            </w:r>
          </w:p>
        </w:tc>
      </w:tr>
      <w:tr w:rsidR="00143528" w:rsidRPr="00143528" w14:paraId="435A0C2F" w14:textId="77777777" w:rsidTr="00D33C41">
        <w:trPr>
          <w:trHeight w:val="770"/>
        </w:trPr>
        <w:tc>
          <w:tcPr>
            <w:tcW w:w="2618" w:type="pct"/>
            <w:vMerge/>
            <w:tcBorders>
              <w:top w:val="single" w:sz="4" w:space="0" w:color="000000"/>
              <w:left w:val="single" w:sz="8" w:space="0" w:color="000000"/>
              <w:bottom w:val="single" w:sz="4" w:space="0" w:color="000000"/>
              <w:right w:val="single" w:sz="4" w:space="0" w:color="000000"/>
            </w:tcBorders>
            <w:vAlign w:val="center"/>
            <w:hideMark/>
          </w:tcPr>
          <w:p w14:paraId="550EBF87" w14:textId="77777777" w:rsidR="00143528" w:rsidRPr="00143528" w:rsidRDefault="00143528" w:rsidP="00D33C41">
            <w:pPr>
              <w:ind w:left="164"/>
              <w:rPr>
                <w:sz w:val="24"/>
                <w:szCs w:val="24"/>
                <w:lang w:val="en-GB"/>
              </w:rPr>
            </w:pPr>
          </w:p>
        </w:tc>
        <w:tc>
          <w:tcPr>
            <w:tcW w:w="1180"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31D678C8" w14:textId="28A235B6" w:rsidR="00143528" w:rsidRPr="00143528" w:rsidRDefault="00143528" w:rsidP="00123771">
            <w:pPr>
              <w:ind w:left="164"/>
              <w:jc w:val="center"/>
              <w:rPr>
                <w:sz w:val="24"/>
                <w:szCs w:val="24"/>
                <w:lang w:val="en-GB"/>
              </w:rPr>
            </w:pPr>
            <w:r w:rsidRPr="00143528">
              <w:rPr>
                <w:b/>
                <w:sz w:val="24"/>
                <w:szCs w:val="24"/>
                <w:lang w:val="en-GB"/>
              </w:rPr>
              <w:t>Palbociclib</w:t>
            </w:r>
          </w:p>
          <w:p w14:paraId="0BE4693A" w14:textId="77777777" w:rsidR="00143528" w:rsidRPr="00143528" w:rsidRDefault="00143528" w:rsidP="00123771">
            <w:pPr>
              <w:ind w:left="164"/>
              <w:jc w:val="center"/>
              <w:rPr>
                <w:sz w:val="24"/>
                <w:szCs w:val="24"/>
                <w:lang w:val="en-GB"/>
              </w:rPr>
            </w:pPr>
            <w:r w:rsidRPr="00143528">
              <w:rPr>
                <w:b/>
                <w:sz w:val="24"/>
                <w:szCs w:val="24"/>
                <w:lang w:val="en-GB"/>
              </w:rPr>
              <w:t xml:space="preserve">plus </w:t>
            </w:r>
            <w:proofErr w:type="spellStart"/>
            <w:r w:rsidRPr="00143528">
              <w:rPr>
                <w:b/>
                <w:sz w:val="24"/>
                <w:szCs w:val="24"/>
                <w:lang w:val="en-GB"/>
              </w:rPr>
              <w:t>fulvestrant</w:t>
            </w:r>
            <w:proofErr w:type="spellEnd"/>
          </w:p>
          <w:p w14:paraId="54A57E02" w14:textId="77777777" w:rsidR="00143528" w:rsidRPr="00143528" w:rsidRDefault="00143528" w:rsidP="00123771">
            <w:pPr>
              <w:ind w:left="164"/>
              <w:jc w:val="center"/>
              <w:rPr>
                <w:sz w:val="24"/>
                <w:szCs w:val="24"/>
                <w:lang w:val="en-GB"/>
              </w:rPr>
            </w:pPr>
            <w:r w:rsidRPr="00143528">
              <w:rPr>
                <w:b/>
                <w:sz w:val="24"/>
                <w:szCs w:val="24"/>
                <w:lang w:val="en-GB"/>
              </w:rPr>
              <w:t>(N=347)</w:t>
            </w:r>
          </w:p>
        </w:tc>
        <w:tc>
          <w:tcPr>
            <w:tcW w:w="1202"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6BDFE572" w14:textId="77777777" w:rsidR="00143528" w:rsidRPr="00143528" w:rsidRDefault="00143528" w:rsidP="00123771">
            <w:pPr>
              <w:ind w:left="164"/>
              <w:jc w:val="center"/>
              <w:rPr>
                <w:b/>
                <w:sz w:val="24"/>
                <w:szCs w:val="24"/>
                <w:lang w:val="en-GB"/>
              </w:rPr>
            </w:pPr>
            <w:r w:rsidRPr="00143528">
              <w:rPr>
                <w:b/>
                <w:sz w:val="24"/>
                <w:szCs w:val="24"/>
                <w:lang w:val="en-GB"/>
              </w:rPr>
              <w:t xml:space="preserve">Placebo plus </w:t>
            </w:r>
            <w:proofErr w:type="spellStart"/>
            <w:r w:rsidRPr="00143528">
              <w:rPr>
                <w:b/>
                <w:sz w:val="24"/>
                <w:szCs w:val="24"/>
                <w:lang w:val="en-GB"/>
              </w:rPr>
              <w:t>fulvestrant</w:t>
            </w:r>
            <w:proofErr w:type="spellEnd"/>
          </w:p>
          <w:p w14:paraId="077234A3" w14:textId="77777777" w:rsidR="00143528" w:rsidRPr="00143528" w:rsidRDefault="00143528" w:rsidP="00123771">
            <w:pPr>
              <w:ind w:left="164"/>
              <w:jc w:val="center"/>
              <w:rPr>
                <w:sz w:val="24"/>
                <w:szCs w:val="24"/>
                <w:lang w:val="en-GB"/>
              </w:rPr>
            </w:pPr>
            <w:r w:rsidRPr="00143528">
              <w:rPr>
                <w:b/>
                <w:sz w:val="24"/>
                <w:szCs w:val="24"/>
                <w:lang w:val="en-GB"/>
              </w:rPr>
              <w:t>(N=174)</w:t>
            </w:r>
          </w:p>
        </w:tc>
      </w:tr>
      <w:tr w:rsidR="00143528" w:rsidRPr="00143528" w14:paraId="6E4BEF68" w14:textId="77777777" w:rsidTr="00D33C41">
        <w:trPr>
          <w:trHeight w:val="262"/>
        </w:trPr>
        <w:tc>
          <w:tcPr>
            <w:tcW w:w="2618" w:type="pc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70923F0A" w14:textId="77777777" w:rsidR="00143528" w:rsidRPr="00143528" w:rsidRDefault="00143528" w:rsidP="00D33C41">
            <w:pPr>
              <w:ind w:left="164"/>
              <w:rPr>
                <w:sz w:val="24"/>
                <w:szCs w:val="24"/>
                <w:lang w:val="en-GB"/>
              </w:rPr>
            </w:pPr>
            <w:proofErr w:type="spellStart"/>
            <w:r w:rsidRPr="00143528">
              <w:rPr>
                <w:b/>
                <w:sz w:val="24"/>
                <w:szCs w:val="24"/>
                <w:lang w:val="en-GB"/>
              </w:rPr>
              <w:t>Progressionsfri</w:t>
            </w:r>
            <w:proofErr w:type="spellEnd"/>
            <w:r w:rsidRPr="00143528">
              <w:rPr>
                <w:b/>
                <w:sz w:val="24"/>
                <w:szCs w:val="24"/>
                <w:lang w:val="en-GB"/>
              </w:rPr>
              <w:t xml:space="preserve"> </w:t>
            </w:r>
            <w:proofErr w:type="spellStart"/>
            <w:r w:rsidRPr="00143528">
              <w:rPr>
                <w:b/>
                <w:sz w:val="24"/>
                <w:szCs w:val="24"/>
                <w:lang w:val="en-GB"/>
              </w:rPr>
              <w:t>overlevelse</w:t>
            </w:r>
            <w:proofErr w:type="spellEnd"/>
            <w:r w:rsidRPr="00143528">
              <w:rPr>
                <w:b/>
                <w:sz w:val="24"/>
                <w:szCs w:val="24"/>
                <w:lang w:val="en-GB"/>
              </w:rPr>
              <w:t xml:space="preserve"> (PFS)</w:t>
            </w:r>
          </w:p>
        </w:tc>
        <w:tc>
          <w:tcPr>
            <w:tcW w:w="2382" w:type="pct"/>
            <w:gridSpan w:val="2"/>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tcPr>
          <w:p w14:paraId="358945EA" w14:textId="77777777" w:rsidR="00143528" w:rsidRPr="00143528" w:rsidRDefault="00143528" w:rsidP="00D33C41">
            <w:pPr>
              <w:ind w:left="164"/>
              <w:rPr>
                <w:sz w:val="24"/>
                <w:szCs w:val="24"/>
                <w:lang w:val="en-GB"/>
              </w:rPr>
            </w:pPr>
          </w:p>
        </w:tc>
      </w:tr>
      <w:tr w:rsidR="00143528" w:rsidRPr="00143528" w14:paraId="3208727A" w14:textId="77777777" w:rsidTr="00D33C41">
        <w:trPr>
          <w:trHeight w:val="264"/>
        </w:trPr>
        <w:tc>
          <w:tcPr>
            <w:tcW w:w="2618" w:type="pc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722C5AF8" w14:textId="0CE6BD98" w:rsidR="00143528" w:rsidRPr="00143528" w:rsidRDefault="00143528" w:rsidP="00D33C41">
            <w:pPr>
              <w:ind w:left="164"/>
              <w:rPr>
                <w:sz w:val="24"/>
                <w:szCs w:val="24"/>
                <w:lang w:val="en-GB"/>
              </w:rPr>
            </w:pPr>
            <w:r w:rsidRPr="00143528">
              <w:rPr>
                <w:sz w:val="24"/>
                <w:szCs w:val="24"/>
                <w:lang w:val="en-GB"/>
              </w:rPr>
              <w:t xml:space="preserve">Antal </w:t>
            </w:r>
            <w:proofErr w:type="spellStart"/>
            <w:r w:rsidRPr="00143528">
              <w:rPr>
                <w:sz w:val="24"/>
                <w:szCs w:val="24"/>
                <w:lang w:val="en-GB"/>
              </w:rPr>
              <w:t>hændelser</w:t>
            </w:r>
            <w:proofErr w:type="spellEnd"/>
            <w:r w:rsidRPr="00143528">
              <w:rPr>
                <w:sz w:val="24"/>
                <w:szCs w:val="24"/>
                <w:lang w:val="en-GB"/>
              </w:rPr>
              <w:t xml:space="preserve"> (</w:t>
            </w:r>
            <w:r w:rsidR="007A1C7E">
              <w:rPr>
                <w:sz w:val="24"/>
                <w:szCs w:val="24"/>
                <w:lang w:val="en-GB"/>
              </w:rPr>
              <w:t>%</w:t>
            </w:r>
            <w:r w:rsidRPr="00143528">
              <w:rPr>
                <w:sz w:val="24"/>
                <w:szCs w:val="24"/>
                <w:lang w:val="en-GB"/>
              </w:rPr>
              <w:t>)</w:t>
            </w:r>
          </w:p>
        </w:tc>
        <w:tc>
          <w:tcPr>
            <w:tcW w:w="1180"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2AAAD567" w14:textId="77777777" w:rsidR="00143528" w:rsidRPr="00143528" w:rsidRDefault="00143528" w:rsidP="00123771">
            <w:pPr>
              <w:ind w:left="164"/>
              <w:jc w:val="center"/>
              <w:rPr>
                <w:sz w:val="24"/>
                <w:szCs w:val="24"/>
                <w:lang w:val="en-GB"/>
              </w:rPr>
            </w:pPr>
            <w:r w:rsidRPr="00143528">
              <w:rPr>
                <w:sz w:val="24"/>
                <w:szCs w:val="24"/>
                <w:lang w:val="en-GB"/>
              </w:rPr>
              <w:t>200 (57,6)</w:t>
            </w:r>
          </w:p>
        </w:tc>
        <w:tc>
          <w:tcPr>
            <w:tcW w:w="1202"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76C9AD40" w14:textId="77777777" w:rsidR="00143528" w:rsidRPr="00143528" w:rsidRDefault="00143528" w:rsidP="00123771">
            <w:pPr>
              <w:ind w:left="164"/>
              <w:jc w:val="center"/>
              <w:rPr>
                <w:sz w:val="24"/>
                <w:szCs w:val="24"/>
                <w:lang w:val="en-GB"/>
              </w:rPr>
            </w:pPr>
            <w:r w:rsidRPr="00143528">
              <w:rPr>
                <w:sz w:val="24"/>
                <w:szCs w:val="24"/>
                <w:lang w:val="en-GB"/>
              </w:rPr>
              <w:t>133 (76,4)</w:t>
            </w:r>
          </w:p>
        </w:tc>
      </w:tr>
      <w:tr w:rsidR="00143528" w:rsidRPr="00143528" w14:paraId="408620C5" w14:textId="77777777" w:rsidTr="00D33C41">
        <w:trPr>
          <w:trHeight w:val="262"/>
        </w:trPr>
        <w:tc>
          <w:tcPr>
            <w:tcW w:w="2618" w:type="pc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091C8079" w14:textId="259DFB27" w:rsidR="00143528" w:rsidRPr="00143528" w:rsidRDefault="00143528" w:rsidP="00D33C41">
            <w:pPr>
              <w:ind w:left="164"/>
              <w:rPr>
                <w:sz w:val="24"/>
                <w:szCs w:val="24"/>
                <w:lang w:val="en-GB"/>
              </w:rPr>
            </w:pPr>
            <w:r w:rsidRPr="00143528">
              <w:rPr>
                <w:sz w:val="24"/>
                <w:szCs w:val="24"/>
                <w:lang w:val="en-GB"/>
              </w:rPr>
              <w:t xml:space="preserve">Median </w:t>
            </w:r>
            <w:proofErr w:type="spellStart"/>
            <w:r w:rsidRPr="00143528">
              <w:rPr>
                <w:sz w:val="24"/>
                <w:szCs w:val="24"/>
                <w:lang w:val="en-GB"/>
              </w:rPr>
              <w:t>måneder</w:t>
            </w:r>
            <w:proofErr w:type="spellEnd"/>
            <w:r w:rsidRPr="00143528">
              <w:rPr>
                <w:sz w:val="24"/>
                <w:szCs w:val="24"/>
                <w:lang w:val="en-GB"/>
              </w:rPr>
              <w:t xml:space="preserve"> (95</w:t>
            </w:r>
            <w:r w:rsidR="007A1C7E">
              <w:rPr>
                <w:sz w:val="24"/>
                <w:szCs w:val="24"/>
                <w:lang w:val="en-GB"/>
              </w:rPr>
              <w:t xml:space="preserve"> %</w:t>
            </w:r>
            <w:r w:rsidRPr="00143528">
              <w:rPr>
                <w:sz w:val="24"/>
                <w:szCs w:val="24"/>
                <w:lang w:val="en-GB"/>
              </w:rPr>
              <w:t xml:space="preserve"> CI)]</w:t>
            </w:r>
          </w:p>
        </w:tc>
        <w:tc>
          <w:tcPr>
            <w:tcW w:w="1180"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257966BE" w14:textId="77777777" w:rsidR="00143528" w:rsidRPr="00143528" w:rsidRDefault="00143528" w:rsidP="00123771">
            <w:pPr>
              <w:ind w:left="164"/>
              <w:jc w:val="center"/>
              <w:rPr>
                <w:sz w:val="24"/>
                <w:szCs w:val="24"/>
                <w:lang w:val="en-GB"/>
              </w:rPr>
            </w:pPr>
            <w:r w:rsidRPr="00143528">
              <w:rPr>
                <w:sz w:val="24"/>
                <w:szCs w:val="24"/>
                <w:lang w:val="en-GB"/>
              </w:rPr>
              <w:t>11,2 (9,5, 12,9)</w:t>
            </w:r>
          </w:p>
        </w:tc>
        <w:tc>
          <w:tcPr>
            <w:tcW w:w="1202"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3D67571F" w14:textId="77777777" w:rsidR="00143528" w:rsidRPr="00143528" w:rsidRDefault="00143528" w:rsidP="00123771">
            <w:pPr>
              <w:ind w:left="164"/>
              <w:jc w:val="center"/>
              <w:rPr>
                <w:sz w:val="24"/>
                <w:szCs w:val="24"/>
                <w:lang w:val="en-GB"/>
              </w:rPr>
            </w:pPr>
            <w:r w:rsidRPr="00143528">
              <w:rPr>
                <w:sz w:val="24"/>
                <w:szCs w:val="24"/>
                <w:lang w:val="en-GB"/>
              </w:rPr>
              <w:t>4,6 (3,5, 5,6)</w:t>
            </w:r>
          </w:p>
        </w:tc>
      </w:tr>
      <w:tr w:rsidR="00143528" w:rsidRPr="00143528" w14:paraId="3E25F04E" w14:textId="77777777" w:rsidTr="00D33C41">
        <w:trPr>
          <w:trHeight w:val="264"/>
        </w:trPr>
        <w:tc>
          <w:tcPr>
            <w:tcW w:w="2618" w:type="pc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74A3FD9B" w14:textId="23474D52" w:rsidR="00143528" w:rsidRPr="00143528" w:rsidRDefault="00143528" w:rsidP="00D33C41">
            <w:pPr>
              <w:ind w:left="164"/>
              <w:rPr>
                <w:sz w:val="24"/>
                <w:szCs w:val="24"/>
                <w:lang w:val="en-GB"/>
              </w:rPr>
            </w:pPr>
            <w:r w:rsidRPr="00143528">
              <w:rPr>
                <w:i/>
                <w:iCs/>
                <w:sz w:val="24"/>
                <w:szCs w:val="24"/>
                <w:lang w:val="en-GB"/>
              </w:rPr>
              <w:t>Hazard ratio</w:t>
            </w:r>
            <w:r w:rsidRPr="00143528">
              <w:rPr>
                <w:sz w:val="24"/>
                <w:szCs w:val="24"/>
                <w:lang w:val="en-GB"/>
              </w:rPr>
              <w:t xml:space="preserve"> (95</w:t>
            </w:r>
            <w:r w:rsidR="007A1C7E">
              <w:rPr>
                <w:sz w:val="24"/>
                <w:szCs w:val="24"/>
                <w:lang w:val="en-GB"/>
              </w:rPr>
              <w:t xml:space="preserve"> %</w:t>
            </w:r>
            <w:r w:rsidRPr="00143528">
              <w:rPr>
                <w:sz w:val="24"/>
                <w:szCs w:val="24"/>
                <w:lang w:val="en-GB"/>
              </w:rPr>
              <w:t xml:space="preserve"> CI) and p-</w:t>
            </w:r>
            <w:proofErr w:type="spellStart"/>
            <w:r w:rsidRPr="00143528">
              <w:rPr>
                <w:sz w:val="24"/>
                <w:szCs w:val="24"/>
                <w:lang w:val="en-GB"/>
              </w:rPr>
              <w:t>værdi</w:t>
            </w:r>
            <w:proofErr w:type="spellEnd"/>
          </w:p>
        </w:tc>
        <w:tc>
          <w:tcPr>
            <w:tcW w:w="2382" w:type="pct"/>
            <w:gridSpan w:val="2"/>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52450D8E" w14:textId="77777777" w:rsidR="00143528" w:rsidRPr="00143528" w:rsidRDefault="00143528" w:rsidP="00123771">
            <w:pPr>
              <w:ind w:left="164"/>
              <w:jc w:val="center"/>
              <w:rPr>
                <w:sz w:val="24"/>
                <w:szCs w:val="24"/>
                <w:lang w:val="en-GB"/>
              </w:rPr>
            </w:pPr>
            <w:r w:rsidRPr="00143528">
              <w:rPr>
                <w:sz w:val="24"/>
                <w:szCs w:val="24"/>
                <w:lang w:val="en-GB"/>
              </w:rPr>
              <w:t>0,497 (0,398, 0,620), p&lt; 0,000001</w:t>
            </w:r>
          </w:p>
        </w:tc>
      </w:tr>
      <w:tr w:rsidR="00143528" w:rsidRPr="00143528" w14:paraId="067222F1" w14:textId="77777777" w:rsidTr="00D33C41">
        <w:trPr>
          <w:trHeight w:val="382"/>
        </w:trPr>
        <w:tc>
          <w:tcPr>
            <w:tcW w:w="2618" w:type="pct"/>
            <w:tcBorders>
              <w:top w:val="single" w:sz="4" w:space="0" w:color="000000"/>
              <w:left w:val="single" w:sz="8" w:space="0" w:color="000000"/>
              <w:bottom w:val="single" w:sz="4" w:space="0" w:color="000000"/>
              <w:right w:val="nil"/>
            </w:tcBorders>
            <w:tcMar>
              <w:top w:w="55" w:type="dxa"/>
              <w:left w:w="19" w:type="dxa"/>
              <w:bottom w:w="0" w:type="dxa"/>
              <w:right w:w="115" w:type="dxa"/>
            </w:tcMar>
            <w:hideMark/>
          </w:tcPr>
          <w:p w14:paraId="5080B381" w14:textId="77777777" w:rsidR="00143528" w:rsidRPr="00143528" w:rsidRDefault="00143528" w:rsidP="00D33C41">
            <w:pPr>
              <w:ind w:left="164"/>
              <w:rPr>
                <w:sz w:val="24"/>
                <w:szCs w:val="24"/>
                <w:lang w:val="en-GB"/>
              </w:rPr>
            </w:pPr>
            <w:proofErr w:type="spellStart"/>
            <w:r w:rsidRPr="00143528">
              <w:rPr>
                <w:b/>
                <w:sz w:val="24"/>
                <w:szCs w:val="24"/>
                <w:lang w:val="en-GB"/>
              </w:rPr>
              <w:t>Sekundære</w:t>
            </w:r>
            <w:proofErr w:type="spellEnd"/>
            <w:r w:rsidRPr="00143528">
              <w:rPr>
                <w:b/>
                <w:sz w:val="24"/>
                <w:szCs w:val="24"/>
                <w:lang w:val="en-GB"/>
              </w:rPr>
              <w:t xml:space="preserve"> </w:t>
            </w:r>
            <w:proofErr w:type="spellStart"/>
            <w:r w:rsidRPr="00143528">
              <w:rPr>
                <w:b/>
                <w:sz w:val="24"/>
                <w:szCs w:val="24"/>
                <w:lang w:val="en-GB"/>
              </w:rPr>
              <w:t>endepunkter</w:t>
            </w:r>
            <w:proofErr w:type="spellEnd"/>
            <w:r w:rsidRPr="00143528">
              <w:rPr>
                <w:b/>
                <w:sz w:val="24"/>
                <w:szCs w:val="24"/>
                <w:lang w:val="en-GB"/>
              </w:rPr>
              <w:t>*</w:t>
            </w:r>
          </w:p>
        </w:tc>
        <w:tc>
          <w:tcPr>
            <w:tcW w:w="2382" w:type="pct"/>
            <w:gridSpan w:val="2"/>
            <w:tcBorders>
              <w:top w:val="single" w:sz="4" w:space="0" w:color="000000"/>
              <w:left w:val="nil"/>
              <w:bottom w:val="single" w:sz="4" w:space="0" w:color="000000"/>
              <w:right w:val="single" w:sz="4" w:space="0" w:color="000000"/>
            </w:tcBorders>
            <w:tcMar>
              <w:top w:w="55" w:type="dxa"/>
              <w:left w:w="19" w:type="dxa"/>
              <w:bottom w:w="0" w:type="dxa"/>
              <w:right w:w="115" w:type="dxa"/>
            </w:tcMar>
          </w:tcPr>
          <w:p w14:paraId="74734D87" w14:textId="77777777" w:rsidR="00143528" w:rsidRPr="00143528" w:rsidRDefault="00143528" w:rsidP="00D33C41">
            <w:pPr>
              <w:ind w:left="164"/>
              <w:rPr>
                <w:sz w:val="24"/>
                <w:szCs w:val="24"/>
                <w:lang w:val="en-GB"/>
              </w:rPr>
            </w:pPr>
          </w:p>
        </w:tc>
      </w:tr>
      <w:tr w:rsidR="00143528" w:rsidRPr="00143528" w14:paraId="6AD3F8E4" w14:textId="77777777" w:rsidTr="00D33C41">
        <w:trPr>
          <w:trHeight w:val="264"/>
        </w:trPr>
        <w:tc>
          <w:tcPr>
            <w:tcW w:w="2618" w:type="pc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63B3246E" w14:textId="4038D55A" w:rsidR="00143528" w:rsidRPr="00143528" w:rsidRDefault="00143528" w:rsidP="00D33C41">
            <w:pPr>
              <w:ind w:left="164"/>
              <w:rPr>
                <w:sz w:val="24"/>
                <w:szCs w:val="24"/>
                <w:lang w:val="en-GB"/>
              </w:rPr>
            </w:pPr>
            <w:r w:rsidRPr="00143528">
              <w:rPr>
                <w:sz w:val="24"/>
                <w:szCs w:val="24"/>
                <w:lang w:val="en-GB"/>
              </w:rPr>
              <w:t>OR</w:t>
            </w:r>
            <w:r w:rsidR="007A1C7E">
              <w:rPr>
                <w:sz w:val="24"/>
                <w:szCs w:val="24"/>
                <w:lang w:val="en-GB"/>
              </w:rPr>
              <w:t xml:space="preserve"> %</w:t>
            </w:r>
            <w:r w:rsidRPr="00143528">
              <w:rPr>
                <w:sz w:val="24"/>
                <w:szCs w:val="24"/>
                <w:lang w:val="en-GB"/>
              </w:rPr>
              <w:t xml:space="preserve"> (95</w:t>
            </w:r>
            <w:r w:rsidR="007A1C7E">
              <w:rPr>
                <w:sz w:val="24"/>
                <w:szCs w:val="24"/>
                <w:lang w:val="en-GB"/>
              </w:rPr>
              <w:t xml:space="preserve"> %</w:t>
            </w:r>
            <w:r w:rsidRPr="00143528">
              <w:rPr>
                <w:sz w:val="24"/>
                <w:szCs w:val="24"/>
                <w:lang w:val="en-GB"/>
              </w:rPr>
              <w:t xml:space="preserve"> CI)</w:t>
            </w:r>
          </w:p>
        </w:tc>
        <w:tc>
          <w:tcPr>
            <w:tcW w:w="1180"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6A898898" w14:textId="77777777" w:rsidR="00143528" w:rsidRPr="00143528" w:rsidRDefault="00143528" w:rsidP="00123771">
            <w:pPr>
              <w:ind w:left="164"/>
              <w:jc w:val="center"/>
              <w:rPr>
                <w:sz w:val="24"/>
                <w:szCs w:val="24"/>
                <w:lang w:val="en-GB"/>
              </w:rPr>
            </w:pPr>
            <w:r w:rsidRPr="00143528">
              <w:rPr>
                <w:sz w:val="24"/>
                <w:szCs w:val="24"/>
                <w:lang w:val="en-GB"/>
              </w:rPr>
              <w:t>26,2 (21,7, 31,2)</w:t>
            </w:r>
          </w:p>
        </w:tc>
        <w:tc>
          <w:tcPr>
            <w:tcW w:w="1202"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394A19FE" w14:textId="77777777" w:rsidR="00143528" w:rsidRPr="00143528" w:rsidRDefault="00143528" w:rsidP="00123771">
            <w:pPr>
              <w:ind w:left="164"/>
              <w:jc w:val="center"/>
              <w:rPr>
                <w:sz w:val="24"/>
                <w:szCs w:val="24"/>
                <w:lang w:val="en-GB"/>
              </w:rPr>
            </w:pPr>
            <w:r w:rsidRPr="00143528">
              <w:rPr>
                <w:sz w:val="24"/>
                <w:szCs w:val="24"/>
                <w:lang w:val="en-GB"/>
              </w:rPr>
              <w:t>13,8 (9,0, 19,8)</w:t>
            </w:r>
          </w:p>
        </w:tc>
      </w:tr>
      <w:tr w:rsidR="00143528" w:rsidRPr="00143528" w14:paraId="154CD6A4" w14:textId="77777777" w:rsidTr="00D33C41">
        <w:trPr>
          <w:trHeight w:val="264"/>
        </w:trPr>
        <w:tc>
          <w:tcPr>
            <w:tcW w:w="2618" w:type="pc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610037F0" w14:textId="290937EF" w:rsidR="00143528" w:rsidRPr="00143528" w:rsidRDefault="00143528" w:rsidP="00D33C41">
            <w:pPr>
              <w:ind w:left="164"/>
              <w:rPr>
                <w:sz w:val="24"/>
                <w:szCs w:val="24"/>
                <w:lang w:val="en-GB"/>
              </w:rPr>
            </w:pPr>
            <w:r w:rsidRPr="00143528">
              <w:rPr>
                <w:sz w:val="24"/>
                <w:szCs w:val="24"/>
                <w:lang w:val="en-GB"/>
              </w:rPr>
              <w:t>OR (</w:t>
            </w:r>
            <w:proofErr w:type="spellStart"/>
            <w:r w:rsidRPr="00143528">
              <w:rPr>
                <w:sz w:val="24"/>
                <w:szCs w:val="24"/>
                <w:lang w:val="en-GB"/>
              </w:rPr>
              <w:t>målbar</w:t>
            </w:r>
            <w:proofErr w:type="spellEnd"/>
            <w:r w:rsidRPr="00143528">
              <w:rPr>
                <w:sz w:val="24"/>
                <w:szCs w:val="24"/>
                <w:lang w:val="en-GB"/>
              </w:rPr>
              <w:t xml:space="preserve"> </w:t>
            </w:r>
            <w:proofErr w:type="spellStart"/>
            <w:r w:rsidRPr="00143528">
              <w:rPr>
                <w:sz w:val="24"/>
                <w:szCs w:val="24"/>
                <w:lang w:val="en-GB"/>
              </w:rPr>
              <w:t>sygdom</w:t>
            </w:r>
            <w:proofErr w:type="spellEnd"/>
            <w:r w:rsidRPr="00143528">
              <w:rPr>
                <w:sz w:val="24"/>
                <w:szCs w:val="24"/>
                <w:lang w:val="en-GB"/>
              </w:rPr>
              <w:t>)</w:t>
            </w:r>
            <w:r w:rsidR="007A1C7E">
              <w:rPr>
                <w:b/>
                <w:sz w:val="24"/>
                <w:szCs w:val="24"/>
                <w:lang w:val="en-GB"/>
              </w:rPr>
              <w:t xml:space="preserve"> %</w:t>
            </w:r>
            <w:r w:rsidRPr="00143528">
              <w:rPr>
                <w:sz w:val="24"/>
                <w:szCs w:val="24"/>
                <w:lang w:val="en-GB"/>
              </w:rPr>
              <w:t xml:space="preserve"> (95</w:t>
            </w:r>
            <w:r w:rsidR="007A1C7E">
              <w:rPr>
                <w:sz w:val="24"/>
                <w:szCs w:val="24"/>
                <w:lang w:val="en-GB"/>
              </w:rPr>
              <w:t xml:space="preserve"> %</w:t>
            </w:r>
            <w:r w:rsidRPr="00143528">
              <w:rPr>
                <w:sz w:val="24"/>
                <w:szCs w:val="24"/>
                <w:lang w:val="en-GB"/>
              </w:rPr>
              <w:t xml:space="preserve"> CI)</w:t>
            </w:r>
          </w:p>
        </w:tc>
        <w:tc>
          <w:tcPr>
            <w:tcW w:w="1180"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606EEECB" w14:textId="77777777" w:rsidR="00143528" w:rsidRPr="00143528" w:rsidRDefault="00143528" w:rsidP="00123771">
            <w:pPr>
              <w:ind w:left="164"/>
              <w:jc w:val="center"/>
              <w:rPr>
                <w:sz w:val="24"/>
                <w:szCs w:val="24"/>
                <w:lang w:val="en-GB"/>
              </w:rPr>
            </w:pPr>
            <w:r w:rsidRPr="00143528">
              <w:rPr>
                <w:sz w:val="24"/>
                <w:szCs w:val="24"/>
                <w:lang w:val="en-GB"/>
              </w:rPr>
              <w:t>33,7 (28,1, 39,7)</w:t>
            </w:r>
          </w:p>
        </w:tc>
        <w:tc>
          <w:tcPr>
            <w:tcW w:w="1202"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1ACBBE36" w14:textId="77777777" w:rsidR="00143528" w:rsidRPr="00143528" w:rsidRDefault="00143528" w:rsidP="00123771">
            <w:pPr>
              <w:ind w:left="164"/>
              <w:jc w:val="center"/>
              <w:rPr>
                <w:sz w:val="24"/>
                <w:szCs w:val="24"/>
                <w:lang w:val="en-GB"/>
              </w:rPr>
            </w:pPr>
            <w:r w:rsidRPr="00143528">
              <w:rPr>
                <w:sz w:val="24"/>
                <w:szCs w:val="24"/>
                <w:lang w:val="en-GB"/>
              </w:rPr>
              <w:t>17,4 (11,5, 24,8)</w:t>
            </w:r>
          </w:p>
        </w:tc>
      </w:tr>
      <w:tr w:rsidR="00143528" w:rsidRPr="00143528" w14:paraId="45A9EC99" w14:textId="77777777" w:rsidTr="00D33C41">
        <w:trPr>
          <w:trHeight w:val="262"/>
        </w:trPr>
        <w:tc>
          <w:tcPr>
            <w:tcW w:w="2618" w:type="pc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3FD30DD2" w14:textId="434363CD" w:rsidR="00143528" w:rsidRPr="00143528" w:rsidRDefault="00143528" w:rsidP="00D33C41">
            <w:pPr>
              <w:ind w:left="164"/>
              <w:rPr>
                <w:sz w:val="24"/>
                <w:szCs w:val="24"/>
                <w:lang w:val="en-GB"/>
              </w:rPr>
            </w:pPr>
            <w:r w:rsidRPr="00143528">
              <w:rPr>
                <w:sz w:val="24"/>
                <w:szCs w:val="24"/>
                <w:lang w:val="en-GB"/>
              </w:rPr>
              <w:t>CBR</w:t>
            </w:r>
            <w:r w:rsidR="007A1C7E">
              <w:rPr>
                <w:b/>
                <w:sz w:val="24"/>
                <w:szCs w:val="24"/>
                <w:lang w:val="en-GB"/>
              </w:rPr>
              <w:t xml:space="preserve"> %</w:t>
            </w:r>
            <w:r w:rsidRPr="00143528">
              <w:rPr>
                <w:sz w:val="24"/>
                <w:szCs w:val="24"/>
                <w:lang w:val="en-GB"/>
              </w:rPr>
              <w:t xml:space="preserve"> (95</w:t>
            </w:r>
            <w:r w:rsidR="007A1C7E">
              <w:rPr>
                <w:sz w:val="24"/>
                <w:szCs w:val="24"/>
                <w:lang w:val="en-GB"/>
              </w:rPr>
              <w:t xml:space="preserve"> %</w:t>
            </w:r>
            <w:r w:rsidRPr="00143528">
              <w:rPr>
                <w:sz w:val="24"/>
                <w:szCs w:val="24"/>
                <w:lang w:val="en-GB"/>
              </w:rPr>
              <w:t xml:space="preserve"> CI)</w:t>
            </w:r>
          </w:p>
        </w:tc>
        <w:tc>
          <w:tcPr>
            <w:tcW w:w="1180"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1EC60CA1" w14:textId="77777777" w:rsidR="00143528" w:rsidRPr="00143528" w:rsidRDefault="00143528" w:rsidP="00123771">
            <w:pPr>
              <w:ind w:left="164"/>
              <w:jc w:val="center"/>
              <w:rPr>
                <w:sz w:val="24"/>
                <w:szCs w:val="24"/>
                <w:lang w:val="en-GB"/>
              </w:rPr>
            </w:pPr>
            <w:r w:rsidRPr="00143528">
              <w:rPr>
                <w:sz w:val="24"/>
                <w:szCs w:val="24"/>
                <w:lang w:val="en-GB"/>
              </w:rPr>
              <w:t>68,0 (62,8, 72,9)</w:t>
            </w:r>
          </w:p>
        </w:tc>
        <w:tc>
          <w:tcPr>
            <w:tcW w:w="1202"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2EDF4013" w14:textId="77777777" w:rsidR="00143528" w:rsidRPr="00143528" w:rsidRDefault="00143528" w:rsidP="00123771">
            <w:pPr>
              <w:ind w:left="164"/>
              <w:jc w:val="center"/>
              <w:rPr>
                <w:sz w:val="24"/>
                <w:szCs w:val="24"/>
                <w:lang w:val="en-GB"/>
              </w:rPr>
            </w:pPr>
            <w:r w:rsidRPr="00143528">
              <w:rPr>
                <w:sz w:val="24"/>
                <w:szCs w:val="24"/>
                <w:lang w:val="en-GB"/>
              </w:rPr>
              <w:t>39,7 (32,3, 47,3)</w:t>
            </w:r>
          </w:p>
        </w:tc>
      </w:tr>
      <w:tr w:rsidR="00143528" w:rsidRPr="00143528" w14:paraId="644BB8AF" w14:textId="77777777" w:rsidTr="00D33C41">
        <w:trPr>
          <w:trHeight w:val="262"/>
        </w:trPr>
        <w:tc>
          <w:tcPr>
            <w:tcW w:w="5000" w:type="pct"/>
            <w:gridSpan w:val="3"/>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22E67F4D" w14:textId="77777777" w:rsidR="00143528" w:rsidRPr="00143528" w:rsidRDefault="00143528" w:rsidP="00D33C41">
            <w:pPr>
              <w:ind w:left="164"/>
              <w:rPr>
                <w:b/>
                <w:bCs/>
                <w:sz w:val="24"/>
                <w:szCs w:val="24"/>
              </w:rPr>
            </w:pPr>
            <w:r w:rsidRPr="00143528">
              <w:rPr>
                <w:b/>
                <w:bCs/>
                <w:sz w:val="24"/>
                <w:szCs w:val="24"/>
              </w:rPr>
              <w:t>Endelig samlet overlevelse (OS)</w:t>
            </w:r>
          </w:p>
          <w:p w14:paraId="7FAE7F04" w14:textId="5519823C" w:rsidR="00143528" w:rsidRPr="00143528" w:rsidRDefault="00143528" w:rsidP="00D33C41">
            <w:pPr>
              <w:ind w:left="164"/>
              <w:rPr>
                <w:sz w:val="24"/>
                <w:szCs w:val="24"/>
              </w:rPr>
            </w:pPr>
            <w:r w:rsidRPr="00143528">
              <w:rPr>
                <w:b/>
                <w:bCs/>
                <w:sz w:val="24"/>
                <w:szCs w:val="24"/>
              </w:rPr>
              <w:t xml:space="preserve">(13. </w:t>
            </w:r>
            <w:r w:rsidR="007A1C7E">
              <w:rPr>
                <w:b/>
                <w:bCs/>
                <w:sz w:val="24"/>
                <w:szCs w:val="24"/>
              </w:rPr>
              <w:t>a</w:t>
            </w:r>
            <w:r w:rsidRPr="00143528">
              <w:rPr>
                <w:b/>
                <w:bCs/>
                <w:sz w:val="24"/>
                <w:szCs w:val="24"/>
              </w:rPr>
              <w:t>pril 2018 som skæringsdato)</w:t>
            </w:r>
          </w:p>
        </w:tc>
      </w:tr>
      <w:tr w:rsidR="00143528" w:rsidRPr="00143528" w14:paraId="4B5CF5B4" w14:textId="77777777" w:rsidTr="00D33C41">
        <w:trPr>
          <w:trHeight w:val="262"/>
        </w:trPr>
        <w:tc>
          <w:tcPr>
            <w:tcW w:w="2618" w:type="pc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47F8F1B5" w14:textId="0B0433BC" w:rsidR="00143528" w:rsidRPr="00143528" w:rsidRDefault="00143528" w:rsidP="00D33C41">
            <w:pPr>
              <w:ind w:left="164"/>
              <w:rPr>
                <w:sz w:val="24"/>
                <w:szCs w:val="24"/>
                <w:lang w:val="en-GB"/>
              </w:rPr>
            </w:pPr>
            <w:r w:rsidRPr="00143528">
              <w:rPr>
                <w:sz w:val="24"/>
                <w:szCs w:val="24"/>
                <w:lang w:val="en-GB"/>
              </w:rPr>
              <w:t xml:space="preserve">Antal </w:t>
            </w:r>
            <w:proofErr w:type="spellStart"/>
            <w:r w:rsidRPr="00143528">
              <w:rPr>
                <w:sz w:val="24"/>
                <w:szCs w:val="24"/>
                <w:lang w:val="en-GB"/>
              </w:rPr>
              <w:t>hændelser</w:t>
            </w:r>
            <w:proofErr w:type="spellEnd"/>
            <w:r w:rsidRPr="00143528">
              <w:rPr>
                <w:sz w:val="24"/>
                <w:szCs w:val="24"/>
                <w:lang w:val="en-GB"/>
              </w:rPr>
              <w:t xml:space="preserve"> (</w:t>
            </w:r>
            <w:r w:rsidR="007A1C7E">
              <w:rPr>
                <w:sz w:val="24"/>
                <w:szCs w:val="24"/>
                <w:lang w:val="en-GB"/>
              </w:rPr>
              <w:t>%</w:t>
            </w:r>
            <w:r w:rsidRPr="00143528">
              <w:rPr>
                <w:sz w:val="24"/>
                <w:szCs w:val="24"/>
                <w:lang w:val="en-GB"/>
              </w:rPr>
              <w:t>)</w:t>
            </w:r>
          </w:p>
        </w:tc>
        <w:tc>
          <w:tcPr>
            <w:tcW w:w="1180"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345D8851" w14:textId="77777777" w:rsidR="00143528" w:rsidRPr="00143528" w:rsidRDefault="00143528" w:rsidP="00123771">
            <w:pPr>
              <w:ind w:left="164"/>
              <w:jc w:val="center"/>
              <w:rPr>
                <w:sz w:val="24"/>
                <w:szCs w:val="24"/>
                <w:lang w:val="en-GB"/>
              </w:rPr>
            </w:pPr>
            <w:r w:rsidRPr="00143528">
              <w:rPr>
                <w:sz w:val="24"/>
                <w:szCs w:val="24"/>
                <w:lang w:val="en-GB"/>
              </w:rPr>
              <w:t>201 (57,9)</w:t>
            </w:r>
          </w:p>
        </w:tc>
        <w:tc>
          <w:tcPr>
            <w:tcW w:w="1202"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034363EC" w14:textId="77777777" w:rsidR="00143528" w:rsidRPr="00143528" w:rsidRDefault="00143528" w:rsidP="00123771">
            <w:pPr>
              <w:ind w:left="164"/>
              <w:jc w:val="center"/>
              <w:rPr>
                <w:sz w:val="24"/>
                <w:szCs w:val="24"/>
                <w:lang w:val="en-GB"/>
              </w:rPr>
            </w:pPr>
            <w:r w:rsidRPr="00143528">
              <w:rPr>
                <w:sz w:val="24"/>
                <w:szCs w:val="24"/>
                <w:lang w:val="en-GB"/>
              </w:rPr>
              <w:t>109 (62,6)</w:t>
            </w:r>
          </w:p>
        </w:tc>
      </w:tr>
      <w:tr w:rsidR="00143528" w:rsidRPr="00143528" w14:paraId="2096ED14" w14:textId="77777777" w:rsidTr="00D33C41">
        <w:trPr>
          <w:trHeight w:val="262"/>
        </w:trPr>
        <w:tc>
          <w:tcPr>
            <w:tcW w:w="2618" w:type="pc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484AD13C" w14:textId="0F636D71" w:rsidR="00143528" w:rsidRPr="00143528" w:rsidRDefault="00143528" w:rsidP="00D33C41">
            <w:pPr>
              <w:ind w:left="164"/>
              <w:rPr>
                <w:sz w:val="24"/>
                <w:szCs w:val="24"/>
                <w:lang w:val="en-GB"/>
              </w:rPr>
            </w:pPr>
            <w:r w:rsidRPr="00143528">
              <w:rPr>
                <w:sz w:val="24"/>
                <w:szCs w:val="24"/>
                <w:lang w:val="en-GB"/>
              </w:rPr>
              <w:t xml:space="preserve">Median </w:t>
            </w:r>
            <w:proofErr w:type="spellStart"/>
            <w:r w:rsidRPr="00143528">
              <w:rPr>
                <w:sz w:val="24"/>
                <w:szCs w:val="24"/>
                <w:lang w:val="en-GB"/>
              </w:rPr>
              <w:t>måneder</w:t>
            </w:r>
            <w:proofErr w:type="spellEnd"/>
            <w:r w:rsidRPr="00143528">
              <w:rPr>
                <w:sz w:val="24"/>
                <w:szCs w:val="24"/>
                <w:lang w:val="en-GB"/>
              </w:rPr>
              <w:t xml:space="preserve"> (95</w:t>
            </w:r>
            <w:r w:rsidR="007A1C7E">
              <w:rPr>
                <w:sz w:val="24"/>
                <w:szCs w:val="24"/>
                <w:lang w:val="en-GB"/>
              </w:rPr>
              <w:t xml:space="preserve"> %</w:t>
            </w:r>
            <w:r w:rsidRPr="00143528">
              <w:rPr>
                <w:sz w:val="24"/>
                <w:szCs w:val="24"/>
                <w:lang w:val="en-GB"/>
              </w:rPr>
              <w:t xml:space="preserve"> CI)]</w:t>
            </w:r>
          </w:p>
        </w:tc>
        <w:tc>
          <w:tcPr>
            <w:tcW w:w="1180"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7949C947" w14:textId="77777777" w:rsidR="00143528" w:rsidRPr="00143528" w:rsidRDefault="00143528" w:rsidP="00123771">
            <w:pPr>
              <w:ind w:left="164"/>
              <w:jc w:val="center"/>
              <w:rPr>
                <w:sz w:val="24"/>
                <w:szCs w:val="24"/>
                <w:lang w:val="en-GB"/>
              </w:rPr>
            </w:pPr>
            <w:r w:rsidRPr="00143528">
              <w:rPr>
                <w:sz w:val="24"/>
                <w:szCs w:val="24"/>
                <w:lang w:val="en-GB"/>
              </w:rPr>
              <w:t>34,9 (28,8, 40,0)</w:t>
            </w:r>
          </w:p>
        </w:tc>
        <w:tc>
          <w:tcPr>
            <w:tcW w:w="1202" w:type="pct"/>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1EBBAADF" w14:textId="77777777" w:rsidR="00143528" w:rsidRPr="00143528" w:rsidRDefault="00143528" w:rsidP="00123771">
            <w:pPr>
              <w:ind w:left="164"/>
              <w:jc w:val="center"/>
              <w:rPr>
                <w:sz w:val="24"/>
                <w:szCs w:val="24"/>
                <w:lang w:val="en-GB"/>
              </w:rPr>
            </w:pPr>
            <w:r w:rsidRPr="00143528">
              <w:rPr>
                <w:sz w:val="24"/>
                <w:szCs w:val="24"/>
                <w:lang w:val="en-GB"/>
              </w:rPr>
              <w:t>28,0 (23,6, 34,6)</w:t>
            </w:r>
          </w:p>
        </w:tc>
      </w:tr>
      <w:tr w:rsidR="00143528" w:rsidRPr="00143528" w14:paraId="659CE81B" w14:textId="77777777" w:rsidTr="00D33C41">
        <w:trPr>
          <w:trHeight w:val="262"/>
        </w:trPr>
        <w:tc>
          <w:tcPr>
            <w:tcW w:w="2618" w:type="pct"/>
            <w:tcBorders>
              <w:top w:val="single" w:sz="4" w:space="0" w:color="000000"/>
              <w:left w:val="single" w:sz="8" w:space="0" w:color="000000"/>
              <w:bottom w:val="single" w:sz="4" w:space="0" w:color="000000"/>
              <w:right w:val="single" w:sz="4" w:space="0" w:color="000000"/>
            </w:tcBorders>
            <w:tcMar>
              <w:top w:w="55" w:type="dxa"/>
              <w:left w:w="19" w:type="dxa"/>
              <w:bottom w:w="0" w:type="dxa"/>
              <w:right w:w="115" w:type="dxa"/>
            </w:tcMar>
            <w:hideMark/>
          </w:tcPr>
          <w:p w14:paraId="5911D75B" w14:textId="29583FC8" w:rsidR="00143528" w:rsidRPr="00143528" w:rsidRDefault="00143528" w:rsidP="00D33C41">
            <w:pPr>
              <w:ind w:left="164"/>
              <w:rPr>
                <w:sz w:val="24"/>
                <w:szCs w:val="24"/>
                <w:lang w:val="en-GB"/>
              </w:rPr>
            </w:pPr>
            <w:r w:rsidRPr="00143528">
              <w:rPr>
                <w:i/>
                <w:iCs/>
                <w:sz w:val="24"/>
                <w:szCs w:val="24"/>
                <w:lang w:val="en-GB"/>
              </w:rPr>
              <w:t>Hazard ratio</w:t>
            </w:r>
            <w:r w:rsidRPr="00143528">
              <w:rPr>
                <w:sz w:val="24"/>
                <w:szCs w:val="24"/>
                <w:lang w:val="en-GB"/>
              </w:rPr>
              <w:t xml:space="preserve"> (95</w:t>
            </w:r>
            <w:r w:rsidR="007A1C7E">
              <w:rPr>
                <w:sz w:val="24"/>
                <w:szCs w:val="24"/>
                <w:lang w:val="en-GB"/>
              </w:rPr>
              <w:t xml:space="preserve"> %</w:t>
            </w:r>
            <w:r w:rsidRPr="00143528">
              <w:rPr>
                <w:sz w:val="24"/>
                <w:szCs w:val="24"/>
                <w:lang w:val="en-GB"/>
              </w:rPr>
              <w:t xml:space="preserve"> CI) and p-</w:t>
            </w:r>
            <w:proofErr w:type="spellStart"/>
            <w:r w:rsidRPr="00143528">
              <w:rPr>
                <w:sz w:val="24"/>
                <w:szCs w:val="24"/>
                <w:lang w:val="en-GB"/>
              </w:rPr>
              <w:t>værdi</w:t>
            </w:r>
            <w:proofErr w:type="spellEnd"/>
          </w:p>
        </w:tc>
        <w:tc>
          <w:tcPr>
            <w:tcW w:w="2382" w:type="pct"/>
            <w:gridSpan w:val="2"/>
            <w:tcBorders>
              <w:top w:val="single" w:sz="4" w:space="0" w:color="000000"/>
              <w:left w:val="single" w:sz="4" w:space="0" w:color="000000"/>
              <w:bottom w:val="single" w:sz="4" w:space="0" w:color="000000"/>
              <w:right w:val="single" w:sz="4" w:space="0" w:color="000000"/>
            </w:tcBorders>
            <w:tcMar>
              <w:top w:w="55" w:type="dxa"/>
              <w:left w:w="19" w:type="dxa"/>
              <w:bottom w:w="0" w:type="dxa"/>
              <w:right w:w="115" w:type="dxa"/>
            </w:tcMar>
            <w:hideMark/>
          </w:tcPr>
          <w:p w14:paraId="1C7F95A7" w14:textId="77777777" w:rsidR="00143528" w:rsidRPr="00143528" w:rsidRDefault="00143528" w:rsidP="00123771">
            <w:pPr>
              <w:ind w:left="164"/>
              <w:jc w:val="center"/>
              <w:rPr>
                <w:sz w:val="24"/>
                <w:szCs w:val="24"/>
                <w:lang w:val="en-GB"/>
              </w:rPr>
            </w:pPr>
            <w:r w:rsidRPr="00143528">
              <w:rPr>
                <w:sz w:val="24"/>
                <w:szCs w:val="24"/>
                <w:lang w:val="en-GB"/>
              </w:rPr>
              <w:t>0,814 (0,644, 1,029) p=0,0429</w:t>
            </w:r>
            <w:r w:rsidRPr="00143528">
              <w:rPr>
                <w:sz w:val="24"/>
                <w:szCs w:val="24"/>
                <w:vertAlign w:val="superscript"/>
                <w:lang w:val="en-GB"/>
              </w:rPr>
              <w:t>†*</w:t>
            </w:r>
          </w:p>
        </w:tc>
      </w:tr>
    </w:tbl>
    <w:p w14:paraId="4F8135BD" w14:textId="77777777" w:rsidR="00143528" w:rsidRPr="00143528" w:rsidRDefault="00143528" w:rsidP="00D33C41">
      <w:pPr>
        <w:rPr>
          <w:sz w:val="20"/>
          <w:lang w:val="en-GB"/>
        </w:rPr>
      </w:pPr>
      <w:r w:rsidRPr="00143528">
        <w:rPr>
          <w:sz w:val="20"/>
          <w:lang w:val="en-GB"/>
        </w:rPr>
        <w:t>CBR=clinical benefit response; CI=confidence interval; N=number of patients; OR=objective response.</w:t>
      </w:r>
    </w:p>
    <w:p w14:paraId="2AF77D03" w14:textId="77777777" w:rsidR="00143528" w:rsidRPr="00143528" w:rsidRDefault="00143528" w:rsidP="00D33C41">
      <w:pPr>
        <w:rPr>
          <w:sz w:val="20"/>
          <w:lang w:val="en-GB"/>
        </w:rPr>
      </w:pPr>
      <w:r w:rsidRPr="00143528">
        <w:rPr>
          <w:sz w:val="20"/>
          <w:lang w:val="en-GB"/>
        </w:rPr>
        <w:t>Secondary endpoint results are based on confirmed and unconfirmed responses according to RECIST 1.1.</w:t>
      </w:r>
    </w:p>
    <w:p w14:paraId="73839E66" w14:textId="026DD047" w:rsidR="00143528" w:rsidRPr="00143528" w:rsidRDefault="00143528" w:rsidP="00D33C41">
      <w:pPr>
        <w:ind w:left="284" w:hanging="284"/>
        <w:rPr>
          <w:sz w:val="20"/>
          <w:lang w:val="en-GB"/>
        </w:rPr>
      </w:pPr>
      <w:r w:rsidRPr="00143528">
        <w:rPr>
          <w:sz w:val="20"/>
          <w:vertAlign w:val="superscript"/>
          <w:lang w:val="en-GB"/>
        </w:rPr>
        <w:t xml:space="preserve">* </w:t>
      </w:r>
      <w:r w:rsidR="00D33C41" w:rsidRPr="00123771">
        <w:rPr>
          <w:sz w:val="20"/>
          <w:vertAlign w:val="superscript"/>
          <w:lang w:val="en-GB"/>
        </w:rPr>
        <w:tab/>
      </w:r>
      <w:r w:rsidRPr="00143528">
        <w:rPr>
          <w:sz w:val="20"/>
          <w:lang w:val="en-GB"/>
        </w:rPr>
        <w:t>Not statistically significant.</w:t>
      </w:r>
    </w:p>
    <w:p w14:paraId="1B60A5BE" w14:textId="49DBF415" w:rsidR="00143528" w:rsidRPr="00143528" w:rsidRDefault="00143528" w:rsidP="00D33C41">
      <w:pPr>
        <w:ind w:left="284" w:hanging="284"/>
        <w:rPr>
          <w:sz w:val="20"/>
          <w:lang w:val="en-GB"/>
        </w:rPr>
      </w:pPr>
      <w:r w:rsidRPr="00143528">
        <w:rPr>
          <w:sz w:val="20"/>
          <w:vertAlign w:val="superscript"/>
          <w:lang w:val="en-GB"/>
        </w:rPr>
        <w:t xml:space="preserve">† </w:t>
      </w:r>
      <w:r w:rsidR="00D33C41" w:rsidRPr="00123771">
        <w:rPr>
          <w:sz w:val="20"/>
          <w:vertAlign w:val="superscript"/>
          <w:lang w:val="en-GB"/>
        </w:rPr>
        <w:tab/>
      </w:r>
      <w:r w:rsidRPr="00143528">
        <w:rPr>
          <w:sz w:val="20"/>
          <w:lang w:val="en-GB"/>
        </w:rPr>
        <w:t>1-sided p-value from the log-rank test stratified by the presence of visceral metastases and sensitivity to prior endocrine therapy per randomisation.</w:t>
      </w:r>
    </w:p>
    <w:p w14:paraId="65C33912" w14:textId="77777777" w:rsidR="00143528" w:rsidRPr="00143528" w:rsidRDefault="00143528" w:rsidP="00143528">
      <w:pPr>
        <w:tabs>
          <w:tab w:val="left" w:pos="851"/>
        </w:tabs>
        <w:ind w:left="851"/>
        <w:rPr>
          <w:sz w:val="24"/>
          <w:szCs w:val="24"/>
          <w:lang w:val="en-GB"/>
        </w:rPr>
      </w:pPr>
    </w:p>
    <w:p w14:paraId="0D715995" w14:textId="0B508AC1" w:rsidR="00143528" w:rsidRPr="00143528" w:rsidRDefault="00143528" w:rsidP="00143528">
      <w:pPr>
        <w:tabs>
          <w:tab w:val="left" w:pos="851"/>
        </w:tabs>
        <w:ind w:left="851"/>
        <w:rPr>
          <w:sz w:val="24"/>
          <w:szCs w:val="24"/>
          <w:lang w:val="en-US"/>
        </w:rPr>
      </w:pPr>
      <w:r w:rsidRPr="00D33C41">
        <w:rPr>
          <w:noProof/>
          <w:sz w:val="24"/>
          <w:szCs w:val="24"/>
        </w:rPr>
        <w:drawing>
          <wp:inline distT="0" distB="0" distL="0" distR="0" wp14:anchorId="725F1B26" wp14:editId="2D43563F">
            <wp:extent cx="5753100" cy="4114800"/>
            <wp:effectExtent l="0" t="0" r="0" b="0"/>
            <wp:docPr id="429086722" name="Billede 6" descr="En bild som visar text, diagram, linje, Graf&#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n bild som visar text, diagram, linje, Graf&#10;&#10;AI-genererat innehåll kan vara felaktig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114800"/>
                    </a:xfrm>
                    <a:prstGeom prst="rect">
                      <a:avLst/>
                    </a:prstGeom>
                    <a:noFill/>
                    <a:ln>
                      <a:noFill/>
                    </a:ln>
                  </pic:spPr>
                </pic:pic>
              </a:graphicData>
            </a:graphic>
          </wp:inline>
        </w:drawing>
      </w:r>
    </w:p>
    <w:p w14:paraId="50866E23" w14:textId="77777777" w:rsidR="00143528" w:rsidRPr="00143528" w:rsidRDefault="00143528" w:rsidP="00143528">
      <w:pPr>
        <w:tabs>
          <w:tab w:val="left" w:pos="851"/>
        </w:tabs>
        <w:ind w:left="851"/>
        <w:rPr>
          <w:sz w:val="24"/>
          <w:szCs w:val="24"/>
          <w:lang w:val="en-US"/>
        </w:rPr>
      </w:pPr>
    </w:p>
    <w:p w14:paraId="503C19B8" w14:textId="52C619FB" w:rsidR="00143528" w:rsidRPr="00143528" w:rsidRDefault="00143528" w:rsidP="00D33C41">
      <w:pPr>
        <w:ind w:left="851"/>
        <w:rPr>
          <w:bCs/>
          <w:sz w:val="24"/>
          <w:szCs w:val="24"/>
        </w:rPr>
      </w:pPr>
      <w:r w:rsidRPr="00143528">
        <w:rPr>
          <w:bCs/>
          <w:sz w:val="24"/>
          <w:szCs w:val="24"/>
        </w:rPr>
        <w:t xml:space="preserve">Der blev observeret en reduktion i risikoen for sygdomsprogression eller død i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fulvestrant</w:t>
      </w:r>
      <w:proofErr w:type="spellEnd"/>
      <w:r w:rsidRPr="00143528">
        <w:rPr>
          <w:bCs/>
          <w:sz w:val="24"/>
          <w:szCs w:val="24"/>
        </w:rPr>
        <w:t xml:space="preserve">-armen i alle patientundergrupper defineret iht. stratifikationsfaktorer og </w:t>
      </w:r>
      <w:r w:rsidRPr="00143528">
        <w:rPr>
          <w:bCs/>
          <w:i/>
          <w:iCs/>
          <w:sz w:val="24"/>
          <w:szCs w:val="24"/>
        </w:rPr>
        <w:t>baseline-</w:t>
      </w:r>
      <w:r w:rsidRPr="00143528">
        <w:rPr>
          <w:bCs/>
          <w:sz w:val="24"/>
          <w:szCs w:val="24"/>
        </w:rPr>
        <w:t>karakteristika. Dette var evident for præ-/</w:t>
      </w:r>
      <w:proofErr w:type="spellStart"/>
      <w:r w:rsidRPr="00143528">
        <w:rPr>
          <w:bCs/>
          <w:sz w:val="24"/>
          <w:szCs w:val="24"/>
        </w:rPr>
        <w:t>perimenopausale</w:t>
      </w:r>
      <w:proofErr w:type="spellEnd"/>
      <w:r w:rsidRPr="00143528">
        <w:rPr>
          <w:bCs/>
          <w:sz w:val="24"/>
          <w:szCs w:val="24"/>
        </w:rPr>
        <w:t xml:space="preserve"> kvinder (HR 0,46 [95</w:t>
      </w:r>
      <w:r w:rsidR="007A1C7E">
        <w:rPr>
          <w:bCs/>
          <w:sz w:val="24"/>
          <w:szCs w:val="24"/>
        </w:rPr>
        <w:t> %</w:t>
      </w:r>
      <w:r w:rsidRPr="00143528">
        <w:rPr>
          <w:bCs/>
          <w:sz w:val="24"/>
          <w:szCs w:val="24"/>
        </w:rPr>
        <w:t xml:space="preserve"> CI: 0,28-0,75]) og </w:t>
      </w:r>
      <w:proofErr w:type="spellStart"/>
      <w:r w:rsidRPr="00143528">
        <w:rPr>
          <w:bCs/>
          <w:sz w:val="24"/>
          <w:szCs w:val="24"/>
        </w:rPr>
        <w:t>postmenopausale</w:t>
      </w:r>
      <w:proofErr w:type="spellEnd"/>
      <w:r w:rsidRPr="00143528">
        <w:rPr>
          <w:bCs/>
          <w:sz w:val="24"/>
          <w:szCs w:val="24"/>
        </w:rPr>
        <w:t xml:space="preserve"> kvinder (HR 0,52 [95</w:t>
      </w:r>
      <w:r w:rsidR="007A1C7E">
        <w:rPr>
          <w:bCs/>
          <w:sz w:val="24"/>
          <w:szCs w:val="24"/>
        </w:rPr>
        <w:t xml:space="preserve"> %</w:t>
      </w:r>
      <w:r w:rsidRPr="00143528">
        <w:rPr>
          <w:bCs/>
          <w:sz w:val="24"/>
          <w:szCs w:val="24"/>
        </w:rPr>
        <w:t xml:space="preserve"> CI: 0,40-0,66]) og patienter med </w:t>
      </w:r>
      <w:proofErr w:type="spellStart"/>
      <w:r w:rsidRPr="00143528">
        <w:rPr>
          <w:bCs/>
          <w:sz w:val="24"/>
          <w:szCs w:val="24"/>
        </w:rPr>
        <w:t>visceral</w:t>
      </w:r>
      <w:proofErr w:type="spellEnd"/>
      <w:r w:rsidRPr="00143528">
        <w:rPr>
          <w:bCs/>
          <w:sz w:val="24"/>
          <w:szCs w:val="24"/>
        </w:rPr>
        <w:t xml:space="preserve"> metastatisk sygdom (HR 0,50 [95</w:t>
      </w:r>
      <w:r w:rsidR="007A1C7E">
        <w:rPr>
          <w:bCs/>
          <w:sz w:val="24"/>
          <w:szCs w:val="24"/>
        </w:rPr>
        <w:t xml:space="preserve"> %</w:t>
      </w:r>
      <w:r w:rsidRPr="00143528">
        <w:rPr>
          <w:bCs/>
          <w:sz w:val="24"/>
          <w:szCs w:val="24"/>
        </w:rPr>
        <w:t xml:space="preserve"> CI: 0,38-0,65]) og patienter med ikke-</w:t>
      </w:r>
      <w:proofErr w:type="spellStart"/>
      <w:r w:rsidRPr="00143528">
        <w:rPr>
          <w:bCs/>
          <w:sz w:val="24"/>
          <w:szCs w:val="24"/>
        </w:rPr>
        <w:t>visceral</w:t>
      </w:r>
      <w:proofErr w:type="spellEnd"/>
      <w:r w:rsidRPr="00143528">
        <w:rPr>
          <w:bCs/>
          <w:sz w:val="24"/>
          <w:szCs w:val="24"/>
        </w:rPr>
        <w:t xml:space="preserve"> metastatisk sygdom (HR 0,48 [95</w:t>
      </w:r>
      <w:r w:rsidR="007A1C7E">
        <w:rPr>
          <w:bCs/>
          <w:sz w:val="24"/>
          <w:szCs w:val="24"/>
        </w:rPr>
        <w:t xml:space="preserve"> %</w:t>
      </w:r>
      <w:r w:rsidRPr="00143528">
        <w:rPr>
          <w:bCs/>
          <w:sz w:val="24"/>
          <w:szCs w:val="24"/>
        </w:rPr>
        <w:t xml:space="preserve"> CI: 0,33-0,71]). Ved metastatisk sygdom blev der også observeret en fordel, uanset om antallet af forudgående behandlingslinjer var 0 (HR 0,59 [95</w:t>
      </w:r>
      <w:r w:rsidR="007A1C7E">
        <w:rPr>
          <w:bCs/>
          <w:sz w:val="24"/>
          <w:szCs w:val="24"/>
        </w:rPr>
        <w:t xml:space="preserve"> %</w:t>
      </w:r>
      <w:r w:rsidRPr="00143528">
        <w:rPr>
          <w:bCs/>
          <w:sz w:val="24"/>
          <w:szCs w:val="24"/>
        </w:rPr>
        <w:t xml:space="preserve"> CI: 0,37-0,93]), 1 (HR 0,46 [95</w:t>
      </w:r>
      <w:r w:rsidR="007A1C7E">
        <w:rPr>
          <w:bCs/>
          <w:sz w:val="24"/>
          <w:szCs w:val="24"/>
        </w:rPr>
        <w:t xml:space="preserve"> %</w:t>
      </w:r>
      <w:r w:rsidRPr="00143528">
        <w:rPr>
          <w:bCs/>
          <w:sz w:val="24"/>
          <w:szCs w:val="24"/>
        </w:rPr>
        <w:t xml:space="preserve"> CI: 0,32 0,64]), 2 (HR 0,48 [95</w:t>
      </w:r>
      <w:r w:rsidR="007A1C7E">
        <w:rPr>
          <w:bCs/>
          <w:sz w:val="24"/>
          <w:szCs w:val="24"/>
        </w:rPr>
        <w:t xml:space="preserve"> %</w:t>
      </w:r>
      <w:r w:rsidRPr="00143528">
        <w:rPr>
          <w:bCs/>
          <w:sz w:val="24"/>
          <w:szCs w:val="24"/>
        </w:rPr>
        <w:t xml:space="preserve"> CI: 0,30-0,76]), eller ≥ 3 (HR 0,59 [95</w:t>
      </w:r>
      <w:r w:rsidR="007A1C7E">
        <w:rPr>
          <w:bCs/>
          <w:sz w:val="24"/>
          <w:szCs w:val="24"/>
        </w:rPr>
        <w:t xml:space="preserve"> %</w:t>
      </w:r>
      <w:r w:rsidRPr="00143528">
        <w:rPr>
          <w:bCs/>
          <w:sz w:val="24"/>
          <w:szCs w:val="24"/>
        </w:rPr>
        <w:t xml:space="preserve"> CI: 0,28-1,22]).</w:t>
      </w:r>
    </w:p>
    <w:p w14:paraId="2CB37BFD" w14:textId="77777777" w:rsidR="00143528" w:rsidRPr="00143528" w:rsidRDefault="00143528" w:rsidP="00D33C41">
      <w:pPr>
        <w:ind w:left="851"/>
        <w:rPr>
          <w:bCs/>
          <w:sz w:val="24"/>
          <w:szCs w:val="24"/>
        </w:rPr>
      </w:pPr>
    </w:p>
    <w:p w14:paraId="7CA87212" w14:textId="1A44FC88" w:rsidR="00143528" w:rsidRPr="00143528" w:rsidRDefault="00143528" w:rsidP="00143528">
      <w:pPr>
        <w:tabs>
          <w:tab w:val="left" w:pos="851"/>
        </w:tabs>
        <w:ind w:left="851"/>
        <w:rPr>
          <w:bCs/>
          <w:sz w:val="24"/>
          <w:szCs w:val="24"/>
        </w:rPr>
      </w:pPr>
      <w:r w:rsidRPr="00D33C41">
        <w:rPr>
          <w:noProof/>
          <w:sz w:val="24"/>
          <w:szCs w:val="24"/>
        </w:rPr>
        <w:drawing>
          <wp:inline distT="0" distB="0" distL="0" distR="0" wp14:anchorId="45A174CB" wp14:editId="42E65B2F">
            <wp:extent cx="5044440" cy="3154680"/>
            <wp:effectExtent l="0" t="0" r="3810" b="7620"/>
            <wp:docPr id="22584908" name="Billede 5" descr="En bild som visar text, skärmbild, diagram,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text, skärmbild, diagram, Teckensnitt&#10;&#10;AI-genererat innehåll kan vara felaktig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440" cy="3154680"/>
                    </a:xfrm>
                    <a:prstGeom prst="rect">
                      <a:avLst/>
                    </a:prstGeom>
                    <a:noFill/>
                    <a:ln>
                      <a:noFill/>
                    </a:ln>
                  </pic:spPr>
                </pic:pic>
              </a:graphicData>
            </a:graphic>
          </wp:inline>
        </w:drawing>
      </w:r>
    </w:p>
    <w:p w14:paraId="0F94ACB0" w14:textId="77777777" w:rsidR="00143528" w:rsidRPr="00143528" w:rsidRDefault="00143528" w:rsidP="00143528">
      <w:pPr>
        <w:tabs>
          <w:tab w:val="left" w:pos="851"/>
        </w:tabs>
        <w:ind w:left="851"/>
        <w:rPr>
          <w:bCs/>
          <w:sz w:val="24"/>
          <w:szCs w:val="24"/>
        </w:rPr>
      </w:pPr>
    </w:p>
    <w:p w14:paraId="55B18765" w14:textId="77777777" w:rsidR="00143528" w:rsidRPr="00143528" w:rsidRDefault="00143528" w:rsidP="00D33C41">
      <w:pPr>
        <w:ind w:left="851"/>
        <w:rPr>
          <w:bCs/>
          <w:sz w:val="24"/>
          <w:szCs w:val="24"/>
        </w:rPr>
      </w:pPr>
      <w:r w:rsidRPr="00143528">
        <w:rPr>
          <w:bCs/>
          <w:sz w:val="24"/>
          <w:szCs w:val="24"/>
        </w:rPr>
        <w:t xml:space="preserve">Yderligere effektmål (OR og TTR) vurderet i sub-grupper af patienter med eller uden </w:t>
      </w:r>
      <w:proofErr w:type="spellStart"/>
      <w:r w:rsidRPr="00143528">
        <w:rPr>
          <w:bCs/>
          <w:sz w:val="24"/>
          <w:szCs w:val="24"/>
        </w:rPr>
        <w:t>visceral</w:t>
      </w:r>
      <w:proofErr w:type="spellEnd"/>
      <w:r w:rsidRPr="00143528">
        <w:rPr>
          <w:bCs/>
          <w:sz w:val="24"/>
          <w:szCs w:val="24"/>
        </w:rPr>
        <w:t xml:space="preserve"> sygdom er vist i skema 10.</w:t>
      </w:r>
    </w:p>
    <w:p w14:paraId="16A41505" w14:textId="77777777" w:rsidR="00143528" w:rsidRPr="00143528" w:rsidRDefault="00143528" w:rsidP="00D33C41">
      <w:pPr>
        <w:ind w:left="851"/>
        <w:rPr>
          <w:bCs/>
          <w:sz w:val="24"/>
          <w:szCs w:val="24"/>
        </w:rPr>
      </w:pPr>
    </w:p>
    <w:p w14:paraId="2FC726CD" w14:textId="34C23789" w:rsidR="00143528" w:rsidRPr="00143528" w:rsidRDefault="00143528" w:rsidP="00D33C41">
      <w:pPr>
        <w:rPr>
          <w:b/>
          <w:bCs/>
          <w:i/>
          <w:iCs/>
          <w:sz w:val="24"/>
          <w:szCs w:val="24"/>
          <w:lang w:val="sv-SE"/>
        </w:rPr>
      </w:pPr>
      <w:proofErr w:type="spellStart"/>
      <w:r w:rsidRPr="00143528">
        <w:rPr>
          <w:b/>
          <w:bCs/>
          <w:sz w:val="24"/>
          <w:szCs w:val="24"/>
          <w:lang w:val="sv-SE"/>
        </w:rPr>
        <w:t>Skema</w:t>
      </w:r>
      <w:proofErr w:type="spellEnd"/>
      <w:r w:rsidRPr="00143528">
        <w:rPr>
          <w:b/>
          <w:bCs/>
          <w:sz w:val="24"/>
          <w:szCs w:val="24"/>
          <w:lang w:val="sv-SE"/>
        </w:rPr>
        <w:t xml:space="preserve"> 10</w:t>
      </w:r>
      <w:r w:rsidR="00D33C41" w:rsidRPr="00D33C41">
        <w:rPr>
          <w:b/>
          <w:bCs/>
          <w:sz w:val="24"/>
          <w:szCs w:val="24"/>
          <w:lang w:val="sv-SE"/>
        </w:rPr>
        <w:t xml:space="preserve">. </w:t>
      </w:r>
      <w:r w:rsidRPr="00143528">
        <w:rPr>
          <w:b/>
          <w:bCs/>
          <w:sz w:val="24"/>
          <w:szCs w:val="24"/>
          <w:lang w:val="sv-SE"/>
        </w:rPr>
        <w:t xml:space="preserve">Effektdata ved </w:t>
      </w:r>
      <w:proofErr w:type="spellStart"/>
      <w:r w:rsidRPr="00143528">
        <w:rPr>
          <w:b/>
          <w:bCs/>
          <w:sz w:val="24"/>
          <w:szCs w:val="24"/>
          <w:lang w:val="sv-SE"/>
        </w:rPr>
        <w:t>visceral</w:t>
      </w:r>
      <w:proofErr w:type="spellEnd"/>
      <w:r w:rsidRPr="00143528">
        <w:rPr>
          <w:b/>
          <w:bCs/>
          <w:sz w:val="24"/>
          <w:szCs w:val="24"/>
          <w:lang w:val="sv-SE"/>
        </w:rPr>
        <w:t xml:space="preserve"> og </w:t>
      </w:r>
      <w:proofErr w:type="spellStart"/>
      <w:r w:rsidRPr="00143528">
        <w:rPr>
          <w:b/>
          <w:bCs/>
          <w:sz w:val="24"/>
          <w:szCs w:val="24"/>
          <w:lang w:val="sv-SE"/>
        </w:rPr>
        <w:t>ikke-visceral</w:t>
      </w:r>
      <w:proofErr w:type="spellEnd"/>
      <w:r w:rsidRPr="00143528">
        <w:rPr>
          <w:b/>
          <w:bCs/>
          <w:sz w:val="24"/>
          <w:szCs w:val="24"/>
          <w:lang w:val="sv-SE"/>
        </w:rPr>
        <w:t xml:space="preserve"> </w:t>
      </w:r>
      <w:proofErr w:type="spellStart"/>
      <w:r w:rsidRPr="00143528">
        <w:rPr>
          <w:b/>
          <w:bCs/>
          <w:sz w:val="24"/>
          <w:szCs w:val="24"/>
          <w:lang w:val="sv-SE"/>
        </w:rPr>
        <w:t>sygdom</w:t>
      </w:r>
      <w:proofErr w:type="spellEnd"/>
      <w:r w:rsidRPr="00143528">
        <w:rPr>
          <w:b/>
          <w:bCs/>
          <w:sz w:val="24"/>
          <w:szCs w:val="24"/>
          <w:lang w:val="sv-SE"/>
        </w:rPr>
        <w:t xml:space="preserve"> fra PALOMA-3 studiet (</w:t>
      </w:r>
      <w:proofErr w:type="spellStart"/>
      <w:r w:rsidRPr="00143528">
        <w:rPr>
          <w:b/>
          <w:bCs/>
          <w:i/>
          <w:iCs/>
          <w:sz w:val="24"/>
          <w:szCs w:val="24"/>
          <w:lang w:val="sv-SE"/>
        </w:rPr>
        <w:t>intent</w:t>
      </w:r>
      <w:proofErr w:type="spellEnd"/>
      <w:r w:rsidRPr="00143528">
        <w:rPr>
          <w:b/>
          <w:bCs/>
          <w:i/>
          <w:iCs/>
          <w:sz w:val="24"/>
          <w:szCs w:val="24"/>
          <w:lang w:val="sv-SE"/>
        </w:rPr>
        <w:t>-to-</w:t>
      </w:r>
      <w:proofErr w:type="spellStart"/>
      <w:r w:rsidRPr="00143528">
        <w:rPr>
          <w:b/>
          <w:bCs/>
          <w:i/>
          <w:iCs/>
          <w:sz w:val="24"/>
          <w:szCs w:val="24"/>
          <w:lang w:val="sv-SE"/>
        </w:rPr>
        <w:t>treat</w:t>
      </w:r>
      <w:proofErr w:type="spellEnd"/>
      <w:r w:rsidRPr="00143528">
        <w:rPr>
          <w:b/>
          <w:bCs/>
          <w:i/>
          <w:iCs/>
          <w:sz w:val="24"/>
          <w:szCs w:val="24"/>
          <w:lang w:val="sv-SE"/>
        </w:rPr>
        <w:t xml:space="preserve"> </w:t>
      </w:r>
      <w:r w:rsidRPr="00143528">
        <w:rPr>
          <w:b/>
          <w:bCs/>
          <w:sz w:val="24"/>
          <w:szCs w:val="24"/>
          <w:lang w:val="sv-SE"/>
        </w:rPr>
        <w:t>population)</w:t>
      </w:r>
    </w:p>
    <w:tbl>
      <w:tblPr>
        <w:tblW w:w="5000" w:type="pct"/>
        <w:tblCellMar>
          <w:left w:w="10" w:type="dxa"/>
          <w:right w:w="10" w:type="dxa"/>
        </w:tblCellMar>
        <w:tblLook w:val="04A0" w:firstRow="1" w:lastRow="0" w:firstColumn="1" w:lastColumn="0" w:noHBand="0" w:noVBand="1"/>
      </w:tblPr>
      <w:tblGrid>
        <w:gridCol w:w="2994"/>
        <w:gridCol w:w="1673"/>
        <w:gridCol w:w="1741"/>
        <w:gridCol w:w="1612"/>
        <w:gridCol w:w="1608"/>
      </w:tblGrid>
      <w:tr w:rsidR="00143528" w:rsidRPr="00143528" w14:paraId="5715D912" w14:textId="77777777" w:rsidTr="00D33C41">
        <w:trPr>
          <w:trHeight w:val="262"/>
        </w:trPr>
        <w:tc>
          <w:tcPr>
            <w:tcW w:w="1555"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tcPr>
          <w:p w14:paraId="062852FA" w14:textId="77777777" w:rsidR="00143528" w:rsidRPr="00143528" w:rsidRDefault="00143528" w:rsidP="00D33C41">
            <w:pPr>
              <w:rPr>
                <w:sz w:val="24"/>
                <w:szCs w:val="24"/>
              </w:rPr>
            </w:pPr>
          </w:p>
        </w:tc>
        <w:tc>
          <w:tcPr>
            <w:tcW w:w="1773" w:type="pct"/>
            <w:gridSpan w:val="2"/>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540405C1" w14:textId="38595677" w:rsidR="00143528" w:rsidRPr="00143528" w:rsidRDefault="00143528" w:rsidP="008C4640">
            <w:pPr>
              <w:jc w:val="center"/>
              <w:rPr>
                <w:sz w:val="24"/>
                <w:szCs w:val="24"/>
                <w:lang w:val="en-GB"/>
              </w:rPr>
            </w:pPr>
            <w:r w:rsidRPr="00143528">
              <w:rPr>
                <w:b/>
                <w:sz w:val="24"/>
                <w:szCs w:val="24"/>
                <w:lang w:val="en-GB"/>
              </w:rPr>
              <w:t xml:space="preserve">Visceral </w:t>
            </w:r>
            <w:proofErr w:type="spellStart"/>
            <w:r w:rsidRPr="00143528">
              <w:rPr>
                <w:b/>
                <w:sz w:val="24"/>
                <w:szCs w:val="24"/>
                <w:lang w:val="en-GB"/>
              </w:rPr>
              <w:t>sygdom</w:t>
            </w:r>
            <w:proofErr w:type="spellEnd"/>
          </w:p>
        </w:tc>
        <w:tc>
          <w:tcPr>
            <w:tcW w:w="1672" w:type="pct"/>
            <w:gridSpan w:val="2"/>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395D9B26" w14:textId="77777777" w:rsidR="00143528" w:rsidRPr="00143528" w:rsidRDefault="00143528" w:rsidP="008C4640">
            <w:pPr>
              <w:jc w:val="center"/>
              <w:rPr>
                <w:sz w:val="24"/>
                <w:szCs w:val="24"/>
                <w:lang w:val="en-GB"/>
              </w:rPr>
            </w:pPr>
            <w:r w:rsidRPr="00143528">
              <w:rPr>
                <w:b/>
                <w:sz w:val="24"/>
                <w:szCs w:val="24"/>
                <w:lang w:val="en-GB"/>
              </w:rPr>
              <w:t xml:space="preserve">Uden visceral </w:t>
            </w:r>
            <w:proofErr w:type="spellStart"/>
            <w:r w:rsidRPr="00143528">
              <w:rPr>
                <w:b/>
                <w:sz w:val="24"/>
                <w:szCs w:val="24"/>
                <w:lang w:val="en-GB"/>
              </w:rPr>
              <w:t>sygdom</w:t>
            </w:r>
            <w:proofErr w:type="spellEnd"/>
          </w:p>
        </w:tc>
      </w:tr>
      <w:tr w:rsidR="00143528" w:rsidRPr="00143528" w14:paraId="594DAA56" w14:textId="77777777" w:rsidTr="00D33C41">
        <w:trPr>
          <w:trHeight w:val="1022"/>
        </w:trPr>
        <w:tc>
          <w:tcPr>
            <w:tcW w:w="1555"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tcPr>
          <w:p w14:paraId="7C356053" w14:textId="77777777" w:rsidR="00143528" w:rsidRPr="00143528" w:rsidRDefault="00143528" w:rsidP="00D33C41">
            <w:pPr>
              <w:rPr>
                <w:sz w:val="24"/>
                <w:szCs w:val="24"/>
                <w:lang w:val="en-GB"/>
              </w:rPr>
            </w:pPr>
          </w:p>
        </w:tc>
        <w:tc>
          <w:tcPr>
            <w:tcW w:w="869"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26BD59B9" w14:textId="5656ED85" w:rsidR="00143528" w:rsidRPr="00143528" w:rsidRDefault="00143528" w:rsidP="008C4640">
            <w:pPr>
              <w:jc w:val="center"/>
              <w:rPr>
                <w:sz w:val="24"/>
                <w:szCs w:val="24"/>
                <w:lang w:val="en-GB"/>
              </w:rPr>
            </w:pPr>
            <w:r w:rsidRPr="00143528">
              <w:rPr>
                <w:b/>
                <w:sz w:val="24"/>
                <w:szCs w:val="24"/>
                <w:lang w:val="en-GB"/>
              </w:rPr>
              <w:t>Palbociclib plus</w:t>
            </w:r>
          </w:p>
          <w:p w14:paraId="4927D491" w14:textId="5FE2DC6F" w:rsidR="00143528" w:rsidRPr="00143528" w:rsidRDefault="00143528" w:rsidP="008C4640">
            <w:pPr>
              <w:jc w:val="center"/>
              <w:rPr>
                <w:sz w:val="24"/>
                <w:szCs w:val="24"/>
                <w:lang w:val="en-GB"/>
              </w:rPr>
            </w:pPr>
            <w:proofErr w:type="spellStart"/>
            <w:r w:rsidRPr="00143528">
              <w:rPr>
                <w:b/>
                <w:sz w:val="24"/>
                <w:szCs w:val="24"/>
                <w:lang w:val="en-GB"/>
              </w:rPr>
              <w:t>fulvestrant</w:t>
            </w:r>
            <w:proofErr w:type="spellEnd"/>
          </w:p>
          <w:p w14:paraId="181287A9" w14:textId="77777777" w:rsidR="00143528" w:rsidRPr="00143528" w:rsidRDefault="00143528" w:rsidP="008C4640">
            <w:pPr>
              <w:jc w:val="center"/>
              <w:rPr>
                <w:sz w:val="24"/>
                <w:szCs w:val="24"/>
                <w:lang w:val="en-GB"/>
              </w:rPr>
            </w:pPr>
            <w:r w:rsidRPr="00143528">
              <w:rPr>
                <w:b/>
                <w:sz w:val="24"/>
                <w:szCs w:val="24"/>
                <w:lang w:val="en-GB"/>
              </w:rPr>
              <w:t>(N=206)</w:t>
            </w:r>
          </w:p>
        </w:tc>
        <w:tc>
          <w:tcPr>
            <w:tcW w:w="904"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19EB0EBA" w14:textId="1D2F755A" w:rsidR="00143528" w:rsidRPr="00143528" w:rsidRDefault="00143528" w:rsidP="008C4640">
            <w:pPr>
              <w:jc w:val="center"/>
              <w:rPr>
                <w:sz w:val="24"/>
                <w:szCs w:val="24"/>
                <w:lang w:val="en-GB"/>
              </w:rPr>
            </w:pPr>
            <w:r w:rsidRPr="00143528">
              <w:rPr>
                <w:b/>
                <w:sz w:val="24"/>
                <w:szCs w:val="24"/>
                <w:lang w:val="en-GB"/>
              </w:rPr>
              <w:t>Placebo plus</w:t>
            </w:r>
          </w:p>
          <w:p w14:paraId="69A0AF1D" w14:textId="40B5CE2B" w:rsidR="00143528" w:rsidRPr="00143528" w:rsidRDefault="00143528" w:rsidP="008C4640">
            <w:pPr>
              <w:jc w:val="center"/>
              <w:rPr>
                <w:sz w:val="24"/>
                <w:szCs w:val="24"/>
                <w:lang w:val="en-GB"/>
              </w:rPr>
            </w:pPr>
            <w:proofErr w:type="spellStart"/>
            <w:r w:rsidRPr="00143528">
              <w:rPr>
                <w:b/>
                <w:sz w:val="24"/>
                <w:szCs w:val="24"/>
                <w:lang w:val="en-GB"/>
              </w:rPr>
              <w:t>fulvestrant</w:t>
            </w:r>
            <w:proofErr w:type="spellEnd"/>
          </w:p>
          <w:p w14:paraId="546AD88E" w14:textId="77777777" w:rsidR="00143528" w:rsidRPr="00143528" w:rsidRDefault="00143528" w:rsidP="008C4640">
            <w:pPr>
              <w:jc w:val="center"/>
              <w:rPr>
                <w:sz w:val="24"/>
                <w:szCs w:val="24"/>
                <w:lang w:val="en-GB"/>
              </w:rPr>
            </w:pPr>
            <w:r w:rsidRPr="00143528">
              <w:rPr>
                <w:b/>
                <w:sz w:val="24"/>
                <w:szCs w:val="24"/>
                <w:lang w:val="en-GB"/>
              </w:rPr>
              <w:t>(N=105)</w:t>
            </w:r>
          </w:p>
        </w:tc>
        <w:tc>
          <w:tcPr>
            <w:tcW w:w="837"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2202A471" w14:textId="19B3249C" w:rsidR="00143528" w:rsidRPr="00143528" w:rsidRDefault="00143528" w:rsidP="008C4640">
            <w:pPr>
              <w:jc w:val="center"/>
              <w:rPr>
                <w:sz w:val="24"/>
                <w:szCs w:val="24"/>
                <w:lang w:val="en-GB"/>
              </w:rPr>
            </w:pPr>
            <w:r w:rsidRPr="00143528">
              <w:rPr>
                <w:b/>
                <w:sz w:val="24"/>
                <w:szCs w:val="24"/>
                <w:lang w:val="en-GB"/>
              </w:rPr>
              <w:t>Palbociclib plus</w:t>
            </w:r>
          </w:p>
          <w:p w14:paraId="5A6B4942" w14:textId="0890381C" w:rsidR="00143528" w:rsidRPr="00143528" w:rsidRDefault="00143528" w:rsidP="008C4640">
            <w:pPr>
              <w:jc w:val="center"/>
              <w:rPr>
                <w:sz w:val="24"/>
                <w:szCs w:val="24"/>
                <w:lang w:val="en-GB"/>
              </w:rPr>
            </w:pPr>
            <w:proofErr w:type="spellStart"/>
            <w:r w:rsidRPr="00143528">
              <w:rPr>
                <w:b/>
                <w:sz w:val="24"/>
                <w:szCs w:val="24"/>
                <w:lang w:val="en-GB"/>
              </w:rPr>
              <w:t>fulvestrant</w:t>
            </w:r>
            <w:proofErr w:type="spellEnd"/>
          </w:p>
          <w:p w14:paraId="60E64A62" w14:textId="77777777" w:rsidR="00143528" w:rsidRPr="00143528" w:rsidRDefault="00143528" w:rsidP="008C4640">
            <w:pPr>
              <w:jc w:val="center"/>
              <w:rPr>
                <w:sz w:val="24"/>
                <w:szCs w:val="24"/>
                <w:lang w:val="en-GB"/>
              </w:rPr>
            </w:pPr>
            <w:r w:rsidRPr="00143528">
              <w:rPr>
                <w:b/>
                <w:sz w:val="24"/>
                <w:szCs w:val="24"/>
                <w:lang w:val="en-GB"/>
              </w:rPr>
              <w:t>(N=141)</w:t>
            </w:r>
          </w:p>
        </w:tc>
        <w:tc>
          <w:tcPr>
            <w:tcW w:w="836"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7DC07088" w14:textId="1FC54FEF" w:rsidR="00143528" w:rsidRPr="00143528" w:rsidRDefault="00143528" w:rsidP="008C4640">
            <w:pPr>
              <w:jc w:val="center"/>
              <w:rPr>
                <w:sz w:val="24"/>
                <w:szCs w:val="24"/>
                <w:lang w:val="en-GB"/>
              </w:rPr>
            </w:pPr>
            <w:r w:rsidRPr="00143528">
              <w:rPr>
                <w:b/>
                <w:sz w:val="24"/>
                <w:szCs w:val="24"/>
                <w:lang w:val="en-GB"/>
              </w:rPr>
              <w:t>Placebo plus</w:t>
            </w:r>
          </w:p>
          <w:p w14:paraId="5AAA16ED" w14:textId="6F983B6B" w:rsidR="00143528" w:rsidRPr="00143528" w:rsidRDefault="00143528" w:rsidP="008C4640">
            <w:pPr>
              <w:jc w:val="center"/>
              <w:rPr>
                <w:sz w:val="24"/>
                <w:szCs w:val="24"/>
                <w:lang w:val="en-GB"/>
              </w:rPr>
            </w:pPr>
            <w:proofErr w:type="spellStart"/>
            <w:r w:rsidRPr="00143528">
              <w:rPr>
                <w:b/>
                <w:sz w:val="24"/>
                <w:szCs w:val="24"/>
                <w:lang w:val="en-GB"/>
              </w:rPr>
              <w:t>fulvestrant</w:t>
            </w:r>
            <w:proofErr w:type="spellEnd"/>
          </w:p>
          <w:p w14:paraId="4A3E7650" w14:textId="77777777" w:rsidR="00143528" w:rsidRPr="00143528" w:rsidRDefault="00143528" w:rsidP="008C4640">
            <w:pPr>
              <w:jc w:val="center"/>
              <w:rPr>
                <w:sz w:val="24"/>
                <w:szCs w:val="24"/>
                <w:lang w:val="en-GB"/>
              </w:rPr>
            </w:pPr>
            <w:r w:rsidRPr="00143528">
              <w:rPr>
                <w:b/>
                <w:sz w:val="24"/>
                <w:szCs w:val="24"/>
                <w:lang w:val="en-GB"/>
              </w:rPr>
              <w:t>(N=69)</w:t>
            </w:r>
          </w:p>
        </w:tc>
      </w:tr>
      <w:tr w:rsidR="00143528" w:rsidRPr="00143528" w14:paraId="3319BCB8" w14:textId="77777777" w:rsidTr="00D33C41">
        <w:trPr>
          <w:trHeight w:val="516"/>
        </w:trPr>
        <w:tc>
          <w:tcPr>
            <w:tcW w:w="1555"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138C85D4" w14:textId="14DFA6C6" w:rsidR="00143528" w:rsidRPr="00143528" w:rsidRDefault="00143528" w:rsidP="00D33C41">
            <w:pPr>
              <w:rPr>
                <w:sz w:val="24"/>
                <w:szCs w:val="24"/>
                <w:lang w:val="en-GB"/>
              </w:rPr>
            </w:pPr>
            <w:r w:rsidRPr="00143528">
              <w:rPr>
                <w:sz w:val="24"/>
                <w:szCs w:val="24"/>
                <w:lang w:val="en-GB"/>
              </w:rPr>
              <w:t>OR [</w:t>
            </w:r>
            <w:r w:rsidR="007A1C7E">
              <w:rPr>
                <w:sz w:val="24"/>
                <w:szCs w:val="24"/>
                <w:lang w:val="en-GB"/>
              </w:rPr>
              <w:t>%</w:t>
            </w:r>
            <w:r w:rsidRPr="00143528">
              <w:rPr>
                <w:sz w:val="24"/>
                <w:szCs w:val="24"/>
                <w:lang w:val="en-GB"/>
              </w:rPr>
              <w:t>, (95</w:t>
            </w:r>
            <w:r w:rsidR="007A1C7E">
              <w:rPr>
                <w:sz w:val="24"/>
                <w:szCs w:val="24"/>
                <w:lang w:val="en-GB"/>
              </w:rPr>
              <w:t xml:space="preserve"> %</w:t>
            </w:r>
            <w:r w:rsidRPr="00143528">
              <w:rPr>
                <w:sz w:val="24"/>
                <w:szCs w:val="24"/>
                <w:lang w:val="en-GB"/>
              </w:rPr>
              <w:t xml:space="preserve"> CI)]</w:t>
            </w:r>
          </w:p>
        </w:tc>
        <w:tc>
          <w:tcPr>
            <w:tcW w:w="869"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10F6CEAA" w14:textId="77777777" w:rsidR="00143528" w:rsidRPr="00143528" w:rsidRDefault="00143528" w:rsidP="008C4640">
            <w:pPr>
              <w:jc w:val="center"/>
              <w:rPr>
                <w:sz w:val="24"/>
                <w:szCs w:val="24"/>
                <w:lang w:val="en-GB"/>
              </w:rPr>
            </w:pPr>
            <w:r w:rsidRPr="00143528">
              <w:rPr>
                <w:sz w:val="24"/>
                <w:szCs w:val="24"/>
                <w:lang w:val="en-GB"/>
              </w:rPr>
              <w:t>35,0</w:t>
            </w:r>
          </w:p>
          <w:p w14:paraId="67630F85" w14:textId="77777777" w:rsidR="00143528" w:rsidRPr="00143528" w:rsidRDefault="00143528" w:rsidP="008C4640">
            <w:pPr>
              <w:jc w:val="center"/>
              <w:rPr>
                <w:sz w:val="24"/>
                <w:szCs w:val="24"/>
                <w:lang w:val="en-GB"/>
              </w:rPr>
            </w:pPr>
            <w:r w:rsidRPr="00143528">
              <w:rPr>
                <w:sz w:val="24"/>
                <w:szCs w:val="24"/>
                <w:lang w:val="en-GB"/>
              </w:rPr>
              <w:t>(28,5, 41,9)</w:t>
            </w:r>
          </w:p>
        </w:tc>
        <w:tc>
          <w:tcPr>
            <w:tcW w:w="904"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5E575142" w14:textId="77777777" w:rsidR="00143528" w:rsidRPr="00143528" w:rsidRDefault="00143528" w:rsidP="008C4640">
            <w:pPr>
              <w:jc w:val="center"/>
              <w:rPr>
                <w:sz w:val="24"/>
                <w:szCs w:val="24"/>
                <w:lang w:val="en-GB"/>
              </w:rPr>
            </w:pPr>
            <w:r w:rsidRPr="00143528">
              <w:rPr>
                <w:sz w:val="24"/>
                <w:szCs w:val="24"/>
                <w:lang w:val="en-GB"/>
              </w:rPr>
              <w:t>13,3</w:t>
            </w:r>
          </w:p>
          <w:p w14:paraId="56D5390D" w14:textId="77777777" w:rsidR="00143528" w:rsidRPr="00143528" w:rsidRDefault="00143528" w:rsidP="008C4640">
            <w:pPr>
              <w:jc w:val="center"/>
              <w:rPr>
                <w:sz w:val="24"/>
                <w:szCs w:val="24"/>
                <w:lang w:val="en-GB"/>
              </w:rPr>
            </w:pPr>
            <w:r w:rsidRPr="00143528">
              <w:rPr>
                <w:sz w:val="24"/>
                <w:szCs w:val="24"/>
                <w:lang w:val="en-GB"/>
              </w:rPr>
              <w:t>(7,5, 21,4)</w:t>
            </w:r>
          </w:p>
        </w:tc>
        <w:tc>
          <w:tcPr>
            <w:tcW w:w="837"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4CFA8D06" w14:textId="77777777" w:rsidR="00143528" w:rsidRPr="00143528" w:rsidRDefault="00143528" w:rsidP="008C4640">
            <w:pPr>
              <w:jc w:val="center"/>
              <w:rPr>
                <w:sz w:val="24"/>
                <w:szCs w:val="24"/>
                <w:lang w:val="en-GB"/>
              </w:rPr>
            </w:pPr>
            <w:r w:rsidRPr="00143528">
              <w:rPr>
                <w:sz w:val="24"/>
                <w:szCs w:val="24"/>
                <w:lang w:val="en-GB"/>
              </w:rPr>
              <w:t>13,5</w:t>
            </w:r>
          </w:p>
          <w:p w14:paraId="43010F33" w14:textId="77777777" w:rsidR="00143528" w:rsidRPr="00143528" w:rsidRDefault="00143528" w:rsidP="008C4640">
            <w:pPr>
              <w:jc w:val="center"/>
              <w:rPr>
                <w:sz w:val="24"/>
                <w:szCs w:val="24"/>
                <w:lang w:val="en-GB"/>
              </w:rPr>
            </w:pPr>
            <w:r w:rsidRPr="00143528">
              <w:rPr>
                <w:sz w:val="24"/>
                <w:szCs w:val="24"/>
                <w:lang w:val="en-GB"/>
              </w:rPr>
              <w:t>(8,3, 20,2)</w:t>
            </w:r>
          </w:p>
        </w:tc>
        <w:tc>
          <w:tcPr>
            <w:tcW w:w="836"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1AB0E036" w14:textId="77777777" w:rsidR="00143528" w:rsidRPr="00143528" w:rsidRDefault="00143528" w:rsidP="008C4640">
            <w:pPr>
              <w:jc w:val="center"/>
              <w:rPr>
                <w:sz w:val="24"/>
                <w:szCs w:val="24"/>
                <w:lang w:val="en-GB"/>
              </w:rPr>
            </w:pPr>
            <w:r w:rsidRPr="00143528">
              <w:rPr>
                <w:sz w:val="24"/>
                <w:szCs w:val="24"/>
                <w:lang w:val="en-GB"/>
              </w:rPr>
              <w:t>14,5</w:t>
            </w:r>
          </w:p>
          <w:p w14:paraId="0E963270" w14:textId="77777777" w:rsidR="00143528" w:rsidRPr="00143528" w:rsidRDefault="00143528" w:rsidP="008C4640">
            <w:pPr>
              <w:jc w:val="center"/>
              <w:rPr>
                <w:sz w:val="24"/>
                <w:szCs w:val="24"/>
                <w:lang w:val="en-GB"/>
              </w:rPr>
            </w:pPr>
            <w:r w:rsidRPr="00143528">
              <w:rPr>
                <w:sz w:val="24"/>
                <w:szCs w:val="24"/>
                <w:lang w:val="en-GB"/>
              </w:rPr>
              <w:t>(7,2, 25,0)</w:t>
            </w:r>
          </w:p>
        </w:tc>
      </w:tr>
      <w:tr w:rsidR="00143528" w:rsidRPr="00143528" w14:paraId="075150C3" w14:textId="77777777" w:rsidTr="00D33C41">
        <w:trPr>
          <w:trHeight w:val="562"/>
        </w:trPr>
        <w:tc>
          <w:tcPr>
            <w:tcW w:w="1555"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7D69A400" w14:textId="77777777" w:rsidR="00143528" w:rsidRPr="00143528" w:rsidRDefault="00143528" w:rsidP="00D33C41">
            <w:pPr>
              <w:rPr>
                <w:sz w:val="24"/>
                <w:szCs w:val="24"/>
                <w:lang w:val="en-GB"/>
              </w:rPr>
            </w:pPr>
            <w:r w:rsidRPr="00143528">
              <w:rPr>
                <w:sz w:val="24"/>
                <w:szCs w:val="24"/>
                <w:lang w:val="en-GB"/>
              </w:rPr>
              <w:t>TTR, Median [</w:t>
            </w:r>
            <w:proofErr w:type="spellStart"/>
            <w:r w:rsidRPr="00143528">
              <w:rPr>
                <w:sz w:val="24"/>
                <w:szCs w:val="24"/>
                <w:lang w:val="en-GB"/>
              </w:rPr>
              <w:t>måneder</w:t>
            </w:r>
            <w:proofErr w:type="spellEnd"/>
            <w:r w:rsidRPr="00143528">
              <w:rPr>
                <w:sz w:val="24"/>
                <w:szCs w:val="24"/>
                <w:lang w:val="en-GB"/>
              </w:rPr>
              <w:t xml:space="preserve"> (interval)]</w:t>
            </w:r>
          </w:p>
        </w:tc>
        <w:tc>
          <w:tcPr>
            <w:tcW w:w="869"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58C586F0" w14:textId="77777777" w:rsidR="00143528" w:rsidRPr="00143528" w:rsidRDefault="00143528" w:rsidP="008C4640">
            <w:pPr>
              <w:jc w:val="center"/>
              <w:rPr>
                <w:sz w:val="24"/>
                <w:szCs w:val="24"/>
                <w:lang w:val="en-GB"/>
              </w:rPr>
            </w:pPr>
            <w:r w:rsidRPr="00143528">
              <w:rPr>
                <w:sz w:val="24"/>
                <w:szCs w:val="24"/>
                <w:lang w:val="en-GB"/>
              </w:rPr>
              <w:t>3,8</w:t>
            </w:r>
          </w:p>
          <w:p w14:paraId="2CD6979B" w14:textId="77777777" w:rsidR="00143528" w:rsidRPr="00143528" w:rsidRDefault="00143528" w:rsidP="008C4640">
            <w:pPr>
              <w:jc w:val="center"/>
              <w:rPr>
                <w:sz w:val="24"/>
                <w:szCs w:val="24"/>
                <w:lang w:val="en-GB"/>
              </w:rPr>
            </w:pPr>
            <w:r w:rsidRPr="00143528">
              <w:rPr>
                <w:sz w:val="24"/>
                <w:szCs w:val="24"/>
                <w:lang w:val="en-GB"/>
              </w:rPr>
              <w:t>(3,5, 16,7)</w:t>
            </w:r>
          </w:p>
        </w:tc>
        <w:tc>
          <w:tcPr>
            <w:tcW w:w="904"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3F82D6CC" w14:textId="77777777" w:rsidR="00143528" w:rsidRPr="00143528" w:rsidRDefault="00143528" w:rsidP="008C4640">
            <w:pPr>
              <w:jc w:val="center"/>
              <w:rPr>
                <w:sz w:val="24"/>
                <w:szCs w:val="24"/>
                <w:lang w:val="en-GB"/>
              </w:rPr>
            </w:pPr>
            <w:r w:rsidRPr="00143528">
              <w:rPr>
                <w:sz w:val="24"/>
                <w:szCs w:val="24"/>
                <w:lang w:val="en-GB"/>
              </w:rPr>
              <w:t>5,4</w:t>
            </w:r>
          </w:p>
          <w:p w14:paraId="19772083" w14:textId="77777777" w:rsidR="00143528" w:rsidRPr="00143528" w:rsidRDefault="00143528" w:rsidP="008C4640">
            <w:pPr>
              <w:jc w:val="center"/>
              <w:rPr>
                <w:sz w:val="24"/>
                <w:szCs w:val="24"/>
                <w:lang w:val="en-GB"/>
              </w:rPr>
            </w:pPr>
            <w:r w:rsidRPr="00143528">
              <w:rPr>
                <w:sz w:val="24"/>
                <w:szCs w:val="24"/>
                <w:lang w:val="en-GB"/>
              </w:rPr>
              <w:t>(3,5, 16,7)</w:t>
            </w:r>
          </w:p>
        </w:tc>
        <w:tc>
          <w:tcPr>
            <w:tcW w:w="837"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0A26F13F" w14:textId="77777777" w:rsidR="00143528" w:rsidRPr="00143528" w:rsidRDefault="00143528" w:rsidP="008C4640">
            <w:pPr>
              <w:jc w:val="center"/>
              <w:rPr>
                <w:sz w:val="24"/>
                <w:szCs w:val="24"/>
                <w:lang w:val="en-GB"/>
              </w:rPr>
            </w:pPr>
            <w:r w:rsidRPr="00143528">
              <w:rPr>
                <w:sz w:val="24"/>
                <w:szCs w:val="24"/>
                <w:lang w:val="en-GB"/>
              </w:rPr>
              <w:t>3,7</w:t>
            </w:r>
          </w:p>
          <w:p w14:paraId="1301C572" w14:textId="77777777" w:rsidR="00143528" w:rsidRPr="00143528" w:rsidRDefault="00143528" w:rsidP="008C4640">
            <w:pPr>
              <w:jc w:val="center"/>
              <w:rPr>
                <w:sz w:val="24"/>
                <w:szCs w:val="24"/>
                <w:lang w:val="en-GB"/>
              </w:rPr>
            </w:pPr>
            <w:r w:rsidRPr="00143528">
              <w:rPr>
                <w:sz w:val="24"/>
                <w:szCs w:val="24"/>
                <w:lang w:val="en-GB"/>
              </w:rPr>
              <w:t>(1,9, 13,7)</w:t>
            </w:r>
          </w:p>
        </w:tc>
        <w:tc>
          <w:tcPr>
            <w:tcW w:w="836" w:type="pct"/>
            <w:tcBorders>
              <w:top w:val="single" w:sz="4" w:space="0" w:color="000000"/>
              <w:left w:val="single" w:sz="4" w:space="0" w:color="000000"/>
              <w:bottom w:val="single" w:sz="4" w:space="0" w:color="000000"/>
              <w:right w:val="single" w:sz="4" w:space="0" w:color="000000"/>
            </w:tcBorders>
            <w:tcMar>
              <w:top w:w="56" w:type="dxa"/>
              <w:left w:w="108" w:type="dxa"/>
              <w:bottom w:w="0" w:type="dxa"/>
              <w:right w:w="115" w:type="dxa"/>
            </w:tcMar>
            <w:hideMark/>
          </w:tcPr>
          <w:p w14:paraId="46006BCC" w14:textId="77777777" w:rsidR="00143528" w:rsidRPr="00143528" w:rsidRDefault="00143528" w:rsidP="008C4640">
            <w:pPr>
              <w:jc w:val="center"/>
              <w:rPr>
                <w:sz w:val="24"/>
                <w:szCs w:val="24"/>
                <w:lang w:val="en-GB"/>
              </w:rPr>
            </w:pPr>
            <w:r w:rsidRPr="00143528">
              <w:rPr>
                <w:sz w:val="24"/>
                <w:szCs w:val="24"/>
                <w:lang w:val="en-GB"/>
              </w:rPr>
              <w:t>3,6</w:t>
            </w:r>
          </w:p>
          <w:p w14:paraId="19345298" w14:textId="77777777" w:rsidR="00143528" w:rsidRPr="00143528" w:rsidRDefault="00143528" w:rsidP="008C4640">
            <w:pPr>
              <w:jc w:val="center"/>
              <w:rPr>
                <w:sz w:val="24"/>
                <w:szCs w:val="24"/>
                <w:lang w:val="en-GB"/>
              </w:rPr>
            </w:pPr>
            <w:r w:rsidRPr="00143528">
              <w:rPr>
                <w:sz w:val="24"/>
                <w:szCs w:val="24"/>
                <w:lang w:val="en-GB"/>
              </w:rPr>
              <w:t>(3,4, 3,7)</w:t>
            </w:r>
          </w:p>
        </w:tc>
      </w:tr>
    </w:tbl>
    <w:p w14:paraId="5593FD83" w14:textId="77777777" w:rsidR="00143528" w:rsidRPr="00143528" w:rsidRDefault="00143528" w:rsidP="00D33C41">
      <w:pPr>
        <w:rPr>
          <w:bCs/>
          <w:sz w:val="20"/>
        </w:rPr>
      </w:pPr>
      <w:r w:rsidRPr="00143528">
        <w:rPr>
          <w:bCs/>
          <w:sz w:val="20"/>
        </w:rPr>
        <w:t>N = antal patienter; CI = konfidensinterval; OR = objektiv respons baseret på bekræftet og ubekræftet respons iht. RECIST 1.1; TTR = tid til første tumorrespons.</w:t>
      </w:r>
    </w:p>
    <w:p w14:paraId="29717F08" w14:textId="77777777" w:rsidR="00143528" w:rsidRPr="00143528" w:rsidRDefault="00143528" w:rsidP="00143528">
      <w:pPr>
        <w:tabs>
          <w:tab w:val="left" w:pos="851"/>
        </w:tabs>
        <w:ind w:left="851"/>
        <w:rPr>
          <w:bCs/>
          <w:sz w:val="24"/>
          <w:szCs w:val="24"/>
        </w:rPr>
      </w:pPr>
    </w:p>
    <w:p w14:paraId="022313BA" w14:textId="77777777" w:rsidR="00143528" w:rsidRPr="00143528" w:rsidRDefault="00143528" w:rsidP="00D33C41">
      <w:pPr>
        <w:ind w:left="851"/>
        <w:rPr>
          <w:bCs/>
          <w:sz w:val="24"/>
          <w:szCs w:val="24"/>
        </w:rPr>
      </w:pPr>
      <w:r w:rsidRPr="00143528">
        <w:rPr>
          <w:bCs/>
          <w:sz w:val="24"/>
          <w:szCs w:val="24"/>
        </w:rPr>
        <w:t xml:space="preserve">Patientrapporterede symptomer blev vurderet ved hjælp af spørgeskema fra </w:t>
      </w:r>
      <w:r w:rsidRPr="00143528">
        <w:rPr>
          <w:bCs/>
          <w:i/>
          <w:iCs/>
          <w:sz w:val="24"/>
          <w:szCs w:val="24"/>
        </w:rPr>
        <w:t xml:space="preserve">European Organisation for Research and </w:t>
      </w:r>
      <w:proofErr w:type="spellStart"/>
      <w:r w:rsidRPr="00143528">
        <w:rPr>
          <w:bCs/>
          <w:i/>
          <w:iCs/>
          <w:sz w:val="24"/>
          <w:szCs w:val="24"/>
        </w:rPr>
        <w:t>Treatment</w:t>
      </w:r>
      <w:proofErr w:type="spellEnd"/>
      <w:r w:rsidRPr="00143528">
        <w:rPr>
          <w:bCs/>
          <w:i/>
          <w:iCs/>
          <w:sz w:val="24"/>
          <w:szCs w:val="24"/>
        </w:rPr>
        <w:t xml:space="preserve"> of Cancer </w:t>
      </w:r>
      <w:r w:rsidRPr="00143528">
        <w:rPr>
          <w:bCs/>
          <w:sz w:val="24"/>
          <w:szCs w:val="24"/>
        </w:rPr>
        <w:t xml:space="preserve">(EORTC) vedrørende livskvalitet (QLQ)-C30 og dets </w:t>
      </w:r>
      <w:r w:rsidRPr="00143528">
        <w:rPr>
          <w:bCs/>
          <w:i/>
          <w:iCs/>
          <w:sz w:val="24"/>
          <w:szCs w:val="24"/>
        </w:rPr>
        <w:t xml:space="preserve">Breast Cancer </w:t>
      </w:r>
      <w:proofErr w:type="spellStart"/>
      <w:r w:rsidRPr="00143528">
        <w:rPr>
          <w:bCs/>
          <w:i/>
          <w:iCs/>
          <w:sz w:val="24"/>
          <w:szCs w:val="24"/>
        </w:rPr>
        <w:t>Module</w:t>
      </w:r>
      <w:proofErr w:type="spellEnd"/>
      <w:r w:rsidRPr="00143528">
        <w:rPr>
          <w:bCs/>
          <w:i/>
          <w:iCs/>
          <w:sz w:val="24"/>
          <w:szCs w:val="24"/>
        </w:rPr>
        <w:t xml:space="preserve"> </w:t>
      </w:r>
      <w:r w:rsidRPr="00143528">
        <w:rPr>
          <w:bCs/>
          <w:sz w:val="24"/>
          <w:szCs w:val="24"/>
        </w:rPr>
        <w:t xml:space="preserve">(EORTC QLQ-BR23). </w:t>
      </w:r>
      <w:proofErr w:type="spellStart"/>
      <w:r w:rsidRPr="00143528">
        <w:rPr>
          <w:bCs/>
          <w:sz w:val="24"/>
          <w:szCs w:val="24"/>
        </w:rPr>
        <w:t>Ialt</w:t>
      </w:r>
      <w:proofErr w:type="spellEnd"/>
      <w:r w:rsidRPr="00143528">
        <w:rPr>
          <w:bCs/>
          <w:sz w:val="24"/>
          <w:szCs w:val="24"/>
        </w:rPr>
        <w:t xml:space="preserve"> 335 patienter i </w:t>
      </w:r>
      <w:proofErr w:type="spellStart"/>
      <w:r w:rsidRPr="00143528">
        <w:rPr>
          <w:bCs/>
          <w:sz w:val="24"/>
          <w:szCs w:val="24"/>
        </w:rPr>
        <w:t>palbociclib</w:t>
      </w:r>
      <w:proofErr w:type="spellEnd"/>
      <w:r w:rsidRPr="00143528">
        <w:rPr>
          <w:bCs/>
          <w:sz w:val="24"/>
          <w:szCs w:val="24"/>
        </w:rPr>
        <w:t xml:space="preserve"> plus </w:t>
      </w:r>
      <w:proofErr w:type="spellStart"/>
      <w:r w:rsidRPr="00143528">
        <w:rPr>
          <w:bCs/>
          <w:sz w:val="24"/>
          <w:szCs w:val="24"/>
        </w:rPr>
        <w:t>fulvestrant</w:t>
      </w:r>
      <w:proofErr w:type="spellEnd"/>
      <w:r w:rsidRPr="00143528">
        <w:rPr>
          <w:bCs/>
          <w:sz w:val="24"/>
          <w:szCs w:val="24"/>
        </w:rPr>
        <w:t>-armen og 166</w:t>
      </w:r>
      <w:r w:rsidRPr="00143528">
        <w:rPr>
          <w:bCs/>
          <w:i/>
          <w:iCs/>
          <w:sz w:val="24"/>
          <w:szCs w:val="24"/>
        </w:rPr>
        <w:t xml:space="preserve"> </w:t>
      </w:r>
      <w:r w:rsidRPr="00143528">
        <w:rPr>
          <w:bCs/>
          <w:sz w:val="24"/>
          <w:szCs w:val="24"/>
        </w:rPr>
        <w:t xml:space="preserve">patienter i </w:t>
      </w:r>
      <w:proofErr w:type="spellStart"/>
      <w:r w:rsidRPr="00143528">
        <w:rPr>
          <w:bCs/>
          <w:sz w:val="24"/>
          <w:szCs w:val="24"/>
        </w:rPr>
        <w:t>fulvestrant</w:t>
      </w:r>
      <w:proofErr w:type="spellEnd"/>
      <w:r w:rsidRPr="00143528">
        <w:rPr>
          <w:bCs/>
          <w:sz w:val="24"/>
          <w:szCs w:val="24"/>
        </w:rPr>
        <w:t xml:space="preserve">-armen alene udfyldte spørgeskemaet ved </w:t>
      </w:r>
      <w:r w:rsidRPr="00143528">
        <w:rPr>
          <w:bCs/>
          <w:i/>
          <w:iCs/>
          <w:sz w:val="24"/>
          <w:szCs w:val="24"/>
        </w:rPr>
        <w:t xml:space="preserve">baseline </w:t>
      </w:r>
      <w:r w:rsidRPr="00143528">
        <w:rPr>
          <w:bCs/>
          <w:sz w:val="24"/>
          <w:szCs w:val="24"/>
        </w:rPr>
        <w:t>og ved mindst et</w:t>
      </w:r>
      <w:r w:rsidRPr="00143528">
        <w:rPr>
          <w:bCs/>
          <w:i/>
          <w:iCs/>
          <w:sz w:val="24"/>
          <w:szCs w:val="24"/>
        </w:rPr>
        <w:t xml:space="preserve"> </w:t>
      </w:r>
      <w:r w:rsidRPr="00143528">
        <w:rPr>
          <w:bCs/>
          <w:sz w:val="24"/>
          <w:szCs w:val="24"/>
        </w:rPr>
        <w:t>efterfølgende besøg.</w:t>
      </w:r>
    </w:p>
    <w:p w14:paraId="16B8746E" w14:textId="77777777" w:rsidR="00143528" w:rsidRPr="00143528" w:rsidRDefault="00143528" w:rsidP="00D33C41">
      <w:pPr>
        <w:ind w:left="851"/>
        <w:rPr>
          <w:bCs/>
          <w:i/>
          <w:iCs/>
          <w:sz w:val="24"/>
          <w:szCs w:val="24"/>
        </w:rPr>
      </w:pPr>
    </w:p>
    <w:p w14:paraId="3D5759BC" w14:textId="2072CFB8" w:rsidR="00143528" w:rsidRPr="00143528" w:rsidRDefault="00143528" w:rsidP="00D33C41">
      <w:pPr>
        <w:ind w:left="851"/>
        <w:rPr>
          <w:bCs/>
          <w:sz w:val="24"/>
          <w:szCs w:val="24"/>
        </w:rPr>
      </w:pPr>
      <w:r w:rsidRPr="00143528">
        <w:rPr>
          <w:bCs/>
          <w:sz w:val="24"/>
          <w:szCs w:val="24"/>
        </w:rPr>
        <w:t xml:space="preserve">Tid til forværring var præspecificeret som tiden mellem </w:t>
      </w:r>
      <w:r w:rsidRPr="00143528">
        <w:rPr>
          <w:bCs/>
          <w:i/>
          <w:iCs/>
          <w:sz w:val="24"/>
          <w:szCs w:val="24"/>
        </w:rPr>
        <w:t xml:space="preserve">baseline </w:t>
      </w:r>
      <w:r w:rsidRPr="00143528">
        <w:rPr>
          <w:bCs/>
          <w:sz w:val="24"/>
          <w:szCs w:val="24"/>
        </w:rPr>
        <w:t xml:space="preserve">og første forekomst af en ≥ 10 point stigning fra </w:t>
      </w:r>
      <w:r w:rsidRPr="00143528">
        <w:rPr>
          <w:bCs/>
          <w:i/>
          <w:iCs/>
          <w:sz w:val="24"/>
          <w:szCs w:val="24"/>
        </w:rPr>
        <w:t xml:space="preserve">baseline </w:t>
      </w:r>
      <w:r w:rsidRPr="00143528">
        <w:rPr>
          <w:bCs/>
          <w:sz w:val="24"/>
          <w:szCs w:val="24"/>
        </w:rPr>
        <w:t xml:space="preserve">i score for smertesymptomer. Tillæg af </w:t>
      </w:r>
      <w:proofErr w:type="spellStart"/>
      <w:r w:rsidRPr="00143528">
        <w:rPr>
          <w:bCs/>
          <w:sz w:val="24"/>
          <w:szCs w:val="24"/>
        </w:rPr>
        <w:t>palbociclib</w:t>
      </w:r>
      <w:proofErr w:type="spellEnd"/>
      <w:r w:rsidRPr="00143528">
        <w:rPr>
          <w:bCs/>
          <w:sz w:val="24"/>
          <w:szCs w:val="24"/>
        </w:rPr>
        <w:t xml:space="preserve"> til </w:t>
      </w:r>
      <w:proofErr w:type="spellStart"/>
      <w:r w:rsidRPr="00143528">
        <w:rPr>
          <w:bCs/>
          <w:sz w:val="24"/>
          <w:szCs w:val="24"/>
        </w:rPr>
        <w:t>fulvestrant</w:t>
      </w:r>
      <w:proofErr w:type="spellEnd"/>
      <w:r w:rsidRPr="00143528">
        <w:rPr>
          <w:bCs/>
          <w:sz w:val="24"/>
          <w:szCs w:val="24"/>
        </w:rPr>
        <w:t xml:space="preserve"> resulterede i en symptomfordel ved signifikant at forsinke tiden til forværring af smertesymptomer sammenlignet med placebo plus </w:t>
      </w:r>
      <w:proofErr w:type="spellStart"/>
      <w:r w:rsidRPr="00143528">
        <w:rPr>
          <w:bCs/>
          <w:sz w:val="24"/>
          <w:szCs w:val="24"/>
        </w:rPr>
        <w:t>fulvestrant</w:t>
      </w:r>
      <w:proofErr w:type="spellEnd"/>
      <w:r w:rsidRPr="00143528">
        <w:rPr>
          <w:bCs/>
          <w:sz w:val="24"/>
          <w:szCs w:val="24"/>
        </w:rPr>
        <w:t xml:space="preserve"> (median 8,0 måneder </w:t>
      </w:r>
      <w:r w:rsidRPr="00143528">
        <w:rPr>
          <w:bCs/>
          <w:i/>
          <w:iCs/>
          <w:sz w:val="24"/>
          <w:szCs w:val="24"/>
        </w:rPr>
        <w:t xml:space="preserve">versus </w:t>
      </w:r>
      <w:r w:rsidRPr="00143528">
        <w:rPr>
          <w:bCs/>
          <w:sz w:val="24"/>
          <w:szCs w:val="24"/>
        </w:rPr>
        <w:t>2,8 måneder. HR = 0,64 [95</w:t>
      </w:r>
      <w:r w:rsidR="007A1C7E">
        <w:rPr>
          <w:bCs/>
          <w:sz w:val="24"/>
          <w:szCs w:val="24"/>
        </w:rPr>
        <w:t xml:space="preserve"> %</w:t>
      </w:r>
      <w:r w:rsidRPr="00143528">
        <w:rPr>
          <w:bCs/>
          <w:sz w:val="24"/>
          <w:szCs w:val="24"/>
        </w:rPr>
        <w:t xml:space="preserve"> CI 0,49, 0,85], p &lt; 0,001).</w:t>
      </w:r>
    </w:p>
    <w:p w14:paraId="5B1A4D7F" w14:textId="630DC5AE" w:rsidR="007A1C7E" w:rsidRDefault="007A1C7E">
      <w:pPr>
        <w:rPr>
          <w:bCs/>
          <w:sz w:val="24"/>
          <w:szCs w:val="24"/>
        </w:rPr>
      </w:pPr>
      <w:r>
        <w:rPr>
          <w:bCs/>
          <w:sz w:val="24"/>
          <w:szCs w:val="24"/>
        </w:rPr>
        <w:br w:type="page"/>
      </w:r>
    </w:p>
    <w:p w14:paraId="2265968E" w14:textId="77777777" w:rsidR="00143528" w:rsidRPr="00143528" w:rsidRDefault="00143528" w:rsidP="00D33C41">
      <w:pPr>
        <w:ind w:left="851"/>
        <w:rPr>
          <w:bCs/>
          <w:sz w:val="24"/>
          <w:szCs w:val="24"/>
        </w:rPr>
      </w:pPr>
    </w:p>
    <w:p w14:paraId="1B1BF6ED" w14:textId="77777777" w:rsidR="00143528" w:rsidRPr="00143528" w:rsidRDefault="00143528" w:rsidP="00D33C41">
      <w:pPr>
        <w:ind w:left="851"/>
        <w:rPr>
          <w:bCs/>
          <w:sz w:val="24"/>
          <w:szCs w:val="24"/>
          <w:u w:val="single"/>
        </w:rPr>
      </w:pPr>
      <w:r w:rsidRPr="00143528">
        <w:rPr>
          <w:bCs/>
          <w:sz w:val="24"/>
          <w:szCs w:val="24"/>
          <w:u w:val="single"/>
        </w:rPr>
        <w:t>Pædiatrisk population</w:t>
      </w:r>
    </w:p>
    <w:p w14:paraId="1ADCAA42" w14:textId="77777777" w:rsidR="00143528" w:rsidRPr="00143528" w:rsidRDefault="00143528" w:rsidP="00D33C41">
      <w:pPr>
        <w:ind w:left="851"/>
        <w:rPr>
          <w:bCs/>
          <w:sz w:val="24"/>
          <w:szCs w:val="24"/>
          <w:u w:val="single"/>
        </w:rPr>
      </w:pPr>
    </w:p>
    <w:p w14:paraId="1E7C5662" w14:textId="77777777" w:rsidR="00143528" w:rsidRPr="00143528" w:rsidRDefault="00143528" w:rsidP="00D33C41">
      <w:pPr>
        <w:ind w:left="851"/>
        <w:rPr>
          <w:sz w:val="24"/>
          <w:szCs w:val="24"/>
        </w:rPr>
      </w:pPr>
      <w:r w:rsidRPr="00143528">
        <w:rPr>
          <w:sz w:val="24"/>
          <w:szCs w:val="24"/>
        </w:rPr>
        <w:t xml:space="preserve">En åben, randomiseret fase 2-del af studie A5481092 sammenlignede virkningen af kombinationen af </w:t>
      </w:r>
      <w:proofErr w:type="spellStart"/>
      <w:r w:rsidRPr="00143528">
        <w:rPr>
          <w:sz w:val="24"/>
          <w:szCs w:val="24"/>
        </w:rPr>
        <w:t>palbociclib</w:t>
      </w:r>
      <w:proofErr w:type="spellEnd"/>
      <w:r w:rsidRPr="00143528">
        <w:rPr>
          <w:sz w:val="24"/>
          <w:szCs w:val="24"/>
        </w:rPr>
        <w:t xml:space="preserve"> med </w:t>
      </w:r>
      <w:proofErr w:type="spellStart"/>
      <w:r w:rsidRPr="00143528">
        <w:rPr>
          <w:sz w:val="24"/>
          <w:szCs w:val="24"/>
        </w:rPr>
        <w:t>irinotecan</w:t>
      </w:r>
      <w:proofErr w:type="spellEnd"/>
      <w:r w:rsidRPr="00143528">
        <w:rPr>
          <w:sz w:val="24"/>
          <w:szCs w:val="24"/>
        </w:rPr>
        <w:t xml:space="preserve"> (IRN) og </w:t>
      </w:r>
      <w:proofErr w:type="spellStart"/>
      <w:r w:rsidRPr="00143528">
        <w:rPr>
          <w:sz w:val="24"/>
          <w:szCs w:val="24"/>
        </w:rPr>
        <w:t>temozolomid</w:t>
      </w:r>
      <w:proofErr w:type="spellEnd"/>
      <w:r w:rsidRPr="00143528">
        <w:rPr>
          <w:sz w:val="24"/>
          <w:szCs w:val="24"/>
        </w:rPr>
        <w:t xml:space="preserve"> (TMZ) </w:t>
      </w:r>
      <w:r w:rsidRPr="00143528">
        <w:rPr>
          <w:i/>
          <w:iCs/>
          <w:sz w:val="24"/>
          <w:szCs w:val="24"/>
        </w:rPr>
        <w:t xml:space="preserve">versus </w:t>
      </w:r>
      <w:r w:rsidRPr="00143528">
        <w:rPr>
          <w:sz w:val="24"/>
          <w:szCs w:val="24"/>
        </w:rPr>
        <w:t>IRN og TMZ alene til behandling af pædiatriske patienter (i alderen 2 til &lt; 18 år) og unge voksne (i alderen 18 til 20 år) med r/r EWS, hos hvem der ikke forelå en standardbehandling.</w:t>
      </w:r>
    </w:p>
    <w:p w14:paraId="230AAE1E" w14:textId="77777777" w:rsidR="00143528" w:rsidRPr="00143528" w:rsidRDefault="00143528" w:rsidP="00D33C41">
      <w:pPr>
        <w:ind w:left="851"/>
        <w:rPr>
          <w:sz w:val="24"/>
          <w:szCs w:val="24"/>
        </w:rPr>
      </w:pPr>
    </w:p>
    <w:p w14:paraId="6BC6776F" w14:textId="01E89EE3" w:rsidR="00143528" w:rsidRPr="00143528" w:rsidRDefault="00143528" w:rsidP="00D33C41">
      <w:pPr>
        <w:ind w:left="851"/>
        <w:rPr>
          <w:sz w:val="24"/>
          <w:szCs w:val="24"/>
        </w:rPr>
      </w:pPr>
      <w:r w:rsidRPr="00143528">
        <w:rPr>
          <w:sz w:val="24"/>
          <w:szCs w:val="24"/>
        </w:rPr>
        <w:t>Den præspecificerede interim-analyse blev udført på baggrund af 33 hændelser med hændelsesfri overlevelse (61,1</w:t>
      </w:r>
      <w:r w:rsidR="007A1C7E">
        <w:rPr>
          <w:sz w:val="24"/>
          <w:szCs w:val="24"/>
        </w:rPr>
        <w:t xml:space="preserve"> %</w:t>
      </w:r>
      <w:r w:rsidRPr="00143528">
        <w:rPr>
          <w:sz w:val="24"/>
          <w:szCs w:val="24"/>
        </w:rPr>
        <w:t xml:space="preserve"> af 54 deltagere). Den observerede HR for </w:t>
      </w:r>
      <w:proofErr w:type="spellStart"/>
      <w:r w:rsidRPr="00143528">
        <w:rPr>
          <w:sz w:val="24"/>
          <w:szCs w:val="24"/>
        </w:rPr>
        <w:t>palbociclib</w:t>
      </w:r>
      <w:proofErr w:type="spellEnd"/>
      <w:r w:rsidRPr="00143528">
        <w:rPr>
          <w:sz w:val="24"/>
          <w:szCs w:val="24"/>
        </w:rPr>
        <w:t xml:space="preserve"> + IRN + TMZ sammenlignet med IRN + TMZ alene var 2,03 (95</w:t>
      </w:r>
      <w:r w:rsidR="007A1C7E">
        <w:rPr>
          <w:sz w:val="24"/>
          <w:szCs w:val="24"/>
        </w:rPr>
        <w:t xml:space="preserve"> %</w:t>
      </w:r>
      <w:r w:rsidRPr="00143528">
        <w:rPr>
          <w:sz w:val="24"/>
          <w:szCs w:val="24"/>
        </w:rPr>
        <w:t xml:space="preserve"> CI: 0,902, 4,572; stratificeret 1-sidet </w:t>
      </w:r>
      <w:proofErr w:type="spellStart"/>
      <w:r w:rsidRPr="00143528">
        <w:rPr>
          <w:sz w:val="24"/>
          <w:szCs w:val="24"/>
        </w:rPr>
        <w:t>p-værdi</w:t>
      </w:r>
      <w:proofErr w:type="spellEnd"/>
      <w:r w:rsidRPr="00143528">
        <w:rPr>
          <w:sz w:val="24"/>
          <w:szCs w:val="24"/>
        </w:rPr>
        <w:t> = 0,9621).</w:t>
      </w:r>
    </w:p>
    <w:p w14:paraId="37E0C28E" w14:textId="77777777" w:rsidR="00143528" w:rsidRPr="00143528" w:rsidRDefault="00143528" w:rsidP="00D33C41">
      <w:pPr>
        <w:ind w:left="851"/>
        <w:rPr>
          <w:sz w:val="24"/>
          <w:szCs w:val="24"/>
        </w:rPr>
      </w:pPr>
    </w:p>
    <w:p w14:paraId="44948459" w14:textId="77777777" w:rsidR="00143528" w:rsidRPr="00143528" w:rsidRDefault="00143528" w:rsidP="00D33C41">
      <w:pPr>
        <w:ind w:left="851"/>
        <w:rPr>
          <w:sz w:val="24"/>
          <w:szCs w:val="24"/>
        </w:rPr>
      </w:pPr>
      <w:r w:rsidRPr="00143528">
        <w:rPr>
          <w:sz w:val="24"/>
          <w:szCs w:val="24"/>
        </w:rPr>
        <w:t xml:space="preserve">Det Europæiske Lægemiddelagentur har dispenseret fra kravet om at fremlægge resultaterne af studier med referencelægemidlet, som indeholder </w:t>
      </w:r>
      <w:proofErr w:type="spellStart"/>
      <w:r w:rsidRPr="00143528">
        <w:rPr>
          <w:sz w:val="24"/>
          <w:szCs w:val="24"/>
        </w:rPr>
        <w:t>palbociclib</w:t>
      </w:r>
      <w:proofErr w:type="spellEnd"/>
      <w:r w:rsidRPr="00143528">
        <w:rPr>
          <w:sz w:val="24"/>
          <w:szCs w:val="24"/>
        </w:rPr>
        <w:t xml:space="preserve"> i alle undergrupper af den pædiatriske population ved behandling af brystkræft</w:t>
      </w:r>
      <w:r w:rsidRPr="00143528">
        <w:rPr>
          <w:i/>
          <w:sz w:val="24"/>
          <w:szCs w:val="24"/>
        </w:rPr>
        <w:t xml:space="preserve"> </w:t>
      </w:r>
      <w:r w:rsidRPr="00143528">
        <w:rPr>
          <w:sz w:val="24"/>
          <w:szCs w:val="24"/>
        </w:rPr>
        <w:t>(se pkt. 4.2 for oplysninger om pædiatrisk anvendelse).</w:t>
      </w:r>
    </w:p>
    <w:p w14:paraId="5DACD4DC" w14:textId="77777777" w:rsidR="009260DE" w:rsidRPr="00D33C41" w:rsidRDefault="009260DE" w:rsidP="009260DE">
      <w:pPr>
        <w:tabs>
          <w:tab w:val="left" w:pos="851"/>
        </w:tabs>
        <w:ind w:left="851"/>
        <w:rPr>
          <w:sz w:val="24"/>
          <w:szCs w:val="24"/>
        </w:rPr>
      </w:pPr>
    </w:p>
    <w:p w14:paraId="4A6EDBC1" w14:textId="77777777" w:rsidR="009260DE" w:rsidRPr="00D33C41" w:rsidRDefault="009260DE" w:rsidP="009260DE">
      <w:pPr>
        <w:tabs>
          <w:tab w:val="left" w:pos="851"/>
        </w:tabs>
        <w:ind w:left="851" w:hanging="851"/>
        <w:rPr>
          <w:b/>
          <w:sz w:val="24"/>
          <w:szCs w:val="24"/>
        </w:rPr>
      </w:pPr>
      <w:r w:rsidRPr="00D33C41">
        <w:rPr>
          <w:b/>
          <w:sz w:val="24"/>
          <w:szCs w:val="24"/>
        </w:rPr>
        <w:t>5.2</w:t>
      </w:r>
      <w:r w:rsidRPr="00D33C41">
        <w:rPr>
          <w:b/>
          <w:sz w:val="24"/>
          <w:szCs w:val="24"/>
        </w:rPr>
        <w:tab/>
      </w:r>
      <w:proofErr w:type="spellStart"/>
      <w:r w:rsidRPr="00D33C41">
        <w:rPr>
          <w:b/>
          <w:sz w:val="24"/>
          <w:szCs w:val="24"/>
        </w:rPr>
        <w:t>Farmakokinetiske</w:t>
      </w:r>
      <w:proofErr w:type="spellEnd"/>
      <w:r w:rsidRPr="00D33C41">
        <w:rPr>
          <w:b/>
          <w:sz w:val="24"/>
          <w:szCs w:val="24"/>
        </w:rPr>
        <w:t xml:space="preserve"> egenskaber</w:t>
      </w:r>
    </w:p>
    <w:p w14:paraId="478506D8" w14:textId="77777777" w:rsidR="00143528" w:rsidRPr="00143528" w:rsidRDefault="00143528" w:rsidP="00D33C41">
      <w:pPr>
        <w:ind w:left="851"/>
        <w:rPr>
          <w:sz w:val="24"/>
          <w:szCs w:val="24"/>
        </w:rPr>
      </w:pPr>
      <w:proofErr w:type="spellStart"/>
      <w:r w:rsidRPr="00143528">
        <w:rPr>
          <w:sz w:val="24"/>
          <w:szCs w:val="24"/>
        </w:rPr>
        <w:t>Palbociclibs</w:t>
      </w:r>
      <w:proofErr w:type="spellEnd"/>
      <w:r w:rsidRPr="00143528">
        <w:rPr>
          <w:sz w:val="24"/>
          <w:szCs w:val="24"/>
        </w:rPr>
        <w:t xml:space="preserve"> farmakokinetik blev karakteriseret hos patienter med solide tumorer herunder fremskreden brystkræft og hos raske frivillige.</w:t>
      </w:r>
    </w:p>
    <w:p w14:paraId="55646DA6" w14:textId="77777777" w:rsidR="00143528" w:rsidRPr="00143528" w:rsidRDefault="00143528" w:rsidP="00D33C41">
      <w:pPr>
        <w:ind w:left="851"/>
        <w:rPr>
          <w:sz w:val="24"/>
          <w:szCs w:val="24"/>
          <w:u w:val="single"/>
        </w:rPr>
      </w:pPr>
    </w:p>
    <w:p w14:paraId="08CF69B3" w14:textId="77777777" w:rsidR="00143528" w:rsidRPr="00143528" w:rsidRDefault="00143528" w:rsidP="00D33C41">
      <w:pPr>
        <w:ind w:left="851"/>
        <w:rPr>
          <w:sz w:val="24"/>
          <w:szCs w:val="24"/>
          <w:u w:val="single"/>
        </w:rPr>
      </w:pPr>
      <w:r w:rsidRPr="00143528">
        <w:rPr>
          <w:sz w:val="24"/>
          <w:szCs w:val="24"/>
          <w:u w:val="single"/>
        </w:rPr>
        <w:t>Absorption</w:t>
      </w:r>
    </w:p>
    <w:p w14:paraId="1816BD30" w14:textId="77777777" w:rsidR="00143528" w:rsidRPr="00143528" w:rsidRDefault="00143528" w:rsidP="00D33C41">
      <w:pPr>
        <w:ind w:left="851"/>
        <w:rPr>
          <w:sz w:val="24"/>
          <w:szCs w:val="24"/>
          <w:u w:val="single"/>
        </w:rPr>
      </w:pPr>
    </w:p>
    <w:p w14:paraId="1F68105C" w14:textId="0A2A2662" w:rsidR="00143528" w:rsidRPr="00143528" w:rsidRDefault="00143528" w:rsidP="00D33C41">
      <w:pPr>
        <w:ind w:left="851"/>
        <w:rPr>
          <w:sz w:val="24"/>
          <w:szCs w:val="24"/>
        </w:rPr>
      </w:pPr>
      <w:proofErr w:type="spellStart"/>
      <w:r w:rsidRPr="00143528">
        <w:rPr>
          <w:sz w:val="24"/>
          <w:szCs w:val="24"/>
        </w:rPr>
        <w:t>Palbociclibs</w:t>
      </w:r>
      <w:proofErr w:type="spellEnd"/>
      <w:r w:rsidRPr="00143528">
        <w:rPr>
          <w:sz w:val="24"/>
          <w:szCs w:val="24"/>
        </w:rPr>
        <w:t xml:space="preserve"> </w:t>
      </w:r>
      <w:proofErr w:type="spellStart"/>
      <w:r w:rsidRPr="00143528">
        <w:rPr>
          <w:sz w:val="24"/>
          <w:szCs w:val="24"/>
        </w:rPr>
        <w:t>C</w:t>
      </w:r>
      <w:r w:rsidRPr="00143528">
        <w:rPr>
          <w:sz w:val="24"/>
          <w:szCs w:val="24"/>
          <w:vertAlign w:val="subscript"/>
        </w:rPr>
        <w:t>max</w:t>
      </w:r>
      <w:proofErr w:type="spellEnd"/>
      <w:r w:rsidRPr="00143528">
        <w:rPr>
          <w:sz w:val="24"/>
          <w:szCs w:val="24"/>
        </w:rPr>
        <w:t xml:space="preserve"> observeres normalt mellem 4 -12 timer (tiden til at nå maksimal koncentration</w:t>
      </w:r>
      <w:r w:rsidR="008C4640">
        <w:rPr>
          <w:sz w:val="24"/>
          <w:szCs w:val="24"/>
        </w:rPr>
        <w:t xml:space="preserve"> </w:t>
      </w:r>
      <w:r w:rsidRPr="00143528">
        <w:rPr>
          <w:sz w:val="24"/>
          <w:szCs w:val="24"/>
        </w:rPr>
        <w:t>[</w:t>
      </w:r>
      <w:proofErr w:type="spellStart"/>
      <w:r w:rsidRPr="00143528">
        <w:rPr>
          <w:sz w:val="24"/>
          <w:szCs w:val="24"/>
        </w:rPr>
        <w:t>Tmax</w:t>
      </w:r>
      <w:proofErr w:type="spellEnd"/>
      <w:r w:rsidRPr="00143528">
        <w:rPr>
          <w:sz w:val="24"/>
          <w:szCs w:val="24"/>
        </w:rPr>
        <w:t xml:space="preserve">]) efter oral administration af </w:t>
      </w:r>
      <w:proofErr w:type="spellStart"/>
      <w:r w:rsidRPr="00143528">
        <w:rPr>
          <w:sz w:val="24"/>
          <w:szCs w:val="24"/>
        </w:rPr>
        <w:t>palbociclib</w:t>
      </w:r>
      <w:proofErr w:type="spellEnd"/>
      <w:r w:rsidRPr="00143528">
        <w:rPr>
          <w:sz w:val="24"/>
          <w:szCs w:val="24"/>
        </w:rPr>
        <w:t xml:space="preserve">-tabletter. </w:t>
      </w:r>
      <w:proofErr w:type="spellStart"/>
      <w:r w:rsidRPr="00143528">
        <w:rPr>
          <w:sz w:val="24"/>
          <w:szCs w:val="24"/>
        </w:rPr>
        <w:t>Palbociclibs</w:t>
      </w:r>
      <w:proofErr w:type="spellEnd"/>
      <w:r w:rsidRPr="00143528">
        <w:rPr>
          <w:sz w:val="24"/>
          <w:szCs w:val="24"/>
        </w:rPr>
        <w:t xml:space="preserve"> gennemsnitlige, absolutte biotilgængelighed efter en oral dosis på 125 mg er 46</w:t>
      </w:r>
      <w:r w:rsidR="007A1C7E">
        <w:rPr>
          <w:sz w:val="24"/>
          <w:szCs w:val="24"/>
        </w:rPr>
        <w:t xml:space="preserve"> %</w:t>
      </w:r>
      <w:r w:rsidRPr="00143528">
        <w:rPr>
          <w:sz w:val="24"/>
          <w:szCs w:val="24"/>
        </w:rPr>
        <w:t xml:space="preserve">. I doseringsområdet fra 25 mg til 225 mg steg arealet under kurven (AUC) og </w:t>
      </w:r>
      <w:proofErr w:type="spellStart"/>
      <w:r w:rsidRPr="00143528">
        <w:rPr>
          <w:sz w:val="24"/>
          <w:szCs w:val="24"/>
        </w:rPr>
        <w:t>C</w:t>
      </w:r>
      <w:r w:rsidRPr="00143528">
        <w:rPr>
          <w:sz w:val="24"/>
          <w:szCs w:val="24"/>
          <w:vertAlign w:val="subscript"/>
        </w:rPr>
        <w:t>max</w:t>
      </w:r>
      <w:proofErr w:type="spellEnd"/>
      <w:r w:rsidRPr="00143528">
        <w:rPr>
          <w:sz w:val="24"/>
          <w:szCs w:val="24"/>
        </w:rPr>
        <w:t xml:space="preserve"> generelt proportionalt med dosis. </w:t>
      </w:r>
      <w:proofErr w:type="spellStart"/>
      <w:r w:rsidRPr="00143528">
        <w:rPr>
          <w:i/>
          <w:iCs/>
          <w:sz w:val="24"/>
          <w:szCs w:val="24"/>
        </w:rPr>
        <w:t>Steady</w:t>
      </w:r>
      <w:proofErr w:type="spellEnd"/>
      <w:r w:rsidRPr="00143528">
        <w:rPr>
          <w:i/>
          <w:iCs/>
          <w:sz w:val="24"/>
          <w:szCs w:val="24"/>
        </w:rPr>
        <w:t xml:space="preserve"> </w:t>
      </w:r>
      <w:proofErr w:type="spellStart"/>
      <w:r w:rsidRPr="00143528">
        <w:rPr>
          <w:i/>
          <w:iCs/>
          <w:sz w:val="24"/>
          <w:szCs w:val="24"/>
        </w:rPr>
        <w:t>state</w:t>
      </w:r>
      <w:proofErr w:type="spellEnd"/>
      <w:r w:rsidRPr="00143528">
        <w:rPr>
          <w:i/>
          <w:iCs/>
          <w:sz w:val="24"/>
          <w:szCs w:val="24"/>
        </w:rPr>
        <w:t xml:space="preserve"> </w:t>
      </w:r>
      <w:r w:rsidRPr="00143528">
        <w:rPr>
          <w:sz w:val="24"/>
          <w:szCs w:val="24"/>
        </w:rPr>
        <w:t xml:space="preserve">blev nået inden for 8 dage ved gentagen dosering en gang dagligt. Ved gentagen administration en gang dagligt akkumuleres </w:t>
      </w:r>
      <w:proofErr w:type="spellStart"/>
      <w:r w:rsidRPr="00143528">
        <w:rPr>
          <w:sz w:val="24"/>
          <w:szCs w:val="24"/>
        </w:rPr>
        <w:t>palbociclib</w:t>
      </w:r>
      <w:proofErr w:type="spellEnd"/>
      <w:r w:rsidRPr="00143528">
        <w:rPr>
          <w:sz w:val="24"/>
          <w:szCs w:val="24"/>
        </w:rPr>
        <w:t xml:space="preserve"> med en median akkumulationsratio på 2,4 (1,5-4,2).</w:t>
      </w:r>
    </w:p>
    <w:p w14:paraId="76484CF8" w14:textId="77777777" w:rsidR="00143528" w:rsidRPr="00143528" w:rsidRDefault="00143528" w:rsidP="00D33C41">
      <w:pPr>
        <w:ind w:left="851"/>
        <w:rPr>
          <w:sz w:val="24"/>
          <w:szCs w:val="24"/>
          <w:u w:val="single"/>
        </w:rPr>
      </w:pPr>
    </w:p>
    <w:p w14:paraId="4EBDC519" w14:textId="77777777" w:rsidR="00143528" w:rsidRPr="00143528" w:rsidRDefault="00143528" w:rsidP="00D33C41">
      <w:pPr>
        <w:ind w:left="851"/>
        <w:rPr>
          <w:sz w:val="24"/>
          <w:szCs w:val="24"/>
          <w:u w:val="single"/>
        </w:rPr>
      </w:pPr>
      <w:r w:rsidRPr="00143528">
        <w:rPr>
          <w:sz w:val="24"/>
          <w:szCs w:val="24"/>
          <w:u w:val="single"/>
        </w:rPr>
        <w:t>Effekt af føde</w:t>
      </w:r>
    </w:p>
    <w:p w14:paraId="613F256C" w14:textId="77777777" w:rsidR="00143528" w:rsidRPr="00143528" w:rsidRDefault="00143528" w:rsidP="00D33C41">
      <w:pPr>
        <w:ind w:left="851"/>
        <w:rPr>
          <w:sz w:val="24"/>
          <w:szCs w:val="24"/>
          <w:u w:val="single"/>
        </w:rPr>
      </w:pPr>
    </w:p>
    <w:p w14:paraId="4E8B9C2A" w14:textId="7837F48D" w:rsidR="00143528" w:rsidRPr="00143528" w:rsidRDefault="00143528" w:rsidP="00D33C41">
      <w:pPr>
        <w:ind w:left="851"/>
        <w:rPr>
          <w:sz w:val="24"/>
          <w:szCs w:val="24"/>
        </w:rPr>
      </w:pPr>
      <w:proofErr w:type="spellStart"/>
      <w:r w:rsidRPr="00143528">
        <w:rPr>
          <w:sz w:val="24"/>
          <w:szCs w:val="24"/>
        </w:rPr>
        <w:t>Palbociclibs</w:t>
      </w:r>
      <w:proofErr w:type="spellEnd"/>
      <w:r w:rsidRPr="00143528">
        <w:rPr>
          <w:sz w:val="24"/>
          <w:szCs w:val="24"/>
        </w:rPr>
        <w:t xml:space="preserve"> </w:t>
      </w:r>
      <w:proofErr w:type="spellStart"/>
      <w:r w:rsidRPr="00143528">
        <w:rPr>
          <w:sz w:val="24"/>
          <w:szCs w:val="24"/>
        </w:rPr>
        <w:t>AUC</w:t>
      </w:r>
      <w:r w:rsidRPr="00143528">
        <w:rPr>
          <w:sz w:val="24"/>
          <w:szCs w:val="24"/>
          <w:vertAlign w:val="subscript"/>
        </w:rPr>
        <w:t>inf</w:t>
      </w:r>
      <w:proofErr w:type="spellEnd"/>
      <w:r w:rsidRPr="00143528">
        <w:rPr>
          <w:sz w:val="24"/>
          <w:szCs w:val="24"/>
        </w:rPr>
        <w:t xml:space="preserve"> og </w:t>
      </w:r>
      <w:proofErr w:type="spellStart"/>
      <w:r w:rsidRPr="00143528">
        <w:rPr>
          <w:sz w:val="24"/>
          <w:szCs w:val="24"/>
        </w:rPr>
        <w:t>C</w:t>
      </w:r>
      <w:r w:rsidRPr="00143528">
        <w:rPr>
          <w:sz w:val="24"/>
          <w:szCs w:val="24"/>
          <w:vertAlign w:val="subscript"/>
        </w:rPr>
        <w:t>max</w:t>
      </w:r>
      <w:proofErr w:type="spellEnd"/>
      <w:r w:rsidRPr="00143528">
        <w:rPr>
          <w:sz w:val="24"/>
          <w:szCs w:val="24"/>
        </w:rPr>
        <w:t xml:space="preserve"> steg med henholdsvis 22</w:t>
      </w:r>
      <w:r w:rsidR="007A1C7E">
        <w:rPr>
          <w:sz w:val="24"/>
          <w:szCs w:val="24"/>
        </w:rPr>
        <w:t xml:space="preserve"> %</w:t>
      </w:r>
      <w:r w:rsidRPr="00143528">
        <w:rPr>
          <w:sz w:val="24"/>
          <w:szCs w:val="24"/>
        </w:rPr>
        <w:t xml:space="preserve"> og 26</w:t>
      </w:r>
      <w:r w:rsidR="007A1C7E">
        <w:rPr>
          <w:sz w:val="24"/>
          <w:szCs w:val="24"/>
        </w:rPr>
        <w:t xml:space="preserve"> %</w:t>
      </w:r>
      <w:r w:rsidRPr="00143528">
        <w:rPr>
          <w:sz w:val="24"/>
          <w:szCs w:val="24"/>
        </w:rPr>
        <w:t xml:space="preserve">, når </w:t>
      </w:r>
      <w:proofErr w:type="spellStart"/>
      <w:r w:rsidRPr="00143528">
        <w:rPr>
          <w:sz w:val="24"/>
          <w:szCs w:val="24"/>
        </w:rPr>
        <w:t>palbociclib</w:t>
      </w:r>
      <w:proofErr w:type="spellEnd"/>
      <w:r w:rsidRPr="00143528">
        <w:rPr>
          <w:sz w:val="24"/>
          <w:szCs w:val="24"/>
        </w:rPr>
        <w:t>-tabletter blev givet med et måltid med højt fedt- og kalorieindhold (ca. 800 til 1.000 kalorier med 150, 250 og 500 til 600 fra henholdsvis protein, kulhydrat og fedt) og med henholdsvis 9</w:t>
      </w:r>
      <w:r w:rsidR="007A1C7E">
        <w:rPr>
          <w:sz w:val="24"/>
          <w:szCs w:val="24"/>
        </w:rPr>
        <w:t xml:space="preserve"> %</w:t>
      </w:r>
      <w:r w:rsidRPr="00143528">
        <w:rPr>
          <w:sz w:val="24"/>
          <w:szCs w:val="24"/>
        </w:rPr>
        <w:t xml:space="preserve"> og 10</w:t>
      </w:r>
      <w:r w:rsidR="007A1C7E">
        <w:rPr>
          <w:sz w:val="24"/>
          <w:szCs w:val="24"/>
        </w:rPr>
        <w:t xml:space="preserve"> %</w:t>
      </w:r>
      <w:r w:rsidRPr="00143528">
        <w:rPr>
          <w:sz w:val="24"/>
          <w:szCs w:val="24"/>
        </w:rPr>
        <w:t xml:space="preserve">, når </w:t>
      </w:r>
      <w:proofErr w:type="spellStart"/>
      <w:r w:rsidRPr="00143528">
        <w:rPr>
          <w:sz w:val="24"/>
          <w:szCs w:val="24"/>
        </w:rPr>
        <w:t>palbociclib</w:t>
      </w:r>
      <w:proofErr w:type="spellEnd"/>
      <w:r w:rsidRPr="00143528">
        <w:rPr>
          <w:sz w:val="24"/>
          <w:szCs w:val="24"/>
        </w:rPr>
        <w:t xml:space="preserve">-tabletter blev givet med et måltid med moderat fedt og standardkalorier (ca. 500 til 700 kalorier med 75 til 105, 250 til 350 og 175 til 245 kalorier fra henholdsvis protein, kulhydrat og fedt) sammenlignet med </w:t>
      </w:r>
      <w:proofErr w:type="spellStart"/>
      <w:r w:rsidRPr="00143528">
        <w:rPr>
          <w:sz w:val="24"/>
          <w:szCs w:val="24"/>
        </w:rPr>
        <w:t>palbociclib</w:t>
      </w:r>
      <w:proofErr w:type="spellEnd"/>
      <w:r w:rsidRPr="00143528">
        <w:rPr>
          <w:sz w:val="24"/>
          <w:szCs w:val="24"/>
        </w:rPr>
        <w:t xml:space="preserve">-tabletter givet i fastende tilstand (over natten). Baseret på disse resultater kan </w:t>
      </w:r>
      <w:proofErr w:type="spellStart"/>
      <w:r w:rsidRPr="00143528">
        <w:rPr>
          <w:sz w:val="24"/>
          <w:szCs w:val="24"/>
        </w:rPr>
        <w:t>palbociclibtabletter</w:t>
      </w:r>
      <w:proofErr w:type="spellEnd"/>
      <w:r w:rsidRPr="00143528">
        <w:rPr>
          <w:sz w:val="24"/>
          <w:szCs w:val="24"/>
        </w:rPr>
        <w:t xml:space="preserve"> tages med eller uden mad.</w:t>
      </w:r>
    </w:p>
    <w:p w14:paraId="5CF2E1BB" w14:textId="77777777" w:rsidR="00143528" w:rsidRPr="00143528" w:rsidRDefault="00143528" w:rsidP="00D33C41">
      <w:pPr>
        <w:ind w:left="851"/>
        <w:rPr>
          <w:sz w:val="24"/>
          <w:szCs w:val="24"/>
          <w:u w:val="single"/>
        </w:rPr>
      </w:pPr>
    </w:p>
    <w:p w14:paraId="6CCAA10B" w14:textId="77777777" w:rsidR="00143528" w:rsidRPr="00143528" w:rsidRDefault="00143528" w:rsidP="00D33C41">
      <w:pPr>
        <w:ind w:left="851"/>
        <w:rPr>
          <w:sz w:val="24"/>
          <w:szCs w:val="24"/>
          <w:u w:val="single"/>
        </w:rPr>
      </w:pPr>
      <w:r w:rsidRPr="00143528">
        <w:rPr>
          <w:sz w:val="24"/>
          <w:szCs w:val="24"/>
          <w:u w:val="single"/>
        </w:rPr>
        <w:t>Fordeling</w:t>
      </w:r>
    </w:p>
    <w:p w14:paraId="3491023B" w14:textId="77777777" w:rsidR="00143528" w:rsidRPr="00143528" w:rsidRDefault="00143528" w:rsidP="00D33C41">
      <w:pPr>
        <w:ind w:left="851"/>
        <w:rPr>
          <w:sz w:val="24"/>
          <w:szCs w:val="24"/>
          <w:u w:val="single"/>
        </w:rPr>
      </w:pPr>
    </w:p>
    <w:p w14:paraId="3A0F662E" w14:textId="450BC8E6" w:rsidR="00143528" w:rsidRPr="00143528" w:rsidRDefault="00143528" w:rsidP="00D33C41">
      <w:pPr>
        <w:ind w:left="851"/>
        <w:rPr>
          <w:sz w:val="24"/>
          <w:szCs w:val="24"/>
        </w:rPr>
      </w:pPr>
      <w:r w:rsidRPr="00143528">
        <w:rPr>
          <w:sz w:val="24"/>
          <w:szCs w:val="24"/>
        </w:rPr>
        <w:t xml:space="preserve">Bindingen af </w:t>
      </w:r>
      <w:proofErr w:type="spellStart"/>
      <w:r w:rsidRPr="00143528">
        <w:rPr>
          <w:sz w:val="24"/>
          <w:szCs w:val="24"/>
        </w:rPr>
        <w:t>palbociclib</w:t>
      </w:r>
      <w:proofErr w:type="spellEnd"/>
      <w:r w:rsidRPr="00143528">
        <w:rPr>
          <w:sz w:val="24"/>
          <w:szCs w:val="24"/>
        </w:rPr>
        <w:t xml:space="preserve"> til humane plasmaproteiner </w:t>
      </w:r>
      <w:r w:rsidRPr="00143528">
        <w:rPr>
          <w:i/>
          <w:iCs/>
          <w:sz w:val="24"/>
          <w:szCs w:val="24"/>
        </w:rPr>
        <w:t xml:space="preserve">in </w:t>
      </w:r>
      <w:proofErr w:type="spellStart"/>
      <w:r w:rsidRPr="00143528">
        <w:rPr>
          <w:i/>
          <w:iCs/>
          <w:sz w:val="24"/>
          <w:szCs w:val="24"/>
        </w:rPr>
        <w:t>vitro</w:t>
      </w:r>
      <w:proofErr w:type="spellEnd"/>
      <w:r w:rsidRPr="00143528">
        <w:rPr>
          <w:i/>
          <w:iCs/>
          <w:sz w:val="24"/>
          <w:szCs w:val="24"/>
        </w:rPr>
        <w:t xml:space="preserve"> </w:t>
      </w:r>
      <w:r w:rsidRPr="00143528">
        <w:rPr>
          <w:sz w:val="24"/>
          <w:szCs w:val="24"/>
        </w:rPr>
        <w:t>var ~85</w:t>
      </w:r>
      <w:r w:rsidR="007A1C7E">
        <w:rPr>
          <w:sz w:val="24"/>
          <w:szCs w:val="24"/>
        </w:rPr>
        <w:t xml:space="preserve"> %</w:t>
      </w:r>
      <w:r w:rsidRPr="00143528">
        <w:rPr>
          <w:sz w:val="24"/>
          <w:szCs w:val="24"/>
        </w:rPr>
        <w:t xml:space="preserve"> uafhængigt af koncentrationen. Den gennemsnitlige fraktion af ubundet (</w:t>
      </w:r>
      <w:proofErr w:type="spellStart"/>
      <w:r w:rsidRPr="00143528">
        <w:rPr>
          <w:sz w:val="24"/>
          <w:szCs w:val="24"/>
        </w:rPr>
        <w:t>fu</w:t>
      </w:r>
      <w:proofErr w:type="spellEnd"/>
      <w:r w:rsidRPr="00143528">
        <w:rPr>
          <w:sz w:val="24"/>
          <w:szCs w:val="24"/>
        </w:rPr>
        <w:t xml:space="preserve">) </w:t>
      </w:r>
      <w:proofErr w:type="spellStart"/>
      <w:r w:rsidRPr="00143528">
        <w:rPr>
          <w:sz w:val="24"/>
          <w:szCs w:val="24"/>
        </w:rPr>
        <w:t>palbociclib</w:t>
      </w:r>
      <w:proofErr w:type="spellEnd"/>
      <w:r w:rsidRPr="00143528">
        <w:rPr>
          <w:sz w:val="24"/>
          <w:szCs w:val="24"/>
        </w:rPr>
        <w:t xml:space="preserve"> i humant plasma </w:t>
      </w:r>
      <w:r w:rsidRPr="00143528">
        <w:rPr>
          <w:i/>
          <w:iCs/>
          <w:sz w:val="24"/>
          <w:szCs w:val="24"/>
        </w:rPr>
        <w:t xml:space="preserve">in </w:t>
      </w:r>
      <w:proofErr w:type="spellStart"/>
      <w:r w:rsidRPr="00143528">
        <w:rPr>
          <w:i/>
          <w:iCs/>
          <w:sz w:val="24"/>
          <w:szCs w:val="24"/>
        </w:rPr>
        <w:t>vivo</w:t>
      </w:r>
      <w:proofErr w:type="spellEnd"/>
      <w:r w:rsidRPr="00143528">
        <w:rPr>
          <w:sz w:val="24"/>
          <w:szCs w:val="24"/>
        </w:rPr>
        <w:t xml:space="preserve"> forøgedes i takt med forværret leverfunktion. Der sås ingen klar tendens i den gennemsnitlige </w:t>
      </w:r>
      <w:proofErr w:type="spellStart"/>
      <w:r w:rsidRPr="00143528">
        <w:rPr>
          <w:sz w:val="24"/>
          <w:szCs w:val="24"/>
        </w:rPr>
        <w:t>fu</w:t>
      </w:r>
      <w:proofErr w:type="spellEnd"/>
      <w:r w:rsidRPr="00143528">
        <w:rPr>
          <w:sz w:val="24"/>
          <w:szCs w:val="24"/>
        </w:rPr>
        <w:t xml:space="preserve"> af </w:t>
      </w:r>
      <w:proofErr w:type="spellStart"/>
      <w:r w:rsidRPr="00143528">
        <w:rPr>
          <w:sz w:val="24"/>
          <w:szCs w:val="24"/>
        </w:rPr>
        <w:t>palbociclib</w:t>
      </w:r>
      <w:proofErr w:type="spellEnd"/>
      <w:r w:rsidRPr="00143528">
        <w:rPr>
          <w:sz w:val="24"/>
          <w:szCs w:val="24"/>
        </w:rPr>
        <w:t xml:space="preserve"> i humant plasma </w:t>
      </w:r>
      <w:r w:rsidRPr="00143528">
        <w:rPr>
          <w:i/>
          <w:iCs/>
          <w:sz w:val="24"/>
          <w:szCs w:val="24"/>
        </w:rPr>
        <w:t xml:space="preserve">in </w:t>
      </w:r>
      <w:proofErr w:type="spellStart"/>
      <w:r w:rsidRPr="00143528">
        <w:rPr>
          <w:i/>
          <w:iCs/>
          <w:sz w:val="24"/>
          <w:szCs w:val="24"/>
        </w:rPr>
        <w:t>vivo</w:t>
      </w:r>
      <w:proofErr w:type="spellEnd"/>
      <w:r w:rsidRPr="00143528">
        <w:rPr>
          <w:i/>
          <w:iCs/>
          <w:sz w:val="24"/>
          <w:szCs w:val="24"/>
        </w:rPr>
        <w:t xml:space="preserve"> </w:t>
      </w:r>
      <w:r w:rsidRPr="00143528">
        <w:rPr>
          <w:sz w:val="24"/>
          <w:szCs w:val="24"/>
        </w:rPr>
        <w:t xml:space="preserve">ved forværret nyrefunktion. </w:t>
      </w:r>
      <w:r w:rsidRPr="00143528">
        <w:rPr>
          <w:i/>
          <w:iCs/>
          <w:sz w:val="24"/>
          <w:szCs w:val="24"/>
        </w:rPr>
        <w:t xml:space="preserve">In </w:t>
      </w:r>
      <w:proofErr w:type="spellStart"/>
      <w:r w:rsidRPr="00143528">
        <w:rPr>
          <w:i/>
          <w:iCs/>
          <w:sz w:val="24"/>
          <w:szCs w:val="24"/>
        </w:rPr>
        <w:t>vitro</w:t>
      </w:r>
      <w:proofErr w:type="spellEnd"/>
      <w:r w:rsidRPr="00143528">
        <w:rPr>
          <w:i/>
          <w:iCs/>
          <w:sz w:val="24"/>
          <w:szCs w:val="24"/>
        </w:rPr>
        <w:t xml:space="preserve"> </w:t>
      </w:r>
      <w:r w:rsidRPr="00143528">
        <w:rPr>
          <w:sz w:val="24"/>
          <w:szCs w:val="24"/>
        </w:rPr>
        <w:t xml:space="preserve">optages </w:t>
      </w:r>
      <w:proofErr w:type="spellStart"/>
      <w:r w:rsidRPr="00143528">
        <w:rPr>
          <w:sz w:val="24"/>
          <w:szCs w:val="24"/>
        </w:rPr>
        <w:t>palbociclib</w:t>
      </w:r>
      <w:proofErr w:type="spellEnd"/>
      <w:r w:rsidRPr="00143528">
        <w:rPr>
          <w:sz w:val="24"/>
          <w:szCs w:val="24"/>
        </w:rPr>
        <w:t xml:space="preserve"> primært i humane </w:t>
      </w:r>
      <w:proofErr w:type="spellStart"/>
      <w:r w:rsidRPr="00143528">
        <w:rPr>
          <w:sz w:val="24"/>
          <w:szCs w:val="24"/>
        </w:rPr>
        <w:t>hepatocytter</w:t>
      </w:r>
      <w:proofErr w:type="spellEnd"/>
      <w:r w:rsidRPr="00143528">
        <w:rPr>
          <w:sz w:val="24"/>
          <w:szCs w:val="24"/>
        </w:rPr>
        <w:t xml:space="preserve"> via passiv diffusion. </w:t>
      </w:r>
      <w:proofErr w:type="spellStart"/>
      <w:r w:rsidRPr="00143528">
        <w:rPr>
          <w:sz w:val="24"/>
          <w:szCs w:val="24"/>
        </w:rPr>
        <w:t>Palbociclib</w:t>
      </w:r>
      <w:proofErr w:type="spellEnd"/>
      <w:r w:rsidRPr="00143528">
        <w:rPr>
          <w:sz w:val="24"/>
          <w:szCs w:val="24"/>
        </w:rPr>
        <w:t xml:space="preserve"> er ikke substrat for OATP1B1 eller OATP1B3.</w:t>
      </w:r>
    </w:p>
    <w:p w14:paraId="7BCFB6E4" w14:textId="77777777" w:rsidR="00143528" w:rsidRPr="00143528" w:rsidRDefault="00143528" w:rsidP="00D33C41">
      <w:pPr>
        <w:ind w:left="851"/>
        <w:rPr>
          <w:sz w:val="24"/>
          <w:szCs w:val="24"/>
          <w:u w:val="single"/>
        </w:rPr>
      </w:pPr>
    </w:p>
    <w:p w14:paraId="6AA85444" w14:textId="77777777" w:rsidR="00143528" w:rsidRPr="00143528" w:rsidRDefault="00143528" w:rsidP="00D33C41">
      <w:pPr>
        <w:ind w:left="851"/>
        <w:rPr>
          <w:sz w:val="24"/>
          <w:szCs w:val="24"/>
          <w:u w:val="single"/>
        </w:rPr>
      </w:pPr>
      <w:r w:rsidRPr="00143528">
        <w:rPr>
          <w:sz w:val="24"/>
          <w:szCs w:val="24"/>
          <w:u w:val="single"/>
        </w:rPr>
        <w:t>Biotransformation</w:t>
      </w:r>
    </w:p>
    <w:p w14:paraId="56B5B641" w14:textId="77777777" w:rsidR="00143528" w:rsidRPr="00143528" w:rsidRDefault="00143528" w:rsidP="00D33C41">
      <w:pPr>
        <w:ind w:left="851"/>
        <w:rPr>
          <w:sz w:val="24"/>
          <w:szCs w:val="24"/>
          <w:u w:val="single"/>
        </w:rPr>
      </w:pPr>
    </w:p>
    <w:p w14:paraId="141DB7A1" w14:textId="77777777" w:rsidR="00143528" w:rsidRPr="00143528" w:rsidRDefault="00143528" w:rsidP="00D33C41">
      <w:pPr>
        <w:ind w:left="851"/>
        <w:rPr>
          <w:sz w:val="24"/>
          <w:szCs w:val="24"/>
        </w:rPr>
      </w:pPr>
      <w:r w:rsidRPr="00143528">
        <w:rPr>
          <w:i/>
          <w:iCs/>
          <w:sz w:val="24"/>
          <w:szCs w:val="24"/>
        </w:rPr>
        <w:t xml:space="preserve">In </w:t>
      </w:r>
      <w:proofErr w:type="spellStart"/>
      <w:r w:rsidRPr="00143528">
        <w:rPr>
          <w:i/>
          <w:iCs/>
          <w:sz w:val="24"/>
          <w:szCs w:val="24"/>
        </w:rPr>
        <w:t>vitro</w:t>
      </w:r>
      <w:proofErr w:type="spellEnd"/>
      <w:r w:rsidRPr="00143528">
        <w:rPr>
          <w:i/>
          <w:iCs/>
          <w:sz w:val="24"/>
          <w:szCs w:val="24"/>
        </w:rPr>
        <w:t xml:space="preserve">- </w:t>
      </w:r>
      <w:r w:rsidRPr="00143528">
        <w:rPr>
          <w:sz w:val="24"/>
          <w:szCs w:val="24"/>
        </w:rPr>
        <w:t xml:space="preserve">og </w:t>
      </w:r>
      <w:r w:rsidRPr="00143528">
        <w:rPr>
          <w:i/>
          <w:iCs/>
          <w:sz w:val="24"/>
          <w:szCs w:val="24"/>
        </w:rPr>
        <w:t xml:space="preserve">in </w:t>
      </w:r>
      <w:proofErr w:type="spellStart"/>
      <w:r w:rsidRPr="00143528">
        <w:rPr>
          <w:i/>
          <w:iCs/>
          <w:sz w:val="24"/>
          <w:szCs w:val="24"/>
        </w:rPr>
        <w:t>vivo</w:t>
      </w:r>
      <w:proofErr w:type="spellEnd"/>
      <w:r w:rsidRPr="00143528">
        <w:rPr>
          <w:i/>
          <w:iCs/>
          <w:sz w:val="24"/>
          <w:szCs w:val="24"/>
        </w:rPr>
        <w:t>-</w:t>
      </w:r>
      <w:r w:rsidRPr="00143528">
        <w:rPr>
          <w:sz w:val="24"/>
          <w:szCs w:val="24"/>
        </w:rPr>
        <w:t xml:space="preserve">studier tyder på, at </w:t>
      </w:r>
      <w:proofErr w:type="spellStart"/>
      <w:r w:rsidRPr="00143528">
        <w:rPr>
          <w:sz w:val="24"/>
          <w:szCs w:val="24"/>
        </w:rPr>
        <w:t>palbociclib</w:t>
      </w:r>
      <w:proofErr w:type="spellEnd"/>
      <w:r w:rsidRPr="00143528">
        <w:rPr>
          <w:sz w:val="24"/>
          <w:szCs w:val="24"/>
        </w:rPr>
        <w:t xml:space="preserve"> gennemgår en omfattende </w:t>
      </w:r>
      <w:proofErr w:type="spellStart"/>
      <w:r w:rsidRPr="00143528">
        <w:rPr>
          <w:sz w:val="24"/>
          <w:szCs w:val="24"/>
        </w:rPr>
        <w:t>hepatisk</w:t>
      </w:r>
      <w:proofErr w:type="spellEnd"/>
      <w:r w:rsidRPr="00143528">
        <w:rPr>
          <w:sz w:val="24"/>
          <w:szCs w:val="24"/>
        </w:rPr>
        <w:t xml:space="preserve"> metabolisme hos mennesker. Efter oral administration af en enkelt dosis på 125 mg [</w:t>
      </w:r>
      <w:r w:rsidRPr="00143528">
        <w:rPr>
          <w:sz w:val="24"/>
          <w:szCs w:val="24"/>
          <w:vertAlign w:val="superscript"/>
        </w:rPr>
        <w:t>14</w:t>
      </w:r>
      <w:proofErr w:type="gramStart"/>
      <w:r w:rsidRPr="00143528">
        <w:rPr>
          <w:sz w:val="24"/>
          <w:szCs w:val="24"/>
        </w:rPr>
        <w:t>C]</w:t>
      </w:r>
      <w:proofErr w:type="spellStart"/>
      <w:r w:rsidRPr="00143528">
        <w:rPr>
          <w:sz w:val="24"/>
          <w:szCs w:val="24"/>
        </w:rPr>
        <w:t>palbociclib</w:t>
      </w:r>
      <w:proofErr w:type="spellEnd"/>
      <w:proofErr w:type="gramEnd"/>
      <w:r w:rsidRPr="00143528">
        <w:rPr>
          <w:sz w:val="24"/>
          <w:szCs w:val="24"/>
        </w:rPr>
        <w:t xml:space="preserve"> til mennesker blev </w:t>
      </w:r>
      <w:proofErr w:type="spellStart"/>
      <w:r w:rsidRPr="00143528">
        <w:rPr>
          <w:sz w:val="24"/>
          <w:szCs w:val="24"/>
        </w:rPr>
        <w:t>palbociclib</w:t>
      </w:r>
      <w:proofErr w:type="spellEnd"/>
      <w:r w:rsidRPr="00143528">
        <w:rPr>
          <w:sz w:val="24"/>
          <w:szCs w:val="24"/>
        </w:rPr>
        <w:t xml:space="preserve"> primært </w:t>
      </w:r>
      <w:proofErr w:type="spellStart"/>
      <w:r w:rsidRPr="00143528">
        <w:rPr>
          <w:sz w:val="24"/>
          <w:szCs w:val="24"/>
        </w:rPr>
        <w:t>metaboliseret</w:t>
      </w:r>
      <w:proofErr w:type="spellEnd"/>
      <w:r w:rsidRPr="00143528">
        <w:rPr>
          <w:sz w:val="24"/>
          <w:szCs w:val="24"/>
        </w:rPr>
        <w:t xml:space="preserve"> via oxidation og </w:t>
      </w:r>
      <w:proofErr w:type="spellStart"/>
      <w:r w:rsidRPr="00143528">
        <w:rPr>
          <w:sz w:val="24"/>
          <w:szCs w:val="24"/>
        </w:rPr>
        <w:t>sulfatering</w:t>
      </w:r>
      <w:proofErr w:type="spellEnd"/>
      <w:r w:rsidRPr="00143528">
        <w:rPr>
          <w:sz w:val="24"/>
          <w:szCs w:val="24"/>
        </w:rPr>
        <w:t xml:space="preserve"> med </w:t>
      </w:r>
      <w:proofErr w:type="spellStart"/>
      <w:r w:rsidRPr="00143528">
        <w:rPr>
          <w:sz w:val="24"/>
          <w:szCs w:val="24"/>
        </w:rPr>
        <w:t>acylatering</w:t>
      </w:r>
      <w:proofErr w:type="spellEnd"/>
      <w:r w:rsidRPr="00143528">
        <w:rPr>
          <w:sz w:val="24"/>
          <w:szCs w:val="24"/>
        </w:rPr>
        <w:t xml:space="preserve"> og </w:t>
      </w:r>
      <w:proofErr w:type="spellStart"/>
      <w:r w:rsidRPr="00143528">
        <w:rPr>
          <w:sz w:val="24"/>
          <w:szCs w:val="24"/>
        </w:rPr>
        <w:t>glukuronidering</w:t>
      </w:r>
      <w:proofErr w:type="spellEnd"/>
      <w:r w:rsidRPr="00143528">
        <w:rPr>
          <w:sz w:val="24"/>
          <w:szCs w:val="24"/>
        </w:rPr>
        <w:t xml:space="preserve"> som mindre væsentlige </w:t>
      </w:r>
      <w:proofErr w:type="spellStart"/>
      <w:r w:rsidRPr="00143528">
        <w:rPr>
          <w:sz w:val="24"/>
          <w:szCs w:val="24"/>
        </w:rPr>
        <w:t>metaboliseringsveje</w:t>
      </w:r>
      <w:proofErr w:type="spellEnd"/>
      <w:r w:rsidRPr="00143528">
        <w:rPr>
          <w:sz w:val="24"/>
          <w:szCs w:val="24"/>
        </w:rPr>
        <w:t xml:space="preserve">. </w:t>
      </w:r>
      <w:proofErr w:type="spellStart"/>
      <w:r w:rsidRPr="00143528">
        <w:rPr>
          <w:sz w:val="24"/>
          <w:szCs w:val="24"/>
        </w:rPr>
        <w:t>Palbociclib</w:t>
      </w:r>
      <w:proofErr w:type="spellEnd"/>
      <w:r w:rsidRPr="00143528">
        <w:rPr>
          <w:sz w:val="24"/>
          <w:szCs w:val="24"/>
        </w:rPr>
        <w:t xml:space="preserve"> cirkulerede primært som </w:t>
      </w:r>
      <w:proofErr w:type="spellStart"/>
      <w:r w:rsidRPr="00143528">
        <w:rPr>
          <w:sz w:val="24"/>
          <w:szCs w:val="24"/>
        </w:rPr>
        <w:t>uomdannet</w:t>
      </w:r>
      <w:proofErr w:type="spellEnd"/>
      <w:r w:rsidRPr="00143528">
        <w:rPr>
          <w:sz w:val="24"/>
          <w:szCs w:val="24"/>
        </w:rPr>
        <w:t xml:space="preserve"> lægemiddel i plasma.</w:t>
      </w:r>
    </w:p>
    <w:p w14:paraId="531A5110" w14:textId="77777777" w:rsidR="00143528" w:rsidRPr="00143528" w:rsidRDefault="00143528" w:rsidP="00D33C41">
      <w:pPr>
        <w:ind w:left="851"/>
        <w:rPr>
          <w:sz w:val="24"/>
          <w:szCs w:val="24"/>
        </w:rPr>
      </w:pPr>
    </w:p>
    <w:p w14:paraId="33A4A7C8" w14:textId="2E4D801B" w:rsidR="00143528" w:rsidRPr="00143528" w:rsidRDefault="00143528" w:rsidP="00D33C41">
      <w:pPr>
        <w:ind w:left="851"/>
        <w:rPr>
          <w:sz w:val="24"/>
          <w:szCs w:val="24"/>
        </w:rPr>
      </w:pPr>
      <w:r w:rsidRPr="00143528">
        <w:rPr>
          <w:sz w:val="24"/>
          <w:szCs w:val="24"/>
        </w:rPr>
        <w:t xml:space="preserve">Størstedelen af </w:t>
      </w:r>
      <w:proofErr w:type="spellStart"/>
      <w:r w:rsidRPr="00143528">
        <w:rPr>
          <w:sz w:val="24"/>
          <w:szCs w:val="24"/>
        </w:rPr>
        <w:t>palbociclib</w:t>
      </w:r>
      <w:proofErr w:type="spellEnd"/>
      <w:r w:rsidRPr="00143528">
        <w:rPr>
          <w:sz w:val="24"/>
          <w:szCs w:val="24"/>
        </w:rPr>
        <w:t xml:space="preserve"> blev udskilt som metabolitter. I fæces var </w:t>
      </w:r>
      <w:proofErr w:type="spellStart"/>
      <w:r w:rsidRPr="00143528">
        <w:rPr>
          <w:sz w:val="24"/>
          <w:szCs w:val="24"/>
        </w:rPr>
        <w:t>sulfaminsyre</w:t>
      </w:r>
      <w:r w:rsidR="007A1C7E">
        <w:rPr>
          <w:sz w:val="24"/>
          <w:szCs w:val="24"/>
        </w:rPr>
        <w:softHyphen/>
      </w:r>
      <w:r w:rsidRPr="00143528">
        <w:rPr>
          <w:sz w:val="24"/>
          <w:szCs w:val="24"/>
        </w:rPr>
        <w:t>konjugatet</w:t>
      </w:r>
      <w:proofErr w:type="spellEnd"/>
      <w:r w:rsidRPr="00143528">
        <w:rPr>
          <w:sz w:val="24"/>
          <w:szCs w:val="24"/>
        </w:rPr>
        <w:t xml:space="preserve"> af </w:t>
      </w:r>
      <w:proofErr w:type="spellStart"/>
      <w:r w:rsidRPr="00143528">
        <w:rPr>
          <w:sz w:val="24"/>
          <w:szCs w:val="24"/>
        </w:rPr>
        <w:t>palbociclib</w:t>
      </w:r>
      <w:proofErr w:type="spellEnd"/>
      <w:r w:rsidRPr="00143528">
        <w:rPr>
          <w:sz w:val="24"/>
          <w:szCs w:val="24"/>
        </w:rPr>
        <w:t xml:space="preserve"> den vigtigste lægemiddelrelaterede komponent og udgjorde for 25,8</w:t>
      </w:r>
      <w:r w:rsidR="007A1C7E">
        <w:rPr>
          <w:sz w:val="24"/>
          <w:szCs w:val="24"/>
        </w:rPr>
        <w:t xml:space="preserve"> %</w:t>
      </w:r>
      <w:r w:rsidRPr="00143528">
        <w:rPr>
          <w:sz w:val="24"/>
          <w:szCs w:val="24"/>
        </w:rPr>
        <w:t xml:space="preserve"> af den administrerede dosis. </w:t>
      </w:r>
      <w:r w:rsidRPr="00143528">
        <w:rPr>
          <w:i/>
          <w:iCs/>
          <w:sz w:val="24"/>
          <w:szCs w:val="24"/>
        </w:rPr>
        <w:t xml:space="preserve">In </w:t>
      </w:r>
      <w:proofErr w:type="spellStart"/>
      <w:r w:rsidRPr="00143528">
        <w:rPr>
          <w:i/>
          <w:iCs/>
          <w:sz w:val="24"/>
          <w:szCs w:val="24"/>
        </w:rPr>
        <w:t>vitro</w:t>
      </w:r>
      <w:proofErr w:type="spellEnd"/>
      <w:r w:rsidRPr="00143528">
        <w:rPr>
          <w:i/>
          <w:iCs/>
          <w:sz w:val="24"/>
          <w:szCs w:val="24"/>
        </w:rPr>
        <w:t>-</w:t>
      </w:r>
      <w:r w:rsidRPr="00143528">
        <w:rPr>
          <w:sz w:val="24"/>
          <w:szCs w:val="24"/>
        </w:rPr>
        <w:t xml:space="preserve">studier med humane </w:t>
      </w:r>
      <w:proofErr w:type="spellStart"/>
      <w:r w:rsidRPr="00143528">
        <w:rPr>
          <w:sz w:val="24"/>
          <w:szCs w:val="24"/>
        </w:rPr>
        <w:t>hepatocytter</w:t>
      </w:r>
      <w:proofErr w:type="spellEnd"/>
      <w:r w:rsidRPr="00143528">
        <w:rPr>
          <w:sz w:val="24"/>
          <w:szCs w:val="24"/>
        </w:rPr>
        <w:t>, lever-</w:t>
      </w:r>
      <w:proofErr w:type="spellStart"/>
      <w:r w:rsidRPr="00143528">
        <w:rPr>
          <w:sz w:val="24"/>
          <w:szCs w:val="24"/>
        </w:rPr>
        <w:t>cytosol</w:t>
      </w:r>
      <w:proofErr w:type="spellEnd"/>
      <w:r w:rsidRPr="00143528">
        <w:rPr>
          <w:sz w:val="24"/>
          <w:szCs w:val="24"/>
        </w:rPr>
        <w:t xml:space="preserve"> og S9-fraktioner og </w:t>
      </w:r>
      <w:proofErr w:type="spellStart"/>
      <w:r w:rsidRPr="00143528">
        <w:rPr>
          <w:sz w:val="24"/>
          <w:szCs w:val="24"/>
        </w:rPr>
        <w:t>rekombinant</w:t>
      </w:r>
      <w:proofErr w:type="spellEnd"/>
      <w:r w:rsidRPr="00143528">
        <w:rPr>
          <w:sz w:val="24"/>
          <w:szCs w:val="24"/>
        </w:rPr>
        <w:t xml:space="preserve"> sulfotransferase-(SULT) enzymer viste, at </w:t>
      </w:r>
      <w:proofErr w:type="spellStart"/>
      <w:r w:rsidRPr="00143528">
        <w:rPr>
          <w:sz w:val="24"/>
          <w:szCs w:val="24"/>
        </w:rPr>
        <w:t>palbociclib</w:t>
      </w:r>
      <w:proofErr w:type="spellEnd"/>
      <w:r w:rsidRPr="00143528">
        <w:rPr>
          <w:sz w:val="24"/>
          <w:szCs w:val="24"/>
        </w:rPr>
        <w:t xml:space="preserve"> hovedsageligt </w:t>
      </w:r>
      <w:proofErr w:type="spellStart"/>
      <w:r w:rsidRPr="00143528">
        <w:rPr>
          <w:sz w:val="24"/>
          <w:szCs w:val="24"/>
        </w:rPr>
        <w:t>metaboliseres</w:t>
      </w:r>
      <w:proofErr w:type="spellEnd"/>
      <w:r w:rsidRPr="00143528">
        <w:rPr>
          <w:sz w:val="24"/>
          <w:szCs w:val="24"/>
        </w:rPr>
        <w:t xml:space="preserve"> af CYP3A og SULT2A1.</w:t>
      </w:r>
    </w:p>
    <w:p w14:paraId="4EC57CBF" w14:textId="77777777" w:rsidR="00143528" w:rsidRPr="00143528" w:rsidRDefault="00143528" w:rsidP="00D33C41">
      <w:pPr>
        <w:ind w:left="851"/>
        <w:rPr>
          <w:sz w:val="24"/>
          <w:szCs w:val="24"/>
          <w:u w:val="single"/>
        </w:rPr>
      </w:pPr>
    </w:p>
    <w:p w14:paraId="094F841B" w14:textId="77777777" w:rsidR="00143528" w:rsidRPr="00143528" w:rsidRDefault="00143528" w:rsidP="00D33C41">
      <w:pPr>
        <w:ind w:left="851"/>
        <w:rPr>
          <w:sz w:val="24"/>
          <w:szCs w:val="24"/>
          <w:u w:val="single"/>
        </w:rPr>
      </w:pPr>
      <w:r w:rsidRPr="00143528">
        <w:rPr>
          <w:sz w:val="24"/>
          <w:szCs w:val="24"/>
          <w:u w:val="single"/>
        </w:rPr>
        <w:t>Elimination</w:t>
      </w:r>
    </w:p>
    <w:p w14:paraId="4A8BB5AF" w14:textId="77777777" w:rsidR="00143528" w:rsidRPr="00143528" w:rsidRDefault="00143528" w:rsidP="00D33C41">
      <w:pPr>
        <w:ind w:left="851"/>
        <w:rPr>
          <w:sz w:val="24"/>
          <w:szCs w:val="24"/>
          <w:u w:val="single"/>
        </w:rPr>
      </w:pPr>
    </w:p>
    <w:p w14:paraId="6CC5C50D" w14:textId="03D44C2A" w:rsidR="00143528" w:rsidRPr="00143528" w:rsidRDefault="00143528" w:rsidP="00D33C41">
      <w:pPr>
        <w:ind w:left="851"/>
        <w:rPr>
          <w:sz w:val="24"/>
          <w:szCs w:val="24"/>
        </w:rPr>
      </w:pPr>
      <w:r w:rsidRPr="00143528">
        <w:rPr>
          <w:sz w:val="24"/>
          <w:szCs w:val="24"/>
        </w:rPr>
        <w:t xml:space="preserve">Den geometrisk gennemsnitlige tilsyneladende orale </w:t>
      </w:r>
      <w:proofErr w:type="spellStart"/>
      <w:r w:rsidRPr="00143528">
        <w:rPr>
          <w:sz w:val="24"/>
          <w:szCs w:val="24"/>
        </w:rPr>
        <w:t>clearance</w:t>
      </w:r>
      <w:proofErr w:type="spellEnd"/>
      <w:r w:rsidRPr="00143528">
        <w:rPr>
          <w:sz w:val="24"/>
          <w:szCs w:val="24"/>
        </w:rPr>
        <w:t xml:space="preserve"> (CL/F) af </w:t>
      </w:r>
      <w:proofErr w:type="spellStart"/>
      <w:r w:rsidRPr="00143528">
        <w:rPr>
          <w:sz w:val="24"/>
          <w:szCs w:val="24"/>
        </w:rPr>
        <w:t>palbociclib</w:t>
      </w:r>
      <w:proofErr w:type="spellEnd"/>
      <w:r w:rsidRPr="00143528">
        <w:rPr>
          <w:sz w:val="24"/>
          <w:szCs w:val="24"/>
        </w:rPr>
        <w:t xml:space="preserve"> var 63</w:t>
      </w:r>
      <w:r w:rsidR="007A1C7E">
        <w:rPr>
          <w:sz w:val="24"/>
          <w:szCs w:val="24"/>
        </w:rPr>
        <w:t> </w:t>
      </w:r>
      <w:r w:rsidRPr="00143528">
        <w:rPr>
          <w:sz w:val="24"/>
          <w:szCs w:val="24"/>
        </w:rPr>
        <w:t xml:space="preserve">l/time, og den gennemsnitlige plasmaeliminationshalveringstid var 28,8 timer hos patienter med fremskreden brystkræft. Hos 6 raske mandlige forsøgspersoner, som fik en enkelt oral dosis [14C] </w:t>
      </w:r>
      <w:proofErr w:type="spellStart"/>
      <w:r w:rsidRPr="00143528">
        <w:rPr>
          <w:sz w:val="24"/>
          <w:szCs w:val="24"/>
        </w:rPr>
        <w:t>palbociclib</w:t>
      </w:r>
      <w:proofErr w:type="spellEnd"/>
      <w:r w:rsidRPr="00143528">
        <w:rPr>
          <w:sz w:val="24"/>
          <w:szCs w:val="24"/>
        </w:rPr>
        <w:t xml:space="preserve">, blev der </w:t>
      </w:r>
      <w:proofErr w:type="spellStart"/>
      <w:r w:rsidRPr="00143528">
        <w:rPr>
          <w:sz w:val="24"/>
          <w:szCs w:val="24"/>
        </w:rPr>
        <w:t>mediant</w:t>
      </w:r>
      <w:proofErr w:type="spellEnd"/>
      <w:r w:rsidRPr="00143528">
        <w:rPr>
          <w:sz w:val="24"/>
          <w:szCs w:val="24"/>
        </w:rPr>
        <w:t xml:space="preserve"> genfundet 92</w:t>
      </w:r>
      <w:r w:rsidR="007A1C7E">
        <w:rPr>
          <w:sz w:val="24"/>
          <w:szCs w:val="24"/>
        </w:rPr>
        <w:t xml:space="preserve"> %</w:t>
      </w:r>
      <w:r w:rsidRPr="00143528">
        <w:rPr>
          <w:sz w:val="24"/>
          <w:szCs w:val="24"/>
        </w:rPr>
        <w:t xml:space="preserve"> af den samlede administrerede radioaktive dosis efter 15 dage. Fæces (74</w:t>
      </w:r>
      <w:r w:rsidR="007A1C7E">
        <w:rPr>
          <w:sz w:val="24"/>
          <w:szCs w:val="24"/>
        </w:rPr>
        <w:t xml:space="preserve"> %</w:t>
      </w:r>
      <w:r w:rsidRPr="00143528">
        <w:rPr>
          <w:sz w:val="24"/>
          <w:szCs w:val="24"/>
        </w:rPr>
        <w:t xml:space="preserve"> af dosis) var hovedeliminationsvejen, og 17</w:t>
      </w:r>
      <w:r w:rsidR="007A1C7E">
        <w:rPr>
          <w:sz w:val="24"/>
          <w:szCs w:val="24"/>
        </w:rPr>
        <w:t xml:space="preserve"> %</w:t>
      </w:r>
      <w:r w:rsidRPr="00143528">
        <w:rPr>
          <w:sz w:val="24"/>
          <w:szCs w:val="24"/>
        </w:rPr>
        <w:t xml:space="preserve"> af dosis blev genfundet i urin. Henholdsvis 2</w:t>
      </w:r>
      <w:r w:rsidR="007A1C7E">
        <w:rPr>
          <w:sz w:val="24"/>
          <w:szCs w:val="24"/>
        </w:rPr>
        <w:t xml:space="preserve"> %</w:t>
      </w:r>
      <w:r w:rsidRPr="00143528">
        <w:rPr>
          <w:sz w:val="24"/>
          <w:szCs w:val="24"/>
        </w:rPr>
        <w:t xml:space="preserve"> og 7</w:t>
      </w:r>
      <w:r w:rsidR="007A1C7E">
        <w:rPr>
          <w:sz w:val="24"/>
          <w:szCs w:val="24"/>
        </w:rPr>
        <w:t xml:space="preserve"> %</w:t>
      </w:r>
      <w:r w:rsidRPr="00143528">
        <w:rPr>
          <w:sz w:val="24"/>
          <w:szCs w:val="24"/>
        </w:rPr>
        <w:t xml:space="preserve"> af den administrerede dosis blev genfundet som </w:t>
      </w:r>
      <w:proofErr w:type="spellStart"/>
      <w:r w:rsidRPr="00143528">
        <w:rPr>
          <w:sz w:val="24"/>
          <w:szCs w:val="24"/>
        </w:rPr>
        <w:t>uomdannet</w:t>
      </w:r>
      <w:proofErr w:type="spellEnd"/>
      <w:r w:rsidRPr="00143528">
        <w:rPr>
          <w:sz w:val="24"/>
          <w:szCs w:val="24"/>
        </w:rPr>
        <w:t xml:space="preserve"> </w:t>
      </w:r>
      <w:proofErr w:type="spellStart"/>
      <w:r w:rsidRPr="00143528">
        <w:rPr>
          <w:sz w:val="24"/>
          <w:szCs w:val="24"/>
        </w:rPr>
        <w:t>palbociclib</w:t>
      </w:r>
      <w:proofErr w:type="spellEnd"/>
      <w:r w:rsidRPr="00143528">
        <w:rPr>
          <w:sz w:val="24"/>
          <w:szCs w:val="24"/>
        </w:rPr>
        <w:t xml:space="preserve"> i fæces og urin.</w:t>
      </w:r>
    </w:p>
    <w:p w14:paraId="7A2572B0" w14:textId="77777777" w:rsidR="00143528" w:rsidRPr="00143528" w:rsidRDefault="00143528" w:rsidP="00D33C41">
      <w:pPr>
        <w:ind w:left="851"/>
        <w:rPr>
          <w:sz w:val="24"/>
          <w:szCs w:val="24"/>
        </w:rPr>
      </w:pPr>
    </w:p>
    <w:p w14:paraId="09ADCA98" w14:textId="77777777" w:rsidR="00143528" w:rsidRPr="00143528" w:rsidRDefault="00143528" w:rsidP="00D33C41">
      <w:pPr>
        <w:ind w:left="851"/>
        <w:rPr>
          <w:sz w:val="24"/>
          <w:szCs w:val="24"/>
        </w:rPr>
      </w:pPr>
      <w:r w:rsidRPr="00143528">
        <w:rPr>
          <w:i/>
          <w:iCs/>
          <w:sz w:val="24"/>
          <w:szCs w:val="24"/>
        </w:rPr>
        <w:t xml:space="preserve">In </w:t>
      </w:r>
      <w:proofErr w:type="spellStart"/>
      <w:r w:rsidRPr="00143528">
        <w:rPr>
          <w:i/>
          <w:iCs/>
          <w:sz w:val="24"/>
          <w:szCs w:val="24"/>
        </w:rPr>
        <w:t>vitro</w:t>
      </w:r>
      <w:proofErr w:type="spellEnd"/>
      <w:r w:rsidRPr="00143528">
        <w:rPr>
          <w:i/>
          <w:iCs/>
          <w:sz w:val="24"/>
          <w:szCs w:val="24"/>
        </w:rPr>
        <w:t xml:space="preserve"> </w:t>
      </w:r>
      <w:r w:rsidRPr="00143528">
        <w:rPr>
          <w:sz w:val="24"/>
          <w:szCs w:val="24"/>
        </w:rPr>
        <w:t xml:space="preserve">hæmmer </w:t>
      </w:r>
      <w:proofErr w:type="spellStart"/>
      <w:r w:rsidRPr="00143528">
        <w:rPr>
          <w:sz w:val="24"/>
          <w:szCs w:val="24"/>
        </w:rPr>
        <w:t>palbociclib</w:t>
      </w:r>
      <w:proofErr w:type="spellEnd"/>
      <w:r w:rsidRPr="00143528">
        <w:rPr>
          <w:sz w:val="24"/>
          <w:szCs w:val="24"/>
        </w:rPr>
        <w:t xml:space="preserve"> ikke CYP1A2, 2A6, 2B6, 2C8, 2C9, 2C19 og 2D6 og inducerer ikke CYP1A2, 2B6, 2C8 og 3A4 ved klinisk relevante koncentrationer.</w:t>
      </w:r>
    </w:p>
    <w:p w14:paraId="6B41D80C" w14:textId="77777777" w:rsidR="00143528" w:rsidRPr="00143528" w:rsidRDefault="00143528" w:rsidP="00D33C41">
      <w:pPr>
        <w:ind w:left="851"/>
        <w:rPr>
          <w:sz w:val="24"/>
          <w:szCs w:val="24"/>
        </w:rPr>
      </w:pPr>
    </w:p>
    <w:p w14:paraId="580A325A" w14:textId="77777777" w:rsidR="00143528" w:rsidRPr="00143528" w:rsidRDefault="00143528" w:rsidP="00D33C41">
      <w:pPr>
        <w:ind w:left="851"/>
        <w:rPr>
          <w:sz w:val="24"/>
          <w:szCs w:val="24"/>
        </w:rPr>
      </w:pPr>
      <w:r w:rsidRPr="00143528">
        <w:rPr>
          <w:i/>
          <w:iCs/>
          <w:sz w:val="24"/>
          <w:szCs w:val="24"/>
        </w:rPr>
        <w:t xml:space="preserve">In </w:t>
      </w:r>
      <w:proofErr w:type="spellStart"/>
      <w:r w:rsidRPr="00143528">
        <w:rPr>
          <w:i/>
          <w:iCs/>
          <w:sz w:val="24"/>
          <w:szCs w:val="24"/>
        </w:rPr>
        <w:t>vitro</w:t>
      </w:r>
      <w:proofErr w:type="spellEnd"/>
      <w:r w:rsidRPr="00143528">
        <w:rPr>
          <w:i/>
          <w:iCs/>
          <w:sz w:val="24"/>
          <w:szCs w:val="24"/>
        </w:rPr>
        <w:t>-</w:t>
      </w:r>
      <w:r w:rsidRPr="00143528">
        <w:rPr>
          <w:sz w:val="24"/>
          <w:szCs w:val="24"/>
        </w:rPr>
        <w:t xml:space="preserve">evalueringer tyder på, at </w:t>
      </w:r>
      <w:proofErr w:type="spellStart"/>
      <w:r w:rsidRPr="00143528">
        <w:rPr>
          <w:sz w:val="24"/>
          <w:szCs w:val="24"/>
        </w:rPr>
        <w:t>palbociclib</w:t>
      </w:r>
      <w:proofErr w:type="spellEnd"/>
      <w:r w:rsidRPr="00143528">
        <w:rPr>
          <w:sz w:val="24"/>
          <w:szCs w:val="24"/>
        </w:rPr>
        <w:t xml:space="preserve"> har lille potentiale for at </w:t>
      </w:r>
      <w:proofErr w:type="spellStart"/>
      <w:r w:rsidRPr="00143528">
        <w:rPr>
          <w:sz w:val="24"/>
          <w:szCs w:val="24"/>
        </w:rPr>
        <w:t>hæmne</w:t>
      </w:r>
      <w:proofErr w:type="spellEnd"/>
      <w:r w:rsidRPr="00143528">
        <w:rPr>
          <w:sz w:val="24"/>
          <w:szCs w:val="24"/>
        </w:rPr>
        <w:t xml:space="preserve"> organisk</w:t>
      </w:r>
    </w:p>
    <w:p w14:paraId="1A3A996A" w14:textId="77777777" w:rsidR="00143528" w:rsidRPr="00143528" w:rsidRDefault="00143528" w:rsidP="00D33C41">
      <w:pPr>
        <w:ind w:left="851"/>
        <w:rPr>
          <w:sz w:val="24"/>
          <w:szCs w:val="24"/>
        </w:rPr>
      </w:pPr>
      <w:proofErr w:type="spellStart"/>
      <w:r w:rsidRPr="00143528">
        <w:rPr>
          <w:sz w:val="24"/>
          <w:szCs w:val="24"/>
        </w:rPr>
        <w:t>aniontransporter</w:t>
      </w:r>
      <w:proofErr w:type="spellEnd"/>
      <w:r w:rsidRPr="00143528">
        <w:rPr>
          <w:sz w:val="24"/>
          <w:szCs w:val="24"/>
        </w:rPr>
        <w:t xml:space="preserve"> (OAT)1, OAT3, organisk kationtransporter (OCT)2, organisk anion transportpolypeptid (OATP)1B1, OATP1B3 og galdesalteksportpumpe (BSEP) ved klinisk relevante koncentrationer.</w:t>
      </w:r>
    </w:p>
    <w:p w14:paraId="551C2E81" w14:textId="77777777" w:rsidR="00143528" w:rsidRPr="00143528" w:rsidRDefault="00143528" w:rsidP="00D33C41">
      <w:pPr>
        <w:ind w:left="851"/>
        <w:rPr>
          <w:sz w:val="24"/>
          <w:szCs w:val="24"/>
          <w:u w:val="single"/>
        </w:rPr>
      </w:pPr>
    </w:p>
    <w:p w14:paraId="3530F124" w14:textId="77777777" w:rsidR="00143528" w:rsidRPr="00143528" w:rsidRDefault="00143528" w:rsidP="00D33C41">
      <w:pPr>
        <w:ind w:left="851"/>
        <w:rPr>
          <w:sz w:val="24"/>
          <w:szCs w:val="24"/>
          <w:u w:val="single"/>
        </w:rPr>
      </w:pPr>
      <w:r w:rsidRPr="00143528">
        <w:rPr>
          <w:sz w:val="24"/>
          <w:szCs w:val="24"/>
          <w:u w:val="single"/>
        </w:rPr>
        <w:t>Særlige populationer</w:t>
      </w:r>
    </w:p>
    <w:p w14:paraId="319FC998" w14:textId="77777777" w:rsidR="00143528" w:rsidRPr="00143528" w:rsidRDefault="00143528" w:rsidP="00D33C41">
      <w:pPr>
        <w:ind w:left="851"/>
        <w:rPr>
          <w:sz w:val="24"/>
          <w:szCs w:val="24"/>
          <w:u w:val="single"/>
        </w:rPr>
      </w:pPr>
    </w:p>
    <w:p w14:paraId="5A05AC0D" w14:textId="77777777" w:rsidR="00143528" w:rsidRPr="00143528" w:rsidRDefault="00143528" w:rsidP="00D33C41">
      <w:pPr>
        <w:ind w:left="851"/>
        <w:rPr>
          <w:i/>
          <w:iCs/>
          <w:sz w:val="24"/>
          <w:szCs w:val="24"/>
        </w:rPr>
      </w:pPr>
      <w:r w:rsidRPr="00143528">
        <w:rPr>
          <w:i/>
          <w:iCs/>
          <w:sz w:val="24"/>
          <w:szCs w:val="24"/>
        </w:rPr>
        <w:t>Alder, køn og kropsvægt</w:t>
      </w:r>
    </w:p>
    <w:p w14:paraId="26A654C7" w14:textId="77777777" w:rsidR="00143528" w:rsidRPr="00143528" w:rsidRDefault="00143528" w:rsidP="00D33C41">
      <w:pPr>
        <w:ind w:left="851"/>
        <w:rPr>
          <w:sz w:val="24"/>
          <w:szCs w:val="24"/>
        </w:rPr>
      </w:pPr>
      <w:r w:rsidRPr="00143528">
        <w:rPr>
          <w:sz w:val="24"/>
          <w:szCs w:val="24"/>
        </w:rPr>
        <w:t xml:space="preserve">Baseret på en </w:t>
      </w:r>
      <w:proofErr w:type="spellStart"/>
      <w:r w:rsidRPr="00143528">
        <w:rPr>
          <w:sz w:val="24"/>
          <w:szCs w:val="24"/>
        </w:rPr>
        <w:t>populationsfarmakokinetisk</w:t>
      </w:r>
      <w:proofErr w:type="spellEnd"/>
      <w:r w:rsidRPr="00143528">
        <w:rPr>
          <w:sz w:val="24"/>
          <w:szCs w:val="24"/>
        </w:rPr>
        <w:t xml:space="preserve"> analyse af 183 patienter med kræft (50 mandlige og 133 kvindelige patienter i en alder fra 22 til 89 år, og en kropsvægt fra 38 til 123 kg) har køn ingen indvirkning på eksponeringen for </w:t>
      </w:r>
      <w:proofErr w:type="spellStart"/>
      <w:r w:rsidRPr="00143528">
        <w:rPr>
          <w:sz w:val="24"/>
          <w:szCs w:val="24"/>
        </w:rPr>
        <w:t>palbociclib</w:t>
      </w:r>
      <w:proofErr w:type="spellEnd"/>
      <w:r w:rsidRPr="00143528">
        <w:rPr>
          <w:sz w:val="24"/>
          <w:szCs w:val="24"/>
        </w:rPr>
        <w:t xml:space="preserve">, og alder og kropsvægt har ingen klinisk signifikant indvirkning på eksponeringen for </w:t>
      </w:r>
      <w:proofErr w:type="spellStart"/>
      <w:r w:rsidRPr="00143528">
        <w:rPr>
          <w:sz w:val="24"/>
          <w:szCs w:val="24"/>
        </w:rPr>
        <w:t>palbociclib</w:t>
      </w:r>
      <w:proofErr w:type="spellEnd"/>
      <w:r w:rsidRPr="00143528">
        <w:rPr>
          <w:sz w:val="24"/>
          <w:szCs w:val="24"/>
        </w:rPr>
        <w:t>.</w:t>
      </w:r>
    </w:p>
    <w:p w14:paraId="560F18E7" w14:textId="77777777" w:rsidR="00143528" w:rsidRPr="00143528" w:rsidRDefault="00143528" w:rsidP="00D33C41">
      <w:pPr>
        <w:ind w:left="851"/>
        <w:rPr>
          <w:sz w:val="24"/>
          <w:szCs w:val="24"/>
        </w:rPr>
      </w:pPr>
    </w:p>
    <w:p w14:paraId="1C3B421E" w14:textId="77777777" w:rsidR="00143528" w:rsidRPr="00143528" w:rsidRDefault="00143528" w:rsidP="00D33C41">
      <w:pPr>
        <w:ind w:left="851"/>
        <w:rPr>
          <w:i/>
          <w:iCs/>
          <w:sz w:val="24"/>
          <w:szCs w:val="24"/>
        </w:rPr>
      </w:pPr>
      <w:r w:rsidRPr="00143528">
        <w:rPr>
          <w:i/>
          <w:iCs/>
          <w:sz w:val="24"/>
          <w:szCs w:val="24"/>
        </w:rPr>
        <w:t>Pædiatrisk population</w:t>
      </w:r>
    </w:p>
    <w:p w14:paraId="28643777" w14:textId="77777777" w:rsidR="00143528" w:rsidRPr="00143528" w:rsidRDefault="00143528" w:rsidP="00D33C41">
      <w:pPr>
        <w:ind w:left="851"/>
        <w:rPr>
          <w:sz w:val="24"/>
          <w:szCs w:val="24"/>
        </w:rPr>
      </w:pPr>
      <w:r w:rsidRPr="00143528">
        <w:rPr>
          <w:sz w:val="24"/>
          <w:szCs w:val="24"/>
        </w:rPr>
        <w:t xml:space="preserve">Eksponering for </w:t>
      </w:r>
      <w:proofErr w:type="spellStart"/>
      <w:r w:rsidRPr="00143528">
        <w:rPr>
          <w:sz w:val="24"/>
          <w:szCs w:val="24"/>
        </w:rPr>
        <w:t>palbociclib</w:t>
      </w:r>
      <w:proofErr w:type="spellEnd"/>
      <w:r w:rsidRPr="00143528">
        <w:rPr>
          <w:sz w:val="24"/>
          <w:szCs w:val="24"/>
        </w:rPr>
        <w:t xml:space="preserve"> hos børn, unge og unge voksne med r/r solide tumorer var ens på tværs af aldersgrupperne (≤ 6 år, &gt; 6 til &lt; 12 år, ≥ 12 til &lt; 18 år og ≥ 18 år) over dosisintervallet på 55-95 mg/m</w:t>
      </w:r>
      <w:r w:rsidRPr="00143528">
        <w:rPr>
          <w:sz w:val="24"/>
          <w:szCs w:val="24"/>
          <w:vertAlign w:val="superscript"/>
        </w:rPr>
        <w:t>2</w:t>
      </w:r>
      <w:r w:rsidRPr="00143528">
        <w:rPr>
          <w:sz w:val="24"/>
          <w:szCs w:val="24"/>
        </w:rPr>
        <w:t xml:space="preserve"> (BSA-normaliseret dosering af </w:t>
      </w:r>
      <w:proofErr w:type="spellStart"/>
      <w:r w:rsidRPr="00143528">
        <w:rPr>
          <w:sz w:val="24"/>
          <w:szCs w:val="24"/>
        </w:rPr>
        <w:t>palbociclib</w:t>
      </w:r>
      <w:proofErr w:type="spellEnd"/>
      <w:r w:rsidRPr="00143528">
        <w:rPr>
          <w:sz w:val="24"/>
          <w:szCs w:val="24"/>
        </w:rPr>
        <w:t xml:space="preserve">) administreret oralt en gang dagligt på dag 1 til 14 efterfulgt af 7 dage uden behandling. </w:t>
      </w:r>
      <w:proofErr w:type="spellStart"/>
      <w:r w:rsidRPr="00143528">
        <w:rPr>
          <w:i/>
          <w:iCs/>
          <w:sz w:val="24"/>
          <w:szCs w:val="24"/>
        </w:rPr>
        <w:t>Steady</w:t>
      </w:r>
      <w:proofErr w:type="spellEnd"/>
      <w:r w:rsidRPr="00143528">
        <w:rPr>
          <w:i/>
          <w:iCs/>
          <w:sz w:val="24"/>
          <w:szCs w:val="24"/>
        </w:rPr>
        <w:t xml:space="preserve"> </w:t>
      </w:r>
      <w:proofErr w:type="spellStart"/>
      <w:r w:rsidRPr="00143528">
        <w:rPr>
          <w:i/>
          <w:iCs/>
          <w:sz w:val="24"/>
          <w:szCs w:val="24"/>
        </w:rPr>
        <w:t>state</w:t>
      </w:r>
      <w:proofErr w:type="spellEnd"/>
      <w:r w:rsidRPr="00143528">
        <w:rPr>
          <w:i/>
          <w:iCs/>
          <w:sz w:val="24"/>
          <w:szCs w:val="24"/>
        </w:rPr>
        <w:t xml:space="preserve"> </w:t>
      </w:r>
      <w:r w:rsidRPr="00143528">
        <w:rPr>
          <w:sz w:val="24"/>
          <w:szCs w:val="24"/>
        </w:rPr>
        <w:t xml:space="preserve">for eksponering for </w:t>
      </w:r>
      <w:proofErr w:type="spellStart"/>
      <w:r w:rsidRPr="00143528">
        <w:rPr>
          <w:sz w:val="24"/>
          <w:szCs w:val="24"/>
        </w:rPr>
        <w:t>palbociclib</w:t>
      </w:r>
      <w:proofErr w:type="spellEnd"/>
      <w:r w:rsidRPr="00143528">
        <w:rPr>
          <w:sz w:val="24"/>
          <w:szCs w:val="24"/>
        </w:rPr>
        <w:t xml:space="preserve"> ved dosen på 75 mg/m</w:t>
      </w:r>
      <w:r w:rsidRPr="00143528">
        <w:rPr>
          <w:sz w:val="24"/>
          <w:szCs w:val="24"/>
          <w:vertAlign w:val="superscript"/>
        </w:rPr>
        <w:t>2</w:t>
      </w:r>
      <w:r w:rsidRPr="00143528">
        <w:rPr>
          <w:sz w:val="24"/>
          <w:szCs w:val="24"/>
        </w:rPr>
        <w:t xml:space="preserve"> en gang dagligt hos den pædiatriske population svarede til den, der observeres hos voksne deltagere ved den godkendte dosis på 125 mg en gang dagligt (administreret på dag 1 til dag 21 efterfulgt af 7 dage uden behandling).</w:t>
      </w:r>
    </w:p>
    <w:p w14:paraId="27B09D69" w14:textId="77777777" w:rsidR="00143528" w:rsidRPr="00143528" w:rsidRDefault="00143528" w:rsidP="00D33C41">
      <w:pPr>
        <w:ind w:left="851"/>
        <w:rPr>
          <w:sz w:val="24"/>
          <w:szCs w:val="24"/>
        </w:rPr>
      </w:pPr>
    </w:p>
    <w:p w14:paraId="3D937C11" w14:textId="77777777" w:rsidR="00143528" w:rsidRPr="00143528" w:rsidRDefault="00143528" w:rsidP="00D33C41">
      <w:pPr>
        <w:ind w:left="851"/>
        <w:rPr>
          <w:i/>
          <w:iCs/>
          <w:sz w:val="24"/>
          <w:szCs w:val="24"/>
        </w:rPr>
      </w:pPr>
      <w:r w:rsidRPr="00143528">
        <w:rPr>
          <w:i/>
          <w:iCs/>
          <w:sz w:val="24"/>
          <w:szCs w:val="24"/>
        </w:rPr>
        <w:t>Nedsat leverfunktion</w:t>
      </w:r>
    </w:p>
    <w:p w14:paraId="5E0B777C" w14:textId="66C7A2D0" w:rsidR="00143528" w:rsidRPr="00143528" w:rsidRDefault="00143528" w:rsidP="00D33C41">
      <w:pPr>
        <w:ind w:left="851"/>
        <w:rPr>
          <w:sz w:val="24"/>
          <w:szCs w:val="24"/>
        </w:rPr>
      </w:pPr>
      <w:r w:rsidRPr="00143528">
        <w:rPr>
          <w:sz w:val="24"/>
          <w:szCs w:val="24"/>
        </w:rPr>
        <w:t xml:space="preserve">Data fra et </w:t>
      </w:r>
      <w:proofErr w:type="spellStart"/>
      <w:r w:rsidRPr="00143528">
        <w:rPr>
          <w:sz w:val="24"/>
          <w:szCs w:val="24"/>
        </w:rPr>
        <w:t>farmakokinetisk</w:t>
      </w:r>
      <w:proofErr w:type="spellEnd"/>
      <w:r w:rsidRPr="00143528">
        <w:rPr>
          <w:sz w:val="24"/>
          <w:szCs w:val="24"/>
        </w:rPr>
        <w:t xml:space="preserve"> studie med forsøgspersoner med varierende grader af leverfunktion indikerer, at eksponering for ubundet </w:t>
      </w:r>
      <w:proofErr w:type="spellStart"/>
      <w:r w:rsidRPr="00143528">
        <w:rPr>
          <w:sz w:val="24"/>
          <w:szCs w:val="24"/>
        </w:rPr>
        <w:t>palbociclib</w:t>
      </w:r>
      <w:proofErr w:type="spellEnd"/>
      <w:r w:rsidRPr="00143528">
        <w:rPr>
          <w:sz w:val="24"/>
          <w:szCs w:val="24"/>
        </w:rPr>
        <w:t xml:space="preserve"> (ubundet </w:t>
      </w:r>
      <w:proofErr w:type="spellStart"/>
      <w:r w:rsidRPr="00143528">
        <w:rPr>
          <w:sz w:val="24"/>
          <w:szCs w:val="24"/>
        </w:rPr>
        <w:t>AUC</w:t>
      </w:r>
      <w:r w:rsidRPr="00143528">
        <w:rPr>
          <w:sz w:val="24"/>
          <w:szCs w:val="24"/>
          <w:vertAlign w:val="subscript"/>
        </w:rPr>
        <w:t>inf</w:t>
      </w:r>
      <w:proofErr w:type="spellEnd"/>
      <w:r w:rsidRPr="00143528">
        <w:rPr>
          <w:sz w:val="24"/>
          <w:szCs w:val="24"/>
        </w:rPr>
        <w:t>) faldt med 17</w:t>
      </w:r>
      <w:r w:rsidR="007A1C7E">
        <w:rPr>
          <w:sz w:val="24"/>
          <w:szCs w:val="24"/>
        </w:rPr>
        <w:t xml:space="preserve"> %</w:t>
      </w:r>
      <w:r w:rsidRPr="00143528">
        <w:rPr>
          <w:sz w:val="24"/>
          <w:szCs w:val="24"/>
        </w:rPr>
        <w:t xml:space="preserve"> hos forsøgspersoner med let nedsat leverfunktion (Child-</w:t>
      </w:r>
      <w:proofErr w:type="spellStart"/>
      <w:r w:rsidRPr="00143528">
        <w:rPr>
          <w:sz w:val="24"/>
          <w:szCs w:val="24"/>
        </w:rPr>
        <w:t>Pugh</w:t>
      </w:r>
      <w:proofErr w:type="spellEnd"/>
      <w:r w:rsidRPr="00143528">
        <w:rPr>
          <w:sz w:val="24"/>
          <w:szCs w:val="24"/>
        </w:rPr>
        <w:t>-klasse A) og forøgedes med henholdsvis 34</w:t>
      </w:r>
      <w:r w:rsidR="007A1C7E">
        <w:rPr>
          <w:sz w:val="24"/>
          <w:szCs w:val="24"/>
        </w:rPr>
        <w:t xml:space="preserve"> %</w:t>
      </w:r>
      <w:r w:rsidRPr="00143528">
        <w:rPr>
          <w:sz w:val="24"/>
          <w:szCs w:val="24"/>
        </w:rPr>
        <w:t xml:space="preserve"> og 77</w:t>
      </w:r>
      <w:r w:rsidR="007A1C7E">
        <w:rPr>
          <w:sz w:val="24"/>
          <w:szCs w:val="24"/>
        </w:rPr>
        <w:t xml:space="preserve"> %</w:t>
      </w:r>
      <w:r w:rsidRPr="00143528">
        <w:rPr>
          <w:sz w:val="24"/>
          <w:szCs w:val="24"/>
        </w:rPr>
        <w:t xml:space="preserve"> hos forsøgspersoner med moderat (Child-</w:t>
      </w:r>
      <w:proofErr w:type="spellStart"/>
      <w:r w:rsidRPr="00143528">
        <w:rPr>
          <w:sz w:val="24"/>
          <w:szCs w:val="24"/>
        </w:rPr>
        <w:t>Pugh</w:t>
      </w:r>
      <w:proofErr w:type="spellEnd"/>
      <w:r w:rsidRPr="00143528">
        <w:rPr>
          <w:sz w:val="24"/>
          <w:szCs w:val="24"/>
        </w:rPr>
        <w:t>-klasse B) og svært (Child-</w:t>
      </w:r>
      <w:proofErr w:type="spellStart"/>
      <w:r w:rsidRPr="00143528">
        <w:rPr>
          <w:sz w:val="24"/>
          <w:szCs w:val="24"/>
        </w:rPr>
        <w:t>Pugh</w:t>
      </w:r>
      <w:proofErr w:type="spellEnd"/>
      <w:r w:rsidRPr="00143528">
        <w:rPr>
          <w:sz w:val="24"/>
          <w:szCs w:val="24"/>
        </w:rPr>
        <w:t>-klasse C) nedsat leverfunktion sammenlignet med forsøgspersoner med normal leverfunktion.</w:t>
      </w:r>
    </w:p>
    <w:p w14:paraId="78F3ABAE" w14:textId="0ED3B6E8" w:rsidR="00143528" w:rsidRPr="00143528" w:rsidRDefault="00143528" w:rsidP="00D33C41">
      <w:pPr>
        <w:ind w:left="851"/>
        <w:rPr>
          <w:sz w:val="24"/>
          <w:szCs w:val="24"/>
        </w:rPr>
      </w:pPr>
      <w:r w:rsidRPr="00143528">
        <w:rPr>
          <w:sz w:val="24"/>
          <w:szCs w:val="24"/>
        </w:rPr>
        <w:t xml:space="preserve">Maksimalværdi for </w:t>
      </w:r>
      <w:proofErr w:type="spellStart"/>
      <w:r w:rsidRPr="00143528">
        <w:rPr>
          <w:sz w:val="24"/>
          <w:szCs w:val="24"/>
        </w:rPr>
        <w:t>palbociclib</w:t>
      </w:r>
      <w:proofErr w:type="spellEnd"/>
      <w:r w:rsidRPr="00143528">
        <w:rPr>
          <w:sz w:val="24"/>
          <w:szCs w:val="24"/>
        </w:rPr>
        <w:t xml:space="preserve"> ubundet eksponering (ubundet </w:t>
      </w:r>
      <w:proofErr w:type="spellStart"/>
      <w:r w:rsidRPr="00143528">
        <w:rPr>
          <w:sz w:val="24"/>
          <w:szCs w:val="24"/>
        </w:rPr>
        <w:t>C</w:t>
      </w:r>
      <w:r w:rsidRPr="00143528">
        <w:rPr>
          <w:sz w:val="24"/>
          <w:szCs w:val="24"/>
          <w:vertAlign w:val="subscript"/>
        </w:rPr>
        <w:t>max</w:t>
      </w:r>
      <w:proofErr w:type="spellEnd"/>
      <w:r w:rsidRPr="00143528">
        <w:rPr>
          <w:sz w:val="24"/>
          <w:szCs w:val="24"/>
        </w:rPr>
        <w:t>) blev forøget med henholdsvis 7</w:t>
      </w:r>
      <w:r w:rsidR="007A1C7E">
        <w:rPr>
          <w:sz w:val="24"/>
          <w:szCs w:val="24"/>
        </w:rPr>
        <w:t xml:space="preserve"> %</w:t>
      </w:r>
      <w:r w:rsidRPr="00143528">
        <w:rPr>
          <w:sz w:val="24"/>
          <w:szCs w:val="24"/>
        </w:rPr>
        <w:t>, 38</w:t>
      </w:r>
      <w:r w:rsidR="007A1C7E">
        <w:rPr>
          <w:sz w:val="24"/>
          <w:szCs w:val="24"/>
        </w:rPr>
        <w:t xml:space="preserve"> %</w:t>
      </w:r>
      <w:r w:rsidRPr="00143528">
        <w:rPr>
          <w:sz w:val="24"/>
          <w:szCs w:val="24"/>
        </w:rPr>
        <w:t xml:space="preserve"> og 72</w:t>
      </w:r>
      <w:r w:rsidR="007A1C7E">
        <w:rPr>
          <w:sz w:val="24"/>
          <w:szCs w:val="24"/>
        </w:rPr>
        <w:t xml:space="preserve"> %</w:t>
      </w:r>
      <w:r w:rsidRPr="00143528">
        <w:rPr>
          <w:sz w:val="24"/>
          <w:szCs w:val="24"/>
        </w:rPr>
        <w:t xml:space="preserve"> for let, moderat og svært nedsat leverfunktion i forhold til personer med normal leverfunktion. Herudover viste en </w:t>
      </w:r>
      <w:proofErr w:type="spellStart"/>
      <w:r w:rsidRPr="00143528">
        <w:rPr>
          <w:sz w:val="24"/>
          <w:szCs w:val="24"/>
        </w:rPr>
        <w:t>populationsfarmakokinetisk</w:t>
      </w:r>
      <w:proofErr w:type="spellEnd"/>
      <w:r w:rsidRPr="00143528">
        <w:rPr>
          <w:sz w:val="24"/>
          <w:szCs w:val="24"/>
        </w:rPr>
        <w:t xml:space="preserve"> analyse af 183 patienter med fremskreden kræft, hvoraf 40 patienter havde let nedsat leverfunktion baseret på National Cancer Institute (NCI)-klassificeringen (total-bilirubin ≤ øverste grænse for normal (ULN) og </w:t>
      </w:r>
      <w:proofErr w:type="spellStart"/>
      <w:r w:rsidRPr="00143528">
        <w:rPr>
          <w:sz w:val="24"/>
          <w:szCs w:val="24"/>
        </w:rPr>
        <w:t>aspartat</w:t>
      </w:r>
      <w:proofErr w:type="spellEnd"/>
      <w:r w:rsidRPr="00143528">
        <w:rPr>
          <w:sz w:val="24"/>
          <w:szCs w:val="24"/>
        </w:rPr>
        <w:t xml:space="preserve"> </w:t>
      </w:r>
      <w:proofErr w:type="spellStart"/>
      <w:r w:rsidRPr="00143528">
        <w:rPr>
          <w:sz w:val="24"/>
          <w:szCs w:val="24"/>
        </w:rPr>
        <w:t>aminotransferase</w:t>
      </w:r>
      <w:proofErr w:type="spellEnd"/>
      <w:r w:rsidRPr="00143528">
        <w:rPr>
          <w:sz w:val="24"/>
          <w:szCs w:val="24"/>
        </w:rPr>
        <w:t xml:space="preserve"> (ASAT) &gt; ULN eller total-bilirubin &gt; 1,0 til 1,5 × (ULN) og enhver ASAT), at let nedsat leverfunktion ingen indvirkning har på </w:t>
      </w:r>
      <w:proofErr w:type="spellStart"/>
      <w:r w:rsidRPr="00143528">
        <w:rPr>
          <w:sz w:val="24"/>
          <w:szCs w:val="24"/>
        </w:rPr>
        <w:t>palbociclibs</w:t>
      </w:r>
      <w:proofErr w:type="spellEnd"/>
      <w:r w:rsidRPr="00143528">
        <w:rPr>
          <w:sz w:val="24"/>
          <w:szCs w:val="24"/>
        </w:rPr>
        <w:t xml:space="preserve"> farmakokinetik (PK).</w:t>
      </w:r>
    </w:p>
    <w:p w14:paraId="370E3809" w14:textId="77777777" w:rsidR="00143528" w:rsidRPr="00143528" w:rsidRDefault="00143528" w:rsidP="00D33C41">
      <w:pPr>
        <w:ind w:left="851"/>
        <w:rPr>
          <w:sz w:val="24"/>
          <w:szCs w:val="24"/>
        </w:rPr>
      </w:pPr>
    </w:p>
    <w:p w14:paraId="378874A2" w14:textId="77777777" w:rsidR="00143528" w:rsidRPr="00143528" w:rsidRDefault="00143528" w:rsidP="00D33C41">
      <w:pPr>
        <w:ind w:left="851"/>
        <w:rPr>
          <w:i/>
          <w:iCs/>
          <w:sz w:val="24"/>
          <w:szCs w:val="24"/>
        </w:rPr>
      </w:pPr>
      <w:r w:rsidRPr="00143528">
        <w:rPr>
          <w:i/>
          <w:iCs/>
          <w:sz w:val="24"/>
          <w:szCs w:val="24"/>
        </w:rPr>
        <w:t>Nedsat nyrefunktion</w:t>
      </w:r>
    </w:p>
    <w:p w14:paraId="08EF29A5" w14:textId="1EC0FE0E" w:rsidR="00143528" w:rsidRPr="00143528" w:rsidRDefault="00143528" w:rsidP="00D33C41">
      <w:pPr>
        <w:ind w:left="851"/>
        <w:rPr>
          <w:sz w:val="24"/>
          <w:szCs w:val="24"/>
        </w:rPr>
      </w:pPr>
      <w:r w:rsidRPr="00143528">
        <w:rPr>
          <w:sz w:val="24"/>
          <w:szCs w:val="24"/>
        </w:rPr>
        <w:t xml:space="preserve">Data fra et </w:t>
      </w:r>
      <w:proofErr w:type="spellStart"/>
      <w:r w:rsidRPr="00143528">
        <w:rPr>
          <w:sz w:val="24"/>
          <w:szCs w:val="24"/>
        </w:rPr>
        <w:t>farmakokinetisk</w:t>
      </w:r>
      <w:proofErr w:type="spellEnd"/>
      <w:r w:rsidRPr="00143528">
        <w:rPr>
          <w:sz w:val="24"/>
          <w:szCs w:val="24"/>
        </w:rPr>
        <w:t xml:space="preserve"> studie med forsøgspersoner med varierende grader af nyrefunktion indikerer, at total </w:t>
      </w:r>
      <w:proofErr w:type="spellStart"/>
      <w:r w:rsidRPr="00143528">
        <w:rPr>
          <w:sz w:val="24"/>
          <w:szCs w:val="24"/>
        </w:rPr>
        <w:t>palbociclib</w:t>
      </w:r>
      <w:proofErr w:type="spellEnd"/>
      <w:r w:rsidRPr="00143528">
        <w:rPr>
          <w:sz w:val="24"/>
          <w:szCs w:val="24"/>
        </w:rPr>
        <w:t xml:space="preserve"> eksponering (</w:t>
      </w:r>
      <w:proofErr w:type="spellStart"/>
      <w:r w:rsidRPr="00143528">
        <w:rPr>
          <w:sz w:val="24"/>
          <w:szCs w:val="24"/>
        </w:rPr>
        <w:t>AUC</w:t>
      </w:r>
      <w:r w:rsidRPr="00143528">
        <w:rPr>
          <w:sz w:val="24"/>
          <w:szCs w:val="24"/>
          <w:vertAlign w:val="subscript"/>
        </w:rPr>
        <w:t>inf</w:t>
      </w:r>
      <w:proofErr w:type="spellEnd"/>
      <w:r w:rsidRPr="00143528">
        <w:rPr>
          <w:sz w:val="24"/>
          <w:szCs w:val="24"/>
        </w:rPr>
        <w:t>) forøgedes med henholdsvis 39</w:t>
      </w:r>
      <w:r w:rsidR="007A1C7E">
        <w:rPr>
          <w:sz w:val="24"/>
          <w:szCs w:val="24"/>
        </w:rPr>
        <w:t xml:space="preserve"> %</w:t>
      </w:r>
      <w:r w:rsidRPr="00143528">
        <w:rPr>
          <w:sz w:val="24"/>
          <w:szCs w:val="24"/>
        </w:rPr>
        <w:t>, 42</w:t>
      </w:r>
      <w:r w:rsidR="007A1C7E">
        <w:rPr>
          <w:sz w:val="24"/>
          <w:szCs w:val="24"/>
        </w:rPr>
        <w:t xml:space="preserve"> %</w:t>
      </w:r>
      <w:r w:rsidRPr="00143528">
        <w:rPr>
          <w:sz w:val="24"/>
          <w:szCs w:val="24"/>
        </w:rPr>
        <w:t xml:space="preserve"> og 31</w:t>
      </w:r>
      <w:r w:rsidR="007A1C7E">
        <w:rPr>
          <w:sz w:val="24"/>
          <w:szCs w:val="24"/>
        </w:rPr>
        <w:t xml:space="preserve"> %</w:t>
      </w:r>
      <w:r w:rsidRPr="00143528">
        <w:rPr>
          <w:sz w:val="24"/>
          <w:szCs w:val="24"/>
        </w:rPr>
        <w:t xml:space="preserve"> ved let (60 ml/min&lt;</w:t>
      </w:r>
      <w:proofErr w:type="spellStart"/>
      <w:r w:rsidRPr="00143528">
        <w:rPr>
          <w:sz w:val="24"/>
          <w:szCs w:val="24"/>
        </w:rPr>
        <w:t>CrCl</w:t>
      </w:r>
      <w:proofErr w:type="spellEnd"/>
      <w:r w:rsidRPr="00143528">
        <w:rPr>
          <w:sz w:val="24"/>
          <w:szCs w:val="24"/>
        </w:rPr>
        <w:t>&lt;90 ml/min), moderat (30</w:t>
      </w:r>
      <w:r w:rsidR="008C4640">
        <w:rPr>
          <w:sz w:val="24"/>
          <w:szCs w:val="24"/>
        </w:rPr>
        <w:t> </w:t>
      </w:r>
      <w:r w:rsidRPr="00143528">
        <w:rPr>
          <w:sz w:val="24"/>
          <w:szCs w:val="24"/>
        </w:rPr>
        <w:t>ml/min&lt;</w:t>
      </w:r>
      <w:proofErr w:type="spellStart"/>
      <w:r w:rsidRPr="00143528">
        <w:rPr>
          <w:sz w:val="24"/>
          <w:szCs w:val="24"/>
        </w:rPr>
        <w:t>CrCl</w:t>
      </w:r>
      <w:proofErr w:type="spellEnd"/>
      <w:r w:rsidRPr="00143528">
        <w:rPr>
          <w:sz w:val="24"/>
          <w:szCs w:val="24"/>
        </w:rPr>
        <w:t>&lt;60 ml/min) og svært (</w:t>
      </w:r>
      <w:proofErr w:type="spellStart"/>
      <w:r w:rsidRPr="00143528">
        <w:rPr>
          <w:sz w:val="24"/>
          <w:szCs w:val="24"/>
        </w:rPr>
        <w:t>CrCl</w:t>
      </w:r>
      <w:proofErr w:type="spellEnd"/>
      <w:r w:rsidRPr="00143528">
        <w:rPr>
          <w:sz w:val="24"/>
          <w:szCs w:val="24"/>
        </w:rPr>
        <w:t>&lt;30 ml/min) nedsat nyrefunktion i forhold til forsøgspersoner med normal (CrCl≥90 ml/min) nyrefunktion. Maksimal (</w:t>
      </w:r>
      <w:proofErr w:type="spellStart"/>
      <w:r w:rsidRPr="00143528">
        <w:rPr>
          <w:sz w:val="24"/>
          <w:szCs w:val="24"/>
        </w:rPr>
        <w:t>C</w:t>
      </w:r>
      <w:r w:rsidRPr="00143528">
        <w:rPr>
          <w:sz w:val="24"/>
          <w:szCs w:val="24"/>
          <w:vertAlign w:val="subscript"/>
        </w:rPr>
        <w:t>max</w:t>
      </w:r>
      <w:proofErr w:type="spellEnd"/>
      <w:r w:rsidRPr="00143528">
        <w:rPr>
          <w:sz w:val="24"/>
          <w:szCs w:val="24"/>
        </w:rPr>
        <w:t xml:space="preserve">) eksponering for </w:t>
      </w:r>
      <w:proofErr w:type="spellStart"/>
      <w:r w:rsidRPr="00143528">
        <w:rPr>
          <w:sz w:val="24"/>
          <w:szCs w:val="24"/>
        </w:rPr>
        <w:t>palbociclib</w:t>
      </w:r>
      <w:proofErr w:type="spellEnd"/>
      <w:r w:rsidRPr="00143528">
        <w:rPr>
          <w:sz w:val="24"/>
          <w:szCs w:val="24"/>
        </w:rPr>
        <w:t xml:space="preserve"> blev forøget med henholdsvis 17</w:t>
      </w:r>
      <w:r w:rsidR="007A1C7E">
        <w:rPr>
          <w:sz w:val="24"/>
          <w:szCs w:val="24"/>
        </w:rPr>
        <w:t xml:space="preserve"> %</w:t>
      </w:r>
      <w:r w:rsidRPr="00143528">
        <w:rPr>
          <w:sz w:val="24"/>
          <w:szCs w:val="24"/>
        </w:rPr>
        <w:t>, 12</w:t>
      </w:r>
      <w:r w:rsidR="007A1C7E">
        <w:rPr>
          <w:sz w:val="24"/>
          <w:szCs w:val="24"/>
        </w:rPr>
        <w:t xml:space="preserve"> %</w:t>
      </w:r>
      <w:r w:rsidRPr="00143528">
        <w:rPr>
          <w:sz w:val="24"/>
          <w:szCs w:val="24"/>
        </w:rPr>
        <w:t xml:space="preserve"> og 15</w:t>
      </w:r>
      <w:r w:rsidR="007A1C7E">
        <w:rPr>
          <w:sz w:val="24"/>
          <w:szCs w:val="24"/>
        </w:rPr>
        <w:t xml:space="preserve"> %</w:t>
      </w:r>
      <w:r w:rsidRPr="00143528">
        <w:rPr>
          <w:sz w:val="24"/>
          <w:szCs w:val="24"/>
        </w:rPr>
        <w:t xml:space="preserve"> for let, moderat og svært nedsat nyrefunktion i forhold til forsøgspersoner med normal nyrefunktion. Herudover viste en </w:t>
      </w:r>
      <w:proofErr w:type="spellStart"/>
      <w:r w:rsidRPr="00143528">
        <w:rPr>
          <w:sz w:val="24"/>
          <w:szCs w:val="24"/>
        </w:rPr>
        <w:t>populationsfarmakokinetisk</w:t>
      </w:r>
      <w:proofErr w:type="spellEnd"/>
      <w:r w:rsidRPr="00143528">
        <w:rPr>
          <w:sz w:val="24"/>
          <w:szCs w:val="24"/>
        </w:rPr>
        <w:t xml:space="preserve"> analyse af 183 patienter med fremskreden kræft, hvoraf 73 patienter havde let nedsat nyrefunktion og 29 patienter havde moderat nedsat nyrefunktion, at let og moderat nedsat nyrefunktion ingen indvirkning har på PK for </w:t>
      </w:r>
      <w:proofErr w:type="spellStart"/>
      <w:r w:rsidRPr="00143528">
        <w:rPr>
          <w:sz w:val="24"/>
          <w:szCs w:val="24"/>
        </w:rPr>
        <w:t>palbociclib</w:t>
      </w:r>
      <w:proofErr w:type="spellEnd"/>
      <w:r w:rsidRPr="00143528">
        <w:rPr>
          <w:sz w:val="24"/>
          <w:szCs w:val="24"/>
        </w:rPr>
        <w:t xml:space="preserve">. </w:t>
      </w:r>
      <w:proofErr w:type="spellStart"/>
      <w:r w:rsidRPr="00143528">
        <w:rPr>
          <w:sz w:val="24"/>
          <w:szCs w:val="24"/>
        </w:rPr>
        <w:t>Palbociclibs</w:t>
      </w:r>
      <w:proofErr w:type="spellEnd"/>
      <w:r w:rsidRPr="00143528">
        <w:rPr>
          <w:sz w:val="24"/>
          <w:szCs w:val="24"/>
        </w:rPr>
        <w:t xml:space="preserve"> farmakokinetik er ikke blevet undersøgt hos patienter som har behov for hæmodialyse.</w:t>
      </w:r>
    </w:p>
    <w:p w14:paraId="5A1D5AA8" w14:textId="77777777" w:rsidR="00143528" w:rsidRPr="00143528" w:rsidRDefault="00143528" w:rsidP="00D33C41">
      <w:pPr>
        <w:ind w:left="851"/>
        <w:rPr>
          <w:sz w:val="24"/>
          <w:szCs w:val="24"/>
        </w:rPr>
      </w:pPr>
    </w:p>
    <w:p w14:paraId="332BD651" w14:textId="77777777" w:rsidR="00143528" w:rsidRPr="00143528" w:rsidRDefault="00143528" w:rsidP="00D33C41">
      <w:pPr>
        <w:ind w:left="851"/>
        <w:rPr>
          <w:i/>
          <w:iCs/>
          <w:sz w:val="24"/>
          <w:szCs w:val="24"/>
        </w:rPr>
      </w:pPr>
      <w:r w:rsidRPr="00143528">
        <w:rPr>
          <w:i/>
          <w:iCs/>
          <w:sz w:val="24"/>
          <w:szCs w:val="24"/>
        </w:rPr>
        <w:t>Etnisk oprindelse</w:t>
      </w:r>
    </w:p>
    <w:p w14:paraId="33C9C1DC" w14:textId="73A281D0" w:rsidR="00143528" w:rsidRPr="00143528" w:rsidRDefault="00143528" w:rsidP="00D33C41">
      <w:pPr>
        <w:ind w:left="851"/>
        <w:rPr>
          <w:sz w:val="24"/>
          <w:szCs w:val="24"/>
        </w:rPr>
      </w:pPr>
      <w:r w:rsidRPr="00143528">
        <w:rPr>
          <w:sz w:val="24"/>
          <w:szCs w:val="24"/>
        </w:rPr>
        <w:t xml:space="preserve">I et </w:t>
      </w:r>
      <w:proofErr w:type="spellStart"/>
      <w:r w:rsidRPr="00143528">
        <w:rPr>
          <w:sz w:val="24"/>
          <w:szCs w:val="24"/>
        </w:rPr>
        <w:t>farmakokinetisk</w:t>
      </w:r>
      <w:proofErr w:type="spellEnd"/>
      <w:r w:rsidRPr="00143528">
        <w:rPr>
          <w:sz w:val="24"/>
          <w:szCs w:val="24"/>
        </w:rPr>
        <w:t xml:space="preserve"> studie med raske forsøgspersoner, var værdier for </w:t>
      </w:r>
      <w:proofErr w:type="spellStart"/>
      <w:r w:rsidRPr="00143528">
        <w:rPr>
          <w:sz w:val="24"/>
          <w:szCs w:val="24"/>
        </w:rPr>
        <w:t>AUC</w:t>
      </w:r>
      <w:r w:rsidRPr="00143528">
        <w:rPr>
          <w:sz w:val="24"/>
          <w:szCs w:val="24"/>
          <w:vertAlign w:val="subscript"/>
        </w:rPr>
        <w:t>inf</w:t>
      </w:r>
      <w:proofErr w:type="spellEnd"/>
      <w:r w:rsidRPr="00143528">
        <w:rPr>
          <w:sz w:val="24"/>
          <w:szCs w:val="24"/>
        </w:rPr>
        <w:t xml:space="preserve"> og </w:t>
      </w:r>
      <w:proofErr w:type="spellStart"/>
      <w:r w:rsidRPr="00143528">
        <w:rPr>
          <w:sz w:val="24"/>
          <w:szCs w:val="24"/>
        </w:rPr>
        <w:t>C</w:t>
      </w:r>
      <w:r w:rsidRPr="00143528">
        <w:rPr>
          <w:sz w:val="24"/>
          <w:szCs w:val="24"/>
          <w:vertAlign w:val="subscript"/>
        </w:rPr>
        <w:t>max</w:t>
      </w:r>
      <w:proofErr w:type="spellEnd"/>
      <w:r w:rsidRPr="00143528">
        <w:rPr>
          <w:sz w:val="24"/>
          <w:szCs w:val="24"/>
        </w:rPr>
        <w:t xml:space="preserve"> af </w:t>
      </w:r>
      <w:proofErr w:type="spellStart"/>
      <w:r w:rsidRPr="00143528">
        <w:rPr>
          <w:sz w:val="24"/>
          <w:szCs w:val="24"/>
        </w:rPr>
        <w:t>palbociclib</w:t>
      </w:r>
      <w:proofErr w:type="spellEnd"/>
      <w:r w:rsidRPr="00143528">
        <w:rPr>
          <w:sz w:val="24"/>
          <w:szCs w:val="24"/>
        </w:rPr>
        <w:t xml:space="preserve"> henholdsvis 30</w:t>
      </w:r>
      <w:r w:rsidR="007A1C7E">
        <w:rPr>
          <w:sz w:val="24"/>
          <w:szCs w:val="24"/>
        </w:rPr>
        <w:t xml:space="preserve"> %</w:t>
      </w:r>
      <w:r w:rsidRPr="00143528">
        <w:rPr>
          <w:sz w:val="24"/>
          <w:szCs w:val="24"/>
        </w:rPr>
        <w:t xml:space="preserve"> og 35</w:t>
      </w:r>
      <w:r w:rsidR="007A1C7E">
        <w:rPr>
          <w:sz w:val="24"/>
          <w:szCs w:val="24"/>
        </w:rPr>
        <w:t xml:space="preserve"> %</w:t>
      </w:r>
      <w:r w:rsidRPr="00143528">
        <w:rPr>
          <w:sz w:val="24"/>
          <w:szCs w:val="24"/>
        </w:rPr>
        <w:t xml:space="preserve"> højere hos japanske forsøgspersoner sammenlignet med ikke-asiatiske forsøgspersoner efter en oral enkeltdosis. Dette fund blev dog ikke konsistent reproduceret i efterfølgende studier med japanske eller asiatiske brystkræftpatienter efter multipel dosering. Baseret på en analyse af den kumulative farmakokinetik, sikkerheds- og effektivitetsdata på tværs af asiatiske og ikke-asiatiske populationer betragtes dosisjustering på basis af asiatisk race som unødvendig.</w:t>
      </w:r>
    </w:p>
    <w:p w14:paraId="5C29713B" w14:textId="77777777" w:rsidR="009260DE" w:rsidRPr="00D33C41" w:rsidRDefault="009260DE" w:rsidP="009260DE">
      <w:pPr>
        <w:tabs>
          <w:tab w:val="left" w:pos="851"/>
        </w:tabs>
        <w:ind w:left="851"/>
        <w:rPr>
          <w:sz w:val="24"/>
          <w:szCs w:val="24"/>
        </w:rPr>
      </w:pPr>
    </w:p>
    <w:p w14:paraId="3CE9D0A1" w14:textId="77777777" w:rsidR="009260DE" w:rsidRPr="00D33C41" w:rsidRDefault="009260DE" w:rsidP="009260DE">
      <w:pPr>
        <w:tabs>
          <w:tab w:val="left" w:pos="851"/>
        </w:tabs>
        <w:ind w:left="851" w:hanging="851"/>
        <w:rPr>
          <w:b/>
          <w:sz w:val="24"/>
          <w:szCs w:val="24"/>
        </w:rPr>
      </w:pPr>
      <w:r w:rsidRPr="00D33C41">
        <w:rPr>
          <w:b/>
          <w:sz w:val="24"/>
          <w:szCs w:val="24"/>
        </w:rPr>
        <w:t>5.3</w:t>
      </w:r>
      <w:r w:rsidRPr="00D33C41">
        <w:rPr>
          <w:b/>
          <w:sz w:val="24"/>
          <w:szCs w:val="24"/>
        </w:rPr>
        <w:tab/>
      </w:r>
      <w:r w:rsidR="00BD7931" w:rsidRPr="00D33C41">
        <w:rPr>
          <w:b/>
          <w:sz w:val="24"/>
          <w:szCs w:val="24"/>
        </w:rPr>
        <w:t>Non-</w:t>
      </w:r>
      <w:r w:rsidRPr="00D33C41">
        <w:rPr>
          <w:b/>
          <w:sz w:val="24"/>
          <w:szCs w:val="24"/>
        </w:rPr>
        <w:t>kliniske sikkerhedsdata</w:t>
      </w:r>
    </w:p>
    <w:p w14:paraId="322FE991" w14:textId="77777777" w:rsidR="00143528" w:rsidRPr="00143528" w:rsidRDefault="00143528" w:rsidP="00D33C41">
      <w:pPr>
        <w:ind w:left="851"/>
        <w:rPr>
          <w:sz w:val="24"/>
          <w:szCs w:val="24"/>
        </w:rPr>
      </w:pPr>
      <w:r w:rsidRPr="00143528">
        <w:rPr>
          <w:sz w:val="24"/>
          <w:szCs w:val="24"/>
        </w:rPr>
        <w:t>Fund vedrørende det primære målorgan efter enkeltstående og/eller gentagen dosering omfattede virkninger på blod-lymfesystemet og hanlige forplantningsorganer hos rotter og hunde og virkninger på knogler og aktivt voksende gnavertænder kun hos rotter. Denne systemiske toksicitet blev normalt observeret ved klinisk relevante eksponeringer baseret på AUC. Der blev konstateret en delvis til fuld reversering af virkningerne på blod-lymfesystemet, de hanlige forplantningsorganer og gnavertænder, hvorimod knoglevirkningerne ikke blev reverseret efter en 12-ugers periode uden dosering. Der blev derudover identificeret kardiovaskulære virkninger (</w:t>
      </w:r>
      <w:proofErr w:type="spellStart"/>
      <w:r w:rsidRPr="00143528">
        <w:rPr>
          <w:sz w:val="24"/>
          <w:szCs w:val="24"/>
        </w:rPr>
        <w:t>QTc</w:t>
      </w:r>
      <w:proofErr w:type="spellEnd"/>
      <w:r w:rsidRPr="00143528">
        <w:rPr>
          <w:sz w:val="24"/>
          <w:szCs w:val="24"/>
        </w:rPr>
        <w:t xml:space="preserve">-forlængelse, nedsat hjertefrekvens og forlænget RR-interval og forhøjet systolisk blodtryk) ved telemetri hos hunde ved ≥ 4 gange den kliniske eksponering baseret på </w:t>
      </w:r>
      <w:proofErr w:type="spellStart"/>
      <w:r w:rsidRPr="00143528">
        <w:rPr>
          <w:sz w:val="24"/>
          <w:szCs w:val="24"/>
        </w:rPr>
        <w:t>C</w:t>
      </w:r>
      <w:r w:rsidRPr="00143528">
        <w:rPr>
          <w:sz w:val="24"/>
          <w:szCs w:val="24"/>
          <w:vertAlign w:val="subscript"/>
        </w:rPr>
        <w:t>max</w:t>
      </w:r>
      <w:proofErr w:type="spellEnd"/>
      <w:r w:rsidRPr="00143528">
        <w:rPr>
          <w:sz w:val="24"/>
          <w:szCs w:val="24"/>
        </w:rPr>
        <w:t>.</w:t>
      </w:r>
    </w:p>
    <w:p w14:paraId="73202AFA" w14:textId="77777777" w:rsidR="00143528" w:rsidRPr="00143528" w:rsidRDefault="00143528" w:rsidP="00D33C41">
      <w:pPr>
        <w:ind w:left="851"/>
        <w:rPr>
          <w:sz w:val="24"/>
          <w:szCs w:val="24"/>
        </w:rPr>
      </w:pPr>
    </w:p>
    <w:p w14:paraId="341DA7B7" w14:textId="77777777" w:rsidR="00143528" w:rsidRPr="00143528" w:rsidRDefault="00143528" w:rsidP="00D33C41">
      <w:pPr>
        <w:ind w:left="851"/>
        <w:rPr>
          <w:sz w:val="24"/>
          <w:szCs w:val="24"/>
          <w:u w:val="single"/>
        </w:rPr>
      </w:pPr>
      <w:proofErr w:type="spellStart"/>
      <w:r w:rsidRPr="00143528">
        <w:rPr>
          <w:sz w:val="24"/>
          <w:szCs w:val="24"/>
          <w:u w:val="single"/>
        </w:rPr>
        <w:t>Karcinogenicitet</w:t>
      </w:r>
      <w:proofErr w:type="spellEnd"/>
    </w:p>
    <w:p w14:paraId="70B7EAB9" w14:textId="77777777" w:rsidR="00143528" w:rsidRPr="00143528" w:rsidRDefault="00143528" w:rsidP="00D33C41">
      <w:pPr>
        <w:ind w:left="851"/>
        <w:rPr>
          <w:sz w:val="24"/>
          <w:szCs w:val="24"/>
          <w:u w:val="single"/>
        </w:rPr>
      </w:pPr>
    </w:p>
    <w:p w14:paraId="5AB4B3D7" w14:textId="77777777" w:rsidR="00143528" w:rsidRPr="00143528" w:rsidRDefault="00143528" w:rsidP="00D33C41">
      <w:pPr>
        <w:ind w:left="851"/>
        <w:rPr>
          <w:sz w:val="24"/>
          <w:szCs w:val="24"/>
        </w:rPr>
      </w:pPr>
      <w:proofErr w:type="spellStart"/>
      <w:r w:rsidRPr="00143528">
        <w:rPr>
          <w:sz w:val="24"/>
          <w:szCs w:val="24"/>
        </w:rPr>
        <w:t>Palbociclibs</w:t>
      </w:r>
      <w:proofErr w:type="spellEnd"/>
      <w:r w:rsidRPr="00143528">
        <w:rPr>
          <w:sz w:val="24"/>
          <w:szCs w:val="24"/>
        </w:rPr>
        <w:t xml:space="preserve"> </w:t>
      </w:r>
      <w:proofErr w:type="spellStart"/>
      <w:r w:rsidRPr="00143528">
        <w:rPr>
          <w:sz w:val="24"/>
          <w:szCs w:val="24"/>
        </w:rPr>
        <w:t>karcinogene</w:t>
      </w:r>
      <w:proofErr w:type="spellEnd"/>
      <w:r w:rsidRPr="00143528">
        <w:rPr>
          <w:sz w:val="24"/>
          <w:szCs w:val="24"/>
        </w:rPr>
        <w:t xml:space="preserve"> potentiale blev vurderet i et seks måneders forsøg med transgene mus og i et toårigt forsøg med rotter. </w:t>
      </w:r>
      <w:proofErr w:type="spellStart"/>
      <w:r w:rsidRPr="00143528">
        <w:rPr>
          <w:sz w:val="24"/>
          <w:szCs w:val="24"/>
        </w:rPr>
        <w:t>Palbociclib</w:t>
      </w:r>
      <w:proofErr w:type="spellEnd"/>
      <w:r w:rsidRPr="00143528">
        <w:rPr>
          <w:sz w:val="24"/>
          <w:szCs w:val="24"/>
        </w:rPr>
        <w:t xml:space="preserve"> var ikke </w:t>
      </w:r>
      <w:proofErr w:type="spellStart"/>
      <w:r w:rsidRPr="00143528">
        <w:rPr>
          <w:sz w:val="24"/>
          <w:szCs w:val="24"/>
        </w:rPr>
        <w:t>karcinogent</w:t>
      </w:r>
      <w:proofErr w:type="spellEnd"/>
      <w:r w:rsidRPr="00143528">
        <w:rPr>
          <w:sz w:val="24"/>
          <w:szCs w:val="24"/>
        </w:rPr>
        <w:t xml:space="preserve"> hos transgene mus ved doser på op til 60 mg/kg/dag (No </w:t>
      </w:r>
      <w:proofErr w:type="spellStart"/>
      <w:r w:rsidRPr="00143528">
        <w:rPr>
          <w:sz w:val="24"/>
          <w:szCs w:val="24"/>
        </w:rPr>
        <w:t>Observed</w:t>
      </w:r>
      <w:proofErr w:type="spellEnd"/>
      <w:r w:rsidRPr="00143528">
        <w:rPr>
          <w:sz w:val="24"/>
          <w:szCs w:val="24"/>
        </w:rPr>
        <w:t xml:space="preserve"> </w:t>
      </w:r>
      <w:proofErr w:type="spellStart"/>
      <w:r w:rsidRPr="00143528">
        <w:rPr>
          <w:sz w:val="24"/>
          <w:szCs w:val="24"/>
        </w:rPr>
        <w:t>Effect</w:t>
      </w:r>
      <w:proofErr w:type="spellEnd"/>
      <w:r w:rsidRPr="00143528">
        <w:rPr>
          <w:sz w:val="24"/>
          <w:szCs w:val="24"/>
        </w:rPr>
        <w:t xml:space="preserve"> Level [NOEL], ca. 11 gange den kliniske humane eksponering baseret på AUC). </w:t>
      </w:r>
      <w:proofErr w:type="spellStart"/>
      <w:r w:rsidRPr="00143528">
        <w:rPr>
          <w:sz w:val="24"/>
          <w:szCs w:val="24"/>
        </w:rPr>
        <w:t>Palbociclib</w:t>
      </w:r>
      <w:proofErr w:type="spellEnd"/>
      <w:r w:rsidRPr="00143528">
        <w:rPr>
          <w:sz w:val="24"/>
          <w:szCs w:val="24"/>
        </w:rPr>
        <w:t xml:space="preserve">-relaterede neoplastiske fund hos rotter omfattede en øget forekomst af </w:t>
      </w:r>
      <w:proofErr w:type="spellStart"/>
      <w:r w:rsidRPr="00143528">
        <w:rPr>
          <w:sz w:val="24"/>
          <w:szCs w:val="24"/>
        </w:rPr>
        <w:t>mikroglialcelletumorer</w:t>
      </w:r>
      <w:proofErr w:type="spellEnd"/>
      <w:r w:rsidRPr="00143528">
        <w:rPr>
          <w:sz w:val="24"/>
          <w:szCs w:val="24"/>
        </w:rPr>
        <w:t xml:space="preserve"> i det centrale nervesystem hos hanrotter ved 30 mg/kg/dag; der var ingen neoplastiske fund hos hunrotter ved enhver dosis på op til 200 mg/kg/dag. Det observerede NOEL for </w:t>
      </w:r>
      <w:proofErr w:type="spellStart"/>
      <w:r w:rsidRPr="00143528">
        <w:rPr>
          <w:sz w:val="24"/>
          <w:szCs w:val="24"/>
        </w:rPr>
        <w:t>palbociclib</w:t>
      </w:r>
      <w:proofErr w:type="spellEnd"/>
      <w:r w:rsidRPr="00143528">
        <w:rPr>
          <w:sz w:val="24"/>
          <w:szCs w:val="24"/>
        </w:rPr>
        <w:t xml:space="preserve">-relateret </w:t>
      </w:r>
      <w:proofErr w:type="spellStart"/>
      <w:r w:rsidRPr="00143528">
        <w:rPr>
          <w:sz w:val="24"/>
          <w:szCs w:val="24"/>
        </w:rPr>
        <w:t>karcinogenicitet</w:t>
      </w:r>
      <w:proofErr w:type="spellEnd"/>
      <w:r w:rsidRPr="00143528">
        <w:rPr>
          <w:sz w:val="24"/>
          <w:szCs w:val="24"/>
        </w:rPr>
        <w:t xml:space="preserve"> var på henholdsvis 10 mg/kg/dag (ca. 2 gange den kliniske humane eksponering baseret på AUC) og 200 mg/kg/dag (ca. 4 gange den kliniske humane eksponering baseret på AUC) hos hanner og hunner. Relevansen af disse neoplastiske fund hos hanrotterne er ukendt for mennesker.</w:t>
      </w:r>
    </w:p>
    <w:p w14:paraId="61642A07" w14:textId="77777777" w:rsidR="00143528" w:rsidRPr="00143528" w:rsidRDefault="00143528" w:rsidP="00D33C41">
      <w:pPr>
        <w:ind w:left="851"/>
        <w:rPr>
          <w:sz w:val="24"/>
          <w:szCs w:val="24"/>
        </w:rPr>
      </w:pPr>
    </w:p>
    <w:p w14:paraId="5AAD3019" w14:textId="77777777" w:rsidR="00143528" w:rsidRPr="00143528" w:rsidRDefault="00143528" w:rsidP="00D33C41">
      <w:pPr>
        <w:ind w:left="851"/>
        <w:rPr>
          <w:sz w:val="24"/>
          <w:szCs w:val="24"/>
          <w:u w:val="single"/>
        </w:rPr>
      </w:pPr>
      <w:r w:rsidRPr="00143528">
        <w:rPr>
          <w:sz w:val="24"/>
          <w:szCs w:val="24"/>
          <w:u w:val="single"/>
        </w:rPr>
        <w:t>Genotoksicitet</w:t>
      </w:r>
    </w:p>
    <w:p w14:paraId="411B1BF4" w14:textId="77777777" w:rsidR="00143528" w:rsidRPr="00143528" w:rsidRDefault="00143528" w:rsidP="00D33C41">
      <w:pPr>
        <w:ind w:left="851"/>
        <w:rPr>
          <w:sz w:val="24"/>
          <w:szCs w:val="24"/>
          <w:u w:val="single"/>
        </w:rPr>
      </w:pPr>
    </w:p>
    <w:p w14:paraId="480C368F" w14:textId="77777777" w:rsidR="00143528" w:rsidRPr="00143528" w:rsidRDefault="00143528" w:rsidP="00D33C41">
      <w:pPr>
        <w:ind w:left="851"/>
        <w:rPr>
          <w:sz w:val="24"/>
          <w:szCs w:val="24"/>
        </w:rPr>
      </w:pPr>
      <w:proofErr w:type="spellStart"/>
      <w:r w:rsidRPr="00143528">
        <w:rPr>
          <w:sz w:val="24"/>
          <w:szCs w:val="24"/>
        </w:rPr>
        <w:t>Palbociclib</w:t>
      </w:r>
      <w:proofErr w:type="spellEnd"/>
      <w:r w:rsidRPr="00143528">
        <w:rPr>
          <w:sz w:val="24"/>
          <w:szCs w:val="24"/>
        </w:rPr>
        <w:t xml:space="preserve"> var ikke mutagent i en bakteriel </w:t>
      </w:r>
      <w:proofErr w:type="spellStart"/>
      <w:r w:rsidRPr="00143528">
        <w:rPr>
          <w:sz w:val="24"/>
          <w:szCs w:val="24"/>
        </w:rPr>
        <w:t>tilbagemutationtest</w:t>
      </w:r>
      <w:proofErr w:type="spellEnd"/>
      <w:r w:rsidRPr="00143528">
        <w:rPr>
          <w:sz w:val="24"/>
          <w:szCs w:val="24"/>
        </w:rPr>
        <w:t xml:space="preserve"> (</w:t>
      </w:r>
      <w:proofErr w:type="spellStart"/>
      <w:r w:rsidRPr="00143528">
        <w:rPr>
          <w:sz w:val="24"/>
          <w:szCs w:val="24"/>
        </w:rPr>
        <w:t>Ames</w:t>
      </w:r>
      <w:proofErr w:type="spellEnd"/>
      <w:r w:rsidRPr="00143528">
        <w:rPr>
          <w:sz w:val="24"/>
          <w:szCs w:val="24"/>
        </w:rPr>
        <w:t xml:space="preserve">) og inducerede ikke strukturelle kromosomafvigelser i den humane </w:t>
      </w:r>
      <w:r w:rsidRPr="00143528">
        <w:rPr>
          <w:i/>
          <w:iCs/>
          <w:sz w:val="24"/>
          <w:szCs w:val="24"/>
        </w:rPr>
        <w:t xml:space="preserve">in </w:t>
      </w:r>
      <w:proofErr w:type="spellStart"/>
      <w:r w:rsidRPr="00143528">
        <w:rPr>
          <w:i/>
          <w:iCs/>
          <w:sz w:val="24"/>
          <w:szCs w:val="24"/>
        </w:rPr>
        <w:t>vitro</w:t>
      </w:r>
      <w:proofErr w:type="spellEnd"/>
      <w:r w:rsidRPr="00143528">
        <w:rPr>
          <w:i/>
          <w:iCs/>
          <w:sz w:val="24"/>
          <w:szCs w:val="24"/>
        </w:rPr>
        <w:t xml:space="preserve"> </w:t>
      </w:r>
      <w:r w:rsidRPr="00143528">
        <w:rPr>
          <w:sz w:val="24"/>
          <w:szCs w:val="24"/>
        </w:rPr>
        <w:t>lymfocyt kromosomafvigelsestest.</w:t>
      </w:r>
    </w:p>
    <w:p w14:paraId="1795DA67" w14:textId="77777777" w:rsidR="00143528" w:rsidRPr="00143528" w:rsidRDefault="00143528" w:rsidP="00D33C41">
      <w:pPr>
        <w:ind w:left="851"/>
        <w:rPr>
          <w:sz w:val="24"/>
          <w:szCs w:val="24"/>
        </w:rPr>
      </w:pPr>
    </w:p>
    <w:p w14:paraId="6AE85BB6" w14:textId="77777777" w:rsidR="00143528" w:rsidRPr="00143528" w:rsidRDefault="00143528" w:rsidP="00D33C41">
      <w:pPr>
        <w:ind w:left="851"/>
        <w:rPr>
          <w:sz w:val="24"/>
          <w:szCs w:val="24"/>
        </w:rPr>
      </w:pPr>
      <w:r w:rsidRPr="00143528">
        <w:rPr>
          <w:sz w:val="24"/>
          <w:szCs w:val="24"/>
        </w:rPr>
        <w:t xml:space="preserve">Via </w:t>
      </w:r>
      <w:proofErr w:type="gramStart"/>
      <w:r w:rsidRPr="00143528">
        <w:rPr>
          <w:sz w:val="24"/>
          <w:szCs w:val="24"/>
        </w:rPr>
        <w:t>en aneugen</w:t>
      </w:r>
      <w:proofErr w:type="gramEnd"/>
      <w:r w:rsidRPr="00143528">
        <w:rPr>
          <w:sz w:val="24"/>
          <w:szCs w:val="24"/>
        </w:rPr>
        <w:t xml:space="preserve"> mekanisme inducerede </w:t>
      </w:r>
      <w:proofErr w:type="spellStart"/>
      <w:r w:rsidRPr="00143528">
        <w:rPr>
          <w:sz w:val="24"/>
          <w:szCs w:val="24"/>
        </w:rPr>
        <w:t>palbociclib</w:t>
      </w:r>
      <w:proofErr w:type="spellEnd"/>
      <w:r w:rsidRPr="00143528">
        <w:rPr>
          <w:sz w:val="24"/>
          <w:szCs w:val="24"/>
        </w:rPr>
        <w:t xml:space="preserve"> </w:t>
      </w:r>
      <w:proofErr w:type="spellStart"/>
      <w:r w:rsidRPr="00143528">
        <w:rPr>
          <w:sz w:val="24"/>
          <w:szCs w:val="24"/>
        </w:rPr>
        <w:t>mikronuklei</w:t>
      </w:r>
      <w:proofErr w:type="spellEnd"/>
      <w:r w:rsidRPr="00143528">
        <w:rPr>
          <w:sz w:val="24"/>
          <w:szCs w:val="24"/>
        </w:rPr>
        <w:t xml:space="preserve"> i ovarieceller fra kinesiske hamstere </w:t>
      </w:r>
      <w:r w:rsidRPr="00143528">
        <w:rPr>
          <w:i/>
          <w:iCs/>
          <w:sz w:val="24"/>
          <w:szCs w:val="24"/>
        </w:rPr>
        <w:t xml:space="preserve">in </w:t>
      </w:r>
      <w:proofErr w:type="spellStart"/>
      <w:r w:rsidRPr="00143528">
        <w:rPr>
          <w:i/>
          <w:iCs/>
          <w:sz w:val="24"/>
          <w:szCs w:val="24"/>
        </w:rPr>
        <w:t>vitro</w:t>
      </w:r>
      <w:proofErr w:type="spellEnd"/>
      <w:r w:rsidRPr="00143528">
        <w:rPr>
          <w:i/>
          <w:iCs/>
          <w:sz w:val="24"/>
          <w:szCs w:val="24"/>
        </w:rPr>
        <w:t xml:space="preserve"> </w:t>
      </w:r>
      <w:r w:rsidRPr="00143528">
        <w:rPr>
          <w:sz w:val="24"/>
          <w:szCs w:val="24"/>
        </w:rPr>
        <w:t>og i knoglemarven hos hanrotter ved doser ≥ 100 mg/kg/dag. Eksponeringen hos dyr ved</w:t>
      </w:r>
      <w:r w:rsidRPr="00143528">
        <w:rPr>
          <w:i/>
          <w:iCs/>
          <w:sz w:val="24"/>
          <w:szCs w:val="24"/>
        </w:rPr>
        <w:t xml:space="preserve"> </w:t>
      </w:r>
      <w:r w:rsidRPr="00143528">
        <w:rPr>
          <w:sz w:val="24"/>
          <w:szCs w:val="24"/>
        </w:rPr>
        <w:t xml:space="preserve">niveauet for ikke observeret effekt for at inducere </w:t>
      </w:r>
      <w:proofErr w:type="spellStart"/>
      <w:r w:rsidRPr="00143528">
        <w:rPr>
          <w:sz w:val="24"/>
          <w:szCs w:val="24"/>
        </w:rPr>
        <w:t>aneuploidi</w:t>
      </w:r>
      <w:proofErr w:type="spellEnd"/>
      <w:r w:rsidRPr="00143528">
        <w:rPr>
          <w:sz w:val="24"/>
          <w:szCs w:val="24"/>
        </w:rPr>
        <w:t xml:space="preserve"> var ca. 7 gange den humane kliniske</w:t>
      </w:r>
      <w:r w:rsidRPr="00143528">
        <w:rPr>
          <w:i/>
          <w:iCs/>
          <w:sz w:val="24"/>
          <w:szCs w:val="24"/>
        </w:rPr>
        <w:t xml:space="preserve"> </w:t>
      </w:r>
      <w:r w:rsidRPr="00143528">
        <w:rPr>
          <w:sz w:val="24"/>
          <w:szCs w:val="24"/>
        </w:rPr>
        <w:t>eksponering baseret på AUC.</w:t>
      </w:r>
    </w:p>
    <w:p w14:paraId="6F133B18" w14:textId="77777777" w:rsidR="00143528" w:rsidRPr="00143528" w:rsidRDefault="00143528" w:rsidP="00D33C41">
      <w:pPr>
        <w:ind w:left="851"/>
        <w:rPr>
          <w:sz w:val="24"/>
          <w:szCs w:val="24"/>
        </w:rPr>
      </w:pPr>
    </w:p>
    <w:p w14:paraId="4FCEE9CD" w14:textId="77777777" w:rsidR="00143528" w:rsidRPr="00143528" w:rsidRDefault="00143528" w:rsidP="00D33C41">
      <w:pPr>
        <w:ind w:left="851"/>
        <w:rPr>
          <w:sz w:val="24"/>
          <w:szCs w:val="24"/>
          <w:u w:val="single"/>
        </w:rPr>
      </w:pPr>
      <w:r w:rsidRPr="00143528">
        <w:rPr>
          <w:sz w:val="24"/>
          <w:szCs w:val="24"/>
          <w:u w:val="single"/>
        </w:rPr>
        <w:t>Forringelse af fertilitet</w:t>
      </w:r>
    </w:p>
    <w:p w14:paraId="4FEC2E78" w14:textId="77777777" w:rsidR="00143528" w:rsidRPr="00143528" w:rsidRDefault="00143528" w:rsidP="00D33C41">
      <w:pPr>
        <w:ind w:left="851"/>
        <w:rPr>
          <w:sz w:val="24"/>
          <w:szCs w:val="24"/>
          <w:u w:val="single"/>
        </w:rPr>
      </w:pPr>
    </w:p>
    <w:p w14:paraId="32BF98FF" w14:textId="77777777" w:rsidR="00143528" w:rsidRPr="00143528" w:rsidRDefault="00143528" w:rsidP="00D33C41">
      <w:pPr>
        <w:ind w:left="851"/>
        <w:rPr>
          <w:sz w:val="24"/>
          <w:szCs w:val="24"/>
        </w:rPr>
      </w:pPr>
      <w:proofErr w:type="spellStart"/>
      <w:r w:rsidRPr="00143528">
        <w:rPr>
          <w:sz w:val="24"/>
          <w:szCs w:val="24"/>
        </w:rPr>
        <w:t>Palbociclib</w:t>
      </w:r>
      <w:proofErr w:type="spellEnd"/>
      <w:r w:rsidRPr="00143528">
        <w:rPr>
          <w:sz w:val="24"/>
          <w:szCs w:val="24"/>
        </w:rPr>
        <w:t xml:space="preserve"> påvirkede ikke parring eller fertilitet hos hunrotter uanset den testede dosis på op til 300 mg/kg/dag (ca. 3 gange den humane kliniske eksponering baseret på AUC), og der blev ikke observeret negative virkninger på forplantningsorganer i toksicitetsstudier med gentagen indgift på op til 300 mg/kg/dag hos hunrotter og 3 mg/kg/dag hos hunhunde (henholdsvis ca. 5 og 3 gange den humane kliniske eksponering baseret på AUC).</w:t>
      </w:r>
    </w:p>
    <w:p w14:paraId="7B5D3B96" w14:textId="77777777" w:rsidR="00143528" w:rsidRPr="00143528" w:rsidRDefault="00143528" w:rsidP="00D33C41">
      <w:pPr>
        <w:ind w:left="851"/>
        <w:rPr>
          <w:sz w:val="24"/>
          <w:szCs w:val="24"/>
        </w:rPr>
      </w:pPr>
    </w:p>
    <w:p w14:paraId="42C3D83D" w14:textId="77777777" w:rsidR="00143528" w:rsidRPr="00143528" w:rsidRDefault="00143528" w:rsidP="00D33C41">
      <w:pPr>
        <w:ind w:left="851"/>
        <w:rPr>
          <w:sz w:val="24"/>
          <w:szCs w:val="24"/>
        </w:rPr>
      </w:pPr>
      <w:proofErr w:type="spellStart"/>
      <w:r w:rsidRPr="00143528">
        <w:rPr>
          <w:sz w:val="24"/>
          <w:szCs w:val="24"/>
        </w:rPr>
        <w:t>Palbociclib</w:t>
      </w:r>
      <w:proofErr w:type="spellEnd"/>
      <w:r w:rsidRPr="00143528">
        <w:rPr>
          <w:sz w:val="24"/>
          <w:szCs w:val="24"/>
        </w:rPr>
        <w:t xml:space="preserve"> anses for at have en potentiel negativ virkning på reproduktion og fertilitet hos mænd baseret på ikke-kliniske fund hos rotter og hunde. </w:t>
      </w:r>
      <w:proofErr w:type="spellStart"/>
      <w:r w:rsidRPr="00143528">
        <w:rPr>
          <w:sz w:val="24"/>
          <w:szCs w:val="24"/>
        </w:rPr>
        <w:t>Palbociclib</w:t>
      </w:r>
      <w:proofErr w:type="spellEnd"/>
      <w:r w:rsidRPr="00143528">
        <w:rPr>
          <w:sz w:val="24"/>
          <w:szCs w:val="24"/>
        </w:rPr>
        <w:t xml:space="preserve">-relaterede fund i testes, </w:t>
      </w:r>
      <w:proofErr w:type="spellStart"/>
      <w:r w:rsidRPr="00143528">
        <w:rPr>
          <w:sz w:val="24"/>
          <w:szCs w:val="24"/>
        </w:rPr>
        <w:t>epididymis</w:t>
      </w:r>
      <w:proofErr w:type="spellEnd"/>
      <w:r w:rsidRPr="00143528">
        <w:rPr>
          <w:sz w:val="24"/>
          <w:szCs w:val="24"/>
        </w:rPr>
        <w:t xml:space="preserve">, prostata og sædblære omfattede nedsat organvægt, atrofi eller degeneration, </w:t>
      </w:r>
      <w:proofErr w:type="spellStart"/>
      <w:r w:rsidRPr="00143528">
        <w:rPr>
          <w:sz w:val="24"/>
          <w:szCs w:val="24"/>
        </w:rPr>
        <w:t>hypospermi</w:t>
      </w:r>
      <w:proofErr w:type="spellEnd"/>
      <w:r w:rsidRPr="00143528">
        <w:rPr>
          <w:sz w:val="24"/>
          <w:szCs w:val="24"/>
        </w:rPr>
        <w:t xml:space="preserve">, </w:t>
      </w:r>
      <w:proofErr w:type="spellStart"/>
      <w:r w:rsidRPr="00143528">
        <w:rPr>
          <w:sz w:val="24"/>
          <w:szCs w:val="24"/>
        </w:rPr>
        <w:t>intratubulært</w:t>
      </w:r>
      <w:proofErr w:type="spellEnd"/>
      <w:r w:rsidRPr="00143528">
        <w:rPr>
          <w:sz w:val="24"/>
          <w:szCs w:val="24"/>
        </w:rPr>
        <w:t xml:space="preserve"> celleaffald, lavere </w:t>
      </w:r>
      <w:proofErr w:type="spellStart"/>
      <w:r w:rsidRPr="00143528">
        <w:rPr>
          <w:sz w:val="24"/>
          <w:szCs w:val="24"/>
        </w:rPr>
        <w:t>spermmotilitet</w:t>
      </w:r>
      <w:proofErr w:type="spellEnd"/>
      <w:r w:rsidRPr="00143528">
        <w:rPr>
          <w:sz w:val="24"/>
          <w:szCs w:val="24"/>
        </w:rPr>
        <w:t xml:space="preserve"> og -tæthed og nedsat sekretion. Disse fund blev observeret hos rotter og/eller hunde ved eksponeringer på henholdsvis ≥ 9 gange eller subterapeutisk niveau sammenlignet med human klinisk eksponering baseret på AUC. Delvis reversibilitet af virkninger på forplantningsorganer blev observeret hos hanrotter og hanhunde efter en periode på henholdsvis 4 og 12 uger uden dosering. Trods disse fund på mandlige forplantningsorganer var der ingen påvirkning af parring eller fertilitet hos hanrotter ved forventede eksponeringsniveauer på 13 gange den kliniske humane eksponering baseret på AUC.</w:t>
      </w:r>
    </w:p>
    <w:p w14:paraId="6E4B619E" w14:textId="77777777" w:rsidR="00143528" w:rsidRPr="00143528" w:rsidRDefault="00143528" w:rsidP="00D33C41">
      <w:pPr>
        <w:ind w:left="851"/>
        <w:rPr>
          <w:sz w:val="24"/>
          <w:szCs w:val="24"/>
        </w:rPr>
      </w:pPr>
    </w:p>
    <w:p w14:paraId="5CECD2D9" w14:textId="77777777" w:rsidR="00143528" w:rsidRPr="00143528" w:rsidRDefault="00143528" w:rsidP="00D33C41">
      <w:pPr>
        <w:ind w:left="851"/>
        <w:rPr>
          <w:sz w:val="24"/>
          <w:szCs w:val="24"/>
          <w:u w:val="single"/>
        </w:rPr>
      </w:pPr>
      <w:r w:rsidRPr="00143528">
        <w:rPr>
          <w:sz w:val="24"/>
          <w:szCs w:val="24"/>
          <w:u w:val="single"/>
        </w:rPr>
        <w:t>Udviklingstoksicitet</w:t>
      </w:r>
    </w:p>
    <w:p w14:paraId="0461B0C4" w14:textId="77777777" w:rsidR="00143528" w:rsidRPr="00143528" w:rsidRDefault="00143528" w:rsidP="00D33C41">
      <w:pPr>
        <w:ind w:left="851"/>
        <w:rPr>
          <w:sz w:val="24"/>
          <w:szCs w:val="24"/>
          <w:u w:val="single"/>
        </w:rPr>
      </w:pPr>
    </w:p>
    <w:p w14:paraId="32C71231" w14:textId="77777777" w:rsidR="00143528" w:rsidRPr="00143528" w:rsidRDefault="00143528" w:rsidP="00D33C41">
      <w:pPr>
        <w:ind w:left="851"/>
        <w:rPr>
          <w:sz w:val="24"/>
          <w:szCs w:val="24"/>
        </w:rPr>
      </w:pPr>
      <w:proofErr w:type="spellStart"/>
      <w:r w:rsidRPr="00143528">
        <w:rPr>
          <w:sz w:val="24"/>
          <w:szCs w:val="24"/>
        </w:rPr>
        <w:t>Palbociclib</w:t>
      </w:r>
      <w:proofErr w:type="spellEnd"/>
      <w:r w:rsidRPr="00143528">
        <w:rPr>
          <w:sz w:val="24"/>
          <w:szCs w:val="24"/>
        </w:rPr>
        <w:t xml:space="preserve"> er en reversibel hæmmer af </w:t>
      </w:r>
      <w:proofErr w:type="spellStart"/>
      <w:r w:rsidRPr="00143528">
        <w:rPr>
          <w:sz w:val="24"/>
          <w:szCs w:val="24"/>
        </w:rPr>
        <w:t>cyclinafhængig</w:t>
      </w:r>
      <w:proofErr w:type="spellEnd"/>
      <w:r w:rsidRPr="00143528">
        <w:rPr>
          <w:sz w:val="24"/>
          <w:szCs w:val="24"/>
        </w:rPr>
        <w:t xml:space="preserve"> </w:t>
      </w:r>
      <w:proofErr w:type="spellStart"/>
      <w:r w:rsidRPr="00143528">
        <w:rPr>
          <w:sz w:val="24"/>
          <w:szCs w:val="24"/>
        </w:rPr>
        <w:t>kinase</w:t>
      </w:r>
      <w:proofErr w:type="spellEnd"/>
      <w:r w:rsidRPr="00143528">
        <w:rPr>
          <w:sz w:val="24"/>
          <w:szCs w:val="24"/>
        </w:rPr>
        <w:t xml:space="preserve"> 4 og 6, som begge er involverede i reguleringen af cellecyklussen. Der kan derfor være risiko for fosterskader ved anvendelse under graviditet. </w:t>
      </w:r>
      <w:proofErr w:type="spellStart"/>
      <w:r w:rsidRPr="00143528">
        <w:rPr>
          <w:sz w:val="24"/>
          <w:szCs w:val="24"/>
        </w:rPr>
        <w:t>Palbociclib</w:t>
      </w:r>
      <w:proofErr w:type="spellEnd"/>
      <w:r w:rsidRPr="00143528">
        <w:rPr>
          <w:sz w:val="24"/>
          <w:szCs w:val="24"/>
        </w:rPr>
        <w:t xml:space="preserve"> var </w:t>
      </w:r>
      <w:proofErr w:type="spellStart"/>
      <w:r w:rsidRPr="00143528">
        <w:rPr>
          <w:sz w:val="24"/>
          <w:szCs w:val="24"/>
        </w:rPr>
        <w:t>føtotoksisk</w:t>
      </w:r>
      <w:proofErr w:type="spellEnd"/>
      <w:r w:rsidRPr="00143528">
        <w:rPr>
          <w:sz w:val="24"/>
          <w:szCs w:val="24"/>
        </w:rPr>
        <w:t xml:space="preserve"> hos drægtige dyr. Der blev observeret en øget forekomst af en skeletvariation hos rotter (øget forekomst af et ribben ved den syvende halshvirvel) ved ≥ 100 mg/kg/dag. Der blev observeret reduceret fostervægt ved en toksisk </w:t>
      </w:r>
      <w:proofErr w:type="spellStart"/>
      <w:r w:rsidRPr="00143528">
        <w:rPr>
          <w:sz w:val="24"/>
          <w:szCs w:val="24"/>
        </w:rPr>
        <w:t>maternel</w:t>
      </w:r>
      <w:proofErr w:type="spellEnd"/>
      <w:r w:rsidRPr="00143528">
        <w:rPr>
          <w:sz w:val="24"/>
          <w:szCs w:val="24"/>
        </w:rPr>
        <w:t xml:space="preserve"> dosis på 300 mg/kg/dag hos rotter (3 gange den kliniske eksponering baseret på AUC), og en øget forekomst af skeletvariationer, herunder de små </w:t>
      </w:r>
      <w:proofErr w:type="spellStart"/>
      <w:r w:rsidRPr="00143528">
        <w:rPr>
          <w:sz w:val="24"/>
          <w:szCs w:val="24"/>
        </w:rPr>
        <w:t>falanges</w:t>
      </w:r>
      <w:proofErr w:type="spellEnd"/>
      <w:r w:rsidRPr="00143528">
        <w:rPr>
          <w:sz w:val="24"/>
          <w:szCs w:val="24"/>
        </w:rPr>
        <w:t xml:space="preserve"> i forbenene, ved en toksisk </w:t>
      </w:r>
      <w:proofErr w:type="spellStart"/>
      <w:r w:rsidRPr="00143528">
        <w:rPr>
          <w:sz w:val="24"/>
          <w:szCs w:val="24"/>
        </w:rPr>
        <w:t>maternel</w:t>
      </w:r>
      <w:proofErr w:type="spellEnd"/>
      <w:r w:rsidRPr="00143528">
        <w:rPr>
          <w:sz w:val="24"/>
          <w:szCs w:val="24"/>
        </w:rPr>
        <w:t xml:space="preserve"> dosis på 20 mg/kg/dag hos kaniner (4 gange den kliniske eksponering baseret på AUC). Faktisk </w:t>
      </w:r>
      <w:proofErr w:type="spellStart"/>
      <w:r w:rsidRPr="00143528">
        <w:rPr>
          <w:sz w:val="24"/>
          <w:szCs w:val="24"/>
        </w:rPr>
        <w:t>føtal</w:t>
      </w:r>
      <w:proofErr w:type="spellEnd"/>
      <w:r w:rsidRPr="00143528">
        <w:rPr>
          <w:sz w:val="24"/>
          <w:szCs w:val="24"/>
        </w:rPr>
        <w:t xml:space="preserve"> eksponering og placentapassage er ikke blevet undersøgt.</w:t>
      </w:r>
    </w:p>
    <w:p w14:paraId="1871F70D" w14:textId="77777777" w:rsidR="009260DE" w:rsidRPr="00D33C41" w:rsidRDefault="009260DE" w:rsidP="009260DE">
      <w:pPr>
        <w:tabs>
          <w:tab w:val="left" w:pos="851"/>
        </w:tabs>
        <w:ind w:left="851"/>
        <w:rPr>
          <w:sz w:val="24"/>
          <w:szCs w:val="24"/>
        </w:rPr>
      </w:pPr>
    </w:p>
    <w:p w14:paraId="671F64CB" w14:textId="77777777" w:rsidR="009260DE" w:rsidRPr="00D33C41" w:rsidRDefault="009260DE" w:rsidP="009260DE">
      <w:pPr>
        <w:tabs>
          <w:tab w:val="left" w:pos="851"/>
        </w:tabs>
        <w:ind w:left="851"/>
        <w:rPr>
          <w:sz w:val="24"/>
          <w:szCs w:val="24"/>
        </w:rPr>
      </w:pPr>
    </w:p>
    <w:p w14:paraId="3A6AACFE" w14:textId="77777777" w:rsidR="009260DE" w:rsidRPr="00D33C41" w:rsidRDefault="009260DE" w:rsidP="009260DE">
      <w:pPr>
        <w:tabs>
          <w:tab w:val="left" w:pos="851"/>
        </w:tabs>
        <w:ind w:left="851" w:hanging="851"/>
        <w:rPr>
          <w:b/>
          <w:sz w:val="24"/>
          <w:szCs w:val="24"/>
        </w:rPr>
      </w:pPr>
      <w:r w:rsidRPr="00D33C41">
        <w:rPr>
          <w:b/>
          <w:sz w:val="24"/>
          <w:szCs w:val="24"/>
        </w:rPr>
        <w:t>6.</w:t>
      </w:r>
      <w:r w:rsidRPr="00D33C41">
        <w:rPr>
          <w:b/>
          <w:sz w:val="24"/>
          <w:szCs w:val="24"/>
        </w:rPr>
        <w:tab/>
        <w:t>FARMACEUTISKE OPLYSNINGER</w:t>
      </w:r>
    </w:p>
    <w:p w14:paraId="297B5FAC" w14:textId="77777777" w:rsidR="009260DE" w:rsidRPr="00D33C41" w:rsidRDefault="009260DE" w:rsidP="009260DE">
      <w:pPr>
        <w:tabs>
          <w:tab w:val="left" w:pos="851"/>
        </w:tabs>
        <w:ind w:left="851"/>
        <w:rPr>
          <w:sz w:val="24"/>
          <w:szCs w:val="24"/>
        </w:rPr>
      </w:pPr>
    </w:p>
    <w:p w14:paraId="7D120353" w14:textId="77777777" w:rsidR="009260DE" w:rsidRPr="00D33C41" w:rsidRDefault="009260DE" w:rsidP="009260DE">
      <w:pPr>
        <w:tabs>
          <w:tab w:val="left" w:pos="851"/>
        </w:tabs>
        <w:ind w:left="851" w:hanging="851"/>
        <w:rPr>
          <w:b/>
          <w:sz w:val="24"/>
          <w:szCs w:val="24"/>
        </w:rPr>
      </w:pPr>
      <w:r w:rsidRPr="00D33C41">
        <w:rPr>
          <w:b/>
          <w:sz w:val="24"/>
          <w:szCs w:val="24"/>
        </w:rPr>
        <w:t>6.1</w:t>
      </w:r>
      <w:r w:rsidRPr="00D33C41">
        <w:rPr>
          <w:b/>
          <w:sz w:val="24"/>
          <w:szCs w:val="24"/>
        </w:rPr>
        <w:tab/>
        <w:t>Hjælpestoffer</w:t>
      </w:r>
    </w:p>
    <w:p w14:paraId="36955235" w14:textId="77777777" w:rsidR="008C4640" w:rsidRDefault="008C4640" w:rsidP="00D33C41">
      <w:pPr>
        <w:ind w:left="851"/>
        <w:rPr>
          <w:sz w:val="24"/>
          <w:szCs w:val="24"/>
          <w:u w:val="single"/>
        </w:rPr>
      </w:pPr>
    </w:p>
    <w:p w14:paraId="14CCFB3A" w14:textId="648DFFA5" w:rsidR="00143528" w:rsidRPr="00143528" w:rsidRDefault="00143528" w:rsidP="00D33C41">
      <w:pPr>
        <w:ind w:left="851"/>
        <w:rPr>
          <w:sz w:val="24"/>
          <w:szCs w:val="24"/>
          <w:u w:val="single"/>
        </w:rPr>
      </w:pPr>
      <w:r w:rsidRPr="00143528">
        <w:rPr>
          <w:sz w:val="24"/>
          <w:szCs w:val="24"/>
          <w:u w:val="single"/>
        </w:rPr>
        <w:t>Tabletkerne</w:t>
      </w:r>
    </w:p>
    <w:p w14:paraId="10BF73D9" w14:textId="77777777" w:rsidR="00143528" w:rsidRPr="003A454E" w:rsidRDefault="00143528" w:rsidP="00D33C41">
      <w:pPr>
        <w:ind w:left="851"/>
        <w:rPr>
          <w:sz w:val="24"/>
          <w:szCs w:val="24"/>
        </w:rPr>
      </w:pPr>
      <w:proofErr w:type="spellStart"/>
      <w:r w:rsidRPr="003A454E">
        <w:rPr>
          <w:sz w:val="24"/>
          <w:szCs w:val="24"/>
        </w:rPr>
        <w:t>Microkrystallinsk</w:t>
      </w:r>
      <w:proofErr w:type="spellEnd"/>
      <w:r w:rsidRPr="003A454E">
        <w:rPr>
          <w:sz w:val="24"/>
          <w:szCs w:val="24"/>
        </w:rPr>
        <w:t xml:space="preserve"> cellulose</w:t>
      </w:r>
    </w:p>
    <w:p w14:paraId="1BCC1903" w14:textId="77777777" w:rsidR="00143528" w:rsidRPr="003A454E" w:rsidRDefault="00143528" w:rsidP="00D33C41">
      <w:pPr>
        <w:ind w:left="851"/>
        <w:rPr>
          <w:sz w:val="24"/>
          <w:szCs w:val="24"/>
        </w:rPr>
      </w:pPr>
      <w:r w:rsidRPr="003A454E">
        <w:rPr>
          <w:sz w:val="24"/>
          <w:szCs w:val="24"/>
        </w:rPr>
        <w:t xml:space="preserve">Vandfri kolloid </w:t>
      </w:r>
      <w:proofErr w:type="spellStart"/>
      <w:r w:rsidRPr="003A454E">
        <w:rPr>
          <w:sz w:val="24"/>
          <w:szCs w:val="24"/>
        </w:rPr>
        <w:t>silica</w:t>
      </w:r>
      <w:proofErr w:type="spellEnd"/>
    </w:p>
    <w:p w14:paraId="7FE83F02" w14:textId="77777777" w:rsidR="00143528" w:rsidRPr="00143528" w:rsidRDefault="00143528" w:rsidP="00D33C41">
      <w:pPr>
        <w:ind w:left="851"/>
        <w:rPr>
          <w:sz w:val="24"/>
          <w:szCs w:val="24"/>
          <w:lang w:val="en-US"/>
        </w:rPr>
      </w:pPr>
      <w:proofErr w:type="spellStart"/>
      <w:r w:rsidRPr="00143528">
        <w:rPr>
          <w:sz w:val="24"/>
          <w:szCs w:val="24"/>
          <w:lang w:val="en-US"/>
        </w:rPr>
        <w:t>Crospovidon</w:t>
      </w:r>
      <w:proofErr w:type="spellEnd"/>
    </w:p>
    <w:p w14:paraId="0BC63567" w14:textId="77777777" w:rsidR="00143528" w:rsidRPr="00143528" w:rsidRDefault="00143528" w:rsidP="00D33C41">
      <w:pPr>
        <w:ind w:left="851"/>
        <w:rPr>
          <w:sz w:val="24"/>
          <w:szCs w:val="24"/>
          <w:lang w:val="en-US"/>
        </w:rPr>
      </w:pPr>
      <w:proofErr w:type="spellStart"/>
      <w:r w:rsidRPr="00143528">
        <w:rPr>
          <w:sz w:val="24"/>
          <w:szCs w:val="24"/>
          <w:lang w:val="en-US"/>
        </w:rPr>
        <w:t>Magnesiumstearat</w:t>
      </w:r>
      <w:proofErr w:type="spellEnd"/>
    </w:p>
    <w:p w14:paraId="4DFB65B1" w14:textId="77777777" w:rsidR="00143528" w:rsidRPr="00143528" w:rsidRDefault="00143528" w:rsidP="00D33C41">
      <w:pPr>
        <w:ind w:left="851"/>
        <w:rPr>
          <w:sz w:val="24"/>
          <w:szCs w:val="24"/>
          <w:lang w:val="en-US"/>
        </w:rPr>
      </w:pPr>
      <w:proofErr w:type="spellStart"/>
      <w:r w:rsidRPr="00143528">
        <w:rPr>
          <w:sz w:val="24"/>
          <w:szCs w:val="24"/>
          <w:lang w:val="en-US"/>
        </w:rPr>
        <w:t>Gluconolacton</w:t>
      </w:r>
      <w:proofErr w:type="spellEnd"/>
    </w:p>
    <w:p w14:paraId="407916C2" w14:textId="77777777" w:rsidR="00143528" w:rsidRPr="00143528" w:rsidRDefault="00143528" w:rsidP="00D33C41">
      <w:pPr>
        <w:ind w:left="851"/>
        <w:rPr>
          <w:sz w:val="24"/>
          <w:szCs w:val="24"/>
          <w:lang w:val="en-US"/>
        </w:rPr>
      </w:pPr>
      <w:proofErr w:type="spellStart"/>
      <w:r w:rsidRPr="00143528">
        <w:rPr>
          <w:sz w:val="24"/>
          <w:szCs w:val="24"/>
          <w:lang w:val="en-US"/>
        </w:rPr>
        <w:t>Glutaminsyre</w:t>
      </w:r>
      <w:proofErr w:type="spellEnd"/>
    </w:p>
    <w:p w14:paraId="006AFA0E" w14:textId="77777777" w:rsidR="00143528" w:rsidRPr="00143528" w:rsidRDefault="00143528" w:rsidP="00D33C41">
      <w:pPr>
        <w:ind w:left="851"/>
        <w:rPr>
          <w:sz w:val="24"/>
          <w:szCs w:val="24"/>
          <w:lang w:val="en-US"/>
        </w:rPr>
      </w:pPr>
    </w:p>
    <w:p w14:paraId="23079BF1" w14:textId="77777777" w:rsidR="00143528" w:rsidRPr="00143528" w:rsidRDefault="00143528" w:rsidP="00D33C41">
      <w:pPr>
        <w:ind w:left="851"/>
        <w:rPr>
          <w:sz w:val="24"/>
          <w:szCs w:val="24"/>
          <w:u w:val="single"/>
          <w:lang w:val="en-US"/>
        </w:rPr>
      </w:pPr>
      <w:proofErr w:type="spellStart"/>
      <w:r w:rsidRPr="00143528">
        <w:rPr>
          <w:sz w:val="24"/>
          <w:szCs w:val="24"/>
          <w:u w:val="single"/>
          <w:lang w:val="en-US"/>
        </w:rPr>
        <w:t>Filmovertræk</w:t>
      </w:r>
      <w:proofErr w:type="spellEnd"/>
    </w:p>
    <w:p w14:paraId="00AFED45" w14:textId="77777777" w:rsidR="00143528" w:rsidRPr="00143528" w:rsidRDefault="00143528" w:rsidP="00D33C41">
      <w:pPr>
        <w:ind w:left="851"/>
        <w:rPr>
          <w:sz w:val="24"/>
          <w:szCs w:val="24"/>
          <w:lang w:val="en-US"/>
        </w:rPr>
      </w:pPr>
      <w:r w:rsidRPr="00143528">
        <w:rPr>
          <w:sz w:val="24"/>
          <w:szCs w:val="24"/>
          <w:lang w:val="en-US"/>
        </w:rPr>
        <w:t>Hypromellose (E464)</w:t>
      </w:r>
    </w:p>
    <w:p w14:paraId="782E1980" w14:textId="77777777" w:rsidR="00143528" w:rsidRPr="00143528" w:rsidRDefault="00143528" w:rsidP="00D33C41">
      <w:pPr>
        <w:ind w:left="851"/>
        <w:rPr>
          <w:sz w:val="24"/>
          <w:szCs w:val="24"/>
          <w:lang w:val="en-US"/>
        </w:rPr>
      </w:pPr>
      <w:proofErr w:type="spellStart"/>
      <w:r w:rsidRPr="00143528">
        <w:rPr>
          <w:sz w:val="24"/>
          <w:szCs w:val="24"/>
          <w:lang w:val="en-US"/>
        </w:rPr>
        <w:t>Titandioxid</w:t>
      </w:r>
      <w:proofErr w:type="spellEnd"/>
      <w:r w:rsidRPr="00143528">
        <w:rPr>
          <w:sz w:val="24"/>
          <w:szCs w:val="24"/>
          <w:lang w:val="en-US"/>
        </w:rPr>
        <w:t xml:space="preserve"> (E171)</w:t>
      </w:r>
    </w:p>
    <w:p w14:paraId="1B952E80" w14:textId="77777777" w:rsidR="00143528" w:rsidRPr="00143528" w:rsidRDefault="00143528" w:rsidP="00D33C41">
      <w:pPr>
        <w:ind w:left="851"/>
        <w:rPr>
          <w:sz w:val="24"/>
          <w:szCs w:val="24"/>
          <w:lang w:val="en-US"/>
        </w:rPr>
      </w:pPr>
      <w:r w:rsidRPr="00143528">
        <w:rPr>
          <w:sz w:val="24"/>
          <w:szCs w:val="24"/>
          <w:lang w:val="en-US"/>
        </w:rPr>
        <w:t>Triacetin</w:t>
      </w:r>
    </w:p>
    <w:p w14:paraId="4525B233" w14:textId="77777777" w:rsidR="00143528" w:rsidRPr="00143528" w:rsidRDefault="00143528" w:rsidP="00D33C41">
      <w:pPr>
        <w:ind w:left="851"/>
        <w:rPr>
          <w:sz w:val="24"/>
          <w:szCs w:val="24"/>
          <w:lang w:val="en-US"/>
        </w:rPr>
      </w:pPr>
      <w:r w:rsidRPr="00143528">
        <w:rPr>
          <w:sz w:val="24"/>
          <w:szCs w:val="24"/>
          <w:lang w:val="en-US"/>
        </w:rPr>
        <w:t>Indigotin (E132)</w:t>
      </w:r>
    </w:p>
    <w:p w14:paraId="5232363A" w14:textId="77777777" w:rsidR="00143528" w:rsidRPr="003A454E" w:rsidRDefault="00143528" w:rsidP="00D33C41">
      <w:pPr>
        <w:ind w:left="851"/>
        <w:rPr>
          <w:sz w:val="24"/>
          <w:szCs w:val="24"/>
        </w:rPr>
      </w:pPr>
      <w:r w:rsidRPr="003A454E">
        <w:rPr>
          <w:sz w:val="24"/>
          <w:szCs w:val="24"/>
        </w:rPr>
        <w:t>Jernoxid, rød (E172) (kun 75 mg og 125 mg tabletter)</w:t>
      </w:r>
    </w:p>
    <w:p w14:paraId="6B5737E5" w14:textId="77777777" w:rsidR="00143528" w:rsidRPr="00143528" w:rsidRDefault="00143528" w:rsidP="00D33C41">
      <w:pPr>
        <w:ind w:left="851"/>
        <w:rPr>
          <w:sz w:val="24"/>
          <w:szCs w:val="24"/>
        </w:rPr>
      </w:pPr>
      <w:r w:rsidRPr="00143528">
        <w:rPr>
          <w:sz w:val="24"/>
          <w:szCs w:val="24"/>
        </w:rPr>
        <w:t>Jernoxid, gul (E172) (kun 100 mg tabletter)</w:t>
      </w:r>
    </w:p>
    <w:p w14:paraId="77A0F0CD" w14:textId="77777777" w:rsidR="009260DE" w:rsidRPr="00D33C41" w:rsidRDefault="009260DE" w:rsidP="009260DE">
      <w:pPr>
        <w:tabs>
          <w:tab w:val="left" w:pos="851"/>
        </w:tabs>
        <w:ind w:left="851"/>
        <w:rPr>
          <w:sz w:val="24"/>
          <w:szCs w:val="24"/>
        </w:rPr>
      </w:pPr>
    </w:p>
    <w:p w14:paraId="7442DD82" w14:textId="77777777" w:rsidR="009260DE" w:rsidRPr="00D33C41" w:rsidRDefault="009260DE" w:rsidP="009260DE">
      <w:pPr>
        <w:tabs>
          <w:tab w:val="left" w:pos="851"/>
        </w:tabs>
        <w:ind w:left="851" w:hanging="851"/>
        <w:rPr>
          <w:b/>
          <w:sz w:val="24"/>
          <w:szCs w:val="24"/>
        </w:rPr>
      </w:pPr>
      <w:r w:rsidRPr="00D33C41">
        <w:rPr>
          <w:b/>
          <w:sz w:val="24"/>
          <w:szCs w:val="24"/>
        </w:rPr>
        <w:t>6.2</w:t>
      </w:r>
      <w:r w:rsidRPr="00D33C41">
        <w:rPr>
          <w:b/>
          <w:sz w:val="24"/>
          <w:szCs w:val="24"/>
        </w:rPr>
        <w:tab/>
        <w:t>Uforligeligheder</w:t>
      </w:r>
    </w:p>
    <w:p w14:paraId="1D8E9AA6" w14:textId="77777777" w:rsidR="00143528" w:rsidRPr="00143528" w:rsidRDefault="00143528" w:rsidP="00D33C41">
      <w:pPr>
        <w:ind w:left="851"/>
        <w:rPr>
          <w:sz w:val="24"/>
          <w:szCs w:val="24"/>
        </w:rPr>
      </w:pPr>
      <w:r w:rsidRPr="00143528">
        <w:rPr>
          <w:sz w:val="24"/>
          <w:szCs w:val="24"/>
        </w:rPr>
        <w:t>Ikke relevant.</w:t>
      </w:r>
    </w:p>
    <w:p w14:paraId="4F4213D0" w14:textId="77777777" w:rsidR="009260DE" w:rsidRPr="00D33C41" w:rsidRDefault="009260DE" w:rsidP="009260DE">
      <w:pPr>
        <w:tabs>
          <w:tab w:val="left" w:pos="851"/>
        </w:tabs>
        <w:ind w:left="851"/>
        <w:rPr>
          <w:sz w:val="24"/>
          <w:szCs w:val="24"/>
        </w:rPr>
      </w:pPr>
    </w:p>
    <w:p w14:paraId="34FEF46B" w14:textId="77777777" w:rsidR="009260DE" w:rsidRPr="00D33C41" w:rsidRDefault="009260DE" w:rsidP="009260DE">
      <w:pPr>
        <w:tabs>
          <w:tab w:val="left" w:pos="851"/>
        </w:tabs>
        <w:ind w:left="851" w:hanging="851"/>
        <w:rPr>
          <w:b/>
          <w:sz w:val="24"/>
          <w:szCs w:val="24"/>
        </w:rPr>
      </w:pPr>
      <w:r w:rsidRPr="00D33C41">
        <w:rPr>
          <w:b/>
          <w:sz w:val="24"/>
          <w:szCs w:val="24"/>
        </w:rPr>
        <w:t>6.3</w:t>
      </w:r>
      <w:r w:rsidRPr="00D33C41">
        <w:rPr>
          <w:b/>
          <w:sz w:val="24"/>
          <w:szCs w:val="24"/>
        </w:rPr>
        <w:tab/>
        <w:t>Opbevaringstid</w:t>
      </w:r>
    </w:p>
    <w:p w14:paraId="332B2CDD" w14:textId="77777777" w:rsidR="00143528" w:rsidRPr="00143528" w:rsidRDefault="00143528" w:rsidP="00D33C41">
      <w:pPr>
        <w:ind w:left="851"/>
        <w:rPr>
          <w:sz w:val="24"/>
          <w:szCs w:val="24"/>
        </w:rPr>
      </w:pPr>
      <w:r w:rsidRPr="00143528">
        <w:rPr>
          <w:sz w:val="24"/>
          <w:szCs w:val="24"/>
        </w:rPr>
        <w:t>30 måneder</w:t>
      </w:r>
    </w:p>
    <w:p w14:paraId="21CB770C" w14:textId="77777777" w:rsidR="009260DE" w:rsidRPr="00D33C41" w:rsidRDefault="009260DE" w:rsidP="009260DE">
      <w:pPr>
        <w:tabs>
          <w:tab w:val="left" w:pos="851"/>
        </w:tabs>
        <w:ind w:left="851"/>
        <w:rPr>
          <w:sz w:val="24"/>
          <w:szCs w:val="24"/>
        </w:rPr>
      </w:pPr>
    </w:p>
    <w:p w14:paraId="15A2D750" w14:textId="77777777" w:rsidR="009260DE" w:rsidRPr="00D33C41" w:rsidRDefault="009260DE" w:rsidP="009260DE">
      <w:pPr>
        <w:tabs>
          <w:tab w:val="left" w:pos="851"/>
        </w:tabs>
        <w:ind w:left="851" w:hanging="851"/>
        <w:rPr>
          <w:b/>
          <w:sz w:val="24"/>
          <w:szCs w:val="24"/>
        </w:rPr>
      </w:pPr>
      <w:r w:rsidRPr="00D33C41">
        <w:rPr>
          <w:b/>
          <w:sz w:val="24"/>
          <w:szCs w:val="24"/>
        </w:rPr>
        <w:t>6.4</w:t>
      </w:r>
      <w:r w:rsidRPr="00D33C41">
        <w:rPr>
          <w:b/>
          <w:sz w:val="24"/>
          <w:szCs w:val="24"/>
        </w:rPr>
        <w:tab/>
        <w:t>Særlige opbevaringsforhold</w:t>
      </w:r>
    </w:p>
    <w:p w14:paraId="6C8E3D8B" w14:textId="77777777" w:rsidR="00143528" w:rsidRPr="00143528" w:rsidRDefault="00143528" w:rsidP="00D33C41">
      <w:pPr>
        <w:ind w:left="851"/>
        <w:rPr>
          <w:sz w:val="24"/>
          <w:szCs w:val="24"/>
        </w:rPr>
      </w:pPr>
      <w:r w:rsidRPr="00143528">
        <w:rPr>
          <w:sz w:val="24"/>
          <w:szCs w:val="24"/>
        </w:rPr>
        <w:t>Dette lægemiddel kræver ingen særlige forholdsregler vedrørende opbevaringen.</w:t>
      </w:r>
    </w:p>
    <w:p w14:paraId="3AB86B5A" w14:textId="77777777" w:rsidR="009260DE" w:rsidRPr="00D33C41" w:rsidRDefault="009260DE" w:rsidP="009260DE">
      <w:pPr>
        <w:tabs>
          <w:tab w:val="left" w:pos="851"/>
        </w:tabs>
        <w:ind w:left="851"/>
        <w:rPr>
          <w:sz w:val="24"/>
          <w:szCs w:val="24"/>
        </w:rPr>
      </w:pPr>
    </w:p>
    <w:p w14:paraId="4FFB1ED5" w14:textId="77777777" w:rsidR="009260DE" w:rsidRPr="00D33C41" w:rsidRDefault="009260DE" w:rsidP="009260DE">
      <w:pPr>
        <w:tabs>
          <w:tab w:val="left" w:pos="851"/>
        </w:tabs>
        <w:ind w:left="851" w:hanging="851"/>
        <w:rPr>
          <w:b/>
          <w:sz w:val="24"/>
          <w:szCs w:val="24"/>
        </w:rPr>
      </w:pPr>
      <w:r w:rsidRPr="00D33C41">
        <w:rPr>
          <w:b/>
          <w:sz w:val="24"/>
          <w:szCs w:val="24"/>
        </w:rPr>
        <w:t>6.5</w:t>
      </w:r>
      <w:r w:rsidRPr="00D33C41">
        <w:rPr>
          <w:b/>
          <w:sz w:val="24"/>
          <w:szCs w:val="24"/>
        </w:rPr>
        <w:tab/>
        <w:t>Emballagetype og pakningsstørrelser</w:t>
      </w:r>
    </w:p>
    <w:p w14:paraId="2A729E33" w14:textId="77777777" w:rsidR="00143528" w:rsidRPr="00143528" w:rsidRDefault="00143528" w:rsidP="00D33C41">
      <w:pPr>
        <w:ind w:left="851"/>
        <w:rPr>
          <w:sz w:val="24"/>
          <w:szCs w:val="24"/>
        </w:rPr>
      </w:pPr>
      <w:r w:rsidRPr="00143528">
        <w:rPr>
          <w:sz w:val="24"/>
          <w:szCs w:val="24"/>
        </w:rPr>
        <w:t>OPA/Al/PVC/Al blister. Hver æske indeholder 21 filmovertrukne tabletter eller 63 filmovertrukne tabletter.</w:t>
      </w:r>
    </w:p>
    <w:p w14:paraId="0A2BDB87" w14:textId="77777777" w:rsidR="00143528" w:rsidRPr="00143528" w:rsidRDefault="00143528" w:rsidP="00D33C41">
      <w:pPr>
        <w:ind w:left="851"/>
        <w:rPr>
          <w:sz w:val="24"/>
          <w:szCs w:val="24"/>
        </w:rPr>
      </w:pPr>
    </w:p>
    <w:p w14:paraId="4F918B15" w14:textId="77777777" w:rsidR="00143528" w:rsidRPr="00143528" w:rsidRDefault="00143528" w:rsidP="00D33C41">
      <w:pPr>
        <w:ind w:left="851"/>
        <w:rPr>
          <w:sz w:val="24"/>
          <w:szCs w:val="24"/>
        </w:rPr>
      </w:pPr>
      <w:r w:rsidRPr="00143528">
        <w:rPr>
          <w:sz w:val="24"/>
          <w:szCs w:val="24"/>
        </w:rPr>
        <w:t>Ikke alle pakningsstørrelser er nødvendigvis markedsført.</w:t>
      </w:r>
    </w:p>
    <w:p w14:paraId="31776592" w14:textId="77777777" w:rsidR="009260DE" w:rsidRPr="00D33C41" w:rsidRDefault="009260DE" w:rsidP="009260DE">
      <w:pPr>
        <w:tabs>
          <w:tab w:val="left" w:pos="851"/>
        </w:tabs>
        <w:ind w:left="851"/>
        <w:rPr>
          <w:sz w:val="24"/>
          <w:szCs w:val="24"/>
        </w:rPr>
      </w:pPr>
    </w:p>
    <w:p w14:paraId="4C8061FD" w14:textId="77777777" w:rsidR="009260DE" w:rsidRPr="00D33C41" w:rsidRDefault="009260DE" w:rsidP="009260DE">
      <w:pPr>
        <w:tabs>
          <w:tab w:val="left" w:pos="851"/>
        </w:tabs>
        <w:ind w:left="851" w:hanging="851"/>
        <w:rPr>
          <w:b/>
          <w:sz w:val="24"/>
          <w:szCs w:val="24"/>
        </w:rPr>
      </w:pPr>
      <w:r w:rsidRPr="00D33C41">
        <w:rPr>
          <w:b/>
          <w:sz w:val="24"/>
          <w:szCs w:val="24"/>
        </w:rPr>
        <w:t>6.6</w:t>
      </w:r>
      <w:r w:rsidRPr="00D33C41">
        <w:rPr>
          <w:b/>
          <w:sz w:val="24"/>
          <w:szCs w:val="24"/>
        </w:rPr>
        <w:tab/>
        <w:t xml:space="preserve">Regler for </w:t>
      </w:r>
      <w:r w:rsidR="00BD7931" w:rsidRPr="00D33C41">
        <w:rPr>
          <w:b/>
          <w:sz w:val="24"/>
          <w:szCs w:val="24"/>
        </w:rPr>
        <w:t>bortskaffelse</w:t>
      </w:r>
      <w:r w:rsidRPr="00D33C41">
        <w:rPr>
          <w:b/>
          <w:sz w:val="24"/>
          <w:szCs w:val="24"/>
        </w:rPr>
        <w:t xml:space="preserve"> og anden håndtering</w:t>
      </w:r>
    </w:p>
    <w:p w14:paraId="2BA350A6" w14:textId="77777777" w:rsidR="00143528" w:rsidRPr="00143528" w:rsidRDefault="00143528" w:rsidP="00D33C41">
      <w:pPr>
        <w:ind w:left="851"/>
        <w:rPr>
          <w:sz w:val="24"/>
          <w:szCs w:val="24"/>
        </w:rPr>
      </w:pPr>
      <w:r w:rsidRPr="00143528">
        <w:rPr>
          <w:sz w:val="24"/>
          <w:szCs w:val="24"/>
        </w:rPr>
        <w:t>Ikke anvendt lægemiddel samt affald heraf skal bortskaffes i henhold til lokale retningslinjer.</w:t>
      </w:r>
    </w:p>
    <w:p w14:paraId="3BDEC3F8" w14:textId="77777777" w:rsidR="009260DE" w:rsidRPr="00D33C41" w:rsidRDefault="009260DE" w:rsidP="000730CA">
      <w:pPr>
        <w:tabs>
          <w:tab w:val="left" w:pos="851"/>
        </w:tabs>
        <w:ind w:left="851"/>
        <w:rPr>
          <w:sz w:val="24"/>
          <w:szCs w:val="24"/>
        </w:rPr>
      </w:pPr>
    </w:p>
    <w:p w14:paraId="6C10C44D" w14:textId="77777777" w:rsidR="009260DE" w:rsidRPr="00D33C41" w:rsidRDefault="009260DE" w:rsidP="009260DE">
      <w:pPr>
        <w:tabs>
          <w:tab w:val="left" w:pos="851"/>
        </w:tabs>
        <w:ind w:left="851" w:hanging="851"/>
        <w:rPr>
          <w:b/>
          <w:sz w:val="24"/>
          <w:szCs w:val="24"/>
        </w:rPr>
      </w:pPr>
      <w:r w:rsidRPr="00D33C41">
        <w:rPr>
          <w:b/>
          <w:sz w:val="24"/>
          <w:szCs w:val="24"/>
        </w:rPr>
        <w:t>7.</w:t>
      </w:r>
      <w:r w:rsidRPr="00D33C41">
        <w:rPr>
          <w:b/>
          <w:sz w:val="24"/>
          <w:szCs w:val="24"/>
        </w:rPr>
        <w:tab/>
        <w:t>INDEHAVER AF MARKEDSFØRINGSTILLADELSEN</w:t>
      </w:r>
    </w:p>
    <w:p w14:paraId="7C954032" w14:textId="77777777" w:rsidR="00143528" w:rsidRPr="00143528" w:rsidRDefault="00143528" w:rsidP="00D33C41">
      <w:pPr>
        <w:ind w:left="851"/>
        <w:rPr>
          <w:sz w:val="24"/>
          <w:szCs w:val="24"/>
        </w:rPr>
      </w:pPr>
      <w:proofErr w:type="spellStart"/>
      <w:r w:rsidRPr="00143528">
        <w:rPr>
          <w:sz w:val="24"/>
          <w:szCs w:val="24"/>
        </w:rPr>
        <w:t>Newbury</w:t>
      </w:r>
      <w:proofErr w:type="spellEnd"/>
      <w:r w:rsidRPr="00143528">
        <w:rPr>
          <w:sz w:val="24"/>
          <w:szCs w:val="24"/>
        </w:rPr>
        <w:t xml:space="preserve"> Pharmaceuticals AB</w:t>
      </w:r>
    </w:p>
    <w:p w14:paraId="04CCB468" w14:textId="77777777" w:rsidR="00143528" w:rsidRPr="00143528" w:rsidRDefault="00143528" w:rsidP="00D33C41">
      <w:pPr>
        <w:ind w:left="851"/>
        <w:rPr>
          <w:sz w:val="24"/>
          <w:szCs w:val="24"/>
        </w:rPr>
      </w:pPr>
      <w:r w:rsidRPr="00143528">
        <w:rPr>
          <w:sz w:val="24"/>
          <w:szCs w:val="24"/>
        </w:rPr>
        <w:t xml:space="preserve">Medicon </w:t>
      </w:r>
      <w:proofErr w:type="spellStart"/>
      <w:r w:rsidRPr="00143528">
        <w:rPr>
          <w:sz w:val="24"/>
          <w:szCs w:val="24"/>
        </w:rPr>
        <w:t>Village</w:t>
      </w:r>
      <w:proofErr w:type="spellEnd"/>
    </w:p>
    <w:p w14:paraId="3C319F2C" w14:textId="77777777" w:rsidR="00143528" w:rsidRPr="00143528" w:rsidRDefault="00143528" w:rsidP="00D33C41">
      <w:pPr>
        <w:ind w:left="851"/>
        <w:rPr>
          <w:sz w:val="24"/>
          <w:szCs w:val="24"/>
        </w:rPr>
      </w:pPr>
      <w:r w:rsidRPr="00143528">
        <w:rPr>
          <w:sz w:val="24"/>
          <w:szCs w:val="24"/>
        </w:rPr>
        <w:t>223 81 Lund</w:t>
      </w:r>
    </w:p>
    <w:p w14:paraId="56B426F6" w14:textId="77777777" w:rsidR="00143528" w:rsidRPr="00143528" w:rsidRDefault="00143528" w:rsidP="00D33C41">
      <w:pPr>
        <w:ind w:left="851"/>
        <w:rPr>
          <w:sz w:val="24"/>
          <w:szCs w:val="24"/>
        </w:rPr>
      </w:pPr>
      <w:r w:rsidRPr="00143528">
        <w:rPr>
          <w:sz w:val="24"/>
          <w:szCs w:val="24"/>
        </w:rPr>
        <w:t>Sverige</w:t>
      </w:r>
    </w:p>
    <w:p w14:paraId="5E8D3A85" w14:textId="77777777" w:rsidR="00641C65" w:rsidRPr="00D33C41" w:rsidRDefault="00641C65" w:rsidP="009260DE">
      <w:pPr>
        <w:tabs>
          <w:tab w:val="left" w:pos="851"/>
        </w:tabs>
        <w:ind w:left="851"/>
        <w:rPr>
          <w:sz w:val="24"/>
          <w:szCs w:val="24"/>
        </w:rPr>
      </w:pPr>
    </w:p>
    <w:p w14:paraId="6B0AEAF0" w14:textId="77777777" w:rsidR="009260DE" w:rsidRPr="00D33C41" w:rsidRDefault="009260DE" w:rsidP="009260DE">
      <w:pPr>
        <w:tabs>
          <w:tab w:val="left" w:pos="851"/>
        </w:tabs>
        <w:ind w:left="851" w:hanging="851"/>
        <w:rPr>
          <w:b/>
          <w:sz w:val="24"/>
          <w:szCs w:val="24"/>
        </w:rPr>
      </w:pPr>
      <w:r w:rsidRPr="00D33C41">
        <w:rPr>
          <w:b/>
          <w:sz w:val="24"/>
          <w:szCs w:val="24"/>
        </w:rPr>
        <w:t>8.</w:t>
      </w:r>
      <w:r w:rsidRPr="00D33C41">
        <w:rPr>
          <w:b/>
          <w:sz w:val="24"/>
          <w:szCs w:val="24"/>
        </w:rPr>
        <w:tab/>
        <w:t>MARKEDSFØRINGSTILLADELSESNUMMER (</w:t>
      </w:r>
      <w:r w:rsidR="00BF6243" w:rsidRPr="00D33C41">
        <w:rPr>
          <w:b/>
          <w:sz w:val="24"/>
          <w:szCs w:val="24"/>
        </w:rPr>
        <w:t>-</w:t>
      </w:r>
      <w:r w:rsidRPr="00D33C41">
        <w:rPr>
          <w:b/>
          <w:sz w:val="24"/>
          <w:szCs w:val="24"/>
        </w:rPr>
        <w:t>NUMRE)</w:t>
      </w:r>
    </w:p>
    <w:p w14:paraId="483639EB" w14:textId="4D6EA8B7" w:rsidR="00143528" w:rsidRPr="00143528" w:rsidRDefault="00143528" w:rsidP="00D33C41">
      <w:pPr>
        <w:tabs>
          <w:tab w:val="left" w:pos="851"/>
          <w:tab w:val="left" w:pos="1985"/>
        </w:tabs>
        <w:ind w:left="851"/>
        <w:jc w:val="both"/>
        <w:rPr>
          <w:sz w:val="24"/>
          <w:szCs w:val="24"/>
        </w:rPr>
      </w:pPr>
      <w:r w:rsidRPr="00143528">
        <w:rPr>
          <w:sz w:val="24"/>
          <w:szCs w:val="24"/>
        </w:rPr>
        <w:t xml:space="preserve">75 mg: </w:t>
      </w:r>
      <w:r w:rsidR="00D33C41">
        <w:rPr>
          <w:sz w:val="24"/>
          <w:szCs w:val="24"/>
        </w:rPr>
        <w:tab/>
      </w:r>
      <w:r w:rsidRPr="00143528">
        <w:rPr>
          <w:sz w:val="24"/>
          <w:szCs w:val="24"/>
        </w:rPr>
        <w:t>73681</w:t>
      </w:r>
    </w:p>
    <w:p w14:paraId="6358CA41" w14:textId="294B603B" w:rsidR="00143528" w:rsidRPr="00143528" w:rsidRDefault="00143528" w:rsidP="00D33C41">
      <w:pPr>
        <w:tabs>
          <w:tab w:val="left" w:pos="851"/>
          <w:tab w:val="left" w:pos="1985"/>
        </w:tabs>
        <w:ind w:left="851"/>
        <w:jc w:val="both"/>
        <w:rPr>
          <w:sz w:val="24"/>
          <w:szCs w:val="24"/>
        </w:rPr>
      </w:pPr>
      <w:r w:rsidRPr="00143528">
        <w:rPr>
          <w:sz w:val="24"/>
          <w:szCs w:val="24"/>
        </w:rPr>
        <w:t xml:space="preserve">100 mg: </w:t>
      </w:r>
      <w:r w:rsidR="00D33C41">
        <w:rPr>
          <w:sz w:val="24"/>
          <w:szCs w:val="24"/>
        </w:rPr>
        <w:tab/>
      </w:r>
      <w:r w:rsidRPr="00143528">
        <w:rPr>
          <w:sz w:val="24"/>
          <w:szCs w:val="24"/>
        </w:rPr>
        <w:t>7368</w:t>
      </w:r>
      <w:r w:rsidR="00283E1B" w:rsidRPr="00D33C41">
        <w:rPr>
          <w:sz w:val="24"/>
          <w:szCs w:val="24"/>
        </w:rPr>
        <w:t>3</w:t>
      </w:r>
    </w:p>
    <w:p w14:paraId="6054104E" w14:textId="4BB7728D" w:rsidR="00143528" w:rsidRPr="00143528" w:rsidRDefault="00143528" w:rsidP="00D33C41">
      <w:pPr>
        <w:tabs>
          <w:tab w:val="left" w:pos="851"/>
          <w:tab w:val="left" w:pos="1985"/>
        </w:tabs>
        <w:ind w:left="851"/>
        <w:jc w:val="both"/>
        <w:rPr>
          <w:sz w:val="24"/>
          <w:szCs w:val="24"/>
        </w:rPr>
      </w:pPr>
      <w:r w:rsidRPr="00143528">
        <w:rPr>
          <w:sz w:val="24"/>
          <w:szCs w:val="24"/>
        </w:rPr>
        <w:t xml:space="preserve">125 mg: </w:t>
      </w:r>
      <w:r w:rsidR="00D33C41">
        <w:rPr>
          <w:sz w:val="24"/>
          <w:szCs w:val="24"/>
        </w:rPr>
        <w:tab/>
      </w:r>
      <w:r w:rsidRPr="00143528">
        <w:rPr>
          <w:sz w:val="24"/>
          <w:szCs w:val="24"/>
        </w:rPr>
        <w:t>7368</w:t>
      </w:r>
      <w:r w:rsidR="00283E1B" w:rsidRPr="00D33C41">
        <w:rPr>
          <w:sz w:val="24"/>
          <w:szCs w:val="24"/>
        </w:rPr>
        <w:t>4</w:t>
      </w:r>
    </w:p>
    <w:p w14:paraId="6DDE05F0" w14:textId="77777777" w:rsidR="009260DE" w:rsidRPr="00D33C41" w:rsidRDefault="009260DE" w:rsidP="009260DE">
      <w:pPr>
        <w:tabs>
          <w:tab w:val="left" w:pos="851"/>
        </w:tabs>
        <w:ind w:left="851"/>
        <w:jc w:val="both"/>
        <w:rPr>
          <w:sz w:val="24"/>
          <w:szCs w:val="24"/>
        </w:rPr>
      </w:pPr>
    </w:p>
    <w:p w14:paraId="7996AB8A" w14:textId="77777777" w:rsidR="009260DE" w:rsidRPr="00D33C41" w:rsidRDefault="009260DE" w:rsidP="009260DE">
      <w:pPr>
        <w:tabs>
          <w:tab w:val="left" w:pos="851"/>
        </w:tabs>
        <w:ind w:left="851" w:hanging="851"/>
        <w:rPr>
          <w:b/>
          <w:sz w:val="24"/>
          <w:szCs w:val="24"/>
        </w:rPr>
      </w:pPr>
      <w:r w:rsidRPr="00D33C41">
        <w:rPr>
          <w:b/>
          <w:sz w:val="24"/>
          <w:szCs w:val="24"/>
        </w:rPr>
        <w:t>9.</w:t>
      </w:r>
      <w:r w:rsidRPr="00D33C41">
        <w:rPr>
          <w:b/>
          <w:sz w:val="24"/>
          <w:szCs w:val="24"/>
        </w:rPr>
        <w:tab/>
        <w:t>DATO FOR FØRSTE MARKEDSFØRINGSTILLADELSE</w:t>
      </w:r>
    </w:p>
    <w:p w14:paraId="243FC7F1" w14:textId="38FBD3AB" w:rsidR="009260DE" w:rsidRPr="00D33C41" w:rsidRDefault="00224AA7" w:rsidP="009260DE">
      <w:pPr>
        <w:tabs>
          <w:tab w:val="left" w:pos="851"/>
        </w:tabs>
        <w:ind w:left="851"/>
        <w:rPr>
          <w:sz w:val="24"/>
          <w:szCs w:val="24"/>
        </w:rPr>
      </w:pPr>
      <w:r>
        <w:rPr>
          <w:sz w:val="24"/>
          <w:szCs w:val="24"/>
        </w:rPr>
        <w:t>9. april 2026</w:t>
      </w:r>
    </w:p>
    <w:p w14:paraId="3DE6374D" w14:textId="77777777" w:rsidR="009260DE" w:rsidRPr="00D33C41" w:rsidRDefault="009260DE" w:rsidP="009260DE">
      <w:pPr>
        <w:tabs>
          <w:tab w:val="left" w:pos="851"/>
        </w:tabs>
        <w:ind w:left="851"/>
        <w:rPr>
          <w:sz w:val="24"/>
          <w:szCs w:val="24"/>
        </w:rPr>
      </w:pPr>
    </w:p>
    <w:p w14:paraId="43E45B24" w14:textId="77777777" w:rsidR="009260DE" w:rsidRPr="00D33C41" w:rsidRDefault="009260DE" w:rsidP="009260DE">
      <w:pPr>
        <w:tabs>
          <w:tab w:val="left" w:pos="851"/>
        </w:tabs>
        <w:ind w:left="851" w:hanging="851"/>
        <w:rPr>
          <w:b/>
          <w:sz w:val="24"/>
          <w:szCs w:val="24"/>
        </w:rPr>
      </w:pPr>
      <w:r w:rsidRPr="00D33C41">
        <w:rPr>
          <w:b/>
          <w:sz w:val="24"/>
          <w:szCs w:val="24"/>
        </w:rPr>
        <w:t>10.</w:t>
      </w:r>
      <w:r w:rsidRPr="00D33C41">
        <w:rPr>
          <w:b/>
          <w:sz w:val="24"/>
          <w:szCs w:val="24"/>
        </w:rPr>
        <w:tab/>
        <w:t>DATO FOR ÆNDRING AF TEKSTEN</w:t>
      </w:r>
    </w:p>
    <w:p w14:paraId="2A894993" w14:textId="77F5E091" w:rsidR="009260DE" w:rsidRPr="00D33C41" w:rsidRDefault="00143528" w:rsidP="009260DE">
      <w:pPr>
        <w:tabs>
          <w:tab w:val="left" w:pos="851"/>
        </w:tabs>
        <w:ind w:left="851"/>
        <w:rPr>
          <w:sz w:val="24"/>
          <w:szCs w:val="24"/>
        </w:rPr>
      </w:pPr>
      <w:r w:rsidRPr="00D33C41">
        <w:rPr>
          <w:sz w:val="24"/>
          <w:szCs w:val="24"/>
        </w:rPr>
        <w:t>-</w:t>
      </w:r>
    </w:p>
    <w:sectPr w:rsidR="009260DE" w:rsidRPr="00D33C41" w:rsidSect="000259B9">
      <w:footerReference w:type="default" r:id="rId13"/>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CCB3" w14:textId="77777777" w:rsidR="00DF7312" w:rsidRDefault="00DF7312">
      <w:r>
        <w:separator/>
      </w:r>
    </w:p>
  </w:endnote>
  <w:endnote w:type="continuationSeparator" w:id="0">
    <w:p w14:paraId="60813AA4" w14:textId="77777777" w:rsidR="00DF7312" w:rsidRDefault="00D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FB87" w14:textId="77777777" w:rsidR="000259B9" w:rsidRDefault="000259B9">
    <w:pPr>
      <w:pStyle w:val="Sidefod"/>
      <w:pBdr>
        <w:bottom w:val="single" w:sz="6" w:space="1" w:color="auto"/>
      </w:pBdr>
    </w:pPr>
  </w:p>
  <w:p w14:paraId="72016021" w14:textId="77777777" w:rsidR="000259B9" w:rsidRDefault="000259B9" w:rsidP="00C42586">
    <w:pPr>
      <w:pStyle w:val="Sidefod"/>
      <w:tabs>
        <w:tab w:val="clear" w:pos="4819"/>
        <w:tab w:val="left" w:pos="8505"/>
      </w:tabs>
      <w:rPr>
        <w:i/>
        <w:sz w:val="18"/>
        <w:szCs w:val="18"/>
      </w:rPr>
    </w:pPr>
  </w:p>
  <w:p w14:paraId="39D1B605" w14:textId="3526AFBF"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A1C7E">
      <w:rPr>
        <w:i/>
        <w:noProof/>
        <w:sz w:val="18"/>
        <w:szCs w:val="18"/>
      </w:rPr>
      <w:t>Palbociclib Newbury, filmovertrukne tabletter 75 mg, 100 mg og 125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03BD" w14:textId="77777777" w:rsidR="00DF7312" w:rsidRDefault="00DF7312">
      <w:r>
        <w:separator/>
      </w:r>
    </w:p>
  </w:footnote>
  <w:footnote w:type="continuationSeparator" w:id="0">
    <w:p w14:paraId="14F6512C" w14:textId="77777777" w:rsidR="00DF7312" w:rsidRDefault="00DF7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5B665B8"/>
    <w:multiLevelType w:val="hybridMultilevel"/>
    <w:tmpl w:val="11E279EE"/>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27A513D9"/>
    <w:multiLevelType w:val="hybridMultilevel"/>
    <w:tmpl w:val="C5DC3682"/>
    <w:lvl w:ilvl="0" w:tplc="40C4054C">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 w15:restartNumberingAfterBreak="0">
    <w:nsid w:val="2EF3665E"/>
    <w:multiLevelType w:val="hybridMultilevel"/>
    <w:tmpl w:val="C122BF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631005D"/>
    <w:multiLevelType w:val="hybridMultilevel"/>
    <w:tmpl w:val="5CB62E12"/>
    <w:lvl w:ilvl="0" w:tplc="041D0001">
      <w:start w:val="1"/>
      <w:numFmt w:val="bullet"/>
      <w:lvlText w:val=""/>
      <w:lvlJc w:val="left"/>
      <w:pPr>
        <w:ind w:left="914" w:hanging="360"/>
      </w:pPr>
      <w:rPr>
        <w:rFonts w:ascii="Symbol" w:hAnsi="Symbol" w:hint="default"/>
      </w:rPr>
    </w:lvl>
    <w:lvl w:ilvl="1" w:tplc="04060003" w:tentative="1">
      <w:start w:val="1"/>
      <w:numFmt w:val="bullet"/>
      <w:lvlText w:val="o"/>
      <w:lvlJc w:val="left"/>
      <w:pPr>
        <w:ind w:left="1634" w:hanging="360"/>
      </w:pPr>
      <w:rPr>
        <w:rFonts w:ascii="Courier New" w:hAnsi="Courier New" w:cs="Courier New" w:hint="default"/>
      </w:rPr>
    </w:lvl>
    <w:lvl w:ilvl="2" w:tplc="04060005" w:tentative="1">
      <w:start w:val="1"/>
      <w:numFmt w:val="bullet"/>
      <w:lvlText w:val=""/>
      <w:lvlJc w:val="left"/>
      <w:pPr>
        <w:ind w:left="2354" w:hanging="360"/>
      </w:pPr>
      <w:rPr>
        <w:rFonts w:ascii="Wingdings" w:hAnsi="Wingdings" w:hint="default"/>
      </w:rPr>
    </w:lvl>
    <w:lvl w:ilvl="3" w:tplc="04060001" w:tentative="1">
      <w:start w:val="1"/>
      <w:numFmt w:val="bullet"/>
      <w:lvlText w:val=""/>
      <w:lvlJc w:val="left"/>
      <w:pPr>
        <w:ind w:left="3074" w:hanging="360"/>
      </w:pPr>
      <w:rPr>
        <w:rFonts w:ascii="Symbol" w:hAnsi="Symbol" w:hint="default"/>
      </w:rPr>
    </w:lvl>
    <w:lvl w:ilvl="4" w:tplc="04060003" w:tentative="1">
      <w:start w:val="1"/>
      <w:numFmt w:val="bullet"/>
      <w:lvlText w:val="o"/>
      <w:lvlJc w:val="left"/>
      <w:pPr>
        <w:ind w:left="3794" w:hanging="360"/>
      </w:pPr>
      <w:rPr>
        <w:rFonts w:ascii="Courier New" w:hAnsi="Courier New" w:cs="Courier New" w:hint="default"/>
      </w:rPr>
    </w:lvl>
    <w:lvl w:ilvl="5" w:tplc="04060005" w:tentative="1">
      <w:start w:val="1"/>
      <w:numFmt w:val="bullet"/>
      <w:lvlText w:val=""/>
      <w:lvlJc w:val="left"/>
      <w:pPr>
        <w:ind w:left="4514" w:hanging="360"/>
      </w:pPr>
      <w:rPr>
        <w:rFonts w:ascii="Wingdings" w:hAnsi="Wingdings" w:hint="default"/>
      </w:rPr>
    </w:lvl>
    <w:lvl w:ilvl="6" w:tplc="04060001" w:tentative="1">
      <w:start w:val="1"/>
      <w:numFmt w:val="bullet"/>
      <w:lvlText w:val=""/>
      <w:lvlJc w:val="left"/>
      <w:pPr>
        <w:ind w:left="5234" w:hanging="360"/>
      </w:pPr>
      <w:rPr>
        <w:rFonts w:ascii="Symbol" w:hAnsi="Symbol" w:hint="default"/>
      </w:rPr>
    </w:lvl>
    <w:lvl w:ilvl="7" w:tplc="04060003" w:tentative="1">
      <w:start w:val="1"/>
      <w:numFmt w:val="bullet"/>
      <w:lvlText w:val="o"/>
      <w:lvlJc w:val="left"/>
      <w:pPr>
        <w:ind w:left="5954" w:hanging="360"/>
      </w:pPr>
      <w:rPr>
        <w:rFonts w:ascii="Courier New" w:hAnsi="Courier New" w:cs="Courier New" w:hint="default"/>
      </w:rPr>
    </w:lvl>
    <w:lvl w:ilvl="8" w:tplc="04060005" w:tentative="1">
      <w:start w:val="1"/>
      <w:numFmt w:val="bullet"/>
      <w:lvlText w:val=""/>
      <w:lvlJc w:val="left"/>
      <w:pPr>
        <w:ind w:left="6674"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7A64D68"/>
    <w:multiLevelType w:val="multilevel"/>
    <w:tmpl w:val="9056A668"/>
    <w:lvl w:ilvl="0">
      <w:numFmt w:val="decimal"/>
      <w:lvlText w:val="%1"/>
      <w:lvlJc w:val="left"/>
      <w:pPr>
        <w:ind w:left="151" w:firstLine="0"/>
      </w:pPr>
      <w:rPr>
        <w:rFonts w:ascii="Times New Roman" w:eastAsia="Times New Roman" w:hAnsi="Times New Roman" w:cs="Times New Roman"/>
        <w:b w:val="0"/>
        <w:i w:val="0"/>
        <w:strike w:val="0"/>
        <w:dstrike w:val="0"/>
        <w:color w:val="000000"/>
        <w:position w:val="0"/>
        <w:sz w:val="20"/>
        <w:szCs w:val="20"/>
        <w:u w:val="none" w:color="000000"/>
        <w:effect w:val="none"/>
        <w:vertAlign w:val="baseline"/>
      </w:rPr>
    </w:lvl>
    <w:lvl w:ilvl="1">
      <w:start w:val="1"/>
      <w:numFmt w:val="lowerLetter"/>
      <w:lvlText w:val=""/>
      <w:lvlJc w:val="left"/>
      <w:pPr>
        <w:ind w:left="1692" w:firstLine="0"/>
      </w:pPr>
      <w:rPr>
        <w:rFonts w:ascii="Times New Roman" w:eastAsia="Times New Roman" w:hAnsi="Times New Roman" w:cs="Times New Roman"/>
        <w:b w:val="0"/>
        <w:i w:val="0"/>
        <w:strike w:val="0"/>
        <w:dstrike w:val="0"/>
        <w:color w:val="000000"/>
        <w:position w:val="0"/>
        <w:sz w:val="20"/>
        <w:szCs w:val="20"/>
        <w:u w:val="none" w:color="000000"/>
        <w:effect w:val="none"/>
        <w:vertAlign w:val="baseline"/>
      </w:rPr>
    </w:lvl>
    <w:lvl w:ilvl="2">
      <w:start w:val="1"/>
      <w:numFmt w:val="lowerRoman"/>
      <w:lvlText w:val=""/>
      <w:lvlJc w:val="left"/>
      <w:pPr>
        <w:ind w:left="2412" w:firstLine="0"/>
      </w:pPr>
      <w:rPr>
        <w:rFonts w:ascii="Times New Roman" w:eastAsia="Times New Roman" w:hAnsi="Times New Roman" w:cs="Times New Roman"/>
        <w:b w:val="0"/>
        <w:i w:val="0"/>
        <w:strike w:val="0"/>
        <w:dstrike w:val="0"/>
        <w:color w:val="000000"/>
        <w:position w:val="0"/>
        <w:sz w:val="20"/>
        <w:szCs w:val="20"/>
        <w:u w:val="none" w:color="000000"/>
        <w:effect w:val="none"/>
        <w:vertAlign w:val="baseline"/>
      </w:rPr>
    </w:lvl>
    <w:lvl w:ilvl="3">
      <w:start w:val="1"/>
      <w:numFmt w:val="decimal"/>
      <w:lvlText w:val=""/>
      <w:lvlJc w:val="left"/>
      <w:pPr>
        <w:ind w:left="3132" w:firstLine="0"/>
      </w:pPr>
      <w:rPr>
        <w:rFonts w:ascii="Times New Roman" w:eastAsia="Times New Roman" w:hAnsi="Times New Roman" w:cs="Times New Roman"/>
        <w:b w:val="0"/>
        <w:i w:val="0"/>
        <w:strike w:val="0"/>
        <w:dstrike w:val="0"/>
        <w:color w:val="000000"/>
        <w:position w:val="0"/>
        <w:sz w:val="20"/>
        <w:szCs w:val="20"/>
        <w:u w:val="none" w:color="000000"/>
        <w:effect w:val="none"/>
        <w:vertAlign w:val="baseline"/>
      </w:rPr>
    </w:lvl>
    <w:lvl w:ilvl="4">
      <w:start w:val="1"/>
      <w:numFmt w:val="lowerLetter"/>
      <w:lvlText w:val=""/>
      <w:lvlJc w:val="left"/>
      <w:pPr>
        <w:ind w:left="3852" w:firstLine="0"/>
      </w:pPr>
      <w:rPr>
        <w:rFonts w:ascii="Times New Roman" w:eastAsia="Times New Roman" w:hAnsi="Times New Roman" w:cs="Times New Roman"/>
        <w:b w:val="0"/>
        <w:i w:val="0"/>
        <w:strike w:val="0"/>
        <w:dstrike w:val="0"/>
        <w:color w:val="000000"/>
        <w:position w:val="0"/>
        <w:sz w:val="20"/>
        <w:szCs w:val="20"/>
        <w:u w:val="none" w:color="000000"/>
        <w:effect w:val="none"/>
        <w:vertAlign w:val="baseline"/>
      </w:rPr>
    </w:lvl>
    <w:lvl w:ilvl="5">
      <w:start w:val="1"/>
      <w:numFmt w:val="lowerRoman"/>
      <w:lvlText w:val=""/>
      <w:lvlJc w:val="left"/>
      <w:pPr>
        <w:ind w:left="4572" w:firstLine="0"/>
      </w:pPr>
      <w:rPr>
        <w:rFonts w:ascii="Times New Roman" w:eastAsia="Times New Roman" w:hAnsi="Times New Roman" w:cs="Times New Roman"/>
        <w:b w:val="0"/>
        <w:i w:val="0"/>
        <w:strike w:val="0"/>
        <w:dstrike w:val="0"/>
        <w:color w:val="000000"/>
        <w:position w:val="0"/>
        <w:sz w:val="20"/>
        <w:szCs w:val="20"/>
        <w:u w:val="none" w:color="000000"/>
        <w:effect w:val="none"/>
        <w:vertAlign w:val="baseline"/>
      </w:rPr>
    </w:lvl>
    <w:lvl w:ilvl="6">
      <w:start w:val="1"/>
      <w:numFmt w:val="decimal"/>
      <w:lvlText w:val=""/>
      <w:lvlJc w:val="left"/>
      <w:pPr>
        <w:ind w:left="5292" w:firstLine="0"/>
      </w:pPr>
      <w:rPr>
        <w:rFonts w:ascii="Times New Roman" w:eastAsia="Times New Roman" w:hAnsi="Times New Roman" w:cs="Times New Roman"/>
        <w:b w:val="0"/>
        <w:i w:val="0"/>
        <w:strike w:val="0"/>
        <w:dstrike w:val="0"/>
        <w:color w:val="000000"/>
        <w:position w:val="0"/>
        <w:sz w:val="20"/>
        <w:szCs w:val="20"/>
        <w:u w:val="none" w:color="000000"/>
        <w:effect w:val="none"/>
        <w:vertAlign w:val="baseline"/>
      </w:rPr>
    </w:lvl>
    <w:lvl w:ilvl="7">
      <w:start w:val="1"/>
      <w:numFmt w:val="lowerLetter"/>
      <w:lvlText w:val=""/>
      <w:lvlJc w:val="left"/>
      <w:pPr>
        <w:ind w:left="6012" w:firstLine="0"/>
      </w:pPr>
      <w:rPr>
        <w:rFonts w:ascii="Times New Roman" w:eastAsia="Times New Roman" w:hAnsi="Times New Roman" w:cs="Times New Roman"/>
        <w:b w:val="0"/>
        <w:i w:val="0"/>
        <w:strike w:val="0"/>
        <w:dstrike w:val="0"/>
        <w:color w:val="000000"/>
        <w:position w:val="0"/>
        <w:sz w:val="20"/>
        <w:szCs w:val="20"/>
        <w:u w:val="none" w:color="000000"/>
        <w:effect w:val="none"/>
        <w:vertAlign w:val="baseline"/>
      </w:rPr>
    </w:lvl>
    <w:lvl w:ilvl="8">
      <w:start w:val="1"/>
      <w:numFmt w:val="lowerRoman"/>
      <w:lvlText w:val=""/>
      <w:lvlJc w:val="left"/>
      <w:pPr>
        <w:ind w:left="6732" w:firstLine="0"/>
      </w:pPr>
      <w:rPr>
        <w:rFonts w:ascii="Times New Roman" w:eastAsia="Times New Roman" w:hAnsi="Times New Roman" w:cs="Times New Roman"/>
        <w:b w:val="0"/>
        <w:i w:val="0"/>
        <w:strike w:val="0"/>
        <w:dstrike w:val="0"/>
        <w:color w:val="000000"/>
        <w:position w:val="0"/>
        <w:sz w:val="20"/>
        <w:szCs w:val="20"/>
        <w:u w:val="none" w:color="000000"/>
        <w:effect w:val="none"/>
        <w:vertAlign w:val="baseline"/>
      </w:rPr>
    </w:lvl>
  </w:abstractNum>
  <w:abstractNum w:abstractNumId="10" w15:restartNumberingAfterBreak="0">
    <w:nsid w:val="59F31B8D"/>
    <w:multiLevelType w:val="hybridMultilevel"/>
    <w:tmpl w:val="32A0A9CE"/>
    <w:lvl w:ilvl="0" w:tplc="041D0001">
      <w:start w:val="1"/>
      <w:numFmt w:val="bullet"/>
      <w:lvlText w:val=""/>
      <w:lvlJc w:val="left"/>
      <w:pPr>
        <w:ind w:left="1197" w:hanging="360"/>
      </w:pPr>
      <w:rPr>
        <w:rFonts w:ascii="Symbol" w:hAnsi="Symbol" w:hint="default"/>
      </w:rPr>
    </w:lvl>
    <w:lvl w:ilvl="1" w:tplc="04060003">
      <w:start w:val="1"/>
      <w:numFmt w:val="bullet"/>
      <w:lvlText w:val="o"/>
      <w:lvlJc w:val="left"/>
      <w:pPr>
        <w:ind w:left="1917" w:hanging="360"/>
      </w:pPr>
      <w:rPr>
        <w:rFonts w:ascii="Courier New" w:hAnsi="Courier New" w:cs="Courier New" w:hint="default"/>
      </w:rPr>
    </w:lvl>
    <w:lvl w:ilvl="2" w:tplc="04060005" w:tentative="1">
      <w:start w:val="1"/>
      <w:numFmt w:val="bullet"/>
      <w:lvlText w:val=""/>
      <w:lvlJc w:val="left"/>
      <w:pPr>
        <w:ind w:left="2637" w:hanging="360"/>
      </w:pPr>
      <w:rPr>
        <w:rFonts w:ascii="Wingdings" w:hAnsi="Wingdings" w:hint="default"/>
      </w:rPr>
    </w:lvl>
    <w:lvl w:ilvl="3" w:tplc="04060001">
      <w:start w:val="1"/>
      <w:numFmt w:val="bullet"/>
      <w:lvlText w:val=""/>
      <w:lvlJc w:val="left"/>
      <w:pPr>
        <w:ind w:left="3357" w:hanging="360"/>
      </w:pPr>
      <w:rPr>
        <w:rFonts w:ascii="Symbol" w:hAnsi="Symbol" w:hint="default"/>
      </w:rPr>
    </w:lvl>
    <w:lvl w:ilvl="4" w:tplc="04060003" w:tentative="1">
      <w:start w:val="1"/>
      <w:numFmt w:val="bullet"/>
      <w:lvlText w:val="o"/>
      <w:lvlJc w:val="left"/>
      <w:pPr>
        <w:ind w:left="4077" w:hanging="360"/>
      </w:pPr>
      <w:rPr>
        <w:rFonts w:ascii="Courier New" w:hAnsi="Courier New" w:cs="Courier New" w:hint="default"/>
      </w:rPr>
    </w:lvl>
    <w:lvl w:ilvl="5" w:tplc="04060005" w:tentative="1">
      <w:start w:val="1"/>
      <w:numFmt w:val="bullet"/>
      <w:lvlText w:val=""/>
      <w:lvlJc w:val="left"/>
      <w:pPr>
        <w:ind w:left="4797" w:hanging="360"/>
      </w:pPr>
      <w:rPr>
        <w:rFonts w:ascii="Wingdings" w:hAnsi="Wingdings" w:hint="default"/>
      </w:rPr>
    </w:lvl>
    <w:lvl w:ilvl="6" w:tplc="04060001" w:tentative="1">
      <w:start w:val="1"/>
      <w:numFmt w:val="bullet"/>
      <w:lvlText w:val=""/>
      <w:lvlJc w:val="left"/>
      <w:pPr>
        <w:ind w:left="5517" w:hanging="360"/>
      </w:pPr>
      <w:rPr>
        <w:rFonts w:ascii="Symbol" w:hAnsi="Symbol" w:hint="default"/>
      </w:rPr>
    </w:lvl>
    <w:lvl w:ilvl="7" w:tplc="04060003" w:tentative="1">
      <w:start w:val="1"/>
      <w:numFmt w:val="bullet"/>
      <w:lvlText w:val="o"/>
      <w:lvlJc w:val="left"/>
      <w:pPr>
        <w:ind w:left="6237" w:hanging="360"/>
      </w:pPr>
      <w:rPr>
        <w:rFonts w:ascii="Courier New" w:hAnsi="Courier New" w:cs="Courier New" w:hint="default"/>
      </w:rPr>
    </w:lvl>
    <w:lvl w:ilvl="8" w:tplc="04060005" w:tentative="1">
      <w:start w:val="1"/>
      <w:numFmt w:val="bullet"/>
      <w:lvlText w:val=""/>
      <w:lvlJc w:val="left"/>
      <w:pPr>
        <w:ind w:left="6957" w:hanging="360"/>
      </w:pPr>
      <w:rPr>
        <w:rFonts w:ascii="Wingdings" w:hAnsi="Wingdings" w:hint="default"/>
      </w:rPr>
    </w:lvl>
  </w:abstractNum>
  <w:abstractNum w:abstractNumId="11" w15:restartNumberingAfterBreak="0">
    <w:nsid w:val="67B26D6D"/>
    <w:multiLevelType w:val="hybridMultilevel"/>
    <w:tmpl w:val="B712CF18"/>
    <w:lvl w:ilvl="0" w:tplc="40C4054C">
      <w:numFmt w:val="bullet"/>
      <w:lvlText w:val="-"/>
      <w:lvlJc w:val="left"/>
      <w:pPr>
        <w:ind w:left="1307" w:hanging="456"/>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num w:numId="1" w16cid:durableId="19557432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883864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446351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066103">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25173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6912156">
    <w:abstractNumId w:val="3"/>
  </w:num>
  <w:num w:numId="7" w16cid:durableId="150524536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6459482">
    <w:abstractNumId w:val="3"/>
  </w:num>
  <w:num w:numId="9" w16cid:durableId="1471552011">
    <w:abstractNumId w:val="10"/>
  </w:num>
  <w:num w:numId="10" w16cid:durableId="1541240674">
    <w:abstractNumId w:val="7"/>
  </w:num>
  <w:num w:numId="11" w16cid:durableId="1929193755">
    <w:abstractNumId w:val="1"/>
  </w:num>
  <w:num w:numId="12" w16cid:durableId="435486830">
    <w:abstractNumId w:val="11"/>
  </w:num>
  <w:num w:numId="13" w16cid:durableId="772742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12"/>
    <w:rsid w:val="000027E3"/>
    <w:rsid w:val="000259B9"/>
    <w:rsid w:val="00041491"/>
    <w:rsid w:val="00050D16"/>
    <w:rsid w:val="000730CA"/>
    <w:rsid w:val="00074F2A"/>
    <w:rsid w:val="000A1CA8"/>
    <w:rsid w:val="000A466B"/>
    <w:rsid w:val="000B058C"/>
    <w:rsid w:val="000D68B0"/>
    <w:rsid w:val="000E4EE6"/>
    <w:rsid w:val="00123771"/>
    <w:rsid w:val="00143528"/>
    <w:rsid w:val="001454E2"/>
    <w:rsid w:val="00206CE8"/>
    <w:rsid w:val="0021526C"/>
    <w:rsid w:val="00224AA7"/>
    <w:rsid w:val="00264940"/>
    <w:rsid w:val="00283A2B"/>
    <w:rsid w:val="00283E1B"/>
    <w:rsid w:val="002B30AD"/>
    <w:rsid w:val="002C1EC0"/>
    <w:rsid w:val="002C2C01"/>
    <w:rsid w:val="003A29AE"/>
    <w:rsid w:val="003A308E"/>
    <w:rsid w:val="003A32D7"/>
    <w:rsid w:val="003A454E"/>
    <w:rsid w:val="003B4074"/>
    <w:rsid w:val="003C769A"/>
    <w:rsid w:val="003D3A90"/>
    <w:rsid w:val="003F1838"/>
    <w:rsid w:val="004251C1"/>
    <w:rsid w:val="0045746C"/>
    <w:rsid w:val="0049104B"/>
    <w:rsid w:val="004D752E"/>
    <w:rsid w:val="004E3B12"/>
    <w:rsid w:val="00532310"/>
    <w:rsid w:val="00565F0F"/>
    <w:rsid w:val="00594A86"/>
    <w:rsid w:val="00596D86"/>
    <w:rsid w:val="00637F5A"/>
    <w:rsid w:val="00641C65"/>
    <w:rsid w:val="006560B1"/>
    <w:rsid w:val="006756DD"/>
    <w:rsid w:val="006A56CA"/>
    <w:rsid w:val="006F621A"/>
    <w:rsid w:val="0071241E"/>
    <w:rsid w:val="00737275"/>
    <w:rsid w:val="00740EEC"/>
    <w:rsid w:val="00742361"/>
    <w:rsid w:val="0078011A"/>
    <w:rsid w:val="00782AF4"/>
    <w:rsid w:val="00790EE7"/>
    <w:rsid w:val="007A1C7E"/>
    <w:rsid w:val="007B6649"/>
    <w:rsid w:val="0082576E"/>
    <w:rsid w:val="0089346F"/>
    <w:rsid w:val="008C4640"/>
    <w:rsid w:val="00907F75"/>
    <w:rsid w:val="009260DE"/>
    <w:rsid w:val="0093258A"/>
    <w:rsid w:val="009906AA"/>
    <w:rsid w:val="009C7BA3"/>
    <w:rsid w:val="009D1F5A"/>
    <w:rsid w:val="00A10294"/>
    <w:rsid w:val="00B003BF"/>
    <w:rsid w:val="00B373D7"/>
    <w:rsid w:val="00B55271"/>
    <w:rsid w:val="00BD7931"/>
    <w:rsid w:val="00BF2DF3"/>
    <w:rsid w:val="00BF6243"/>
    <w:rsid w:val="00C11463"/>
    <w:rsid w:val="00C36276"/>
    <w:rsid w:val="00C42586"/>
    <w:rsid w:val="00C45F6B"/>
    <w:rsid w:val="00C60CCD"/>
    <w:rsid w:val="00C84483"/>
    <w:rsid w:val="00C95551"/>
    <w:rsid w:val="00CB20D7"/>
    <w:rsid w:val="00D020B0"/>
    <w:rsid w:val="00D11748"/>
    <w:rsid w:val="00D237F6"/>
    <w:rsid w:val="00D33C41"/>
    <w:rsid w:val="00D34D98"/>
    <w:rsid w:val="00D366CF"/>
    <w:rsid w:val="00D93992"/>
    <w:rsid w:val="00DF731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29D3C"/>
  <w15:chartTrackingRefBased/>
  <w15:docId w15:val="{4E6C1873-7CB4-4E6A-9F74-FE023D77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143528"/>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43528"/>
    <w:rPr>
      <w:color w:val="0563C1" w:themeColor="hyperlink"/>
      <w:u w:val="single"/>
    </w:rPr>
  </w:style>
  <w:style w:type="character" w:styleId="Ulstomtale">
    <w:name w:val="Unresolved Mention"/>
    <w:basedOn w:val="Standardskrifttypeiafsnit"/>
    <w:uiPriority w:val="99"/>
    <w:semiHidden/>
    <w:unhideWhenUsed/>
    <w:rsid w:val="00143528"/>
    <w:rPr>
      <w:color w:val="605E5C"/>
      <w:shd w:val="clear" w:color="auto" w:fill="E1DFDD"/>
    </w:rPr>
  </w:style>
  <w:style w:type="paragraph" w:styleId="Listeafsnit">
    <w:name w:val="List Paragraph"/>
    <w:basedOn w:val="Normal"/>
    <w:uiPriority w:val="34"/>
    <w:qFormat/>
    <w:rsid w:val="00C11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830">
      <w:bodyDiv w:val="1"/>
      <w:marLeft w:val="0"/>
      <w:marRight w:val="0"/>
      <w:marTop w:val="0"/>
      <w:marBottom w:val="0"/>
      <w:divBdr>
        <w:top w:val="none" w:sz="0" w:space="0" w:color="auto"/>
        <w:left w:val="none" w:sz="0" w:space="0" w:color="auto"/>
        <w:bottom w:val="none" w:sz="0" w:space="0" w:color="auto"/>
        <w:right w:val="none" w:sz="0" w:space="0" w:color="auto"/>
      </w:divBdr>
    </w:div>
    <w:div w:id="82804611">
      <w:bodyDiv w:val="1"/>
      <w:marLeft w:val="0"/>
      <w:marRight w:val="0"/>
      <w:marTop w:val="0"/>
      <w:marBottom w:val="0"/>
      <w:divBdr>
        <w:top w:val="none" w:sz="0" w:space="0" w:color="auto"/>
        <w:left w:val="none" w:sz="0" w:space="0" w:color="auto"/>
        <w:bottom w:val="none" w:sz="0" w:space="0" w:color="auto"/>
        <w:right w:val="none" w:sz="0" w:space="0" w:color="auto"/>
      </w:divBdr>
    </w:div>
    <w:div w:id="16537029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0626954">
      <w:bodyDiv w:val="1"/>
      <w:marLeft w:val="0"/>
      <w:marRight w:val="0"/>
      <w:marTop w:val="0"/>
      <w:marBottom w:val="0"/>
      <w:divBdr>
        <w:top w:val="none" w:sz="0" w:space="0" w:color="auto"/>
        <w:left w:val="none" w:sz="0" w:space="0" w:color="auto"/>
        <w:bottom w:val="none" w:sz="0" w:space="0" w:color="auto"/>
        <w:right w:val="none" w:sz="0" w:space="0" w:color="auto"/>
      </w:divBdr>
    </w:div>
    <w:div w:id="288166257">
      <w:bodyDiv w:val="1"/>
      <w:marLeft w:val="0"/>
      <w:marRight w:val="0"/>
      <w:marTop w:val="0"/>
      <w:marBottom w:val="0"/>
      <w:divBdr>
        <w:top w:val="none" w:sz="0" w:space="0" w:color="auto"/>
        <w:left w:val="none" w:sz="0" w:space="0" w:color="auto"/>
        <w:bottom w:val="none" w:sz="0" w:space="0" w:color="auto"/>
        <w:right w:val="none" w:sz="0" w:space="0" w:color="auto"/>
      </w:divBdr>
    </w:div>
    <w:div w:id="295913539">
      <w:bodyDiv w:val="1"/>
      <w:marLeft w:val="0"/>
      <w:marRight w:val="0"/>
      <w:marTop w:val="0"/>
      <w:marBottom w:val="0"/>
      <w:divBdr>
        <w:top w:val="none" w:sz="0" w:space="0" w:color="auto"/>
        <w:left w:val="none" w:sz="0" w:space="0" w:color="auto"/>
        <w:bottom w:val="none" w:sz="0" w:space="0" w:color="auto"/>
        <w:right w:val="none" w:sz="0" w:space="0" w:color="auto"/>
      </w:divBdr>
    </w:div>
    <w:div w:id="342171487">
      <w:bodyDiv w:val="1"/>
      <w:marLeft w:val="0"/>
      <w:marRight w:val="0"/>
      <w:marTop w:val="0"/>
      <w:marBottom w:val="0"/>
      <w:divBdr>
        <w:top w:val="none" w:sz="0" w:space="0" w:color="auto"/>
        <w:left w:val="none" w:sz="0" w:space="0" w:color="auto"/>
        <w:bottom w:val="none" w:sz="0" w:space="0" w:color="auto"/>
        <w:right w:val="none" w:sz="0" w:space="0" w:color="auto"/>
      </w:divBdr>
    </w:div>
    <w:div w:id="399907605">
      <w:bodyDiv w:val="1"/>
      <w:marLeft w:val="0"/>
      <w:marRight w:val="0"/>
      <w:marTop w:val="0"/>
      <w:marBottom w:val="0"/>
      <w:divBdr>
        <w:top w:val="none" w:sz="0" w:space="0" w:color="auto"/>
        <w:left w:val="none" w:sz="0" w:space="0" w:color="auto"/>
        <w:bottom w:val="none" w:sz="0" w:space="0" w:color="auto"/>
        <w:right w:val="none" w:sz="0" w:space="0" w:color="auto"/>
      </w:divBdr>
    </w:div>
    <w:div w:id="412701875">
      <w:bodyDiv w:val="1"/>
      <w:marLeft w:val="0"/>
      <w:marRight w:val="0"/>
      <w:marTop w:val="0"/>
      <w:marBottom w:val="0"/>
      <w:divBdr>
        <w:top w:val="none" w:sz="0" w:space="0" w:color="auto"/>
        <w:left w:val="none" w:sz="0" w:space="0" w:color="auto"/>
        <w:bottom w:val="none" w:sz="0" w:space="0" w:color="auto"/>
        <w:right w:val="none" w:sz="0" w:space="0" w:color="auto"/>
      </w:divBdr>
    </w:div>
    <w:div w:id="422798722">
      <w:bodyDiv w:val="1"/>
      <w:marLeft w:val="0"/>
      <w:marRight w:val="0"/>
      <w:marTop w:val="0"/>
      <w:marBottom w:val="0"/>
      <w:divBdr>
        <w:top w:val="none" w:sz="0" w:space="0" w:color="auto"/>
        <w:left w:val="none" w:sz="0" w:space="0" w:color="auto"/>
        <w:bottom w:val="none" w:sz="0" w:space="0" w:color="auto"/>
        <w:right w:val="none" w:sz="0" w:space="0" w:color="auto"/>
      </w:divBdr>
    </w:div>
    <w:div w:id="489247159">
      <w:bodyDiv w:val="1"/>
      <w:marLeft w:val="0"/>
      <w:marRight w:val="0"/>
      <w:marTop w:val="0"/>
      <w:marBottom w:val="0"/>
      <w:divBdr>
        <w:top w:val="none" w:sz="0" w:space="0" w:color="auto"/>
        <w:left w:val="none" w:sz="0" w:space="0" w:color="auto"/>
        <w:bottom w:val="none" w:sz="0" w:space="0" w:color="auto"/>
        <w:right w:val="none" w:sz="0" w:space="0" w:color="auto"/>
      </w:divBdr>
    </w:div>
    <w:div w:id="499656717">
      <w:bodyDiv w:val="1"/>
      <w:marLeft w:val="0"/>
      <w:marRight w:val="0"/>
      <w:marTop w:val="0"/>
      <w:marBottom w:val="0"/>
      <w:divBdr>
        <w:top w:val="none" w:sz="0" w:space="0" w:color="auto"/>
        <w:left w:val="none" w:sz="0" w:space="0" w:color="auto"/>
        <w:bottom w:val="none" w:sz="0" w:space="0" w:color="auto"/>
        <w:right w:val="none" w:sz="0" w:space="0" w:color="auto"/>
      </w:divBdr>
    </w:div>
    <w:div w:id="557058616">
      <w:bodyDiv w:val="1"/>
      <w:marLeft w:val="0"/>
      <w:marRight w:val="0"/>
      <w:marTop w:val="0"/>
      <w:marBottom w:val="0"/>
      <w:divBdr>
        <w:top w:val="none" w:sz="0" w:space="0" w:color="auto"/>
        <w:left w:val="none" w:sz="0" w:space="0" w:color="auto"/>
        <w:bottom w:val="none" w:sz="0" w:space="0" w:color="auto"/>
        <w:right w:val="none" w:sz="0" w:space="0" w:color="auto"/>
      </w:divBdr>
    </w:div>
    <w:div w:id="559439239">
      <w:bodyDiv w:val="1"/>
      <w:marLeft w:val="0"/>
      <w:marRight w:val="0"/>
      <w:marTop w:val="0"/>
      <w:marBottom w:val="0"/>
      <w:divBdr>
        <w:top w:val="none" w:sz="0" w:space="0" w:color="auto"/>
        <w:left w:val="none" w:sz="0" w:space="0" w:color="auto"/>
        <w:bottom w:val="none" w:sz="0" w:space="0" w:color="auto"/>
        <w:right w:val="none" w:sz="0" w:space="0" w:color="auto"/>
      </w:divBdr>
    </w:div>
    <w:div w:id="684282577">
      <w:bodyDiv w:val="1"/>
      <w:marLeft w:val="0"/>
      <w:marRight w:val="0"/>
      <w:marTop w:val="0"/>
      <w:marBottom w:val="0"/>
      <w:divBdr>
        <w:top w:val="none" w:sz="0" w:space="0" w:color="auto"/>
        <w:left w:val="none" w:sz="0" w:space="0" w:color="auto"/>
        <w:bottom w:val="none" w:sz="0" w:space="0" w:color="auto"/>
        <w:right w:val="none" w:sz="0" w:space="0" w:color="auto"/>
      </w:divBdr>
    </w:div>
    <w:div w:id="912395156">
      <w:bodyDiv w:val="1"/>
      <w:marLeft w:val="0"/>
      <w:marRight w:val="0"/>
      <w:marTop w:val="0"/>
      <w:marBottom w:val="0"/>
      <w:divBdr>
        <w:top w:val="none" w:sz="0" w:space="0" w:color="auto"/>
        <w:left w:val="none" w:sz="0" w:space="0" w:color="auto"/>
        <w:bottom w:val="none" w:sz="0" w:space="0" w:color="auto"/>
        <w:right w:val="none" w:sz="0" w:space="0" w:color="auto"/>
      </w:divBdr>
    </w:div>
    <w:div w:id="947084054">
      <w:bodyDiv w:val="1"/>
      <w:marLeft w:val="0"/>
      <w:marRight w:val="0"/>
      <w:marTop w:val="0"/>
      <w:marBottom w:val="0"/>
      <w:divBdr>
        <w:top w:val="none" w:sz="0" w:space="0" w:color="auto"/>
        <w:left w:val="none" w:sz="0" w:space="0" w:color="auto"/>
        <w:bottom w:val="none" w:sz="0" w:space="0" w:color="auto"/>
        <w:right w:val="none" w:sz="0" w:space="0" w:color="auto"/>
      </w:divBdr>
    </w:div>
    <w:div w:id="984120313">
      <w:bodyDiv w:val="1"/>
      <w:marLeft w:val="0"/>
      <w:marRight w:val="0"/>
      <w:marTop w:val="0"/>
      <w:marBottom w:val="0"/>
      <w:divBdr>
        <w:top w:val="none" w:sz="0" w:space="0" w:color="auto"/>
        <w:left w:val="none" w:sz="0" w:space="0" w:color="auto"/>
        <w:bottom w:val="none" w:sz="0" w:space="0" w:color="auto"/>
        <w:right w:val="none" w:sz="0" w:space="0" w:color="auto"/>
      </w:divBdr>
    </w:div>
    <w:div w:id="1032610732">
      <w:bodyDiv w:val="1"/>
      <w:marLeft w:val="0"/>
      <w:marRight w:val="0"/>
      <w:marTop w:val="0"/>
      <w:marBottom w:val="0"/>
      <w:divBdr>
        <w:top w:val="none" w:sz="0" w:space="0" w:color="auto"/>
        <w:left w:val="none" w:sz="0" w:space="0" w:color="auto"/>
        <w:bottom w:val="none" w:sz="0" w:space="0" w:color="auto"/>
        <w:right w:val="none" w:sz="0" w:space="0" w:color="auto"/>
      </w:divBdr>
    </w:div>
    <w:div w:id="1194423348">
      <w:bodyDiv w:val="1"/>
      <w:marLeft w:val="0"/>
      <w:marRight w:val="0"/>
      <w:marTop w:val="0"/>
      <w:marBottom w:val="0"/>
      <w:divBdr>
        <w:top w:val="none" w:sz="0" w:space="0" w:color="auto"/>
        <w:left w:val="none" w:sz="0" w:space="0" w:color="auto"/>
        <w:bottom w:val="none" w:sz="0" w:space="0" w:color="auto"/>
        <w:right w:val="none" w:sz="0" w:space="0" w:color="auto"/>
      </w:divBdr>
    </w:div>
    <w:div w:id="1268542385">
      <w:bodyDiv w:val="1"/>
      <w:marLeft w:val="0"/>
      <w:marRight w:val="0"/>
      <w:marTop w:val="0"/>
      <w:marBottom w:val="0"/>
      <w:divBdr>
        <w:top w:val="none" w:sz="0" w:space="0" w:color="auto"/>
        <w:left w:val="none" w:sz="0" w:space="0" w:color="auto"/>
        <w:bottom w:val="none" w:sz="0" w:space="0" w:color="auto"/>
        <w:right w:val="none" w:sz="0" w:space="0" w:color="auto"/>
      </w:divBdr>
    </w:div>
    <w:div w:id="1316107140">
      <w:bodyDiv w:val="1"/>
      <w:marLeft w:val="0"/>
      <w:marRight w:val="0"/>
      <w:marTop w:val="0"/>
      <w:marBottom w:val="0"/>
      <w:divBdr>
        <w:top w:val="none" w:sz="0" w:space="0" w:color="auto"/>
        <w:left w:val="none" w:sz="0" w:space="0" w:color="auto"/>
        <w:bottom w:val="none" w:sz="0" w:space="0" w:color="auto"/>
        <w:right w:val="none" w:sz="0" w:space="0" w:color="auto"/>
      </w:divBdr>
    </w:div>
    <w:div w:id="1361012861">
      <w:bodyDiv w:val="1"/>
      <w:marLeft w:val="0"/>
      <w:marRight w:val="0"/>
      <w:marTop w:val="0"/>
      <w:marBottom w:val="0"/>
      <w:divBdr>
        <w:top w:val="none" w:sz="0" w:space="0" w:color="auto"/>
        <w:left w:val="none" w:sz="0" w:space="0" w:color="auto"/>
        <w:bottom w:val="none" w:sz="0" w:space="0" w:color="auto"/>
        <w:right w:val="none" w:sz="0" w:space="0" w:color="auto"/>
      </w:divBdr>
    </w:div>
    <w:div w:id="1373650209">
      <w:bodyDiv w:val="1"/>
      <w:marLeft w:val="0"/>
      <w:marRight w:val="0"/>
      <w:marTop w:val="0"/>
      <w:marBottom w:val="0"/>
      <w:divBdr>
        <w:top w:val="none" w:sz="0" w:space="0" w:color="auto"/>
        <w:left w:val="none" w:sz="0" w:space="0" w:color="auto"/>
        <w:bottom w:val="none" w:sz="0" w:space="0" w:color="auto"/>
        <w:right w:val="none" w:sz="0" w:space="0" w:color="auto"/>
      </w:divBdr>
    </w:div>
    <w:div w:id="1483735376">
      <w:bodyDiv w:val="1"/>
      <w:marLeft w:val="0"/>
      <w:marRight w:val="0"/>
      <w:marTop w:val="0"/>
      <w:marBottom w:val="0"/>
      <w:divBdr>
        <w:top w:val="none" w:sz="0" w:space="0" w:color="auto"/>
        <w:left w:val="none" w:sz="0" w:space="0" w:color="auto"/>
        <w:bottom w:val="none" w:sz="0" w:space="0" w:color="auto"/>
        <w:right w:val="none" w:sz="0" w:space="0" w:color="auto"/>
      </w:divBdr>
    </w:div>
    <w:div w:id="1497839097">
      <w:bodyDiv w:val="1"/>
      <w:marLeft w:val="0"/>
      <w:marRight w:val="0"/>
      <w:marTop w:val="0"/>
      <w:marBottom w:val="0"/>
      <w:divBdr>
        <w:top w:val="none" w:sz="0" w:space="0" w:color="auto"/>
        <w:left w:val="none" w:sz="0" w:space="0" w:color="auto"/>
        <w:bottom w:val="none" w:sz="0" w:space="0" w:color="auto"/>
        <w:right w:val="none" w:sz="0" w:space="0" w:color="auto"/>
      </w:divBdr>
    </w:div>
    <w:div w:id="1541088606">
      <w:bodyDiv w:val="1"/>
      <w:marLeft w:val="0"/>
      <w:marRight w:val="0"/>
      <w:marTop w:val="0"/>
      <w:marBottom w:val="0"/>
      <w:divBdr>
        <w:top w:val="none" w:sz="0" w:space="0" w:color="auto"/>
        <w:left w:val="none" w:sz="0" w:space="0" w:color="auto"/>
        <w:bottom w:val="none" w:sz="0" w:space="0" w:color="auto"/>
        <w:right w:val="none" w:sz="0" w:space="0" w:color="auto"/>
      </w:divBdr>
    </w:div>
    <w:div w:id="1563520670">
      <w:bodyDiv w:val="1"/>
      <w:marLeft w:val="0"/>
      <w:marRight w:val="0"/>
      <w:marTop w:val="0"/>
      <w:marBottom w:val="0"/>
      <w:divBdr>
        <w:top w:val="none" w:sz="0" w:space="0" w:color="auto"/>
        <w:left w:val="none" w:sz="0" w:space="0" w:color="auto"/>
        <w:bottom w:val="none" w:sz="0" w:space="0" w:color="auto"/>
        <w:right w:val="none" w:sz="0" w:space="0" w:color="auto"/>
      </w:divBdr>
    </w:div>
    <w:div w:id="1600529808">
      <w:bodyDiv w:val="1"/>
      <w:marLeft w:val="0"/>
      <w:marRight w:val="0"/>
      <w:marTop w:val="0"/>
      <w:marBottom w:val="0"/>
      <w:divBdr>
        <w:top w:val="none" w:sz="0" w:space="0" w:color="auto"/>
        <w:left w:val="none" w:sz="0" w:space="0" w:color="auto"/>
        <w:bottom w:val="none" w:sz="0" w:space="0" w:color="auto"/>
        <w:right w:val="none" w:sz="0" w:space="0" w:color="auto"/>
      </w:divBdr>
    </w:div>
    <w:div w:id="1603145517">
      <w:bodyDiv w:val="1"/>
      <w:marLeft w:val="0"/>
      <w:marRight w:val="0"/>
      <w:marTop w:val="0"/>
      <w:marBottom w:val="0"/>
      <w:divBdr>
        <w:top w:val="none" w:sz="0" w:space="0" w:color="auto"/>
        <w:left w:val="none" w:sz="0" w:space="0" w:color="auto"/>
        <w:bottom w:val="none" w:sz="0" w:space="0" w:color="auto"/>
        <w:right w:val="none" w:sz="0" w:space="0" w:color="auto"/>
      </w:divBdr>
    </w:div>
    <w:div w:id="1749111822">
      <w:bodyDiv w:val="1"/>
      <w:marLeft w:val="0"/>
      <w:marRight w:val="0"/>
      <w:marTop w:val="0"/>
      <w:marBottom w:val="0"/>
      <w:divBdr>
        <w:top w:val="none" w:sz="0" w:space="0" w:color="auto"/>
        <w:left w:val="none" w:sz="0" w:space="0" w:color="auto"/>
        <w:bottom w:val="none" w:sz="0" w:space="0" w:color="auto"/>
        <w:right w:val="none" w:sz="0" w:space="0" w:color="auto"/>
      </w:divBdr>
    </w:div>
    <w:div w:id="1777559691">
      <w:bodyDiv w:val="1"/>
      <w:marLeft w:val="0"/>
      <w:marRight w:val="0"/>
      <w:marTop w:val="0"/>
      <w:marBottom w:val="0"/>
      <w:divBdr>
        <w:top w:val="none" w:sz="0" w:space="0" w:color="auto"/>
        <w:left w:val="none" w:sz="0" w:space="0" w:color="auto"/>
        <w:bottom w:val="none" w:sz="0" w:space="0" w:color="auto"/>
        <w:right w:val="none" w:sz="0" w:space="0" w:color="auto"/>
      </w:divBdr>
    </w:div>
    <w:div w:id="1779981121">
      <w:bodyDiv w:val="1"/>
      <w:marLeft w:val="0"/>
      <w:marRight w:val="0"/>
      <w:marTop w:val="0"/>
      <w:marBottom w:val="0"/>
      <w:divBdr>
        <w:top w:val="none" w:sz="0" w:space="0" w:color="auto"/>
        <w:left w:val="none" w:sz="0" w:space="0" w:color="auto"/>
        <w:bottom w:val="none" w:sz="0" w:space="0" w:color="auto"/>
        <w:right w:val="none" w:sz="0" w:space="0" w:color="auto"/>
      </w:divBdr>
    </w:div>
    <w:div w:id="1791508529">
      <w:bodyDiv w:val="1"/>
      <w:marLeft w:val="0"/>
      <w:marRight w:val="0"/>
      <w:marTop w:val="0"/>
      <w:marBottom w:val="0"/>
      <w:divBdr>
        <w:top w:val="none" w:sz="0" w:space="0" w:color="auto"/>
        <w:left w:val="none" w:sz="0" w:space="0" w:color="auto"/>
        <w:bottom w:val="none" w:sz="0" w:space="0" w:color="auto"/>
        <w:right w:val="none" w:sz="0" w:space="0" w:color="auto"/>
      </w:divBdr>
    </w:div>
    <w:div w:id="1820727705">
      <w:bodyDiv w:val="1"/>
      <w:marLeft w:val="0"/>
      <w:marRight w:val="0"/>
      <w:marTop w:val="0"/>
      <w:marBottom w:val="0"/>
      <w:divBdr>
        <w:top w:val="none" w:sz="0" w:space="0" w:color="auto"/>
        <w:left w:val="none" w:sz="0" w:space="0" w:color="auto"/>
        <w:bottom w:val="none" w:sz="0" w:space="0" w:color="auto"/>
        <w:right w:val="none" w:sz="0" w:space="0" w:color="auto"/>
      </w:divBdr>
    </w:div>
    <w:div w:id="1836265471">
      <w:bodyDiv w:val="1"/>
      <w:marLeft w:val="0"/>
      <w:marRight w:val="0"/>
      <w:marTop w:val="0"/>
      <w:marBottom w:val="0"/>
      <w:divBdr>
        <w:top w:val="none" w:sz="0" w:space="0" w:color="auto"/>
        <w:left w:val="none" w:sz="0" w:space="0" w:color="auto"/>
        <w:bottom w:val="none" w:sz="0" w:space="0" w:color="auto"/>
        <w:right w:val="none" w:sz="0" w:space="0" w:color="auto"/>
      </w:divBdr>
    </w:div>
    <w:div w:id="1856113495">
      <w:bodyDiv w:val="1"/>
      <w:marLeft w:val="0"/>
      <w:marRight w:val="0"/>
      <w:marTop w:val="0"/>
      <w:marBottom w:val="0"/>
      <w:divBdr>
        <w:top w:val="none" w:sz="0" w:space="0" w:color="auto"/>
        <w:left w:val="none" w:sz="0" w:space="0" w:color="auto"/>
        <w:bottom w:val="none" w:sz="0" w:space="0" w:color="auto"/>
        <w:right w:val="none" w:sz="0" w:space="0" w:color="auto"/>
      </w:divBdr>
    </w:div>
    <w:div w:id="1877934977">
      <w:bodyDiv w:val="1"/>
      <w:marLeft w:val="0"/>
      <w:marRight w:val="0"/>
      <w:marTop w:val="0"/>
      <w:marBottom w:val="0"/>
      <w:divBdr>
        <w:top w:val="none" w:sz="0" w:space="0" w:color="auto"/>
        <w:left w:val="none" w:sz="0" w:space="0" w:color="auto"/>
        <w:bottom w:val="none" w:sz="0" w:space="0" w:color="auto"/>
        <w:right w:val="none" w:sz="0" w:space="0" w:color="auto"/>
      </w:divBdr>
    </w:div>
    <w:div w:id="1885097830">
      <w:bodyDiv w:val="1"/>
      <w:marLeft w:val="0"/>
      <w:marRight w:val="0"/>
      <w:marTop w:val="0"/>
      <w:marBottom w:val="0"/>
      <w:divBdr>
        <w:top w:val="none" w:sz="0" w:space="0" w:color="auto"/>
        <w:left w:val="none" w:sz="0" w:space="0" w:color="auto"/>
        <w:bottom w:val="none" w:sz="0" w:space="0" w:color="auto"/>
        <w:right w:val="none" w:sz="0" w:space="0" w:color="auto"/>
      </w:divBdr>
    </w:div>
    <w:div w:id="1909612513">
      <w:bodyDiv w:val="1"/>
      <w:marLeft w:val="0"/>
      <w:marRight w:val="0"/>
      <w:marTop w:val="0"/>
      <w:marBottom w:val="0"/>
      <w:divBdr>
        <w:top w:val="none" w:sz="0" w:space="0" w:color="auto"/>
        <w:left w:val="none" w:sz="0" w:space="0" w:color="auto"/>
        <w:bottom w:val="none" w:sz="0" w:space="0" w:color="auto"/>
        <w:right w:val="none" w:sz="0" w:space="0" w:color="auto"/>
      </w:divBdr>
    </w:div>
    <w:div w:id="1926112133">
      <w:bodyDiv w:val="1"/>
      <w:marLeft w:val="0"/>
      <w:marRight w:val="0"/>
      <w:marTop w:val="0"/>
      <w:marBottom w:val="0"/>
      <w:divBdr>
        <w:top w:val="none" w:sz="0" w:space="0" w:color="auto"/>
        <w:left w:val="none" w:sz="0" w:space="0" w:color="auto"/>
        <w:bottom w:val="none" w:sz="0" w:space="0" w:color="auto"/>
        <w:right w:val="none" w:sz="0" w:space="0" w:color="auto"/>
      </w:divBdr>
    </w:div>
    <w:div w:id="2013945967">
      <w:bodyDiv w:val="1"/>
      <w:marLeft w:val="0"/>
      <w:marRight w:val="0"/>
      <w:marTop w:val="0"/>
      <w:marBottom w:val="0"/>
      <w:divBdr>
        <w:top w:val="none" w:sz="0" w:space="0" w:color="auto"/>
        <w:left w:val="none" w:sz="0" w:space="0" w:color="auto"/>
        <w:bottom w:val="none" w:sz="0" w:space="0" w:color="auto"/>
        <w:right w:val="none" w:sz="0" w:space="0" w:color="auto"/>
      </w:divBdr>
    </w:div>
    <w:div w:id="2028604009">
      <w:bodyDiv w:val="1"/>
      <w:marLeft w:val="0"/>
      <w:marRight w:val="0"/>
      <w:marTop w:val="0"/>
      <w:marBottom w:val="0"/>
      <w:divBdr>
        <w:top w:val="none" w:sz="0" w:space="0" w:color="auto"/>
        <w:left w:val="none" w:sz="0" w:space="0" w:color="auto"/>
        <w:bottom w:val="none" w:sz="0" w:space="0" w:color="auto"/>
        <w:right w:val="none" w:sz="0" w:space="0" w:color="auto"/>
      </w:divBdr>
    </w:div>
    <w:div w:id="20556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73</TotalTime>
  <Pages>26</Pages>
  <Words>8119</Words>
  <Characters>51063</Characters>
  <Application>Microsoft Office Word</Application>
  <DocSecurity>0</DocSecurity>
  <Lines>425</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2025041050, MT</dc:description>
  <cp:lastModifiedBy>Gitte Jørgensen</cp:lastModifiedBy>
  <cp:revision>13</cp:revision>
  <cp:lastPrinted>2012-08-22T08:53:00Z</cp:lastPrinted>
  <dcterms:created xsi:type="dcterms:W3CDTF">2026-04-07T10:29:00Z</dcterms:created>
  <dcterms:modified xsi:type="dcterms:W3CDTF">2026-04-09T06:31:00Z</dcterms:modified>
</cp:coreProperties>
</file>