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7A053" w14:textId="77777777" w:rsidR="009260DE" w:rsidRPr="002F27FC" w:rsidRDefault="0021526C" w:rsidP="009260DE">
      <w:pPr>
        <w:rPr>
          <w:sz w:val="24"/>
          <w:szCs w:val="24"/>
        </w:rPr>
      </w:pPr>
      <w:bookmarkStart w:id="0" w:name="_GoBack"/>
      <w:bookmarkEnd w:id="0"/>
      <w:r w:rsidRPr="002F27FC">
        <w:rPr>
          <w:noProof/>
          <w:sz w:val="24"/>
          <w:szCs w:val="24"/>
          <w:lang w:eastAsia="da-DK"/>
        </w:rPr>
        <w:drawing>
          <wp:anchor distT="0" distB="0" distL="114300" distR="114300" simplePos="0" relativeHeight="251658240" behindDoc="0" locked="0" layoutInCell="1" allowOverlap="1" wp14:anchorId="353475EE" wp14:editId="389D03C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F27FC">
        <w:rPr>
          <w:sz w:val="24"/>
          <w:szCs w:val="24"/>
        </w:rPr>
        <w:br w:type="textWrapping" w:clear="all"/>
      </w:r>
    </w:p>
    <w:p w14:paraId="7B2C251D" w14:textId="18AAE5BC" w:rsidR="009260DE" w:rsidRPr="002F27FC" w:rsidRDefault="009260DE" w:rsidP="009260DE">
      <w:pPr>
        <w:pStyle w:val="Titel"/>
        <w:tabs>
          <w:tab w:val="right" w:pos="9356"/>
        </w:tabs>
        <w:jc w:val="left"/>
        <w:rPr>
          <w:b w:val="0"/>
          <w:szCs w:val="24"/>
          <w:lang w:eastAsia="en-US"/>
        </w:rPr>
      </w:pPr>
      <w:r w:rsidRPr="002F27FC">
        <w:rPr>
          <w:b w:val="0"/>
          <w:szCs w:val="24"/>
          <w:lang w:eastAsia="en-US"/>
        </w:rPr>
        <w:tab/>
      </w:r>
      <w:r w:rsidR="00A1112A">
        <w:rPr>
          <w:szCs w:val="24"/>
        </w:rPr>
        <w:t>3. oktober 2025</w:t>
      </w:r>
    </w:p>
    <w:p w14:paraId="6798D5A7" w14:textId="77777777" w:rsidR="009260DE" w:rsidRPr="002F27FC" w:rsidRDefault="009260DE" w:rsidP="009260DE">
      <w:pPr>
        <w:pStyle w:val="Titel"/>
        <w:tabs>
          <w:tab w:val="left" w:pos="8222"/>
        </w:tabs>
        <w:jc w:val="left"/>
        <w:rPr>
          <w:b w:val="0"/>
          <w:szCs w:val="24"/>
        </w:rPr>
      </w:pPr>
    </w:p>
    <w:p w14:paraId="6D494327" w14:textId="77777777" w:rsidR="009260DE" w:rsidRPr="002F27FC" w:rsidRDefault="009260DE" w:rsidP="009260DE">
      <w:pPr>
        <w:pStyle w:val="Titel"/>
        <w:jc w:val="left"/>
        <w:rPr>
          <w:b w:val="0"/>
          <w:szCs w:val="24"/>
        </w:rPr>
      </w:pPr>
    </w:p>
    <w:p w14:paraId="2EA2270E" w14:textId="77777777" w:rsidR="009260DE" w:rsidRPr="002F27FC" w:rsidRDefault="009260DE" w:rsidP="009260DE">
      <w:pPr>
        <w:pStyle w:val="Titel"/>
        <w:jc w:val="left"/>
        <w:rPr>
          <w:b w:val="0"/>
          <w:szCs w:val="24"/>
        </w:rPr>
      </w:pPr>
    </w:p>
    <w:p w14:paraId="1DC10F8B" w14:textId="77777777" w:rsidR="009260DE" w:rsidRPr="002F27FC" w:rsidRDefault="009260DE" w:rsidP="009260DE">
      <w:pPr>
        <w:jc w:val="center"/>
        <w:rPr>
          <w:b/>
          <w:sz w:val="24"/>
          <w:szCs w:val="24"/>
        </w:rPr>
      </w:pPr>
      <w:r w:rsidRPr="002F27FC">
        <w:rPr>
          <w:b/>
          <w:sz w:val="24"/>
          <w:szCs w:val="24"/>
        </w:rPr>
        <w:t>PRODUKTRESUMÉ</w:t>
      </w:r>
    </w:p>
    <w:p w14:paraId="127DF79A" w14:textId="77777777" w:rsidR="009260DE" w:rsidRPr="002F27FC" w:rsidRDefault="009260DE" w:rsidP="009260DE">
      <w:pPr>
        <w:jc w:val="center"/>
        <w:rPr>
          <w:b/>
          <w:sz w:val="24"/>
          <w:szCs w:val="24"/>
        </w:rPr>
      </w:pPr>
    </w:p>
    <w:p w14:paraId="059099F4" w14:textId="77777777" w:rsidR="009260DE" w:rsidRPr="002F27FC" w:rsidRDefault="009260DE" w:rsidP="009260DE">
      <w:pPr>
        <w:jc w:val="center"/>
        <w:rPr>
          <w:b/>
          <w:sz w:val="24"/>
          <w:szCs w:val="24"/>
        </w:rPr>
      </w:pPr>
      <w:r w:rsidRPr="002F27FC">
        <w:rPr>
          <w:b/>
          <w:sz w:val="24"/>
          <w:szCs w:val="24"/>
        </w:rPr>
        <w:t>for</w:t>
      </w:r>
    </w:p>
    <w:p w14:paraId="176ED24D" w14:textId="77777777" w:rsidR="000B058C" w:rsidRPr="002F27FC" w:rsidRDefault="000B058C" w:rsidP="009260DE">
      <w:pPr>
        <w:jc w:val="center"/>
        <w:rPr>
          <w:b/>
          <w:sz w:val="24"/>
          <w:szCs w:val="24"/>
        </w:rPr>
      </w:pPr>
    </w:p>
    <w:p w14:paraId="11869158" w14:textId="399D7A73" w:rsidR="009260DE" w:rsidRPr="002F27FC" w:rsidRDefault="009B243C" w:rsidP="009260DE">
      <w:pPr>
        <w:jc w:val="center"/>
        <w:rPr>
          <w:b/>
          <w:sz w:val="24"/>
          <w:szCs w:val="24"/>
        </w:rPr>
      </w:pPr>
      <w:proofErr w:type="spellStart"/>
      <w:r w:rsidRPr="002F27FC">
        <w:rPr>
          <w:b/>
          <w:sz w:val="24"/>
          <w:szCs w:val="24"/>
        </w:rPr>
        <w:t>Pamol</w:t>
      </w:r>
      <w:proofErr w:type="spellEnd"/>
      <w:r w:rsidRPr="002F27FC">
        <w:rPr>
          <w:b/>
          <w:sz w:val="24"/>
          <w:szCs w:val="24"/>
        </w:rPr>
        <w:t xml:space="preserve"> Swift, filmovertrukne tabletter</w:t>
      </w:r>
    </w:p>
    <w:p w14:paraId="72828760" w14:textId="77777777" w:rsidR="009260DE" w:rsidRPr="002F27FC" w:rsidRDefault="009260DE" w:rsidP="009260DE">
      <w:pPr>
        <w:jc w:val="both"/>
        <w:rPr>
          <w:sz w:val="24"/>
          <w:szCs w:val="24"/>
        </w:rPr>
      </w:pPr>
    </w:p>
    <w:p w14:paraId="149066BD" w14:textId="77777777" w:rsidR="009260DE" w:rsidRPr="002F27FC" w:rsidRDefault="009260DE" w:rsidP="009260DE">
      <w:pPr>
        <w:jc w:val="both"/>
        <w:rPr>
          <w:sz w:val="24"/>
          <w:szCs w:val="24"/>
        </w:rPr>
      </w:pPr>
    </w:p>
    <w:p w14:paraId="02C213B1" w14:textId="77777777" w:rsidR="009260DE" w:rsidRPr="002F27FC" w:rsidRDefault="009260DE" w:rsidP="009260DE">
      <w:pPr>
        <w:tabs>
          <w:tab w:val="left" w:pos="851"/>
        </w:tabs>
        <w:ind w:left="851" w:hanging="851"/>
        <w:rPr>
          <w:b/>
          <w:sz w:val="24"/>
          <w:szCs w:val="24"/>
        </w:rPr>
      </w:pPr>
      <w:r w:rsidRPr="002F27FC">
        <w:rPr>
          <w:b/>
          <w:sz w:val="24"/>
          <w:szCs w:val="24"/>
        </w:rPr>
        <w:t>0.</w:t>
      </w:r>
      <w:r w:rsidRPr="002F27FC">
        <w:rPr>
          <w:b/>
          <w:sz w:val="24"/>
          <w:szCs w:val="24"/>
        </w:rPr>
        <w:tab/>
        <w:t>D.SP.NR.</w:t>
      </w:r>
    </w:p>
    <w:p w14:paraId="6A7A1529" w14:textId="1AAB0331" w:rsidR="009260DE" w:rsidRPr="002F27FC" w:rsidRDefault="00A1112A" w:rsidP="009260DE">
      <w:pPr>
        <w:tabs>
          <w:tab w:val="left" w:pos="851"/>
        </w:tabs>
        <w:ind w:left="851"/>
        <w:rPr>
          <w:sz w:val="24"/>
          <w:szCs w:val="24"/>
        </w:rPr>
      </w:pPr>
      <w:r>
        <w:rPr>
          <w:sz w:val="24"/>
          <w:szCs w:val="24"/>
        </w:rPr>
        <w:t>06630</w:t>
      </w:r>
    </w:p>
    <w:p w14:paraId="688AB803" w14:textId="77777777" w:rsidR="009260DE" w:rsidRPr="002F27FC" w:rsidRDefault="009260DE" w:rsidP="009260DE">
      <w:pPr>
        <w:tabs>
          <w:tab w:val="left" w:pos="851"/>
        </w:tabs>
        <w:ind w:left="851"/>
        <w:rPr>
          <w:sz w:val="24"/>
          <w:szCs w:val="24"/>
        </w:rPr>
      </w:pPr>
    </w:p>
    <w:p w14:paraId="2CC22E12" w14:textId="77777777" w:rsidR="009260DE" w:rsidRPr="002F27FC" w:rsidRDefault="009260DE" w:rsidP="009260DE">
      <w:pPr>
        <w:tabs>
          <w:tab w:val="left" w:pos="851"/>
        </w:tabs>
        <w:ind w:left="851" w:hanging="851"/>
        <w:rPr>
          <w:b/>
          <w:sz w:val="24"/>
          <w:szCs w:val="24"/>
        </w:rPr>
      </w:pPr>
      <w:r w:rsidRPr="002F27FC">
        <w:rPr>
          <w:b/>
          <w:sz w:val="24"/>
          <w:szCs w:val="24"/>
        </w:rPr>
        <w:t>1.</w:t>
      </w:r>
      <w:r w:rsidRPr="002F27FC">
        <w:rPr>
          <w:b/>
          <w:sz w:val="24"/>
          <w:szCs w:val="24"/>
        </w:rPr>
        <w:tab/>
        <w:t>LÆGEMIDLETS NAVN</w:t>
      </w:r>
    </w:p>
    <w:p w14:paraId="306E405B" w14:textId="43BAA403" w:rsidR="009260DE" w:rsidRPr="002F27FC" w:rsidRDefault="009B243C" w:rsidP="009260DE">
      <w:pPr>
        <w:tabs>
          <w:tab w:val="left" w:pos="851"/>
        </w:tabs>
        <w:ind w:left="851"/>
        <w:rPr>
          <w:sz w:val="24"/>
          <w:szCs w:val="24"/>
        </w:rPr>
      </w:pPr>
      <w:proofErr w:type="spellStart"/>
      <w:r w:rsidRPr="002F27FC">
        <w:rPr>
          <w:sz w:val="24"/>
          <w:szCs w:val="24"/>
        </w:rPr>
        <w:t>Pamol</w:t>
      </w:r>
      <w:proofErr w:type="spellEnd"/>
      <w:r w:rsidRPr="002F27FC">
        <w:rPr>
          <w:sz w:val="24"/>
          <w:szCs w:val="24"/>
        </w:rPr>
        <w:t xml:space="preserve"> Swift</w:t>
      </w:r>
    </w:p>
    <w:p w14:paraId="10A7B868" w14:textId="77777777" w:rsidR="009260DE" w:rsidRPr="002F27FC" w:rsidRDefault="009260DE" w:rsidP="009260DE">
      <w:pPr>
        <w:tabs>
          <w:tab w:val="left" w:pos="851"/>
        </w:tabs>
        <w:ind w:left="851"/>
        <w:rPr>
          <w:sz w:val="24"/>
          <w:szCs w:val="24"/>
        </w:rPr>
      </w:pPr>
    </w:p>
    <w:p w14:paraId="0D5A1CFD" w14:textId="77777777" w:rsidR="009260DE" w:rsidRPr="002F27FC" w:rsidRDefault="009260DE" w:rsidP="009260DE">
      <w:pPr>
        <w:tabs>
          <w:tab w:val="left" w:pos="851"/>
        </w:tabs>
        <w:ind w:left="851" w:hanging="851"/>
        <w:rPr>
          <w:b/>
          <w:sz w:val="24"/>
          <w:szCs w:val="24"/>
        </w:rPr>
      </w:pPr>
      <w:r w:rsidRPr="002F27FC">
        <w:rPr>
          <w:b/>
          <w:sz w:val="24"/>
          <w:szCs w:val="24"/>
        </w:rPr>
        <w:t>2.</w:t>
      </w:r>
      <w:r w:rsidRPr="002F27FC">
        <w:rPr>
          <w:b/>
          <w:sz w:val="24"/>
          <w:szCs w:val="24"/>
        </w:rPr>
        <w:tab/>
        <w:t>KVALITATIV OG KVANTITATIV SAMMENSÆTNING</w:t>
      </w:r>
    </w:p>
    <w:p w14:paraId="6465F76D" w14:textId="77777777" w:rsidR="00AB20D0" w:rsidRPr="002F27FC" w:rsidRDefault="00AB20D0" w:rsidP="002F27FC">
      <w:pPr>
        <w:ind w:left="851"/>
        <w:rPr>
          <w:sz w:val="24"/>
          <w:szCs w:val="24"/>
        </w:rPr>
      </w:pPr>
      <w:r w:rsidRPr="002F27FC">
        <w:rPr>
          <w:sz w:val="24"/>
          <w:szCs w:val="24"/>
        </w:rPr>
        <w:t>Hver tablet indeholder 500 mg paracetamol.</w:t>
      </w:r>
    </w:p>
    <w:p w14:paraId="36D1F1DB" w14:textId="77777777" w:rsidR="00AB20D0" w:rsidRPr="002F27FC" w:rsidRDefault="00AB20D0" w:rsidP="002F27FC">
      <w:pPr>
        <w:ind w:left="851"/>
        <w:rPr>
          <w:sz w:val="24"/>
          <w:szCs w:val="24"/>
        </w:rPr>
      </w:pPr>
    </w:p>
    <w:p w14:paraId="2F382F8F" w14:textId="77777777" w:rsidR="00AB20D0" w:rsidRPr="002F27FC" w:rsidRDefault="00AB20D0" w:rsidP="002F27FC">
      <w:pPr>
        <w:ind w:left="851"/>
        <w:rPr>
          <w:sz w:val="24"/>
          <w:szCs w:val="24"/>
          <w:u w:val="single"/>
        </w:rPr>
      </w:pPr>
      <w:r w:rsidRPr="002F27FC">
        <w:rPr>
          <w:sz w:val="24"/>
          <w:szCs w:val="24"/>
          <w:u w:val="single"/>
        </w:rPr>
        <w:t>Hjælpestof, som behandleren skal være opmærksom på:</w:t>
      </w:r>
    </w:p>
    <w:p w14:paraId="198541FD" w14:textId="77777777" w:rsidR="00AB20D0" w:rsidRPr="002F27FC" w:rsidRDefault="00AB20D0" w:rsidP="002F27FC">
      <w:pPr>
        <w:ind w:left="851"/>
        <w:rPr>
          <w:sz w:val="24"/>
          <w:szCs w:val="24"/>
        </w:rPr>
      </w:pPr>
      <w:r w:rsidRPr="002F27FC">
        <w:rPr>
          <w:sz w:val="24"/>
          <w:szCs w:val="24"/>
        </w:rPr>
        <w:t>Hver filmovertrukket tablet indeholder 176 mg natrium.</w:t>
      </w:r>
    </w:p>
    <w:p w14:paraId="284153DD" w14:textId="77777777" w:rsidR="00AB20D0" w:rsidRPr="002F27FC" w:rsidRDefault="00AB20D0" w:rsidP="002F27FC">
      <w:pPr>
        <w:ind w:left="851"/>
        <w:rPr>
          <w:sz w:val="24"/>
          <w:szCs w:val="24"/>
        </w:rPr>
      </w:pPr>
    </w:p>
    <w:p w14:paraId="6D3B0DAA" w14:textId="77777777" w:rsidR="00AB20D0" w:rsidRPr="002F27FC" w:rsidRDefault="00AB20D0" w:rsidP="002F27FC">
      <w:pPr>
        <w:ind w:left="851"/>
        <w:rPr>
          <w:sz w:val="24"/>
          <w:szCs w:val="24"/>
        </w:rPr>
      </w:pPr>
      <w:r w:rsidRPr="002F27FC">
        <w:rPr>
          <w:sz w:val="24"/>
          <w:szCs w:val="24"/>
        </w:rPr>
        <w:t>Alle hjælpestoffer er anført under pkt. 6.1.</w:t>
      </w:r>
    </w:p>
    <w:p w14:paraId="68B6CFED" w14:textId="77777777" w:rsidR="009260DE" w:rsidRPr="002F27FC" w:rsidRDefault="009260DE" w:rsidP="009260DE">
      <w:pPr>
        <w:tabs>
          <w:tab w:val="left" w:pos="851"/>
        </w:tabs>
        <w:ind w:left="851"/>
        <w:rPr>
          <w:sz w:val="24"/>
          <w:szCs w:val="24"/>
        </w:rPr>
      </w:pPr>
    </w:p>
    <w:p w14:paraId="48539655" w14:textId="77777777" w:rsidR="009260DE" w:rsidRPr="002F27FC" w:rsidRDefault="009260DE" w:rsidP="009260DE">
      <w:pPr>
        <w:tabs>
          <w:tab w:val="left" w:pos="851"/>
        </w:tabs>
        <w:ind w:left="851" w:hanging="851"/>
        <w:rPr>
          <w:b/>
          <w:sz w:val="24"/>
          <w:szCs w:val="24"/>
        </w:rPr>
      </w:pPr>
      <w:r w:rsidRPr="002F27FC">
        <w:rPr>
          <w:b/>
          <w:sz w:val="24"/>
          <w:szCs w:val="24"/>
        </w:rPr>
        <w:t>3.</w:t>
      </w:r>
      <w:r w:rsidRPr="002F27FC">
        <w:rPr>
          <w:b/>
          <w:sz w:val="24"/>
          <w:szCs w:val="24"/>
        </w:rPr>
        <w:tab/>
        <w:t>LÆGEMIDDELFORM</w:t>
      </w:r>
    </w:p>
    <w:p w14:paraId="1B510112" w14:textId="52418B69" w:rsidR="00AB20D0" w:rsidRPr="002F27FC" w:rsidRDefault="00AB20D0" w:rsidP="002F27FC">
      <w:pPr>
        <w:ind w:left="851"/>
        <w:rPr>
          <w:sz w:val="24"/>
          <w:szCs w:val="24"/>
        </w:rPr>
      </w:pPr>
      <w:r w:rsidRPr="002F27FC">
        <w:rPr>
          <w:sz w:val="24"/>
          <w:szCs w:val="24"/>
        </w:rPr>
        <w:t>Filmovertrukne tabletter</w:t>
      </w:r>
    </w:p>
    <w:p w14:paraId="0DA2C258" w14:textId="77777777" w:rsidR="00AB20D0" w:rsidRPr="002F27FC" w:rsidRDefault="00AB20D0" w:rsidP="002F27FC">
      <w:pPr>
        <w:ind w:left="851"/>
        <w:rPr>
          <w:sz w:val="24"/>
          <w:szCs w:val="24"/>
        </w:rPr>
      </w:pPr>
    </w:p>
    <w:p w14:paraId="3806634A" w14:textId="77777777" w:rsidR="00AB20D0" w:rsidRPr="002F27FC" w:rsidRDefault="00AB20D0" w:rsidP="002F27FC">
      <w:pPr>
        <w:ind w:left="851"/>
        <w:rPr>
          <w:sz w:val="24"/>
          <w:szCs w:val="24"/>
        </w:rPr>
      </w:pPr>
      <w:r w:rsidRPr="002F27FC">
        <w:rPr>
          <w:sz w:val="24"/>
          <w:szCs w:val="24"/>
        </w:rPr>
        <w:t>Hvid, oval, filmovertrukket tablet mærket med ”P” på den ene side og uden mærkning på den anden side.</w:t>
      </w:r>
    </w:p>
    <w:p w14:paraId="681BE5FF" w14:textId="6C20BF9F" w:rsidR="00AB20D0" w:rsidRPr="002F27FC" w:rsidRDefault="00AB20D0" w:rsidP="002F27FC">
      <w:pPr>
        <w:ind w:left="851"/>
        <w:rPr>
          <w:sz w:val="24"/>
          <w:szCs w:val="24"/>
        </w:rPr>
      </w:pPr>
      <w:r w:rsidRPr="002F27FC">
        <w:rPr>
          <w:sz w:val="24"/>
          <w:szCs w:val="24"/>
        </w:rPr>
        <w:t xml:space="preserve">Tabletten måler 19 </w:t>
      </w:r>
      <w:r w:rsidR="006B115B">
        <w:rPr>
          <w:sz w:val="24"/>
          <w:szCs w:val="24"/>
        </w:rPr>
        <w:t>×</w:t>
      </w:r>
      <w:r w:rsidRPr="002F27FC">
        <w:rPr>
          <w:sz w:val="24"/>
          <w:szCs w:val="24"/>
        </w:rPr>
        <w:t xml:space="preserve"> 9 mm.</w:t>
      </w:r>
    </w:p>
    <w:p w14:paraId="28505171" w14:textId="77777777" w:rsidR="009260DE" w:rsidRPr="002F27FC" w:rsidRDefault="009260DE" w:rsidP="009260DE">
      <w:pPr>
        <w:tabs>
          <w:tab w:val="left" w:pos="851"/>
        </w:tabs>
        <w:ind w:left="851"/>
        <w:rPr>
          <w:sz w:val="24"/>
          <w:szCs w:val="24"/>
        </w:rPr>
      </w:pPr>
    </w:p>
    <w:p w14:paraId="2C511EE3" w14:textId="77777777" w:rsidR="009260DE" w:rsidRPr="002F27FC" w:rsidRDefault="009260DE" w:rsidP="009260DE">
      <w:pPr>
        <w:tabs>
          <w:tab w:val="left" w:pos="851"/>
        </w:tabs>
        <w:ind w:left="851"/>
        <w:rPr>
          <w:sz w:val="24"/>
          <w:szCs w:val="24"/>
        </w:rPr>
      </w:pPr>
    </w:p>
    <w:p w14:paraId="3F1AC534" w14:textId="77777777" w:rsidR="009260DE" w:rsidRPr="002F27FC" w:rsidRDefault="009260DE" w:rsidP="009260DE">
      <w:pPr>
        <w:tabs>
          <w:tab w:val="left" w:pos="851"/>
        </w:tabs>
        <w:ind w:left="851" w:hanging="851"/>
        <w:rPr>
          <w:b/>
          <w:sz w:val="24"/>
          <w:szCs w:val="24"/>
        </w:rPr>
      </w:pPr>
      <w:r w:rsidRPr="002F27FC">
        <w:rPr>
          <w:b/>
          <w:sz w:val="24"/>
          <w:szCs w:val="24"/>
        </w:rPr>
        <w:t>4.</w:t>
      </w:r>
      <w:r w:rsidRPr="002F27FC">
        <w:rPr>
          <w:b/>
          <w:sz w:val="24"/>
          <w:szCs w:val="24"/>
        </w:rPr>
        <w:tab/>
        <w:t>KLINISKE OPLYSNINGER</w:t>
      </w:r>
    </w:p>
    <w:p w14:paraId="010C3476" w14:textId="77777777" w:rsidR="009260DE" w:rsidRPr="002F27FC" w:rsidRDefault="009260DE" w:rsidP="009260DE">
      <w:pPr>
        <w:tabs>
          <w:tab w:val="left" w:pos="851"/>
        </w:tabs>
        <w:ind w:left="851"/>
        <w:rPr>
          <w:b/>
          <w:sz w:val="24"/>
          <w:szCs w:val="24"/>
        </w:rPr>
      </w:pPr>
    </w:p>
    <w:p w14:paraId="4C453ACE" w14:textId="77777777" w:rsidR="009260DE" w:rsidRPr="002F27FC" w:rsidRDefault="009260DE" w:rsidP="009260DE">
      <w:pPr>
        <w:tabs>
          <w:tab w:val="left" w:pos="851"/>
        </w:tabs>
        <w:ind w:left="851" w:hanging="851"/>
        <w:rPr>
          <w:b/>
          <w:sz w:val="24"/>
          <w:szCs w:val="24"/>
          <w:u w:val="single"/>
        </w:rPr>
      </w:pPr>
      <w:r w:rsidRPr="002F27FC">
        <w:rPr>
          <w:b/>
          <w:sz w:val="24"/>
          <w:szCs w:val="24"/>
        </w:rPr>
        <w:t>4.1</w:t>
      </w:r>
      <w:r w:rsidRPr="002F27FC">
        <w:rPr>
          <w:b/>
          <w:sz w:val="24"/>
          <w:szCs w:val="24"/>
        </w:rPr>
        <w:tab/>
        <w:t>Terapeutiske indikationer</w:t>
      </w:r>
    </w:p>
    <w:p w14:paraId="50944347" w14:textId="77777777" w:rsidR="00AB20D0" w:rsidRPr="002F27FC" w:rsidRDefault="00AB20D0" w:rsidP="002F27FC">
      <w:pPr>
        <w:ind w:left="851"/>
        <w:rPr>
          <w:sz w:val="24"/>
          <w:szCs w:val="24"/>
        </w:rPr>
      </w:pPr>
      <w:r w:rsidRPr="002F27FC">
        <w:rPr>
          <w:sz w:val="24"/>
          <w:szCs w:val="24"/>
        </w:rPr>
        <w:t xml:space="preserve">Symptomatisk behandling af hovedpine, tandpine, menstruationssmerter, muskel- og ledsmerter, smerter ved reumatiske sygdomme, feber i forbindelse med forkølelse og </w:t>
      </w:r>
      <w:proofErr w:type="spellStart"/>
      <w:r w:rsidRPr="002F27FC">
        <w:rPr>
          <w:sz w:val="24"/>
          <w:szCs w:val="24"/>
        </w:rPr>
        <w:t>hyperpyreksi</w:t>
      </w:r>
      <w:proofErr w:type="spellEnd"/>
      <w:r w:rsidRPr="002F27FC">
        <w:rPr>
          <w:sz w:val="24"/>
          <w:szCs w:val="24"/>
        </w:rPr>
        <w:t>.</w:t>
      </w:r>
    </w:p>
    <w:p w14:paraId="3A741845" w14:textId="77777777" w:rsidR="009260DE" w:rsidRPr="002F27FC" w:rsidRDefault="009260DE" w:rsidP="009260DE">
      <w:pPr>
        <w:tabs>
          <w:tab w:val="left" w:pos="851"/>
        </w:tabs>
        <w:ind w:left="851"/>
        <w:rPr>
          <w:sz w:val="24"/>
          <w:szCs w:val="24"/>
        </w:rPr>
      </w:pPr>
    </w:p>
    <w:p w14:paraId="12D3E84F" w14:textId="77777777" w:rsidR="009260DE" w:rsidRPr="002F27FC" w:rsidRDefault="009260DE" w:rsidP="009260DE">
      <w:pPr>
        <w:tabs>
          <w:tab w:val="left" w:pos="851"/>
        </w:tabs>
        <w:ind w:left="851" w:hanging="851"/>
        <w:rPr>
          <w:b/>
          <w:sz w:val="24"/>
          <w:szCs w:val="24"/>
        </w:rPr>
      </w:pPr>
      <w:r w:rsidRPr="002F27FC">
        <w:rPr>
          <w:b/>
          <w:sz w:val="24"/>
          <w:szCs w:val="24"/>
        </w:rPr>
        <w:t>4.2</w:t>
      </w:r>
      <w:r w:rsidRPr="002F27FC">
        <w:rPr>
          <w:b/>
          <w:sz w:val="24"/>
          <w:szCs w:val="24"/>
        </w:rPr>
        <w:tab/>
        <w:t xml:space="preserve">Dosering og </w:t>
      </w:r>
      <w:r w:rsidR="002C1EC0" w:rsidRPr="002F27FC">
        <w:rPr>
          <w:b/>
          <w:sz w:val="24"/>
          <w:szCs w:val="24"/>
        </w:rPr>
        <w:t>administration</w:t>
      </w:r>
    </w:p>
    <w:p w14:paraId="003C0EE6" w14:textId="77777777" w:rsidR="006B115B" w:rsidRDefault="006B115B" w:rsidP="002F27FC">
      <w:pPr>
        <w:ind w:left="851"/>
        <w:rPr>
          <w:sz w:val="24"/>
          <w:szCs w:val="24"/>
        </w:rPr>
      </w:pPr>
    </w:p>
    <w:p w14:paraId="63278B39" w14:textId="3F642714" w:rsidR="00AB20D0" w:rsidRPr="006B115B" w:rsidRDefault="00AB20D0" w:rsidP="002F27FC">
      <w:pPr>
        <w:ind w:left="851"/>
        <w:rPr>
          <w:sz w:val="24"/>
          <w:szCs w:val="24"/>
          <w:u w:val="single"/>
        </w:rPr>
      </w:pPr>
      <w:r w:rsidRPr="006B115B">
        <w:rPr>
          <w:sz w:val="24"/>
          <w:szCs w:val="24"/>
          <w:u w:val="single"/>
        </w:rPr>
        <w:t>Dosering</w:t>
      </w:r>
    </w:p>
    <w:p w14:paraId="7F14FD51" w14:textId="77777777" w:rsidR="00AB20D0" w:rsidRPr="002F27FC" w:rsidRDefault="00AB20D0" w:rsidP="002F27FC">
      <w:pPr>
        <w:ind w:left="851"/>
        <w:rPr>
          <w:sz w:val="24"/>
          <w:szCs w:val="24"/>
        </w:rPr>
      </w:pPr>
    </w:p>
    <w:p w14:paraId="6347170B" w14:textId="77777777" w:rsidR="00AB20D0" w:rsidRPr="002F27FC" w:rsidRDefault="00AB20D0" w:rsidP="002F27FC">
      <w:pPr>
        <w:ind w:left="851"/>
        <w:rPr>
          <w:i/>
          <w:sz w:val="24"/>
          <w:szCs w:val="24"/>
        </w:rPr>
      </w:pPr>
      <w:r w:rsidRPr="002F27FC">
        <w:rPr>
          <w:i/>
          <w:sz w:val="24"/>
          <w:szCs w:val="24"/>
        </w:rPr>
        <w:t>Voksne og unge over 40 kg (over 12 år):</w:t>
      </w:r>
    </w:p>
    <w:p w14:paraId="394BDC56" w14:textId="77777777" w:rsidR="00AB20D0" w:rsidRPr="002F27FC" w:rsidRDefault="00AB20D0" w:rsidP="002F27FC">
      <w:pPr>
        <w:ind w:left="851"/>
        <w:rPr>
          <w:iCs/>
          <w:sz w:val="24"/>
          <w:szCs w:val="24"/>
        </w:rPr>
      </w:pPr>
      <w:r w:rsidRPr="002F27FC">
        <w:rPr>
          <w:iCs/>
          <w:sz w:val="24"/>
          <w:szCs w:val="24"/>
        </w:rPr>
        <w:t>500 mg – 1 g hver 4. til 6. time, dog højst 4 g pr. døgn.</w:t>
      </w:r>
    </w:p>
    <w:p w14:paraId="2E5092D4" w14:textId="77777777" w:rsidR="00AB20D0" w:rsidRPr="002F27FC" w:rsidRDefault="00AB20D0" w:rsidP="002F27FC">
      <w:pPr>
        <w:ind w:left="851"/>
        <w:rPr>
          <w:iCs/>
          <w:sz w:val="24"/>
          <w:szCs w:val="24"/>
        </w:rPr>
      </w:pPr>
    </w:p>
    <w:p w14:paraId="641DA2B5" w14:textId="77777777" w:rsidR="00AB20D0" w:rsidRPr="002F27FC" w:rsidRDefault="00AB20D0" w:rsidP="002F27FC">
      <w:pPr>
        <w:ind w:left="851"/>
        <w:rPr>
          <w:iCs/>
          <w:sz w:val="24"/>
          <w:szCs w:val="24"/>
        </w:rPr>
      </w:pPr>
      <w:r w:rsidRPr="002F27FC">
        <w:rPr>
          <w:iCs/>
          <w:sz w:val="24"/>
          <w:szCs w:val="24"/>
        </w:rPr>
        <w:t>Den anbefalede dosis må ikke overskrides på grund af risikoen for leverskade (se pkt. 4.4 og 4.9).</w:t>
      </w:r>
    </w:p>
    <w:p w14:paraId="5FF7F5D5" w14:textId="77777777" w:rsidR="00AB20D0" w:rsidRPr="002F27FC" w:rsidRDefault="00AB20D0" w:rsidP="002F27FC">
      <w:pPr>
        <w:ind w:left="851"/>
        <w:rPr>
          <w:iCs/>
          <w:sz w:val="24"/>
          <w:szCs w:val="24"/>
        </w:rPr>
      </w:pPr>
    </w:p>
    <w:p w14:paraId="469EE4CA" w14:textId="77777777" w:rsidR="00AB20D0" w:rsidRPr="002F27FC" w:rsidRDefault="00AB20D0" w:rsidP="002F27FC">
      <w:pPr>
        <w:ind w:left="851"/>
        <w:rPr>
          <w:i/>
          <w:sz w:val="24"/>
          <w:szCs w:val="24"/>
        </w:rPr>
      </w:pPr>
      <w:r w:rsidRPr="002F27FC">
        <w:rPr>
          <w:i/>
          <w:sz w:val="24"/>
          <w:szCs w:val="24"/>
        </w:rPr>
        <w:t>Ældre patienter</w:t>
      </w:r>
    </w:p>
    <w:p w14:paraId="58BBEF40" w14:textId="77777777" w:rsidR="00AB20D0" w:rsidRPr="002F27FC" w:rsidRDefault="00AB20D0" w:rsidP="002F27FC">
      <w:pPr>
        <w:ind w:left="851"/>
        <w:rPr>
          <w:iCs/>
          <w:sz w:val="24"/>
          <w:szCs w:val="24"/>
        </w:rPr>
      </w:pPr>
      <w:r w:rsidRPr="002F27FC">
        <w:rPr>
          <w:iCs/>
          <w:sz w:val="24"/>
          <w:szCs w:val="24"/>
        </w:rPr>
        <w:t>Sædvanligvis er dosisjustering ikke nødvendig hos ældre. Dog bør det overvejes at reducere dosis eller forlænge doseringsintervallet hos svage, ældre patienter (se pkt. 4.4).</w:t>
      </w:r>
    </w:p>
    <w:p w14:paraId="3CD64A3C" w14:textId="77777777" w:rsidR="00AB20D0" w:rsidRPr="002F27FC" w:rsidRDefault="00AB20D0" w:rsidP="002F27FC">
      <w:pPr>
        <w:ind w:left="851"/>
        <w:rPr>
          <w:iCs/>
          <w:sz w:val="24"/>
          <w:szCs w:val="24"/>
        </w:rPr>
      </w:pPr>
    </w:p>
    <w:p w14:paraId="03EAAD6D" w14:textId="77777777" w:rsidR="00AB20D0" w:rsidRPr="002F27FC" w:rsidRDefault="00AB20D0" w:rsidP="002F27FC">
      <w:pPr>
        <w:ind w:left="851"/>
        <w:rPr>
          <w:i/>
          <w:sz w:val="24"/>
          <w:szCs w:val="24"/>
        </w:rPr>
      </w:pPr>
      <w:r w:rsidRPr="002F27FC">
        <w:rPr>
          <w:i/>
          <w:sz w:val="24"/>
          <w:szCs w:val="24"/>
        </w:rPr>
        <w:t>Nedsat nyrefunktion</w:t>
      </w:r>
    </w:p>
    <w:p w14:paraId="5D0BE8F7" w14:textId="77777777" w:rsidR="00AB20D0" w:rsidRPr="002F27FC" w:rsidRDefault="00AB20D0" w:rsidP="002F27FC">
      <w:pPr>
        <w:ind w:left="851"/>
        <w:rPr>
          <w:iCs/>
          <w:sz w:val="24"/>
          <w:szCs w:val="24"/>
        </w:rPr>
      </w:pPr>
      <w:r w:rsidRPr="002F27FC">
        <w:rPr>
          <w:iCs/>
          <w:sz w:val="24"/>
          <w:szCs w:val="24"/>
        </w:rPr>
        <w:t>Hos patienter med nedsat nyrefunktion skal dosis reduceres og doseringsintervallet forlænges til minimum hver 6. time.</w:t>
      </w:r>
    </w:p>
    <w:p w14:paraId="2CF538AD" w14:textId="77777777" w:rsidR="00AB20D0" w:rsidRPr="002F27FC" w:rsidRDefault="00AB20D0" w:rsidP="002F27FC">
      <w:pPr>
        <w:ind w:left="851"/>
        <w:rPr>
          <w:iCs/>
          <w:sz w:val="24"/>
          <w:szCs w:val="24"/>
        </w:rPr>
      </w:pPr>
    </w:p>
    <w:p w14:paraId="568C22BB" w14:textId="77777777" w:rsidR="00AB20D0" w:rsidRPr="002F27FC" w:rsidRDefault="00AB20D0" w:rsidP="002F27FC">
      <w:pPr>
        <w:ind w:left="851"/>
        <w:rPr>
          <w:i/>
          <w:sz w:val="24"/>
          <w:szCs w:val="24"/>
        </w:rPr>
      </w:pPr>
      <w:r w:rsidRPr="002F27FC">
        <w:rPr>
          <w:i/>
          <w:sz w:val="24"/>
          <w:szCs w:val="24"/>
        </w:rPr>
        <w:t>Nedsat leverfunktion</w:t>
      </w:r>
    </w:p>
    <w:p w14:paraId="591D50A0" w14:textId="77777777" w:rsidR="00AB20D0" w:rsidRPr="002F27FC" w:rsidRDefault="00AB20D0" w:rsidP="002F27FC">
      <w:pPr>
        <w:ind w:left="851"/>
        <w:rPr>
          <w:iCs/>
          <w:sz w:val="24"/>
          <w:szCs w:val="24"/>
        </w:rPr>
      </w:pPr>
      <w:r w:rsidRPr="002F27FC">
        <w:rPr>
          <w:iCs/>
          <w:sz w:val="24"/>
          <w:szCs w:val="24"/>
        </w:rPr>
        <w:t>Hos patienter med nedsat leverfunktion eller Gilberts syndrom bør dosis reduceres eller doseringsintervallet forlænges (se pkt. 4.3 og 4.4).</w:t>
      </w:r>
    </w:p>
    <w:p w14:paraId="54AAEB28" w14:textId="77777777" w:rsidR="00AB20D0" w:rsidRPr="002F27FC" w:rsidRDefault="00AB20D0" w:rsidP="002F27FC">
      <w:pPr>
        <w:ind w:left="851"/>
        <w:rPr>
          <w:sz w:val="24"/>
          <w:szCs w:val="24"/>
        </w:rPr>
      </w:pPr>
    </w:p>
    <w:p w14:paraId="3C0C3FFD" w14:textId="77777777" w:rsidR="00AB20D0" w:rsidRPr="006B115B" w:rsidRDefault="00AB20D0" w:rsidP="002F27FC">
      <w:pPr>
        <w:ind w:left="851"/>
        <w:rPr>
          <w:sz w:val="24"/>
          <w:szCs w:val="24"/>
          <w:u w:val="single"/>
        </w:rPr>
      </w:pPr>
      <w:r w:rsidRPr="006B115B">
        <w:rPr>
          <w:sz w:val="24"/>
          <w:szCs w:val="24"/>
          <w:u w:val="single"/>
        </w:rPr>
        <w:t>Administration</w:t>
      </w:r>
    </w:p>
    <w:p w14:paraId="3CFF9A50" w14:textId="77777777" w:rsidR="00AB20D0" w:rsidRPr="002F27FC" w:rsidRDefault="00AB20D0" w:rsidP="002F27FC">
      <w:pPr>
        <w:ind w:left="851"/>
        <w:rPr>
          <w:sz w:val="24"/>
          <w:szCs w:val="24"/>
        </w:rPr>
      </w:pPr>
      <w:r w:rsidRPr="002F27FC">
        <w:rPr>
          <w:sz w:val="24"/>
          <w:szCs w:val="24"/>
        </w:rPr>
        <w:t>Oral anvendelse.</w:t>
      </w:r>
    </w:p>
    <w:p w14:paraId="6C0E63E7" w14:textId="77777777" w:rsidR="009260DE" w:rsidRPr="002F27FC" w:rsidRDefault="009260DE" w:rsidP="009260DE">
      <w:pPr>
        <w:tabs>
          <w:tab w:val="left" w:pos="851"/>
        </w:tabs>
        <w:ind w:left="851"/>
        <w:rPr>
          <w:sz w:val="24"/>
          <w:szCs w:val="24"/>
        </w:rPr>
      </w:pPr>
    </w:p>
    <w:p w14:paraId="7F1B8681" w14:textId="77777777" w:rsidR="009260DE" w:rsidRPr="002F27FC" w:rsidRDefault="009260DE" w:rsidP="009260DE">
      <w:pPr>
        <w:tabs>
          <w:tab w:val="left" w:pos="851"/>
        </w:tabs>
        <w:ind w:left="851" w:hanging="851"/>
        <w:rPr>
          <w:b/>
          <w:sz w:val="24"/>
          <w:szCs w:val="24"/>
        </w:rPr>
      </w:pPr>
      <w:r w:rsidRPr="002F27FC">
        <w:rPr>
          <w:b/>
          <w:sz w:val="24"/>
          <w:szCs w:val="24"/>
        </w:rPr>
        <w:t>4.3</w:t>
      </w:r>
      <w:r w:rsidRPr="002F27FC">
        <w:rPr>
          <w:b/>
          <w:sz w:val="24"/>
          <w:szCs w:val="24"/>
        </w:rPr>
        <w:tab/>
        <w:t>Kontraindikationer</w:t>
      </w:r>
    </w:p>
    <w:p w14:paraId="7BAE2981" w14:textId="77777777" w:rsidR="00AB20D0" w:rsidRPr="002F27FC" w:rsidRDefault="00AB20D0" w:rsidP="002F27FC">
      <w:pPr>
        <w:ind w:left="851"/>
        <w:rPr>
          <w:sz w:val="24"/>
          <w:szCs w:val="24"/>
        </w:rPr>
      </w:pPr>
      <w:r w:rsidRPr="002F27FC">
        <w:rPr>
          <w:sz w:val="24"/>
          <w:szCs w:val="24"/>
        </w:rPr>
        <w:t>Overfølsomhed over for det aktive stof eller over for et eller flere af hjælpestofferne anført i pkt. 6.1.</w:t>
      </w:r>
    </w:p>
    <w:p w14:paraId="637B3891" w14:textId="77777777" w:rsidR="00AB20D0" w:rsidRPr="002F27FC" w:rsidRDefault="00AB20D0" w:rsidP="002F27FC">
      <w:pPr>
        <w:ind w:left="851"/>
        <w:rPr>
          <w:sz w:val="24"/>
          <w:szCs w:val="24"/>
        </w:rPr>
      </w:pPr>
      <w:r w:rsidRPr="002F27FC">
        <w:rPr>
          <w:sz w:val="24"/>
          <w:szCs w:val="24"/>
        </w:rPr>
        <w:t>Svær leverinsufficiens.</w:t>
      </w:r>
    </w:p>
    <w:p w14:paraId="5D12DC9C" w14:textId="77777777" w:rsidR="009260DE" w:rsidRPr="002F27FC" w:rsidRDefault="009260DE" w:rsidP="009260DE">
      <w:pPr>
        <w:tabs>
          <w:tab w:val="left" w:pos="851"/>
        </w:tabs>
        <w:ind w:left="851"/>
        <w:rPr>
          <w:sz w:val="24"/>
          <w:szCs w:val="24"/>
        </w:rPr>
      </w:pPr>
    </w:p>
    <w:p w14:paraId="37A6258A" w14:textId="77777777" w:rsidR="009260DE" w:rsidRPr="002F27FC" w:rsidRDefault="009260DE" w:rsidP="009260DE">
      <w:pPr>
        <w:tabs>
          <w:tab w:val="left" w:pos="851"/>
        </w:tabs>
        <w:ind w:left="851" w:hanging="851"/>
        <w:rPr>
          <w:b/>
          <w:sz w:val="24"/>
          <w:szCs w:val="24"/>
        </w:rPr>
      </w:pPr>
      <w:r w:rsidRPr="002F27FC">
        <w:rPr>
          <w:b/>
          <w:sz w:val="24"/>
          <w:szCs w:val="24"/>
        </w:rPr>
        <w:t>4.4</w:t>
      </w:r>
      <w:r w:rsidRPr="002F27FC">
        <w:rPr>
          <w:b/>
          <w:sz w:val="24"/>
          <w:szCs w:val="24"/>
        </w:rPr>
        <w:tab/>
        <w:t>Særlige advarsler og forsigtighedsregler vedrørende brugen</w:t>
      </w:r>
    </w:p>
    <w:p w14:paraId="0DC62BF9" w14:textId="77777777" w:rsidR="00AB20D0" w:rsidRPr="002F27FC" w:rsidRDefault="00AB20D0" w:rsidP="002F27FC">
      <w:pPr>
        <w:ind w:left="851"/>
        <w:rPr>
          <w:sz w:val="24"/>
          <w:szCs w:val="24"/>
          <w:lang w:eastAsia="en-GB"/>
        </w:rPr>
      </w:pPr>
      <w:r w:rsidRPr="002F27FC">
        <w:rPr>
          <w:sz w:val="24"/>
          <w:szCs w:val="24"/>
          <w:lang w:eastAsia="en-GB"/>
        </w:rPr>
        <w:t>Ved mistanke om overdosering skal patienten behandles straks, på grund af risikoen for alvorlig leverskade – også selvom patienten er velbefindende (se pkt. 4.9).</w:t>
      </w:r>
    </w:p>
    <w:p w14:paraId="06919A8B" w14:textId="77777777" w:rsidR="00AB20D0" w:rsidRPr="002F27FC" w:rsidRDefault="00AB20D0" w:rsidP="002F27FC">
      <w:pPr>
        <w:ind w:left="851"/>
        <w:rPr>
          <w:sz w:val="24"/>
          <w:szCs w:val="24"/>
          <w:lang w:eastAsia="en-GB"/>
        </w:rPr>
      </w:pPr>
    </w:p>
    <w:p w14:paraId="1AE28AFC" w14:textId="77777777" w:rsidR="00AB20D0" w:rsidRPr="002F27FC" w:rsidRDefault="00AB20D0" w:rsidP="002F27FC">
      <w:pPr>
        <w:ind w:left="851"/>
        <w:rPr>
          <w:sz w:val="24"/>
          <w:szCs w:val="24"/>
        </w:rPr>
      </w:pPr>
      <w:r w:rsidRPr="002F27FC">
        <w:rPr>
          <w:sz w:val="24"/>
          <w:szCs w:val="24"/>
        </w:rPr>
        <w:t>Langvarig brug af ethvert smertestillende middel mod hovedpine kan forværre hovedpinen. Hvis denne tilstand udvikles eller mistænkes, bør hovedpinebehandlingen seponeres. Medicinoverforbrugshovedpine bør mistænkes hos patienter med hyppige eller daglige hovedpineanfald på trods af (eller på grund af) regelmæssig brug af smertestillende medicin.</w:t>
      </w:r>
    </w:p>
    <w:p w14:paraId="7FFA99C5" w14:textId="77777777" w:rsidR="00AB20D0" w:rsidRPr="002F27FC" w:rsidRDefault="00AB20D0" w:rsidP="002F27FC">
      <w:pPr>
        <w:ind w:left="851"/>
        <w:rPr>
          <w:sz w:val="24"/>
          <w:szCs w:val="24"/>
        </w:rPr>
      </w:pPr>
    </w:p>
    <w:p w14:paraId="4BEA0B8F" w14:textId="77777777" w:rsidR="00AB20D0" w:rsidRPr="002F27FC" w:rsidRDefault="00AB20D0" w:rsidP="002F27FC">
      <w:pPr>
        <w:ind w:left="851"/>
        <w:rPr>
          <w:sz w:val="24"/>
          <w:szCs w:val="24"/>
        </w:rPr>
      </w:pPr>
      <w:r w:rsidRPr="002F27FC">
        <w:rPr>
          <w:sz w:val="24"/>
          <w:szCs w:val="24"/>
        </w:rPr>
        <w:t xml:space="preserve">Der bør udvises forsigtighed hos astmapatienter, som er følsomme for acetylsalicylsyre, da der er beskrevet let </w:t>
      </w:r>
      <w:proofErr w:type="spellStart"/>
      <w:r w:rsidRPr="002F27FC">
        <w:rPr>
          <w:sz w:val="24"/>
          <w:szCs w:val="24"/>
        </w:rPr>
        <w:t>bronkospasme</w:t>
      </w:r>
      <w:proofErr w:type="spellEnd"/>
      <w:r w:rsidRPr="002F27FC">
        <w:rPr>
          <w:sz w:val="24"/>
          <w:szCs w:val="24"/>
        </w:rPr>
        <w:t xml:space="preserve"> ved kombination med paracetamol (krydsreaktion).</w:t>
      </w:r>
    </w:p>
    <w:p w14:paraId="6CCA437D" w14:textId="77777777" w:rsidR="00AB20D0" w:rsidRPr="002F27FC" w:rsidRDefault="00AB20D0" w:rsidP="002F27FC">
      <w:pPr>
        <w:ind w:left="851"/>
        <w:rPr>
          <w:sz w:val="24"/>
          <w:szCs w:val="24"/>
        </w:rPr>
      </w:pPr>
    </w:p>
    <w:p w14:paraId="268C0ABF" w14:textId="77777777" w:rsidR="00AB20D0" w:rsidRPr="002F27FC" w:rsidRDefault="00AB20D0" w:rsidP="002F27FC">
      <w:pPr>
        <w:ind w:left="851"/>
        <w:rPr>
          <w:sz w:val="24"/>
          <w:szCs w:val="24"/>
        </w:rPr>
      </w:pPr>
      <w:r w:rsidRPr="002F27FC">
        <w:rPr>
          <w:sz w:val="24"/>
          <w:szCs w:val="24"/>
        </w:rPr>
        <w:t xml:space="preserve">Anvendelse af paracetamol kan øge risikoen for metabolisk </w:t>
      </w:r>
      <w:proofErr w:type="spellStart"/>
      <w:r w:rsidRPr="002F27FC">
        <w:rPr>
          <w:sz w:val="24"/>
          <w:szCs w:val="24"/>
        </w:rPr>
        <w:t>acidose</w:t>
      </w:r>
      <w:proofErr w:type="spellEnd"/>
      <w:r w:rsidRPr="002F27FC">
        <w:rPr>
          <w:sz w:val="24"/>
          <w:szCs w:val="24"/>
        </w:rPr>
        <w:t xml:space="preserve"> hos patienter med </w:t>
      </w:r>
      <w:proofErr w:type="spellStart"/>
      <w:r w:rsidRPr="002F27FC">
        <w:rPr>
          <w:sz w:val="24"/>
          <w:szCs w:val="24"/>
        </w:rPr>
        <w:t>glutathionmangel</w:t>
      </w:r>
      <w:proofErr w:type="spellEnd"/>
      <w:r w:rsidRPr="002F27FC">
        <w:rPr>
          <w:sz w:val="24"/>
          <w:szCs w:val="24"/>
        </w:rPr>
        <w:t>, som ved f.eks. sepsis.</w:t>
      </w:r>
    </w:p>
    <w:p w14:paraId="6585106F" w14:textId="77777777" w:rsidR="00AB20D0" w:rsidRPr="002F27FC" w:rsidRDefault="00AB20D0" w:rsidP="002F27FC">
      <w:pPr>
        <w:ind w:left="851"/>
        <w:rPr>
          <w:sz w:val="24"/>
          <w:szCs w:val="24"/>
        </w:rPr>
      </w:pPr>
    </w:p>
    <w:p w14:paraId="3CD4645E" w14:textId="77777777" w:rsidR="00AB20D0" w:rsidRPr="002F27FC" w:rsidRDefault="00AB20D0" w:rsidP="002F27FC">
      <w:pPr>
        <w:ind w:left="851"/>
        <w:rPr>
          <w:sz w:val="24"/>
          <w:szCs w:val="24"/>
          <w:lang w:eastAsia="en-GB"/>
        </w:rPr>
      </w:pPr>
      <w:r w:rsidRPr="002F27FC">
        <w:rPr>
          <w:sz w:val="24"/>
          <w:szCs w:val="24"/>
        </w:rPr>
        <w:t>Der bør udvises forsigtighed ved administration af paracetamol til patienter med moderat til svær nyreinsufficiens.</w:t>
      </w:r>
    </w:p>
    <w:p w14:paraId="3B1B2F28" w14:textId="77777777" w:rsidR="00AB20D0" w:rsidRPr="002F27FC" w:rsidRDefault="00AB20D0" w:rsidP="002F27FC">
      <w:pPr>
        <w:ind w:left="851"/>
        <w:rPr>
          <w:sz w:val="24"/>
          <w:szCs w:val="24"/>
          <w:lang w:eastAsia="en-GB"/>
        </w:rPr>
      </w:pPr>
    </w:p>
    <w:p w14:paraId="1CECF689" w14:textId="20AF945D" w:rsidR="00AB20D0" w:rsidRPr="002F27FC" w:rsidRDefault="00AB20D0" w:rsidP="002F27FC">
      <w:pPr>
        <w:ind w:left="851"/>
        <w:rPr>
          <w:sz w:val="24"/>
          <w:szCs w:val="24"/>
        </w:rPr>
      </w:pPr>
      <w:r w:rsidRPr="002F27FC">
        <w:rPr>
          <w:sz w:val="24"/>
          <w:szCs w:val="24"/>
        </w:rPr>
        <w:t xml:space="preserve">Der skal udvises forsigtighed ved nedsat leverfunktion. </w:t>
      </w:r>
      <w:proofErr w:type="spellStart"/>
      <w:r w:rsidRPr="002F27FC">
        <w:rPr>
          <w:sz w:val="24"/>
          <w:szCs w:val="24"/>
        </w:rPr>
        <w:t>Pamol</w:t>
      </w:r>
      <w:proofErr w:type="spellEnd"/>
      <w:r w:rsidRPr="002F27FC">
        <w:rPr>
          <w:sz w:val="24"/>
          <w:szCs w:val="24"/>
        </w:rPr>
        <w:t xml:space="preserve"> </w:t>
      </w:r>
      <w:r w:rsidR="00053B28">
        <w:rPr>
          <w:sz w:val="24"/>
          <w:szCs w:val="24"/>
        </w:rPr>
        <w:t>Swift</w:t>
      </w:r>
      <w:r w:rsidRPr="002F27FC">
        <w:rPr>
          <w:sz w:val="24"/>
          <w:szCs w:val="24"/>
        </w:rPr>
        <w:t xml:space="preserve"> må ikke anvendes sammen med andre </w:t>
      </w:r>
      <w:proofErr w:type="spellStart"/>
      <w:r w:rsidRPr="002F27FC">
        <w:rPr>
          <w:sz w:val="24"/>
          <w:szCs w:val="24"/>
        </w:rPr>
        <w:t>analgetika</w:t>
      </w:r>
      <w:proofErr w:type="spellEnd"/>
      <w:r w:rsidRPr="002F27FC">
        <w:rPr>
          <w:sz w:val="24"/>
          <w:szCs w:val="24"/>
        </w:rPr>
        <w:t>, der indeholder paracetamol (som f.eks. kombinations</w:t>
      </w:r>
      <w:r w:rsidR="002E22E3">
        <w:rPr>
          <w:sz w:val="24"/>
          <w:szCs w:val="24"/>
        </w:rPr>
        <w:softHyphen/>
      </w:r>
      <w:r w:rsidRPr="002F27FC">
        <w:rPr>
          <w:sz w:val="24"/>
          <w:szCs w:val="24"/>
        </w:rPr>
        <w:t xml:space="preserve">præparater). Overdosering kan forårsage svær leverskade. De kliniske tegn på leverskade opstår normalt 48 timer efter indtagelse og kulminerer inden for 4-6 dage. Behandling med </w:t>
      </w:r>
      <w:proofErr w:type="spellStart"/>
      <w:r w:rsidRPr="002F27FC">
        <w:rPr>
          <w:sz w:val="24"/>
          <w:szCs w:val="24"/>
        </w:rPr>
        <w:t>antidot</w:t>
      </w:r>
      <w:proofErr w:type="spellEnd"/>
      <w:r w:rsidRPr="002F27FC">
        <w:rPr>
          <w:sz w:val="24"/>
          <w:szCs w:val="24"/>
        </w:rPr>
        <w:t xml:space="preserve"> bør gives hurtigst muligt.</w:t>
      </w:r>
      <w:r w:rsidR="006B115B">
        <w:rPr>
          <w:sz w:val="24"/>
          <w:szCs w:val="24"/>
        </w:rPr>
        <w:t xml:space="preserve"> </w:t>
      </w:r>
      <w:r w:rsidRPr="002F27FC">
        <w:rPr>
          <w:sz w:val="24"/>
          <w:szCs w:val="24"/>
        </w:rPr>
        <w:t>Se også pkt. 4.9 Overdosering. I tilfælde af høj feber, tegn på sekundær infektion eller vedvarende symptomer i mere end 3 dage bør behandlingen reevalueres.</w:t>
      </w:r>
    </w:p>
    <w:p w14:paraId="49BAB9EA" w14:textId="77777777" w:rsidR="00AB20D0" w:rsidRPr="002F27FC" w:rsidRDefault="00AB20D0" w:rsidP="002F27FC">
      <w:pPr>
        <w:ind w:left="851"/>
        <w:rPr>
          <w:sz w:val="24"/>
          <w:szCs w:val="24"/>
        </w:rPr>
      </w:pPr>
      <w:r w:rsidRPr="002F27FC">
        <w:rPr>
          <w:sz w:val="24"/>
          <w:szCs w:val="24"/>
        </w:rPr>
        <w:t>Paracetamol bør administreres med særlig forsigtighed til patienter med følgende tilstande:</w:t>
      </w:r>
    </w:p>
    <w:p w14:paraId="1B7B1F2D" w14:textId="77777777" w:rsidR="00AB20D0" w:rsidRPr="006B115B" w:rsidRDefault="00AB20D0" w:rsidP="006B115B">
      <w:pPr>
        <w:pStyle w:val="Listeafsnit"/>
        <w:numPr>
          <w:ilvl w:val="0"/>
          <w:numId w:val="7"/>
        </w:numPr>
        <w:tabs>
          <w:tab w:val="clear" w:pos="567"/>
        </w:tabs>
        <w:ind w:left="1276" w:hanging="425"/>
        <w:rPr>
          <w:sz w:val="24"/>
          <w:szCs w:val="24"/>
        </w:rPr>
      </w:pPr>
      <w:proofErr w:type="spellStart"/>
      <w:r w:rsidRPr="006B115B">
        <w:rPr>
          <w:sz w:val="24"/>
          <w:szCs w:val="24"/>
        </w:rPr>
        <w:lastRenderedPageBreak/>
        <w:t>nedsat</w:t>
      </w:r>
      <w:proofErr w:type="spellEnd"/>
      <w:r w:rsidRPr="006B115B">
        <w:rPr>
          <w:sz w:val="24"/>
          <w:szCs w:val="24"/>
        </w:rPr>
        <w:t xml:space="preserve"> </w:t>
      </w:r>
      <w:proofErr w:type="spellStart"/>
      <w:r w:rsidRPr="006B115B">
        <w:rPr>
          <w:sz w:val="24"/>
          <w:szCs w:val="24"/>
        </w:rPr>
        <w:t>leverfunktion</w:t>
      </w:r>
      <w:proofErr w:type="spellEnd"/>
    </w:p>
    <w:p w14:paraId="5D67BAAB" w14:textId="77777777" w:rsidR="00AB20D0" w:rsidRPr="006B115B" w:rsidRDefault="00AB20D0" w:rsidP="006B115B">
      <w:pPr>
        <w:pStyle w:val="Listeafsnit"/>
        <w:numPr>
          <w:ilvl w:val="0"/>
          <w:numId w:val="7"/>
        </w:numPr>
        <w:tabs>
          <w:tab w:val="clear" w:pos="567"/>
        </w:tabs>
        <w:ind w:left="1276" w:hanging="425"/>
        <w:rPr>
          <w:sz w:val="24"/>
          <w:szCs w:val="24"/>
        </w:rPr>
      </w:pPr>
      <w:r w:rsidRPr="006B115B">
        <w:rPr>
          <w:sz w:val="24"/>
          <w:szCs w:val="24"/>
        </w:rPr>
        <w:t>kronisk alkoholisme</w:t>
      </w:r>
    </w:p>
    <w:p w14:paraId="6F710A3C" w14:textId="77777777" w:rsidR="00AB20D0" w:rsidRPr="00A1112A" w:rsidRDefault="00AB20D0" w:rsidP="006B115B">
      <w:pPr>
        <w:pStyle w:val="Listeafsnit"/>
        <w:numPr>
          <w:ilvl w:val="0"/>
          <w:numId w:val="7"/>
        </w:numPr>
        <w:tabs>
          <w:tab w:val="clear" w:pos="567"/>
        </w:tabs>
        <w:ind w:left="1276" w:hanging="425"/>
        <w:rPr>
          <w:sz w:val="24"/>
          <w:szCs w:val="24"/>
          <w:lang w:val="da-DK"/>
        </w:rPr>
      </w:pPr>
      <w:r w:rsidRPr="00A1112A">
        <w:rPr>
          <w:sz w:val="24"/>
          <w:szCs w:val="24"/>
          <w:lang w:val="da-DK"/>
        </w:rPr>
        <w:t>Gilberts syndrom (familiær ikke-</w:t>
      </w:r>
      <w:proofErr w:type="spellStart"/>
      <w:r w:rsidRPr="00A1112A">
        <w:rPr>
          <w:sz w:val="24"/>
          <w:szCs w:val="24"/>
          <w:lang w:val="da-DK"/>
        </w:rPr>
        <w:t>hæmolytisk</w:t>
      </w:r>
      <w:proofErr w:type="spellEnd"/>
      <w:r w:rsidRPr="00A1112A">
        <w:rPr>
          <w:sz w:val="24"/>
          <w:szCs w:val="24"/>
          <w:lang w:val="da-DK"/>
        </w:rPr>
        <w:t xml:space="preserve"> gulsot)</w:t>
      </w:r>
    </w:p>
    <w:p w14:paraId="5EA29103" w14:textId="77777777" w:rsidR="00AB20D0" w:rsidRPr="006B115B" w:rsidRDefault="00AB20D0" w:rsidP="006B115B">
      <w:pPr>
        <w:pStyle w:val="Listeafsnit"/>
        <w:numPr>
          <w:ilvl w:val="0"/>
          <w:numId w:val="7"/>
        </w:numPr>
        <w:tabs>
          <w:tab w:val="clear" w:pos="567"/>
        </w:tabs>
        <w:ind w:left="1276" w:hanging="425"/>
        <w:rPr>
          <w:sz w:val="24"/>
          <w:szCs w:val="24"/>
        </w:rPr>
      </w:pPr>
      <w:proofErr w:type="spellStart"/>
      <w:r w:rsidRPr="006B115B">
        <w:rPr>
          <w:sz w:val="24"/>
          <w:szCs w:val="24"/>
        </w:rPr>
        <w:t>dehydrering</w:t>
      </w:r>
      <w:proofErr w:type="spellEnd"/>
    </w:p>
    <w:p w14:paraId="1DA20B9D" w14:textId="77777777" w:rsidR="00AB20D0" w:rsidRPr="006B115B" w:rsidRDefault="00AB20D0" w:rsidP="006B115B">
      <w:pPr>
        <w:pStyle w:val="Listeafsnit"/>
        <w:numPr>
          <w:ilvl w:val="0"/>
          <w:numId w:val="7"/>
        </w:numPr>
        <w:tabs>
          <w:tab w:val="clear" w:pos="567"/>
        </w:tabs>
        <w:ind w:left="1276" w:hanging="425"/>
        <w:rPr>
          <w:sz w:val="24"/>
          <w:szCs w:val="24"/>
        </w:rPr>
      </w:pPr>
      <w:r w:rsidRPr="006B115B">
        <w:rPr>
          <w:sz w:val="24"/>
          <w:szCs w:val="24"/>
        </w:rPr>
        <w:t>kronisk underernæring</w:t>
      </w:r>
    </w:p>
    <w:p w14:paraId="6CA4529C" w14:textId="77777777" w:rsidR="00AB20D0" w:rsidRPr="006B115B" w:rsidRDefault="00AB20D0" w:rsidP="006B115B">
      <w:pPr>
        <w:pStyle w:val="Listeafsnit"/>
        <w:numPr>
          <w:ilvl w:val="0"/>
          <w:numId w:val="7"/>
        </w:numPr>
        <w:tabs>
          <w:tab w:val="clear" w:pos="567"/>
        </w:tabs>
        <w:ind w:left="1276" w:hanging="425"/>
        <w:rPr>
          <w:sz w:val="24"/>
          <w:szCs w:val="24"/>
        </w:rPr>
      </w:pPr>
      <w:r w:rsidRPr="006B115B">
        <w:rPr>
          <w:sz w:val="24"/>
          <w:szCs w:val="24"/>
        </w:rPr>
        <w:t>patienter med lav BMI (</w:t>
      </w:r>
      <w:r w:rsidRPr="006B115B">
        <w:rPr>
          <w:i/>
          <w:iCs/>
          <w:sz w:val="24"/>
          <w:szCs w:val="24"/>
        </w:rPr>
        <w:t>Body Mass Index</w:t>
      </w:r>
      <w:r w:rsidRPr="006B115B">
        <w:rPr>
          <w:sz w:val="24"/>
          <w:szCs w:val="24"/>
        </w:rPr>
        <w:t>)</w:t>
      </w:r>
    </w:p>
    <w:p w14:paraId="77021CEF" w14:textId="77777777" w:rsidR="00AB20D0" w:rsidRPr="006B115B" w:rsidRDefault="00AB20D0" w:rsidP="006B115B">
      <w:pPr>
        <w:pStyle w:val="Listeafsnit"/>
        <w:numPr>
          <w:ilvl w:val="0"/>
          <w:numId w:val="7"/>
        </w:numPr>
        <w:tabs>
          <w:tab w:val="clear" w:pos="567"/>
        </w:tabs>
        <w:ind w:left="1276" w:hanging="425"/>
        <w:rPr>
          <w:sz w:val="24"/>
          <w:szCs w:val="24"/>
        </w:rPr>
      </w:pPr>
      <w:r w:rsidRPr="006B115B">
        <w:rPr>
          <w:sz w:val="24"/>
          <w:szCs w:val="24"/>
        </w:rPr>
        <w:t>til svage ældre</w:t>
      </w:r>
    </w:p>
    <w:p w14:paraId="271CFD2E" w14:textId="77777777" w:rsidR="00AB20D0" w:rsidRPr="006B115B" w:rsidRDefault="00AB20D0" w:rsidP="006B115B">
      <w:pPr>
        <w:pStyle w:val="Listeafsnit"/>
        <w:numPr>
          <w:ilvl w:val="0"/>
          <w:numId w:val="7"/>
        </w:numPr>
        <w:tabs>
          <w:tab w:val="clear" w:pos="567"/>
        </w:tabs>
        <w:ind w:left="1276" w:hanging="425"/>
        <w:rPr>
          <w:sz w:val="24"/>
          <w:szCs w:val="24"/>
        </w:rPr>
      </w:pPr>
      <w:r w:rsidRPr="006B115B">
        <w:rPr>
          <w:sz w:val="24"/>
          <w:szCs w:val="24"/>
        </w:rPr>
        <w:t>G6PD-mangel (</w:t>
      </w:r>
      <w:proofErr w:type="spellStart"/>
      <w:r w:rsidRPr="006B115B">
        <w:rPr>
          <w:sz w:val="24"/>
          <w:szCs w:val="24"/>
        </w:rPr>
        <w:t>favisme</w:t>
      </w:r>
      <w:proofErr w:type="spellEnd"/>
      <w:r w:rsidRPr="006B115B">
        <w:rPr>
          <w:sz w:val="24"/>
          <w:szCs w:val="24"/>
        </w:rPr>
        <w:t>)</w:t>
      </w:r>
    </w:p>
    <w:p w14:paraId="1E298709" w14:textId="77777777" w:rsidR="00AB20D0" w:rsidRPr="006B115B" w:rsidRDefault="00AB20D0" w:rsidP="006B115B">
      <w:pPr>
        <w:pStyle w:val="Listeafsnit"/>
        <w:numPr>
          <w:ilvl w:val="0"/>
          <w:numId w:val="7"/>
        </w:numPr>
        <w:tabs>
          <w:tab w:val="clear" w:pos="567"/>
        </w:tabs>
        <w:ind w:left="1276" w:hanging="425"/>
        <w:rPr>
          <w:sz w:val="24"/>
          <w:szCs w:val="24"/>
        </w:rPr>
      </w:pPr>
      <w:proofErr w:type="spellStart"/>
      <w:r w:rsidRPr="006B115B">
        <w:rPr>
          <w:sz w:val="24"/>
          <w:szCs w:val="24"/>
        </w:rPr>
        <w:t>hæmolytisk</w:t>
      </w:r>
      <w:proofErr w:type="spellEnd"/>
      <w:r w:rsidRPr="006B115B">
        <w:rPr>
          <w:sz w:val="24"/>
          <w:szCs w:val="24"/>
        </w:rPr>
        <w:t xml:space="preserve"> </w:t>
      </w:r>
      <w:proofErr w:type="spellStart"/>
      <w:r w:rsidRPr="006B115B">
        <w:rPr>
          <w:sz w:val="24"/>
          <w:szCs w:val="24"/>
        </w:rPr>
        <w:t>anæmi</w:t>
      </w:r>
      <w:proofErr w:type="spellEnd"/>
    </w:p>
    <w:p w14:paraId="3A2E1606" w14:textId="77777777" w:rsidR="00AB20D0" w:rsidRPr="002F27FC" w:rsidRDefault="00AB20D0" w:rsidP="002F27FC">
      <w:pPr>
        <w:ind w:left="851"/>
        <w:rPr>
          <w:sz w:val="24"/>
          <w:szCs w:val="24"/>
        </w:rPr>
      </w:pPr>
    </w:p>
    <w:p w14:paraId="150FAF09" w14:textId="77777777" w:rsidR="00AB20D0" w:rsidRPr="002F27FC" w:rsidRDefault="00AB20D0" w:rsidP="002F27FC">
      <w:pPr>
        <w:ind w:left="851"/>
        <w:rPr>
          <w:sz w:val="24"/>
          <w:szCs w:val="24"/>
          <w:lang w:eastAsia="en-GB"/>
        </w:rPr>
      </w:pPr>
      <w:r w:rsidRPr="002F27FC">
        <w:rPr>
          <w:sz w:val="24"/>
          <w:szCs w:val="24"/>
        </w:rPr>
        <w:t>Risikoen for svær leverskade på grund af overdosis er større hos patienter med ikke-</w:t>
      </w:r>
      <w:proofErr w:type="spellStart"/>
      <w:r w:rsidRPr="002F27FC">
        <w:rPr>
          <w:sz w:val="24"/>
          <w:szCs w:val="24"/>
        </w:rPr>
        <w:t>cirrotisk</w:t>
      </w:r>
      <w:proofErr w:type="spellEnd"/>
      <w:r w:rsidRPr="002F27FC">
        <w:rPr>
          <w:sz w:val="24"/>
          <w:szCs w:val="24"/>
        </w:rPr>
        <w:t xml:space="preserve"> leversygdom forårsaget af alkoholmisbrug.</w:t>
      </w:r>
    </w:p>
    <w:p w14:paraId="15BAB15B" w14:textId="77777777" w:rsidR="00AB20D0" w:rsidRPr="002F27FC" w:rsidRDefault="00AB20D0" w:rsidP="002F27FC">
      <w:pPr>
        <w:ind w:left="851"/>
        <w:rPr>
          <w:sz w:val="24"/>
          <w:szCs w:val="24"/>
          <w:lang w:eastAsia="en-GB"/>
        </w:rPr>
      </w:pPr>
    </w:p>
    <w:p w14:paraId="3632B5AB" w14:textId="77777777" w:rsidR="00AB20D0" w:rsidRPr="002F27FC" w:rsidRDefault="00AB20D0" w:rsidP="002F27FC">
      <w:pPr>
        <w:ind w:left="851"/>
        <w:rPr>
          <w:sz w:val="24"/>
          <w:szCs w:val="24"/>
          <w:lang w:eastAsia="en-GB"/>
        </w:rPr>
      </w:pPr>
      <w:r w:rsidRPr="002F27FC">
        <w:rPr>
          <w:spacing w:val="-3"/>
          <w:sz w:val="24"/>
          <w:szCs w:val="24"/>
        </w:rPr>
        <w:t xml:space="preserve">Der er rapporteret om tilfælde af metabolisk </w:t>
      </w:r>
      <w:proofErr w:type="spellStart"/>
      <w:r w:rsidRPr="002F27FC">
        <w:rPr>
          <w:spacing w:val="-3"/>
          <w:sz w:val="24"/>
          <w:szCs w:val="24"/>
        </w:rPr>
        <w:t>acidose</w:t>
      </w:r>
      <w:proofErr w:type="spellEnd"/>
      <w:r w:rsidRPr="002F27FC">
        <w:rPr>
          <w:spacing w:val="-3"/>
          <w:sz w:val="24"/>
          <w:szCs w:val="24"/>
        </w:rPr>
        <w:t xml:space="preserve"> med højt anion-</w:t>
      </w:r>
      <w:proofErr w:type="spellStart"/>
      <w:r w:rsidRPr="002F27FC">
        <w:rPr>
          <w:spacing w:val="-3"/>
          <w:sz w:val="24"/>
          <w:szCs w:val="24"/>
        </w:rPr>
        <w:t>gap</w:t>
      </w:r>
      <w:proofErr w:type="spellEnd"/>
      <w:r w:rsidRPr="002F27FC">
        <w:rPr>
          <w:spacing w:val="-3"/>
          <w:sz w:val="24"/>
          <w:szCs w:val="24"/>
        </w:rPr>
        <w:t xml:space="preserve"> (HAGMA) som følge af </w:t>
      </w:r>
      <w:proofErr w:type="spellStart"/>
      <w:r w:rsidRPr="002F27FC">
        <w:rPr>
          <w:spacing w:val="-3"/>
          <w:sz w:val="24"/>
          <w:szCs w:val="24"/>
        </w:rPr>
        <w:t>pyroglutaminacidose</w:t>
      </w:r>
      <w:proofErr w:type="spellEnd"/>
      <w:r w:rsidRPr="002F27FC">
        <w:rPr>
          <w:spacing w:val="-3"/>
          <w:sz w:val="24"/>
          <w:szCs w:val="24"/>
        </w:rPr>
        <w:t xml:space="preserve"> hos patienter med svær sygdom såsom svær nyreinsufficiens og sepsis, eller hos patienter med fejlernæring eller andre kilder til </w:t>
      </w:r>
      <w:proofErr w:type="spellStart"/>
      <w:r w:rsidRPr="002F27FC">
        <w:rPr>
          <w:spacing w:val="-3"/>
          <w:sz w:val="24"/>
          <w:szCs w:val="24"/>
        </w:rPr>
        <w:t>glutathionmangel</w:t>
      </w:r>
      <w:proofErr w:type="spellEnd"/>
      <w:r w:rsidRPr="002F27FC">
        <w:rPr>
          <w:spacing w:val="-3"/>
          <w:sz w:val="24"/>
          <w:szCs w:val="24"/>
        </w:rPr>
        <w:t xml:space="preserve"> (f.eks. kronisk alkoholisme), som blev behandlet med paracetamol i terapeutiske doser i en længere periode eller en kombination af paracetamol og </w:t>
      </w:r>
      <w:proofErr w:type="spellStart"/>
      <w:r w:rsidRPr="002F27FC">
        <w:rPr>
          <w:spacing w:val="-3"/>
          <w:sz w:val="24"/>
          <w:szCs w:val="24"/>
        </w:rPr>
        <w:t>flucloxacillin</w:t>
      </w:r>
      <w:proofErr w:type="spellEnd"/>
      <w:r w:rsidRPr="002F27FC">
        <w:rPr>
          <w:spacing w:val="-3"/>
          <w:sz w:val="24"/>
          <w:szCs w:val="24"/>
        </w:rPr>
        <w:t xml:space="preserve">. Hvis der er mistanke om HAGMA på grund af </w:t>
      </w:r>
      <w:proofErr w:type="spellStart"/>
      <w:r w:rsidRPr="002F27FC">
        <w:rPr>
          <w:spacing w:val="-3"/>
          <w:sz w:val="24"/>
          <w:szCs w:val="24"/>
        </w:rPr>
        <w:t>pyroglutaminacidose</w:t>
      </w:r>
      <w:proofErr w:type="spellEnd"/>
      <w:r w:rsidRPr="002F27FC">
        <w:rPr>
          <w:spacing w:val="-3"/>
          <w:sz w:val="24"/>
          <w:szCs w:val="24"/>
        </w:rPr>
        <w:t xml:space="preserve">, anbefales øjeblikkelig </w:t>
      </w:r>
      <w:proofErr w:type="spellStart"/>
      <w:r w:rsidRPr="002F27FC">
        <w:rPr>
          <w:spacing w:val="-3"/>
          <w:sz w:val="24"/>
          <w:szCs w:val="24"/>
        </w:rPr>
        <w:t>seponering</w:t>
      </w:r>
      <w:proofErr w:type="spellEnd"/>
      <w:r w:rsidRPr="002F27FC">
        <w:rPr>
          <w:spacing w:val="-3"/>
          <w:sz w:val="24"/>
          <w:szCs w:val="24"/>
        </w:rPr>
        <w:t xml:space="preserve"> af paracetamol og tæt overvågning. Måling af 5-oxoprolin i urinen kan være nyttig til at identificere </w:t>
      </w:r>
      <w:proofErr w:type="spellStart"/>
      <w:r w:rsidRPr="002F27FC">
        <w:rPr>
          <w:spacing w:val="-3"/>
          <w:sz w:val="24"/>
          <w:szCs w:val="24"/>
        </w:rPr>
        <w:t>pyroglutaminacidose</w:t>
      </w:r>
      <w:proofErr w:type="spellEnd"/>
      <w:r w:rsidRPr="002F27FC">
        <w:rPr>
          <w:spacing w:val="-3"/>
          <w:sz w:val="24"/>
          <w:szCs w:val="24"/>
        </w:rPr>
        <w:t xml:space="preserve"> som underliggende årsag til HAGMA hos patienter med flere risikofaktorer.</w:t>
      </w:r>
    </w:p>
    <w:p w14:paraId="52703125" w14:textId="77777777" w:rsidR="00AB20D0" w:rsidRPr="002F27FC" w:rsidRDefault="00AB20D0" w:rsidP="002F27FC">
      <w:pPr>
        <w:ind w:left="851"/>
        <w:rPr>
          <w:sz w:val="24"/>
          <w:szCs w:val="24"/>
          <w:lang w:eastAsia="en-GB"/>
        </w:rPr>
      </w:pPr>
    </w:p>
    <w:p w14:paraId="351A31FB" w14:textId="77777777" w:rsidR="00AB20D0" w:rsidRPr="002F27FC" w:rsidRDefault="00AB20D0" w:rsidP="002F27FC">
      <w:pPr>
        <w:ind w:left="851"/>
        <w:rPr>
          <w:spacing w:val="-3"/>
          <w:sz w:val="24"/>
          <w:szCs w:val="24"/>
        </w:rPr>
      </w:pPr>
      <w:r w:rsidRPr="002F27FC">
        <w:rPr>
          <w:spacing w:val="-3"/>
          <w:sz w:val="24"/>
          <w:szCs w:val="24"/>
        </w:rPr>
        <w:t xml:space="preserve">Dette lægemiddel indeholder 176 mg natrium pr. tablet, svarende til 8,8 % af den WHO anbefalede maksimale daglige indtagelse af 2 g natrium for en voksen. Den maksimale daglige dosis på 8 tabletter svarer til 70 % af den WHO anbefalede maksimale daglige indtagelse af natrium. </w:t>
      </w:r>
    </w:p>
    <w:p w14:paraId="48FC4658" w14:textId="1027DD0F" w:rsidR="00AB20D0" w:rsidRPr="002F27FC" w:rsidRDefault="00C63603" w:rsidP="002F27FC">
      <w:pPr>
        <w:ind w:left="851"/>
        <w:rPr>
          <w:spacing w:val="-3"/>
          <w:sz w:val="24"/>
          <w:szCs w:val="24"/>
          <w:u w:val="single"/>
        </w:rPr>
      </w:pPr>
      <w:proofErr w:type="spellStart"/>
      <w:r>
        <w:rPr>
          <w:spacing w:val="-3"/>
          <w:sz w:val="24"/>
          <w:szCs w:val="24"/>
        </w:rPr>
        <w:t>Pamol</w:t>
      </w:r>
      <w:proofErr w:type="spellEnd"/>
      <w:r w:rsidR="00AB20D0" w:rsidRPr="002F27FC">
        <w:rPr>
          <w:spacing w:val="-3"/>
          <w:sz w:val="24"/>
          <w:szCs w:val="24"/>
        </w:rPr>
        <w:t xml:space="preserve"> </w:t>
      </w:r>
      <w:r w:rsidR="00053B28">
        <w:rPr>
          <w:spacing w:val="-3"/>
          <w:sz w:val="24"/>
          <w:szCs w:val="24"/>
        </w:rPr>
        <w:t>Swift</w:t>
      </w:r>
      <w:r w:rsidR="00AB20D0" w:rsidRPr="002F27FC">
        <w:rPr>
          <w:spacing w:val="-3"/>
          <w:sz w:val="24"/>
          <w:szCs w:val="24"/>
        </w:rPr>
        <w:t xml:space="preserve"> betragtes som et produkt med højt natriumindhold. Dette skal der tages hensyn til, hvis patienten er på natrium- eller saltfattig diæt. Forsigtighed tilrådes hos patienter med hypertension, hjerteinsufficiens eller nedsat nyrefunktion.</w:t>
      </w:r>
    </w:p>
    <w:p w14:paraId="62E12026" w14:textId="77777777" w:rsidR="009260DE" w:rsidRPr="002F27FC" w:rsidRDefault="009260DE" w:rsidP="009260DE">
      <w:pPr>
        <w:tabs>
          <w:tab w:val="left" w:pos="851"/>
        </w:tabs>
        <w:ind w:left="851"/>
        <w:rPr>
          <w:sz w:val="24"/>
          <w:szCs w:val="24"/>
        </w:rPr>
      </w:pPr>
    </w:p>
    <w:p w14:paraId="719B4185" w14:textId="77777777" w:rsidR="009260DE" w:rsidRPr="002F27FC" w:rsidRDefault="009260DE" w:rsidP="009260DE">
      <w:pPr>
        <w:tabs>
          <w:tab w:val="left" w:pos="851"/>
        </w:tabs>
        <w:ind w:left="851" w:hanging="851"/>
        <w:rPr>
          <w:b/>
          <w:sz w:val="24"/>
          <w:szCs w:val="24"/>
        </w:rPr>
      </w:pPr>
      <w:r w:rsidRPr="002F27FC">
        <w:rPr>
          <w:b/>
          <w:sz w:val="24"/>
          <w:szCs w:val="24"/>
        </w:rPr>
        <w:t>4.5</w:t>
      </w:r>
      <w:r w:rsidRPr="002F27FC">
        <w:rPr>
          <w:b/>
          <w:sz w:val="24"/>
          <w:szCs w:val="24"/>
        </w:rPr>
        <w:tab/>
        <w:t>Interaktion med andre lægemidler og andre former for interaktion</w:t>
      </w:r>
    </w:p>
    <w:p w14:paraId="3BA8087A" w14:textId="77777777" w:rsidR="006B115B" w:rsidRDefault="006B115B" w:rsidP="002F27FC">
      <w:pPr>
        <w:ind w:left="851"/>
        <w:rPr>
          <w:sz w:val="24"/>
          <w:szCs w:val="24"/>
        </w:rPr>
      </w:pPr>
    </w:p>
    <w:p w14:paraId="636707B6" w14:textId="427C752D" w:rsidR="00AB20D0" w:rsidRPr="006B115B" w:rsidRDefault="00AB20D0" w:rsidP="002F27FC">
      <w:pPr>
        <w:ind w:left="851"/>
        <w:rPr>
          <w:i/>
          <w:sz w:val="24"/>
          <w:szCs w:val="24"/>
        </w:rPr>
      </w:pPr>
      <w:proofErr w:type="spellStart"/>
      <w:r w:rsidRPr="006B115B">
        <w:rPr>
          <w:i/>
          <w:sz w:val="24"/>
          <w:szCs w:val="24"/>
        </w:rPr>
        <w:t>Farmakodynamiske</w:t>
      </w:r>
      <w:proofErr w:type="spellEnd"/>
      <w:r w:rsidRPr="006B115B">
        <w:rPr>
          <w:i/>
          <w:sz w:val="24"/>
          <w:szCs w:val="24"/>
        </w:rPr>
        <w:t xml:space="preserve"> interaktioner</w:t>
      </w:r>
    </w:p>
    <w:p w14:paraId="029FAACF" w14:textId="77777777" w:rsidR="00AB20D0" w:rsidRPr="002F27FC" w:rsidRDefault="00AB20D0" w:rsidP="002F27FC">
      <w:pPr>
        <w:ind w:left="851"/>
        <w:rPr>
          <w:sz w:val="24"/>
          <w:szCs w:val="24"/>
        </w:rPr>
      </w:pPr>
      <w:r w:rsidRPr="002F27FC">
        <w:rPr>
          <w:sz w:val="24"/>
          <w:szCs w:val="24"/>
        </w:rPr>
        <w:t xml:space="preserve">Studier har vist, at </w:t>
      </w:r>
      <w:proofErr w:type="spellStart"/>
      <w:r w:rsidRPr="002F27FC">
        <w:rPr>
          <w:sz w:val="24"/>
          <w:szCs w:val="24"/>
        </w:rPr>
        <w:t>warfarins</w:t>
      </w:r>
      <w:proofErr w:type="spellEnd"/>
      <w:r w:rsidRPr="002F27FC">
        <w:rPr>
          <w:sz w:val="24"/>
          <w:szCs w:val="24"/>
        </w:rPr>
        <w:t xml:space="preserve"> virkning kan forstærkes ved samtidig behandling med paracetamol. Virkningen synes at blive forstærket i takt med dosis af paracetamol men kan opstå ved doser på kun 1,5-2,0 g paracetamol dagligt i minimum 5-7 dage. Enkeltdoser af paracetamol vurderes ikke at have nogen effekt.</w:t>
      </w:r>
    </w:p>
    <w:p w14:paraId="42688AEF" w14:textId="77777777" w:rsidR="00AB20D0" w:rsidRPr="002F27FC" w:rsidRDefault="00AB20D0" w:rsidP="002F27FC">
      <w:pPr>
        <w:ind w:left="851"/>
        <w:rPr>
          <w:sz w:val="24"/>
          <w:szCs w:val="24"/>
        </w:rPr>
      </w:pPr>
    </w:p>
    <w:p w14:paraId="3FA6D475" w14:textId="77777777" w:rsidR="00AB20D0" w:rsidRPr="006B115B" w:rsidRDefault="00AB20D0" w:rsidP="002F27FC">
      <w:pPr>
        <w:ind w:left="851"/>
        <w:rPr>
          <w:i/>
          <w:sz w:val="24"/>
          <w:szCs w:val="24"/>
        </w:rPr>
      </w:pPr>
      <w:proofErr w:type="spellStart"/>
      <w:r w:rsidRPr="006B115B">
        <w:rPr>
          <w:i/>
          <w:sz w:val="24"/>
          <w:szCs w:val="24"/>
        </w:rPr>
        <w:t>Farmakokinetiske</w:t>
      </w:r>
      <w:proofErr w:type="spellEnd"/>
      <w:r w:rsidRPr="006B115B">
        <w:rPr>
          <w:i/>
          <w:sz w:val="24"/>
          <w:szCs w:val="24"/>
        </w:rPr>
        <w:t xml:space="preserve"> interaktioner</w:t>
      </w:r>
    </w:p>
    <w:p w14:paraId="7E3170FB" w14:textId="77777777" w:rsidR="00AB20D0" w:rsidRPr="002F27FC" w:rsidRDefault="00AB20D0" w:rsidP="002F27FC">
      <w:pPr>
        <w:ind w:left="851"/>
        <w:rPr>
          <w:sz w:val="24"/>
          <w:szCs w:val="24"/>
        </w:rPr>
      </w:pPr>
      <w:r w:rsidRPr="002F27FC">
        <w:rPr>
          <w:sz w:val="24"/>
          <w:szCs w:val="24"/>
        </w:rPr>
        <w:t xml:space="preserve">Der skal udvises forsigtighed, når paracetamol anvendes sammen med </w:t>
      </w:r>
      <w:proofErr w:type="spellStart"/>
      <w:r w:rsidRPr="002F27FC">
        <w:rPr>
          <w:sz w:val="24"/>
          <w:szCs w:val="24"/>
        </w:rPr>
        <w:t>flucloxacillin</w:t>
      </w:r>
      <w:proofErr w:type="spellEnd"/>
      <w:r w:rsidRPr="002F27FC">
        <w:rPr>
          <w:sz w:val="24"/>
          <w:szCs w:val="24"/>
        </w:rPr>
        <w:t xml:space="preserve">, da samtidig indtagelse har været forbundet med metabolisk </w:t>
      </w:r>
      <w:proofErr w:type="spellStart"/>
      <w:r w:rsidRPr="002F27FC">
        <w:rPr>
          <w:sz w:val="24"/>
          <w:szCs w:val="24"/>
        </w:rPr>
        <w:t>acidose</w:t>
      </w:r>
      <w:proofErr w:type="spellEnd"/>
      <w:r w:rsidRPr="002F27FC">
        <w:rPr>
          <w:sz w:val="24"/>
          <w:szCs w:val="24"/>
        </w:rPr>
        <w:t xml:space="preserve"> med højt anion-</w:t>
      </w:r>
      <w:proofErr w:type="spellStart"/>
      <w:r w:rsidRPr="002F27FC">
        <w:rPr>
          <w:sz w:val="24"/>
          <w:szCs w:val="24"/>
        </w:rPr>
        <w:t>gap</w:t>
      </w:r>
      <w:proofErr w:type="spellEnd"/>
      <w:r w:rsidRPr="002F27FC">
        <w:rPr>
          <w:sz w:val="24"/>
          <w:szCs w:val="24"/>
        </w:rPr>
        <w:t xml:space="preserve"> på grund af </w:t>
      </w:r>
      <w:proofErr w:type="spellStart"/>
      <w:r w:rsidRPr="002F27FC">
        <w:rPr>
          <w:sz w:val="24"/>
          <w:szCs w:val="24"/>
        </w:rPr>
        <w:t>pyroglutaminacidose</w:t>
      </w:r>
      <w:proofErr w:type="spellEnd"/>
      <w:r w:rsidRPr="002F27FC">
        <w:rPr>
          <w:sz w:val="24"/>
          <w:szCs w:val="24"/>
        </w:rPr>
        <w:t>, navnlig hos patienter med risikofaktorer (se pkt. 4.4).</w:t>
      </w:r>
    </w:p>
    <w:p w14:paraId="49C83D47" w14:textId="77777777" w:rsidR="00AB20D0" w:rsidRPr="002F27FC" w:rsidRDefault="00AB20D0" w:rsidP="002F27FC">
      <w:pPr>
        <w:ind w:left="851"/>
        <w:rPr>
          <w:sz w:val="24"/>
          <w:szCs w:val="24"/>
        </w:rPr>
      </w:pPr>
    </w:p>
    <w:p w14:paraId="21E39C72" w14:textId="77777777" w:rsidR="00AB20D0" w:rsidRPr="006B115B" w:rsidRDefault="00AB20D0" w:rsidP="002F27FC">
      <w:pPr>
        <w:ind w:left="851"/>
        <w:rPr>
          <w:i/>
          <w:sz w:val="24"/>
          <w:szCs w:val="24"/>
        </w:rPr>
      </w:pPr>
      <w:r w:rsidRPr="006B115B">
        <w:rPr>
          <w:i/>
          <w:sz w:val="24"/>
          <w:szCs w:val="24"/>
        </w:rPr>
        <w:t>Andre lægemidlers påvirkning af paracetamols farmakokinetik</w:t>
      </w:r>
    </w:p>
    <w:p w14:paraId="33F5781D" w14:textId="77777777" w:rsidR="00AB20D0" w:rsidRPr="002F27FC" w:rsidRDefault="00AB20D0" w:rsidP="002F27FC">
      <w:pPr>
        <w:ind w:left="851"/>
        <w:rPr>
          <w:sz w:val="24"/>
          <w:szCs w:val="24"/>
        </w:rPr>
      </w:pPr>
      <w:r w:rsidRPr="002F27FC">
        <w:rPr>
          <w:sz w:val="24"/>
          <w:szCs w:val="24"/>
        </w:rPr>
        <w:t xml:space="preserve">I </w:t>
      </w:r>
      <w:proofErr w:type="spellStart"/>
      <w:r w:rsidRPr="002F27FC">
        <w:rPr>
          <w:sz w:val="24"/>
          <w:szCs w:val="24"/>
        </w:rPr>
        <w:t>farmakokinetiske</w:t>
      </w:r>
      <w:proofErr w:type="spellEnd"/>
      <w:r w:rsidRPr="002F27FC">
        <w:rPr>
          <w:sz w:val="24"/>
          <w:szCs w:val="24"/>
        </w:rPr>
        <w:t xml:space="preserve"> studier har enzym-inducerende lægemidler såsom visse </w:t>
      </w:r>
      <w:proofErr w:type="spellStart"/>
      <w:r w:rsidRPr="002F27FC">
        <w:rPr>
          <w:sz w:val="24"/>
          <w:szCs w:val="24"/>
        </w:rPr>
        <w:t>antiepileptika</w:t>
      </w:r>
      <w:proofErr w:type="spellEnd"/>
      <w:r w:rsidRPr="002F27FC">
        <w:rPr>
          <w:sz w:val="24"/>
          <w:szCs w:val="24"/>
        </w:rPr>
        <w:t xml:space="preserve"> (</w:t>
      </w:r>
      <w:proofErr w:type="spellStart"/>
      <w:r w:rsidRPr="002F27FC">
        <w:rPr>
          <w:sz w:val="24"/>
          <w:szCs w:val="24"/>
        </w:rPr>
        <w:t>phenytoin</w:t>
      </w:r>
      <w:proofErr w:type="spellEnd"/>
      <w:r w:rsidRPr="002F27FC">
        <w:rPr>
          <w:sz w:val="24"/>
          <w:szCs w:val="24"/>
        </w:rPr>
        <w:t xml:space="preserve">, </w:t>
      </w:r>
      <w:proofErr w:type="spellStart"/>
      <w:r w:rsidRPr="002F27FC">
        <w:rPr>
          <w:sz w:val="24"/>
          <w:szCs w:val="24"/>
        </w:rPr>
        <w:t>phenobarbital</w:t>
      </w:r>
      <w:proofErr w:type="spellEnd"/>
      <w:r w:rsidRPr="002F27FC">
        <w:rPr>
          <w:sz w:val="24"/>
          <w:szCs w:val="24"/>
        </w:rPr>
        <w:t xml:space="preserve">, </w:t>
      </w:r>
      <w:proofErr w:type="spellStart"/>
      <w:r w:rsidRPr="002F27FC">
        <w:rPr>
          <w:sz w:val="24"/>
          <w:szCs w:val="24"/>
        </w:rPr>
        <w:t>carbamazepin</w:t>
      </w:r>
      <w:proofErr w:type="spellEnd"/>
      <w:r w:rsidRPr="002F27FC">
        <w:rPr>
          <w:sz w:val="24"/>
          <w:szCs w:val="24"/>
        </w:rPr>
        <w:t xml:space="preserve">) vist sig at reducere paracetamols plasma-AUC til ca. 60 %. Andre stoffer med enzym-inducerende egenskaber, f.eks. </w:t>
      </w:r>
      <w:proofErr w:type="spellStart"/>
      <w:r w:rsidRPr="002F27FC">
        <w:rPr>
          <w:sz w:val="24"/>
          <w:szCs w:val="24"/>
        </w:rPr>
        <w:t>rifampicin</w:t>
      </w:r>
      <w:proofErr w:type="spellEnd"/>
      <w:r w:rsidRPr="002F27FC">
        <w:rPr>
          <w:sz w:val="24"/>
          <w:szCs w:val="24"/>
        </w:rPr>
        <w:t xml:space="preserve"> og prikbladet perikon (Hypericum </w:t>
      </w:r>
      <w:proofErr w:type="spellStart"/>
      <w:r w:rsidRPr="002F27FC">
        <w:rPr>
          <w:sz w:val="24"/>
          <w:szCs w:val="24"/>
        </w:rPr>
        <w:t>perforatum</w:t>
      </w:r>
      <w:proofErr w:type="spellEnd"/>
      <w:r w:rsidRPr="002F27FC">
        <w:rPr>
          <w:sz w:val="24"/>
          <w:szCs w:val="24"/>
        </w:rPr>
        <w:t xml:space="preserve">), menes ligeledes at medføre lavere koncentrationer af paracetamol. Derudover synes risikoen for leverskade af være højere ved behandling med den maksimale dosis paracetamol hos patienter, som behandles med enzym-inducerende lægemidler. </w:t>
      </w:r>
    </w:p>
    <w:p w14:paraId="6B0DBAF0" w14:textId="77777777" w:rsidR="00AB20D0" w:rsidRPr="002F27FC" w:rsidRDefault="00AB20D0" w:rsidP="002F27FC">
      <w:pPr>
        <w:ind w:left="851"/>
        <w:rPr>
          <w:sz w:val="24"/>
          <w:szCs w:val="24"/>
        </w:rPr>
      </w:pPr>
    </w:p>
    <w:p w14:paraId="08C97131" w14:textId="77777777" w:rsidR="00AB20D0" w:rsidRPr="002F27FC" w:rsidRDefault="00AB20D0" w:rsidP="002F27FC">
      <w:pPr>
        <w:ind w:left="851"/>
        <w:rPr>
          <w:sz w:val="24"/>
          <w:szCs w:val="24"/>
        </w:rPr>
      </w:pPr>
      <w:proofErr w:type="spellStart"/>
      <w:r w:rsidRPr="002F27FC">
        <w:rPr>
          <w:sz w:val="24"/>
          <w:szCs w:val="24"/>
        </w:rPr>
        <w:t>Probenecid</w:t>
      </w:r>
      <w:proofErr w:type="spellEnd"/>
      <w:r w:rsidRPr="002F27FC">
        <w:rPr>
          <w:sz w:val="24"/>
          <w:szCs w:val="24"/>
        </w:rPr>
        <w:t xml:space="preserve"> forårsager næsten en halvering af paracetamol-</w:t>
      </w:r>
      <w:proofErr w:type="spellStart"/>
      <w:r w:rsidRPr="002F27FC">
        <w:rPr>
          <w:sz w:val="24"/>
          <w:szCs w:val="24"/>
        </w:rPr>
        <w:t>clearance</w:t>
      </w:r>
      <w:proofErr w:type="spellEnd"/>
      <w:r w:rsidRPr="002F27FC">
        <w:rPr>
          <w:sz w:val="24"/>
          <w:szCs w:val="24"/>
        </w:rPr>
        <w:t xml:space="preserve"> ved at hæmme </w:t>
      </w:r>
      <w:proofErr w:type="spellStart"/>
      <w:r w:rsidRPr="002F27FC">
        <w:rPr>
          <w:sz w:val="24"/>
          <w:szCs w:val="24"/>
        </w:rPr>
        <w:t>konjugeringen</w:t>
      </w:r>
      <w:proofErr w:type="spellEnd"/>
      <w:r w:rsidRPr="002F27FC">
        <w:rPr>
          <w:sz w:val="24"/>
          <w:szCs w:val="24"/>
        </w:rPr>
        <w:t xml:space="preserve"> med </w:t>
      </w:r>
      <w:proofErr w:type="spellStart"/>
      <w:r w:rsidRPr="002F27FC">
        <w:rPr>
          <w:sz w:val="24"/>
          <w:szCs w:val="24"/>
        </w:rPr>
        <w:t>glukorunsyre</w:t>
      </w:r>
      <w:proofErr w:type="spellEnd"/>
      <w:r w:rsidRPr="002F27FC">
        <w:rPr>
          <w:sz w:val="24"/>
          <w:szCs w:val="24"/>
        </w:rPr>
        <w:t xml:space="preserve">. Det betyder, at dosis af paracetamol kan halveres ved samtidig behandling med </w:t>
      </w:r>
      <w:proofErr w:type="spellStart"/>
      <w:r w:rsidRPr="002F27FC">
        <w:rPr>
          <w:sz w:val="24"/>
          <w:szCs w:val="24"/>
        </w:rPr>
        <w:t>probenecid</w:t>
      </w:r>
      <w:proofErr w:type="spellEnd"/>
      <w:r w:rsidRPr="002F27FC">
        <w:rPr>
          <w:sz w:val="24"/>
          <w:szCs w:val="24"/>
        </w:rPr>
        <w:t>.</w:t>
      </w:r>
    </w:p>
    <w:p w14:paraId="33081CC6" w14:textId="77777777" w:rsidR="00AB20D0" w:rsidRPr="002F27FC" w:rsidRDefault="00AB20D0" w:rsidP="002F27FC">
      <w:pPr>
        <w:ind w:left="851"/>
        <w:rPr>
          <w:sz w:val="24"/>
          <w:szCs w:val="24"/>
        </w:rPr>
      </w:pPr>
    </w:p>
    <w:p w14:paraId="5944A5B4" w14:textId="77777777" w:rsidR="00AB20D0" w:rsidRPr="002F27FC" w:rsidRDefault="00AB20D0" w:rsidP="002F27FC">
      <w:pPr>
        <w:ind w:left="851"/>
        <w:rPr>
          <w:sz w:val="24"/>
          <w:szCs w:val="24"/>
        </w:rPr>
      </w:pPr>
      <w:proofErr w:type="spellStart"/>
      <w:r w:rsidRPr="002F27FC">
        <w:rPr>
          <w:sz w:val="24"/>
          <w:szCs w:val="24"/>
        </w:rPr>
        <w:t>Metoclopramid</w:t>
      </w:r>
      <w:proofErr w:type="spellEnd"/>
      <w:r w:rsidRPr="002F27FC">
        <w:rPr>
          <w:sz w:val="24"/>
          <w:szCs w:val="24"/>
        </w:rPr>
        <w:t xml:space="preserve"> kan øge paracetamols absorptionshastighed, men de to stoffer kan administreres samtidigt. </w:t>
      </w:r>
      <w:proofErr w:type="spellStart"/>
      <w:r w:rsidRPr="002F27FC">
        <w:rPr>
          <w:sz w:val="24"/>
          <w:szCs w:val="24"/>
        </w:rPr>
        <w:t>Colestyramin</w:t>
      </w:r>
      <w:proofErr w:type="spellEnd"/>
      <w:r w:rsidRPr="002F27FC">
        <w:rPr>
          <w:sz w:val="24"/>
          <w:szCs w:val="24"/>
        </w:rPr>
        <w:t xml:space="preserve"> reducerer absorptionen af paracetamol. For at opnå maksimal analgetisk virkning bør paracetamol derfor administreres mindst en time før </w:t>
      </w:r>
      <w:proofErr w:type="spellStart"/>
      <w:r w:rsidRPr="002F27FC">
        <w:rPr>
          <w:sz w:val="24"/>
          <w:szCs w:val="24"/>
        </w:rPr>
        <w:t>colestyramin</w:t>
      </w:r>
      <w:proofErr w:type="spellEnd"/>
      <w:r w:rsidRPr="002F27FC">
        <w:rPr>
          <w:sz w:val="24"/>
          <w:szCs w:val="24"/>
        </w:rPr>
        <w:t>.</w:t>
      </w:r>
    </w:p>
    <w:p w14:paraId="3995D90F" w14:textId="77777777" w:rsidR="00AB20D0" w:rsidRPr="002F27FC" w:rsidRDefault="00AB20D0" w:rsidP="002F27FC">
      <w:pPr>
        <w:ind w:left="851"/>
        <w:rPr>
          <w:sz w:val="24"/>
          <w:szCs w:val="24"/>
        </w:rPr>
      </w:pPr>
    </w:p>
    <w:p w14:paraId="44B4F927" w14:textId="77777777" w:rsidR="00AB20D0" w:rsidRPr="002F27FC" w:rsidRDefault="00AB20D0" w:rsidP="002F27FC">
      <w:pPr>
        <w:ind w:left="851"/>
        <w:rPr>
          <w:sz w:val="24"/>
          <w:szCs w:val="24"/>
        </w:rPr>
      </w:pPr>
      <w:r w:rsidRPr="002F27FC">
        <w:rPr>
          <w:sz w:val="24"/>
          <w:szCs w:val="24"/>
        </w:rPr>
        <w:t>Paracetamols påvirkning af andre lægemidlers farmakokinetik</w:t>
      </w:r>
    </w:p>
    <w:p w14:paraId="6DC72BCD" w14:textId="77777777" w:rsidR="00AB20D0" w:rsidRPr="002F27FC" w:rsidRDefault="00AB20D0" w:rsidP="002F27FC">
      <w:pPr>
        <w:ind w:left="851"/>
        <w:rPr>
          <w:sz w:val="24"/>
          <w:szCs w:val="24"/>
        </w:rPr>
      </w:pPr>
      <w:r w:rsidRPr="002F27FC">
        <w:rPr>
          <w:sz w:val="24"/>
          <w:szCs w:val="24"/>
        </w:rPr>
        <w:t xml:space="preserve">Paracetamol kan påvirke farmakokinetikken af </w:t>
      </w:r>
      <w:proofErr w:type="spellStart"/>
      <w:r w:rsidRPr="002F27FC">
        <w:rPr>
          <w:sz w:val="24"/>
          <w:szCs w:val="24"/>
        </w:rPr>
        <w:t>chloramphenicol</w:t>
      </w:r>
      <w:proofErr w:type="spellEnd"/>
      <w:r w:rsidRPr="002F27FC">
        <w:rPr>
          <w:sz w:val="24"/>
          <w:szCs w:val="24"/>
        </w:rPr>
        <w:t xml:space="preserve">. Det anbefales derfor at monitorere </w:t>
      </w:r>
      <w:proofErr w:type="spellStart"/>
      <w:r w:rsidRPr="002F27FC">
        <w:rPr>
          <w:sz w:val="24"/>
          <w:szCs w:val="24"/>
        </w:rPr>
        <w:t>chloramphenicols</w:t>
      </w:r>
      <w:proofErr w:type="spellEnd"/>
      <w:r w:rsidRPr="002F27FC">
        <w:rPr>
          <w:sz w:val="24"/>
          <w:szCs w:val="24"/>
        </w:rPr>
        <w:t xml:space="preserve"> plasmakoncentration ved samtidig behandling.</w:t>
      </w:r>
    </w:p>
    <w:p w14:paraId="294E6AA6" w14:textId="77777777" w:rsidR="009260DE" w:rsidRPr="002F27FC" w:rsidRDefault="009260DE" w:rsidP="009260DE">
      <w:pPr>
        <w:tabs>
          <w:tab w:val="left" w:pos="851"/>
        </w:tabs>
        <w:ind w:left="851"/>
        <w:rPr>
          <w:sz w:val="24"/>
          <w:szCs w:val="24"/>
        </w:rPr>
      </w:pPr>
    </w:p>
    <w:p w14:paraId="405E38D9" w14:textId="77777777" w:rsidR="009260DE" w:rsidRPr="002F27FC" w:rsidRDefault="009260DE" w:rsidP="009260DE">
      <w:pPr>
        <w:tabs>
          <w:tab w:val="left" w:pos="851"/>
        </w:tabs>
        <w:ind w:left="851" w:hanging="851"/>
        <w:rPr>
          <w:b/>
          <w:sz w:val="24"/>
          <w:szCs w:val="24"/>
        </w:rPr>
      </w:pPr>
      <w:r w:rsidRPr="002F27FC">
        <w:rPr>
          <w:b/>
          <w:sz w:val="24"/>
          <w:szCs w:val="24"/>
        </w:rPr>
        <w:t>4.6</w:t>
      </w:r>
      <w:r w:rsidRPr="002F27FC">
        <w:rPr>
          <w:b/>
          <w:sz w:val="24"/>
          <w:szCs w:val="24"/>
        </w:rPr>
        <w:tab/>
      </w:r>
      <w:r w:rsidR="0071241E" w:rsidRPr="002F27FC">
        <w:rPr>
          <w:b/>
          <w:sz w:val="24"/>
          <w:szCs w:val="24"/>
        </w:rPr>
        <w:t>Fertilitet, g</w:t>
      </w:r>
      <w:r w:rsidRPr="002F27FC">
        <w:rPr>
          <w:b/>
          <w:sz w:val="24"/>
          <w:szCs w:val="24"/>
        </w:rPr>
        <w:t>raviditet og amning</w:t>
      </w:r>
    </w:p>
    <w:p w14:paraId="4E0A051C" w14:textId="77777777" w:rsidR="00AB20D0" w:rsidRPr="002F27FC" w:rsidRDefault="00AB20D0" w:rsidP="002F27FC">
      <w:pPr>
        <w:ind w:left="851"/>
        <w:rPr>
          <w:sz w:val="24"/>
          <w:szCs w:val="24"/>
        </w:rPr>
      </w:pPr>
    </w:p>
    <w:p w14:paraId="7172D72A" w14:textId="77777777" w:rsidR="00AB20D0" w:rsidRPr="002F27FC" w:rsidRDefault="00AB20D0" w:rsidP="002F27FC">
      <w:pPr>
        <w:ind w:left="851"/>
        <w:rPr>
          <w:sz w:val="24"/>
          <w:szCs w:val="24"/>
          <w:u w:val="single"/>
        </w:rPr>
      </w:pPr>
      <w:r w:rsidRPr="002F27FC">
        <w:rPr>
          <w:sz w:val="24"/>
          <w:szCs w:val="24"/>
          <w:u w:val="single"/>
        </w:rPr>
        <w:t>Graviditet</w:t>
      </w:r>
    </w:p>
    <w:p w14:paraId="5DB557D9" w14:textId="77777777" w:rsidR="00AB20D0" w:rsidRPr="002F27FC" w:rsidRDefault="00AB20D0" w:rsidP="002F27FC">
      <w:pPr>
        <w:ind w:left="851"/>
        <w:rPr>
          <w:sz w:val="24"/>
          <w:szCs w:val="24"/>
        </w:rPr>
      </w:pPr>
      <w:r w:rsidRPr="002F27FC">
        <w:rPr>
          <w:sz w:val="24"/>
          <w:szCs w:val="24"/>
        </w:rPr>
        <w:t xml:space="preserve">En stor mængde data for gravide kvinder indikerer ingen misdannelser eller </w:t>
      </w:r>
      <w:proofErr w:type="spellStart"/>
      <w:r w:rsidRPr="002F27FC">
        <w:rPr>
          <w:sz w:val="24"/>
          <w:szCs w:val="24"/>
        </w:rPr>
        <w:t>føtal</w:t>
      </w:r>
      <w:proofErr w:type="spellEnd"/>
      <w:r w:rsidRPr="002F27FC">
        <w:rPr>
          <w:sz w:val="24"/>
          <w:szCs w:val="24"/>
        </w:rPr>
        <w:t xml:space="preserve">/neonatal toksicitet. Epidemiologiske studier af den neurologiske udvikling hos børn, der eksponeres for paracetamol </w:t>
      </w:r>
      <w:r w:rsidRPr="002F27FC">
        <w:rPr>
          <w:iCs/>
          <w:sz w:val="24"/>
          <w:szCs w:val="24"/>
        </w:rPr>
        <w:t>in</w:t>
      </w:r>
      <w:r w:rsidRPr="002F27FC">
        <w:rPr>
          <w:sz w:val="24"/>
          <w:szCs w:val="24"/>
        </w:rPr>
        <w:t xml:space="preserve"> </w:t>
      </w:r>
      <w:proofErr w:type="spellStart"/>
      <w:r w:rsidRPr="002F27FC">
        <w:rPr>
          <w:iCs/>
          <w:sz w:val="24"/>
          <w:szCs w:val="24"/>
        </w:rPr>
        <w:t>utero</w:t>
      </w:r>
      <w:proofErr w:type="spellEnd"/>
      <w:r w:rsidRPr="002F27FC">
        <w:rPr>
          <w:sz w:val="24"/>
          <w:szCs w:val="24"/>
        </w:rPr>
        <w:t xml:space="preserve">, viser </w:t>
      </w:r>
      <w:proofErr w:type="spellStart"/>
      <w:r w:rsidRPr="002F27FC">
        <w:rPr>
          <w:sz w:val="24"/>
          <w:szCs w:val="24"/>
        </w:rPr>
        <w:t>inkonklusive</w:t>
      </w:r>
      <w:proofErr w:type="spellEnd"/>
      <w:r w:rsidRPr="002F27FC">
        <w:rPr>
          <w:sz w:val="24"/>
          <w:szCs w:val="24"/>
        </w:rPr>
        <w:t xml:space="preserve"> resultater. Paracetamol kan anvendes under graviditet, hvis det er klinisk indiceret, men bør tages i den laveste effektive dosis, så kort tid som muligt og med lavest mulige hyppighed.</w:t>
      </w:r>
    </w:p>
    <w:p w14:paraId="10F807C3" w14:textId="77777777" w:rsidR="00AB20D0" w:rsidRPr="002F27FC" w:rsidRDefault="00AB20D0" w:rsidP="002F27FC">
      <w:pPr>
        <w:ind w:left="851"/>
        <w:rPr>
          <w:sz w:val="24"/>
          <w:szCs w:val="24"/>
          <w:u w:val="single"/>
        </w:rPr>
      </w:pPr>
    </w:p>
    <w:p w14:paraId="164E74D9" w14:textId="77777777" w:rsidR="00AB20D0" w:rsidRPr="002F27FC" w:rsidRDefault="00AB20D0" w:rsidP="002F27FC">
      <w:pPr>
        <w:ind w:left="851"/>
        <w:rPr>
          <w:sz w:val="24"/>
          <w:szCs w:val="24"/>
          <w:u w:val="single"/>
        </w:rPr>
      </w:pPr>
      <w:r w:rsidRPr="002F27FC">
        <w:rPr>
          <w:sz w:val="24"/>
          <w:szCs w:val="24"/>
          <w:u w:val="single"/>
        </w:rPr>
        <w:t>Amning</w:t>
      </w:r>
    </w:p>
    <w:p w14:paraId="5AE5545D" w14:textId="77777777" w:rsidR="00AB20D0" w:rsidRPr="002F27FC" w:rsidRDefault="00AB20D0" w:rsidP="002F27FC">
      <w:pPr>
        <w:ind w:left="851"/>
        <w:rPr>
          <w:sz w:val="24"/>
          <w:szCs w:val="24"/>
        </w:rPr>
      </w:pPr>
      <w:r w:rsidRPr="002F27FC">
        <w:rPr>
          <w:sz w:val="24"/>
          <w:szCs w:val="24"/>
        </w:rPr>
        <w:t>Paracetamol udskilles i human mælk, men der forventes ingen negativ påvirkning af det ammede barn ved terapeutiske doser.</w:t>
      </w:r>
    </w:p>
    <w:p w14:paraId="16B9E3BD" w14:textId="77777777" w:rsidR="009260DE" w:rsidRPr="002F27FC" w:rsidRDefault="009260DE" w:rsidP="009260DE">
      <w:pPr>
        <w:tabs>
          <w:tab w:val="left" w:pos="851"/>
        </w:tabs>
        <w:ind w:left="851"/>
        <w:rPr>
          <w:sz w:val="24"/>
          <w:szCs w:val="24"/>
        </w:rPr>
      </w:pPr>
    </w:p>
    <w:p w14:paraId="74628779" w14:textId="77777777" w:rsidR="009260DE" w:rsidRPr="002F27FC" w:rsidRDefault="009260DE" w:rsidP="009260DE">
      <w:pPr>
        <w:tabs>
          <w:tab w:val="left" w:pos="851"/>
        </w:tabs>
        <w:ind w:left="851" w:hanging="851"/>
        <w:rPr>
          <w:b/>
          <w:sz w:val="24"/>
          <w:szCs w:val="24"/>
        </w:rPr>
      </w:pPr>
      <w:r w:rsidRPr="002F27FC">
        <w:rPr>
          <w:b/>
          <w:sz w:val="24"/>
          <w:szCs w:val="24"/>
        </w:rPr>
        <w:t>4.7</w:t>
      </w:r>
      <w:r w:rsidRPr="002F27FC">
        <w:rPr>
          <w:b/>
          <w:sz w:val="24"/>
          <w:szCs w:val="24"/>
        </w:rPr>
        <w:tab/>
        <w:t xml:space="preserve">Virkning på evnen til at føre motorkøretøj </w:t>
      </w:r>
      <w:r w:rsidR="0071241E" w:rsidRPr="002F27FC">
        <w:rPr>
          <w:b/>
          <w:sz w:val="24"/>
          <w:szCs w:val="24"/>
        </w:rPr>
        <w:t>og</w:t>
      </w:r>
      <w:r w:rsidRPr="002F27FC">
        <w:rPr>
          <w:b/>
          <w:sz w:val="24"/>
          <w:szCs w:val="24"/>
        </w:rPr>
        <w:t xml:space="preserve"> betjene maskiner</w:t>
      </w:r>
    </w:p>
    <w:p w14:paraId="2F8DA4DC" w14:textId="77777777" w:rsidR="00AB20D0" w:rsidRPr="002F27FC" w:rsidRDefault="00AB20D0" w:rsidP="002F27FC">
      <w:pPr>
        <w:ind w:left="851"/>
        <w:rPr>
          <w:sz w:val="24"/>
          <w:szCs w:val="24"/>
        </w:rPr>
      </w:pPr>
      <w:r w:rsidRPr="002F27FC">
        <w:rPr>
          <w:sz w:val="24"/>
          <w:szCs w:val="24"/>
        </w:rPr>
        <w:t>Ikke mærkning</w:t>
      </w:r>
    </w:p>
    <w:p w14:paraId="67FA4996" w14:textId="77777777" w:rsidR="00AB20D0" w:rsidRPr="002F27FC" w:rsidRDefault="00AB20D0" w:rsidP="002F27FC">
      <w:pPr>
        <w:ind w:left="851"/>
        <w:rPr>
          <w:sz w:val="24"/>
          <w:szCs w:val="24"/>
        </w:rPr>
      </w:pPr>
      <w:r w:rsidRPr="002F27FC">
        <w:rPr>
          <w:sz w:val="24"/>
          <w:szCs w:val="24"/>
        </w:rPr>
        <w:t>Paracetamol påvirker ikke eller kun i ubetydelig grad evnen til at føre motorkøretøj og betjene maskiner.</w:t>
      </w:r>
    </w:p>
    <w:p w14:paraId="6B9DB943" w14:textId="77777777" w:rsidR="009260DE" w:rsidRPr="002F27FC" w:rsidRDefault="009260DE" w:rsidP="009260DE">
      <w:pPr>
        <w:tabs>
          <w:tab w:val="left" w:pos="851"/>
        </w:tabs>
        <w:ind w:left="851"/>
        <w:rPr>
          <w:sz w:val="24"/>
          <w:szCs w:val="24"/>
        </w:rPr>
      </w:pPr>
    </w:p>
    <w:p w14:paraId="1CD94145" w14:textId="77777777" w:rsidR="009260DE" w:rsidRPr="002F27FC" w:rsidRDefault="009260DE" w:rsidP="009260DE">
      <w:pPr>
        <w:tabs>
          <w:tab w:val="left" w:pos="851"/>
        </w:tabs>
        <w:ind w:left="851" w:hanging="851"/>
        <w:rPr>
          <w:b/>
          <w:sz w:val="24"/>
          <w:szCs w:val="24"/>
        </w:rPr>
      </w:pPr>
      <w:r w:rsidRPr="002F27FC">
        <w:rPr>
          <w:b/>
          <w:sz w:val="24"/>
          <w:szCs w:val="24"/>
        </w:rPr>
        <w:t>4.8</w:t>
      </w:r>
      <w:r w:rsidRPr="002F27FC">
        <w:rPr>
          <w:b/>
          <w:sz w:val="24"/>
          <w:szCs w:val="24"/>
        </w:rPr>
        <w:tab/>
        <w:t>Bivirkninger</w:t>
      </w:r>
    </w:p>
    <w:p w14:paraId="52722294" w14:textId="2AF3C2C2" w:rsidR="00AB20D0" w:rsidRPr="002F27FC" w:rsidRDefault="00AB20D0" w:rsidP="002F27FC">
      <w:pPr>
        <w:ind w:left="851"/>
        <w:rPr>
          <w:sz w:val="24"/>
          <w:szCs w:val="24"/>
        </w:rPr>
      </w:pPr>
      <w:r w:rsidRPr="002F27FC">
        <w:rPr>
          <w:sz w:val="24"/>
          <w:szCs w:val="24"/>
        </w:rPr>
        <w:t xml:space="preserve">Bivirkninger ved paracetamol er generelt sjældne. De hyppigst forekomne bivirkninger er hudreaktioner og forøget </w:t>
      </w:r>
      <w:proofErr w:type="spellStart"/>
      <w:r w:rsidRPr="002F27FC">
        <w:rPr>
          <w:sz w:val="24"/>
          <w:szCs w:val="24"/>
        </w:rPr>
        <w:t>levertransaminase</w:t>
      </w:r>
      <w:proofErr w:type="spellEnd"/>
      <w:r w:rsidR="00C63603">
        <w:rPr>
          <w:sz w:val="24"/>
          <w:szCs w:val="24"/>
        </w:rPr>
        <w:t>.</w:t>
      </w:r>
    </w:p>
    <w:p w14:paraId="7FA56C77" w14:textId="77777777" w:rsidR="00AB20D0" w:rsidRPr="002F27FC" w:rsidRDefault="00AB20D0" w:rsidP="002F27FC">
      <w:pPr>
        <w:ind w:left="851"/>
        <w:rPr>
          <w:iCs/>
          <w:sz w:val="24"/>
          <w:szCs w:val="24"/>
        </w:rPr>
      </w:pPr>
    </w:p>
    <w:p w14:paraId="083F163B" w14:textId="77777777" w:rsidR="00AB20D0" w:rsidRPr="002F27FC" w:rsidRDefault="00AB20D0" w:rsidP="002F27FC">
      <w:pPr>
        <w:ind w:left="851"/>
        <w:rPr>
          <w:sz w:val="24"/>
          <w:szCs w:val="24"/>
        </w:rPr>
      </w:pPr>
      <w:r w:rsidRPr="002F27FC">
        <w:rPr>
          <w:sz w:val="24"/>
          <w:szCs w:val="24"/>
        </w:rPr>
        <w:t>Bivirkninger rapporteret efter meget lang erfaring med paracetamol er anført nedenfor efter systemorganklasse og hyppighed. Hyppigheden er defineret som:</w:t>
      </w:r>
    </w:p>
    <w:p w14:paraId="774498CB" w14:textId="77777777" w:rsidR="00AB20D0" w:rsidRPr="002F27FC" w:rsidRDefault="00AB20D0" w:rsidP="002F27FC">
      <w:pPr>
        <w:ind w:left="851"/>
        <w:rPr>
          <w:sz w:val="24"/>
          <w:szCs w:val="24"/>
        </w:rPr>
      </w:pPr>
      <w:r w:rsidRPr="002F27FC">
        <w:rPr>
          <w:sz w:val="24"/>
          <w:szCs w:val="24"/>
        </w:rPr>
        <w:t>Meget almindelig (≥ 1/10); Almindelig (≥ 1/100 til &lt; 1/10); Ikke almindelig (≥ 1/1.000 til &lt; 1/100); Sjælden (≥ 1/10.000 til &lt; 1/1.000); Meget sjælden (&lt; 1/10.000); Ikke kendt (kan ikke estimeres ud fra forhåndenværende data)</w:t>
      </w:r>
    </w:p>
    <w:p w14:paraId="1DA688E7" w14:textId="77777777" w:rsidR="00AB20D0" w:rsidRPr="002F27FC" w:rsidRDefault="00AB20D0" w:rsidP="002F27FC">
      <w:pPr>
        <w:ind w:left="851"/>
        <w:rPr>
          <w:iCs/>
          <w:sz w:val="24"/>
          <w:szCs w:val="24"/>
        </w:rPr>
      </w:pPr>
    </w:p>
    <w:tbl>
      <w:tblPr>
        <w:tblStyle w:val="Tabel-Gitter"/>
        <w:tblW w:w="0" w:type="auto"/>
        <w:tblInd w:w="846" w:type="dxa"/>
        <w:tblLook w:val="04A0" w:firstRow="1" w:lastRow="0" w:firstColumn="1" w:lastColumn="0" w:noHBand="0" w:noVBand="1"/>
      </w:tblPr>
      <w:tblGrid>
        <w:gridCol w:w="3823"/>
        <w:gridCol w:w="4394"/>
      </w:tblGrid>
      <w:tr w:rsidR="00AB20D0" w:rsidRPr="00D65831" w14:paraId="36C24469" w14:textId="77777777" w:rsidTr="002F27FC">
        <w:tc>
          <w:tcPr>
            <w:tcW w:w="3823" w:type="dxa"/>
            <w:tcBorders>
              <w:top w:val="single" w:sz="4" w:space="0" w:color="auto"/>
              <w:left w:val="single" w:sz="4" w:space="0" w:color="auto"/>
              <w:bottom w:val="single" w:sz="4" w:space="0" w:color="auto"/>
              <w:right w:val="single" w:sz="4" w:space="0" w:color="auto"/>
            </w:tcBorders>
          </w:tcPr>
          <w:p w14:paraId="18DEC1CA" w14:textId="77777777" w:rsidR="00AB20D0" w:rsidRPr="00D65831" w:rsidRDefault="00AB20D0">
            <w:pPr>
              <w:tabs>
                <w:tab w:val="left" w:pos="567"/>
              </w:tabs>
              <w:rPr>
                <w:sz w:val="24"/>
                <w:szCs w:val="24"/>
                <w:lang w:val="da-DK" w:eastAsia="en-GB"/>
              </w:rPr>
            </w:pPr>
            <w:r w:rsidRPr="00D65831">
              <w:rPr>
                <w:b/>
                <w:bCs/>
                <w:sz w:val="24"/>
                <w:szCs w:val="24"/>
                <w:lang w:val="da-DK" w:eastAsia="en-GB"/>
              </w:rPr>
              <w:t>Blod og lymfesystem</w:t>
            </w:r>
          </w:p>
          <w:p w14:paraId="34BD1AE1" w14:textId="77777777" w:rsidR="00AB20D0" w:rsidRPr="00D65831" w:rsidRDefault="00AB20D0">
            <w:pPr>
              <w:tabs>
                <w:tab w:val="left" w:pos="567"/>
              </w:tabs>
              <w:rPr>
                <w:sz w:val="24"/>
                <w:szCs w:val="24"/>
                <w:lang w:val="da-DK" w:eastAsia="en-GB"/>
              </w:rPr>
            </w:pPr>
            <w:r w:rsidRPr="00D65831">
              <w:rPr>
                <w:sz w:val="24"/>
                <w:szCs w:val="24"/>
                <w:lang w:val="da-DK" w:eastAsia="en-GB"/>
              </w:rPr>
              <w:t>Meget sjælden (&lt; 1/10.000)</w:t>
            </w:r>
          </w:p>
          <w:p w14:paraId="55BD01EE" w14:textId="77777777" w:rsidR="00AB20D0" w:rsidRPr="00D65831" w:rsidRDefault="00AB20D0">
            <w:pPr>
              <w:tabs>
                <w:tab w:val="left" w:pos="567"/>
              </w:tabs>
              <w:rPr>
                <w:sz w:val="24"/>
                <w:szCs w:val="24"/>
                <w:lang w:val="da-DK" w:eastAsia="en-GB"/>
              </w:rPr>
            </w:pPr>
          </w:p>
        </w:tc>
        <w:tc>
          <w:tcPr>
            <w:tcW w:w="4394" w:type="dxa"/>
            <w:tcBorders>
              <w:top w:val="single" w:sz="4" w:space="0" w:color="auto"/>
              <w:left w:val="single" w:sz="4" w:space="0" w:color="auto"/>
              <w:bottom w:val="single" w:sz="4" w:space="0" w:color="auto"/>
              <w:right w:val="single" w:sz="4" w:space="0" w:color="auto"/>
            </w:tcBorders>
          </w:tcPr>
          <w:p w14:paraId="4EFFD948" w14:textId="77777777" w:rsidR="00AB20D0" w:rsidRPr="00D65831" w:rsidRDefault="00AB20D0">
            <w:pPr>
              <w:tabs>
                <w:tab w:val="left" w:pos="567"/>
              </w:tabs>
              <w:rPr>
                <w:sz w:val="24"/>
                <w:szCs w:val="24"/>
                <w:lang w:val="da-DK" w:eastAsia="en-GB"/>
              </w:rPr>
            </w:pPr>
          </w:p>
          <w:p w14:paraId="483F867B" w14:textId="77777777" w:rsidR="00AB20D0" w:rsidRPr="00D65831" w:rsidRDefault="00AB20D0">
            <w:pPr>
              <w:tabs>
                <w:tab w:val="left" w:pos="567"/>
              </w:tabs>
              <w:rPr>
                <w:sz w:val="24"/>
                <w:szCs w:val="24"/>
                <w:lang w:val="da-DK" w:eastAsia="en-GB"/>
              </w:rPr>
            </w:pPr>
            <w:proofErr w:type="spellStart"/>
            <w:r w:rsidRPr="00D65831">
              <w:rPr>
                <w:sz w:val="24"/>
                <w:szCs w:val="24"/>
                <w:lang w:val="da-DK" w:eastAsia="en-GB"/>
              </w:rPr>
              <w:t>Trombocytopeni</w:t>
            </w:r>
            <w:proofErr w:type="spellEnd"/>
            <w:r w:rsidRPr="00D65831">
              <w:rPr>
                <w:sz w:val="24"/>
                <w:szCs w:val="24"/>
                <w:lang w:val="da-DK" w:eastAsia="en-GB"/>
              </w:rPr>
              <w:t xml:space="preserve">, </w:t>
            </w:r>
            <w:proofErr w:type="spellStart"/>
            <w:r w:rsidRPr="00D65831">
              <w:rPr>
                <w:sz w:val="24"/>
                <w:szCs w:val="24"/>
                <w:lang w:val="da-DK" w:eastAsia="en-GB"/>
              </w:rPr>
              <w:t>neutropeni</w:t>
            </w:r>
            <w:proofErr w:type="spellEnd"/>
            <w:r w:rsidRPr="00D65831">
              <w:rPr>
                <w:sz w:val="24"/>
                <w:szCs w:val="24"/>
                <w:lang w:val="da-DK" w:eastAsia="en-GB"/>
              </w:rPr>
              <w:t xml:space="preserve">, </w:t>
            </w:r>
            <w:proofErr w:type="spellStart"/>
            <w:r w:rsidRPr="00D65831">
              <w:rPr>
                <w:sz w:val="24"/>
                <w:szCs w:val="24"/>
                <w:lang w:val="da-DK" w:eastAsia="en-GB"/>
              </w:rPr>
              <w:t>leukopeni</w:t>
            </w:r>
            <w:proofErr w:type="spellEnd"/>
            <w:r w:rsidRPr="00D65831">
              <w:rPr>
                <w:sz w:val="24"/>
                <w:szCs w:val="24"/>
                <w:lang w:val="da-DK" w:eastAsia="en-GB"/>
              </w:rPr>
              <w:t xml:space="preserve"> og </w:t>
            </w:r>
            <w:proofErr w:type="spellStart"/>
            <w:r w:rsidRPr="00D65831">
              <w:rPr>
                <w:sz w:val="24"/>
                <w:szCs w:val="24"/>
                <w:lang w:val="da-DK" w:eastAsia="en-GB"/>
              </w:rPr>
              <w:t>hæmolytisk</w:t>
            </w:r>
            <w:proofErr w:type="spellEnd"/>
            <w:r w:rsidRPr="00D65831">
              <w:rPr>
                <w:sz w:val="24"/>
                <w:szCs w:val="24"/>
                <w:lang w:val="da-DK" w:eastAsia="en-GB"/>
              </w:rPr>
              <w:t xml:space="preserve"> anæmi</w:t>
            </w:r>
          </w:p>
          <w:p w14:paraId="48170908" w14:textId="77777777" w:rsidR="00AB20D0" w:rsidRPr="00D65831" w:rsidRDefault="00AB20D0">
            <w:pPr>
              <w:tabs>
                <w:tab w:val="left" w:pos="567"/>
              </w:tabs>
              <w:rPr>
                <w:sz w:val="24"/>
                <w:szCs w:val="24"/>
                <w:lang w:val="da-DK" w:eastAsia="en-GB"/>
              </w:rPr>
            </w:pPr>
          </w:p>
        </w:tc>
      </w:tr>
      <w:tr w:rsidR="00AB20D0" w:rsidRPr="00D65831" w14:paraId="7F059867" w14:textId="77777777" w:rsidTr="002F27FC">
        <w:tc>
          <w:tcPr>
            <w:tcW w:w="3823" w:type="dxa"/>
            <w:tcBorders>
              <w:top w:val="single" w:sz="4" w:space="0" w:color="auto"/>
              <w:left w:val="single" w:sz="4" w:space="0" w:color="auto"/>
              <w:bottom w:val="single" w:sz="4" w:space="0" w:color="auto"/>
              <w:right w:val="single" w:sz="4" w:space="0" w:color="auto"/>
            </w:tcBorders>
          </w:tcPr>
          <w:p w14:paraId="55C73514" w14:textId="77777777" w:rsidR="00AB20D0" w:rsidRPr="00D65831" w:rsidRDefault="00AB20D0">
            <w:pPr>
              <w:tabs>
                <w:tab w:val="left" w:pos="567"/>
              </w:tabs>
              <w:rPr>
                <w:b/>
                <w:bCs/>
                <w:sz w:val="24"/>
                <w:szCs w:val="24"/>
                <w:lang w:val="da-DK" w:eastAsia="en-GB"/>
              </w:rPr>
            </w:pPr>
            <w:r w:rsidRPr="00D65831">
              <w:rPr>
                <w:b/>
                <w:bCs/>
                <w:sz w:val="24"/>
                <w:szCs w:val="24"/>
                <w:lang w:val="da-DK" w:eastAsia="en-GB"/>
              </w:rPr>
              <w:t>Immunsystemet</w:t>
            </w:r>
          </w:p>
          <w:p w14:paraId="564C1E4D" w14:textId="77777777" w:rsidR="00AB20D0" w:rsidRPr="00D65831" w:rsidRDefault="00AB20D0">
            <w:pPr>
              <w:tabs>
                <w:tab w:val="left" w:pos="567"/>
              </w:tabs>
              <w:rPr>
                <w:sz w:val="24"/>
                <w:szCs w:val="24"/>
                <w:lang w:val="da-DK" w:eastAsia="en-GB"/>
              </w:rPr>
            </w:pPr>
            <w:r w:rsidRPr="00D65831">
              <w:rPr>
                <w:sz w:val="24"/>
                <w:szCs w:val="24"/>
                <w:lang w:val="da-DK" w:eastAsia="en-GB"/>
              </w:rPr>
              <w:t>Meget sjælden (&lt; 1/10.000)</w:t>
            </w:r>
          </w:p>
          <w:p w14:paraId="4133483D" w14:textId="77777777" w:rsidR="00AB20D0" w:rsidRPr="00D65831" w:rsidRDefault="00AB20D0">
            <w:pPr>
              <w:tabs>
                <w:tab w:val="left" w:pos="567"/>
              </w:tabs>
              <w:rPr>
                <w:sz w:val="24"/>
                <w:szCs w:val="24"/>
                <w:lang w:val="da-DK" w:eastAsia="en-GB"/>
              </w:rPr>
            </w:pPr>
          </w:p>
        </w:tc>
        <w:tc>
          <w:tcPr>
            <w:tcW w:w="4394" w:type="dxa"/>
            <w:tcBorders>
              <w:top w:val="single" w:sz="4" w:space="0" w:color="auto"/>
              <w:left w:val="single" w:sz="4" w:space="0" w:color="auto"/>
              <w:bottom w:val="single" w:sz="4" w:space="0" w:color="auto"/>
              <w:right w:val="single" w:sz="4" w:space="0" w:color="auto"/>
            </w:tcBorders>
          </w:tcPr>
          <w:p w14:paraId="676724F3" w14:textId="77777777" w:rsidR="00AB20D0" w:rsidRPr="00D65831" w:rsidRDefault="00AB20D0">
            <w:pPr>
              <w:tabs>
                <w:tab w:val="left" w:pos="567"/>
              </w:tabs>
              <w:rPr>
                <w:sz w:val="24"/>
                <w:szCs w:val="24"/>
                <w:lang w:val="da-DK" w:eastAsia="en-GB"/>
              </w:rPr>
            </w:pPr>
          </w:p>
          <w:p w14:paraId="7B01617B" w14:textId="77777777" w:rsidR="00AB20D0" w:rsidRPr="00D65831" w:rsidRDefault="00AB20D0">
            <w:pPr>
              <w:tabs>
                <w:tab w:val="left" w:pos="567"/>
              </w:tabs>
              <w:rPr>
                <w:sz w:val="24"/>
                <w:szCs w:val="24"/>
                <w:lang w:val="da-DK" w:eastAsia="en-GB"/>
              </w:rPr>
            </w:pPr>
            <w:r w:rsidRPr="00D65831">
              <w:rPr>
                <w:sz w:val="24"/>
                <w:szCs w:val="24"/>
                <w:lang w:val="da-DK" w:eastAsia="en-GB"/>
              </w:rPr>
              <w:t>Anafylaksi</w:t>
            </w:r>
          </w:p>
        </w:tc>
      </w:tr>
      <w:tr w:rsidR="00AB20D0" w:rsidRPr="00D65831" w14:paraId="1937BDCC" w14:textId="77777777" w:rsidTr="002F27FC">
        <w:tc>
          <w:tcPr>
            <w:tcW w:w="3823" w:type="dxa"/>
            <w:tcBorders>
              <w:top w:val="single" w:sz="4" w:space="0" w:color="auto"/>
              <w:left w:val="single" w:sz="4" w:space="0" w:color="auto"/>
              <w:bottom w:val="single" w:sz="4" w:space="0" w:color="auto"/>
              <w:right w:val="single" w:sz="4" w:space="0" w:color="auto"/>
            </w:tcBorders>
            <w:hideMark/>
          </w:tcPr>
          <w:p w14:paraId="14B496D7" w14:textId="77777777" w:rsidR="00AB20D0" w:rsidRPr="00D65831" w:rsidRDefault="00AB20D0">
            <w:pPr>
              <w:tabs>
                <w:tab w:val="left" w:pos="567"/>
              </w:tabs>
              <w:rPr>
                <w:b/>
                <w:bCs/>
                <w:sz w:val="24"/>
                <w:szCs w:val="24"/>
                <w:lang w:val="da-DK" w:eastAsia="en-GB"/>
              </w:rPr>
            </w:pPr>
            <w:r w:rsidRPr="00D65831">
              <w:rPr>
                <w:b/>
                <w:bCs/>
                <w:sz w:val="24"/>
                <w:szCs w:val="24"/>
                <w:lang w:val="da-DK" w:eastAsia="en-GB"/>
              </w:rPr>
              <w:t>Metabolisme og ernæring</w:t>
            </w:r>
          </w:p>
          <w:p w14:paraId="6F0B6D7A" w14:textId="77777777" w:rsidR="00AB20D0" w:rsidRPr="00D65831" w:rsidRDefault="00AB20D0">
            <w:pPr>
              <w:tabs>
                <w:tab w:val="left" w:pos="567"/>
              </w:tabs>
              <w:rPr>
                <w:b/>
                <w:bCs/>
                <w:sz w:val="24"/>
                <w:szCs w:val="24"/>
                <w:lang w:val="da-DK" w:eastAsia="en-GB"/>
              </w:rPr>
            </w:pPr>
            <w:r w:rsidRPr="00D65831">
              <w:rPr>
                <w:sz w:val="24"/>
                <w:szCs w:val="24"/>
                <w:lang w:val="da-DK" w:eastAsia="en-GB"/>
              </w:rPr>
              <w:lastRenderedPageBreak/>
              <w:t>Ikke kendt (kan ikke estimeres ud fra forhåndenværende data)</w:t>
            </w:r>
          </w:p>
        </w:tc>
        <w:tc>
          <w:tcPr>
            <w:tcW w:w="4394" w:type="dxa"/>
            <w:tcBorders>
              <w:top w:val="single" w:sz="4" w:space="0" w:color="auto"/>
              <w:left w:val="single" w:sz="4" w:space="0" w:color="auto"/>
              <w:bottom w:val="single" w:sz="4" w:space="0" w:color="auto"/>
              <w:right w:val="single" w:sz="4" w:space="0" w:color="auto"/>
            </w:tcBorders>
          </w:tcPr>
          <w:p w14:paraId="2473C414" w14:textId="77777777" w:rsidR="00AB20D0" w:rsidRPr="00D65831" w:rsidRDefault="00AB20D0">
            <w:pPr>
              <w:tabs>
                <w:tab w:val="left" w:pos="567"/>
              </w:tabs>
              <w:rPr>
                <w:sz w:val="24"/>
                <w:szCs w:val="24"/>
                <w:lang w:val="da-DK" w:eastAsia="en-GB"/>
              </w:rPr>
            </w:pPr>
          </w:p>
          <w:p w14:paraId="0835F655" w14:textId="77777777" w:rsidR="00AB20D0" w:rsidRPr="00D65831" w:rsidRDefault="00AB20D0">
            <w:pPr>
              <w:tabs>
                <w:tab w:val="left" w:pos="567"/>
              </w:tabs>
              <w:rPr>
                <w:sz w:val="24"/>
                <w:szCs w:val="24"/>
                <w:lang w:val="da-DK" w:eastAsia="en-GB"/>
              </w:rPr>
            </w:pPr>
            <w:r w:rsidRPr="00D65831">
              <w:rPr>
                <w:sz w:val="24"/>
                <w:szCs w:val="24"/>
                <w:lang w:val="da-DK" w:eastAsia="en-GB"/>
              </w:rPr>
              <w:lastRenderedPageBreak/>
              <w:t xml:space="preserve">Metabolisk </w:t>
            </w:r>
            <w:proofErr w:type="spellStart"/>
            <w:r w:rsidRPr="00D65831">
              <w:rPr>
                <w:sz w:val="24"/>
                <w:szCs w:val="24"/>
                <w:lang w:val="da-DK" w:eastAsia="en-GB"/>
              </w:rPr>
              <w:t>acidose</w:t>
            </w:r>
            <w:proofErr w:type="spellEnd"/>
            <w:r w:rsidRPr="00D65831">
              <w:rPr>
                <w:sz w:val="24"/>
                <w:szCs w:val="24"/>
                <w:lang w:val="da-DK" w:eastAsia="en-GB"/>
              </w:rPr>
              <w:t xml:space="preserve"> med højt anion-</w:t>
            </w:r>
            <w:proofErr w:type="spellStart"/>
            <w:r w:rsidRPr="00D65831">
              <w:rPr>
                <w:sz w:val="24"/>
                <w:szCs w:val="24"/>
                <w:lang w:val="da-DK" w:eastAsia="en-GB"/>
              </w:rPr>
              <w:t>gap</w:t>
            </w:r>
            <w:proofErr w:type="spellEnd"/>
            <w:r w:rsidRPr="00D65831">
              <w:rPr>
                <w:sz w:val="24"/>
                <w:szCs w:val="24"/>
                <w:lang w:val="da-DK" w:eastAsia="en-GB"/>
              </w:rPr>
              <w:t xml:space="preserve"> (HAGMA)</w:t>
            </w:r>
          </w:p>
        </w:tc>
      </w:tr>
      <w:tr w:rsidR="00AB20D0" w:rsidRPr="00D65831" w14:paraId="0F8FFCC9" w14:textId="77777777" w:rsidTr="002F27FC">
        <w:tc>
          <w:tcPr>
            <w:tcW w:w="3823" w:type="dxa"/>
            <w:tcBorders>
              <w:top w:val="single" w:sz="4" w:space="0" w:color="auto"/>
              <w:left w:val="single" w:sz="4" w:space="0" w:color="auto"/>
              <w:bottom w:val="single" w:sz="4" w:space="0" w:color="auto"/>
              <w:right w:val="single" w:sz="4" w:space="0" w:color="auto"/>
            </w:tcBorders>
          </w:tcPr>
          <w:p w14:paraId="0A790751" w14:textId="77777777" w:rsidR="00AB20D0" w:rsidRPr="00D65831" w:rsidRDefault="00AB20D0">
            <w:pPr>
              <w:tabs>
                <w:tab w:val="left" w:pos="567"/>
              </w:tabs>
              <w:rPr>
                <w:sz w:val="24"/>
                <w:szCs w:val="24"/>
                <w:lang w:val="da-DK" w:eastAsia="en-GB"/>
              </w:rPr>
            </w:pPr>
            <w:r w:rsidRPr="00D65831">
              <w:rPr>
                <w:b/>
                <w:bCs/>
                <w:sz w:val="24"/>
                <w:szCs w:val="24"/>
                <w:lang w:val="da-DK" w:eastAsia="en-GB"/>
              </w:rPr>
              <w:lastRenderedPageBreak/>
              <w:t xml:space="preserve">Luftveje, thorax og </w:t>
            </w:r>
            <w:proofErr w:type="spellStart"/>
            <w:r w:rsidRPr="00D65831">
              <w:rPr>
                <w:b/>
                <w:bCs/>
                <w:sz w:val="24"/>
                <w:szCs w:val="24"/>
                <w:lang w:val="da-DK" w:eastAsia="en-GB"/>
              </w:rPr>
              <w:t>mediastinum</w:t>
            </w:r>
            <w:proofErr w:type="spellEnd"/>
          </w:p>
          <w:p w14:paraId="601A577C" w14:textId="77777777" w:rsidR="00AB20D0" w:rsidRPr="00D65831" w:rsidRDefault="00AB20D0">
            <w:pPr>
              <w:tabs>
                <w:tab w:val="left" w:pos="567"/>
              </w:tabs>
              <w:rPr>
                <w:sz w:val="24"/>
                <w:szCs w:val="24"/>
                <w:lang w:val="da-DK" w:eastAsia="en-GB"/>
              </w:rPr>
            </w:pPr>
            <w:r w:rsidRPr="00D65831">
              <w:rPr>
                <w:sz w:val="24"/>
                <w:szCs w:val="24"/>
                <w:lang w:val="da-DK" w:eastAsia="en-GB"/>
              </w:rPr>
              <w:t>Meget sjælden (&lt; 1/10.000)</w:t>
            </w:r>
          </w:p>
          <w:p w14:paraId="6D9B1E90" w14:textId="77777777" w:rsidR="00AB20D0" w:rsidRPr="00D65831" w:rsidRDefault="00AB20D0">
            <w:pPr>
              <w:tabs>
                <w:tab w:val="left" w:pos="567"/>
              </w:tabs>
              <w:rPr>
                <w:sz w:val="24"/>
                <w:szCs w:val="24"/>
                <w:lang w:val="da-DK" w:eastAsia="en-GB"/>
              </w:rPr>
            </w:pPr>
          </w:p>
          <w:p w14:paraId="72F07771" w14:textId="77777777" w:rsidR="00AB20D0" w:rsidRPr="00D65831" w:rsidRDefault="00AB20D0">
            <w:pPr>
              <w:tabs>
                <w:tab w:val="left" w:pos="567"/>
              </w:tabs>
              <w:rPr>
                <w:sz w:val="24"/>
                <w:szCs w:val="24"/>
                <w:lang w:val="da-DK" w:eastAsia="en-GB"/>
              </w:rPr>
            </w:pPr>
          </w:p>
        </w:tc>
        <w:tc>
          <w:tcPr>
            <w:tcW w:w="4394" w:type="dxa"/>
            <w:tcBorders>
              <w:top w:val="single" w:sz="4" w:space="0" w:color="auto"/>
              <w:left w:val="single" w:sz="4" w:space="0" w:color="auto"/>
              <w:bottom w:val="single" w:sz="4" w:space="0" w:color="auto"/>
              <w:right w:val="single" w:sz="4" w:space="0" w:color="auto"/>
            </w:tcBorders>
          </w:tcPr>
          <w:p w14:paraId="0E231115" w14:textId="77777777" w:rsidR="00AB20D0" w:rsidRPr="00D65831" w:rsidRDefault="00AB20D0">
            <w:pPr>
              <w:tabs>
                <w:tab w:val="left" w:pos="567"/>
              </w:tabs>
              <w:rPr>
                <w:sz w:val="24"/>
                <w:szCs w:val="24"/>
                <w:lang w:val="da-DK" w:eastAsia="en-GB"/>
              </w:rPr>
            </w:pPr>
          </w:p>
          <w:p w14:paraId="7252FCD0" w14:textId="77777777" w:rsidR="00AB20D0" w:rsidRPr="00D65831" w:rsidRDefault="00AB20D0">
            <w:pPr>
              <w:tabs>
                <w:tab w:val="left" w:pos="567"/>
              </w:tabs>
              <w:rPr>
                <w:sz w:val="24"/>
                <w:szCs w:val="24"/>
                <w:lang w:val="da-DK" w:eastAsia="en-GB"/>
              </w:rPr>
            </w:pPr>
            <w:proofErr w:type="spellStart"/>
            <w:r w:rsidRPr="00D65831">
              <w:rPr>
                <w:sz w:val="24"/>
                <w:szCs w:val="24"/>
                <w:lang w:val="da-DK" w:eastAsia="en-GB"/>
              </w:rPr>
              <w:t>Bronkospasmer</w:t>
            </w:r>
            <w:proofErr w:type="spellEnd"/>
            <w:r w:rsidRPr="00D65831">
              <w:rPr>
                <w:sz w:val="24"/>
                <w:szCs w:val="24"/>
                <w:lang w:val="da-DK" w:eastAsia="en-GB"/>
              </w:rPr>
              <w:t xml:space="preserve"> hos patienter, der er følsomme over for acetylsalicylsyre og andre </w:t>
            </w:r>
            <w:proofErr w:type="spellStart"/>
            <w:r w:rsidRPr="00D65831">
              <w:rPr>
                <w:sz w:val="24"/>
                <w:szCs w:val="24"/>
                <w:lang w:val="da-DK" w:eastAsia="en-GB"/>
              </w:rPr>
              <w:t>NSAID’er</w:t>
            </w:r>
            <w:proofErr w:type="spellEnd"/>
          </w:p>
          <w:p w14:paraId="74B99B84" w14:textId="77777777" w:rsidR="00AB20D0" w:rsidRPr="00D65831" w:rsidRDefault="00AB20D0">
            <w:pPr>
              <w:tabs>
                <w:tab w:val="left" w:pos="567"/>
              </w:tabs>
              <w:rPr>
                <w:sz w:val="24"/>
                <w:szCs w:val="24"/>
                <w:lang w:val="da-DK" w:eastAsia="en-GB"/>
              </w:rPr>
            </w:pPr>
          </w:p>
        </w:tc>
      </w:tr>
      <w:tr w:rsidR="00AB20D0" w:rsidRPr="00D65831" w14:paraId="597146DB" w14:textId="77777777" w:rsidTr="002F27FC">
        <w:tc>
          <w:tcPr>
            <w:tcW w:w="3823" w:type="dxa"/>
            <w:tcBorders>
              <w:top w:val="single" w:sz="4" w:space="0" w:color="auto"/>
              <w:left w:val="single" w:sz="4" w:space="0" w:color="auto"/>
              <w:bottom w:val="single" w:sz="4" w:space="0" w:color="auto"/>
              <w:right w:val="single" w:sz="4" w:space="0" w:color="auto"/>
            </w:tcBorders>
          </w:tcPr>
          <w:p w14:paraId="21E158CE" w14:textId="77777777" w:rsidR="00AB20D0" w:rsidRPr="00D65831" w:rsidRDefault="00AB20D0">
            <w:pPr>
              <w:tabs>
                <w:tab w:val="left" w:pos="567"/>
              </w:tabs>
              <w:rPr>
                <w:b/>
                <w:bCs/>
                <w:sz w:val="24"/>
                <w:szCs w:val="24"/>
                <w:lang w:val="da-DK" w:eastAsia="en-GB"/>
              </w:rPr>
            </w:pPr>
            <w:r w:rsidRPr="00D65831">
              <w:rPr>
                <w:b/>
                <w:bCs/>
                <w:sz w:val="24"/>
                <w:szCs w:val="24"/>
                <w:lang w:val="da-DK" w:eastAsia="en-GB"/>
              </w:rPr>
              <w:t>Nyrer og urinveje</w:t>
            </w:r>
          </w:p>
          <w:p w14:paraId="5D1889A3" w14:textId="77777777" w:rsidR="00AB20D0" w:rsidRPr="00D65831" w:rsidRDefault="00AB20D0">
            <w:pPr>
              <w:tabs>
                <w:tab w:val="left" w:pos="567"/>
              </w:tabs>
              <w:rPr>
                <w:sz w:val="24"/>
                <w:szCs w:val="24"/>
                <w:lang w:val="da-DK" w:eastAsia="en-GB"/>
              </w:rPr>
            </w:pPr>
            <w:r w:rsidRPr="00D65831">
              <w:rPr>
                <w:sz w:val="24"/>
                <w:szCs w:val="24"/>
                <w:lang w:val="da-DK" w:eastAsia="en-GB"/>
              </w:rPr>
              <w:t>Meget sjælden (&lt; 1/10.000)</w:t>
            </w:r>
          </w:p>
          <w:p w14:paraId="116511E7" w14:textId="77777777" w:rsidR="00AB20D0" w:rsidRPr="00D65831" w:rsidRDefault="00AB20D0">
            <w:pPr>
              <w:tabs>
                <w:tab w:val="left" w:pos="567"/>
              </w:tabs>
              <w:rPr>
                <w:sz w:val="24"/>
                <w:szCs w:val="24"/>
                <w:lang w:val="da-DK" w:eastAsia="en-GB"/>
              </w:rPr>
            </w:pPr>
          </w:p>
        </w:tc>
        <w:tc>
          <w:tcPr>
            <w:tcW w:w="4394" w:type="dxa"/>
            <w:tcBorders>
              <w:top w:val="single" w:sz="4" w:space="0" w:color="auto"/>
              <w:left w:val="single" w:sz="4" w:space="0" w:color="auto"/>
              <w:bottom w:val="single" w:sz="4" w:space="0" w:color="auto"/>
              <w:right w:val="single" w:sz="4" w:space="0" w:color="auto"/>
            </w:tcBorders>
          </w:tcPr>
          <w:p w14:paraId="6D6C7CAB" w14:textId="77777777" w:rsidR="00AB20D0" w:rsidRPr="00D65831" w:rsidRDefault="00AB20D0">
            <w:pPr>
              <w:tabs>
                <w:tab w:val="left" w:pos="567"/>
              </w:tabs>
              <w:rPr>
                <w:sz w:val="24"/>
                <w:szCs w:val="24"/>
                <w:lang w:val="da-DK" w:eastAsia="en-GB"/>
              </w:rPr>
            </w:pPr>
          </w:p>
          <w:p w14:paraId="75F79D56" w14:textId="77777777" w:rsidR="00AB20D0" w:rsidRPr="00D65831" w:rsidRDefault="00AB20D0">
            <w:pPr>
              <w:tabs>
                <w:tab w:val="left" w:pos="567"/>
              </w:tabs>
              <w:rPr>
                <w:sz w:val="24"/>
                <w:szCs w:val="24"/>
                <w:lang w:val="da-DK" w:eastAsia="en-GB"/>
              </w:rPr>
            </w:pPr>
            <w:r w:rsidRPr="00D65831">
              <w:rPr>
                <w:sz w:val="24"/>
                <w:szCs w:val="24"/>
                <w:lang w:val="da-DK" w:eastAsia="en-GB"/>
              </w:rPr>
              <w:t xml:space="preserve">Nyrerelaterede bivirkninger, steril </w:t>
            </w:r>
            <w:proofErr w:type="spellStart"/>
            <w:r w:rsidRPr="00D65831">
              <w:rPr>
                <w:sz w:val="24"/>
                <w:szCs w:val="24"/>
                <w:lang w:val="da-DK" w:eastAsia="en-GB"/>
              </w:rPr>
              <w:t>pyuri</w:t>
            </w:r>
            <w:proofErr w:type="spellEnd"/>
            <w:r w:rsidRPr="00D65831">
              <w:rPr>
                <w:sz w:val="24"/>
                <w:szCs w:val="24"/>
                <w:lang w:val="da-DK" w:eastAsia="en-GB"/>
              </w:rPr>
              <w:t xml:space="preserve"> (pus i urinen)</w:t>
            </w:r>
          </w:p>
          <w:p w14:paraId="375BD7C4" w14:textId="77777777" w:rsidR="00AB20D0" w:rsidRPr="00D65831" w:rsidRDefault="00AB20D0">
            <w:pPr>
              <w:tabs>
                <w:tab w:val="left" w:pos="567"/>
              </w:tabs>
              <w:rPr>
                <w:sz w:val="24"/>
                <w:szCs w:val="24"/>
                <w:lang w:val="da-DK" w:eastAsia="en-GB"/>
              </w:rPr>
            </w:pPr>
          </w:p>
        </w:tc>
      </w:tr>
      <w:tr w:rsidR="00AB20D0" w:rsidRPr="00D65831" w14:paraId="0C2AEBDA" w14:textId="77777777" w:rsidTr="002F27FC">
        <w:tc>
          <w:tcPr>
            <w:tcW w:w="3823" w:type="dxa"/>
            <w:tcBorders>
              <w:top w:val="single" w:sz="4" w:space="0" w:color="auto"/>
              <w:left w:val="single" w:sz="4" w:space="0" w:color="auto"/>
              <w:bottom w:val="single" w:sz="4" w:space="0" w:color="auto"/>
              <w:right w:val="single" w:sz="4" w:space="0" w:color="auto"/>
            </w:tcBorders>
          </w:tcPr>
          <w:p w14:paraId="69B8126D" w14:textId="77777777" w:rsidR="00AB20D0" w:rsidRPr="00D65831" w:rsidRDefault="00AB20D0">
            <w:pPr>
              <w:tabs>
                <w:tab w:val="left" w:pos="567"/>
              </w:tabs>
              <w:rPr>
                <w:b/>
                <w:bCs/>
                <w:sz w:val="24"/>
                <w:szCs w:val="24"/>
                <w:lang w:val="da-DK" w:eastAsia="en-GB"/>
              </w:rPr>
            </w:pPr>
            <w:r w:rsidRPr="00D65831">
              <w:rPr>
                <w:b/>
                <w:bCs/>
                <w:sz w:val="24"/>
                <w:szCs w:val="24"/>
                <w:lang w:val="da-DK" w:eastAsia="en-GB"/>
              </w:rPr>
              <w:t>Hud og subkutane væv</w:t>
            </w:r>
          </w:p>
          <w:p w14:paraId="55A7DBC1" w14:textId="77777777" w:rsidR="00AB20D0" w:rsidRPr="00D65831" w:rsidRDefault="00AB20D0">
            <w:pPr>
              <w:tabs>
                <w:tab w:val="left" w:pos="567"/>
              </w:tabs>
              <w:rPr>
                <w:sz w:val="24"/>
                <w:szCs w:val="24"/>
                <w:lang w:val="da-DK" w:eastAsia="en-GB"/>
              </w:rPr>
            </w:pPr>
            <w:r w:rsidRPr="00D65831">
              <w:rPr>
                <w:sz w:val="24"/>
                <w:szCs w:val="24"/>
                <w:lang w:val="da-DK" w:eastAsia="en-GB"/>
              </w:rPr>
              <w:t>Sjælden (≥ 1/10.000 til &lt; 1/1.000)</w:t>
            </w:r>
          </w:p>
          <w:p w14:paraId="23A65421" w14:textId="77777777" w:rsidR="00AB20D0" w:rsidRPr="00D65831" w:rsidRDefault="00AB20D0">
            <w:pPr>
              <w:tabs>
                <w:tab w:val="left" w:pos="567"/>
              </w:tabs>
              <w:rPr>
                <w:sz w:val="24"/>
                <w:szCs w:val="24"/>
                <w:lang w:val="da-DK" w:eastAsia="en-GB"/>
              </w:rPr>
            </w:pPr>
          </w:p>
          <w:p w14:paraId="3EF647BC" w14:textId="77777777" w:rsidR="00AB20D0" w:rsidRPr="00D65831" w:rsidRDefault="00AB20D0">
            <w:pPr>
              <w:tabs>
                <w:tab w:val="left" w:pos="567"/>
              </w:tabs>
              <w:rPr>
                <w:sz w:val="24"/>
                <w:szCs w:val="24"/>
                <w:lang w:val="da-DK" w:eastAsia="en-GB"/>
              </w:rPr>
            </w:pPr>
            <w:r w:rsidRPr="00D65831">
              <w:rPr>
                <w:sz w:val="24"/>
                <w:szCs w:val="24"/>
                <w:lang w:val="da-DK" w:eastAsia="en-GB"/>
              </w:rPr>
              <w:t>Meget sjælden (&lt; 1/10.000)</w:t>
            </w:r>
          </w:p>
          <w:p w14:paraId="092AD7A9" w14:textId="77777777" w:rsidR="00AB20D0" w:rsidRPr="00D65831" w:rsidRDefault="00AB20D0">
            <w:pPr>
              <w:tabs>
                <w:tab w:val="left" w:pos="567"/>
              </w:tabs>
              <w:rPr>
                <w:sz w:val="24"/>
                <w:szCs w:val="24"/>
                <w:lang w:val="da-DK" w:eastAsia="en-GB"/>
              </w:rPr>
            </w:pPr>
          </w:p>
          <w:p w14:paraId="4BA01223" w14:textId="77777777" w:rsidR="00AB20D0" w:rsidRPr="00D65831" w:rsidRDefault="00AB20D0">
            <w:pPr>
              <w:tabs>
                <w:tab w:val="left" w:pos="567"/>
              </w:tabs>
              <w:rPr>
                <w:sz w:val="24"/>
                <w:szCs w:val="24"/>
                <w:lang w:val="da-DK" w:eastAsia="en-GB"/>
              </w:rPr>
            </w:pPr>
          </w:p>
        </w:tc>
        <w:tc>
          <w:tcPr>
            <w:tcW w:w="4394" w:type="dxa"/>
            <w:tcBorders>
              <w:top w:val="single" w:sz="4" w:space="0" w:color="auto"/>
              <w:left w:val="single" w:sz="4" w:space="0" w:color="auto"/>
              <w:bottom w:val="single" w:sz="4" w:space="0" w:color="auto"/>
              <w:right w:val="single" w:sz="4" w:space="0" w:color="auto"/>
            </w:tcBorders>
          </w:tcPr>
          <w:p w14:paraId="56E494D7" w14:textId="77777777" w:rsidR="00AB20D0" w:rsidRPr="00D65831" w:rsidRDefault="00AB20D0">
            <w:pPr>
              <w:tabs>
                <w:tab w:val="left" w:pos="567"/>
              </w:tabs>
              <w:rPr>
                <w:sz w:val="24"/>
                <w:szCs w:val="24"/>
                <w:lang w:val="da-DK" w:eastAsia="en-GB"/>
              </w:rPr>
            </w:pPr>
          </w:p>
          <w:p w14:paraId="1A2EEAED" w14:textId="77777777" w:rsidR="00AB20D0" w:rsidRPr="00D65831" w:rsidRDefault="00AB20D0">
            <w:pPr>
              <w:tabs>
                <w:tab w:val="left" w:pos="567"/>
              </w:tabs>
              <w:rPr>
                <w:sz w:val="24"/>
                <w:szCs w:val="24"/>
                <w:lang w:val="da-DK" w:eastAsia="en-GB"/>
              </w:rPr>
            </w:pPr>
            <w:proofErr w:type="spellStart"/>
            <w:r w:rsidRPr="00D65831">
              <w:rPr>
                <w:sz w:val="24"/>
                <w:szCs w:val="24"/>
                <w:lang w:val="da-DK" w:eastAsia="en-GB"/>
              </w:rPr>
              <w:t>Eksantem</w:t>
            </w:r>
            <w:proofErr w:type="spellEnd"/>
            <w:r w:rsidRPr="00D65831">
              <w:rPr>
                <w:sz w:val="24"/>
                <w:szCs w:val="24"/>
                <w:lang w:val="da-DK" w:eastAsia="en-GB"/>
              </w:rPr>
              <w:t xml:space="preserve">, </w:t>
            </w:r>
            <w:proofErr w:type="spellStart"/>
            <w:r w:rsidRPr="00D65831">
              <w:rPr>
                <w:sz w:val="24"/>
                <w:szCs w:val="24"/>
                <w:lang w:val="da-DK" w:eastAsia="en-GB"/>
              </w:rPr>
              <w:t>urticaria</w:t>
            </w:r>
            <w:proofErr w:type="spellEnd"/>
            <w:r w:rsidRPr="00D65831">
              <w:rPr>
                <w:sz w:val="24"/>
                <w:szCs w:val="24"/>
                <w:lang w:val="da-DK" w:eastAsia="en-GB"/>
              </w:rPr>
              <w:t xml:space="preserve">, </w:t>
            </w:r>
            <w:proofErr w:type="spellStart"/>
            <w:r w:rsidRPr="00D65831">
              <w:rPr>
                <w:sz w:val="24"/>
                <w:szCs w:val="24"/>
                <w:lang w:val="da-DK" w:eastAsia="en-GB"/>
              </w:rPr>
              <w:t>angioødem</w:t>
            </w:r>
            <w:proofErr w:type="spellEnd"/>
            <w:r w:rsidRPr="00D65831">
              <w:rPr>
                <w:sz w:val="24"/>
                <w:szCs w:val="24"/>
                <w:lang w:val="da-DK" w:eastAsia="en-GB"/>
              </w:rPr>
              <w:t xml:space="preserve"> </w:t>
            </w:r>
          </w:p>
          <w:p w14:paraId="14F75261" w14:textId="77777777" w:rsidR="00AB20D0" w:rsidRPr="00D65831" w:rsidRDefault="00AB20D0">
            <w:pPr>
              <w:tabs>
                <w:tab w:val="left" w:pos="567"/>
              </w:tabs>
              <w:rPr>
                <w:sz w:val="24"/>
                <w:szCs w:val="24"/>
                <w:lang w:val="da-DK" w:eastAsia="en-GB"/>
              </w:rPr>
            </w:pPr>
          </w:p>
          <w:p w14:paraId="6F200344" w14:textId="77777777" w:rsidR="00AB20D0" w:rsidRPr="00D65831" w:rsidRDefault="00AB20D0">
            <w:pPr>
              <w:tabs>
                <w:tab w:val="left" w:pos="567"/>
              </w:tabs>
              <w:rPr>
                <w:sz w:val="24"/>
                <w:szCs w:val="24"/>
                <w:lang w:val="da-DK" w:eastAsia="en-GB"/>
              </w:rPr>
            </w:pPr>
            <w:bookmarkStart w:id="1" w:name="_Hlk161929227"/>
            <w:r w:rsidRPr="00D65831">
              <w:rPr>
                <w:sz w:val="24"/>
                <w:szCs w:val="24"/>
                <w:lang w:val="da-DK" w:eastAsia="en-GB"/>
              </w:rPr>
              <w:t xml:space="preserve">Allergisk </w:t>
            </w:r>
            <w:proofErr w:type="spellStart"/>
            <w:r w:rsidRPr="00D65831">
              <w:rPr>
                <w:sz w:val="24"/>
                <w:szCs w:val="24"/>
                <w:lang w:val="da-DK" w:eastAsia="en-GB"/>
              </w:rPr>
              <w:t>dermatitis</w:t>
            </w:r>
            <w:proofErr w:type="spellEnd"/>
            <w:r w:rsidRPr="00D65831">
              <w:rPr>
                <w:sz w:val="24"/>
                <w:szCs w:val="24"/>
                <w:lang w:val="da-DK" w:eastAsia="en-GB"/>
              </w:rPr>
              <w:t xml:space="preserve">, udslæt, kløe, øget svedtendens, rødme. </w:t>
            </w:r>
            <w:bookmarkEnd w:id="1"/>
          </w:p>
          <w:p w14:paraId="3A2A321A" w14:textId="77777777" w:rsidR="00AB20D0" w:rsidRPr="00D65831" w:rsidRDefault="00AB20D0">
            <w:pPr>
              <w:tabs>
                <w:tab w:val="left" w:pos="567"/>
              </w:tabs>
              <w:rPr>
                <w:sz w:val="24"/>
                <w:szCs w:val="24"/>
                <w:lang w:val="da-DK" w:eastAsia="en-GB"/>
              </w:rPr>
            </w:pPr>
            <w:r w:rsidRPr="00D65831">
              <w:rPr>
                <w:sz w:val="24"/>
                <w:szCs w:val="24"/>
                <w:lang w:val="da-DK" w:eastAsia="en-GB"/>
              </w:rPr>
              <w:t xml:space="preserve">Toksisk </w:t>
            </w:r>
            <w:proofErr w:type="spellStart"/>
            <w:r w:rsidRPr="00D65831">
              <w:rPr>
                <w:sz w:val="24"/>
                <w:szCs w:val="24"/>
                <w:lang w:val="da-DK" w:eastAsia="en-GB"/>
              </w:rPr>
              <w:t>epidermal</w:t>
            </w:r>
            <w:proofErr w:type="spellEnd"/>
            <w:r w:rsidRPr="00D65831">
              <w:rPr>
                <w:sz w:val="24"/>
                <w:szCs w:val="24"/>
                <w:lang w:val="da-DK" w:eastAsia="en-GB"/>
              </w:rPr>
              <w:t xml:space="preserve"> </w:t>
            </w:r>
            <w:proofErr w:type="spellStart"/>
            <w:r w:rsidRPr="00D65831">
              <w:rPr>
                <w:sz w:val="24"/>
                <w:szCs w:val="24"/>
                <w:lang w:val="da-DK" w:eastAsia="en-GB"/>
              </w:rPr>
              <w:t>nekrolyse</w:t>
            </w:r>
            <w:proofErr w:type="spellEnd"/>
            <w:r w:rsidRPr="00D65831">
              <w:rPr>
                <w:sz w:val="24"/>
                <w:szCs w:val="24"/>
                <w:lang w:val="da-DK" w:eastAsia="en-GB"/>
              </w:rPr>
              <w:t xml:space="preserve"> (TEN), lægemiddelinduceret </w:t>
            </w:r>
            <w:proofErr w:type="spellStart"/>
            <w:r w:rsidRPr="00D65831">
              <w:rPr>
                <w:sz w:val="24"/>
                <w:szCs w:val="24"/>
                <w:lang w:val="da-DK" w:eastAsia="en-GB"/>
              </w:rPr>
              <w:t>dermatitis</w:t>
            </w:r>
            <w:proofErr w:type="spellEnd"/>
            <w:r w:rsidRPr="00D65831">
              <w:rPr>
                <w:sz w:val="24"/>
                <w:szCs w:val="24"/>
                <w:lang w:val="da-DK" w:eastAsia="en-GB"/>
              </w:rPr>
              <w:t xml:space="preserve">, Stevens-Johnsons syndrom, akut generaliseret </w:t>
            </w:r>
            <w:proofErr w:type="spellStart"/>
            <w:r w:rsidRPr="00D65831">
              <w:rPr>
                <w:sz w:val="24"/>
                <w:szCs w:val="24"/>
                <w:lang w:val="da-DK" w:eastAsia="en-GB"/>
              </w:rPr>
              <w:t>eksantematøs</w:t>
            </w:r>
            <w:proofErr w:type="spellEnd"/>
            <w:r w:rsidRPr="00D65831">
              <w:rPr>
                <w:sz w:val="24"/>
                <w:szCs w:val="24"/>
                <w:lang w:val="da-DK" w:eastAsia="en-GB"/>
              </w:rPr>
              <w:t xml:space="preserve"> </w:t>
            </w:r>
            <w:proofErr w:type="spellStart"/>
            <w:r w:rsidRPr="00D65831">
              <w:rPr>
                <w:sz w:val="24"/>
                <w:szCs w:val="24"/>
                <w:lang w:val="da-DK" w:eastAsia="en-GB"/>
              </w:rPr>
              <w:t>pustulose</w:t>
            </w:r>
            <w:proofErr w:type="spellEnd"/>
            <w:r w:rsidRPr="00D65831">
              <w:rPr>
                <w:sz w:val="24"/>
                <w:szCs w:val="24"/>
                <w:lang w:val="da-DK" w:eastAsia="en-GB"/>
              </w:rPr>
              <w:t>.</w:t>
            </w:r>
          </w:p>
          <w:p w14:paraId="7FD0E695" w14:textId="77777777" w:rsidR="00AB20D0" w:rsidRPr="00D65831" w:rsidRDefault="00AB20D0">
            <w:pPr>
              <w:tabs>
                <w:tab w:val="left" w:pos="567"/>
              </w:tabs>
              <w:rPr>
                <w:sz w:val="24"/>
                <w:szCs w:val="24"/>
                <w:lang w:val="da-DK" w:eastAsia="en-GB"/>
              </w:rPr>
            </w:pPr>
          </w:p>
        </w:tc>
      </w:tr>
      <w:tr w:rsidR="00AB20D0" w:rsidRPr="00D65831" w14:paraId="2D2A8BDE" w14:textId="77777777" w:rsidTr="002F27FC">
        <w:tc>
          <w:tcPr>
            <w:tcW w:w="3823" w:type="dxa"/>
            <w:tcBorders>
              <w:top w:val="single" w:sz="4" w:space="0" w:color="auto"/>
              <w:left w:val="single" w:sz="4" w:space="0" w:color="auto"/>
              <w:bottom w:val="single" w:sz="4" w:space="0" w:color="auto"/>
              <w:right w:val="single" w:sz="4" w:space="0" w:color="auto"/>
            </w:tcBorders>
          </w:tcPr>
          <w:p w14:paraId="65A6B846" w14:textId="77777777" w:rsidR="00AB20D0" w:rsidRPr="00D65831" w:rsidRDefault="00AB20D0">
            <w:pPr>
              <w:tabs>
                <w:tab w:val="left" w:pos="567"/>
              </w:tabs>
              <w:rPr>
                <w:b/>
                <w:bCs/>
                <w:sz w:val="24"/>
                <w:szCs w:val="24"/>
                <w:lang w:val="da-DK" w:eastAsia="en-GB"/>
              </w:rPr>
            </w:pPr>
            <w:r w:rsidRPr="00D65831">
              <w:rPr>
                <w:b/>
                <w:bCs/>
                <w:sz w:val="24"/>
                <w:szCs w:val="24"/>
                <w:lang w:val="da-DK" w:eastAsia="en-GB"/>
              </w:rPr>
              <w:t>Lever og galdeveje</w:t>
            </w:r>
          </w:p>
          <w:p w14:paraId="47F84A78" w14:textId="77777777" w:rsidR="00AB20D0" w:rsidRPr="00D65831" w:rsidRDefault="00AB20D0">
            <w:pPr>
              <w:tabs>
                <w:tab w:val="left" w:pos="567"/>
              </w:tabs>
              <w:rPr>
                <w:sz w:val="24"/>
                <w:szCs w:val="24"/>
                <w:lang w:val="da-DK" w:eastAsia="en-GB"/>
              </w:rPr>
            </w:pPr>
            <w:r w:rsidRPr="00D65831">
              <w:rPr>
                <w:sz w:val="24"/>
                <w:szCs w:val="24"/>
                <w:lang w:val="da-DK" w:eastAsia="en-GB"/>
              </w:rPr>
              <w:t>Sjælden (≥ 1/10.000 til &lt; 1/1.000)</w:t>
            </w:r>
          </w:p>
          <w:p w14:paraId="1B4DACCC" w14:textId="77777777" w:rsidR="00AB20D0" w:rsidRPr="00D65831" w:rsidRDefault="00AB20D0">
            <w:pPr>
              <w:tabs>
                <w:tab w:val="left" w:pos="567"/>
              </w:tabs>
              <w:rPr>
                <w:sz w:val="24"/>
                <w:szCs w:val="24"/>
                <w:lang w:val="da-DK" w:eastAsia="en-GB"/>
              </w:rPr>
            </w:pPr>
          </w:p>
          <w:p w14:paraId="0DEAC15D" w14:textId="77777777" w:rsidR="00AB20D0" w:rsidRPr="00D65831" w:rsidRDefault="00AB20D0">
            <w:pPr>
              <w:tabs>
                <w:tab w:val="left" w:pos="567"/>
              </w:tabs>
              <w:rPr>
                <w:sz w:val="24"/>
                <w:szCs w:val="24"/>
                <w:lang w:val="da-DK" w:eastAsia="en-GB"/>
              </w:rPr>
            </w:pPr>
            <w:r w:rsidRPr="00D65831">
              <w:rPr>
                <w:sz w:val="24"/>
                <w:szCs w:val="24"/>
                <w:lang w:val="da-DK" w:eastAsia="en-GB"/>
              </w:rPr>
              <w:t>Meget sjælden (&lt; 1/10.000)</w:t>
            </w:r>
          </w:p>
          <w:p w14:paraId="0208C98E" w14:textId="77777777" w:rsidR="00AB20D0" w:rsidRPr="00D65831" w:rsidRDefault="00AB20D0">
            <w:pPr>
              <w:tabs>
                <w:tab w:val="left" w:pos="567"/>
              </w:tabs>
              <w:rPr>
                <w:sz w:val="24"/>
                <w:szCs w:val="24"/>
                <w:lang w:val="da-DK" w:eastAsia="en-GB"/>
              </w:rPr>
            </w:pPr>
          </w:p>
        </w:tc>
        <w:tc>
          <w:tcPr>
            <w:tcW w:w="4394" w:type="dxa"/>
            <w:tcBorders>
              <w:top w:val="single" w:sz="4" w:space="0" w:color="auto"/>
              <w:left w:val="single" w:sz="4" w:space="0" w:color="auto"/>
              <w:bottom w:val="single" w:sz="4" w:space="0" w:color="auto"/>
              <w:right w:val="single" w:sz="4" w:space="0" w:color="auto"/>
            </w:tcBorders>
          </w:tcPr>
          <w:p w14:paraId="26290BFA" w14:textId="77777777" w:rsidR="00AB20D0" w:rsidRPr="00D65831" w:rsidRDefault="00AB20D0">
            <w:pPr>
              <w:tabs>
                <w:tab w:val="left" w:pos="567"/>
              </w:tabs>
              <w:rPr>
                <w:sz w:val="24"/>
                <w:szCs w:val="24"/>
                <w:lang w:val="da-DK" w:eastAsia="en-GB"/>
              </w:rPr>
            </w:pPr>
          </w:p>
          <w:p w14:paraId="0FBD42ED" w14:textId="77777777" w:rsidR="00AB20D0" w:rsidRPr="00D65831" w:rsidRDefault="00AB20D0">
            <w:pPr>
              <w:tabs>
                <w:tab w:val="left" w:pos="567"/>
              </w:tabs>
              <w:rPr>
                <w:sz w:val="24"/>
                <w:szCs w:val="24"/>
                <w:lang w:val="da-DK" w:eastAsia="en-GB"/>
              </w:rPr>
            </w:pPr>
            <w:r w:rsidRPr="00D65831">
              <w:rPr>
                <w:sz w:val="24"/>
                <w:szCs w:val="24"/>
                <w:lang w:val="da-DK" w:eastAsia="en-GB"/>
              </w:rPr>
              <w:t xml:space="preserve">Forøget </w:t>
            </w:r>
            <w:proofErr w:type="spellStart"/>
            <w:r w:rsidRPr="00D65831">
              <w:rPr>
                <w:sz w:val="24"/>
                <w:szCs w:val="24"/>
                <w:lang w:val="da-DK" w:eastAsia="en-GB"/>
              </w:rPr>
              <w:t>levertransaminase</w:t>
            </w:r>
            <w:proofErr w:type="spellEnd"/>
            <w:r w:rsidRPr="00D65831">
              <w:rPr>
                <w:sz w:val="24"/>
                <w:szCs w:val="24"/>
                <w:lang w:val="da-DK" w:eastAsia="en-GB"/>
              </w:rPr>
              <w:t xml:space="preserve">. </w:t>
            </w:r>
          </w:p>
          <w:p w14:paraId="6ABD450D" w14:textId="77777777" w:rsidR="00AB20D0" w:rsidRPr="00D65831" w:rsidRDefault="00AB20D0">
            <w:pPr>
              <w:tabs>
                <w:tab w:val="left" w:pos="567"/>
              </w:tabs>
              <w:rPr>
                <w:sz w:val="24"/>
                <w:szCs w:val="24"/>
                <w:lang w:val="da-DK" w:eastAsia="en-GB"/>
              </w:rPr>
            </w:pPr>
          </w:p>
          <w:p w14:paraId="7A0F0472" w14:textId="77777777" w:rsidR="00AB20D0" w:rsidRPr="00D65831" w:rsidRDefault="00AB20D0">
            <w:pPr>
              <w:tabs>
                <w:tab w:val="left" w:pos="567"/>
              </w:tabs>
              <w:rPr>
                <w:sz w:val="24"/>
                <w:szCs w:val="24"/>
                <w:lang w:val="da-DK" w:eastAsia="en-GB"/>
              </w:rPr>
            </w:pPr>
            <w:bookmarkStart w:id="2" w:name="_Hlk161929730"/>
            <w:r w:rsidRPr="00D65831">
              <w:rPr>
                <w:sz w:val="24"/>
                <w:szCs w:val="24"/>
                <w:lang w:val="da-DK" w:eastAsia="en-GB"/>
              </w:rPr>
              <w:t>Leverskade.</w:t>
            </w:r>
            <w:bookmarkEnd w:id="2"/>
          </w:p>
        </w:tc>
      </w:tr>
    </w:tbl>
    <w:p w14:paraId="54448044" w14:textId="77777777" w:rsidR="00AB20D0" w:rsidRPr="002F27FC" w:rsidRDefault="00AB20D0" w:rsidP="002F27FC">
      <w:pPr>
        <w:ind w:left="851"/>
        <w:rPr>
          <w:sz w:val="24"/>
          <w:szCs w:val="24"/>
        </w:rPr>
      </w:pPr>
    </w:p>
    <w:p w14:paraId="62F98884" w14:textId="77777777" w:rsidR="00AB20D0" w:rsidRPr="002F27FC" w:rsidRDefault="00AB20D0" w:rsidP="002F27FC">
      <w:pPr>
        <w:ind w:left="851"/>
        <w:rPr>
          <w:sz w:val="24"/>
          <w:szCs w:val="24"/>
          <w:u w:val="single"/>
        </w:rPr>
      </w:pPr>
      <w:r w:rsidRPr="002F27FC">
        <w:rPr>
          <w:sz w:val="24"/>
          <w:szCs w:val="24"/>
          <w:u w:val="single"/>
        </w:rPr>
        <w:t xml:space="preserve">Beskrivelse af udvalgte bivirkninger </w:t>
      </w:r>
    </w:p>
    <w:p w14:paraId="19F72BAA" w14:textId="77777777" w:rsidR="00AB20D0" w:rsidRPr="002F27FC" w:rsidRDefault="00AB20D0" w:rsidP="002F27FC">
      <w:pPr>
        <w:ind w:left="851"/>
        <w:rPr>
          <w:i/>
          <w:sz w:val="24"/>
          <w:szCs w:val="24"/>
        </w:rPr>
      </w:pPr>
      <w:r w:rsidRPr="002F27FC">
        <w:rPr>
          <w:i/>
          <w:sz w:val="24"/>
          <w:szCs w:val="24"/>
        </w:rPr>
        <w:t xml:space="preserve">Metabolisk </w:t>
      </w:r>
      <w:proofErr w:type="spellStart"/>
      <w:r w:rsidRPr="002F27FC">
        <w:rPr>
          <w:i/>
          <w:sz w:val="24"/>
          <w:szCs w:val="24"/>
        </w:rPr>
        <w:t>acidose</w:t>
      </w:r>
      <w:proofErr w:type="spellEnd"/>
      <w:r w:rsidRPr="002F27FC">
        <w:rPr>
          <w:i/>
          <w:sz w:val="24"/>
          <w:szCs w:val="24"/>
        </w:rPr>
        <w:t xml:space="preserve"> med højt anion-</w:t>
      </w:r>
      <w:proofErr w:type="spellStart"/>
      <w:r w:rsidRPr="002F27FC">
        <w:rPr>
          <w:i/>
          <w:sz w:val="24"/>
          <w:szCs w:val="24"/>
        </w:rPr>
        <w:t>gap</w:t>
      </w:r>
      <w:proofErr w:type="spellEnd"/>
    </w:p>
    <w:p w14:paraId="3A52C7F7" w14:textId="77777777" w:rsidR="00AB20D0" w:rsidRPr="002F27FC" w:rsidRDefault="00AB20D0" w:rsidP="002F27FC">
      <w:pPr>
        <w:ind w:left="851"/>
        <w:rPr>
          <w:sz w:val="24"/>
          <w:szCs w:val="24"/>
        </w:rPr>
      </w:pPr>
      <w:r w:rsidRPr="002F27FC">
        <w:rPr>
          <w:sz w:val="24"/>
          <w:szCs w:val="24"/>
        </w:rPr>
        <w:t xml:space="preserve">Hos patienter med risikofaktorer, der anvender paracetamol, er der observeret tilfælde af metabolisk </w:t>
      </w:r>
      <w:proofErr w:type="spellStart"/>
      <w:r w:rsidRPr="002F27FC">
        <w:rPr>
          <w:sz w:val="24"/>
          <w:szCs w:val="24"/>
        </w:rPr>
        <w:t>acidose</w:t>
      </w:r>
      <w:proofErr w:type="spellEnd"/>
      <w:r w:rsidRPr="002F27FC">
        <w:rPr>
          <w:sz w:val="24"/>
          <w:szCs w:val="24"/>
        </w:rPr>
        <w:t xml:space="preserve"> med højt anion-</w:t>
      </w:r>
      <w:proofErr w:type="spellStart"/>
      <w:r w:rsidRPr="002F27FC">
        <w:rPr>
          <w:sz w:val="24"/>
          <w:szCs w:val="24"/>
        </w:rPr>
        <w:t>gap</w:t>
      </w:r>
      <w:proofErr w:type="spellEnd"/>
      <w:r w:rsidRPr="002F27FC">
        <w:rPr>
          <w:sz w:val="24"/>
          <w:szCs w:val="24"/>
        </w:rPr>
        <w:t xml:space="preserve"> som følge af </w:t>
      </w:r>
      <w:proofErr w:type="spellStart"/>
      <w:r w:rsidRPr="002F27FC">
        <w:rPr>
          <w:sz w:val="24"/>
          <w:szCs w:val="24"/>
        </w:rPr>
        <w:t>pyroglutaminacidose</w:t>
      </w:r>
      <w:proofErr w:type="spellEnd"/>
      <w:r w:rsidRPr="002F27FC">
        <w:rPr>
          <w:sz w:val="24"/>
          <w:szCs w:val="24"/>
        </w:rPr>
        <w:t xml:space="preserve"> (se pkt. 4.4). </w:t>
      </w:r>
      <w:proofErr w:type="spellStart"/>
      <w:r w:rsidRPr="002F27FC">
        <w:rPr>
          <w:spacing w:val="-3"/>
          <w:sz w:val="24"/>
          <w:szCs w:val="24"/>
        </w:rPr>
        <w:t>Pyroglutaminacidose</w:t>
      </w:r>
      <w:proofErr w:type="spellEnd"/>
      <w:r w:rsidRPr="002F27FC">
        <w:rPr>
          <w:spacing w:val="-3"/>
          <w:sz w:val="24"/>
          <w:szCs w:val="24"/>
        </w:rPr>
        <w:t xml:space="preserve"> kan forekomme som følge af lave </w:t>
      </w:r>
      <w:proofErr w:type="spellStart"/>
      <w:r w:rsidRPr="002F27FC">
        <w:rPr>
          <w:spacing w:val="-3"/>
          <w:sz w:val="24"/>
          <w:szCs w:val="24"/>
        </w:rPr>
        <w:t>glutathionniveauer</w:t>
      </w:r>
      <w:proofErr w:type="spellEnd"/>
      <w:r w:rsidRPr="002F27FC">
        <w:rPr>
          <w:spacing w:val="-3"/>
          <w:sz w:val="24"/>
          <w:szCs w:val="24"/>
        </w:rPr>
        <w:t xml:space="preserve"> hos disse patienter.</w:t>
      </w:r>
    </w:p>
    <w:p w14:paraId="14CE12D8" w14:textId="77777777" w:rsidR="00AB20D0" w:rsidRPr="002F27FC" w:rsidRDefault="00AB20D0" w:rsidP="002F27FC">
      <w:pPr>
        <w:ind w:left="851"/>
        <w:rPr>
          <w:sz w:val="24"/>
          <w:szCs w:val="24"/>
        </w:rPr>
      </w:pPr>
    </w:p>
    <w:p w14:paraId="40B5A037" w14:textId="77777777" w:rsidR="00AB20D0" w:rsidRPr="002F27FC" w:rsidRDefault="00AB20D0" w:rsidP="002F27FC">
      <w:pPr>
        <w:ind w:left="851"/>
        <w:rPr>
          <w:i/>
          <w:sz w:val="24"/>
          <w:szCs w:val="24"/>
        </w:rPr>
      </w:pPr>
      <w:r w:rsidRPr="002F27FC">
        <w:rPr>
          <w:i/>
          <w:sz w:val="24"/>
          <w:szCs w:val="24"/>
        </w:rPr>
        <w:t>Leverskade</w:t>
      </w:r>
    </w:p>
    <w:p w14:paraId="12D03D38" w14:textId="77777777" w:rsidR="00AB20D0" w:rsidRPr="002F27FC" w:rsidRDefault="00AB20D0" w:rsidP="002F27FC">
      <w:pPr>
        <w:ind w:left="851"/>
        <w:rPr>
          <w:sz w:val="24"/>
          <w:szCs w:val="24"/>
        </w:rPr>
      </w:pPr>
      <w:r w:rsidRPr="002F27FC">
        <w:rPr>
          <w:sz w:val="24"/>
          <w:szCs w:val="24"/>
        </w:rPr>
        <w:t xml:space="preserve">Der er rapporteret leverskade ved brug af paracetamol ved samtidig alkoholmisbrug. </w:t>
      </w:r>
    </w:p>
    <w:p w14:paraId="59C93BA6" w14:textId="77777777" w:rsidR="00AB20D0" w:rsidRPr="002F27FC" w:rsidRDefault="00AB20D0" w:rsidP="002F27FC">
      <w:pPr>
        <w:ind w:left="851"/>
        <w:rPr>
          <w:sz w:val="24"/>
          <w:szCs w:val="24"/>
        </w:rPr>
      </w:pPr>
    </w:p>
    <w:p w14:paraId="180232E3" w14:textId="77777777" w:rsidR="00AB20D0" w:rsidRPr="002F27FC" w:rsidRDefault="00AB20D0" w:rsidP="002F27FC">
      <w:pPr>
        <w:ind w:left="851"/>
        <w:rPr>
          <w:sz w:val="24"/>
          <w:szCs w:val="24"/>
          <w:u w:val="single"/>
        </w:rPr>
      </w:pPr>
      <w:r w:rsidRPr="002F27FC">
        <w:rPr>
          <w:sz w:val="24"/>
          <w:szCs w:val="24"/>
          <w:u w:val="single"/>
        </w:rPr>
        <w:t>Indberetning af formodede bivirkninger</w:t>
      </w:r>
    </w:p>
    <w:p w14:paraId="2766F14D" w14:textId="77777777" w:rsidR="00AB20D0" w:rsidRPr="002F27FC" w:rsidRDefault="00AB20D0" w:rsidP="002F27FC">
      <w:pPr>
        <w:ind w:left="851"/>
        <w:rPr>
          <w:sz w:val="24"/>
          <w:szCs w:val="24"/>
        </w:rPr>
      </w:pPr>
      <w:r w:rsidRPr="002F27FC">
        <w:rPr>
          <w:sz w:val="24"/>
          <w:szCs w:val="24"/>
        </w:rPr>
        <w:t>Når lægemidlet er godkendt, er indberetning af formodede bivirkninger vigtig. Det muliggør løbende overvågning af benefit/</w:t>
      </w:r>
      <w:proofErr w:type="spellStart"/>
      <w:r w:rsidRPr="002F27FC">
        <w:rPr>
          <w:sz w:val="24"/>
          <w:szCs w:val="24"/>
        </w:rPr>
        <w:t>risk</w:t>
      </w:r>
      <w:proofErr w:type="spellEnd"/>
      <w:r w:rsidRPr="002F27FC">
        <w:rPr>
          <w:sz w:val="24"/>
          <w:szCs w:val="24"/>
        </w:rPr>
        <w:t>-forholdet for lægemidlet. Sundhedspersoner anmodes om at indberette alle formodede bivirkninger via:</w:t>
      </w:r>
    </w:p>
    <w:p w14:paraId="3343F1B6" w14:textId="77777777" w:rsidR="00AB20D0" w:rsidRPr="002F27FC" w:rsidRDefault="00AB20D0" w:rsidP="002F27FC">
      <w:pPr>
        <w:ind w:left="851"/>
        <w:rPr>
          <w:sz w:val="24"/>
          <w:szCs w:val="24"/>
        </w:rPr>
      </w:pPr>
    </w:p>
    <w:p w14:paraId="509CABAF" w14:textId="77777777" w:rsidR="00AB20D0" w:rsidRPr="002F27FC" w:rsidRDefault="00AB20D0" w:rsidP="002F27FC">
      <w:pPr>
        <w:ind w:left="851"/>
        <w:rPr>
          <w:sz w:val="24"/>
          <w:szCs w:val="24"/>
        </w:rPr>
      </w:pPr>
      <w:r w:rsidRPr="002F27FC">
        <w:rPr>
          <w:sz w:val="24"/>
          <w:szCs w:val="24"/>
        </w:rPr>
        <w:t>Lægemiddelstyrelsen</w:t>
      </w:r>
    </w:p>
    <w:p w14:paraId="257326E0" w14:textId="77777777" w:rsidR="00AB20D0" w:rsidRPr="002F27FC" w:rsidRDefault="00AB20D0" w:rsidP="002F27FC">
      <w:pPr>
        <w:ind w:left="851"/>
        <w:rPr>
          <w:sz w:val="24"/>
          <w:szCs w:val="24"/>
        </w:rPr>
      </w:pPr>
      <w:r w:rsidRPr="002F27FC">
        <w:rPr>
          <w:sz w:val="24"/>
          <w:szCs w:val="24"/>
        </w:rPr>
        <w:t>Axel Heides Gade 1</w:t>
      </w:r>
    </w:p>
    <w:p w14:paraId="4DA73218" w14:textId="77777777" w:rsidR="00AB20D0" w:rsidRPr="002F27FC" w:rsidRDefault="00AB20D0" w:rsidP="002F27FC">
      <w:pPr>
        <w:ind w:left="851"/>
        <w:rPr>
          <w:sz w:val="24"/>
          <w:szCs w:val="24"/>
        </w:rPr>
      </w:pPr>
      <w:r w:rsidRPr="002F27FC">
        <w:rPr>
          <w:sz w:val="24"/>
          <w:szCs w:val="24"/>
        </w:rPr>
        <w:t>DK-2300 København S</w:t>
      </w:r>
    </w:p>
    <w:p w14:paraId="2239B0F1" w14:textId="77777777" w:rsidR="00AB20D0" w:rsidRPr="002F27FC" w:rsidRDefault="00AB20D0" w:rsidP="002F27FC">
      <w:pPr>
        <w:ind w:left="851"/>
        <w:rPr>
          <w:sz w:val="24"/>
          <w:szCs w:val="24"/>
        </w:rPr>
      </w:pPr>
      <w:r w:rsidRPr="002F27FC">
        <w:rPr>
          <w:sz w:val="24"/>
          <w:szCs w:val="24"/>
        </w:rPr>
        <w:t>Websted: www.meldenbivirkning.dk</w:t>
      </w:r>
    </w:p>
    <w:p w14:paraId="6BCEEBA9" w14:textId="77777777" w:rsidR="009260DE" w:rsidRPr="002F27FC" w:rsidRDefault="009260DE" w:rsidP="00A10294">
      <w:pPr>
        <w:tabs>
          <w:tab w:val="left" w:pos="851"/>
        </w:tabs>
        <w:ind w:left="851"/>
        <w:rPr>
          <w:sz w:val="24"/>
          <w:szCs w:val="24"/>
        </w:rPr>
      </w:pPr>
    </w:p>
    <w:p w14:paraId="7C33AC4D" w14:textId="77777777" w:rsidR="009260DE" w:rsidRPr="002F27FC" w:rsidRDefault="009260DE" w:rsidP="009260DE">
      <w:pPr>
        <w:tabs>
          <w:tab w:val="left" w:pos="851"/>
        </w:tabs>
        <w:ind w:left="851" w:hanging="851"/>
        <w:rPr>
          <w:b/>
          <w:sz w:val="24"/>
          <w:szCs w:val="24"/>
        </w:rPr>
      </w:pPr>
      <w:r w:rsidRPr="002F27FC">
        <w:rPr>
          <w:b/>
          <w:sz w:val="24"/>
          <w:szCs w:val="24"/>
        </w:rPr>
        <w:t>4.9</w:t>
      </w:r>
      <w:r w:rsidRPr="002F27FC">
        <w:rPr>
          <w:b/>
          <w:sz w:val="24"/>
          <w:szCs w:val="24"/>
        </w:rPr>
        <w:tab/>
        <w:t>Overdosering</w:t>
      </w:r>
    </w:p>
    <w:p w14:paraId="300BAF57" w14:textId="77777777" w:rsidR="00AB20D0" w:rsidRPr="002F27FC" w:rsidRDefault="00AB20D0" w:rsidP="002F27FC">
      <w:pPr>
        <w:ind w:left="851"/>
        <w:rPr>
          <w:sz w:val="24"/>
          <w:szCs w:val="24"/>
        </w:rPr>
      </w:pPr>
      <w:r w:rsidRPr="002F27FC">
        <w:rPr>
          <w:sz w:val="24"/>
          <w:szCs w:val="24"/>
        </w:rPr>
        <w:t xml:space="preserve">Ved for høje doser kan </w:t>
      </w:r>
      <w:proofErr w:type="spellStart"/>
      <w:r w:rsidRPr="002F27FC">
        <w:rPr>
          <w:sz w:val="24"/>
          <w:szCs w:val="24"/>
        </w:rPr>
        <w:t>konjugering</w:t>
      </w:r>
      <w:proofErr w:type="spellEnd"/>
      <w:r w:rsidRPr="002F27FC">
        <w:rPr>
          <w:sz w:val="24"/>
          <w:szCs w:val="24"/>
        </w:rPr>
        <w:t xml:space="preserve"> i leveren være nedsat, hvorved en stor del af dosis </w:t>
      </w:r>
      <w:proofErr w:type="spellStart"/>
      <w:r w:rsidRPr="002F27FC">
        <w:rPr>
          <w:sz w:val="24"/>
          <w:szCs w:val="24"/>
        </w:rPr>
        <w:t>metaboliseres</w:t>
      </w:r>
      <w:proofErr w:type="spellEnd"/>
      <w:r w:rsidRPr="002F27FC">
        <w:rPr>
          <w:sz w:val="24"/>
          <w:szCs w:val="24"/>
        </w:rPr>
        <w:t xml:space="preserve"> gennem oxidering. Hvis </w:t>
      </w:r>
      <w:proofErr w:type="spellStart"/>
      <w:r w:rsidRPr="002F27FC">
        <w:rPr>
          <w:sz w:val="24"/>
          <w:szCs w:val="24"/>
        </w:rPr>
        <w:t>glutathionlageret</w:t>
      </w:r>
      <w:proofErr w:type="spellEnd"/>
      <w:r w:rsidRPr="002F27FC">
        <w:rPr>
          <w:sz w:val="24"/>
          <w:szCs w:val="24"/>
        </w:rPr>
        <w:t xml:space="preserve"> udtømmes, bindes de reaktive </w:t>
      </w:r>
      <w:proofErr w:type="spellStart"/>
      <w:r w:rsidRPr="002F27FC">
        <w:rPr>
          <w:sz w:val="24"/>
          <w:szCs w:val="24"/>
        </w:rPr>
        <w:t>intermediære</w:t>
      </w:r>
      <w:proofErr w:type="spellEnd"/>
      <w:r w:rsidRPr="002F27FC">
        <w:rPr>
          <w:sz w:val="24"/>
          <w:szCs w:val="24"/>
        </w:rPr>
        <w:t xml:space="preserve"> metabolitter irreversibelt til makromolekyler i leveren. De kliniske </w:t>
      </w:r>
      <w:r w:rsidRPr="002F27FC">
        <w:rPr>
          <w:sz w:val="24"/>
          <w:szCs w:val="24"/>
        </w:rPr>
        <w:lastRenderedPageBreak/>
        <w:t xml:space="preserve">symptomer på leverskade opstår generelt efter et par dage. Det er derfor altafgørende at begynde behandlingen med en </w:t>
      </w:r>
      <w:proofErr w:type="spellStart"/>
      <w:r w:rsidRPr="002F27FC">
        <w:rPr>
          <w:sz w:val="24"/>
          <w:szCs w:val="24"/>
        </w:rPr>
        <w:t>antidot</w:t>
      </w:r>
      <w:proofErr w:type="spellEnd"/>
      <w:r w:rsidRPr="002F27FC">
        <w:rPr>
          <w:sz w:val="24"/>
          <w:szCs w:val="24"/>
        </w:rPr>
        <w:t xml:space="preserve"> så hurtigt som muligt for at forebygge eller minimere leverskader efter toksiske doser.</w:t>
      </w:r>
    </w:p>
    <w:p w14:paraId="4B52576C" w14:textId="77777777" w:rsidR="00AB20D0" w:rsidRPr="002F27FC" w:rsidRDefault="00AB20D0" w:rsidP="002F27FC">
      <w:pPr>
        <w:ind w:left="851"/>
        <w:rPr>
          <w:sz w:val="24"/>
          <w:szCs w:val="24"/>
        </w:rPr>
      </w:pPr>
    </w:p>
    <w:p w14:paraId="30F0BAA1" w14:textId="77777777" w:rsidR="00AB20D0" w:rsidRPr="002F27FC" w:rsidRDefault="00AB20D0" w:rsidP="002F27FC">
      <w:pPr>
        <w:ind w:left="851"/>
        <w:rPr>
          <w:i/>
          <w:iCs/>
          <w:sz w:val="24"/>
          <w:szCs w:val="24"/>
        </w:rPr>
      </w:pPr>
      <w:r w:rsidRPr="002F27FC">
        <w:rPr>
          <w:i/>
          <w:iCs/>
          <w:sz w:val="24"/>
          <w:szCs w:val="24"/>
        </w:rPr>
        <w:t xml:space="preserve">Toksicitet </w:t>
      </w:r>
    </w:p>
    <w:p w14:paraId="1E3477A6" w14:textId="77777777" w:rsidR="00AB20D0" w:rsidRPr="002F27FC" w:rsidRDefault="00AB20D0" w:rsidP="002F27FC">
      <w:pPr>
        <w:ind w:left="851"/>
        <w:rPr>
          <w:sz w:val="24"/>
          <w:szCs w:val="24"/>
        </w:rPr>
      </w:pPr>
      <w:r w:rsidRPr="002F27FC">
        <w:rPr>
          <w:sz w:val="24"/>
          <w:szCs w:val="24"/>
        </w:rPr>
        <w:t xml:space="preserve">Se nedenfor under Behandling for oplysninger om toksiske plasmakoncentrationer. </w:t>
      </w:r>
    </w:p>
    <w:p w14:paraId="5DDEE7E1" w14:textId="77777777" w:rsidR="00AB20D0" w:rsidRPr="002F27FC" w:rsidRDefault="00AB20D0" w:rsidP="002F27FC">
      <w:pPr>
        <w:ind w:left="851"/>
        <w:rPr>
          <w:sz w:val="24"/>
          <w:szCs w:val="24"/>
        </w:rPr>
      </w:pPr>
      <w:r w:rsidRPr="002F27FC">
        <w:rPr>
          <w:sz w:val="24"/>
          <w:szCs w:val="24"/>
        </w:rPr>
        <w:t xml:space="preserve">Selv en lille overdosis kan forårsage leverskade, hvis patienten er eksponeret for andre risikofaktorer, der kan forårsage lave </w:t>
      </w:r>
      <w:proofErr w:type="spellStart"/>
      <w:r w:rsidRPr="002F27FC">
        <w:rPr>
          <w:sz w:val="24"/>
          <w:szCs w:val="24"/>
        </w:rPr>
        <w:t>glutathion</w:t>
      </w:r>
      <w:proofErr w:type="spellEnd"/>
      <w:r w:rsidRPr="002F27FC">
        <w:rPr>
          <w:sz w:val="24"/>
          <w:szCs w:val="24"/>
        </w:rPr>
        <w:t xml:space="preserve">-niveauer som f.eks. underernæring, spiseforstyrrelser, cystisk fibrose, hiv-infektion, dehydrering eller </w:t>
      </w:r>
      <w:proofErr w:type="spellStart"/>
      <w:r w:rsidRPr="002F27FC">
        <w:rPr>
          <w:sz w:val="24"/>
          <w:szCs w:val="24"/>
        </w:rPr>
        <w:t>kakeksi</w:t>
      </w:r>
      <w:proofErr w:type="spellEnd"/>
      <w:r w:rsidRPr="002F27FC">
        <w:rPr>
          <w:sz w:val="24"/>
          <w:szCs w:val="24"/>
        </w:rPr>
        <w:t xml:space="preserve"> eller langtidsbehandling med enzym-inducerende præparater (</w:t>
      </w:r>
      <w:proofErr w:type="spellStart"/>
      <w:r w:rsidRPr="002F27FC">
        <w:rPr>
          <w:sz w:val="24"/>
          <w:szCs w:val="24"/>
        </w:rPr>
        <w:t>phenytoin</w:t>
      </w:r>
      <w:proofErr w:type="spellEnd"/>
      <w:r w:rsidRPr="002F27FC">
        <w:rPr>
          <w:sz w:val="24"/>
          <w:szCs w:val="24"/>
        </w:rPr>
        <w:t xml:space="preserve">, </w:t>
      </w:r>
      <w:proofErr w:type="spellStart"/>
      <w:r w:rsidRPr="002F27FC">
        <w:rPr>
          <w:sz w:val="24"/>
          <w:szCs w:val="24"/>
        </w:rPr>
        <w:t>phenobarbital</w:t>
      </w:r>
      <w:proofErr w:type="spellEnd"/>
      <w:r w:rsidRPr="002F27FC">
        <w:rPr>
          <w:sz w:val="24"/>
          <w:szCs w:val="24"/>
        </w:rPr>
        <w:t xml:space="preserve">, </w:t>
      </w:r>
      <w:proofErr w:type="spellStart"/>
      <w:r w:rsidRPr="002F27FC">
        <w:rPr>
          <w:sz w:val="24"/>
          <w:szCs w:val="24"/>
        </w:rPr>
        <w:t>carbamazepin</w:t>
      </w:r>
      <w:proofErr w:type="spellEnd"/>
      <w:r w:rsidRPr="002F27FC">
        <w:rPr>
          <w:sz w:val="24"/>
          <w:szCs w:val="24"/>
        </w:rPr>
        <w:t xml:space="preserve">), </w:t>
      </w:r>
      <w:proofErr w:type="spellStart"/>
      <w:r w:rsidRPr="002F27FC">
        <w:rPr>
          <w:sz w:val="24"/>
          <w:szCs w:val="24"/>
        </w:rPr>
        <w:t>rifampicin</w:t>
      </w:r>
      <w:proofErr w:type="spellEnd"/>
      <w:r w:rsidRPr="002F27FC">
        <w:rPr>
          <w:sz w:val="24"/>
          <w:szCs w:val="24"/>
        </w:rPr>
        <w:t xml:space="preserve">, </w:t>
      </w:r>
      <w:proofErr w:type="spellStart"/>
      <w:r w:rsidRPr="002F27FC">
        <w:rPr>
          <w:sz w:val="24"/>
          <w:szCs w:val="24"/>
        </w:rPr>
        <w:t>primidon</w:t>
      </w:r>
      <w:proofErr w:type="spellEnd"/>
      <w:r w:rsidRPr="002F27FC">
        <w:rPr>
          <w:sz w:val="24"/>
          <w:szCs w:val="24"/>
        </w:rPr>
        <w:t>, prikbladet perikon, (</w:t>
      </w:r>
      <w:r w:rsidRPr="002F27FC">
        <w:rPr>
          <w:i/>
          <w:iCs/>
          <w:sz w:val="24"/>
          <w:szCs w:val="24"/>
        </w:rPr>
        <w:t xml:space="preserve">Hypericum </w:t>
      </w:r>
      <w:proofErr w:type="spellStart"/>
      <w:r w:rsidRPr="002F27FC">
        <w:rPr>
          <w:i/>
          <w:iCs/>
          <w:sz w:val="24"/>
          <w:szCs w:val="24"/>
        </w:rPr>
        <w:t>perforatum</w:t>
      </w:r>
      <w:proofErr w:type="spellEnd"/>
      <w:r w:rsidRPr="002F27FC">
        <w:rPr>
          <w:sz w:val="24"/>
          <w:szCs w:val="24"/>
        </w:rPr>
        <w:t>) eller kronisk alkoholisme.</w:t>
      </w:r>
    </w:p>
    <w:p w14:paraId="4B729501" w14:textId="77777777" w:rsidR="00AB20D0" w:rsidRPr="002F27FC" w:rsidRDefault="00AB20D0" w:rsidP="002F27FC">
      <w:pPr>
        <w:ind w:left="851"/>
        <w:rPr>
          <w:sz w:val="24"/>
          <w:szCs w:val="24"/>
        </w:rPr>
      </w:pPr>
    </w:p>
    <w:p w14:paraId="05CB2148" w14:textId="77777777" w:rsidR="00AB20D0" w:rsidRPr="002F27FC" w:rsidRDefault="00AB20D0" w:rsidP="002F27FC">
      <w:pPr>
        <w:ind w:left="851"/>
        <w:rPr>
          <w:sz w:val="24"/>
          <w:szCs w:val="24"/>
        </w:rPr>
      </w:pPr>
      <w:r w:rsidRPr="002F27FC">
        <w:rPr>
          <w:sz w:val="24"/>
          <w:szCs w:val="24"/>
        </w:rPr>
        <w:t xml:space="preserve">5 g over 24 timer hos 3½ årige børn, 15-20 g hos voksne og 10 g hos en alkoholisk patient medførte dødelig forgiftning. En toksisk dosis hos voksne er generelt 140 mg/kg. En toksisk dosis hos børn er ca. 175 mg/kg. Selv en sub-akut "terapeutisk" overdosis har medført alvorlig forgiftning med doser som f.eks. 6 g/dag i 1 uge, 20 g i 2-3 dage etc. </w:t>
      </w:r>
    </w:p>
    <w:p w14:paraId="5CC8796F" w14:textId="77777777" w:rsidR="00AB20D0" w:rsidRPr="002F27FC" w:rsidRDefault="00AB20D0" w:rsidP="002F27FC">
      <w:pPr>
        <w:ind w:left="851"/>
        <w:rPr>
          <w:sz w:val="24"/>
          <w:szCs w:val="24"/>
        </w:rPr>
      </w:pPr>
    </w:p>
    <w:p w14:paraId="11E76C99" w14:textId="77777777" w:rsidR="00AB20D0" w:rsidRPr="002F27FC" w:rsidRDefault="00AB20D0" w:rsidP="002F27FC">
      <w:pPr>
        <w:ind w:left="851"/>
        <w:rPr>
          <w:i/>
          <w:iCs/>
          <w:sz w:val="24"/>
          <w:szCs w:val="24"/>
        </w:rPr>
      </w:pPr>
      <w:r w:rsidRPr="002F27FC">
        <w:rPr>
          <w:i/>
          <w:iCs/>
          <w:sz w:val="24"/>
          <w:szCs w:val="24"/>
        </w:rPr>
        <w:t>Symptomer</w:t>
      </w:r>
    </w:p>
    <w:p w14:paraId="763DD1D1" w14:textId="77777777" w:rsidR="00AB20D0" w:rsidRPr="002F27FC" w:rsidRDefault="00AB20D0" w:rsidP="002F27FC">
      <w:pPr>
        <w:ind w:left="851"/>
        <w:rPr>
          <w:sz w:val="24"/>
          <w:szCs w:val="24"/>
        </w:rPr>
      </w:pPr>
      <w:r w:rsidRPr="002F27FC">
        <w:rPr>
          <w:sz w:val="24"/>
          <w:szCs w:val="24"/>
        </w:rPr>
        <w:t>Symptomerne på paracetamol overdosis i de første 24 timer er bleghed, kvalme, opkastning, anoreksi og mavesmerter.</w:t>
      </w:r>
    </w:p>
    <w:p w14:paraId="3CA72D85" w14:textId="77777777" w:rsidR="00AB20D0" w:rsidRPr="002F27FC" w:rsidRDefault="00AB20D0" w:rsidP="002F27FC">
      <w:pPr>
        <w:ind w:left="851"/>
        <w:rPr>
          <w:sz w:val="24"/>
          <w:szCs w:val="24"/>
        </w:rPr>
      </w:pPr>
      <w:r w:rsidRPr="002F27FC">
        <w:rPr>
          <w:sz w:val="24"/>
          <w:szCs w:val="24"/>
        </w:rPr>
        <w:t xml:space="preserve">Symptomer på leverskade kan vise sig 12-48 timer efter indtagelsen af en overdosis. Der kan opstå abnorm </w:t>
      </w:r>
      <w:proofErr w:type="spellStart"/>
      <w:r w:rsidRPr="002F27FC">
        <w:rPr>
          <w:sz w:val="24"/>
          <w:szCs w:val="24"/>
        </w:rPr>
        <w:t>glucosemetabolisering</w:t>
      </w:r>
      <w:proofErr w:type="spellEnd"/>
      <w:r w:rsidRPr="002F27FC">
        <w:rPr>
          <w:sz w:val="24"/>
          <w:szCs w:val="24"/>
        </w:rPr>
        <w:t xml:space="preserve"> og metabolisk </w:t>
      </w:r>
      <w:proofErr w:type="spellStart"/>
      <w:r w:rsidRPr="002F27FC">
        <w:rPr>
          <w:sz w:val="24"/>
          <w:szCs w:val="24"/>
        </w:rPr>
        <w:t>acidose</w:t>
      </w:r>
      <w:proofErr w:type="spellEnd"/>
      <w:r w:rsidRPr="002F27FC">
        <w:rPr>
          <w:sz w:val="24"/>
          <w:szCs w:val="24"/>
        </w:rPr>
        <w:t xml:space="preserve">. Ved alvorlig forgiftning kan leverskade udvikle sig til encefalopati, blødning, hypoglykæmi, </w:t>
      </w:r>
      <w:proofErr w:type="gramStart"/>
      <w:r w:rsidRPr="002F27FC">
        <w:rPr>
          <w:sz w:val="24"/>
          <w:szCs w:val="24"/>
        </w:rPr>
        <w:t>cerebral ødem</w:t>
      </w:r>
      <w:proofErr w:type="gramEnd"/>
      <w:r w:rsidRPr="002F27FC">
        <w:rPr>
          <w:sz w:val="24"/>
          <w:szCs w:val="24"/>
        </w:rPr>
        <w:t xml:space="preserve"> og død.</w:t>
      </w:r>
    </w:p>
    <w:p w14:paraId="748A250C" w14:textId="77777777" w:rsidR="00AB20D0" w:rsidRPr="002F27FC" w:rsidRDefault="00AB20D0" w:rsidP="002F27FC">
      <w:pPr>
        <w:ind w:left="851"/>
        <w:rPr>
          <w:sz w:val="24"/>
          <w:szCs w:val="24"/>
        </w:rPr>
      </w:pPr>
      <w:r w:rsidRPr="002F27FC">
        <w:rPr>
          <w:sz w:val="24"/>
          <w:szCs w:val="24"/>
        </w:rPr>
        <w:t>Patientens symptomer kan i begyndelsen være begrænset til kvalme og opkastning, hvilket ikke afspejler alvorligheden af forgiftningen og risikoen for organskade.</w:t>
      </w:r>
    </w:p>
    <w:p w14:paraId="72BC467A" w14:textId="77777777" w:rsidR="00AB20D0" w:rsidRPr="002F27FC" w:rsidRDefault="00AB20D0" w:rsidP="002F27FC">
      <w:pPr>
        <w:ind w:left="851"/>
        <w:rPr>
          <w:sz w:val="24"/>
          <w:szCs w:val="24"/>
        </w:rPr>
      </w:pPr>
      <w:r w:rsidRPr="002F27FC">
        <w:rPr>
          <w:sz w:val="24"/>
          <w:szCs w:val="24"/>
        </w:rPr>
        <w:t xml:space="preserve">Nyreskade (akut nyresvigt med akut </w:t>
      </w:r>
      <w:proofErr w:type="spellStart"/>
      <w:r w:rsidRPr="002F27FC">
        <w:rPr>
          <w:sz w:val="24"/>
          <w:szCs w:val="24"/>
        </w:rPr>
        <w:t>tubulær</w:t>
      </w:r>
      <w:proofErr w:type="spellEnd"/>
      <w:r w:rsidRPr="002F27FC">
        <w:rPr>
          <w:sz w:val="24"/>
          <w:szCs w:val="24"/>
        </w:rPr>
        <w:t xml:space="preserve"> nekrose med symptomer som stærke rygsmerter, hæmaturi og </w:t>
      </w:r>
      <w:proofErr w:type="spellStart"/>
      <w:r w:rsidRPr="002F27FC">
        <w:rPr>
          <w:sz w:val="24"/>
          <w:szCs w:val="24"/>
        </w:rPr>
        <w:t>proteinuri</w:t>
      </w:r>
      <w:proofErr w:type="spellEnd"/>
      <w:r w:rsidRPr="002F27FC">
        <w:rPr>
          <w:sz w:val="24"/>
          <w:szCs w:val="24"/>
        </w:rPr>
        <w:t xml:space="preserve">) kan udvikles, selv når der ikke ses alvorlig leverskade. Der er rapporteret </w:t>
      </w:r>
      <w:proofErr w:type="spellStart"/>
      <w:r w:rsidRPr="002F27FC">
        <w:rPr>
          <w:sz w:val="24"/>
          <w:szCs w:val="24"/>
        </w:rPr>
        <w:t>pankreatitis</w:t>
      </w:r>
      <w:proofErr w:type="spellEnd"/>
      <w:r w:rsidRPr="002F27FC">
        <w:rPr>
          <w:sz w:val="24"/>
          <w:szCs w:val="24"/>
        </w:rPr>
        <w:t xml:space="preserve"> og toksisk </w:t>
      </w:r>
      <w:proofErr w:type="spellStart"/>
      <w:r w:rsidRPr="002F27FC">
        <w:rPr>
          <w:sz w:val="24"/>
          <w:szCs w:val="24"/>
        </w:rPr>
        <w:t>myokardieskade</w:t>
      </w:r>
      <w:proofErr w:type="spellEnd"/>
      <w:r w:rsidRPr="002F27FC">
        <w:rPr>
          <w:sz w:val="24"/>
          <w:szCs w:val="24"/>
        </w:rPr>
        <w:t xml:space="preserve"> med </w:t>
      </w:r>
      <w:proofErr w:type="spellStart"/>
      <w:r w:rsidRPr="002F27FC">
        <w:rPr>
          <w:sz w:val="24"/>
          <w:szCs w:val="24"/>
        </w:rPr>
        <w:t>arrytmi</w:t>
      </w:r>
      <w:proofErr w:type="spellEnd"/>
      <w:r w:rsidRPr="002F27FC">
        <w:rPr>
          <w:sz w:val="24"/>
          <w:szCs w:val="24"/>
        </w:rPr>
        <w:t xml:space="preserve"> og hjertesvigt. Ved ekstremt høje koncentrationer er der rapporteret bevidstløshed kombineret med </w:t>
      </w:r>
      <w:proofErr w:type="spellStart"/>
      <w:r w:rsidRPr="002F27FC">
        <w:rPr>
          <w:sz w:val="24"/>
          <w:szCs w:val="24"/>
        </w:rPr>
        <w:t>acidose</w:t>
      </w:r>
      <w:proofErr w:type="spellEnd"/>
      <w:r w:rsidRPr="002F27FC">
        <w:rPr>
          <w:sz w:val="24"/>
          <w:szCs w:val="24"/>
        </w:rPr>
        <w:t xml:space="preserve"> og </w:t>
      </w:r>
      <w:proofErr w:type="spellStart"/>
      <w:r w:rsidRPr="002F27FC">
        <w:rPr>
          <w:sz w:val="24"/>
          <w:szCs w:val="24"/>
        </w:rPr>
        <w:t>hyperglykæmi</w:t>
      </w:r>
      <w:proofErr w:type="spellEnd"/>
      <w:r w:rsidRPr="002F27FC">
        <w:rPr>
          <w:sz w:val="24"/>
          <w:szCs w:val="24"/>
        </w:rPr>
        <w:t xml:space="preserve">. </w:t>
      </w:r>
      <w:proofErr w:type="spellStart"/>
      <w:r w:rsidRPr="002F27FC">
        <w:rPr>
          <w:sz w:val="24"/>
          <w:szCs w:val="24"/>
        </w:rPr>
        <w:t>Pancytopeni</w:t>
      </w:r>
      <w:proofErr w:type="spellEnd"/>
      <w:r w:rsidRPr="002F27FC">
        <w:rPr>
          <w:sz w:val="24"/>
          <w:szCs w:val="24"/>
        </w:rPr>
        <w:t>.</w:t>
      </w:r>
    </w:p>
    <w:p w14:paraId="3BE89FBF" w14:textId="77777777" w:rsidR="00AB20D0" w:rsidRPr="002F27FC" w:rsidRDefault="00AB20D0" w:rsidP="002F27FC">
      <w:pPr>
        <w:ind w:left="851"/>
        <w:rPr>
          <w:sz w:val="24"/>
          <w:szCs w:val="24"/>
        </w:rPr>
      </w:pPr>
    </w:p>
    <w:p w14:paraId="66452BBD" w14:textId="77777777" w:rsidR="00AB20D0" w:rsidRPr="002F27FC" w:rsidRDefault="00AB20D0" w:rsidP="002F27FC">
      <w:pPr>
        <w:ind w:left="851"/>
        <w:rPr>
          <w:i/>
          <w:iCs/>
          <w:sz w:val="24"/>
          <w:szCs w:val="24"/>
        </w:rPr>
      </w:pPr>
      <w:r w:rsidRPr="002F27FC">
        <w:rPr>
          <w:i/>
          <w:iCs/>
          <w:sz w:val="24"/>
          <w:szCs w:val="24"/>
        </w:rPr>
        <w:t>Behandling</w:t>
      </w:r>
    </w:p>
    <w:p w14:paraId="06ABEB33" w14:textId="77777777" w:rsidR="00AB20D0" w:rsidRPr="002F27FC" w:rsidRDefault="00AB20D0" w:rsidP="002F27FC">
      <w:pPr>
        <w:ind w:left="851"/>
        <w:rPr>
          <w:sz w:val="24"/>
          <w:szCs w:val="24"/>
        </w:rPr>
      </w:pPr>
      <w:r w:rsidRPr="002F27FC">
        <w:rPr>
          <w:sz w:val="24"/>
          <w:szCs w:val="24"/>
        </w:rPr>
        <w:t xml:space="preserve">Selvom der ikke ses alvorlige tidlige symptomer, skal patienten overføres til en akutafdeling og modtage øjeblikkelig lægehjælp. </w:t>
      </w:r>
    </w:p>
    <w:p w14:paraId="0C6AA878" w14:textId="72E285F1" w:rsidR="00AB20D0" w:rsidRPr="002F27FC" w:rsidRDefault="00AB20D0" w:rsidP="002F27FC">
      <w:pPr>
        <w:ind w:left="851"/>
        <w:rPr>
          <w:sz w:val="24"/>
          <w:szCs w:val="24"/>
        </w:rPr>
      </w:pPr>
      <w:r w:rsidRPr="002F27FC">
        <w:rPr>
          <w:sz w:val="24"/>
          <w:szCs w:val="24"/>
        </w:rPr>
        <w:t xml:space="preserve">Der kan administreres </w:t>
      </w:r>
      <w:proofErr w:type="spellStart"/>
      <w:r w:rsidRPr="002F27FC">
        <w:rPr>
          <w:sz w:val="24"/>
          <w:szCs w:val="24"/>
        </w:rPr>
        <w:t>transanal</w:t>
      </w:r>
      <w:proofErr w:type="spellEnd"/>
      <w:r w:rsidRPr="002F27FC">
        <w:rPr>
          <w:sz w:val="24"/>
          <w:szCs w:val="24"/>
        </w:rPr>
        <w:t xml:space="preserve"> </w:t>
      </w:r>
      <w:proofErr w:type="spellStart"/>
      <w:r w:rsidRPr="002F27FC">
        <w:rPr>
          <w:sz w:val="24"/>
          <w:szCs w:val="24"/>
        </w:rPr>
        <w:t>irrigation</w:t>
      </w:r>
      <w:proofErr w:type="spellEnd"/>
      <w:r w:rsidRPr="002F27FC">
        <w:rPr>
          <w:sz w:val="24"/>
          <w:szCs w:val="24"/>
        </w:rPr>
        <w:t xml:space="preserve"> og aktivt kul, hvis nødvendigt. S-paracetamol koncentrationen skal måles efter 4 timer eller senere efter indtagelse. Der kan forekomme falske lave koncentrationer, hvis </w:t>
      </w:r>
      <w:proofErr w:type="spellStart"/>
      <w:r w:rsidRPr="002F27FC">
        <w:rPr>
          <w:sz w:val="24"/>
          <w:szCs w:val="24"/>
        </w:rPr>
        <w:t>acetylcystein</w:t>
      </w:r>
      <w:proofErr w:type="spellEnd"/>
      <w:r w:rsidRPr="002F27FC">
        <w:rPr>
          <w:sz w:val="24"/>
          <w:szCs w:val="24"/>
        </w:rPr>
        <w:t xml:space="preserve"> allerede er blevet administreret. Hvis der er administreret et peristaltikhæmmende middel, skal der tages en ny prøve 2 timer efter den første prøve (forsinket maksimalkoncentration). Behandling med </w:t>
      </w:r>
      <w:proofErr w:type="spellStart"/>
      <w:r w:rsidRPr="002F27FC">
        <w:rPr>
          <w:sz w:val="24"/>
          <w:szCs w:val="24"/>
        </w:rPr>
        <w:t>acetylcystein</w:t>
      </w:r>
      <w:proofErr w:type="spellEnd"/>
      <w:r w:rsidRPr="002F27FC">
        <w:rPr>
          <w:sz w:val="24"/>
          <w:szCs w:val="24"/>
        </w:rPr>
        <w:t xml:space="preserve">, der indledes inden for 8-10 timer, yder fuld beskyttelse mod leverskade, men hvis det administreres senere reduceres dets virkning. </w:t>
      </w:r>
      <w:proofErr w:type="spellStart"/>
      <w:r w:rsidRPr="002F27FC">
        <w:rPr>
          <w:sz w:val="24"/>
          <w:szCs w:val="24"/>
        </w:rPr>
        <w:t>Acetylcystein</w:t>
      </w:r>
      <w:proofErr w:type="spellEnd"/>
      <w:r w:rsidRPr="002F27FC">
        <w:rPr>
          <w:sz w:val="24"/>
          <w:szCs w:val="24"/>
        </w:rPr>
        <w:t xml:space="preserve"> anvendes, når paracetamol</w:t>
      </w:r>
      <w:r w:rsidR="006B115B">
        <w:rPr>
          <w:sz w:val="24"/>
          <w:szCs w:val="24"/>
        </w:rPr>
        <w:softHyphen/>
      </w:r>
      <w:r w:rsidRPr="002F27FC">
        <w:rPr>
          <w:sz w:val="24"/>
          <w:szCs w:val="24"/>
        </w:rPr>
        <w:t xml:space="preserve">koncentrationen i plasma er over følgende niveauer ved de respektive målingstidspunkter: 1000 mikromol/l ved 4 timer, 700 mikromol/l ved 6 timer og 450 mikromol/l ved 9 timer efter eksponering. I tilfælde af samtidig alkoholisme, underernæring, dehydrering, nedsat leverfunktion eller anvendelse af enzym-inducerende lægemidler kan der være grund til at fastsætte tærsklen for </w:t>
      </w:r>
      <w:proofErr w:type="spellStart"/>
      <w:r w:rsidRPr="002F27FC">
        <w:rPr>
          <w:sz w:val="24"/>
          <w:szCs w:val="24"/>
        </w:rPr>
        <w:t>antidotbehandling</w:t>
      </w:r>
      <w:proofErr w:type="spellEnd"/>
      <w:r w:rsidRPr="002F27FC">
        <w:rPr>
          <w:sz w:val="24"/>
          <w:szCs w:val="24"/>
        </w:rPr>
        <w:t xml:space="preserve"> til ca. ¾ af de anførte niveauer. Administrations</w:t>
      </w:r>
      <w:r w:rsidR="006B115B">
        <w:rPr>
          <w:sz w:val="24"/>
          <w:szCs w:val="24"/>
        </w:rPr>
        <w:softHyphen/>
      </w:r>
      <w:r w:rsidRPr="002F27FC">
        <w:rPr>
          <w:sz w:val="24"/>
          <w:szCs w:val="24"/>
        </w:rPr>
        <w:t xml:space="preserve">metoden bør tilpasses omstændighederne (bevidsthedsniveau, tendens til opkastning etc.): intravenøst administreret </w:t>
      </w:r>
      <w:proofErr w:type="spellStart"/>
      <w:r w:rsidRPr="002F27FC">
        <w:rPr>
          <w:sz w:val="24"/>
          <w:szCs w:val="24"/>
        </w:rPr>
        <w:t>acetylcystein</w:t>
      </w:r>
      <w:proofErr w:type="spellEnd"/>
      <w:r w:rsidRPr="002F27FC">
        <w:rPr>
          <w:sz w:val="24"/>
          <w:szCs w:val="24"/>
        </w:rPr>
        <w:t xml:space="preserve"> må dog anses for at være mere effektivt og sikkert. </w:t>
      </w:r>
    </w:p>
    <w:p w14:paraId="72CDCC1F" w14:textId="77777777" w:rsidR="00AB20D0" w:rsidRPr="002F27FC" w:rsidRDefault="00AB20D0" w:rsidP="002F27FC">
      <w:pPr>
        <w:ind w:left="851"/>
        <w:rPr>
          <w:sz w:val="24"/>
          <w:szCs w:val="24"/>
        </w:rPr>
      </w:pPr>
      <w:r w:rsidRPr="002F27FC">
        <w:rPr>
          <w:sz w:val="24"/>
          <w:szCs w:val="24"/>
        </w:rPr>
        <w:t xml:space="preserve">Dosering af </w:t>
      </w:r>
      <w:proofErr w:type="spellStart"/>
      <w:r w:rsidRPr="002F27FC">
        <w:rPr>
          <w:sz w:val="24"/>
          <w:szCs w:val="24"/>
        </w:rPr>
        <w:t>acetylcystein</w:t>
      </w:r>
      <w:proofErr w:type="spellEnd"/>
      <w:r w:rsidRPr="002F27FC">
        <w:rPr>
          <w:sz w:val="24"/>
          <w:szCs w:val="24"/>
        </w:rPr>
        <w:t xml:space="preserve">: </w:t>
      </w:r>
      <w:r w:rsidRPr="002F27FC">
        <w:rPr>
          <w:i/>
          <w:iCs/>
          <w:sz w:val="24"/>
          <w:szCs w:val="24"/>
        </w:rPr>
        <w:t>Intravenøst</w:t>
      </w:r>
      <w:r w:rsidRPr="002F27FC">
        <w:rPr>
          <w:sz w:val="24"/>
          <w:szCs w:val="24"/>
        </w:rPr>
        <w:t xml:space="preserve"> indledningsvist 150 mg/kg i 200-300 ml isotonisk infusionsvæske over en periode på 15 minutter, herefter 50 mg/kg i 500 ml 50 mg/ml </w:t>
      </w:r>
      <w:proofErr w:type="spellStart"/>
      <w:r w:rsidRPr="002F27FC">
        <w:rPr>
          <w:sz w:val="24"/>
          <w:szCs w:val="24"/>
        </w:rPr>
        <w:lastRenderedPageBreak/>
        <w:t>glucose</w:t>
      </w:r>
      <w:proofErr w:type="spellEnd"/>
      <w:r w:rsidRPr="002F27FC">
        <w:rPr>
          <w:sz w:val="24"/>
          <w:szCs w:val="24"/>
        </w:rPr>
        <w:t xml:space="preserve"> over en periode på 4 timer og dernæst 6,25 mg/kg/time i en periode på 16 timer (75 mg/kg opløst i 500 ml isotonisk </w:t>
      </w:r>
      <w:proofErr w:type="spellStart"/>
      <w:r w:rsidRPr="002F27FC">
        <w:rPr>
          <w:sz w:val="24"/>
          <w:szCs w:val="24"/>
        </w:rPr>
        <w:t>glucoseopløsning</w:t>
      </w:r>
      <w:proofErr w:type="spellEnd"/>
      <w:r w:rsidRPr="002F27FC">
        <w:rPr>
          <w:sz w:val="24"/>
          <w:szCs w:val="24"/>
        </w:rPr>
        <w:t xml:space="preserve"> og administreret i en periode på 12 timer). Væskevolumen kan reduceres, hvis nødvendigt. Kontakt Giftlinjen for en præcis behandlingsplan.  </w:t>
      </w:r>
    </w:p>
    <w:p w14:paraId="5C1CBADE" w14:textId="77777777" w:rsidR="00AB20D0" w:rsidRPr="002F27FC" w:rsidRDefault="00AB20D0" w:rsidP="002F27FC">
      <w:pPr>
        <w:ind w:left="851"/>
        <w:rPr>
          <w:sz w:val="24"/>
          <w:szCs w:val="24"/>
        </w:rPr>
      </w:pPr>
      <w:r w:rsidRPr="002F27FC">
        <w:rPr>
          <w:sz w:val="24"/>
          <w:szCs w:val="24"/>
        </w:rPr>
        <w:t xml:space="preserve">(I særlige tilfælde kan </w:t>
      </w:r>
      <w:proofErr w:type="spellStart"/>
      <w:r w:rsidRPr="002F27FC">
        <w:rPr>
          <w:sz w:val="24"/>
          <w:szCs w:val="24"/>
        </w:rPr>
        <w:t>acetylcystein</w:t>
      </w:r>
      <w:proofErr w:type="spellEnd"/>
      <w:r w:rsidRPr="002F27FC">
        <w:rPr>
          <w:sz w:val="24"/>
          <w:szCs w:val="24"/>
        </w:rPr>
        <w:t xml:space="preserve"> administreres oralt, hvis intravenøs administration ikke er mulig. Kontakt Giftlinjen for yderligere oplysninger).</w:t>
      </w:r>
    </w:p>
    <w:p w14:paraId="5539CF5B" w14:textId="77777777" w:rsidR="00AB20D0" w:rsidRPr="002F27FC" w:rsidRDefault="00AB20D0" w:rsidP="002F27FC">
      <w:pPr>
        <w:ind w:left="851"/>
        <w:rPr>
          <w:sz w:val="24"/>
          <w:szCs w:val="24"/>
        </w:rPr>
      </w:pPr>
    </w:p>
    <w:p w14:paraId="25D4C7CD" w14:textId="77777777" w:rsidR="00AB20D0" w:rsidRPr="002F27FC" w:rsidRDefault="00AB20D0" w:rsidP="002F27FC">
      <w:pPr>
        <w:ind w:left="851"/>
        <w:rPr>
          <w:sz w:val="24"/>
          <w:szCs w:val="24"/>
        </w:rPr>
      </w:pPr>
      <w:proofErr w:type="spellStart"/>
      <w:r w:rsidRPr="002F27FC">
        <w:rPr>
          <w:sz w:val="24"/>
          <w:szCs w:val="24"/>
        </w:rPr>
        <w:t>Acetylcystein</w:t>
      </w:r>
      <w:proofErr w:type="spellEnd"/>
      <w:r w:rsidRPr="002F27FC">
        <w:rPr>
          <w:sz w:val="24"/>
          <w:szCs w:val="24"/>
        </w:rPr>
        <w:t xml:space="preserve"> kan, selv efter 10 timer, yde nogen beskyttelse, men i sådanne tilfælde skal der administreres længerevarende behandling. </w:t>
      </w:r>
      <w:proofErr w:type="spellStart"/>
      <w:r w:rsidRPr="002F27FC">
        <w:rPr>
          <w:sz w:val="24"/>
          <w:szCs w:val="24"/>
        </w:rPr>
        <w:t>Acetylcystein</w:t>
      </w:r>
      <w:proofErr w:type="spellEnd"/>
      <w:r w:rsidRPr="002F27FC">
        <w:rPr>
          <w:sz w:val="24"/>
          <w:szCs w:val="24"/>
        </w:rPr>
        <w:t xml:space="preserve"> nedsætter ligeledes dødeligheden i tilfælde af manifesteret paracetamol-induceret leversvigt (kontakt Giftlinjen for rådgivning). Tæt monitorering af lever- og nyrefunktion, koaguleringsstatus, væske- og elektrolytstatus. Behandling af lever- og nyresvigt er ofte nødvendig i tilfælde, hvor deadline for effektiv behandling med </w:t>
      </w:r>
      <w:proofErr w:type="spellStart"/>
      <w:r w:rsidRPr="002F27FC">
        <w:rPr>
          <w:sz w:val="24"/>
          <w:szCs w:val="24"/>
        </w:rPr>
        <w:t>antidot</w:t>
      </w:r>
      <w:proofErr w:type="spellEnd"/>
      <w:r w:rsidRPr="002F27FC">
        <w:rPr>
          <w:sz w:val="24"/>
          <w:szCs w:val="24"/>
        </w:rPr>
        <w:t xml:space="preserve"> er overskredet, og der ses toksiske koncentrationer. </w:t>
      </w:r>
      <w:proofErr w:type="spellStart"/>
      <w:r w:rsidRPr="002F27FC">
        <w:rPr>
          <w:sz w:val="24"/>
          <w:szCs w:val="24"/>
        </w:rPr>
        <w:t>Hæmoperfusion</w:t>
      </w:r>
      <w:proofErr w:type="spellEnd"/>
      <w:r w:rsidRPr="002F27FC">
        <w:rPr>
          <w:sz w:val="24"/>
          <w:szCs w:val="24"/>
        </w:rPr>
        <w:t xml:space="preserve"> kan i særlige tilfælde være indiceret. I ekstreme tilfælde kan en levertransplantation være nødvendig.</w:t>
      </w:r>
    </w:p>
    <w:p w14:paraId="6F01D2F8" w14:textId="77777777" w:rsidR="00AB20D0" w:rsidRPr="002F27FC" w:rsidRDefault="00AB20D0" w:rsidP="002F27FC">
      <w:pPr>
        <w:ind w:left="851"/>
        <w:rPr>
          <w:sz w:val="24"/>
          <w:szCs w:val="24"/>
        </w:rPr>
      </w:pPr>
    </w:p>
    <w:p w14:paraId="34076995" w14:textId="77777777" w:rsidR="00AB20D0" w:rsidRPr="002F27FC" w:rsidRDefault="00AB20D0" w:rsidP="002F27FC">
      <w:pPr>
        <w:ind w:left="851"/>
        <w:rPr>
          <w:sz w:val="24"/>
          <w:szCs w:val="24"/>
        </w:rPr>
      </w:pPr>
      <w:r w:rsidRPr="002F27FC">
        <w:rPr>
          <w:sz w:val="24"/>
          <w:szCs w:val="24"/>
        </w:rPr>
        <w:t xml:space="preserve">Høje doser </w:t>
      </w:r>
      <w:proofErr w:type="spellStart"/>
      <w:r w:rsidRPr="002F27FC">
        <w:rPr>
          <w:sz w:val="24"/>
          <w:szCs w:val="24"/>
        </w:rPr>
        <w:t>natriumhydrogencarbonat</w:t>
      </w:r>
      <w:proofErr w:type="spellEnd"/>
      <w:r w:rsidRPr="002F27FC">
        <w:rPr>
          <w:sz w:val="24"/>
          <w:szCs w:val="24"/>
        </w:rPr>
        <w:t xml:space="preserve"> kan medføre </w:t>
      </w:r>
      <w:proofErr w:type="spellStart"/>
      <w:r w:rsidRPr="002F27FC">
        <w:rPr>
          <w:sz w:val="24"/>
          <w:szCs w:val="24"/>
        </w:rPr>
        <w:t>gastrointestinale</w:t>
      </w:r>
      <w:proofErr w:type="spellEnd"/>
      <w:r w:rsidRPr="002F27FC">
        <w:rPr>
          <w:sz w:val="24"/>
          <w:szCs w:val="24"/>
        </w:rPr>
        <w:t xml:space="preserve"> symptomer som bøvsen og kvalme. Høje doser </w:t>
      </w:r>
      <w:proofErr w:type="spellStart"/>
      <w:r w:rsidRPr="002F27FC">
        <w:rPr>
          <w:sz w:val="24"/>
          <w:szCs w:val="24"/>
        </w:rPr>
        <w:t>natriumhydrogencarbonat</w:t>
      </w:r>
      <w:proofErr w:type="spellEnd"/>
      <w:r w:rsidRPr="002F27FC">
        <w:rPr>
          <w:sz w:val="24"/>
          <w:szCs w:val="24"/>
        </w:rPr>
        <w:t xml:space="preserve"> kan forsinke gastrisk tømning og derved muligvis sænke absorptionshastigheden af paracetamol. Eftersom høje doser </w:t>
      </w:r>
      <w:proofErr w:type="spellStart"/>
      <w:r w:rsidRPr="002F27FC">
        <w:rPr>
          <w:sz w:val="24"/>
          <w:szCs w:val="24"/>
        </w:rPr>
        <w:t>natriumhydrogencarbonat</w:t>
      </w:r>
      <w:proofErr w:type="spellEnd"/>
      <w:r w:rsidRPr="002F27FC">
        <w:rPr>
          <w:sz w:val="24"/>
          <w:szCs w:val="24"/>
        </w:rPr>
        <w:t xml:space="preserve"> kan medføre </w:t>
      </w:r>
      <w:proofErr w:type="spellStart"/>
      <w:r w:rsidRPr="002F27FC">
        <w:rPr>
          <w:sz w:val="24"/>
          <w:szCs w:val="24"/>
        </w:rPr>
        <w:t>hypernatriæmi</w:t>
      </w:r>
      <w:proofErr w:type="spellEnd"/>
      <w:r w:rsidRPr="002F27FC">
        <w:rPr>
          <w:sz w:val="24"/>
          <w:szCs w:val="24"/>
        </w:rPr>
        <w:t>, bør elektrolytbalancen overvåges tæt, og patienten bør behandles i overensstemmelse hermed.</w:t>
      </w:r>
    </w:p>
    <w:p w14:paraId="1355DD23" w14:textId="77777777" w:rsidR="009260DE" w:rsidRPr="002F27FC" w:rsidRDefault="009260DE" w:rsidP="009260DE">
      <w:pPr>
        <w:tabs>
          <w:tab w:val="left" w:pos="851"/>
        </w:tabs>
        <w:ind w:left="851"/>
        <w:rPr>
          <w:sz w:val="24"/>
          <w:szCs w:val="24"/>
        </w:rPr>
      </w:pPr>
    </w:p>
    <w:p w14:paraId="60113951" w14:textId="77777777" w:rsidR="009260DE" w:rsidRPr="002F27FC" w:rsidRDefault="009260DE" w:rsidP="009260DE">
      <w:pPr>
        <w:tabs>
          <w:tab w:val="left" w:pos="851"/>
        </w:tabs>
        <w:ind w:left="851" w:hanging="851"/>
        <w:rPr>
          <w:b/>
          <w:sz w:val="24"/>
          <w:szCs w:val="24"/>
        </w:rPr>
      </w:pPr>
      <w:r w:rsidRPr="002F27FC">
        <w:rPr>
          <w:b/>
          <w:sz w:val="24"/>
          <w:szCs w:val="24"/>
        </w:rPr>
        <w:t>4.10</w:t>
      </w:r>
      <w:r w:rsidRPr="002F27FC">
        <w:rPr>
          <w:b/>
          <w:sz w:val="24"/>
          <w:szCs w:val="24"/>
        </w:rPr>
        <w:tab/>
        <w:t>Udlevering</w:t>
      </w:r>
    </w:p>
    <w:p w14:paraId="44B6F658" w14:textId="2D510B0D" w:rsidR="00AB20D0" w:rsidRPr="002F27FC" w:rsidRDefault="00AB20D0" w:rsidP="002F27FC">
      <w:pPr>
        <w:ind w:left="851"/>
        <w:rPr>
          <w:sz w:val="24"/>
          <w:szCs w:val="24"/>
        </w:rPr>
      </w:pPr>
      <w:r w:rsidRPr="002F27FC">
        <w:rPr>
          <w:sz w:val="24"/>
          <w:szCs w:val="24"/>
        </w:rPr>
        <w:t>HX18: Pakninger indeholdende højst 10 stk.</w:t>
      </w:r>
    </w:p>
    <w:p w14:paraId="3A156569" w14:textId="1921BE9A" w:rsidR="00AB20D0" w:rsidRPr="002F27FC" w:rsidRDefault="00AB20D0" w:rsidP="002F27FC">
      <w:pPr>
        <w:ind w:left="851"/>
        <w:rPr>
          <w:sz w:val="24"/>
          <w:szCs w:val="24"/>
        </w:rPr>
      </w:pPr>
      <w:r w:rsidRPr="002F27FC">
        <w:rPr>
          <w:sz w:val="24"/>
          <w:szCs w:val="24"/>
        </w:rPr>
        <w:t>HA18: Pakninger indeholdende højst 20 stk.</w:t>
      </w:r>
    </w:p>
    <w:p w14:paraId="61E04602" w14:textId="3E99DB5C" w:rsidR="00AB20D0" w:rsidRPr="002F27FC" w:rsidRDefault="00AB20D0" w:rsidP="002F27FC">
      <w:pPr>
        <w:ind w:left="851"/>
        <w:rPr>
          <w:sz w:val="24"/>
          <w:szCs w:val="24"/>
        </w:rPr>
      </w:pPr>
      <w:r w:rsidRPr="002F27FC">
        <w:rPr>
          <w:sz w:val="24"/>
          <w:szCs w:val="24"/>
        </w:rPr>
        <w:t>B: Ingen øvre grænse.</w:t>
      </w:r>
    </w:p>
    <w:p w14:paraId="55BDDC14" w14:textId="77777777" w:rsidR="009260DE" w:rsidRPr="002F27FC" w:rsidRDefault="009260DE" w:rsidP="009260DE">
      <w:pPr>
        <w:tabs>
          <w:tab w:val="left" w:pos="851"/>
        </w:tabs>
        <w:ind w:left="851"/>
        <w:rPr>
          <w:sz w:val="24"/>
          <w:szCs w:val="24"/>
        </w:rPr>
      </w:pPr>
    </w:p>
    <w:p w14:paraId="6FB0D67C" w14:textId="77777777" w:rsidR="009260DE" w:rsidRPr="002F27FC" w:rsidRDefault="009260DE" w:rsidP="009260DE">
      <w:pPr>
        <w:tabs>
          <w:tab w:val="left" w:pos="851"/>
        </w:tabs>
        <w:ind w:left="851"/>
        <w:rPr>
          <w:sz w:val="24"/>
          <w:szCs w:val="24"/>
        </w:rPr>
      </w:pPr>
    </w:p>
    <w:p w14:paraId="6E215079" w14:textId="77777777" w:rsidR="009260DE" w:rsidRPr="002F27FC" w:rsidRDefault="009260DE" w:rsidP="009260DE">
      <w:pPr>
        <w:tabs>
          <w:tab w:val="left" w:pos="851"/>
        </w:tabs>
        <w:ind w:left="851" w:hanging="851"/>
        <w:rPr>
          <w:b/>
          <w:sz w:val="24"/>
          <w:szCs w:val="24"/>
        </w:rPr>
      </w:pPr>
      <w:r w:rsidRPr="002F27FC">
        <w:rPr>
          <w:b/>
          <w:sz w:val="24"/>
          <w:szCs w:val="24"/>
        </w:rPr>
        <w:t>5.</w:t>
      </w:r>
      <w:r w:rsidRPr="002F27FC">
        <w:rPr>
          <w:b/>
          <w:sz w:val="24"/>
          <w:szCs w:val="24"/>
        </w:rPr>
        <w:tab/>
        <w:t>FARMAKOLOGISKE EGENSKABER</w:t>
      </w:r>
    </w:p>
    <w:p w14:paraId="0F1934DC" w14:textId="77777777" w:rsidR="009260DE" w:rsidRPr="002F27FC" w:rsidRDefault="009260DE" w:rsidP="009260DE">
      <w:pPr>
        <w:tabs>
          <w:tab w:val="left" w:pos="851"/>
        </w:tabs>
        <w:ind w:left="851"/>
        <w:rPr>
          <w:sz w:val="24"/>
          <w:szCs w:val="24"/>
        </w:rPr>
      </w:pPr>
    </w:p>
    <w:p w14:paraId="550D9BFC" w14:textId="77777777" w:rsidR="009260DE" w:rsidRPr="002F27FC" w:rsidRDefault="009260DE" w:rsidP="009260DE">
      <w:pPr>
        <w:tabs>
          <w:tab w:val="num" w:pos="851"/>
        </w:tabs>
        <w:ind w:left="851" w:hanging="851"/>
        <w:rPr>
          <w:b/>
          <w:sz w:val="24"/>
          <w:szCs w:val="24"/>
        </w:rPr>
      </w:pPr>
      <w:r w:rsidRPr="002F27FC">
        <w:rPr>
          <w:b/>
          <w:sz w:val="24"/>
          <w:szCs w:val="24"/>
        </w:rPr>
        <w:t>5.1</w:t>
      </w:r>
      <w:r w:rsidRPr="002F27FC">
        <w:rPr>
          <w:b/>
          <w:sz w:val="24"/>
          <w:szCs w:val="24"/>
        </w:rPr>
        <w:tab/>
      </w:r>
      <w:proofErr w:type="spellStart"/>
      <w:r w:rsidRPr="002F27FC">
        <w:rPr>
          <w:b/>
          <w:sz w:val="24"/>
          <w:szCs w:val="24"/>
        </w:rPr>
        <w:t>Farmakodynamiske</w:t>
      </w:r>
      <w:proofErr w:type="spellEnd"/>
      <w:r w:rsidRPr="002F27FC">
        <w:rPr>
          <w:b/>
          <w:sz w:val="24"/>
          <w:szCs w:val="24"/>
        </w:rPr>
        <w:t xml:space="preserve"> egenskaber</w:t>
      </w:r>
    </w:p>
    <w:p w14:paraId="009ECE7B" w14:textId="6429DC84" w:rsidR="00AB20D0" w:rsidRPr="002F27FC" w:rsidRDefault="00AB20D0" w:rsidP="002F27FC">
      <w:pPr>
        <w:ind w:left="851"/>
        <w:rPr>
          <w:sz w:val="24"/>
          <w:szCs w:val="24"/>
        </w:rPr>
      </w:pPr>
      <w:proofErr w:type="spellStart"/>
      <w:r w:rsidRPr="002F27FC">
        <w:rPr>
          <w:sz w:val="24"/>
          <w:szCs w:val="24"/>
        </w:rPr>
        <w:t>Farmakoterapeutisk</w:t>
      </w:r>
      <w:proofErr w:type="spellEnd"/>
      <w:r w:rsidRPr="002F27FC">
        <w:rPr>
          <w:sz w:val="24"/>
          <w:szCs w:val="24"/>
        </w:rPr>
        <w:t xml:space="preserve"> klassifikation: </w:t>
      </w:r>
      <w:proofErr w:type="spellStart"/>
      <w:r w:rsidRPr="002F27FC">
        <w:rPr>
          <w:sz w:val="24"/>
          <w:szCs w:val="24"/>
        </w:rPr>
        <w:t>Analgetika</w:t>
      </w:r>
      <w:proofErr w:type="spellEnd"/>
      <w:r w:rsidRPr="002F27FC">
        <w:rPr>
          <w:sz w:val="24"/>
          <w:szCs w:val="24"/>
        </w:rPr>
        <w:t xml:space="preserve">, </w:t>
      </w:r>
      <w:proofErr w:type="spellStart"/>
      <w:r w:rsidRPr="002F27FC">
        <w:rPr>
          <w:sz w:val="24"/>
          <w:szCs w:val="24"/>
        </w:rPr>
        <w:t>antipyretica</w:t>
      </w:r>
      <w:proofErr w:type="spellEnd"/>
      <w:r w:rsidRPr="002F27FC">
        <w:rPr>
          <w:sz w:val="24"/>
          <w:szCs w:val="24"/>
        </w:rPr>
        <w:t>, ATC-kode: N02BE01</w:t>
      </w:r>
      <w:r w:rsidR="001D6152">
        <w:rPr>
          <w:sz w:val="24"/>
          <w:szCs w:val="24"/>
        </w:rPr>
        <w:t>.</w:t>
      </w:r>
    </w:p>
    <w:p w14:paraId="6763F35D" w14:textId="77777777" w:rsidR="00AB20D0" w:rsidRPr="002F27FC" w:rsidRDefault="00AB20D0" w:rsidP="002F27FC">
      <w:pPr>
        <w:ind w:left="851"/>
        <w:rPr>
          <w:sz w:val="24"/>
          <w:szCs w:val="24"/>
        </w:rPr>
      </w:pPr>
    </w:p>
    <w:p w14:paraId="007C16D9" w14:textId="77777777" w:rsidR="00AB20D0" w:rsidRPr="002F27FC" w:rsidRDefault="00AB20D0" w:rsidP="002F27FC">
      <w:pPr>
        <w:ind w:left="851"/>
        <w:rPr>
          <w:sz w:val="24"/>
          <w:szCs w:val="24"/>
        </w:rPr>
      </w:pPr>
      <w:r w:rsidRPr="002F27FC">
        <w:rPr>
          <w:sz w:val="24"/>
          <w:szCs w:val="24"/>
        </w:rPr>
        <w:t xml:space="preserve">Paracetamol er et </w:t>
      </w:r>
      <w:proofErr w:type="spellStart"/>
      <w:r w:rsidRPr="002F27FC">
        <w:rPr>
          <w:sz w:val="24"/>
          <w:szCs w:val="24"/>
        </w:rPr>
        <w:t>anilinderivativ</w:t>
      </w:r>
      <w:proofErr w:type="spellEnd"/>
      <w:r w:rsidRPr="002F27FC">
        <w:rPr>
          <w:sz w:val="24"/>
          <w:szCs w:val="24"/>
        </w:rPr>
        <w:t xml:space="preserve"> med analgetisk og </w:t>
      </w:r>
      <w:proofErr w:type="spellStart"/>
      <w:r w:rsidRPr="002F27FC">
        <w:rPr>
          <w:sz w:val="24"/>
          <w:szCs w:val="24"/>
        </w:rPr>
        <w:t>antipyretisk</w:t>
      </w:r>
      <w:proofErr w:type="spellEnd"/>
      <w:r w:rsidRPr="002F27FC">
        <w:rPr>
          <w:sz w:val="24"/>
          <w:szCs w:val="24"/>
        </w:rPr>
        <w:t xml:space="preserve"> virkning svarende til virkningen af acetylsalicylsyre. Paracetamol forårsager imidlertid ikke </w:t>
      </w:r>
      <w:proofErr w:type="spellStart"/>
      <w:r w:rsidRPr="002F27FC">
        <w:rPr>
          <w:sz w:val="24"/>
          <w:szCs w:val="24"/>
        </w:rPr>
        <w:t>gastrointestinal</w:t>
      </w:r>
      <w:proofErr w:type="spellEnd"/>
      <w:r w:rsidRPr="002F27FC">
        <w:rPr>
          <w:sz w:val="24"/>
          <w:szCs w:val="24"/>
        </w:rPr>
        <w:t xml:space="preserve"> irritation og tåles godt af patienter med mavesår. Paracetamol påvirker ikke </w:t>
      </w:r>
      <w:proofErr w:type="spellStart"/>
      <w:r w:rsidRPr="002F27FC">
        <w:rPr>
          <w:sz w:val="24"/>
          <w:szCs w:val="24"/>
        </w:rPr>
        <w:t>trombocytaggregation</w:t>
      </w:r>
      <w:proofErr w:type="spellEnd"/>
      <w:r w:rsidRPr="002F27FC">
        <w:rPr>
          <w:sz w:val="24"/>
          <w:szCs w:val="24"/>
        </w:rPr>
        <w:t xml:space="preserve"> eller blødningstid. Paracetamol tåles generelt godt af patienter, som er overfølsomme over for acetylsalicylsyre. </w:t>
      </w:r>
    </w:p>
    <w:p w14:paraId="33853C87" w14:textId="77777777" w:rsidR="00AB20D0" w:rsidRPr="002F27FC" w:rsidRDefault="00AB20D0" w:rsidP="002F27FC">
      <w:pPr>
        <w:ind w:left="851"/>
        <w:rPr>
          <w:sz w:val="24"/>
          <w:szCs w:val="24"/>
        </w:rPr>
      </w:pPr>
    </w:p>
    <w:p w14:paraId="196FDBA4" w14:textId="77777777" w:rsidR="00AB20D0" w:rsidRPr="002F27FC" w:rsidRDefault="00AB20D0" w:rsidP="002F27FC">
      <w:pPr>
        <w:ind w:left="851"/>
        <w:rPr>
          <w:sz w:val="24"/>
          <w:szCs w:val="24"/>
        </w:rPr>
      </w:pPr>
      <w:r w:rsidRPr="002F27FC">
        <w:rPr>
          <w:sz w:val="24"/>
          <w:szCs w:val="24"/>
        </w:rPr>
        <w:t xml:space="preserve">Den </w:t>
      </w:r>
      <w:proofErr w:type="spellStart"/>
      <w:r w:rsidRPr="002F27FC">
        <w:rPr>
          <w:sz w:val="24"/>
          <w:szCs w:val="24"/>
        </w:rPr>
        <w:t>antipyretiske</w:t>
      </w:r>
      <w:proofErr w:type="spellEnd"/>
      <w:r w:rsidRPr="002F27FC">
        <w:rPr>
          <w:sz w:val="24"/>
          <w:szCs w:val="24"/>
        </w:rPr>
        <w:t xml:space="preserve"> virkning opnås ved påvirkning af det varmeregulerende område i CNS, hvorved varmeafledningen øges. </w:t>
      </w:r>
    </w:p>
    <w:p w14:paraId="7349E453" w14:textId="77777777" w:rsidR="00AB20D0" w:rsidRPr="002F27FC" w:rsidRDefault="00AB20D0" w:rsidP="002F27FC">
      <w:pPr>
        <w:ind w:left="851"/>
        <w:rPr>
          <w:sz w:val="24"/>
          <w:szCs w:val="24"/>
        </w:rPr>
      </w:pPr>
    </w:p>
    <w:p w14:paraId="74C9401E" w14:textId="77777777" w:rsidR="00AB20D0" w:rsidRPr="002F27FC" w:rsidRDefault="00AB20D0" w:rsidP="002F27FC">
      <w:pPr>
        <w:ind w:left="851"/>
        <w:rPr>
          <w:sz w:val="24"/>
          <w:szCs w:val="24"/>
        </w:rPr>
      </w:pPr>
      <w:bookmarkStart w:id="3" w:name="_Hlk163631229"/>
      <w:r w:rsidRPr="002F27FC">
        <w:rPr>
          <w:sz w:val="24"/>
          <w:szCs w:val="24"/>
        </w:rPr>
        <w:t xml:space="preserve">Latenstiden for den analgetiske virkning er ca. 15-20 minutter uanset fødeindtagelse. </w:t>
      </w:r>
      <w:bookmarkEnd w:id="3"/>
      <w:r w:rsidRPr="002F27FC">
        <w:rPr>
          <w:sz w:val="24"/>
          <w:szCs w:val="24"/>
        </w:rPr>
        <w:t xml:space="preserve">Maksimal virkning opnås inden for 1-2 timer og vedvarer i 4-5 timer. Den </w:t>
      </w:r>
      <w:proofErr w:type="spellStart"/>
      <w:r w:rsidRPr="002F27FC">
        <w:rPr>
          <w:sz w:val="24"/>
          <w:szCs w:val="24"/>
        </w:rPr>
        <w:t>antipyretiske</w:t>
      </w:r>
      <w:proofErr w:type="spellEnd"/>
      <w:r w:rsidRPr="002F27FC">
        <w:rPr>
          <w:sz w:val="24"/>
          <w:szCs w:val="24"/>
        </w:rPr>
        <w:t xml:space="preserve"> virkning er noget langsommere; latenstiden er ca. ½-1 time, maksimal febernedsættende virkning opnås efter 2-3 timer, og opretholdes i ca. 8 timer.</w:t>
      </w:r>
    </w:p>
    <w:p w14:paraId="67ADC026" w14:textId="77777777" w:rsidR="00AB20D0" w:rsidRPr="002F27FC" w:rsidRDefault="00AB20D0" w:rsidP="002F27FC">
      <w:pPr>
        <w:ind w:left="851"/>
        <w:rPr>
          <w:sz w:val="24"/>
          <w:szCs w:val="24"/>
        </w:rPr>
      </w:pPr>
    </w:p>
    <w:p w14:paraId="0FB15863" w14:textId="04000C6D" w:rsidR="00AB20D0" w:rsidRPr="002F27FC" w:rsidRDefault="00AB20D0" w:rsidP="002F27FC">
      <w:pPr>
        <w:ind w:left="851"/>
        <w:rPr>
          <w:sz w:val="24"/>
          <w:szCs w:val="24"/>
        </w:rPr>
      </w:pPr>
      <w:proofErr w:type="spellStart"/>
      <w:r w:rsidRPr="002F27FC">
        <w:rPr>
          <w:sz w:val="24"/>
          <w:szCs w:val="24"/>
        </w:rPr>
        <w:t>Pamol</w:t>
      </w:r>
      <w:proofErr w:type="spellEnd"/>
      <w:r w:rsidRPr="002F27FC">
        <w:rPr>
          <w:sz w:val="24"/>
          <w:szCs w:val="24"/>
        </w:rPr>
        <w:t xml:space="preserve"> </w:t>
      </w:r>
      <w:r w:rsidR="00053B28">
        <w:rPr>
          <w:sz w:val="24"/>
          <w:szCs w:val="24"/>
        </w:rPr>
        <w:t>Swift</w:t>
      </w:r>
      <w:r w:rsidRPr="002F27FC">
        <w:rPr>
          <w:sz w:val="24"/>
          <w:szCs w:val="24"/>
        </w:rPr>
        <w:t xml:space="preserve"> indeholder </w:t>
      </w:r>
      <w:proofErr w:type="spellStart"/>
      <w:r w:rsidRPr="002F27FC">
        <w:rPr>
          <w:sz w:val="24"/>
          <w:szCs w:val="24"/>
        </w:rPr>
        <w:t>natriumhydrogencarbonat</w:t>
      </w:r>
      <w:proofErr w:type="spellEnd"/>
      <w:r w:rsidRPr="002F27FC">
        <w:rPr>
          <w:sz w:val="24"/>
          <w:szCs w:val="24"/>
        </w:rPr>
        <w:t xml:space="preserve">. </w:t>
      </w:r>
      <w:proofErr w:type="spellStart"/>
      <w:r w:rsidRPr="002F27FC">
        <w:rPr>
          <w:sz w:val="24"/>
          <w:szCs w:val="24"/>
        </w:rPr>
        <w:t>Natriumhydrogencarbonat</w:t>
      </w:r>
      <w:proofErr w:type="spellEnd"/>
      <w:r w:rsidRPr="002F27FC">
        <w:rPr>
          <w:sz w:val="24"/>
          <w:szCs w:val="24"/>
        </w:rPr>
        <w:t xml:space="preserve"> fremmer mavetømningen og udløsningen af tabletten, hvorved absorptionen af paracetamol fra </w:t>
      </w:r>
      <w:proofErr w:type="spellStart"/>
      <w:r w:rsidRPr="002F27FC">
        <w:rPr>
          <w:sz w:val="24"/>
          <w:szCs w:val="24"/>
        </w:rPr>
        <w:t>Pamol</w:t>
      </w:r>
      <w:proofErr w:type="spellEnd"/>
      <w:r w:rsidRPr="002F27FC">
        <w:rPr>
          <w:sz w:val="24"/>
          <w:szCs w:val="24"/>
        </w:rPr>
        <w:t xml:space="preserve"> </w:t>
      </w:r>
      <w:r w:rsidR="00053B28">
        <w:rPr>
          <w:sz w:val="24"/>
          <w:szCs w:val="24"/>
        </w:rPr>
        <w:t>Swift</w:t>
      </w:r>
      <w:r w:rsidRPr="002F27FC">
        <w:rPr>
          <w:sz w:val="24"/>
          <w:szCs w:val="24"/>
        </w:rPr>
        <w:t xml:space="preserve"> fremmes. Kliniske data har vist at paracetamol, i en formulering indeholdende </w:t>
      </w:r>
      <w:proofErr w:type="spellStart"/>
      <w:r w:rsidRPr="002F27FC">
        <w:rPr>
          <w:sz w:val="24"/>
          <w:szCs w:val="24"/>
        </w:rPr>
        <w:lastRenderedPageBreak/>
        <w:t>natriumhydrogencarbonat</w:t>
      </w:r>
      <w:proofErr w:type="spellEnd"/>
      <w:r w:rsidRPr="002F27FC">
        <w:rPr>
          <w:sz w:val="24"/>
          <w:szCs w:val="24"/>
        </w:rPr>
        <w:t>, giver hurtigere smertelindring end almindelige paracetamol tabletter.</w:t>
      </w:r>
    </w:p>
    <w:p w14:paraId="79A7EF97" w14:textId="77777777" w:rsidR="009260DE" w:rsidRPr="002F27FC" w:rsidRDefault="009260DE" w:rsidP="009260DE">
      <w:pPr>
        <w:tabs>
          <w:tab w:val="left" w:pos="851"/>
        </w:tabs>
        <w:ind w:left="851"/>
        <w:rPr>
          <w:sz w:val="24"/>
          <w:szCs w:val="24"/>
        </w:rPr>
      </w:pPr>
    </w:p>
    <w:p w14:paraId="3A9F5AA8" w14:textId="77777777" w:rsidR="009260DE" w:rsidRPr="002F27FC" w:rsidRDefault="009260DE" w:rsidP="009260DE">
      <w:pPr>
        <w:tabs>
          <w:tab w:val="left" w:pos="851"/>
        </w:tabs>
        <w:ind w:left="851" w:hanging="851"/>
        <w:rPr>
          <w:b/>
          <w:sz w:val="24"/>
          <w:szCs w:val="24"/>
        </w:rPr>
      </w:pPr>
      <w:r w:rsidRPr="002F27FC">
        <w:rPr>
          <w:b/>
          <w:sz w:val="24"/>
          <w:szCs w:val="24"/>
        </w:rPr>
        <w:t>5.2</w:t>
      </w:r>
      <w:r w:rsidRPr="002F27FC">
        <w:rPr>
          <w:b/>
          <w:sz w:val="24"/>
          <w:szCs w:val="24"/>
        </w:rPr>
        <w:tab/>
      </w:r>
      <w:proofErr w:type="spellStart"/>
      <w:r w:rsidRPr="002F27FC">
        <w:rPr>
          <w:b/>
          <w:sz w:val="24"/>
          <w:szCs w:val="24"/>
        </w:rPr>
        <w:t>Farmakokinetiske</w:t>
      </w:r>
      <w:proofErr w:type="spellEnd"/>
      <w:r w:rsidRPr="002F27FC">
        <w:rPr>
          <w:b/>
          <w:sz w:val="24"/>
          <w:szCs w:val="24"/>
        </w:rPr>
        <w:t xml:space="preserve"> egenskaber</w:t>
      </w:r>
    </w:p>
    <w:p w14:paraId="6E9793AC" w14:textId="77777777" w:rsidR="006B115B" w:rsidRDefault="006B115B" w:rsidP="002F27FC">
      <w:pPr>
        <w:ind w:left="851"/>
        <w:rPr>
          <w:sz w:val="24"/>
          <w:szCs w:val="24"/>
        </w:rPr>
      </w:pPr>
    </w:p>
    <w:p w14:paraId="00A9E743" w14:textId="77395C51" w:rsidR="00AB20D0" w:rsidRPr="006B115B" w:rsidRDefault="00AB20D0" w:rsidP="002F27FC">
      <w:pPr>
        <w:ind w:left="851"/>
        <w:rPr>
          <w:sz w:val="24"/>
          <w:szCs w:val="24"/>
          <w:u w:val="single"/>
        </w:rPr>
      </w:pPr>
      <w:r w:rsidRPr="006B115B">
        <w:rPr>
          <w:sz w:val="24"/>
          <w:szCs w:val="24"/>
          <w:u w:val="single"/>
        </w:rPr>
        <w:t>Absorption</w:t>
      </w:r>
    </w:p>
    <w:p w14:paraId="1119B3E8" w14:textId="77777777" w:rsidR="00AB20D0" w:rsidRPr="002F27FC" w:rsidRDefault="00AB20D0" w:rsidP="002F27FC">
      <w:pPr>
        <w:ind w:left="851"/>
        <w:rPr>
          <w:sz w:val="24"/>
          <w:szCs w:val="24"/>
        </w:rPr>
      </w:pPr>
      <w:r w:rsidRPr="002F27FC">
        <w:rPr>
          <w:sz w:val="24"/>
          <w:szCs w:val="24"/>
        </w:rPr>
        <w:t>Paracetamol absorberes hurtigt og fuldstændigt efter oral administration.</w:t>
      </w:r>
      <w:r w:rsidRPr="002F27FC">
        <w:rPr>
          <w:color w:val="000000"/>
          <w:sz w:val="24"/>
          <w:szCs w:val="24"/>
        </w:rPr>
        <w:t xml:space="preserve"> </w:t>
      </w:r>
      <w:r w:rsidRPr="002F27FC">
        <w:rPr>
          <w:sz w:val="24"/>
          <w:szCs w:val="24"/>
        </w:rPr>
        <w:t>Maksimal plasmakoncentration af paracetamol opnås ca. 30 min. efter indtagelse uafhængigt af fødeindtagelse.</w:t>
      </w:r>
    </w:p>
    <w:p w14:paraId="22179876" w14:textId="77777777" w:rsidR="00AB20D0" w:rsidRPr="002F27FC" w:rsidRDefault="00AB20D0" w:rsidP="002F27FC">
      <w:pPr>
        <w:ind w:left="851"/>
        <w:rPr>
          <w:sz w:val="24"/>
          <w:szCs w:val="24"/>
          <w:lang w:val="nb-NO"/>
        </w:rPr>
      </w:pPr>
      <w:r w:rsidRPr="002F27FC">
        <w:rPr>
          <w:sz w:val="24"/>
          <w:szCs w:val="24"/>
          <w:lang w:val="nb-NO"/>
        </w:rPr>
        <w:t>Paracetamols plasmahalveringstid er ca. 2 timer.</w:t>
      </w:r>
    </w:p>
    <w:p w14:paraId="7E40A94A" w14:textId="77777777" w:rsidR="00AB20D0" w:rsidRPr="002F27FC" w:rsidRDefault="00AB20D0" w:rsidP="002F27FC">
      <w:pPr>
        <w:ind w:left="851"/>
        <w:rPr>
          <w:sz w:val="24"/>
          <w:szCs w:val="24"/>
          <w:lang w:val="nb-NO"/>
        </w:rPr>
      </w:pPr>
    </w:p>
    <w:p w14:paraId="11AB69D8" w14:textId="77777777" w:rsidR="00AB20D0" w:rsidRPr="006B115B" w:rsidRDefault="00AB20D0" w:rsidP="002F27FC">
      <w:pPr>
        <w:ind w:left="851"/>
        <w:rPr>
          <w:sz w:val="24"/>
          <w:szCs w:val="24"/>
          <w:u w:val="single"/>
          <w:lang w:val="nb-NO"/>
        </w:rPr>
      </w:pPr>
      <w:r w:rsidRPr="006B115B">
        <w:rPr>
          <w:sz w:val="24"/>
          <w:szCs w:val="24"/>
          <w:u w:val="single"/>
          <w:lang w:val="nb-NO"/>
        </w:rPr>
        <w:t>Biotransformation</w:t>
      </w:r>
    </w:p>
    <w:p w14:paraId="78083930" w14:textId="77777777" w:rsidR="00AB20D0" w:rsidRPr="002F27FC" w:rsidRDefault="00AB20D0" w:rsidP="002F27FC">
      <w:pPr>
        <w:ind w:left="851"/>
        <w:rPr>
          <w:iCs/>
          <w:sz w:val="24"/>
          <w:szCs w:val="24"/>
        </w:rPr>
      </w:pPr>
      <w:r w:rsidRPr="002F27FC">
        <w:rPr>
          <w:sz w:val="24"/>
          <w:szCs w:val="24"/>
          <w:lang w:val="nb-NO"/>
        </w:rPr>
        <w:t xml:space="preserve">Paracetamol metaboliseres i leveren primært gennem konjugering med glucuronidsyre og sulfat. En lille del (ca. 3-10 % af en terapeutisk dosis) metaboliseres gennem oxidering ved hjælp af cytochrom-P450 til en levertoksisk intermediær metabolit. </w:t>
      </w:r>
      <w:r w:rsidRPr="002F27FC">
        <w:rPr>
          <w:sz w:val="24"/>
          <w:szCs w:val="24"/>
        </w:rPr>
        <w:t xml:space="preserve">Denne metabolit konjugeres så til </w:t>
      </w:r>
      <w:proofErr w:type="spellStart"/>
      <w:r w:rsidRPr="002F27FC">
        <w:rPr>
          <w:sz w:val="24"/>
          <w:szCs w:val="24"/>
        </w:rPr>
        <w:t>leverglutathion</w:t>
      </w:r>
      <w:proofErr w:type="spellEnd"/>
      <w:r w:rsidRPr="002F27FC">
        <w:rPr>
          <w:sz w:val="24"/>
          <w:szCs w:val="24"/>
        </w:rPr>
        <w:t xml:space="preserve"> og udskilles som </w:t>
      </w:r>
      <w:proofErr w:type="spellStart"/>
      <w:r w:rsidRPr="002F27FC">
        <w:rPr>
          <w:sz w:val="24"/>
          <w:szCs w:val="24"/>
        </w:rPr>
        <w:t>cystein</w:t>
      </w:r>
      <w:proofErr w:type="spellEnd"/>
      <w:r w:rsidRPr="002F27FC">
        <w:rPr>
          <w:sz w:val="24"/>
          <w:szCs w:val="24"/>
        </w:rPr>
        <w:t xml:space="preserve"> og </w:t>
      </w:r>
      <w:proofErr w:type="spellStart"/>
      <w:r w:rsidRPr="002F27FC">
        <w:rPr>
          <w:sz w:val="24"/>
          <w:szCs w:val="24"/>
        </w:rPr>
        <w:t>mercaptosyre-konjugater</w:t>
      </w:r>
      <w:proofErr w:type="spellEnd"/>
      <w:r w:rsidRPr="002F27FC">
        <w:rPr>
          <w:sz w:val="24"/>
          <w:szCs w:val="24"/>
        </w:rPr>
        <w:t>.</w:t>
      </w:r>
    </w:p>
    <w:p w14:paraId="6E86EFB4" w14:textId="77777777" w:rsidR="00AB20D0" w:rsidRPr="002F27FC" w:rsidRDefault="00AB20D0" w:rsidP="002F27FC">
      <w:pPr>
        <w:ind w:left="851"/>
        <w:rPr>
          <w:sz w:val="24"/>
          <w:szCs w:val="24"/>
        </w:rPr>
      </w:pPr>
    </w:p>
    <w:p w14:paraId="49A6C39A" w14:textId="77777777" w:rsidR="00AB20D0" w:rsidRPr="006B115B" w:rsidRDefault="00AB20D0" w:rsidP="002F27FC">
      <w:pPr>
        <w:ind w:left="851"/>
        <w:rPr>
          <w:sz w:val="24"/>
          <w:szCs w:val="24"/>
          <w:u w:val="single"/>
        </w:rPr>
      </w:pPr>
      <w:r w:rsidRPr="006B115B">
        <w:rPr>
          <w:sz w:val="24"/>
          <w:szCs w:val="24"/>
          <w:u w:val="single"/>
        </w:rPr>
        <w:t>Elimination</w:t>
      </w:r>
    </w:p>
    <w:p w14:paraId="1DAAC47D" w14:textId="77777777" w:rsidR="00AB20D0" w:rsidRPr="002F27FC" w:rsidRDefault="00AB20D0" w:rsidP="002F27FC">
      <w:pPr>
        <w:ind w:left="851"/>
        <w:rPr>
          <w:iCs/>
          <w:sz w:val="24"/>
          <w:szCs w:val="24"/>
        </w:rPr>
      </w:pPr>
      <w:r w:rsidRPr="002F27FC">
        <w:rPr>
          <w:sz w:val="24"/>
          <w:szCs w:val="24"/>
        </w:rPr>
        <w:t xml:space="preserve">Paracetamol og dets metabolitter udskilles via nyrerne. Ca. 2-3 % af en terapeutisk dosis udskilles som uændret paracetamol, ca. 80-90 % som </w:t>
      </w:r>
      <w:proofErr w:type="spellStart"/>
      <w:r w:rsidRPr="002F27FC">
        <w:rPr>
          <w:sz w:val="24"/>
          <w:szCs w:val="24"/>
        </w:rPr>
        <w:t>glucuronid</w:t>
      </w:r>
      <w:proofErr w:type="spellEnd"/>
      <w:r w:rsidRPr="002F27FC">
        <w:rPr>
          <w:sz w:val="24"/>
          <w:szCs w:val="24"/>
        </w:rPr>
        <w:t xml:space="preserve"> og sulfat og en lille mængde som </w:t>
      </w:r>
      <w:proofErr w:type="spellStart"/>
      <w:r w:rsidRPr="002F27FC">
        <w:rPr>
          <w:sz w:val="24"/>
          <w:szCs w:val="24"/>
        </w:rPr>
        <w:t>cystein</w:t>
      </w:r>
      <w:proofErr w:type="spellEnd"/>
      <w:r w:rsidRPr="002F27FC">
        <w:rPr>
          <w:sz w:val="24"/>
          <w:szCs w:val="24"/>
        </w:rPr>
        <w:t xml:space="preserve"> og </w:t>
      </w:r>
      <w:proofErr w:type="spellStart"/>
      <w:r w:rsidRPr="002F27FC">
        <w:rPr>
          <w:sz w:val="24"/>
          <w:szCs w:val="24"/>
        </w:rPr>
        <w:t>mercaptosyre-konjugater</w:t>
      </w:r>
      <w:proofErr w:type="spellEnd"/>
      <w:r w:rsidRPr="002F27FC">
        <w:rPr>
          <w:sz w:val="24"/>
          <w:szCs w:val="24"/>
        </w:rPr>
        <w:t>.</w:t>
      </w:r>
    </w:p>
    <w:p w14:paraId="70A886B7" w14:textId="77777777" w:rsidR="009260DE" w:rsidRPr="002F27FC" w:rsidRDefault="009260DE" w:rsidP="002F27FC">
      <w:pPr>
        <w:ind w:left="851"/>
        <w:rPr>
          <w:sz w:val="24"/>
          <w:szCs w:val="24"/>
        </w:rPr>
      </w:pPr>
    </w:p>
    <w:p w14:paraId="0C450329" w14:textId="77777777" w:rsidR="009260DE" w:rsidRPr="002F27FC" w:rsidRDefault="009260DE" w:rsidP="009260DE">
      <w:pPr>
        <w:tabs>
          <w:tab w:val="left" w:pos="851"/>
        </w:tabs>
        <w:ind w:left="851" w:hanging="851"/>
        <w:rPr>
          <w:b/>
          <w:sz w:val="24"/>
          <w:szCs w:val="24"/>
        </w:rPr>
      </w:pPr>
      <w:r w:rsidRPr="002F27FC">
        <w:rPr>
          <w:b/>
          <w:sz w:val="24"/>
          <w:szCs w:val="24"/>
        </w:rPr>
        <w:t>5.3</w:t>
      </w:r>
      <w:r w:rsidRPr="002F27FC">
        <w:rPr>
          <w:b/>
          <w:sz w:val="24"/>
          <w:szCs w:val="24"/>
        </w:rPr>
        <w:tab/>
      </w:r>
      <w:r w:rsidR="00BD7931" w:rsidRPr="002F27FC">
        <w:rPr>
          <w:b/>
          <w:sz w:val="24"/>
          <w:szCs w:val="24"/>
        </w:rPr>
        <w:t>Non-</w:t>
      </w:r>
      <w:r w:rsidRPr="002F27FC">
        <w:rPr>
          <w:b/>
          <w:sz w:val="24"/>
          <w:szCs w:val="24"/>
        </w:rPr>
        <w:t>kliniske sikkerhedsdata</w:t>
      </w:r>
    </w:p>
    <w:p w14:paraId="64EDA533" w14:textId="77777777" w:rsidR="00AB20D0" w:rsidRPr="002F27FC" w:rsidRDefault="00AB20D0" w:rsidP="002F27FC">
      <w:pPr>
        <w:ind w:left="851"/>
        <w:rPr>
          <w:sz w:val="24"/>
          <w:szCs w:val="24"/>
        </w:rPr>
      </w:pPr>
      <w:r w:rsidRPr="002F27FC">
        <w:rPr>
          <w:sz w:val="24"/>
          <w:szCs w:val="24"/>
        </w:rPr>
        <w:t>Der foreligger ikke konventionelle studier, hvor man har anvendt aktuelt anerkendte standarder for evaluering af reproduktions- og udviklingstoksicitet.</w:t>
      </w:r>
    </w:p>
    <w:p w14:paraId="0DFFB17B" w14:textId="77777777" w:rsidR="009260DE" w:rsidRPr="002F27FC" w:rsidRDefault="009260DE" w:rsidP="009260DE">
      <w:pPr>
        <w:tabs>
          <w:tab w:val="left" w:pos="851"/>
        </w:tabs>
        <w:ind w:left="851"/>
        <w:rPr>
          <w:sz w:val="24"/>
          <w:szCs w:val="24"/>
        </w:rPr>
      </w:pPr>
    </w:p>
    <w:p w14:paraId="2548833E" w14:textId="77777777" w:rsidR="009260DE" w:rsidRPr="002F27FC" w:rsidRDefault="009260DE" w:rsidP="009260DE">
      <w:pPr>
        <w:tabs>
          <w:tab w:val="left" w:pos="851"/>
        </w:tabs>
        <w:ind w:left="851"/>
        <w:rPr>
          <w:sz w:val="24"/>
          <w:szCs w:val="24"/>
        </w:rPr>
      </w:pPr>
    </w:p>
    <w:p w14:paraId="69DFA6E8" w14:textId="77777777" w:rsidR="009260DE" w:rsidRPr="002F27FC" w:rsidRDefault="009260DE" w:rsidP="009260DE">
      <w:pPr>
        <w:tabs>
          <w:tab w:val="left" w:pos="851"/>
        </w:tabs>
        <w:ind w:left="851" w:hanging="851"/>
        <w:rPr>
          <w:b/>
          <w:sz w:val="24"/>
          <w:szCs w:val="24"/>
        </w:rPr>
      </w:pPr>
      <w:r w:rsidRPr="002F27FC">
        <w:rPr>
          <w:b/>
          <w:sz w:val="24"/>
          <w:szCs w:val="24"/>
        </w:rPr>
        <w:t>6.</w:t>
      </w:r>
      <w:r w:rsidRPr="002F27FC">
        <w:rPr>
          <w:b/>
          <w:sz w:val="24"/>
          <w:szCs w:val="24"/>
        </w:rPr>
        <w:tab/>
        <w:t>FARMACEUTISKE OPLYSNINGER</w:t>
      </w:r>
    </w:p>
    <w:p w14:paraId="4412F3C3" w14:textId="77777777" w:rsidR="009260DE" w:rsidRPr="002F27FC" w:rsidRDefault="009260DE" w:rsidP="009260DE">
      <w:pPr>
        <w:tabs>
          <w:tab w:val="left" w:pos="851"/>
        </w:tabs>
        <w:ind w:left="851"/>
        <w:rPr>
          <w:sz w:val="24"/>
          <w:szCs w:val="24"/>
        </w:rPr>
      </w:pPr>
    </w:p>
    <w:p w14:paraId="261E65BF" w14:textId="77777777" w:rsidR="009260DE" w:rsidRPr="002F27FC" w:rsidRDefault="009260DE" w:rsidP="009260DE">
      <w:pPr>
        <w:tabs>
          <w:tab w:val="left" w:pos="851"/>
        </w:tabs>
        <w:ind w:left="851" w:hanging="851"/>
        <w:rPr>
          <w:b/>
          <w:sz w:val="24"/>
          <w:szCs w:val="24"/>
        </w:rPr>
      </w:pPr>
      <w:r w:rsidRPr="002F27FC">
        <w:rPr>
          <w:b/>
          <w:sz w:val="24"/>
          <w:szCs w:val="24"/>
        </w:rPr>
        <w:t>6.1</w:t>
      </w:r>
      <w:r w:rsidRPr="002F27FC">
        <w:rPr>
          <w:b/>
          <w:sz w:val="24"/>
          <w:szCs w:val="24"/>
        </w:rPr>
        <w:tab/>
        <w:t>Hjælpestoffer</w:t>
      </w:r>
    </w:p>
    <w:p w14:paraId="20DA6554" w14:textId="77777777" w:rsidR="006B115B" w:rsidRDefault="006B115B" w:rsidP="002F27FC">
      <w:pPr>
        <w:ind w:left="851"/>
        <w:rPr>
          <w:sz w:val="24"/>
          <w:szCs w:val="24"/>
        </w:rPr>
      </w:pPr>
    </w:p>
    <w:p w14:paraId="321375B5" w14:textId="48091E40" w:rsidR="00AB20D0" w:rsidRPr="006B115B" w:rsidRDefault="00AB20D0" w:rsidP="002F27FC">
      <w:pPr>
        <w:ind w:left="851"/>
        <w:rPr>
          <w:sz w:val="24"/>
          <w:szCs w:val="24"/>
          <w:u w:val="single"/>
        </w:rPr>
      </w:pPr>
      <w:r w:rsidRPr="006B115B">
        <w:rPr>
          <w:sz w:val="24"/>
          <w:szCs w:val="24"/>
          <w:u w:val="single"/>
        </w:rPr>
        <w:t>Tabletkerne:</w:t>
      </w:r>
    </w:p>
    <w:p w14:paraId="2F977CFE" w14:textId="77777777" w:rsidR="00AB20D0" w:rsidRPr="002F27FC" w:rsidRDefault="00AB20D0" w:rsidP="002F27FC">
      <w:pPr>
        <w:ind w:left="851"/>
        <w:rPr>
          <w:sz w:val="24"/>
          <w:szCs w:val="24"/>
        </w:rPr>
      </w:pPr>
      <w:proofErr w:type="spellStart"/>
      <w:r w:rsidRPr="002F27FC">
        <w:rPr>
          <w:sz w:val="24"/>
          <w:szCs w:val="24"/>
        </w:rPr>
        <w:t>Natriumhydrogencarbonat</w:t>
      </w:r>
      <w:proofErr w:type="spellEnd"/>
    </w:p>
    <w:p w14:paraId="61A2E6C0" w14:textId="77777777" w:rsidR="00AB20D0" w:rsidRPr="002F27FC" w:rsidRDefault="00AB20D0" w:rsidP="002F27FC">
      <w:pPr>
        <w:ind w:left="851"/>
        <w:rPr>
          <w:sz w:val="24"/>
          <w:szCs w:val="24"/>
        </w:rPr>
      </w:pPr>
      <w:r w:rsidRPr="002F27FC">
        <w:rPr>
          <w:sz w:val="24"/>
          <w:szCs w:val="24"/>
        </w:rPr>
        <w:t>Majsstivelse</w:t>
      </w:r>
    </w:p>
    <w:p w14:paraId="417B42B8" w14:textId="77777777" w:rsidR="00AB20D0" w:rsidRPr="002F27FC" w:rsidRDefault="00AB20D0" w:rsidP="002F27FC">
      <w:pPr>
        <w:ind w:left="851"/>
        <w:rPr>
          <w:sz w:val="24"/>
          <w:szCs w:val="24"/>
        </w:rPr>
      </w:pPr>
      <w:r w:rsidRPr="002F27FC">
        <w:rPr>
          <w:sz w:val="24"/>
          <w:szCs w:val="24"/>
        </w:rPr>
        <w:t xml:space="preserve">Majsstivelse, </w:t>
      </w:r>
      <w:proofErr w:type="spellStart"/>
      <w:r w:rsidRPr="002F27FC">
        <w:rPr>
          <w:sz w:val="24"/>
          <w:szCs w:val="24"/>
        </w:rPr>
        <w:t>pregelatineret</w:t>
      </w:r>
      <w:proofErr w:type="spellEnd"/>
    </w:p>
    <w:p w14:paraId="30BB670F" w14:textId="77777777" w:rsidR="00AB20D0" w:rsidRPr="002F27FC" w:rsidRDefault="00AB20D0" w:rsidP="002F27FC">
      <w:pPr>
        <w:ind w:left="851"/>
        <w:rPr>
          <w:sz w:val="24"/>
          <w:szCs w:val="24"/>
        </w:rPr>
      </w:pPr>
      <w:proofErr w:type="spellStart"/>
      <w:r w:rsidRPr="002F27FC">
        <w:rPr>
          <w:sz w:val="24"/>
          <w:szCs w:val="24"/>
        </w:rPr>
        <w:t>Povidon</w:t>
      </w:r>
      <w:proofErr w:type="spellEnd"/>
    </w:p>
    <w:p w14:paraId="206D789A" w14:textId="77777777" w:rsidR="00AB20D0" w:rsidRPr="002F27FC" w:rsidRDefault="00AB20D0" w:rsidP="002F27FC">
      <w:pPr>
        <w:ind w:left="851"/>
        <w:rPr>
          <w:sz w:val="24"/>
          <w:szCs w:val="24"/>
        </w:rPr>
      </w:pPr>
      <w:proofErr w:type="spellStart"/>
      <w:r w:rsidRPr="002F27FC">
        <w:rPr>
          <w:sz w:val="24"/>
          <w:szCs w:val="24"/>
        </w:rPr>
        <w:t>Kaliumsorbat</w:t>
      </w:r>
      <w:proofErr w:type="spellEnd"/>
      <w:r w:rsidRPr="002F27FC">
        <w:rPr>
          <w:sz w:val="24"/>
          <w:szCs w:val="24"/>
        </w:rPr>
        <w:t xml:space="preserve"> (E 202)</w:t>
      </w:r>
    </w:p>
    <w:p w14:paraId="22B870BB" w14:textId="77777777" w:rsidR="00AB20D0" w:rsidRPr="00A1112A" w:rsidRDefault="00AB20D0" w:rsidP="002F27FC">
      <w:pPr>
        <w:ind w:left="851"/>
        <w:rPr>
          <w:sz w:val="24"/>
          <w:szCs w:val="24"/>
          <w:lang w:val="en-US"/>
        </w:rPr>
      </w:pPr>
      <w:r w:rsidRPr="00A1112A">
        <w:rPr>
          <w:sz w:val="24"/>
          <w:szCs w:val="24"/>
          <w:lang w:val="en-US"/>
        </w:rPr>
        <w:t>Talcum (E 553b)</w:t>
      </w:r>
    </w:p>
    <w:p w14:paraId="18C98609" w14:textId="77777777" w:rsidR="00AB20D0" w:rsidRPr="002F27FC" w:rsidRDefault="00AB20D0" w:rsidP="002F27FC">
      <w:pPr>
        <w:ind w:left="851"/>
        <w:rPr>
          <w:sz w:val="24"/>
          <w:szCs w:val="24"/>
          <w:lang w:val="en-US"/>
        </w:rPr>
      </w:pPr>
      <w:proofErr w:type="spellStart"/>
      <w:r w:rsidRPr="002F27FC">
        <w:rPr>
          <w:sz w:val="24"/>
          <w:szCs w:val="24"/>
          <w:lang w:val="en-US"/>
        </w:rPr>
        <w:t>Croscarmellosenatrium</w:t>
      </w:r>
      <w:proofErr w:type="spellEnd"/>
    </w:p>
    <w:p w14:paraId="0627C16B" w14:textId="77777777" w:rsidR="00AB20D0" w:rsidRPr="002F27FC" w:rsidRDefault="00AB20D0" w:rsidP="002F27FC">
      <w:pPr>
        <w:ind w:left="851"/>
        <w:rPr>
          <w:sz w:val="24"/>
          <w:szCs w:val="24"/>
          <w:lang w:val="en-US"/>
        </w:rPr>
      </w:pPr>
      <w:proofErr w:type="spellStart"/>
      <w:r w:rsidRPr="002F27FC">
        <w:rPr>
          <w:sz w:val="24"/>
          <w:szCs w:val="24"/>
          <w:lang w:val="en-US"/>
        </w:rPr>
        <w:t>Stearinsyre</w:t>
      </w:r>
      <w:proofErr w:type="spellEnd"/>
    </w:p>
    <w:p w14:paraId="3E33D78D" w14:textId="77777777" w:rsidR="00AB20D0" w:rsidRPr="002F27FC" w:rsidRDefault="00AB20D0" w:rsidP="002F27FC">
      <w:pPr>
        <w:ind w:left="851"/>
        <w:rPr>
          <w:sz w:val="24"/>
          <w:szCs w:val="24"/>
          <w:lang w:val="en-US"/>
        </w:rPr>
      </w:pPr>
    </w:p>
    <w:p w14:paraId="65E1001B" w14:textId="77777777" w:rsidR="00AB20D0" w:rsidRPr="006B115B" w:rsidRDefault="00AB20D0" w:rsidP="002F27FC">
      <w:pPr>
        <w:ind w:left="851"/>
        <w:rPr>
          <w:sz w:val="24"/>
          <w:szCs w:val="24"/>
          <w:u w:val="single"/>
          <w:lang w:val="es-ES"/>
        </w:rPr>
      </w:pPr>
      <w:r w:rsidRPr="006B115B">
        <w:rPr>
          <w:sz w:val="24"/>
          <w:szCs w:val="24"/>
          <w:u w:val="single"/>
          <w:lang w:val="es-ES"/>
        </w:rPr>
        <w:t>Filmovertræk:</w:t>
      </w:r>
    </w:p>
    <w:p w14:paraId="03CDFB61" w14:textId="77777777" w:rsidR="00AB20D0" w:rsidRPr="002F27FC" w:rsidRDefault="00AB20D0" w:rsidP="002F27FC">
      <w:pPr>
        <w:ind w:left="851"/>
        <w:rPr>
          <w:sz w:val="24"/>
          <w:szCs w:val="24"/>
          <w:lang w:val="es-ES"/>
        </w:rPr>
      </w:pPr>
      <w:r w:rsidRPr="002F27FC">
        <w:rPr>
          <w:sz w:val="24"/>
          <w:szCs w:val="24"/>
          <w:lang w:val="es-ES"/>
        </w:rPr>
        <w:t>Titandioxid (E 171)</w:t>
      </w:r>
    </w:p>
    <w:p w14:paraId="10317D7A" w14:textId="77777777" w:rsidR="00AB20D0" w:rsidRPr="002F27FC" w:rsidRDefault="00AB20D0" w:rsidP="002F27FC">
      <w:pPr>
        <w:ind w:left="851"/>
        <w:rPr>
          <w:sz w:val="24"/>
          <w:szCs w:val="24"/>
          <w:lang w:val="es-ES"/>
        </w:rPr>
      </w:pPr>
      <w:r w:rsidRPr="002F27FC">
        <w:rPr>
          <w:sz w:val="24"/>
          <w:szCs w:val="24"/>
          <w:lang w:val="es-ES"/>
        </w:rPr>
        <w:t>Polydextrose (E 1200)</w:t>
      </w:r>
    </w:p>
    <w:p w14:paraId="55A75E80" w14:textId="77777777" w:rsidR="00AB20D0" w:rsidRPr="002F27FC" w:rsidRDefault="00AB20D0" w:rsidP="002F27FC">
      <w:pPr>
        <w:ind w:left="851"/>
        <w:rPr>
          <w:sz w:val="24"/>
          <w:szCs w:val="24"/>
          <w:lang w:val="es-ES"/>
        </w:rPr>
      </w:pPr>
      <w:r w:rsidRPr="002F27FC">
        <w:rPr>
          <w:sz w:val="24"/>
          <w:szCs w:val="24"/>
          <w:lang w:val="es-ES"/>
        </w:rPr>
        <w:t>Hypromellose (E 464)</w:t>
      </w:r>
    </w:p>
    <w:p w14:paraId="10E142A6" w14:textId="77777777" w:rsidR="00AB20D0" w:rsidRPr="002F27FC" w:rsidRDefault="00AB20D0" w:rsidP="002F27FC">
      <w:pPr>
        <w:ind w:left="851"/>
        <w:rPr>
          <w:sz w:val="24"/>
          <w:szCs w:val="24"/>
          <w:lang w:val="es-ES"/>
        </w:rPr>
      </w:pPr>
      <w:r w:rsidRPr="002F27FC">
        <w:rPr>
          <w:sz w:val="24"/>
          <w:szCs w:val="24"/>
          <w:lang w:val="es-ES"/>
        </w:rPr>
        <w:t>Triacetin (E 1518)</w:t>
      </w:r>
    </w:p>
    <w:p w14:paraId="2CC68E3B" w14:textId="77777777" w:rsidR="00AB20D0" w:rsidRPr="002F27FC" w:rsidRDefault="00AB20D0" w:rsidP="002F27FC">
      <w:pPr>
        <w:ind w:left="851"/>
        <w:rPr>
          <w:sz w:val="24"/>
          <w:szCs w:val="24"/>
          <w:lang w:val="es-ES"/>
        </w:rPr>
      </w:pPr>
      <w:r w:rsidRPr="002F27FC">
        <w:rPr>
          <w:sz w:val="24"/>
          <w:szCs w:val="24"/>
          <w:lang w:val="es-ES"/>
        </w:rPr>
        <w:t>Macrogol</w:t>
      </w:r>
    </w:p>
    <w:p w14:paraId="584B428D" w14:textId="77777777" w:rsidR="00AB20D0" w:rsidRPr="002F27FC" w:rsidRDefault="00AB20D0" w:rsidP="002F27FC">
      <w:pPr>
        <w:ind w:left="851"/>
        <w:rPr>
          <w:sz w:val="24"/>
          <w:szCs w:val="24"/>
          <w:lang w:val="es-ES"/>
        </w:rPr>
      </w:pPr>
      <w:r w:rsidRPr="002F27FC">
        <w:rPr>
          <w:sz w:val="24"/>
          <w:szCs w:val="24"/>
          <w:lang w:val="es-ES"/>
        </w:rPr>
        <w:t>Carnaubavoks (E 903)</w:t>
      </w:r>
    </w:p>
    <w:p w14:paraId="54F904E3" w14:textId="77777777" w:rsidR="009260DE" w:rsidRPr="00A1112A" w:rsidRDefault="009260DE" w:rsidP="009260DE">
      <w:pPr>
        <w:tabs>
          <w:tab w:val="left" w:pos="851"/>
        </w:tabs>
        <w:ind w:left="851"/>
        <w:rPr>
          <w:sz w:val="24"/>
          <w:szCs w:val="24"/>
          <w:lang w:val="en-US"/>
        </w:rPr>
      </w:pPr>
    </w:p>
    <w:p w14:paraId="703D5CCB" w14:textId="77777777" w:rsidR="009260DE" w:rsidRPr="002F27FC" w:rsidRDefault="009260DE" w:rsidP="009260DE">
      <w:pPr>
        <w:tabs>
          <w:tab w:val="left" w:pos="851"/>
        </w:tabs>
        <w:ind w:left="851" w:hanging="851"/>
        <w:rPr>
          <w:b/>
          <w:sz w:val="24"/>
          <w:szCs w:val="24"/>
        </w:rPr>
      </w:pPr>
      <w:r w:rsidRPr="002F27FC">
        <w:rPr>
          <w:b/>
          <w:sz w:val="24"/>
          <w:szCs w:val="24"/>
        </w:rPr>
        <w:t>6.2</w:t>
      </w:r>
      <w:r w:rsidRPr="002F27FC">
        <w:rPr>
          <w:b/>
          <w:sz w:val="24"/>
          <w:szCs w:val="24"/>
        </w:rPr>
        <w:tab/>
        <w:t>Uforligeligheder</w:t>
      </w:r>
    </w:p>
    <w:p w14:paraId="7A58946C" w14:textId="77777777" w:rsidR="00AB20D0" w:rsidRPr="002F27FC" w:rsidRDefault="00AB20D0" w:rsidP="002F27FC">
      <w:pPr>
        <w:ind w:left="851"/>
        <w:rPr>
          <w:sz w:val="24"/>
          <w:szCs w:val="24"/>
        </w:rPr>
      </w:pPr>
      <w:r w:rsidRPr="002F27FC">
        <w:rPr>
          <w:sz w:val="24"/>
          <w:szCs w:val="24"/>
        </w:rPr>
        <w:t>Ikke relevant.</w:t>
      </w:r>
    </w:p>
    <w:p w14:paraId="7871AAF5" w14:textId="77777777" w:rsidR="009260DE" w:rsidRPr="002F27FC" w:rsidRDefault="009260DE" w:rsidP="009260DE">
      <w:pPr>
        <w:tabs>
          <w:tab w:val="left" w:pos="851"/>
        </w:tabs>
        <w:ind w:left="851"/>
        <w:rPr>
          <w:sz w:val="24"/>
          <w:szCs w:val="24"/>
        </w:rPr>
      </w:pPr>
    </w:p>
    <w:p w14:paraId="3BB86354" w14:textId="77777777" w:rsidR="009260DE" w:rsidRPr="002F27FC" w:rsidRDefault="009260DE" w:rsidP="009260DE">
      <w:pPr>
        <w:tabs>
          <w:tab w:val="left" w:pos="851"/>
        </w:tabs>
        <w:ind w:left="851" w:hanging="851"/>
        <w:rPr>
          <w:b/>
          <w:sz w:val="24"/>
          <w:szCs w:val="24"/>
        </w:rPr>
      </w:pPr>
      <w:r w:rsidRPr="002F27FC">
        <w:rPr>
          <w:b/>
          <w:sz w:val="24"/>
          <w:szCs w:val="24"/>
        </w:rPr>
        <w:t>6.3</w:t>
      </w:r>
      <w:r w:rsidRPr="002F27FC">
        <w:rPr>
          <w:b/>
          <w:sz w:val="24"/>
          <w:szCs w:val="24"/>
        </w:rPr>
        <w:tab/>
        <w:t>Opbevaringstid</w:t>
      </w:r>
    </w:p>
    <w:p w14:paraId="001BC566" w14:textId="77777777" w:rsidR="00AB20D0" w:rsidRPr="002F27FC" w:rsidRDefault="00AB20D0" w:rsidP="002F27FC">
      <w:pPr>
        <w:ind w:left="851"/>
        <w:rPr>
          <w:sz w:val="24"/>
          <w:szCs w:val="24"/>
        </w:rPr>
      </w:pPr>
      <w:r w:rsidRPr="002F27FC">
        <w:rPr>
          <w:sz w:val="24"/>
          <w:szCs w:val="24"/>
        </w:rPr>
        <w:t>2 år.</w:t>
      </w:r>
    </w:p>
    <w:p w14:paraId="1A64F049" w14:textId="77777777" w:rsidR="009260DE" w:rsidRPr="002F27FC" w:rsidRDefault="009260DE" w:rsidP="009260DE">
      <w:pPr>
        <w:tabs>
          <w:tab w:val="left" w:pos="851"/>
        </w:tabs>
        <w:ind w:left="851"/>
        <w:rPr>
          <w:sz w:val="24"/>
          <w:szCs w:val="24"/>
        </w:rPr>
      </w:pPr>
    </w:p>
    <w:p w14:paraId="2D62F052" w14:textId="77777777" w:rsidR="009260DE" w:rsidRPr="002F27FC" w:rsidRDefault="009260DE" w:rsidP="009260DE">
      <w:pPr>
        <w:tabs>
          <w:tab w:val="left" w:pos="851"/>
        </w:tabs>
        <w:ind w:left="851" w:hanging="851"/>
        <w:rPr>
          <w:b/>
          <w:sz w:val="24"/>
          <w:szCs w:val="24"/>
        </w:rPr>
      </w:pPr>
      <w:r w:rsidRPr="002F27FC">
        <w:rPr>
          <w:b/>
          <w:sz w:val="24"/>
          <w:szCs w:val="24"/>
        </w:rPr>
        <w:t>6.4</w:t>
      </w:r>
      <w:r w:rsidRPr="002F27FC">
        <w:rPr>
          <w:b/>
          <w:sz w:val="24"/>
          <w:szCs w:val="24"/>
        </w:rPr>
        <w:tab/>
        <w:t>Særlige opbevaringsforhold</w:t>
      </w:r>
    </w:p>
    <w:p w14:paraId="3E5B1FB1" w14:textId="77777777" w:rsidR="00AB20D0" w:rsidRPr="002F27FC" w:rsidRDefault="00AB20D0" w:rsidP="002F27FC">
      <w:pPr>
        <w:ind w:left="851"/>
        <w:rPr>
          <w:sz w:val="24"/>
          <w:szCs w:val="24"/>
        </w:rPr>
      </w:pPr>
      <w:r w:rsidRPr="002F27FC">
        <w:rPr>
          <w:sz w:val="24"/>
          <w:szCs w:val="24"/>
        </w:rPr>
        <w:t>Dette lægemiddel kræver ingen særlige forholdsregler vedrørende opbevaringen.</w:t>
      </w:r>
    </w:p>
    <w:p w14:paraId="69299DC2" w14:textId="77777777" w:rsidR="009260DE" w:rsidRPr="002F27FC" w:rsidRDefault="009260DE" w:rsidP="009260DE">
      <w:pPr>
        <w:tabs>
          <w:tab w:val="left" w:pos="851"/>
        </w:tabs>
        <w:ind w:left="851"/>
        <w:rPr>
          <w:sz w:val="24"/>
          <w:szCs w:val="24"/>
        </w:rPr>
      </w:pPr>
    </w:p>
    <w:p w14:paraId="7C960439" w14:textId="77777777" w:rsidR="009260DE" w:rsidRPr="002F27FC" w:rsidRDefault="009260DE" w:rsidP="009260DE">
      <w:pPr>
        <w:tabs>
          <w:tab w:val="left" w:pos="851"/>
        </w:tabs>
        <w:ind w:left="851" w:hanging="851"/>
        <w:rPr>
          <w:b/>
          <w:sz w:val="24"/>
          <w:szCs w:val="24"/>
        </w:rPr>
      </w:pPr>
      <w:r w:rsidRPr="002F27FC">
        <w:rPr>
          <w:b/>
          <w:sz w:val="24"/>
          <w:szCs w:val="24"/>
        </w:rPr>
        <w:t>6.5</w:t>
      </w:r>
      <w:r w:rsidRPr="002F27FC">
        <w:rPr>
          <w:b/>
          <w:sz w:val="24"/>
          <w:szCs w:val="24"/>
        </w:rPr>
        <w:tab/>
        <w:t>Emballagetype og pakningsstørrelser</w:t>
      </w:r>
    </w:p>
    <w:p w14:paraId="01374F0D" w14:textId="77777777" w:rsidR="00AB20D0" w:rsidRPr="002F27FC" w:rsidRDefault="00AB20D0" w:rsidP="002F27FC">
      <w:pPr>
        <w:ind w:left="851"/>
        <w:rPr>
          <w:sz w:val="24"/>
          <w:szCs w:val="24"/>
        </w:rPr>
      </w:pPr>
      <w:r w:rsidRPr="002F27FC">
        <w:rPr>
          <w:sz w:val="24"/>
          <w:szCs w:val="24"/>
        </w:rPr>
        <w:t>Blisterpakning (PVC/aluminium): 10, 20, 100, 300 filmovertrukne tabletter.</w:t>
      </w:r>
    </w:p>
    <w:p w14:paraId="41E04891" w14:textId="77777777" w:rsidR="00AB20D0" w:rsidRPr="002F27FC" w:rsidRDefault="00AB20D0" w:rsidP="002F27FC">
      <w:pPr>
        <w:ind w:left="851"/>
        <w:rPr>
          <w:sz w:val="24"/>
          <w:szCs w:val="24"/>
        </w:rPr>
      </w:pPr>
    </w:p>
    <w:p w14:paraId="544CA7E9" w14:textId="77777777" w:rsidR="00AB20D0" w:rsidRPr="002F27FC" w:rsidRDefault="00AB20D0" w:rsidP="002F27FC">
      <w:pPr>
        <w:ind w:left="851"/>
        <w:rPr>
          <w:sz w:val="24"/>
          <w:szCs w:val="24"/>
        </w:rPr>
      </w:pPr>
      <w:r w:rsidRPr="002F27FC">
        <w:rPr>
          <w:sz w:val="24"/>
          <w:szCs w:val="24"/>
        </w:rPr>
        <w:t>Ikke alle pakningsstørrelser er nødvendigvis markedsført.</w:t>
      </w:r>
    </w:p>
    <w:p w14:paraId="32DA46CA" w14:textId="77777777" w:rsidR="009260DE" w:rsidRPr="002F27FC" w:rsidRDefault="009260DE" w:rsidP="009260DE">
      <w:pPr>
        <w:tabs>
          <w:tab w:val="left" w:pos="851"/>
        </w:tabs>
        <w:ind w:left="851"/>
        <w:rPr>
          <w:sz w:val="24"/>
          <w:szCs w:val="24"/>
        </w:rPr>
      </w:pPr>
    </w:p>
    <w:p w14:paraId="7ADA8666" w14:textId="77777777" w:rsidR="009260DE" w:rsidRPr="002F27FC" w:rsidRDefault="009260DE" w:rsidP="009260DE">
      <w:pPr>
        <w:tabs>
          <w:tab w:val="left" w:pos="851"/>
        </w:tabs>
        <w:ind w:left="851" w:hanging="851"/>
        <w:rPr>
          <w:b/>
          <w:sz w:val="24"/>
          <w:szCs w:val="24"/>
        </w:rPr>
      </w:pPr>
      <w:r w:rsidRPr="002F27FC">
        <w:rPr>
          <w:b/>
          <w:sz w:val="24"/>
          <w:szCs w:val="24"/>
        </w:rPr>
        <w:t>6.6</w:t>
      </w:r>
      <w:r w:rsidRPr="002F27FC">
        <w:rPr>
          <w:b/>
          <w:sz w:val="24"/>
          <w:szCs w:val="24"/>
        </w:rPr>
        <w:tab/>
        <w:t xml:space="preserve">Regler for </w:t>
      </w:r>
      <w:r w:rsidR="00BD7931" w:rsidRPr="002F27FC">
        <w:rPr>
          <w:b/>
          <w:sz w:val="24"/>
          <w:szCs w:val="24"/>
        </w:rPr>
        <w:t>bortskaffelse</w:t>
      </w:r>
      <w:r w:rsidRPr="002F27FC">
        <w:rPr>
          <w:b/>
          <w:sz w:val="24"/>
          <w:szCs w:val="24"/>
        </w:rPr>
        <w:t xml:space="preserve"> og anden håndtering</w:t>
      </w:r>
    </w:p>
    <w:p w14:paraId="4B711720" w14:textId="77777777" w:rsidR="00AB20D0" w:rsidRPr="002F27FC" w:rsidRDefault="00AB20D0" w:rsidP="002F27FC">
      <w:pPr>
        <w:ind w:left="851"/>
        <w:rPr>
          <w:sz w:val="24"/>
          <w:szCs w:val="24"/>
        </w:rPr>
      </w:pPr>
      <w:r w:rsidRPr="002F27FC">
        <w:rPr>
          <w:sz w:val="24"/>
          <w:szCs w:val="24"/>
        </w:rPr>
        <w:t>Ingen særlige forholdsregler ved bortskaffelse.</w:t>
      </w:r>
    </w:p>
    <w:p w14:paraId="6D2FDFA6" w14:textId="77777777" w:rsidR="009260DE" w:rsidRPr="002F27FC" w:rsidRDefault="009260DE" w:rsidP="000730CA">
      <w:pPr>
        <w:tabs>
          <w:tab w:val="left" w:pos="851"/>
        </w:tabs>
        <w:ind w:left="851"/>
        <w:rPr>
          <w:sz w:val="24"/>
          <w:szCs w:val="24"/>
        </w:rPr>
      </w:pPr>
    </w:p>
    <w:p w14:paraId="60A3E321" w14:textId="77777777" w:rsidR="009260DE" w:rsidRPr="002F27FC" w:rsidRDefault="009260DE" w:rsidP="009260DE">
      <w:pPr>
        <w:tabs>
          <w:tab w:val="left" w:pos="851"/>
        </w:tabs>
        <w:ind w:left="851" w:hanging="851"/>
        <w:rPr>
          <w:b/>
          <w:sz w:val="24"/>
          <w:szCs w:val="24"/>
        </w:rPr>
      </w:pPr>
      <w:r w:rsidRPr="002F27FC">
        <w:rPr>
          <w:b/>
          <w:sz w:val="24"/>
          <w:szCs w:val="24"/>
        </w:rPr>
        <w:t>7.</w:t>
      </w:r>
      <w:r w:rsidRPr="002F27FC">
        <w:rPr>
          <w:b/>
          <w:sz w:val="24"/>
          <w:szCs w:val="24"/>
        </w:rPr>
        <w:tab/>
        <w:t>INDEHAVER AF MARKEDSFØRINGSTILLADELSEN</w:t>
      </w:r>
    </w:p>
    <w:p w14:paraId="34040495" w14:textId="77777777" w:rsidR="00AB20D0" w:rsidRPr="002F27FC" w:rsidRDefault="00AB20D0" w:rsidP="002F27FC">
      <w:pPr>
        <w:ind w:left="851"/>
        <w:rPr>
          <w:sz w:val="24"/>
          <w:szCs w:val="24"/>
        </w:rPr>
      </w:pPr>
      <w:r w:rsidRPr="002F27FC">
        <w:rPr>
          <w:sz w:val="24"/>
          <w:szCs w:val="24"/>
        </w:rPr>
        <w:t xml:space="preserve">Orifarm Healthcare A/S </w:t>
      </w:r>
    </w:p>
    <w:p w14:paraId="193091C9" w14:textId="77777777" w:rsidR="00AB20D0" w:rsidRPr="002F27FC" w:rsidRDefault="00AB20D0" w:rsidP="002F27FC">
      <w:pPr>
        <w:ind w:left="851"/>
        <w:rPr>
          <w:sz w:val="24"/>
          <w:szCs w:val="24"/>
        </w:rPr>
      </w:pPr>
      <w:r w:rsidRPr="002F27FC">
        <w:rPr>
          <w:sz w:val="24"/>
          <w:szCs w:val="24"/>
        </w:rPr>
        <w:t>Energivej 15</w:t>
      </w:r>
    </w:p>
    <w:p w14:paraId="775594B2" w14:textId="77777777" w:rsidR="00AB20D0" w:rsidRPr="002F27FC" w:rsidRDefault="00AB20D0" w:rsidP="002F27FC">
      <w:pPr>
        <w:ind w:left="851"/>
        <w:rPr>
          <w:sz w:val="24"/>
          <w:szCs w:val="24"/>
        </w:rPr>
      </w:pPr>
      <w:r w:rsidRPr="002F27FC">
        <w:rPr>
          <w:sz w:val="24"/>
          <w:szCs w:val="24"/>
        </w:rPr>
        <w:t>5260 Odense S</w:t>
      </w:r>
    </w:p>
    <w:p w14:paraId="77C76C8F" w14:textId="77777777" w:rsidR="00641C65" w:rsidRPr="002F27FC" w:rsidRDefault="00641C65" w:rsidP="009260DE">
      <w:pPr>
        <w:tabs>
          <w:tab w:val="left" w:pos="851"/>
        </w:tabs>
        <w:ind w:left="851"/>
        <w:rPr>
          <w:sz w:val="24"/>
          <w:szCs w:val="24"/>
        </w:rPr>
      </w:pPr>
    </w:p>
    <w:p w14:paraId="389CA4FB" w14:textId="77777777" w:rsidR="009260DE" w:rsidRPr="002F27FC" w:rsidRDefault="009260DE" w:rsidP="009260DE">
      <w:pPr>
        <w:tabs>
          <w:tab w:val="left" w:pos="851"/>
        </w:tabs>
        <w:ind w:left="851" w:hanging="851"/>
        <w:rPr>
          <w:b/>
          <w:sz w:val="24"/>
          <w:szCs w:val="24"/>
        </w:rPr>
      </w:pPr>
      <w:r w:rsidRPr="002F27FC">
        <w:rPr>
          <w:b/>
          <w:sz w:val="24"/>
          <w:szCs w:val="24"/>
        </w:rPr>
        <w:t>8.</w:t>
      </w:r>
      <w:r w:rsidRPr="002F27FC">
        <w:rPr>
          <w:b/>
          <w:sz w:val="24"/>
          <w:szCs w:val="24"/>
        </w:rPr>
        <w:tab/>
        <w:t>MARKEDSFØRINGSTILLADELSESNUMMER (</w:t>
      </w:r>
      <w:r w:rsidR="00BF6243" w:rsidRPr="002F27FC">
        <w:rPr>
          <w:b/>
          <w:sz w:val="24"/>
          <w:szCs w:val="24"/>
        </w:rPr>
        <w:t>-</w:t>
      </w:r>
      <w:r w:rsidRPr="002F27FC">
        <w:rPr>
          <w:b/>
          <w:sz w:val="24"/>
          <w:szCs w:val="24"/>
        </w:rPr>
        <w:t>NUMRE)</w:t>
      </w:r>
    </w:p>
    <w:p w14:paraId="6C7214E9" w14:textId="5F863FF8" w:rsidR="009260DE" w:rsidRPr="002F27FC" w:rsidRDefault="00AB20D0" w:rsidP="009260DE">
      <w:pPr>
        <w:tabs>
          <w:tab w:val="left" w:pos="851"/>
        </w:tabs>
        <w:ind w:left="851"/>
        <w:rPr>
          <w:sz w:val="24"/>
          <w:szCs w:val="24"/>
        </w:rPr>
      </w:pPr>
      <w:r w:rsidRPr="002F27FC">
        <w:rPr>
          <w:sz w:val="24"/>
          <w:szCs w:val="24"/>
        </w:rPr>
        <w:t>71677</w:t>
      </w:r>
    </w:p>
    <w:p w14:paraId="6F9925C7" w14:textId="77777777" w:rsidR="009260DE" w:rsidRPr="002F27FC" w:rsidRDefault="009260DE" w:rsidP="009260DE">
      <w:pPr>
        <w:tabs>
          <w:tab w:val="left" w:pos="851"/>
        </w:tabs>
        <w:ind w:left="851"/>
        <w:jc w:val="both"/>
        <w:rPr>
          <w:sz w:val="24"/>
          <w:szCs w:val="24"/>
        </w:rPr>
      </w:pPr>
    </w:p>
    <w:p w14:paraId="614B3C4D" w14:textId="77777777" w:rsidR="009260DE" w:rsidRPr="002F27FC" w:rsidRDefault="009260DE" w:rsidP="009260DE">
      <w:pPr>
        <w:tabs>
          <w:tab w:val="left" w:pos="851"/>
        </w:tabs>
        <w:ind w:left="851" w:hanging="851"/>
        <w:rPr>
          <w:b/>
          <w:sz w:val="24"/>
          <w:szCs w:val="24"/>
        </w:rPr>
      </w:pPr>
      <w:r w:rsidRPr="002F27FC">
        <w:rPr>
          <w:b/>
          <w:sz w:val="24"/>
          <w:szCs w:val="24"/>
        </w:rPr>
        <w:t>9.</w:t>
      </w:r>
      <w:r w:rsidRPr="002F27FC">
        <w:rPr>
          <w:b/>
          <w:sz w:val="24"/>
          <w:szCs w:val="24"/>
        </w:rPr>
        <w:tab/>
        <w:t>DATO FOR FØRSTE MARKEDSFØRINGSTILLADELSE</w:t>
      </w:r>
    </w:p>
    <w:p w14:paraId="1E553D4D" w14:textId="0DEA1A19" w:rsidR="009260DE" w:rsidRPr="002F27FC" w:rsidRDefault="002A006B" w:rsidP="009260DE">
      <w:pPr>
        <w:tabs>
          <w:tab w:val="left" w:pos="851"/>
        </w:tabs>
        <w:ind w:left="851"/>
        <w:rPr>
          <w:sz w:val="24"/>
          <w:szCs w:val="24"/>
        </w:rPr>
      </w:pPr>
      <w:r>
        <w:rPr>
          <w:sz w:val="24"/>
          <w:szCs w:val="24"/>
        </w:rPr>
        <w:t>2</w:t>
      </w:r>
      <w:r w:rsidR="00C749CA">
        <w:rPr>
          <w:sz w:val="24"/>
          <w:szCs w:val="24"/>
        </w:rPr>
        <w:t>5</w:t>
      </w:r>
      <w:r>
        <w:rPr>
          <w:sz w:val="24"/>
          <w:szCs w:val="24"/>
        </w:rPr>
        <w:t xml:space="preserve">. </w:t>
      </w:r>
      <w:r w:rsidR="00C749CA">
        <w:rPr>
          <w:sz w:val="24"/>
          <w:szCs w:val="24"/>
        </w:rPr>
        <w:t>marts</w:t>
      </w:r>
      <w:r>
        <w:rPr>
          <w:sz w:val="24"/>
          <w:szCs w:val="24"/>
        </w:rPr>
        <w:t xml:space="preserve"> 1988 (</w:t>
      </w:r>
      <w:proofErr w:type="spellStart"/>
      <w:r>
        <w:rPr>
          <w:sz w:val="24"/>
          <w:szCs w:val="24"/>
        </w:rPr>
        <w:t>Pamol</w:t>
      </w:r>
      <w:proofErr w:type="spellEnd"/>
      <w:r>
        <w:rPr>
          <w:sz w:val="24"/>
          <w:szCs w:val="24"/>
        </w:rPr>
        <w:t xml:space="preserve">, </w:t>
      </w:r>
      <w:r w:rsidR="00C749CA">
        <w:rPr>
          <w:sz w:val="24"/>
          <w:szCs w:val="24"/>
        </w:rPr>
        <w:t>filmovertrukne tabletter 500 mg</w:t>
      </w:r>
      <w:r>
        <w:rPr>
          <w:sz w:val="24"/>
          <w:szCs w:val="24"/>
        </w:rPr>
        <w:t>)</w:t>
      </w:r>
    </w:p>
    <w:p w14:paraId="471D78F5" w14:textId="77777777" w:rsidR="009260DE" w:rsidRPr="002F27FC" w:rsidRDefault="009260DE" w:rsidP="009260DE">
      <w:pPr>
        <w:tabs>
          <w:tab w:val="left" w:pos="851"/>
        </w:tabs>
        <w:ind w:left="851"/>
        <w:rPr>
          <w:sz w:val="24"/>
          <w:szCs w:val="24"/>
        </w:rPr>
      </w:pPr>
    </w:p>
    <w:p w14:paraId="50B61B81" w14:textId="77777777" w:rsidR="009260DE" w:rsidRPr="002F27FC" w:rsidRDefault="009260DE" w:rsidP="009260DE">
      <w:pPr>
        <w:tabs>
          <w:tab w:val="left" w:pos="851"/>
        </w:tabs>
        <w:ind w:left="851" w:hanging="851"/>
        <w:rPr>
          <w:b/>
          <w:sz w:val="24"/>
          <w:szCs w:val="24"/>
        </w:rPr>
      </w:pPr>
      <w:r w:rsidRPr="002F27FC">
        <w:rPr>
          <w:b/>
          <w:sz w:val="24"/>
          <w:szCs w:val="24"/>
        </w:rPr>
        <w:t>10.</w:t>
      </w:r>
      <w:r w:rsidRPr="002F27FC">
        <w:rPr>
          <w:b/>
          <w:sz w:val="24"/>
          <w:szCs w:val="24"/>
        </w:rPr>
        <w:tab/>
        <w:t>DATO FOR ÆNDRING AF TEKSTEN</w:t>
      </w:r>
    </w:p>
    <w:p w14:paraId="754A0F28" w14:textId="6CCC5802" w:rsidR="009260DE" w:rsidRPr="002F27FC" w:rsidRDefault="00AB20D0" w:rsidP="009260DE">
      <w:pPr>
        <w:tabs>
          <w:tab w:val="left" w:pos="851"/>
        </w:tabs>
        <w:ind w:left="851"/>
        <w:rPr>
          <w:sz w:val="24"/>
          <w:szCs w:val="24"/>
        </w:rPr>
      </w:pPr>
      <w:r w:rsidRPr="002F27FC">
        <w:rPr>
          <w:sz w:val="24"/>
          <w:szCs w:val="24"/>
        </w:rPr>
        <w:t>-</w:t>
      </w:r>
    </w:p>
    <w:sectPr w:rsidR="009260DE" w:rsidRPr="002F27FC"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E075" w14:textId="77777777" w:rsidR="00163734" w:rsidRDefault="00163734">
      <w:r>
        <w:separator/>
      </w:r>
    </w:p>
  </w:endnote>
  <w:endnote w:type="continuationSeparator" w:id="0">
    <w:p w14:paraId="0536438D" w14:textId="77777777" w:rsidR="00163734" w:rsidRDefault="0016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9695" w14:textId="77777777" w:rsidR="000259B9" w:rsidRDefault="000259B9">
    <w:pPr>
      <w:pStyle w:val="Sidefod"/>
      <w:pBdr>
        <w:bottom w:val="single" w:sz="6" w:space="1" w:color="auto"/>
      </w:pBdr>
    </w:pPr>
  </w:p>
  <w:p w14:paraId="21389F62" w14:textId="77777777" w:rsidR="000259B9" w:rsidRDefault="000259B9" w:rsidP="00C42586">
    <w:pPr>
      <w:pStyle w:val="Sidefod"/>
      <w:tabs>
        <w:tab w:val="clear" w:pos="4819"/>
        <w:tab w:val="left" w:pos="8505"/>
      </w:tabs>
      <w:rPr>
        <w:i/>
        <w:sz w:val="18"/>
        <w:szCs w:val="18"/>
      </w:rPr>
    </w:pPr>
  </w:p>
  <w:p w14:paraId="1447307F" w14:textId="73C140D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D6152">
      <w:rPr>
        <w:i/>
        <w:noProof/>
        <w:sz w:val="18"/>
        <w:szCs w:val="18"/>
      </w:rPr>
      <w:t>Pamol Swift, filmovertrukne tabletter 500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D60CE" w14:textId="77777777" w:rsidR="00163734" w:rsidRDefault="00163734">
      <w:r>
        <w:separator/>
      </w:r>
    </w:p>
  </w:footnote>
  <w:footnote w:type="continuationSeparator" w:id="0">
    <w:p w14:paraId="0CD74739" w14:textId="77777777" w:rsidR="00163734" w:rsidRDefault="00163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C2A638D"/>
    <w:multiLevelType w:val="hybridMultilevel"/>
    <w:tmpl w:val="AAD2DE1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8DF5A76"/>
    <w:multiLevelType w:val="hybridMultilevel"/>
    <w:tmpl w:val="5DAC1E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34"/>
    <w:rsid w:val="000259B9"/>
    <w:rsid w:val="00041491"/>
    <w:rsid w:val="00050D16"/>
    <w:rsid w:val="00053B28"/>
    <w:rsid w:val="000730CA"/>
    <w:rsid w:val="00074F2A"/>
    <w:rsid w:val="000A1CA8"/>
    <w:rsid w:val="000A466B"/>
    <w:rsid w:val="000B058C"/>
    <w:rsid w:val="000D68B0"/>
    <w:rsid w:val="000E4EE6"/>
    <w:rsid w:val="00124D61"/>
    <w:rsid w:val="001454E2"/>
    <w:rsid w:val="00163734"/>
    <w:rsid w:val="001D6152"/>
    <w:rsid w:val="00206CE8"/>
    <w:rsid w:val="0021526C"/>
    <w:rsid w:val="00283A2B"/>
    <w:rsid w:val="002A006B"/>
    <w:rsid w:val="002B30AD"/>
    <w:rsid w:val="002C1EC0"/>
    <w:rsid w:val="002C2C01"/>
    <w:rsid w:val="002E22E3"/>
    <w:rsid w:val="002F27FC"/>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B115B"/>
    <w:rsid w:val="0071241E"/>
    <w:rsid w:val="00737275"/>
    <w:rsid w:val="00740EEC"/>
    <w:rsid w:val="0078011A"/>
    <w:rsid w:val="00782AF4"/>
    <w:rsid w:val="00790EE7"/>
    <w:rsid w:val="007B6649"/>
    <w:rsid w:val="0082576E"/>
    <w:rsid w:val="0089346F"/>
    <w:rsid w:val="00907F75"/>
    <w:rsid w:val="009260DE"/>
    <w:rsid w:val="0093258A"/>
    <w:rsid w:val="009B243C"/>
    <w:rsid w:val="009C7BA3"/>
    <w:rsid w:val="009D1F5A"/>
    <w:rsid w:val="00A10294"/>
    <w:rsid w:val="00A1112A"/>
    <w:rsid w:val="00AB20D0"/>
    <w:rsid w:val="00B003BF"/>
    <w:rsid w:val="00B1090E"/>
    <w:rsid w:val="00B373D7"/>
    <w:rsid w:val="00B55271"/>
    <w:rsid w:val="00BD7931"/>
    <w:rsid w:val="00BF6243"/>
    <w:rsid w:val="00C36276"/>
    <w:rsid w:val="00C42586"/>
    <w:rsid w:val="00C45F6B"/>
    <w:rsid w:val="00C60CCD"/>
    <w:rsid w:val="00C63603"/>
    <w:rsid w:val="00C749CA"/>
    <w:rsid w:val="00C84483"/>
    <w:rsid w:val="00C95551"/>
    <w:rsid w:val="00CB20D7"/>
    <w:rsid w:val="00D020B0"/>
    <w:rsid w:val="00D11748"/>
    <w:rsid w:val="00D237F6"/>
    <w:rsid w:val="00D34D98"/>
    <w:rsid w:val="00D366CF"/>
    <w:rsid w:val="00D65831"/>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16165"/>
  <w15:chartTrackingRefBased/>
  <w15:docId w15:val="{544B39D4-2939-41B3-86D1-AEC4C5CC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AB20D0"/>
    <w:pPr>
      <w:spacing w:before="120" w:after="120"/>
      <w:jc w:val="both"/>
    </w:pPr>
    <w:rPr>
      <w:sz w:val="22"/>
      <w:lang w:val="en-US"/>
    </w:rPr>
  </w:style>
  <w:style w:type="paragraph" w:styleId="Listeafsnit">
    <w:name w:val="List Paragraph"/>
    <w:basedOn w:val="Normal"/>
    <w:uiPriority w:val="34"/>
    <w:qFormat/>
    <w:rsid w:val="00AB20D0"/>
    <w:pPr>
      <w:tabs>
        <w:tab w:val="left" w:pos="567"/>
      </w:tabs>
      <w:spacing w:line="260" w:lineRule="exact"/>
      <w:ind w:left="720"/>
      <w:contextualSpacing/>
    </w:pPr>
    <w:rPr>
      <w:sz w:val="22"/>
      <w:lang w:val="en-GB"/>
    </w:rPr>
  </w:style>
  <w:style w:type="table" w:styleId="Tabel-Gitter">
    <w:name w:val="Table Grid"/>
    <w:basedOn w:val="Tabel-Normal"/>
    <w:rsid w:val="00AB20D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6678446">
      <w:bodyDiv w:val="1"/>
      <w:marLeft w:val="0"/>
      <w:marRight w:val="0"/>
      <w:marTop w:val="0"/>
      <w:marBottom w:val="0"/>
      <w:divBdr>
        <w:top w:val="none" w:sz="0" w:space="0" w:color="auto"/>
        <w:left w:val="none" w:sz="0" w:space="0" w:color="auto"/>
        <w:bottom w:val="none" w:sz="0" w:space="0" w:color="auto"/>
        <w:right w:val="none" w:sz="0" w:space="0" w:color="auto"/>
      </w:divBdr>
    </w:div>
    <w:div w:id="167985091">
      <w:bodyDiv w:val="1"/>
      <w:marLeft w:val="0"/>
      <w:marRight w:val="0"/>
      <w:marTop w:val="0"/>
      <w:marBottom w:val="0"/>
      <w:divBdr>
        <w:top w:val="none" w:sz="0" w:space="0" w:color="auto"/>
        <w:left w:val="none" w:sz="0" w:space="0" w:color="auto"/>
        <w:bottom w:val="none" w:sz="0" w:space="0" w:color="auto"/>
        <w:right w:val="none" w:sz="0" w:space="0" w:color="auto"/>
      </w:divBdr>
    </w:div>
    <w:div w:id="173148680">
      <w:bodyDiv w:val="1"/>
      <w:marLeft w:val="0"/>
      <w:marRight w:val="0"/>
      <w:marTop w:val="0"/>
      <w:marBottom w:val="0"/>
      <w:divBdr>
        <w:top w:val="none" w:sz="0" w:space="0" w:color="auto"/>
        <w:left w:val="none" w:sz="0" w:space="0" w:color="auto"/>
        <w:bottom w:val="none" w:sz="0" w:space="0" w:color="auto"/>
        <w:right w:val="none" w:sz="0" w:space="0" w:color="auto"/>
      </w:divBdr>
    </w:div>
    <w:div w:id="373193121">
      <w:bodyDiv w:val="1"/>
      <w:marLeft w:val="0"/>
      <w:marRight w:val="0"/>
      <w:marTop w:val="0"/>
      <w:marBottom w:val="0"/>
      <w:divBdr>
        <w:top w:val="none" w:sz="0" w:space="0" w:color="auto"/>
        <w:left w:val="none" w:sz="0" w:space="0" w:color="auto"/>
        <w:bottom w:val="none" w:sz="0" w:space="0" w:color="auto"/>
        <w:right w:val="none" w:sz="0" w:space="0" w:color="auto"/>
      </w:divBdr>
    </w:div>
    <w:div w:id="375469209">
      <w:bodyDiv w:val="1"/>
      <w:marLeft w:val="0"/>
      <w:marRight w:val="0"/>
      <w:marTop w:val="0"/>
      <w:marBottom w:val="0"/>
      <w:divBdr>
        <w:top w:val="none" w:sz="0" w:space="0" w:color="auto"/>
        <w:left w:val="none" w:sz="0" w:space="0" w:color="auto"/>
        <w:bottom w:val="none" w:sz="0" w:space="0" w:color="auto"/>
        <w:right w:val="none" w:sz="0" w:space="0" w:color="auto"/>
      </w:divBdr>
    </w:div>
    <w:div w:id="383792978">
      <w:bodyDiv w:val="1"/>
      <w:marLeft w:val="0"/>
      <w:marRight w:val="0"/>
      <w:marTop w:val="0"/>
      <w:marBottom w:val="0"/>
      <w:divBdr>
        <w:top w:val="none" w:sz="0" w:space="0" w:color="auto"/>
        <w:left w:val="none" w:sz="0" w:space="0" w:color="auto"/>
        <w:bottom w:val="none" w:sz="0" w:space="0" w:color="auto"/>
        <w:right w:val="none" w:sz="0" w:space="0" w:color="auto"/>
      </w:divBdr>
    </w:div>
    <w:div w:id="500657234">
      <w:bodyDiv w:val="1"/>
      <w:marLeft w:val="0"/>
      <w:marRight w:val="0"/>
      <w:marTop w:val="0"/>
      <w:marBottom w:val="0"/>
      <w:divBdr>
        <w:top w:val="none" w:sz="0" w:space="0" w:color="auto"/>
        <w:left w:val="none" w:sz="0" w:space="0" w:color="auto"/>
        <w:bottom w:val="none" w:sz="0" w:space="0" w:color="auto"/>
        <w:right w:val="none" w:sz="0" w:space="0" w:color="auto"/>
      </w:divBdr>
    </w:div>
    <w:div w:id="701325761">
      <w:bodyDiv w:val="1"/>
      <w:marLeft w:val="0"/>
      <w:marRight w:val="0"/>
      <w:marTop w:val="0"/>
      <w:marBottom w:val="0"/>
      <w:divBdr>
        <w:top w:val="none" w:sz="0" w:space="0" w:color="auto"/>
        <w:left w:val="none" w:sz="0" w:space="0" w:color="auto"/>
        <w:bottom w:val="none" w:sz="0" w:space="0" w:color="auto"/>
        <w:right w:val="none" w:sz="0" w:space="0" w:color="auto"/>
      </w:divBdr>
    </w:div>
    <w:div w:id="767624793">
      <w:bodyDiv w:val="1"/>
      <w:marLeft w:val="0"/>
      <w:marRight w:val="0"/>
      <w:marTop w:val="0"/>
      <w:marBottom w:val="0"/>
      <w:divBdr>
        <w:top w:val="none" w:sz="0" w:space="0" w:color="auto"/>
        <w:left w:val="none" w:sz="0" w:space="0" w:color="auto"/>
        <w:bottom w:val="none" w:sz="0" w:space="0" w:color="auto"/>
        <w:right w:val="none" w:sz="0" w:space="0" w:color="auto"/>
      </w:divBdr>
    </w:div>
    <w:div w:id="827789699">
      <w:bodyDiv w:val="1"/>
      <w:marLeft w:val="0"/>
      <w:marRight w:val="0"/>
      <w:marTop w:val="0"/>
      <w:marBottom w:val="0"/>
      <w:divBdr>
        <w:top w:val="none" w:sz="0" w:space="0" w:color="auto"/>
        <w:left w:val="none" w:sz="0" w:space="0" w:color="auto"/>
        <w:bottom w:val="none" w:sz="0" w:space="0" w:color="auto"/>
        <w:right w:val="none" w:sz="0" w:space="0" w:color="auto"/>
      </w:divBdr>
    </w:div>
    <w:div w:id="886454447">
      <w:bodyDiv w:val="1"/>
      <w:marLeft w:val="0"/>
      <w:marRight w:val="0"/>
      <w:marTop w:val="0"/>
      <w:marBottom w:val="0"/>
      <w:divBdr>
        <w:top w:val="none" w:sz="0" w:space="0" w:color="auto"/>
        <w:left w:val="none" w:sz="0" w:space="0" w:color="auto"/>
        <w:bottom w:val="none" w:sz="0" w:space="0" w:color="auto"/>
        <w:right w:val="none" w:sz="0" w:space="0" w:color="auto"/>
      </w:divBdr>
    </w:div>
    <w:div w:id="1021588639">
      <w:bodyDiv w:val="1"/>
      <w:marLeft w:val="0"/>
      <w:marRight w:val="0"/>
      <w:marTop w:val="0"/>
      <w:marBottom w:val="0"/>
      <w:divBdr>
        <w:top w:val="none" w:sz="0" w:space="0" w:color="auto"/>
        <w:left w:val="none" w:sz="0" w:space="0" w:color="auto"/>
        <w:bottom w:val="none" w:sz="0" w:space="0" w:color="auto"/>
        <w:right w:val="none" w:sz="0" w:space="0" w:color="auto"/>
      </w:divBdr>
    </w:div>
    <w:div w:id="1116605344">
      <w:bodyDiv w:val="1"/>
      <w:marLeft w:val="0"/>
      <w:marRight w:val="0"/>
      <w:marTop w:val="0"/>
      <w:marBottom w:val="0"/>
      <w:divBdr>
        <w:top w:val="none" w:sz="0" w:space="0" w:color="auto"/>
        <w:left w:val="none" w:sz="0" w:space="0" w:color="auto"/>
        <w:bottom w:val="none" w:sz="0" w:space="0" w:color="auto"/>
        <w:right w:val="none" w:sz="0" w:space="0" w:color="auto"/>
      </w:divBdr>
    </w:div>
    <w:div w:id="1187325627">
      <w:bodyDiv w:val="1"/>
      <w:marLeft w:val="0"/>
      <w:marRight w:val="0"/>
      <w:marTop w:val="0"/>
      <w:marBottom w:val="0"/>
      <w:divBdr>
        <w:top w:val="none" w:sz="0" w:space="0" w:color="auto"/>
        <w:left w:val="none" w:sz="0" w:space="0" w:color="auto"/>
        <w:bottom w:val="none" w:sz="0" w:space="0" w:color="auto"/>
        <w:right w:val="none" w:sz="0" w:space="0" w:color="auto"/>
      </w:divBdr>
    </w:div>
    <w:div w:id="1206722886">
      <w:bodyDiv w:val="1"/>
      <w:marLeft w:val="0"/>
      <w:marRight w:val="0"/>
      <w:marTop w:val="0"/>
      <w:marBottom w:val="0"/>
      <w:divBdr>
        <w:top w:val="none" w:sz="0" w:space="0" w:color="auto"/>
        <w:left w:val="none" w:sz="0" w:space="0" w:color="auto"/>
        <w:bottom w:val="none" w:sz="0" w:space="0" w:color="auto"/>
        <w:right w:val="none" w:sz="0" w:space="0" w:color="auto"/>
      </w:divBdr>
    </w:div>
    <w:div w:id="1225221372">
      <w:bodyDiv w:val="1"/>
      <w:marLeft w:val="0"/>
      <w:marRight w:val="0"/>
      <w:marTop w:val="0"/>
      <w:marBottom w:val="0"/>
      <w:divBdr>
        <w:top w:val="none" w:sz="0" w:space="0" w:color="auto"/>
        <w:left w:val="none" w:sz="0" w:space="0" w:color="auto"/>
        <w:bottom w:val="none" w:sz="0" w:space="0" w:color="auto"/>
        <w:right w:val="none" w:sz="0" w:space="0" w:color="auto"/>
      </w:divBdr>
    </w:div>
    <w:div w:id="1335062785">
      <w:bodyDiv w:val="1"/>
      <w:marLeft w:val="0"/>
      <w:marRight w:val="0"/>
      <w:marTop w:val="0"/>
      <w:marBottom w:val="0"/>
      <w:divBdr>
        <w:top w:val="none" w:sz="0" w:space="0" w:color="auto"/>
        <w:left w:val="none" w:sz="0" w:space="0" w:color="auto"/>
        <w:bottom w:val="none" w:sz="0" w:space="0" w:color="auto"/>
        <w:right w:val="none" w:sz="0" w:space="0" w:color="auto"/>
      </w:divBdr>
    </w:div>
    <w:div w:id="1401248263">
      <w:bodyDiv w:val="1"/>
      <w:marLeft w:val="0"/>
      <w:marRight w:val="0"/>
      <w:marTop w:val="0"/>
      <w:marBottom w:val="0"/>
      <w:divBdr>
        <w:top w:val="none" w:sz="0" w:space="0" w:color="auto"/>
        <w:left w:val="none" w:sz="0" w:space="0" w:color="auto"/>
        <w:bottom w:val="none" w:sz="0" w:space="0" w:color="auto"/>
        <w:right w:val="none" w:sz="0" w:space="0" w:color="auto"/>
      </w:divBdr>
    </w:div>
    <w:div w:id="1501313526">
      <w:bodyDiv w:val="1"/>
      <w:marLeft w:val="0"/>
      <w:marRight w:val="0"/>
      <w:marTop w:val="0"/>
      <w:marBottom w:val="0"/>
      <w:divBdr>
        <w:top w:val="none" w:sz="0" w:space="0" w:color="auto"/>
        <w:left w:val="none" w:sz="0" w:space="0" w:color="auto"/>
        <w:bottom w:val="none" w:sz="0" w:space="0" w:color="auto"/>
        <w:right w:val="none" w:sz="0" w:space="0" w:color="auto"/>
      </w:divBdr>
    </w:div>
    <w:div w:id="1538733163">
      <w:bodyDiv w:val="1"/>
      <w:marLeft w:val="0"/>
      <w:marRight w:val="0"/>
      <w:marTop w:val="0"/>
      <w:marBottom w:val="0"/>
      <w:divBdr>
        <w:top w:val="none" w:sz="0" w:space="0" w:color="auto"/>
        <w:left w:val="none" w:sz="0" w:space="0" w:color="auto"/>
        <w:bottom w:val="none" w:sz="0" w:space="0" w:color="auto"/>
        <w:right w:val="none" w:sz="0" w:space="0" w:color="auto"/>
      </w:divBdr>
    </w:div>
    <w:div w:id="1557815080">
      <w:bodyDiv w:val="1"/>
      <w:marLeft w:val="0"/>
      <w:marRight w:val="0"/>
      <w:marTop w:val="0"/>
      <w:marBottom w:val="0"/>
      <w:divBdr>
        <w:top w:val="none" w:sz="0" w:space="0" w:color="auto"/>
        <w:left w:val="none" w:sz="0" w:space="0" w:color="auto"/>
        <w:bottom w:val="none" w:sz="0" w:space="0" w:color="auto"/>
        <w:right w:val="none" w:sz="0" w:space="0" w:color="auto"/>
      </w:divBdr>
    </w:div>
    <w:div w:id="1667586508">
      <w:bodyDiv w:val="1"/>
      <w:marLeft w:val="0"/>
      <w:marRight w:val="0"/>
      <w:marTop w:val="0"/>
      <w:marBottom w:val="0"/>
      <w:divBdr>
        <w:top w:val="none" w:sz="0" w:space="0" w:color="auto"/>
        <w:left w:val="none" w:sz="0" w:space="0" w:color="auto"/>
        <w:bottom w:val="none" w:sz="0" w:space="0" w:color="auto"/>
        <w:right w:val="none" w:sz="0" w:space="0" w:color="auto"/>
      </w:divBdr>
    </w:div>
    <w:div w:id="1802533664">
      <w:bodyDiv w:val="1"/>
      <w:marLeft w:val="0"/>
      <w:marRight w:val="0"/>
      <w:marTop w:val="0"/>
      <w:marBottom w:val="0"/>
      <w:divBdr>
        <w:top w:val="none" w:sz="0" w:space="0" w:color="auto"/>
        <w:left w:val="none" w:sz="0" w:space="0" w:color="auto"/>
        <w:bottom w:val="none" w:sz="0" w:space="0" w:color="auto"/>
        <w:right w:val="none" w:sz="0" w:space="0" w:color="auto"/>
      </w:divBdr>
    </w:div>
    <w:div w:id="1820538091">
      <w:bodyDiv w:val="1"/>
      <w:marLeft w:val="0"/>
      <w:marRight w:val="0"/>
      <w:marTop w:val="0"/>
      <w:marBottom w:val="0"/>
      <w:divBdr>
        <w:top w:val="none" w:sz="0" w:space="0" w:color="auto"/>
        <w:left w:val="none" w:sz="0" w:space="0" w:color="auto"/>
        <w:bottom w:val="none" w:sz="0" w:space="0" w:color="auto"/>
        <w:right w:val="none" w:sz="0" w:space="0" w:color="auto"/>
      </w:divBdr>
    </w:div>
    <w:div w:id="1837958949">
      <w:bodyDiv w:val="1"/>
      <w:marLeft w:val="0"/>
      <w:marRight w:val="0"/>
      <w:marTop w:val="0"/>
      <w:marBottom w:val="0"/>
      <w:divBdr>
        <w:top w:val="none" w:sz="0" w:space="0" w:color="auto"/>
        <w:left w:val="none" w:sz="0" w:space="0" w:color="auto"/>
        <w:bottom w:val="none" w:sz="0" w:space="0" w:color="auto"/>
        <w:right w:val="none" w:sz="0" w:space="0" w:color="auto"/>
      </w:divBdr>
    </w:div>
    <w:div w:id="1850409990">
      <w:bodyDiv w:val="1"/>
      <w:marLeft w:val="0"/>
      <w:marRight w:val="0"/>
      <w:marTop w:val="0"/>
      <w:marBottom w:val="0"/>
      <w:divBdr>
        <w:top w:val="none" w:sz="0" w:space="0" w:color="auto"/>
        <w:left w:val="none" w:sz="0" w:space="0" w:color="auto"/>
        <w:bottom w:val="none" w:sz="0" w:space="0" w:color="auto"/>
        <w:right w:val="none" w:sz="0" w:space="0" w:color="auto"/>
      </w:divBdr>
    </w:div>
    <w:div w:id="1895576068">
      <w:bodyDiv w:val="1"/>
      <w:marLeft w:val="0"/>
      <w:marRight w:val="0"/>
      <w:marTop w:val="0"/>
      <w:marBottom w:val="0"/>
      <w:divBdr>
        <w:top w:val="none" w:sz="0" w:space="0" w:color="auto"/>
        <w:left w:val="none" w:sz="0" w:space="0" w:color="auto"/>
        <w:bottom w:val="none" w:sz="0" w:space="0" w:color="auto"/>
        <w:right w:val="none" w:sz="0" w:space="0" w:color="auto"/>
      </w:divBdr>
    </w:div>
    <w:div w:id="1990092006">
      <w:bodyDiv w:val="1"/>
      <w:marLeft w:val="0"/>
      <w:marRight w:val="0"/>
      <w:marTop w:val="0"/>
      <w:marBottom w:val="0"/>
      <w:divBdr>
        <w:top w:val="none" w:sz="0" w:space="0" w:color="auto"/>
        <w:left w:val="none" w:sz="0" w:space="0" w:color="auto"/>
        <w:bottom w:val="none" w:sz="0" w:space="0" w:color="auto"/>
        <w:right w:val="none" w:sz="0" w:space="0" w:color="auto"/>
      </w:divBdr>
    </w:div>
    <w:div w:id="2020160276">
      <w:bodyDiv w:val="1"/>
      <w:marLeft w:val="0"/>
      <w:marRight w:val="0"/>
      <w:marTop w:val="0"/>
      <w:marBottom w:val="0"/>
      <w:divBdr>
        <w:top w:val="none" w:sz="0" w:space="0" w:color="auto"/>
        <w:left w:val="none" w:sz="0" w:space="0" w:color="auto"/>
        <w:bottom w:val="none" w:sz="0" w:space="0" w:color="auto"/>
        <w:right w:val="none" w:sz="0" w:space="0" w:color="auto"/>
      </w:divBdr>
    </w:div>
    <w:div w:id="20215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82</TotalTime>
  <Pages>9</Pages>
  <Words>2453</Words>
  <Characters>16492</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2024042249, MT</dc:description>
  <cp:lastModifiedBy>Gitte Jørgensen</cp:lastModifiedBy>
  <cp:revision>12</cp:revision>
  <cp:lastPrinted>2012-08-22T08:53:00Z</cp:lastPrinted>
  <dcterms:created xsi:type="dcterms:W3CDTF">2025-10-03T07:07:00Z</dcterms:created>
  <dcterms:modified xsi:type="dcterms:W3CDTF">2025-10-03T13:08:00Z</dcterms:modified>
</cp:coreProperties>
</file>